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版本号：ZZHHCG-2026-052720260528001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略阳县2026年度省级林业改革发展资金重点区域绿化补助项目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ZZHHCG-2026-0527</w:t>
      </w:r>
      <w:r>
        <w:br/>
      </w:r>
      <w:r>
        <w:br/>
      </w:r>
      <w:r>
        <w:br/>
      </w:r>
    </w:p>
    <w:p>
      <w:pPr>
        <w:pStyle w:val="null3"/>
        <w:jc w:val="center"/>
        <w:outlineLvl w:val="2"/>
      </w:pPr>
      <w:r>
        <w:rPr>
          <w:rFonts w:ascii="仿宋_GB2312" w:hAnsi="仿宋_GB2312" w:cs="仿宋_GB2312" w:eastAsia="仿宋_GB2312"/>
          <w:sz w:val="28"/>
          <w:b/>
        </w:rPr>
        <w:t>略阳县国有金池院林场</w:t>
      </w:r>
    </w:p>
    <w:p>
      <w:pPr>
        <w:pStyle w:val="null3"/>
        <w:jc w:val="center"/>
        <w:outlineLvl w:val="2"/>
      </w:pPr>
      <w:r>
        <w:rPr>
          <w:rFonts w:ascii="仿宋_GB2312" w:hAnsi="仿宋_GB2312" w:cs="仿宋_GB2312" w:eastAsia="仿宋_GB2312"/>
          <w:sz w:val="28"/>
          <w:b/>
        </w:rPr>
        <w:t>陕西中正浩华项目管理有限公司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陕西中正浩华项目管理有限公司</w:t>
      </w:r>
      <w:r>
        <w:rPr>
          <w:rFonts w:ascii="仿宋_GB2312" w:hAnsi="仿宋_GB2312" w:cs="仿宋_GB2312" w:eastAsia="仿宋_GB2312"/>
        </w:rPr>
        <w:t>（以下简称“代理机构”）受</w:t>
      </w:r>
      <w:r>
        <w:rPr>
          <w:rFonts w:ascii="仿宋_GB2312" w:hAnsi="仿宋_GB2312" w:cs="仿宋_GB2312" w:eastAsia="仿宋_GB2312"/>
        </w:rPr>
        <w:t>略阳县国有金池院林场</w:t>
      </w:r>
      <w:r>
        <w:rPr>
          <w:rFonts w:ascii="仿宋_GB2312" w:hAnsi="仿宋_GB2312" w:cs="仿宋_GB2312" w:eastAsia="仿宋_GB2312"/>
        </w:rPr>
        <w:t>委托，拟对</w:t>
      </w:r>
      <w:r>
        <w:rPr>
          <w:rFonts w:ascii="仿宋_GB2312" w:hAnsi="仿宋_GB2312" w:cs="仿宋_GB2312" w:eastAsia="仿宋_GB2312"/>
        </w:rPr>
        <w:t>略阳县2026年度省级林业改革发展资金重点区域绿化补助项目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ZZHHCG-2026-0527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略阳县2026年度省级林业改革发展资金重点区域绿化补助项目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在绿化区域五龙洞村三佛寺至马家河坝公路两旁边角地和空旷区域，采取高山杜鹃栽植，打造高山杜鹃绿化带6000米，栽植高山杜鹃2200株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采购包1（略阳县2026年度省级林业改革发展资金重点区域绿化补助项目）：属于专门面向中小企业采购。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1、具有有效的营业执照：供应商应具有独⽴承担⺠事责任的能⼒的企业法⼈、事业法⼈、其他组织或者⾃然⼈,企业法⼈应提 供营业执照等证明⽂件;事业法⼈应提供事业单位法⼈证、组织机构代码证等证明⽂件(或统⼀社会信 ⽤代码的事业单位法⼈证)等证明⽂件;其他组织应提供合法证明⽂件;⾃然⼈提供⾝份证明⽂件。</w:t>
      </w:r>
    </w:p>
    <w:p>
      <w:pPr>
        <w:pStyle w:val="null3"/>
      </w:pPr>
      <w:r>
        <w:rPr>
          <w:rFonts w:ascii="仿宋_GB2312" w:hAnsi="仿宋_GB2312" w:cs="仿宋_GB2312" w:eastAsia="仿宋_GB2312"/>
        </w:rPr>
        <w:t>2、法定代表⼈或被授权委托代理⼈⾝份证：法定代表⼈直接参加磋商的，须出具法⼈⾝份证(附法定代表⼈⾝份证复印件);法定代表⼈授权代表 参加磋商的，须出具法定代表⼈授权书及授权代表⾝份证(附法定代表⼈⾝份证复印件及被授权⼈⾝ 份证复印件)。</w:t>
      </w:r>
    </w:p>
    <w:p>
      <w:pPr>
        <w:pStyle w:val="null3"/>
      </w:pPr>
      <w:r>
        <w:rPr>
          <w:rFonts w:ascii="仿宋_GB2312" w:hAnsi="仿宋_GB2312" w:cs="仿宋_GB2312" w:eastAsia="仿宋_GB2312"/>
        </w:rPr>
        <w:t>3、企业资格要求：供应商须提供相关部门颁发的《林草种子生产经营许可证》或《林木种子生产经营许可证》</w:t>
      </w:r>
    </w:p>
    <w:p>
      <w:pPr>
        <w:pStyle w:val="null3"/>
      </w:pPr>
      <w:r>
        <w:rPr>
          <w:rFonts w:ascii="仿宋_GB2312" w:hAnsi="仿宋_GB2312" w:cs="仿宋_GB2312" w:eastAsia="仿宋_GB2312"/>
        </w:rPr>
        <w:t>4、汉中市政府采购供应商资格承诺函：供应商须具有健全的财务会计制度、具有履⾏合同所必需的设备和专业技术能⼒、具有依法缴纳税 收和社会保障资⾦的良好记录，以及参加本项⽬采购活动前三年内在经营活动中⽆重⼤违法活动记 录，供应商提供《汉中市政府采购供应商资格承诺函》；</w:t>
      </w:r>
    </w:p>
    <w:p>
      <w:pPr>
        <w:pStyle w:val="null3"/>
      </w:pPr>
      <w:r>
        <w:rPr>
          <w:rFonts w:ascii="仿宋_GB2312" w:hAnsi="仿宋_GB2312" w:cs="仿宋_GB2312" w:eastAsia="仿宋_GB2312"/>
        </w:rPr>
        <w:t>5、中⼩企业声明函：本项⽬专⻔⾯向中⼩企业采购（提供中⼩企业声明函）</w:t>
      </w:r>
    </w:p>
    <w:p>
      <w:pPr>
        <w:pStyle w:val="null3"/>
      </w:pPr>
      <w:r>
        <w:rPr>
          <w:rFonts w:ascii="仿宋_GB2312" w:hAnsi="仿宋_GB2312" w:cs="仿宋_GB2312" w:eastAsia="仿宋_GB2312"/>
        </w:rPr>
        <w:t>6、本项⽬不接受联合体磋商：本项⽬不接受联合体磋商（提供⾮联合体声明）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略阳县国有金池院林场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五龙洞镇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略阳县金池院林场经办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0916-4958239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陕西中正浩华项目管理有限公司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陕西省汉中市南郑区陕西省汉中市南郑区大河坎镇大河坎社区裕华欧洲城小区三号楼605室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18165118328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略阳县国有金池院林场</w:t>
      </w:r>
      <w:r>
        <w:rPr>
          <w:rFonts w:ascii="仿宋_GB2312" w:hAnsi="仿宋_GB2312" w:cs="仿宋_GB2312" w:eastAsia="仿宋_GB2312"/>
        </w:rPr>
        <w:t>和</w:t>
      </w:r>
      <w:r>
        <w:rPr>
          <w:rFonts w:ascii="仿宋_GB2312" w:hAnsi="仿宋_GB2312" w:cs="仿宋_GB2312" w:eastAsia="仿宋_GB2312"/>
        </w:rPr>
        <w:t>陕西中正浩华项目管理有限公司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略阳县国有金池院林场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陕西中正浩华项目管理有限公司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略阳县国有金池院林场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陕西中正浩华项目管理有限公司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联系人：廖先生</w:t>
      </w:r>
    </w:p>
    <w:p>
      <w:pPr>
        <w:pStyle w:val="null3"/>
      </w:pPr>
      <w:r>
        <w:rPr>
          <w:rFonts w:ascii="仿宋_GB2312" w:hAnsi="仿宋_GB2312" w:cs="仿宋_GB2312" w:eastAsia="仿宋_GB2312"/>
        </w:rPr>
        <w:t>联系电话：18165118328</w:t>
      </w:r>
    </w:p>
    <w:p>
      <w:pPr>
        <w:pStyle w:val="null3"/>
      </w:pPr>
      <w:r>
        <w:rPr>
          <w:rFonts w:ascii="仿宋_GB2312" w:hAnsi="仿宋_GB2312" w:cs="仿宋_GB2312" w:eastAsia="仿宋_GB2312"/>
        </w:rPr>
        <w:t>地址：汉中市南郑区渔营路与江古路十字路口凯奇酒店东侧二楼商铺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采取高山杜鹃栽植，打造高山杜鹃绿化带6000米，栽植高山杜鹃2200株。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重点区域绿化</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项目</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标的名称：重点区域绿化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略阳县</w:t>
            </w:r>
            <w:r>
              <w:rPr>
                <w:rFonts w:ascii="仿宋_GB2312" w:hAnsi="仿宋_GB2312" w:cs="仿宋_GB2312" w:eastAsia="仿宋_GB2312"/>
                <w:sz w:val="21"/>
                <w:b/>
              </w:rPr>
              <w:t>2026年度省级林业改革发展资金</w:t>
            </w:r>
          </w:p>
          <w:p>
            <w:pPr>
              <w:pStyle w:val="null3"/>
              <w:jc w:val="center"/>
            </w:pPr>
            <w:r>
              <w:rPr>
                <w:rFonts w:ascii="仿宋_GB2312" w:hAnsi="仿宋_GB2312" w:cs="仿宋_GB2312" w:eastAsia="仿宋_GB2312"/>
                <w:sz w:val="21"/>
                <w:b/>
              </w:rPr>
              <w:t>重点区域绿化补助项目采购需求</w:t>
            </w:r>
          </w:p>
          <w:p>
            <w:pPr>
              <w:pStyle w:val="null3"/>
              <w:ind w:firstLine="643"/>
              <w:jc w:val="both"/>
            </w:pPr>
            <w:r>
              <w:rPr>
                <w:rFonts w:ascii="仿宋_GB2312" w:hAnsi="仿宋_GB2312" w:cs="仿宋_GB2312" w:eastAsia="仿宋_GB2312"/>
                <w:sz w:val="21"/>
                <w:b/>
              </w:rPr>
              <w:t>1、地点选择</w:t>
            </w:r>
          </w:p>
          <w:p>
            <w:pPr>
              <w:pStyle w:val="null3"/>
              <w:ind w:firstLine="640"/>
              <w:jc w:val="both"/>
            </w:pPr>
            <w:r>
              <w:rPr>
                <w:rFonts w:ascii="仿宋_GB2312" w:hAnsi="仿宋_GB2312" w:cs="仿宋_GB2312" w:eastAsia="仿宋_GB2312"/>
                <w:sz w:val="21"/>
              </w:rPr>
              <w:t>重点区域</w:t>
            </w:r>
            <w:r>
              <w:rPr>
                <w:rFonts w:ascii="仿宋_GB2312" w:hAnsi="仿宋_GB2312" w:cs="仿宋_GB2312" w:eastAsia="仿宋_GB2312"/>
                <w:sz w:val="21"/>
              </w:rPr>
              <w:t>绿化作业区主要分布在</w:t>
            </w:r>
            <w:r>
              <w:rPr>
                <w:rFonts w:ascii="仿宋_GB2312" w:hAnsi="仿宋_GB2312" w:cs="仿宋_GB2312" w:eastAsia="仿宋_GB2312"/>
                <w:sz w:val="21"/>
              </w:rPr>
              <w:t>五龙洞村三佛寺至</w:t>
            </w:r>
            <w:r>
              <w:rPr>
                <w:rFonts w:ascii="仿宋_GB2312" w:hAnsi="仿宋_GB2312" w:cs="仿宋_GB2312" w:eastAsia="仿宋_GB2312"/>
                <w:sz w:val="21"/>
              </w:rPr>
              <w:t>马家河坝</w:t>
            </w:r>
            <w:r>
              <w:rPr>
                <w:rFonts w:ascii="仿宋_GB2312" w:hAnsi="仿宋_GB2312" w:cs="仿宋_GB2312" w:eastAsia="仿宋_GB2312"/>
                <w:sz w:val="21"/>
              </w:rPr>
              <w:t>公路两旁边角地和空旷区域</w:t>
            </w:r>
            <w:r>
              <w:rPr>
                <w:rFonts w:ascii="仿宋_GB2312" w:hAnsi="仿宋_GB2312" w:cs="仿宋_GB2312" w:eastAsia="仿宋_GB2312"/>
                <w:sz w:val="21"/>
              </w:rPr>
              <w:t>，</w:t>
            </w:r>
            <w:r>
              <w:rPr>
                <w:rFonts w:ascii="仿宋_GB2312" w:hAnsi="仿宋_GB2312" w:cs="仿宋_GB2312" w:eastAsia="仿宋_GB2312"/>
                <w:sz w:val="21"/>
              </w:rPr>
              <w:t>根据地形选择适宜绿化树种生长区域。</w:t>
            </w:r>
          </w:p>
          <w:p>
            <w:pPr>
              <w:pStyle w:val="null3"/>
              <w:ind w:firstLine="567"/>
              <w:jc w:val="both"/>
            </w:pPr>
            <w:r>
              <w:rPr>
                <w:rFonts w:ascii="仿宋_GB2312" w:hAnsi="仿宋_GB2312" w:cs="仿宋_GB2312" w:eastAsia="仿宋_GB2312"/>
                <w:sz w:val="21"/>
                <w:b/>
              </w:rPr>
              <w:t>2、技术方案</w:t>
            </w:r>
          </w:p>
          <w:p>
            <w:pPr>
              <w:pStyle w:val="null3"/>
              <w:ind w:firstLine="567"/>
              <w:jc w:val="both"/>
            </w:pPr>
            <w:r>
              <w:rPr>
                <w:rFonts w:ascii="仿宋_GB2312" w:hAnsi="仿宋_GB2312" w:cs="仿宋_GB2312" w:eastAsia="仿宋_GB2312"/>
                <w:sz w:val="21"/>
              </w:rPr>
              <w:t>（</w:t>
            </w:r>
            <w:r>
              <w:rPr>
                <w:rFonts w:ascii="仿宋_GB2312" w:hAnsi="仿宋_GB2312" w:cs="仿宋_GB2312" w:eastAsia="仿宋_GB2312"/>
                <w:sz w:val="21"/>
              </w:rPr>
              <w:t>1）绿化</w:t>
            </w:r>
            <w:r>
              <w:rPr>
                <w:rFonts w:ascii="仿宋_GB2312" w:hAnsi="仿宋_GB2312" w:cs="仿宋_GB2312" w:eastAsia="仿宋_GB2312"/>
                <w:sz w:val="21"/>
              </w:rPr>
              <w:t>模式设计</w:t>
            </w:r>
          </w:p>
          <w:p>
            <w:pPr>
              <w:pStyle w:val="null3"/>
              <w:ind w:firstLine="640"/>
              <w:jc w:val="both"/>
            </w:pPr>
            <w:r>
              <w:rPr>
                <w:rFonts w:ascii="仿宋_GB2312" w:hAnsi="仿宋_GB2312" w:cs="仿宋_GB2312" w:eastAsia="仿宋_GB2312"/>
                <w:sz w:val="21"/>
              </w:rPr>
              <w:t>根据</w:t>
            </w:r>
            <w:r>
              <w:rPr>
                <w:rFonts w:ascii="仿宋_GB2312" w:hAnsi="仿宋_GB2312" w:cs="仿宋_GB2312" w:eastAsia="仿宋_GB2312"/>
                <w:sz w:val="21"/>
              </w:rPr>
              <w:t>实地调查，绿化区域位于五龙洞村三佛寺至</w:t>
            </w:r>
            <w:r>
              <w:rPr>
                <w:rFonts w:ascii="仿宋_GB2312" w:hAnsi="仿宋_GB2312" w:cs="仿宋_GB2312" w:eastAsia="仿宋_GB2312"/>
                <w:sz w:val="21"/>
              </w:rPr>
              <w:t>马家河坝</w:t>
            </w:r>
            <w:r>
              <w:rPr>
                <w:rFonts w:ascii="仿宋_GB2312" w:hAnsi="仿宋_GB2312" w:cs="仿宋_GB2312" w:eastAsia="仿宋_GB2312"/>
                <w:sz w:val="21"/>
              </w:rPr>
              <w:t>公路两旁边角地和空旷区域，采取高山杜鹃栽植，打造高山杜鹃绿化带</w:t>
            </w:r>
            <w:r>
              <w:rPr>
                <w:rFonts w:ascii="仿宋_GB2312" w:hAnsi="仿宋_GB2312" w:cs="仿宋_GB2312" w:eastAsia="仿宋_GB2312"/>
                <w:sz w:val="21"/>
              </w:rPr>
              <w:t>6000米，栽植高山杜鹃2200</w:t>
            </w:r>
            <w:r>
              <w:rPr>
                <w:rFonts w:ascii="仿宋_GB2312" w:hAnsi="仿宋_GB2312" w:cs="仿宋_GB2312" w:eastAsia="仿宋_GB2312"/>
                <w:sz w:val="21"/>
              </w:rPr>
              <w:t>株</w:t>
            </w:r>
            <w:r>
              <w:rPr>
                <w:rFonts w:ascii="仿宋_GB2312" w:hAnsi="仿宋_GB2312" w:cs="仿宋_GB2312" w:eastAsia="仿宋_GB2312"/>
                <w:sz w:val="21"/>
              </w:rPr>
              <w:t>。</w:t>
            </w:r>
            <w:r>
              <w:rPr>
                <w:rFonts w:ascii="仿宋_GB2312" w:hAnsi="仿宋_GB2312" w:cs="仿宋_GB2312" w:eastAsia="仿宋_GB2312"/>
                <w:sz w:val="21"/>
              </w:rPr>
              <w:t>依据地形在公路边用路边空地栽植高山杜鹃（密度</w:t>
            </w:r>
            <w:r>
              <w:rPr>
                <w:rFonts w:ascii="仿宋_GB2312" w:hAnsi="仿宋_GB2312" w:cs="仿宋_GB2312" w:eastAsia="仿宋_GB2312"/>
                <w:sz w:val="21"/>
              </w:rPr>
              <w:t>4</w:t>
            </w:r>
            <w:r>
              <w:rPr>
                <w:rFonts w:ascii="仿宋_GB2312" w:hAnsi="仿宋_GB2312" w:cs="仿宋_GB2312" w:eastAsia="仿宋_GB2312"/>
                <w:sz w:val="21"/>
              </w:rPr>
              <w:t>*4</w:t>
            </w:r>
            <w:r>
              <w:rPr>
                <w:rFonts w:ascii="仿宋_GB2312" w:hAnsi="仿宋_GB2312" w:cs="仿宋_GB2312" w:eastAsia="仿宋_GB2312"/>
                <w:sz w:val="21"/>
              </w:rPr>
              <w:t>米）。</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整地方式：整地方法按照因地制宜的原则，主要采用</w:t>
            </w:r>
            <w:r>
              <w:rPr>
                <w:rFonts w:ascii="仿宋_GB2312" w:hAnsi="仿宋_GB2312" w:cs="仿宋_GB2312" w:eastAsia="仿宋_GB2312"/>
                <w:sz w:val="21"/>
              </w:rPr>
              <w:t>机械或人工挖</w:t>
            </w:r>
            <w:r>
              <w:rPr>
                <w:rFonts w:ascii="仿宋_GB2312" w:hAnsi="仿宋_GB2312" w:cs="仿宋_GB2312" w:eastAsia="仿宋_GB2312"/>
                <w:sz w:val="21"/>
              </w:rPr>
              <w:t>穴，</w:t>
            </w:r>
            <w:r>
              <w:rPr>
                <w:rFonts w:ascii="仿宋_GB2312" w:hAnsi="仿宋_GB2312" w:cs="仿宋_GB2312" w:eastAsia="仿宋_GB2312"/>
                <w:sz w:val="21"/>
              </w:rPr>
              <w:t>规格至少在</w:t>
            </w:r>
            <w:r>
              <w:rPr>
                <w:rFonts w:ascii="仿宋_GB2312" w:hAnsi="仿宋_GB2312" w:cs="仿宋_GB2312" w:eastAsia="仿宋_GB2312"/>
                <w:sz w:val="21"/>
              </w:rPr>
              <w:t>50*50*50cm以上，公里两旁和林区空旷地带绿化区域整地根据地形决定绿化面积，栽植区土层厚度不低于50cm，</w:t>
            </w:r>
            <w:r>
              <w:rPr>
                <w:rFonts w:ascii="仿宋_GB2312" w:hAnsi="仿宋_GB2312" w:cs="仿宋_GB2312" w:eastAsia="仿宋_GB2312"/>
                <w:sz w:val="21"/>
              </w:rPr>
              <w:t>石质地带绿化需换</w:t>
            </w:r>
            <w:r>
              <w:rPr>
                <w:rFonts w:ascii="仿宋_GB2312" w:hAnsi="仿宋_GB2312" w:cs="仿宋_GB2312" w:eastAsia="仿宋_GB2312"/>
                <w:sz w:val="21"/>
              </w:rPr>
              <w:t>腐殖</w:t>
            </w:r>
            <w:r>
              <w:rPr>
                <w:rFonts w:ascii="仿宋_GB2312" w:hAnsi="仿宋_GB2312" w:cs="仿宋_GB2312" w:eastAsia="仿宋_GB2312"/>
                <w:sz w:val="21"/>
              </w:rPr>
              <w:t>土，</w:t>
            </w:r>
            <w:r>
              <w:rPr>
                <w:rFonts w:ascii="仿宋_GB2312" w:hAnsi="仿宋_GB2312" w:cs="仿宋_GB2312" w:eastAsia="仿宋_GB2312"/>
                <w:sz w:val="21"/>
              </w:rPr>
              <w:t>要对原生植被进行必要保护，以防止造成新的水土流失。</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）植苗</w:t>
            </w:r>
            <w:r>
              <w:rPr>
                <w:rFonts w:ascii="仿宋_GB2312" w:hAnsi="仿宋_GB2312" w:cs="仿宋_GB2312" w:eastAsia="仿宋_GB2312"/>
                <w:sz w:val="21"/>
              </w:rPr>
              <w:t>：栽植时根系舒展，不可窝根或露根，覆土高度稍高于苗木根颈</w:t>
            </w:r>
            <w:r>
              <w:rPr>
                <w:rFonts w:ascii="仿宋_GB2312" w:hAnsi="仿宋_GB2312" w:cs="仿宋_GB2312" w:eastAsia="仿宋_GB2312"/>
                <w:sz w:val="21"/>
              </w:rPr>
              <w:t>10</w:t>
            </w:r>
            <w:r>
              <w:rPr>
                <w:rFonts w:ascii="仿宋_GB2312" w:hAnsi="仿宋_GB2312" w:cs="仿宋_GB2312" w:eastAsia="仿宋_GB2312"/>
                <w:sz w:val="21"/>
              </w:rPr>
              <w:t>cm为宜，分层覆土踩实</w:t>
            </w:r>
            <w:r>
              <w:rPr>
                <w:rFonts w:ascii="仿宋_GB2312" w:hAnsi="仿宋_GB2312" w:cs="仿宋_GB2312" w:eastAsia="仿宋_GB2312"/>
                <w:sz w:val="21"/>
              </w:rPr>
              <w:t>，浇足底水，保持植穴周围土壤墒情。</w:t>
            </w:r>
            <w:r>
              <w:rPr>
                <w:rFonts w:ascii="仿宋_GB2312" w:hAnsi="仿宋_GB2312" w:cs="仿宋_GB2312" w:eastAsia="仿宋_GB2312"/>
                <w:sz w:val="21"/>
              </w:rPr>
              <w:t>保留</w:t>
            </w:r>
            <w:r>
              <w:rPr>
                <w:rFonts w:ascii="仿宋_GB2312" w:hAnsi="仿宋_GB2312" w:cs="仿宋_GB2312" w:eastAsia="仿宋_GB2312"/>
                <w:sz w:val="21"/>
              </w:rPr>
              <w:t>10-15cm左右深的坑，以利于蓄水保墒。栽植时要严格按照“三埋、二踩、一提苗”的程序</w:t>
            </w:r>
            <w:r>
              <w:rPr>
                <w:rFonts w:ascii="仿宋_GB2312" w:hAnsi="仿宋_GB2312" w:cs="仿宋_GB2312" w:eastAsia="仿宋_GB2312"/>
                <w:sz w:val="21"/>
              </w:rPr>
              <w:t>，苗木采用木杆固定；</w:t>
            </w:r>
            <w:r>
              <w:rPr>
                <w:rFonts w:ascii="仿宋_GB2312" w:hAnsi="仿宋_GB2312" w:cs="仿宋_GB2312" w:eastAsia="仿宋_GB2312"/>
                <w:sz w:val="21"/>
              </w:rPr>
              <w:t>在马兰花绿化过程中，挑选优良马兰花剪掉超长毛细根和残次根，保留根长</w:t>
            </w:r>
            <w:r>
              <w:rPr>
                <w:rFonts w:ascii="仿宋_GB2312" w:hAnsi="仿宋_GB2312" w:cs="仿宋_GB2312" w:eastAsia="仿宋_GB2312"/>
                <w:sz w:val="21"/>
              </w:rPr>
              <w:t>5公分左右，间距10</w:t>
            </w:r>
            <w:r>
              <w:rPr>
                <w:rFonts w:ascii="仿宋_GB2312" w:hAnsi="仿宋_GB2312" w:cs="仿宋_GB2312" w:eastAsia="仿宋_GB2312"/>
                <w:sz w:val="21"/>
              </w:rPr>
              <w:t>cm</w:t>
            </w:r>
            <w:r>
              <w:rPr>
                <w:rFonts w:ascii="仿宋_GB2312" w:hAnsi="仿宋_GB2312" w:cs="仿宋_GB2312" w:eastAsia="仿宋_GB2312"/>
                <w:sz w:val="21"/>
              </w:rPr>
              <w:t>*10</w:t>
            </w:r>
            <w:r>
              <w:rPr>
                <w:rFonts w:ascii="仿宋_GB2312" w:hAnsi="仿宋_GB2312" w:cs="仿宋_GB2312" w:eastAsia="仿宋_GB2312"/>
                <w:sz w:val="21"/>
              </w:rPr>
              <w:t>cm</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4）管护浇水</w:t>
            </w:r>
            <w:r>
              <w:rPr>
                <w:rFonts w:ascii="仿宋_GB2312" w:hAnsi="仿宋_GB2312" w:cs="仿宋_GB2312" w:eastAsia="仿宋_GB2312"/>
                <w:sz w:val="21"/>
              </w:rPr>
              <w:t>：</w:t>
            </w:r>
            <w:r>
              <w:rPr>
                <w:rFonts w:ascii="仿宋_GB2312" w:hAnsi="仿宋_GB2312" w:cs="仿宋_GB2312" w:eastAsia="仿宋_GB2312"/>
                <w:sz w:val="21"/>
              </w:rPr>
              <w:t>栽植</w:t>
            </w:r>
            <w:r>
              <w:rPr>
                <w:rFonts w:ascii="仿宋_GB2312" w:hAnsi="仿宋_GB2312" w:cs="仿宋_GB2312" w:eastAsia="仿宋_GB2312"/>
                <w:sz w:val="21"/>
              </w:rPr>
              <w:t>后实行全面</w:t>
            </w:r>
            <w:r>
              <w:rPr>
                <w:rFonts w:ascii="仿宋_GB2312" w:hAnsi="仿宋_GB2312" w:cs="仿宋_GB2312" w:eastAsia="仿宋_GB2312"/>
                <w:sz w:val="21"/>
              </w:rPr>
              <w:t>管护</w:t>
            </w:r>
            <w:r>
              <w:rPr>
                <w:rFonts w:ascii="仿宋_GB2312" w:hAnsi="仿宋_GB2312" w:cs="仿宋_GB2312" w:eastAsia="仿宋_GB2312"/>
                <w:sz w:val="21"/>
              </w:rPr>
              <w:t>，</w:t>
            </w:r>
            <w:r>
              <w:rPr>
                <w:rFonts w:ascii="仿宋_GB2312" w:hAnsi="仿宋_GB2312" w:cs="仿宋_GB2312" w:eastAsia="仿宋_GB2312"/>
                <w:sz w:val="21"/>
              </w:rPr>
              <w:t>管护内容</w:t>
            </w:r>
            <w:r>
              <w:rPr>
                <w:rFonts w:ascii="仿宋_GB2312" w:hAnsi="仿宋_GB2312" w:cs="仿宋_GB2312" w:eastAsia="仿宋_GB2312"/>
                <w:sz w:val="21"/>
              </w:rPr>
              <w:t>包括：</w:t>
            </w:r>
            <w:r>
              <w:rPr>
                <w:rFonts w:ascii="仿宋_GB2312" w:hAnsi="仿宋_GB2312" w:cs="仿宋_GB2312" w:eastAsia="仿宋_GB2312"/>
                <w:sz w:val="21"/>
              </w:rPr>
              <w:t>修剪、浇水、</w:t>
            </w:r>
            <w:r>
              <w:rPr>
                <w:rFonts w:ascii="仿宋_GB2312" w:hAnsi="仿宋_GB2312" w:cs="仿宋_GB2312" w:eastAsia="仿宋_GB2312"/>
                <w:sz w:val="21"/>
              </w:rPr>
              <w:t>穴内除草，除萌、松土</w:t>
            </w:r>
            <w:r>
              <w:rPr>
                <w:rFonts w:ascii="仿宋_GB2312" w:hAnsi="仿宋_GB2312" w:cs="仿宋_GB2312" w:eastAsia="仿宋_GB2312"/>
                <w:sz w:val="21"/>
              </w:rPr>
              <w:t>、</w:t>
            </w:r>
            <w:r>
              <w:rPr>
                <w:rFonts w:ascii="仿宋_GB2312" w:hAnsi="仿宋_GB2312" w:cs="仿宋_GB2312" w:eastAsia="仿宋_GB2312"/>
                <w:sz w:val="21"/>
              </w:rPr>
              <w:t>整埂</w:t>
            </w:r>
            <w:r>
              <w:rPr>
                <w:rFonts w:ascii="仿宋_GB2312" w:hAnsi="仿宋_GB2312" w:cs="仿宋_GB2312" w:eastAsia="仿宋_GB2312"/>
                <w:sz w:val="21"/>
              </w:rPr>
              <w:t>、</w:t>
            </w:r>
            <w:r>
              <w:rPr>
                <w:rFonts w:ascii="仿宋_GB2312" w:hAnsi="仿宋_GB2312" w:cs="仿宋_GB2312" w:eastAsia="仿宋_GB2312"/>
                <w:sz w:val="21"/>
              </w:rPr>
              <w:t>培土，病虫害防治</w:t>
            </w:r>
            <w:r>
              <w:rPr>
                <w:rFonts w:ascii="仿宋_GB2312" w:hAnsi="仿宋_GB2312" w:cs="仿宋_GB2312" w:eastAsia="仿宋_GB2312"/>
                <w:sz w:val="21"/>
              </w:rPr>
              <w:t>及浇足种植定根水后根据天气情况在春季或夏季再浇</w:t>
            </w:r>
            <w:r>
              <w:rPr>
                <w:rFonts w:ascii="仿宋_GB2312" w:hAnsi="仿宋_GB2312" w:cs="仿宋_GB2312" w:eastAsia="仿宋_GB2312"/>
                <w:sz w:val="21"/>
              </w:rPr>
              <w:t>2次水</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成活率、保存率的调查</w:t>
            </w:r>
          </w:p>
          <w:p>
            <w:pPr>
              <w:pStyle w:val="null3"/>
              <w:ind w:firstLine="640"/>
              <w:jc w:val="both"/>
            </w:pPr>
            <w:r>
              <w:rPr>
                <w:rFonts w:ascii="仿宋_GB2312" w:hAnsi="仿宋_GB2312" w:cs="仿宋_GB2312" w:eastAsia="仿宋_GB2312"/>
                <w:sz w:val="21"/>
              </w:rPr>
              <w:t>成活率调查应在经过一个生长季节后进行，</w:t>
            </w:r>
            <w:r>
              <w:rPr>
                <w:rFonts w:ascii="仿宋_GB2312" w:hAnsi="仿宋_GB2312" w:cs="仿宋_GB2312" w:eastAsia="仿宋_GB2312"/>
                <w:sz w:val="21"/>
              </w:rPr>
              <w:t>春季绿化造林成活率调查时间为当年秋季进行，秋</w:t>
            </w:r>
            <w:r>
              <w:rPr>
                <w:rFonts w:ascii="仿宋_GB2312" w:hAnsi="仿宋_GB2312" w:cs="仿宋_GB2312" w:eastAsia="仿宋_GB2312"/>
                <w:sz w:val="21"/>
              </w:rPr>
              <w:t>季</w:t>
            </w:r>
            <w:r>
              <w:rPr>
                <w:rFonts w:ascii="仿宋_GB2312" w:hAnsi="仿宋_GB2312" w:cs="仿宋_GB2312" w:eastAsia="仿宋_GB2312"/>
                <w:sz w:val="21"/>
              </w:rPr>
              <w:t>绿化</w:t>
            </w:r>
            <w:r>
              <w:rPr>
                <w:rFonts w:ascii="仿宋_GB2312" w:hAnsi="仿宋_GB2312" w:cs="仿宋_GB2312" w:eastAsia="仿宋_GB2312"/>
                <w:sz w:val="21"/>
              </w:rPr>
              <w:t>造林成活率调查时间在</w:t>
            </w:r>
            <w:r>
              <w:rPr>
                <w:rFonts w:ascii="仿宋_GB2312" w:hAnsi="仿宋_GB2312" w:cs="仿宋_GB2312" w:eastAsia="仿宋_GB2312"/>
                <w:sz w:val="21"/>
              </w:rPr>
              <w:t>第二年春</w:t>
            </w:r>
            <w:r>
              <w:rPr>
                <w:rFonts w:ascii="仿宋_GB2312" w:hAnsi="仿宋_GB2312" w:cs="仿宋_GB2312" w:eastAsia="仿宋_GB2312"/>
                <w:sz w:val="21"/>
              </w:rPr>
              <w:t>季进行。调查方法是</w:t>
            </w:r>
            <w:r>
              <w:rPr>
                <w:rFonts w:ascii="仿宋_GB2312" w:hAnsi="仿宋_GB2312" w:cs="仿宋_GB2312" w:eastAsia="仿宋_GB2312"/>
                <w:sz w:val="21"/>
              </w:rPr>
              <w:t>统计栽植区域内所有栽植数量和成活数量</w:t>
            </w:r>
            <w:r>
              <w:rPr>
                <w:rFonts w:ascii="仿宋_GB2312" w:hAnsi="仿宋_GB2312" w:cs="仿宋_GB2312" w:eastAsia="仿宋_GB2312"/>
                <w:sz w:val="21"/>
              </w:rPr>
              <w:t>，分别计数成活与死亡株数。调查结果分别按成活率</w:t>
            </w:r>
            <w:r>
              <w:rPr>
                <w:rFonts w:ascii="仿宋_GB2312" w:hAnsi="仿宋_GB2312" w:cs="仿宋_GB2312" w:eastAsia="仿宋_GB2312"/>
                <w:sz w:val="21"/>
              </w:rPr>
              <w:t>85%以上、41—84%、41%以下三等级统计。成活率在41%以下的（造林失败地）必须重新</w:t>
            </w:r>
            <w:r>
              <w:rPr>
                <w:rFonts w:ascii="仿宋_GB2312" w:hAnsi="仿宋_GB2312" w:cs="仿宋_GB2312" w:eastAsia="仿宋_GB2312"/>
                <w:sz w:val="21"/>
              </w:rPr>
              <w:t>栽植</w:t>
            </w:r>
            <w:r>
              <w:rPr>
                <w:rFonts w:ascii="仿宋_GB2312" w:hAnsi="仿宋_GB2312" w:cs="仿宋_GB2312" w:eastAsia="仿宋_GB2312"/>
                <w:sz w:val="21"/>
              </w:rPr>
              <w:t>，成活率在</w:t>
            </w:r>
            <w:r>
              <w:rPr>
                <w:rFonts w:ascii="仿宋_GB2312" w:hAnsi="仿宋_GB2312" w:cs="仿宋_GB2312" w:eastAsia="仿宋_GB2312"/>
                <w:sz w:val="21"/>
              </w:rPr>
              <w:t>41—84%的按初植密度进行</w:t>
            </w:r>
            <w:r>
              <w:rPr>
                <w:rFonts w:ascii="仿宋_GB2312" w:hAnsi="仿宋_GB2312" w:cs="仿宋_GB2312" w:eastAsia="仿宋_GB2312"/>
                <w:sz w:val="21"/>
              </w:rPr>
              <w:t>补植</w:t>
            </w:r>
            <w:r>
              <w:rPr>
                <w:rFonts w:ascii="仿宋_GB2312" w:hAnsi="仿宋_GB2312" w:cs="仿宋_GB2312" w:eastAsia="仿宋_GB2312"/>
                <w:sz w:val="21"/>
              </w:rPr>
              <w:t>。</w:t>
            </w:r>
          </w:p>
          <w:p>
            <w:pPr>
              <w:pStyle w:val="null3"/>
              <w:ind w:left="-45" w:firstLine="640"/>
              <w:jc w:val="both"/>
            </w:pPr>
            <w:r>
              <w:rPr>
                <w:rFonts w:ascii="仿宋_GB2312" w:hAnsi="仿宋_GB2312" w:cs="仿宋_GB2312" w:eastAsia="仿宋_GB2312"/>
                <w:sz w:val="21"/>
              </w:rPr>
              <w:t>3、</w:t>
            </w:r>
            <w:r>
              <w:rPr>
                <w:rFonts w:ascii="仿宋_GB2312" w:hAnsi="仿宋_GB2312" w:cs="仿宋_GB2312" w:eastAsia="仿宋_GB2312"/>
                <w:sz w:val="21"/>
                <w:b/>
              </w:rPr>
              <w:t>苗木质量要求</w:t>
            </w:r>
          </w:p>
          <w:p>
            <w:pPr>
              <w:pStyle w:val="null3"/>
              <w:ind w:firstLine="567"/>
              <w:jc w:val="both"/>
            </w:pPr>
            <w:r>
              <w:rPr>
                <w:rFonts w:ascii="仿宋_GB2312" w:hAnsi="仿宋_GB2312" w:cs="仿宋_GB2312" w:eastAsia="仿宋_GB2312"/>
                <w:sz w:val="21"/>
              </w:rPr>
              <w:t>绿化造林苗木全部为合格苗木，必须有</w:t>
            </w:r>
            <w:r>
              <w:rPr>
                <w:rFonts w:ascii="仿宋_GB2312" w:hAnsi="仿宋_GB2312" w:cs="仿宋_GB2312" w:eastAsia="仿宋_GB2312"/>
                <w:sz w:val="21"/>
              </w:rPr>
              <w:t>“三证一签”，严</w:t>
            </w:r>
          </w:p>
          <w:p>
            <w:pPr>
              <w:pStyle w:val="null3"/>
              <w:ind w:firstLine="567"/>
              <w:jc w:val="both"/>
            </w:pPr>
            <w:r>
              <w:rPr>
                <w:rFonts w:ascii="仿宋_GB2312" w:hAnsi="仿宋_GB2312" w:cs="仿宋_GB2312" w:eastAsia="仿宋_GB2312"/>
                <w:sz w:val="21"/>
              </w:rPr>
              <w:t>禁使用劣质苗、病虫苗、伤残苗。</w:t>
            </w:r>
            <w:r>
              <w:rPr>
                <w:rFonts w:ascii="仿宋_GB2312" w:hAnsi="仿宋_GB2312" w:cs="仿宋_GB2312" w:eastAsia="仿宋_GB2312"/>
                <w:sz w:val="21"/>
              </w:rPr>
              <w:t>苗木调拨时必须严格执行《全国主要造林树种苗木质量分级标准》</w:t>
            </w:r>
            <w:r>
              <w:rPr>
                <w:rFonts w:ascii="仿宋_GB2312" w:hAnsi="仿宋_GB2312" w:cs="仿宋_GB2312" w:eastAsia="仿宋_GB2312"/>
                <w:sz w:val="21"/>
              </w:rPr>
              <w:t>GB 6000-1999</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4</w:t>
            </w:r>
            <w:r>
              <w:rPr>
                <w:rFonts w:ascii="仿宋_GB2312" w:hAnsi="仿宋_GB2312" w:cs="仿宋_GB2312" w:eastAsia="仿宋_GB2312"/>
                <w:sz w:val="21"/>
                <w:b/>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473"/>
              <w:gridCol w:w="793"/>
              <w:gridCol w:w="673"/>
              <w:gridCol w:w="1244"/>
            </w:tblGrid>
            <w:tr>
              <w:tc>
                <w:tcPr>
                  <w:tcW w:type="dxa" w:w="4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序号</w:t>
                  </w:r>
                </w:p>
              </w:tc>
              <w:tc>
                <w:tcPr>
                  <w:tcW w:type="dxa" w:w="79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建设内容</w:t>
                  </w:r>
                </w:p>
              </w:tc>
              <w:tc>
                <w:tcPr>
                  <w:tcW w:type="dxa" w:w="6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单位</w:t>
                  </w:r>
                </w:p>
              </w:tc>
              <w:tc>
                <w:tcPr>
                  <w:tcW w:type="dxa" w:w="124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数量</w:t>
                  </w:r>
                </w:p>
              </w:tc>
            </w:tr>
            <w:tr>
              <w:tc>
                <w:tcPr>
                  <w:tcW w:type="dxa" w:w="4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1</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种苗</w:t>
                  </w:r>
                </w:p>
              </w:tc>
              <w:tc>
                <w:tcPr>
                  <w:tcW w:type="dxa" w:w="6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2200</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株</w:t>
                  </w:r>
                </w:p>
              </w:tc>
            </w:tr>
            <w:tr>
              <w:tc>
                <w:tcPr>
                  <w:tcW w:type="dxa" w:w="4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2</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人工</w:t>
                  </w:r>
                </w:p>
              </w:tc>
              <w:tc>
                <w:tcPr>
                  <w:tcW w:type="dxa" w:w="6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3</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机械</w:t>
                  </w:r>
                </w:p>
              </w:tc>
              <w:tc>
                <w:tcPr>
                  <w:tcW w:type="dxa" w:w="6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4</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67"/>
                    <w:jc w:val="center"/>
                  </w:pPr>
                  <w:r>
                    <w:rPr>
                      <w:rFonts w:ascii="仿宋_GB2312" w:hAnsi="仿宋_GB2312" w:cs="仿宋_GB2312" w:eastAsia="仿宋_GB2312"/>
                      <w:sz w:val="21"/>
                    </w:rPr>
                    <w:t>物料</w:t>
                  </w:r>
                </w:p>
              </w:tc>
              <w:tc>
                <w:tcPr>
                  <w:tcW w:type="dxa" w:w="6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124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详⻅评审要求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详⻅评审要求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合同签订后⾄2026年11⽉30⽇前完⼯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进度款，项⽬进度达到70%，达到付款条件起15个工作日内，支付合同总金额的40.0%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成本补偿，项⽬竣⼯验收合格后，达到付款条件起15个工作日内，支付合同总金额的30.0%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1.因本项⽬为不⻅⾯开标，供应商⽆需在开标现场提交纸质响应⽂件，待采购结果发布后3个⼯作⽇内成交供应商向代理 机构提交纸质版响应⽂件以便于存档，响应⽂件包括:正本壹份、副本壹份，电⼦版U盘壹份(含响应⽂件全部内容)。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供应商应具有独⽴承担⺠事责任的能⼒的企业法⼈、事业法⼈、其他组织或者⾃然⼈,企业法⼈应提 供营业执照等证明⽂件;事业法⼈应提供事业单位法⼈证、组织机构代码证等证明⽂件(或统⼀社会信 ⽤代码的事业单位法⼈证)等证明⽂件;其他组织应提供合法证明⽂件;⾃然⼈提供⾝份证明⽂件。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法定代表⼈或被授权委托代理⼈⾝份证</w:t>
            </w:r>
          </w:p>
        </w:tc>
        <w:tc>
          <w:tcPr>
            <w:tcW w:type="dxa" w:w="3322"/>
          </w:tcPr>
          <w:p>
            <w:pPr>
              <w:pStyle w:val="null3"/>
            </w:pPr>
            <w:r>
              <w:rPr>
                <w:rFonts w:ascii="仿宋_GB2312" w:hAnsi="仿宋_GB2312" w:cs="仿宋_GB2312" w:eastAsia="仿宋_GB2312"/>
              </w:rPr>
              <w:t>法定代表⼈直接参加磋商的，须出具法⼈⾝份证(附法定代表⼈⾝份证复印件);法定代表⼈授权代表 参加磋商的，须出具法定代表⼈授权书及授权代表⾝份证(附法定代表⼈⾝份证复印件及被授权⼈⾝ 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企业资格要求</w:t>
            </w:r>
          </w:p>
        </w:tc>
        <w:tc>
          <w:tcPr>
            <w:tcW w:type="dxa" w:w="3322"/>
          </w:tcPr>
          <w:p>
            <w:pPr>
              <w:pStyle w:val="null3"/>
            </w:pPr>
            <w:r>
              <w:rPr>
                <w:rFonts w:ascii="仿宋_GB2312" w:hAnsi="仿宋_GB2312" w:cs="仿宋_GB2312" w:eastAsia="仿宋_GB2312"/>
              </w:rPr>
              <w:t>供应商须提供相关部门颁发的《林草种子生产经营许可证》或《林木种子生产经营许可证》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 收和社会保障资⾦的良好记录，以及参加本项⽬采购活动前三年内在经营活动中⽆重⼤违法活动记 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本项⽬专⻔⾯向中⼩企业采购（提供中⼩企业声明函）</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本项⽬不接受联合体磋商（提供⾮联合体声明）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应符合磋商⽂件的规定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应满⾜磋商⽂件的要求</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供货及实施方案</w:t>
            </w:r>
          </w:p>
        </w:tc>
        <w:tc>
          <w:tcPr>
            <w:tcW w:type="dxa" w:w="2492"/>
          </w:tcPr>
          <w:p>
            <w:pPr>
              <w:pStyle w:val="null3"/>
            </w:pPr>
            <w:r>
              <w:rPr>
                <w:rFonts w:ascii="仿宋_GB2312" w:hAnsi="仿宋_GB2312" w:cs="仿宋_GB2312" w:eastAsia="仿宋_GB2312"/>
              </w:rPr>
              <w:t>包含但不限于苗木储备方案、货源保障措施、配送运输方案、施工人员安排、运输车辆调配、运输时效管控、现场货物交接、验货落地保障等】 ① 内容详细、完整、合理、可行，计10分； ② 内容明确且基本完整，合理、可行，计8分； ③ 内容明确但不完整，有一定合理性及可行性，计6分； ④ 内容明确但不完整，合理性及可行性不足，计3分；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整体绿化栽植布局方案</w:t>
            </w:r>
          </w:p>
        </w:tc>
        <w:tc>
          <w:tcPr>
            <w:tcW w:type="dxa" w:w="2492"/>
          </w:tcPr>
          <w:p>
            <w:pPr>
              <w:pStyle w:val="null3"/>
            </w:pPr>
            <w:r>
              <w:rPr>
                <w:rFonts w:ascii="仿宋_GB2312" w:hAnsi="仿宋_GB2312" w:cs="仿宋_GB2312" w:eastAsia="仿宋_GB2312"/>
              </w:rPr>
              <w:t>包含但不限于树种栽植布置、沿线景观搭配、栽植整体规划、现场布局适配性、整体绿化效果规划等 ① 内容详细、完整、合理、可行，计10分； ② 内容明确且基本完整，合理、可行，计8分； ③ 内容明确但不完整，有一定合理性及可行性，计6分； ④ 内容明确但不完整，合理性及可行性不足，计3分；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现场踏勘及总体施工规划</w:t>
            </w:r>
          </w:p>
        </w:tc>
        <w:tc>
          <w:tcPr>
            <w:tcW w:type="dxa" w:w="2492"/>
          </w:tcPr>
          <w:p>
            <w:pPr>
              <w:pStyle w:val="null3"/>
            </w:pPr>
            <w:r>
              <w:rPr>
                <w:rFonts w:ascii="仿宋_GB2312" w:hAnsi="仿宋_GB2312" w:cs="仿宋_GB2312" w:eastAsia="仿宋_GB2312"/>
              </w:rPr>
              <w:t>包含但不限于项目施工范围认知、场地难点分析、总体施工思路、施工总体部署、现场统筹安排等 ① 内容详细、完整、合理、可行，计10分； ② 内容明确且基本完整，合理、可行，计8分； ③ 内容明确但不完整，有一定合理性及可行性，计6分； ④ 内容明确但不完整，合理性及可行性不足，计3分；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场地整地施工方案</w:t>
            </w:r>
          </w:p>
        </w:tc>
        <w:tc>
          <w:tcPr>
            <w:tcW w:type="dxa" w:w="2492"/>
          </w:tcPr>
          <w:p>
            <w:pPr>
              <w:pStyle w:val="null3"/>
            </w:pPr>
            <w:r>
              <w:rPr>
                <w:rFonts w:ascii="仿宋_GB2312" w:hAnsi="仿宋_GB2312" w:cs="仿宋_GB2312" w:eastAsia="仿宋_GB2312"/>
              </w:rPr>
              <w:t>包含但不限于场地清理、挖穴整地、土壤改良、地形适配施工、原生植被保护、水土保持措施、石质地块处理、场地平整措施等 ① 内容详细、完整、合理、可行，计10分； ② 内容明确且基本完整，合理、可行，计8分； ③ 内容明确但不完整，有一定合理性及可行性，计6分； ④ 内容明确但不完整，合理性及可行性不足，计3分；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苗木栽植施工工艺</w:t>
            </w:r>
          </w:p>
        </w:tc>
        <w:tc>
          <w:tcPr>
            <w:tcW w:type="dxa" w:w="2492"/>
          </w:tcPr>
          <w:p>
            <w:pPr>
              <w:pStyle w:val="null3"/>
            </w:pPr>
            <w:r>
              <w:rPr>
                <w:rFonts w:ascii="仿宋_GB2312" w:hAnsi="仿宋_GB2312" w:cs="仿宋_GB2312" w:eastAsia="仿宋_GB2312"/>
              </w:rPr>
              <w:t>包含但不限于苗木定植工艺、根系处理、覆土压实、提苗栽植、苗木扶正固定、栽植标准化流程等 ① 内容详细、完整、合理、可行，计6分； ② 内容明确且基本完整，合理、可行，计4分； ③ 内容明确但不完整，有一定合理性及可行性，计3分； ④ 内容明确但不完整，合理性及可行性不足，计2分；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后期养护浇水及管护方案</w:t>
            </w:r>
          </w:p>
        </w:tc>
        <w:tc>
          <w:tcPr>
            <w:tcW w:type="dxa" w:w="2492"/>
          </w:tcPr>
          <w:p>
            <w:pPr>
              <w:pStyle w:val="null3"/>
            </w:pPr>
            <w:r>
              <w:rPr>
                <w:rFonts w:ascii="仿宋_GB2312" w:hAnsi="仿宋_GB2312" w:cs="仿宋_GB2312" w:eastAsia="仿宋_GB2312"/>
              </w:rPr>
              <w:t>包含但不限于苗木浇水养护、日常松土除草、修枝整形、除萌培土、病虫害防治、季节性养护、日常巡护管理等 ① 内容详细、完整、合理、可行，计5分； ② 内容明确且基本完整，合理、可行，计4分； ③ 内容明确但不完整，有一定合理性及可行性，计3分； ④ 内容明确但不完整，合理性及可行性不足，计2分；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苗木资质与质量管控</w:t>
            </w:r>
          </w:p>
        </w:tc>
        <w:tc>
          <w:tcPr>
            <w:tcW w:type="dxa" w:w="2492"/>
          </w:tcPr>
          <w:p>
            <w:pPr>
              <w:pStyle w:val="null3"/>
            </w:pPr>
            <w:r>
              <w:rPr>
                <w:rFonts w:ascii="仿宋_GB2312" w:hAnsi="仿宋_GB2312" w:cs="仿宋_GB2312" w:eastAsia="仿宋_GB2312"/>
              </w:rPr>
              <w:t>包含苗木选材标准、苗木质量筛选、病虫害苗管控、苗木分级标准、质量全过程管控措施等 ① 内容详细、完整、合理、可行，计8分； ② 内容明确且基本完整，合理、可行，计6分； ③ 内容明确但不完整，有一定合理性及可行性，计4分； ④ 内容明确但不完整，合理性及可行性不足，计2分；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苗木进场验收保障</w:t>
            </w:r>
          </w:p>
        </w:tc>
        <w:tc>
          <w:tcPr>
            <w:tcW w:type="dxa" w:w="2492"/>
          </w:tcPr>
          <w:p>
            <w:pPr>
              <w:pStyle w:val="null3"/>
            </w:pPr>
            <w:r>
              <w:rPr>
                <w:rFonts w:ascii="仿宋_GB2312" w:hAnsi="仿宋_GB2312" w:cs="仿宋_GB2312" w:eastAsia="仿宋_GB2312"/>
              </w:rPr>
              <w:t>包含但不限于苗木进场查验流程、现场抽检方式、不合格苗木处理、苗木进场管控、验收管理制度、质量溯源保障等 ① 内容详细、完整、合理、可行，计7分； ② 内容明确且基本完整，合理、可行，计5分； ③ 内容明确但不完整，有一定合理性及可行性，计4分； ④ 内容明确但不完整，合理性及可行性不足，计2分；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施工人员及设备配置</w:t>
            </w:r>
          </w:p>
        </w:tc>
        <w:tc>
          <w:tcPr>
            <w:tcW w:type="dxa" w:w="2492"/>
          </w:tcPr>
          <w:p>
            <w:pPr>
              <w:pStyle w:val="null3"/>
            </w:pPr>
            <w:r>
              <w:rPr>
                <w:rFonts w:ascii="仿宋_GB2312" w:hAnsi="仿宋_GB2312" w:cs="仿宋_GB2312" w:eastAsia="仿宋_GB2312"/>
              </w:rPr>
              <w:t>包含但不限于施工班组配置、岗位职责分工、施工机械配置、养护设备配备、现场人员管理、设备保障措施等】 ① 内容详细、完整、合理、可行，计5分； ② 内容明确且基本完整，合理、可行，计4分； ③ 内容明确但不完整，有一定合理性及可行性，计3分； ④ 内容明确但不完整，合理性及可行性不足，计2分；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施工进度及工期保障</w:t>
            </w:r>
          </w:p>
        </w:tc>
        <w:tc>
          <w:tcPr>
            <w:tcW w:type="dxa" w:w="2492"/>
          </w:tcPr>
          <w:p>
            <w:pPr>
              <w:pStyle w:val="null3"/>
            </w:pPr>
            <w:r>
              <w:rPr>
                <w:rFonts w:ascii="仿宋_GB2312" w:hAnsi="仿宋_GB2312" w:cs="仿宋_GB2312" w:eastAsia="仿宋_GB2312"/>
              </w:rPr>
              <w:t>包含但不限于整体施工进度计划、分阶段施工安排、工期管控措施、进度纠偏方案、工期延误应急保障等】 ① 内容详细、完整、合理、可行，计5分； ② 内容明确且基本完整，合理、可行，计4分； ③ 内容明确但不完整，有一定合理性及可行性，计3分； ④ 内容明确但不完整，合理性及可行性不足，计2分； ⑤ 内容含糊且合理性及可行性不足，计1分； ⑥ 未提供有关内容的不计分。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售后质保及补植保障承诺</w:t>
            </w:r>
          </w:p>
        </w:tc>
        <w:tc>
          <w:tcPr>
            <w:tcW w:type="dxa" w:w="2492"/>
          </w:tcPr>
          <w:p>
            <w:pPr>
              <w:pStyle w:val="null3"/>
            </w:pPr>
            <w:r>
              <w:rPr>
                <w:rFonts w:ascii="仿宋_GB2312" w:hAnsi="仿宋_GB2312" w:cs="仿宋_GB2312" w:eastAsia="仿宋_GB2312"/>
              </w:rPr>
              <w:t>包含但不限于后期质保服务、成活率保障、苗木死亡补植措施的承诺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拟投⼊⼈员</w:t>
            </w:r>
          </w:p>
        </w:tc>
        <w:tc>
          <w:tcPr>
            <w:tcW w:type="dxa" w:w="2492"/>
          </w:tcPr>
          <w:p>
            <w:pPr>
              <w:pStyle w:val="null3"/>
            </w:pPr>
            <w:r>
              <w:rPr>
                <w:rFonts w:ascii="仿宋_GB2312" w:hAnsi="仿宋_GB2312" w:cs="仿宋_GB2312" w:eastAsia="仿宋_GB2312"/>
              </w:rPr>
              <w:t>项⽬负责⼈具有相关专业中级及以上职称的得 2分，其他不得分。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供应商提供近三年（2023年5⽉-⾄今）完成类似业绩证明材料，每提供1个业绩得1分，此项最⾼得2分；（注：以响应⽂件中提供的中标通知书及合同复印件为准）。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满⾜磋商⽂件要求且最后报价最低的供应商的价格为磋商基准价，其价格分为满分。其 他供应商的价格分统⼀按照下列公式计算：磋商报价得分=（磋商基准价/最后磋商报价 ）×价格权值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