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版本号：SXZH-2026-06220260513001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地铁宣传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SXZH-2026-062</w:t>
      </w:r>
      <w:r>
        <w:br/>
      </w:r>
      <w:r>
        <w:br/>
      </w:r>
      <w:r>
        <w:br/>
      </w:r>
    </w:p>
    <w:p>
      <w:pPr>
        <w:pStyle w:val="null3"/>
        <w:jc w:val="center"/>
        <w:outlineLvl w:val="2"/>
      </w:pPr>
      <w:r>
        <w:rPr>
          <w:rFonts w:ascii="仿宋_GB2312" w:hAnsi="仿宋_GB2312" w:cs="仿宋_GB2312" w:eastAsia="仿宋_GB2312"/>
          <w:sz w:val="28"/>
          <w:b/>
        </w:rPr>
        <w:t>西安市生活垃圾分类服务中心</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西安市生活垃圾分类服务中心</w:t>
      </w:r>
      <w:r>
        <w:rPr>
          <w:rFonts w:ascii="仿宋_GB2312" w:hAnsi="仿宋_GB2312" w:cs="仿宋_GB2312" w:eastAsia="仿宋_GB2312"/>
        </w:rPr>
        <w:t>委托，拟对</w:t>
      </w:r>
      <w:r>
        <w:rPr>
          <w:rFonts w:ascii="仿宋_GB2312" w:hAnsi="仿宋_GB2312" w:cs="仿宋_GB2312" w:eastAsia="仿宋_GB2312"/>
        </w:rPr>
        <w:t>地铁宣传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SXZH-2026-062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地铁宣传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垃圾分类主题地铁专列打造及宣传。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采购包1（地铁宣传）：属于专门面向中小企业采购。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西安市生活垃圾分类服务中心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西安市莲湖区太白北路320号华弘大厦4楼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029-89381575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17392900503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招标代理服务收费管理暂行办法》（计价格【2002】1980号）及《关于降低部分建设项目收费标准规范收费行为等有关问题的通知》（发改价格[2011]534号）规定按标准下浮5%收取。 2、采购代理服务费可以采取现金、支票、银行汇票、电汇、网银等方式缴纳。 3、招标代理服务费缴纳信息： 银行户名：陕西筑辉工程咨询有限公司 开户银行：北京银行股份有限公司西安经济技术开发区支行 账 号：20000041418600030109571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西安市生活垃圾分类服务中心</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西安市生活垃圾分类服务中心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西安市生活垃圾分类服务中心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联系人：孙誉</w:t>
      </w:r>
    </w:p>
    <w:p>
      <w:pPr>
        <w:pStyle w:val="null3"/>
      </w:pPr>
      <w:r>
        <w:rPr>
          <w:rFonts w:ascii="仿宋_GB2312" w:hAnsi="仿宋_GB2312" w:cs="仿宋_GB2312" w:eastAsia="仿宋_GB2312"/>
        </w:rPr>
        <w:t>联系电话：17392900503</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垃圾分类主题地铁专列打造及宣传。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884,000.00</w:t>
      </w:r>
    </w:p>
    <w:p>
      <w:pPr>
        <w:pStyle w:val="null3"/>
      </w:pPr>
      <w:r>
        <w:rPr>
          <w:rFonts w:ascii="仿宋_GB2312" w:hAnsi="仿宋_GB2312" w:cs="仿宋_GB2312" w:eastAsia="仿宋_GB2312"/>
        </w:rPr>
        <w:t>采购包最高限价（元）: 884,000.00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地铁宣传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标的名称：地铁宣传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在全市选取</w:t>
            </w:r>
            <w:r>
              <w:rPr>
                <w:rFonts w:ascii="仿宋_GB2312" w:hAnsi="仿宋_GB2312" w:cs="仿宋_GB2312" w:eastAsia="仿宋_GB2312"/>
              </w:rPr>
              <w:t>2</w:t>
            </w:r>
            <w:r>
              <w:rPr>
                <w:rFonts w:ascii="仿宋_GB2312" w:hAnsi="仿宋_GB2312" w:cs="仿宋_GB2312" w:eastAsia="仿宋_GB2312"/>
              </w:rPr>
              <w:t>列以上（含）地铁线路（四号线与任意一条人流量较大的线路）地铁进行整车宣传，包含但不限于：窗楣、看板、立面贴、门贴、侧椅贴、玻璃贴等，有效投放周期</w:t>
            </w:r>
            <w:r>
              <w:rPr>
                <w:rFonts w:ascii="仿宋_GB2312" w:hAnsi="仿宋_GB2312" w:cs="仿宋_GB2312" w:eastAsia="仿宋_GB2312"/>
              </w:rPr>
              <w:t>3</w:t>
            </w:r>
            <w:r>
              <w:rPr>
                <w:rFonts w:ascii="仿宋_GB2312" w:hAnsi="仿宋_GB2312" w:cs="仿宋_GB2312" w:eastAsia="仿宋_GB2312"/>
              </w:rPr>
              <w:t>个月。</w:t>
            </w:r>
          </w:p>
          <w:p>
            <w:pPr>
              <w:pStyle w:val="null3"/>
            </w:pPr>
            <w:r>
              <w:rPr>
                <w:rFonts w:ascii="仿宋_GB2312" w:hAnsi="仿宋_GB2312" w:cs="仿宋_GB2312" w:eastAsia="仿宋_GB2312"/>
              </w:rPr>
              <w:t>2.</w:t>
            </w:r>
            <w:r>
              <w:rPr>
                <w:rFonts w:ascii="仿宋_GB2312" w:hAnsi="仿宋_GB2312" w:cs="仿宋_GB2312" w:eastAsia="仿宋_GB2312"/>
              </w:rPr>
              <w:t>在全市选取人流量较大的地铁站点投放灯箱广告，数量不低于</w:t>
            </w:r>
            <w:r>
              <w:rPr>
                <w:rFonts w:ascii="仿宋_GB2312" w:hAnsi="仿宋_GB2312" w:cs="仿宋_GB2312" w:eastAsia="仿宋_GB2312"/>
              </w:rPr>
              <w:t>4</w:t>
            </w:r>
            <w:r>
              <w:rPr>
                <w:rFonts w:ascii="仿宋_GB2312" w:hAnsi="仿宋_GB2312" w:cs="仿宋_GB2312" w:eastAsia="仿宋_GB2312"/>
              </w:rPr>
              <w:t>块，有效投放周期</w:t>
            </w:r>
            <w:r>
              <w:rPr>
                <w:rFonts w:ascii="仿宋_GB2312" w:hAnsi="仿宋_GB2312" w:cs="仿宋_GB2312" w:eastAsia="仿宋_GB2312"/>
              </w:rPr>
              <w:t>3</w:t>
            </w:r>
            <w:r>
              <w:rPr>
                <w:rFonts w:ascii="仿宋_GB2312" w:hAnsi="仿宋_GB2312" w:cs="仿宋_GB2312" w:eastAsia="仿宋_GB2312"/>
              </w:rPr>
              <w:t>个月。</w:t>
            </w:r>
          </w:p>
          <w:p>
            <w:pPr>
              <w:pStyle w:val="null3"/>
            </w:pPr>
            <w:r>
              <w:rPr>
                <w:rFonts w:ascii="仿宋_GB2312" w:hAnsi="仿宋_GB2312" w:cs="仿宋_GB2312" w:eastAsia="仿宋_GB2312"/>
              </w:rPr>
              <w:t>3.</w:t>
            </w:r>
            <w:r>
              <w:rPr>
                <w:rFonts w:ascii="仿宋_GB2312" w:hAnsi="仿宋_GB2312" w:cs="仿宋_GB2312" w:eastAsia="仿宋_GB2312"/>
              </w:rPr>
              <w:t>熟悉垃圾分类行业业务知识，具有相近行业的工作经验。</w:t>
            </w:r>
          </w:p>
          <w:p>
            <w:pPr>
              <w:pStyle w:val="null3"/>
            </w:pPr>
            <w:r>
              <w:rPr>
                <w:rFonts w:ascii="仿宋_GB2312" w:hAnsi="仿宋_GB2312" w:cs="仿宋_GB2312" w:eastAsia="仿宋_GB2312"/>
              </w:rPr>
              <w:t>4.</w:t>
            </w:r>
            <w:r>
              <w:rPr>
                <w:rFonts w:ascii="仿宋_GB2312" w:hAnsi="仿宋_GB2312" w:cs="仿宋_GB2312" w:eastAsia="仿宋_GB2312"/>
              </w:rPr>
              <w:t>拥有专业专职团队，可完成广告创意策划、设计制作、合规过审全流程服务，并结合地铁广告场景优化设计方案。</w:t>
            </w:r>
          </w:p>
          <w:p>
            <w:pPr>
              <w:pStyle w:val="null3"/>
            </w:pPr>
            <w:r>
              <w:rPr>
                <w:rFonts w:ascii="仿宋_GB2312" w:hAnsi="仿宋_GB2312" w:cs="仿宋_GB2312" w:eastAsia="仿宋_GB2312"/>
                <w:sz w:val="21"/>
              </w:rPr>
              <w:t>5.</w:t>
            </w:r>
            <w:r>
              <w:rPr>
                <w:rFonts w:ascii="仿宋_GB2312" w:hAnsi="仿宋_GB2312" w:cs="仿宋_GB2312" w:eastAsia="仿宋_GB2312"/>
                <w:sz w:val="21"/>
              </w:rPr>
              <w:t>具备地铁广告投放全流程执行能力，熟悉地铁运营及广告投放规范，能协调完成广告安装、维护等工作。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所属行业：其他未列明行业，其划分标准为从业人员300人以下的为中小微型企业。其中，从业人员100人及以上的为中型企业；从业人员10人及以上的为小型企业；从业人员10人以下的为微型企业。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自合同签订之日起15日内完成项目所有内容设计制作，并将项目效果图交于甲方审核，审核通过后7日内开始投放，项目应于2026年9月30日前执行完毕。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西安市生活垃圾分类服务中心甲方指定地点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服务期限完成且无其他异议后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1、乙方应按合同约定时间完成各阶段合同义务，若发生延迟，乙方应向甲方支付合同总价款10%的违约金，且甲方有权单方解除本合同。但甲方书面同意延迟或因甲方原因导致延迟的，乙方不承担违约责任。 2、如甲方未能在本合同约定时间内支付款项，每延迟一天，甲方须向乙方承担迟延支付费用的0.5‰作为违约金，并将服务周期予以相应顺延。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2024或2025年度经审计的财务报告（包括“四表一注”，即资产负债表、利润表、现金流量表、所有者权益变动表（如有）及其附注，或者提供响应文件截止时间三个月内其基本账户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法定代表人直接参加磋商的，须出具法定代表人身份证明及法人身份证；法定代表人授权代表参加磋商的，须出具法定代表人授权委托书和被授权人身份证。</w:t>
            </w:r>
          </w:p>
        </w:tc>
        <w:tc>
          <w:tcPr>
            <w:tcW w:type="dxa" w:w="1661"/>
          </w:tcPr>
          <w:p>
            <w:pPr>
              <w:pStyle w:val="null3"/>
            </w:pPr>
            <w:r>
              <w:rPr>
                <w:rFonts w:ascii="仿宋_GB2312" w:hAnsi="仿宋_GB2312" w:cs="仿宋_GB2312" w:eastAsia="仿宋_GB2312"/>
              </w:rPr>
              <w:t>资格要求证明文件.docx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项目分析针对项目背景、可行性与必要性分析、目标分析等全面、准确、合理，计(7-10]分；分析内容基本符合项目要求，较为合理，计(4-7]分，分析空洞、无实质内容，计[1-4]分。未提供方案不得分。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整体服务方案详细、合理，能够清晰的贴合工作的要求和特点，计(10-15]分；服务方案较为清晰，基本贴近工作要求和特点，计(5-10]分；方案空洞、无实质性内容，计[1-5]分。未提供方案不得分。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提供详细完整的广告创意策划、设计制作方案并结合地铁广告场景优化设计方案，计(10-15]分；设计方案基本符合要求，计(5-10]分；设计方案内容简单或不全，计[1-5]分。未提供方案不得分。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针对本项目开展存在的重点、难点分析准确、充分，提出针对性强、科学合理的应对措施，计(5-10]分；对项目开展存在的重点、难点分析较薄弱、无实质性内容，计[1-5]分。未提供方案不得分。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管理与保障措施</w:t>
            </w:r>
          </w:p>
        </w:tc>
        <w:tc>
          <w:tcPr>
            <w:tcW w:type="dxa" w:w="2492"/>
          </w:tcPr>
          <w:p>
            <w:pPr>
              <w:pStyle w:val="null3"/>
            </w:pPr>
            <w:r>
              <w:rPr>
                <w:rFonts w:ascii="仿宋_GB2312" w:hAnsi="仿宋_GB2312" w:cs="仿宋_GB2312" w:eastAsia="仿宋_GB2312"/>
              </w:rPr>
              <w:t>针对本项目的管理与保障措施全面、可行，能够保障项目顺利实施，计(5-10]分；管理与保障措施较薄弱、无实质性内容，计[1-5]分。未提供方案不得分。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根据本项目采购需求提供拟投入人员配备（包括但不限于人员分工、岗位配备及职责、技术能力等）。 人员分工明确得当、岗位配备及职责阐述全面详细，且技术能力强的计（8-12分]；人员分工较明确、岗位配备及职责阐述较详细，技术能力较强的计（4-8分]；人员分工不明确、岗位配备及职责阐述不全面，技术能力弱的计[1-4分]；未提供，或明显存在不合理性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针对本项目具有详细科学的合理化建议。 合理化建议详细、针对性强得（4-8分]； 合理化建议内容简单不全得[1-4分]；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 日至今，以合同签订时间为准）的类似项目业绩，每提供一个得2分, 最高得10分。注：供应商响应文件中提供合同复印件加盖公章。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详见附件：资格要求证明文件.docx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