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版本号：ZCZX2026-ZB-03720260514001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曲江新区国土空间规划服务及土地规划设计项目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ZCZX2026-ZB-037</w:t>
      </w:r>
      <w:r>
        <w:br/>
      </w:r>
      <w:r>
        <w:br/>
      </w:r>
      <w:r>
        <w:br/>
      </w:r>
    </w:p>
    <w:p>
      <w:pPr>
        <w:pStyle w:val="null3"/>
        <w:jc w:val="center"/>
        <w:outlineLvl w:val="2"/>
      </w:pPr>
      <w:r>
        <w:rPr>
          <w:rFonts w:ascii="仿宋_GB2312" w:hAnsi="仿宋_GB2312" w:cs="仿宋_GB2312" w:eastAsia="仿宋_GB2312"/>
          <w:sz w:val="28"/>
          <w:b/>
        </w:rPr>
        <w:t>西安曲江新区土地储备中心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西安曲江新区土地储备中心</w:t>
      </w:r>
      <w:r>
        <w:rPr>
          <w:rFonts w:ascii="仿宋_GB2312" w:hAnsi="仿宋_GB2312" w:cs="仿宋_GB2312" w:eastAsia="仿宋_GB2312"/>
        </w:rPr>
        <w:t>委托，拟对</w:t>
      </w:r>
      <w:r>
        <w:rPr>
          <w:rFonts w:ascii="仿宋_GB2312" w:hAnsi="仿宋_GB2312" w:cs="仿宋_GB2312" w:eastAsia="仿宋_GB2312"/>
        </w:rPr>
        <w:t>曲江新区国土空间规划服务及土地规划设计项目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曲江新区国土空间规划服务及土地规划设计项目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曲江新区国土空间规划服务及土地规划设计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pPr>
      <w:r>
        <w:rPr>
          <w:rFonts w:ascii="仿宋_GB2312" w:hAnsi="仿宋_GB2312" w:cs="仿宋_GB2312" w:eastAsia="仿宋_GB2312"/>
        </w:rPr>
        <w:t>2、企业资质：投标人须具有有效的城乡规划（国土空间规划）编制乙级（含）以上资质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西安市雁塔区雁翔路2600号(南三环与雁翔路交叉口西南角) </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029-81201223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雷高峰 张斌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参照国家计委关于印发《招标代理服务收费管理暂行办法》的通知（计价格〔2002〕1980号）、《国家发展和改革委员会办公厅关于招标代理服务收费有关问题的通知》（发改办价格〔2003〕857号）规定向中标（成交）供应商收取代理服务费。 2、成交单位的代理服务费交纳信息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西安曲江新区土地储备中心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曲江新区国土空间规划服务及土地规划设计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曲江新区国土空间规划服务及土地规划设计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标的名称：曲江新区国土空间规划服务及土地规划设计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firstLine="201"/>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200"/>
              <w:jc w:val="both"/>
            </w:pPr>
            <w:r>
              <w:rPr>
                <w:rFonts w:ascii="仿宋_GB2312" w:hAnsi="仿宋_GB2312" w:cs="仿宋_GB2312" w:eastAsia="仿宋_GB2312"/>
                <w:sz w:val="20"/>
              </w:rPr>
              <w:t>1、项目位置</w:t>
            </w:r>
          </w:p>
          <w:p>
            <w:pPr>
              <w:pStyle w:val="null3"/>
              <w:ind w:firstLine="200"/>
              <w:jc w:val="both"/>
            </w:pPr>
            <w:r>
              <w:rPr>
                <w:rFonts w:ascii="仿宋_GB2312" w:hAnsi="仿宋_GB2312" w:cs="仿宋_GB2312" w:eastAsia="仿宋_GB2312"/>
                <w:sz w:val="20"/>
              </w:rPr>
              <w:t>位于曲江新区核心区单元详细规划范围</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2、规划范围</w:t>
            </w:r>
          </w:p>
          <w:p>
            <w:pPr>
              <w:pStyle w:val="null3"/>
              <w:ind w:firstLine="200"/>
            </w:pPr>
            <w:r>
              <w:rPr>
                <w:rFonts w:ascii="仿宋_GB2312" w:hAnsi="仿宋_GB2312" w:cs="仿宋_GB2312" w:eastAsia="仿宋_GB2312"/>
                <w:sz w:val="20"/>
              </w:rPr>
              <w:t>曲江新区核心区单元详细规划约</w:t>
            </w:r>
            <w:r>
              <w:rPr>
                <w:rFonts w:ascii="仿宋_GB2312" w:hAnsi="仿宋_GB2312" w:cs="仿宋_GB2312" w:eastAsia="仿宋_GB2312"/>
                <w:sz w:val="20"/>
              </w:rPr>
              <w:t>44平方公里建设用地范围内的国土空间规划服务及土地规划设计项目。</w:t>
            </w:r>
          </w:p>
          <w:p>
            <w:pPr>
              <w:pStyle w:val="null3"/>
              <w:ind w:firstLine="200"/>
              <w:jc w:val="both"/>
            </w:pPr>
            <w:r>
              <w:rPr>
                <w:rFonts w:ascii="仿宋_GB2312" w:hAnsi="仿宋_GB2312" w:cs="仿宋_GB2312" w:eastAsia="仿宋_GB2312"/>
                <w:sz w:val="20"/>
              </w:rPr>
              <w:t>3、设计依据</w:t>
            </w:r>
          </w:p>
          <w:p>
            <w:pPr>
              <w:pStyle w:val="null3"/>
              <w:ind w:firstLine="200"/>
              <w:jc w:val="both"/>
            </w:pPr>
            <w:r>
              <w:rPr>
                <w:rFonts w:ascii="仿宋_GB2312" w:hAnsi="仿宋_GB2312" w:cs="仿宋_GB2312" w:eastAsia="仿宋_GB2312"/>
                <w:sz w:val="20"/>
              </w:rPr>
              <w:t>本项目执行和遵守中华人民共和国有关规划设计的法律、法规和规章，全部采用中华人民共和国现行建设工程设计规范，包括但不限于：</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《中华人民共和国城乡规划法》（</w:t>
            </w:r>
            <w:r>
              <w:rPr>
                <w:rFonts w:ascii="仿宋_GB2312" w:hAnsi="仿宋_GB2312" w:cs="仿宋_GB2312" w:eastAsia="仿宋_GB2312"/>
                <w:sz w:val="20"/>
              </w:rPr>
              <w:t>2008年）</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《城市规划编制办法》（</w:t>
            </w:r>
            <w:r>
              <w:rPr>
                <w:rFonts w:ascii="仿宋_GB2312" w:hAnsi="仿宋_GB2312" w:cs="仿宋_GB2312" w:eastAsia="仿宋_GB2312"/>
                <w:sz w:val="20"/>
              </w:rPr>
              <w:t>2006年）</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《国土空间调查、规划、用途管制用地用海分类指南》（自然资发〔</w:t>
            </w:r>
            <w:r>
              <w:rPr>
                <w:rFonts w:ascii="仿宋_GB2312" w:hAnsi="仿宋_GB2312" w:cs="仿宋_GB2312" w:eastAsia="仿宋_GB2312"/>
                <w:sz w:val="20"/>
              </w:rPr>
              <w:t>2023〕234号）</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城市公共设施规划规范》（</w:t>
            </w:r>
            <w:r>
              <w:rPr>
                <w:rFonts w:ascii="仿宋_GB2312" w:hAnsi="仿宋_GB2312" w:cs="仿宋_GB2312" w:eastAsia="仿宋_GB2312"/>
                <w:sz w:val="20"/>
              </w:rPr>
              <w:t>GB50442-2008）</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陕西省城市规划管理技术规定》（陕建发</w:t>
            </w:r>
            <w:r>
              <w:rPr>
                <w:rFonts w:ascii="仿宋_GB2312" w:hAnsi="仿宋_GB2312" w:cs="仿宋_GB2312" w:eastAsia="仿宋_GB2312"/>
                <w:sz w:val="20"/>
              </w:rPr>
              <w:t>[2008]73号）</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《中共中央国务院关于建立国土空间规划体系并监督实施的若干意见》（</w:t>
            </w:r>
            <w:r>
              <w:rPr>
                <w:rFonts w:ascii="仿宋_GB2312" w:hAnsi="仿宋_GB2312" w:cs="仿宋_GB2312" w:eastAsia="仿宋_GB2312"/>
                <w:sz w:val="20"/>
              </w:rPr>
              <w:t>2019年5月9日）</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《西安市国土空间详细规划编制指引（试行版）》</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《西安市居住区公共服务设施配套指引（试行）》（市资源发〔</w:t>
            </w:r>
            <w:r>
              <w:rPr>
                <w:rFonts w:ascii="仿宋_GB2312" w:hAnsi="仿宋_GB2312" w:cs="仿宋_GB2312" w:eastAsia="仿宋_GB2312"/>
                <w:sz w:val="20"/>
              </w:rPr>
              <w:t>2025〕114号）</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国家、省市及其他相关文件</w:t>
            </w:r>
          </w:p>
          <w:p>
            <w:pPr>
              <w:pStyle w:val="null3"/>
              <w:ind w:firstLine="201"/>
              <w:jc w:val="both"/>
            </w:pPr>
            <w:r>
              <w:rPr>
                <w:rFonts w:ascii="仿宋_GB2312" w:hAnsi="仿宋_GB2312" w:cs="仿宋_GB2312" w:eastAsia="仿宋_GB2312"/>
                <w:sz w:val="20"/>
                <w:b/>
              </w:rPr>
              <w:t>二</w:t>
            </w:r>
            <w:r>
              <w:rPr>
                <w:rFonts w:ascii="仿宋_GB2312" w:hAnsi="仿宋_GB2312" w:cs="仿宋_GB2312" w:eastAsia="仿宋_GB2312"/>
                <w:sz w:val="20"/>
                <w:b/>
              </w:rPr>
              <w:t>、设计内容及要求</w:t>
            </w:r>
          </w:p>
          <w:p>
            <w:pPr>
              <w:pStyle w:val="null3"/>
              <w:ind w:firstLine="200"/>
              <w:jc w:val="both"/>
            </w:pPr>
            <w:r>
              <w:rPr>
                <w:rFonts w:ascii="仿宋_GB2312" w:hAnsi="仿宋_GB2312" w:cs="仿宋_GB2312" w:eastAsia="仿宋_GB2312"/>
                <w:sz w:val="20"/>
              </w:rPr>
              <w:t>1、国土空间规划服务</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1）提供技术服务</w:t>
            </w:r>
          </w:p>
          <w:p>
            <w:pPr>
              <w:pStyle w:val="null3"/>
              <w:ind w:firstLine="200"/>
              <w:jc w:val="both"/>
            </w:pPr>
            <w:r>
              <w:rPr>
                <w:rFonts w:ascii="仿宋_GB2312" w:hAnsi="仿宋_GB2312" w:cs="仿宋_GB2312" w:eastAsia="仿宋_GB2312"/>
                <w:sz w:val="20"/>
              </w:rPr>
              <w:t>在规划审批、土地储备供应工作中，做好前期的技术咨询工作。</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2）日常事务工作</w:t>
            </w:r>
          </w:p>
          <w:p>
            <w:pPr>
              <w:pStyle w:val="null3"/>
              <w:ind w:firstLine="200"/>
              <w:jc w:val="both"/>
            </w:pPr>
            <w:r>
              <w:rPr>
                <w:rFonts w:ascii="仿宋_GB2312" w:hAnsi="仿宋_GB2312" w:cs="仿宋_GB2312" w:eastAsia="仿宋_GB2312"/>
                <w:sz w:val="20"/>
              </w:rPr>
              <w:t>提供国土空间规划项目前期策划、政策分析与研讨；项目中期技术咨询与答疑，协助开展技术审查、上报等。</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3）政策技术贯宣</w:t>
            </w:r>
          </w:p>
          <w:p>
            <w:pPr>
              <w:pStyle w:val="null3"/>
              <w:ind w:firstLine="200"/>
              <w:jc w:val="both"/>
            </w:pPr>
            <w:r>
              <w:rPr>
                <w:rFonts w:ascii="仿宋_GB2312" w:hAnsi="仿宋_GB2312" w:cs="仿宋_GB2312" w:eastAsia="仿宋_GB2312"/>
                <w:sz w:val="20"/>
              </w:rPr>
              <w:t>开展市级规划宣讲、政策解读等工作，助力政策落实与项目落地。</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4）协调</w:t>
            </w:r>
            <w:r>
              <w:rPr>
                <w:rFonts w:ascii="仿宋_GB2312" w:hAnsi="仿宋_GB2312" w:cs="仿宋_GB2312" w:eastAsia="仿宋_GB2312"/>
                <w:sz w:val="20"/>
              </w:rPr>
              <w:t>相关</w:t>
            </w:r>
            <w:r>
              <w:rPr>
                <w:rFonts w:ascii="仿宋_GB2312" w:hAnsi="仿宋_GB2312" w:cs="仿宋_GB2312" w:eastAsia="仿宋_GB2312"/>
                <w:sz w:val="20"/>
              </w:rPr>
              <w:t>规划</w:t>
            </w:r>
          </w:p>
          <w:p>
            <w:pPr>
              <w:pStyle w:val="null3"/>
              <w:ind w:firstLine="200"/>
              <w:jc w:val="both"/>
            </w:pPr>
            <w:r>
              <w:rPr>
                <w:rFonts w:ascii="仿宋_GB2312" w:hAnsi="仿宋_GB2312" w:cs="仿宋_GB2312" w:eastAsia="仿宋_GB2312"/>
                <w:sz w:val="20"/>
              </w:rPr>
              <w:t>在上位规划指导约束下，协调</w:t>
            </w:r>
            <w:r>
              <w:rPr>
                <w:rFonts w:ascii="仿宋_GB2312" w:hAnsi="仿宋_GB2312" w:cs="仿宋_GB2312" w:eastAsia="仿宋_GB2312"/>
                <w:sz w:val="20"/>
              </w:rPr>
              <w:t>单元规划、</w:t>
            </w:r>
            <w:r>
              <w:rPr>
                <w:rFonts w:ascii="仿宋_GB2312" w:hAnsi="仿宋_GB2312" w:cs="仿宋_GB2312" w:eastAsia="仿宋_GB2312"/>
                <w:sz w:val="20"/>
              </w:rPr>
              <w:t>专项规划编制。</w:t>
            </w:r>
          </w:p>
          <w:p>
            <w:pPr>
              <w:pStyle w:val="null3"/>
              <w:ind w:firstLine="200"/>
              <w:jc w:val="both"/>
            </w:pPr>
            <w:r>
              <w:rPr>
                <w:rFonts w:ascii="仿宋_GB2312" w:hAnsi="仿宋_GB2312" w:cs="仿宋_GB2312" w:eastAsia="仿宋_GB2312"/>
                <w:sz w:val="20"/>
              </w:rPr>
              <w:t>2、土地规划设计项目</w:t>
            </w:r>
          </w:p>
          <w:p>
            <w:pPr>
              <w:pStyle w:val="null3"/>
              <w:ind w:firstLine="200"/>
              <w:jc w:val="both"/>
            </w:pPr>
            <w:r>
              <w:rPr>
                <w:rFonts w:ascii="仿宋_GB2312" w:hAnsi="仿宋_GB2312" w:cs="仿宋_GB2312" w:eastAsia="仿宋_GB2312"/>
                <w:sz w:val="20"/>
              </w:rPr>
              <w:t>曲江新区储备土地规划用地研究报告、实施详细规划、</w:t>
            </w:r>
            <w:r>
              <w:rPr>
                <w:rFonts w:ascii="仿宋_GB2312" w:hAnsi="仿宋_GB2312" w:cs="仿宋_GB2312" w:eastAsia="仿宋_GB2312"/>
                <w:sz w:val="20"/>
              </w:rPr>
              <w:t>“规土评让”方案等编制服务。具体以甲方每笔业务发生时的《业务委托单》载明范围</w:t>
            </w:r>
            <w:r>
              <w:rPr>
                <w:rFonts w:ascii="仿宋_GB2312" w:hAnsi="仿宋_GB2312" w:cs="仿宋_GB2312" w:eastAsia="仿宋_GB2312"/>
                <w:sz w:val="20"/>
              </w:rPr>
              <w:t>及事项</w:t>
            </w:r>
            <w:r>
              <w:rPr>
                <w:rFonts w:ascii="仿宋_GB2312" w:hAnsi="仿宋_GB2312" w:cs="仿宋_GB2312" w:eastAsia="仿宋_GB2312"/>
                <w:sz w:val="20"/>
              </w:rPr>
              <w:t>为准。</w:t>
            </w:r>
          </w:p>
          <w:p>
            <w:pPr>
              <w:pStyle w:val="null3"/>
              <w:ind w:firstLine="201"/>
              <w:jc w:val="both"/>
            </w:pPr>
            <w:r>
              <w:rPr>
                <w:rFonts w:ascii="仿宋_GB2312" w:hAnsi="仿宋_GB2312" w:cs="仿宋_GB2312" w:eastAsia="仿宋_GB2312"/>
                <w:sz w:val="20"/>
                <w:b/>
              </w:rPr>
              <w:t>三</w:t>
            </w:r>
            <w:r>
              <w:rPr>
                <w:rFonts w:ascii="仿宋_GB2312" w:hAnsi="仿宋_GB2312" w:cs="仿宋_GB2312" w:eastAsia="仿宋_GB2312"/>
                <w:sz w:val="20"/>
                <w:b/>
              </w:rPr>
              <w:t>、成果提交</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国土空间规划服务按国土空间规划服务事项具体要求提供成果；</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土地规划设计项目根据</w:t>
            </w:r>
            <w:r>
              <w:rPr>
                <w:rFonts w:ascii="仿宋_GB2312" w:hAnsi="仿宋_GB2312" w:cs="仿宋_GB2312" w:eastAsia="仿宋_GB2312"/>
                <w:sz w:val="20"/>
              </w:rPr>
              <w:t>采购人</w:t>
            </w:r>
            <w:r>
              <w:rPr>
                <w:rFonts w:ascii="仿宋_GB2312" w:hAnsi="仿宋_GB2312" w:cs="仿宋_GB2312" w:eastAsia="仿宋_GB2312"/>
                <w:sz w:val="20"/>
              </w:rPr>
              <w:t>提供资料，按宗地需要，出具纸质及电子成果一套。</w:t>
            </w:r>
          </w:p>
          <w:p>
            <w:pPr>
              <w:pStyle w:val="null3"/>
              <w:ind w:firstLine="201"/>
              <w:jc w:val="both"/>
            </w:pPr>
            <w:r>
              <w:rPr>
                <w:rFonts w:ascii="仿宋_GB2312" w:hAnsi="仿宋_GB2312" w:cs="仿宋_GB2312" w:eastAsia="仿宋_GB2312"/>
                <w:sz w:val="20"/>
                <w:b/>
              </w:rPr>
              <w:t>四、其他要求</w:t>
            </w:r>
          </w:p>
          <w:p>
            <w:pPr>
              <w:pStyle w:val="null3"/>
              <w:ind w:firstLine="201"/>
              <w:jc w:val="both"/>
            </w:pPr>
            <w:r>
              <w:rPr>
                <w:rFonts w:ascii="仿宋_GB2312" w:hAnsi="仿宋_GB2312" w:cs="仿宋_GB2312" w:eastAsia="仿宋_GB2312"/>
                <w:sz w:val="20"/>
              </w:rPr>
              <w:t>1、国土空间规划服务两年期费用按采购人实际情况每季度据实结算。项目数量以采购人出具《业务委托单》为准，具体要求如下：</w:t>
            </w:r>
          </w:p>
          <w:tbl>
            <w:tblPr>
              <w:tblInd w:type="dxa" w:w="135"/>
              <w:tblBorders>
                <w:top w:val="none" w:color="000000" w:sz="4"/>
                <w:left w:val="none" w:color="000000" w:sz="4"/>
                <w:bottom w:val="none" w:color="000000" w:sz="4"/>
                <w:right w:val="none" w:color="000000" w:sz="4"/>
                <w:insideH w:val="none"/>
                <w:insideV w:val="none"/>
              </w:tblBorders>
            </w:tblPr>
            <w:tblGrid>
              <w:gridCol w:w="197"/>
              <w:gridCol w:w="617"/>
              <w:gridCol w:w="809"/>
              <w:gridCol w:w="824"/>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序号</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项目类型</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暂定工程量</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单价</w:t>
                  </w:r>
                  <w:r>
                    <w:rPr>
                      <w:rFonts w:ascii="仿宋_GB2312" w:hAnsi="仿宋_GB2312" w:cs="仿宋_GB2312" w:eastAsia="仿宋_GB2312"/>
                      <w:sz w:val="16"/>
                    </w:rPr>
                    <w:t>最高</w:t>
                  </w:r>
                  <w:r>
                    <w:rPr>
                      <w:rFonts w:ascii="仿宋_GB2312" w:hAnsi="仿宋_GB2312" w:cs="仿宋_GB2312" w:eastAsia="仿宋_GB2312"/>
                      <w:sz w:val="16"/>
                    </w:rPr>
                    <w:t>限价</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6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单元规划用地优化</w:t>
                  </w:r>
                </w:p>
                <w:p>
                  <w:pPr>
                    <w:pStyle w:val="null3"/>
                    <w:jc w:val="center"/>
                  </w:pPr>
                  <w:r>
                    <w:rPr>
                      <w:rFonts w:ascii="仿宋_GB2312" w:hAnsi="仿宋_GB2312" w:cs="仿宋_GB2312" w:eastAsia="仿宋_GB2312"/>
                      <w:sz w:val="21"/>
                    </w:rPr>
                    <w:t xml:space="preserve"> </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1个重要发展单元（约300公顷）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1100元/公顷</w:t>
                  </w:r>
                </w:p>
              </w:tc>
            </w:tr>
            <w:tr>
              <w:tc>
                <w:tcPr>
                  <w:tcW w:type="dxa" w:w="197"/>
                  <w:vMerge/>
                  <w:tcBorders>
                    <w:top w:val="none" w:color="000000" w:sz="4"/>
                    <w:left w:val="single" w:color="000000" w:sz="4"/>
                    <w:bottom w:val="singl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2个其他单元（约815公顷）</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1000元/公顷</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详细规划一张图动态更新维护</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43.88平方公里</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rFonts w:ascii="仿宋_GB2312" w:hAnsi="仿宋_GB2312" w:cs="仿宋_GB2312" w:eastAsia="仿宋_GB2312"/>
                      <w:sz w:val="16"/>
                    </w:rPr>
                    <w:t>10000元/平方公里</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年度城市体检评估</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2个</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210000元/个</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年度土地征收储备供应计划相关规划工作</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2个</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2026年18万/个、2027年12万/个</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信息技术服务</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43.88平方公里</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8000元/平方公里</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地块四类优化调整情形研究工作</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1个</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45000元/个</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地块研究论证报告</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5个</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100000元/个</w:t>
                  </w:r>
                </w:p>
              </w:tc>
            </w:tr>
          </w:tbl>
          <w:p>
            <w:pPr>
              <w:pStyle w:val="null3"/>
              <w:ind w:firstLine="200"/>
              <w:jc w:val="both"/>
            </w:pPr>
            <w:r>
              <w:rPr>
                <w:rFonts w:ascii="仿宋_GB2312" w:hAnsi="仿宋_GB2312" w:cs="仿宋_GB2312" w:eastAsia="仿宋_GB2312"/>
                <w:sz w:val="20"/>
              </w:rPr>
              <w:t>备注：单元优化以完成行政审批为一个周期，多轮优化另行计费。</w:t>
            </w:r>
          </w:p>
          <w:p>
            <w:pPr>
              <w:pStyle w:val="null3"/>
              <w:jc w:val="left"/>
            </w:pPr>
            <w:r>
              <w:rPr>
                <w:rFonts w:ascii="仿宋_GB2312" w:hAnsi="仿宋_GB2312" w:cs="仿宋_GB2312" w:eastAsia="仿宋_GB2312"/>
                <w:sz w:val="20"/>
              </w:rPr>
              <w:t>2、土地规划设计项目两年期费用按采购人实际情况每季度据实结算。项目数量以采购人出具《业务委托单》为准，具体要求如下：</w:t>
            </w:r>
          </w:p>
          <w:tbl>
            <w:tblPr>
              <w:tblBorders>
                <w:top w:val="none" w:color="000000" w:sz="4"/>
                <w:left w:val="none" w:color="000000" w:sz="4"/>
                <w:bottom w:val="none" w:color="000000" w:sz="4"/>
                <w:right w:val="none" w:color="000000" w:sz="4"/>
                <w:insideH w:val="none"/>
                <w:insideV w:val="none"/>
              </w:tblBorders>
            </w:tblPr>
            <w:tblGrid>
              <w:gridCol w:w="227"/>
              <w:gridCol w:w="623"/>
              <w:gridCol w:w="786"/>
              <w:gridCol w:w="80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序号</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项目类型</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暂定工程量</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单价</w:t>
                  </w:r>
                  <w:r>
                    <w:rPr>
                      <w:rFonts w:ascii="仿宋_GB2312" w:hAnsi="仿宋_GB2312" w:cs="仿宋_GB2312" w:eastAsia="仿宋_GB2312"/>
                      <w:sz w:val="16"/>
                    </w:rPr>
                    <w:t>最高</w:t>
                  </w:r>
                  <w:r>
                    <w:rPr>
                      <w:rFonts w:ascii="仿宋_GB2312" w:hAnsi="仿宋_GB2312" w:cs="仿宋_GB2312" w:eastAsia="仿宋_GB2312"/>
                      <w:sz w:val="16"/>
                    </w:rPr>
                    <w:t>限价</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土地规划（含规土评让相关技术服务）</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r>
                    <w:rPr>
                      <w:rFonts w:ascii="仿宋_GB2312" w:hAnsi="仿宋_GB2312" w:cs="仿宋_GB2312" w:eastAsia="仿宋_GB2312"/>
                      <w:sz w:val="16"/>
                    </w:rPr>
                    <w:t>个</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180000</w:t>
                  </w:r>
                  <w:r>
                    <w:rPr>
                      <w:rFonts w:ascii="仿宋_GB2312" w:hAnsi="仿宋_GB2312" w:cs="仿宋_GB2312" w:eastAsia="仿宋_GB2312"/>
                      <w:sz w:val="16"/>
                    </w:rPr>
                    <w:t>元</w:t>
                  </w:r>
                  <w:r>
                    <w:rPr>
                      <w:rFonts w:ascii="仿宋_GB2312" w:hAnsi="仿宋_GB2312" w:cs="仿宋_GB2312" w:eastAsia="仿宋_GB2312"/>
                      <w:sz w:val="16"/>
                    </w:rPr>
                    <w:t>/个</w:t>
                  </w:r>
                </w:p>
              </w:tc>
            </w:tr>
          </w:tbl>
          <w:p>
            <w:pPr>
              <w:pStyle w:val="null3"/>
              <w:ind w:firstLine="201"/>
              <w:jc w:val="both"/>
            </w:pPr>
            <w:r>
              <w:rPr>
                <w:rFonts w:ascii="仿宋_GB2312" w:hAnsi="仿宋_GB2312" w:cs="仿宋_GB2312" w:eastAsia="仿宋_GB2312"/>
                <w:sz w:val="20"/>
                <w:b/>
              </w:rPr>
              <w:t>注：以上</w:t>
            </w:r>
            <w:r>
              <w:rPr>
                <w:rFonts w:ascii="仿宋_GB2312" w:hAnsi="仿宋_GB2312" w:cs="仿宋_GB2312" w:eastAsia="仿宋_GB2312"/>
                <w:sz w:val="20"/>
                <w:b/>
              </w:rPr>
              <w:t>1-8项</w:t>
            </w:r>
            <w:r>
              <w:rPr>
                <w:rFonts w:ascii="仿宋_GB2312" w:hAnsi="仿宋_GB2312" w:cs="仿宋_GB2312" w:eastAsia="仿宋_GB2312"/>
                <w:sz w:val="20"/>
                <w:b/>
              </w:rPr>
              <w:t>单价</w:t>
            </w:r>
            <w:r>
              <w:rPr>
                <w:rFonts w:ascii="仿宋_GB2312" w:hAnsi="仿宋_GB2312" w:cs="仿宋_GB2312" w:eastAsia="仿宋_GB2312"/>
                <w:sz w:val="20"/>
                <w:b/>
              </w:rPr>
              <w:t>报价</w:t>
            </w:r>
            <w:r>
              <w:rPr>
                <w:rFonts w:ascii="仿宋_GB2312" w:hAnsi="仿宋_GB2312" w:cs="仿宋_GB2312" w:eastAsia="仿宋_GB2312"/>
                <w:sz w:val="20"/>
                <w:b/>
              </w:rPr>
              <w:t>不得超过单价最高限价，</w:t>
            </w:r>
            <w:r>
              <w:rPr>
                <w:rFonts w:ascii="仿宋_GB2312" w:hAnsi="仿宋_GB2312" w:cs="仿宋_GB2312" w:eastAsia="仿宋_GB2312"/>
                <w:sz w:val="20"/>
                <w:b/>
              </w:rPr>
              <w:t>否则按无效标处理</w:t>
            </w:r>
            <w:r>
              <w:rPr>
                <w:rFonts w:ascii="仿宋_GB2312" w:hAnsi="仿宋_GB2312" w:cs="仿宋_GB2312" w:eastAsia="仿宋_GB2312"/>
                <w:sz w:val="20"/>
                <w:b/>
              </w:rPr>
              <w:t>。</w:t>
            </w:r>
          </w:p>
          <w:p>
            <w:pPr>
              <w:pStyle w:val="null3"/>
              <w:ind w:firstLine="201"/>
              <w:jc w:val="both"/>
            </w:pPr>
            <w:r>
              <w:rPr>
                <w:rFonts w:ascii="仿宋_GB2312" w:hAnsi="仿宋_GB2312" w:cs="仿宋_GB2312" w:eastAsia="仿宋_GB2312"/>
                <w:sz w:val="20"/>
                <w:b/>
              </w:rPr>
              <w:t>五、</w:t>
            </w:r>
            <w:r>
              <w:rPr>
                <w:rFonts w:ascii="仿宋_GB2312" w:hAnsi="仿宋_GB2312" w:cs="仿宋_GB2312" w:eastAsia="仿宋_GB2312"/>
                <w:sz w:val="20"/>
                <w:b/>
              </w:rPr>
              <w:t>服务期限</w:t>
            </w:r>
          </w:p>
          <w:p>
            <w:pPr>
              <w:pStyle w:val="null3"/>
              <w:ind w:firstLine="200"/>
            </w:pPr>
            <w:r>
              <w:rPr>
                <w:rFonts w:ascii="仿宋_GB2312" w:hAnsi="仿宋_GB2312" w:cs="仿宋_GB2312" w:eastAsia="仿宋_GB2312"/>
              </w:rPr>
              <w:t>服务期限两年，从合同签订之日起计算。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项目团队需配置相关专业服务人员。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服务期限两年，从合同签订之日起计算。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按甲方实际情况每季度据实结算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按甲方实际情况每季度据实结算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按甲方实际情况每季度据实结算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按甲方实际情况每季度据实结算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中标供应商在领取中标通知书前，需向采购代理机构提交纸质版响应文件2份，纸质版文件须为电子响应文件的打印版。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投标人须具有有效的城乡规划（国土空间规划）编制乙级（含）以上资质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投标报价出现以下情形，评标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投标报价未超出采购预算及单价最高限价。</w:t>
            </w:r>
          </w:p>
        </w:tc>
        <w:tc>
          <w:tcPr>
            <w:tcW w:type="dxa" w:w="1661"/>
          </w:tcPr>
          <w:p>
            <w:pPr>
              <w:pStyle w:val="null3"/>
            </w:pPr>
            <w:r>
              <w:rPr>
                <w:rFonts w:ascii="仿宋_GB2312" w:hAnsi="仿宋_GB2312" w:cs="仿宋_GB2312" w:eastAsia="仿宋_GB2312"/>
              </w:rPr>
              <w:t>开标一览表 标的清单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 1、项目整体规划服务方案。 2、国土空间规划服务方案： 2-1、规划技术服务方案； 2-2、日常事务服务方案； 2-3、政策技术贯宣服务方案； 2-4、协调相关规划服务方案。 3、土地规划设计服务方案： 3-1、土地规划用地研究报告编制思路； 3-2、实施详细规划编制思路； 3-3、“规土评让”编制思路。 完整提供上述8项内容的得40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商务条款（合同条款）偏离表.docx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针对本项目提供质量保障方案： 1、服务进度控制方案； 2、服务质量保障方案； 3、服务保障承诺； 4、紧急事项保障措施； 5、针对本项目工作提出合理化建议，有助于项目服务正常进行。 完整提供上述5项内容的得25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针对本项目提供人员配置方案 1、提供项目团队配置方案，有明确的人员分工； 2、提供突发应急事件人员调动方案。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3、拟派项目负责人具有城乡规划或土地规划管理相关专业高级工程师职称得3分，无则不得分；具有注册城乡规划师执业证书得2分，无则不得分（提供加盖公章的职称证书复印件，未提供不得分），满分5分。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投标人提供2023年1月1日至今同类项目业绩，业绩以合同为依据，投标文件中附有其证明资料，每提供一个业绩证明计2分，满分10分。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满足招标文件要求且投标价格最低的投标总价为评标基准价，其价格分为满分。其他投标人的价格分统一按照下列公式计算：投标报价得分=（评标基准价/投标总价）×价格权值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