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版本号：HSZ2026—CGZB—01720260617001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富平县2026年玉米一喷多促项目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HSZ2026—CGZB—017</w:t>
      </w:r>
      <w:r>
        <w:br/>
      </w:r>
      <w:r>
        <w:br/>
      </w:r>
      <w:r>
        <w:br/>
      </w:r>
    </w:p>
    <w:p>
      <w:pPr>
        <w:pStyle w:val="null3"/>
        <w:jc w:val="center"/>
        <w:outlineLvl w:val="2"/>
      </w:pPr>
      <w:r>
        <w:rPr>
          <w:rFonts w:ascii="仿宋_GB2312" w:hAnsi="仿宋_GB2312" w:cs="仿宋_GB2312" w:eastAsia="仿宋_GB2312"/>
          <w:sz w:val="28"/>
          <w:b/>
        </w:rPr>
        <w:t>富平县农业技术推广中心</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富平县农业技术推广中心</w:t>
      </w:r>
      <w:r>
        <w:rPr>
          <w:rFonts w:ascii="仿宋_GB2312" w:hAnsi="仿宋_GB2312" w:cs="仿宋_GB2312" w:eastAsia="仿宋_GB2312"/>
        </w:rPr>
        <w:t>委托，拟对</w:t>
      </w:r>
      <w:r>
        <w:rPr>
          <w:rFonts w:ascii="仿宋_GB2312" w:hAnsi="仿宋_GB2312" w:cs="仿宋_GB2312" w:eastAsia="仿宋_GB2312"/>
        </w:rPr>
        <w:t>富平县2026年玉米一喷多促项目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富平县2026年玉米一喷多促项目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采购杀虫剂、杀菌剂及叶面肥。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采购包1（富平县2026年玉米一喷多促项目）：属于专门面向中小企业采购。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11、面向中小企业采购政策落实情况：本项目专门面向中小企业采购，投标人须提供《中小企业声明函》；</w:t>
      </w:r>
    </w:p>
    <w:p>
      <w:pPr>
        <w:pStyle w:val="null3"/>
      </w:pPr>
      <w:r>
        <w:rPr>
          <w:rFonts w:ascii="仿宋_GB2312" w:hAnsi="仿宋_GB2312" w:cs="仿宋_GB2312" w:eastAsia="仿宋_GB2312"/>
        </w:rPr>
        <w:t>12、投标人特定资格要求：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王高荣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0913-8203048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富平县农业技术推广中心</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富平县农业技术推广中心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采购杀虫剂、杀菌剂及叶面肥。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农药及化肥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标的名称：农药及化肥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6"/>
              <w:gridCol w:w="456"/>
              <w:gridCol w:w="761"/>
              <w:gridCol w:w="878"/>
              <w:gridCol w:w="191"/>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技术指标</w:t>
                  </w:r>
                </w:p>
              </w:tc>
              <w:tc>
                <w:tcPr>
                  <w:tcW w:type="dxa" w:w="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杀虫剂</w:t>
                  </w:r>
                </w:p>
                <w:p>
                  <w:pPr>
                    <w:pStyle w:val="null3"/>
                    <w:jc w:val="center"/>
                  </w:pPr>
                  <w:r>
                    <w:rPr>
                      <w:rFonts w:ascii="仿宋_GB2312" w:hAnsi="仿宋_GB2312" w:cs="仿宋_GB2312" w:eastAsia="仿宋_GB2312"/>
                      <w:sz w:val="24"/>
                      <w:b/>
                    </w:rPr>
                    <w:t>（核心产品）</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按农业部登记药剂的推荐剂量，计</w:t>
                  </w:r>
                  <w:r>
                    <w:rPr>
                      <w:rFonts w:ascii="仿宋_GB2312" w:hAnsi="仿宋_GB2312" w:cs="仿宋_GB2312" w:eastAsia="仿宋_GB2312"/>
                      <w:sz w:val="24"/>
                    </w:rPr>
                    <w:t>20</w:t>
                  </w:r>
                  <w:r>
                    <w:rPr>
                      <w:rFonts w:ascii="仿宋_GB2312" w:hAnsi="仿宋_GB2312" w:cs="仿宋_GB2312" w:eastAsia="仿宋_GB2312"/>
                      <w:sz w:val="24"/>
                    </w:rPr>
                    <w:t>万亩。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玉米上登记的防治玉米螟等害虫的复配制剂、总有效成分</w:t>
                  </w:r>
                  <w:r>
                    <w:rPr>
                      <w:rFonts w:ascii="仿宋_GB2312" w:hAnsi="仿宋_GB2312" w:cs="仿宋_GB2312" w:eastAsia="仿宋_GB2312"/>
                      <w:sz w:val="24"/>
                    </w:rPr>
                    <w:t>≥5%。</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杀菌剂</w:t>
                  </w:r>
                </w:p>
                <w:p>
                  <w:pPr>
                    <w:pStyle w:val="null3"/>
                    <w:jc w:val="center"/>
                  </w:pP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按农业部登记药剂的推荐剂量，计</w:t>
                  </w:r>
                  <w:r>
                    <w:rPr>
                      <w:rFonts w:ascii="仿宋_GB2312" w:hAnsi="仿宋_GB2312" w:cs="仿宋_GB2312" w:eastAsia="仿宋_GB2312"/>
                      <w:sz w:val="24"/>
                    </w:rPr>
                    <w:t>20</w:t>
                  </w:r>
                  <w:r>
                    <w:rPr>
                      <w:rFonts w:ascii="仿宋_GB2312" w:hAnsi="仿宋_GB2312" w:cs="仿宋_GB2312" w:eastAsia="仿宋_GB2312"/>
                      <w:sz w:val="24"/>
                    </w:rPr>
                    <w:t>万亩。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玉米上登记的防治大斑病等玉米病害的单剂或复配制剂，总有效成分</w:t>
                  </w:r>
                  <w:r>
                    <w:rPr>
                      <w:rFonts w:ascii="仿宋_GB2312" w:hAnsi="仿宋_GB2312" w:cs="仿宋_GB2312" w:eastAsia="仿宋_GB2312"/>
                      <w:sz w:val="24"/>
                    </w:rPr>
                    <w:t>≥30%。</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叶面肥</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100gm/亩</w:t>
                  </w:r>
                  <w:r>
                    <w:rPr>
                      <w:rFonts w:ascii="仿宋_GB2312" w:hAnsi="仿宋_GB2312" w:cs="仿宋_GB2312" w:eastAsia="仿宋_GB2312"/>
                      <w:sz w:val="24"/>
                    </w:rPr>
                    <w:t>，计</w:t>
                  </w:r>
                  <w:r>
                    <w:rPr>
                      <w:rFonts w:ascii="仿宋_GB2312" w:hAnsi="仿宋_GB2312" w:cs="仿宋_GB2312" w:eastAsia="仿宋_GB2312"/>
                      <w:sz w:val="24"/>
                    </w:rPr>
                    <w:t>20</w:t>
                  </w:r>
                  <w:r>
                    <w:rPr>
                      <w:rFonts w:ascii="仿宋_GB2312" w:hAnsi="仿宋_GB2312" w:cs="仿宋_GB2312" w:eastAsia="仿宋_GB2312"/>
                      <w:sz w:val="24"/>
                    </w:rPr>
                    <w:t>万亩。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在作物上应用的氨基酸或磷酸二氢钾水溶性叶面肥。氨基酸有效成份</w:t>
                  </w:r>
                  <w:r>
                    <w:rPr>
                      <w:rFonts w:ascii="仿宋_GB2312" w:hAnsi="仿宋_GB2312" w:cs="仿宋_GB2312" w:eastAsia="仿宋_GB2312"/>
                      <w:sz w:val="24"/>
                    </w:rPr>
                    <w:t>≥100g/L</w:t>
                  </w:r>
                  <w:r>
                    <w:rPr>
                      <w:rFonts w:ascii="仿宋_GB2312" w:hAnsi="仿宋_GB2312" w:cs="仿宋_GB2312" w:eastAsia="仿宋_GB2312"/>
                      <w:sz w:val="24"/>
                    </w:rPr>
                    <w:t>；</w:t>
                  </w:r>
                  <w:r>
                    <w:rPr>
                      <w:rFonts w:ascii="仿宋_GB2312" w:hAnsi="仿宋_GB2312" w:cs="仿宋_GB2312" w:eastAsia="仿宋_GB2312"/>
                      <w:sz w:val="24"/>
                    </w:rPr>
                    <w:t>磷酸二氢钾有效成分</w:t>
                  </w:r>
                  <w:r>
                    <w:rPr>
                      <w:rFonts w:ascii="仿宋_GB2312" w:hAnsi="仿宋_GB2312" w:cs="仿宋_GB2312" w:eastAsia="仿宋_GB2312"/>
                      <w:sz w:val="24"/>
                    </w:rPr>
                    <w:t>≥98%。</w:t>
                  </w:r>
                </w:p>
              </w:tc>
              <w:tc>
                <w:tcPr>
                  <w:tcW w:type="dxa" w:w="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合同签订后10日历天，按照采购人要求按时供货。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其他，该项目资金拨付到单位账户后，达到付款条件起30个工作日内，支付合同总金额的100.0%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1、所供产品的规格、数量符合招标文件、投标人承诺及采购合同约定的要求。 2、所有产品均已运输至指定地点。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不少于1年。（供货时剩余保质期不少于包装保质期的三分之二）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投标文件。中标人在领取中标通知书前将纸质版投标文件打印胶装3份、电子版（U盘）文件3份提交至采购代理机构处，以便采购人进行留存备案等工作，中标人应保持投标文件纸质版内容与电子版内容完全一致，否则将承担一切法律责任。纸质版投标文件一律采用书籍（胶装）方式装订且单面或双面打印。 2、落实政府采购政策需满足的资格要求：（1）《国务院办公厅关于建立政府强制采购节能产品制度的通知》（国办发〔2007〕51号）； （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本项目专门面向中小企业采购，投标人须提供《中小企业声明函》；</w:t>
            </w:r>
          </w:p>
        </w:tc>
        <w:tc>
          <w:tcPr>
            <w:tcW w:type="dxa" w:w="1661"/>
          </w:tcPr>
          <w:p>
            <w:pPr>
              <w:pStyle w:val="null3"/>
            </w:pPr>
            <w:r>
              <w:rPr>
                <w:rFonts w:ascii="仿宋_GB2312" w:hAnsi="仿宋_GB2312" w:cs="仿宋_GB2312" w:eastAsia="仿宋_GB2312"/>
              </w:rPr>
              <w:t>中小企业声明函 资格审查资料.docx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①投标人为制造商须具备药品三证（农药登记证、农药生产许可证、产品标准证）；投标人为代理商须提供农药经营许可证及药品三证（农药登记证、农药生产许可证、产品标准证）复印件加盖制造商单位公章；②投标人为制造商的须提供农业部门批准核发肥料登记证或农业农村部肥料备案信息系统备案截图或省级农业农村部门肥料备案信息系统备案截图；投标人为代理商须提供制造商农业部门批准核发肥料登记证复印件或农业农村部肥料备案信息系统备案截图或省级农业农村部门肥料备案信息系统备案截图加盖制造商单位公章。</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1、对照招标文件，对技术参数和要求等内容做出的实质性响应，按其响应程度计分，产品品牌、规格、型号描述详细，性能全部满足招标文件得基本分（20分）。 2、加分项（3分）：在基本分的基础上，响应产品技术参数经评标委员会认定确实优于招标文件规定的参数要求，并且对项目实施和应用有实质性提升的（提供证明材料），根据其响应程度进行相应加分，每正偏离一项加1分，最多加3分。未提供证明材料的不予加分。 注：若证明材料低于招标文件规定的相应参数时视为负偏离。</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1、根据项目需求编制实施方案：包含①供货、配送方案；②进度计划措施；③验收组织措施；④产品调换方案及应急预案；⑤台账建立和影像资料的留存方案。以上资料每提供一项得1.8分，最高得9分。 2、根据评审标准对投标人实施方案进行评审,每一条不符合本项目特点和实际需求,存在缺陷或实用性不强的扣0.6分，扣完为止。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所投产品的的合法来源渠道证明文件(包括：1、彩页或说明书；2、出厂检验报告或第三方检测报告；3、投标人为生产商的提供自主生产的证明资料，投标人为代理商的提供产品制造商授权或销售协议或代理协议)，每个产品提供以上资料齐全的，得2分，最高得6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1、根据项目需求内容制定整体质量保证措施：包含①质量管理措施；②质量管理制度；③产品的质量保证方案及承诺。以上资料每提供一项得1.5分，最高得4.5分。 2、根据评审标准对投标人整体质量保证措施进行评审，每一条不符合本项目特点和实际需求，存在缺陷或实用性不强的扣0.5分，扣完为止。 3、评审标准： ①完整性：方案须全面，对评审内容中的各项要求有详细描述； ②可实施性：切合本项目实际情况，实施步清晰、合理；③针对性：方案能够紧扣项目实际情况，内容科学合理。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根据项目需求提供专业的服务人员，每提供一名人员得1分，最多的5分；证明材料：①身份证复印件或扫描件；②近6个月内任意一个月的社保缴纳证明或签订的劳动合同协议；以上材料不全不予计分。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根据项目需求配置专业运输车辆，每配置一辆得1分，最多的3分。证明材料：①车辆实景照片：②有效车辆行驶证；以上材料不全不予计分。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采购需求提供售后服务方案：包含①售后服务方案、售后服务保障措施；②健全的售后服务机构、配备专职售后人员；③售后服务承诺；④技术咨询及指导方案。以上资料每提供一项得1.5分，最高得6分。 1、根据评审标准对投标人培训方案及售后服务方案进行评审，每一条不符合本项目特点和实际需求，存在缺陷或实用性不强的扣0.5分，扣完为止。 2、评审标准：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投标文件对交货时间、质量保修范围和保修期、支付约定等商务要求完全响应的计1.5分； 交货时间、质量保修范围和保修期每有一项优于招标文件加1分，最高加2分。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提供2023年6月1日至今类似项目的合同或中标（成交）通知书（以所提供资料的落款时间为准），每提供一份业绩计2分，最高10分。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1、经资格审查及符合性评审合格的投标文件，其投标报价有效； 2、投标报价得分=(评标基准价／投标报价)×30%×100； 3、评标基准价=各投标人报价中的最低价。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