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D7380">
      <w:pPr>
        <w:spacing w:line="360" w:lineRule="auto"/>
        <w:jc w:val="center"/>
        <w:outlineLvl w:val="0"/>
        <w:rPr>
          <w:rFonts w:ascii="宋体" w:hAnsi="宋体" w:cs="宋体"/>
          <w:b/>
          <w:bCs/>
          <w:color w:val="auto"/>
          <w:sz w:val="30"/>
          <w:szCs w:val="24"/>
          <w:highlight w:val="none"/>
        </w:rPr>
      </w:pPr>
      <w:bookmarkStart w:id="0" w:name="_Toc5113"/>
      <w:bookmarkStart w:id="1" w:name="_Toc5790"/>
      <w:bookmarkStart w:id="2" w:name="_Toc2910"/>
      <w:r>
        <w:rPr>
          <w:rFonts w:hint="eastAsia" w:ascii="宋体" w:hAnsi="宋体" w:cs="宋体"/>
          <w:b/>
          <w:bCs/>
          <w:color w:val="auto"/>
          <w:sz w:val="30"/>
          <w:szCs w:val="24"/>
          <w:highlight w:val="none"/>
        </w:rPr>
        <w:t>政府采购合同（样例）</w:t>
      </w:r>
      <w:bookmarkEnd w:id="0"/>
      <w:bookmarkEnd w:id="1"/>
      <w:bookmarkEnd w:id="2"/>
    </w:p>
    <w:p w14:paraId="7D3232A6">
      <w:pPr>
        <w:spacing w:line="360" w:lineRule="auto"/>
        <w:jc w:val="center"/>
        <w:rPr>
          <w:rFonts w:ascii="宋体" w:hAnsi="宋体" w:cs="宋体"/>
          <w:b/>
          <w:color w:val="auto"/>
          <w:sz w:val="28"/>
          <w:szCs w:val="28"/>
          <w:highlight w:val="none"/>
        </w:rPr>
      </w:pPr>
    </w:p>
    <w:p w14:paraId="25039EC6">
      <w:pPr>
        <w:spacing w:line="360" w:lineRule="auto"/>
        <w:jc w:val="center"/>
        <w:rPr>
          <w:rFonts w:ascii="宋体" w:hAnsi="宋体" w:cs="宋体"/>
          <w:b/>
          <w:bCs/>
          <w:color w:val="auto"/>
          <w:sz w:val="28"/>
          <w:szCs w:val="28"/>
          <w:highlight w:val="none"/>
        </w:rPr>
      </w:pPr>
    </w:p>
    <w:p w14:paraId="7E259395">
      <w:pPr>
        <w:spacing w:line="360" w:lineRule="auto"/>
        <w:rPr>
          <w:rFonts w:ascii="宋体" w:hAnsi="宋体" w:cs="宋体"/>
          <w:b/>
          <w:color w:val="auto"/>
          <w:sz w:val="28"/>
          <w:szCs w:val="28"/>
          <w:highlight w:val="none"/>
        </w:rPr>
      </w:pPr>
    </w:p>
    <w:p w14:paraId="2B444A7D">
      <w:pPr>
        <w:spacing w:line="360" w:lineRule="auto"/>
        <w:rPr>
          <w:rFonts w:ascii="宋体" w:hAnsi="宋体" w:cs="宋体"/>
          <w:b/>
          <w:color w:val="auto"/>
          <w:sz w:val="28"/>
          <w:szCs w:val="28"/>
          <w:highlight w:val="none"/>
        </w:rPr>
      </w:pPr>
    </w:p>
    <w:p w14:paraId="1E54840A">
      <w:pPr>
        <w:spacing w:line="360" w:lineRule="auto"/>
        <w:jc w:val="center"/>
        <w:rPr>
          <w:rFonts w:ascii="宋体" w:hAnsi="宋体" w:cs="宋体"/>
          <w:b/>
          <w:color w:val="auto"/>
          <w:sz w:val="28"/>
          <w:szCs w:val="28"/>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w:t>
      </w:r>
      <w:r>
        <w:rPr>
          <w:rFonts w:hint="eastAsia" w:ascii="宋体" w:hAnsi="宋体" w:cs="宋体"/>
          <w:b/>
          <w:color w:val="auto"/>
          <w:sz w:val="28"/>
          <w:szCs w:val="28"/>
          <w:highlight w:val="none"/>
          <w:lang w:val="en-US" w:eastAsia="zh-CN"/>
        </w:rPr>
        <w:t>项目名称</w:t>
      </w:r>
      <w:r>
        <w:rPr>
          <w:rFonts w:hint="eastAsia" w:ascii="宋体" w:hAnsi="宋体" w:cs="宋体"/>
          <w:b/>
          <w:color w:val="auto"/>
          <w:sz w:val="28"/>
          <w:szCs w:val="28"/>
          <w:highlight w:val="none"/>
        </w:rPr>
        <w:t>）</w:t>
      </w:r>
    </w:p>
    <w:p w14:paraId="627EFA6B">
      <w:pPr>
        <w:spacing w:line="360" w:lineRule="auto"/>
        <w:rPr>
          <w:rFonts w:ascii="宋体" w:hAnsi="宋体" w:cs="宋体"/>
          <w:b/>
          <w:color w:val="auto"/>
          <w:sz w:val="28"/>
          <w:szCs w:val="28"/>
          <w:highlight w:val="none"/>
        </w:rPr>
      </w:pPr>
    </w:p>
    <w:p w14:paraId="083C65A2">
      <w:pPr>
        <w:spacing w:line="360" w:lineRule="auto"/>
        <w:jc w:val="center"/>
        <w:rPr>
          <w:rFonts w:ascii="宋体" w:hAnsi="宋体" w:cs="宋体"/>
          <w:b/>
          <w:color w:val="auto"/>
          <w:sz w:val="28"/>
          <w:szCs w:val="28"/>
          <w:highlight w:val="none"/>
        </w:rPr>
      </w:pPr>
    </w:p>
    <w:p w14:paraId="5E1E6DDB">
      <w:pPr>
        <w:pStyle w:val="8"/>
        <w:rPr>
          <w:rFonts w:ascii="宋体" w:hAnsi="宋体" w:cs="宋体"/>
          <w:color w:val="auto"/>
          <w:highlight w:val="none"/>
        </w:rPr>
      </w:pPr>
    </w:p>
    <w:p w14:paraId="0E834762">
      <w:pPr>
        <w:spacing w:line="360" w:lineRule="auto"/>
        <w:rPr>
          <w:rFonts w:ascii="宋体" w:hAnsi="宋体" w:cs="宋体"/>
          <w:b/>
          <w:color w:val="auto"/>
          <w:sz w:val="28"/>
          <w:szCs w:val="28"/>
          <w:highlight w:val="none"/>
        </w:rPr>
      </w:pPr>
    </w:p>
    <w:p w14:paraId="55C3EE47">
      <w:pPr>
        <w:spacing w:line="360" w:lineRule="auto"/>
        <w:rPr>
          <w:rFonts w:ascii="宋体" w:hAnsi="宋体" w:cs="宋体"/>
          <w:b/>
          <w:color w:val="auto"/>
          <w:sz w:val="28"/>
          <w:szCs w:val="28"/>
          <w:highlight w:val="none"/>
        </w:rPr>
      </w:pPr>
    </w:p>
    <w:p w14:paraId="714AD46D">
      <w:pPr>
        <w:spacing w:line="360" w:lineRule="auto"/>
        <w:rPr>
          <w:rFonts w:ascii="宋体" w:hAnsi="宋体" w:cs="宋体"/>
          <w:b/>
          <w:color w:val="auto"/>
          <w:sz w:val="28"/>
          <w:szCs w:val="28"/>
          <w:highlight w:val="none"/>
        </w:rPr>
      </w:pPr>
    </w:p>
    <w:p w14:paraId="75262879">
      <w:pPr>
        <w:spacing w:line="360" w:lineRule="auto"/>
        <w:rPr>
          <w:rFonts w:ascii="宋体" w:hAnsi="宋体" w:cs="宋体"/>
          <w:b/>
          <w:color w:val="auto"/>
          <w:sz w:val="28"/>
          <w:szCs w:val="28"/>
          <w:highlight w:val="none"/>
        </w:rPr>
      </w:pPr>
    </w:p>
    <w:p w14:paraId="0AD07A70">
      <w:pPr>
        <w:pStyle w:val="11"/>
        <w:rPr>
          <w:rFonts w:ascii="宋体" w:hAnsi="宋体" w:cs="宋体"/>
          <w:b/>
          <w:color w:val="auto"/>
          <w:sz w:val="28"/>
          <w:szCs w:val="28"/>
          <w:highlight w:val="none"/>
        </w:rPr>
      </w:pPr>
    </w:p>
    <w:p w14:paraId="1DEC543B">
      <w:pPr>
        <w:pStyle w:val="11"/>
        <w:rPr>
          <w:rFonts w:ascii="宋体" w:hAnsi="宋体" w:cs="宋体"/>
          <w:b/>
          <w:color w:val="auto"/>
          <w:sz w:val="28"/>
          <w:szCs w:val="28"/>
          <w:highlight w:val="none"/>
        </w:rPr>
      </w:pPr>
    </w:p>
    <w:p w14:paraId="68A64056">
      <w:pPr>
        <w:pStyle w:val="11"/>
        <w:rPr>
          <w:rFonts w:ascii="宋体" w:hAnsi="宋体" w:cs="宋体"/>
          <w:b/>
          <w:color w:val="auto"/>
          <w:sz w:val="28"/>
          <w:szCs w:val="28"/>
          <w:highlight w:val="none"/>
        </w:rPr>
      </w:pPr>
    </w:p>
    <w:p w14:paraId="16D2AACD">
      <w:pPr>
        <w:spacing w:line="360" w:lineRule="auto"/>
        <w:rPr>
          <w:rFonts w:ascii="宋体" w:hAnsi="宋体" w:cs="宋体"/>
          <w:b/>
          <w:color w:val="auto"/>
          <w:sz w:val="28"/>
          <w:szCs w:val="28"/>
          <w:highlight w:val="none"/>
        </w:rPr>
      </w:pPr>
    </w:p>
    <w:p w14:paraId="5EF914AA">
      <w:pPr>
        <w:pStyle w:val="5"/>
      </w:pPr>
    </w:p>
    <w:p w14:paraId="5A7E0F25">
      <w:pPr>
        <w:spacing w:line="360" w:lineRule="auto"/>
        <w:rPr>
          <w:rFonts w:ascii="宋体" w:hAnsi="宋体" w:cs="宋体"/>
          <w:b/>
          <w:color w:val="auto"/>
          <w:sz w:val="28"/>
          <w:szCs w:val="28"/>
          <w:highlight w:val="none"/>
        </w:rPr>
      </w:pPr>
    </w:p>
    <w:p w14:paraId="77745486">
      <w:pPr>
        <w:spacing w:line="360" w:lineRule="auto"/>
        <w:rPr>
          <w:rFonts w:ascii="宋体" w:hAnsi="宋体" w:cs="宋体"/>
          <w:b/>
          <w:color w:val="auto"/>
          <w:sz w:val="28"/>
          <w:szCs w:val="28"/>
          <w:highlight w:val="none"/>
        </w:rPr>
      </w:pPr>
    </w:p>
    <w:p w14:paraId="34582464">
      <w:pPr>
        <w:adjustRightInd w:val="0"/>
        <w:snapToGrid w:val="0"/>
        <w:spacing w:line="360" w:lineRule="auto"/>
        <w:jc w:val="center"/>
        <w:rPr>
          <w:rFonts w:ascii="宋体" w:hAnsi="宋体" w:cs="宋体"/>
          <w:b/>
          <w:color w:val="auto"/>
          <w:spacing w:val="23"/>
          <w:sz w:val="28"/>
          <w:szCs w:val="28"/>
          <w:highlight w:val="none"/>
        </w:rPr>
      </w:pPr>
      <w:r>
        <w:rPr>
          <w:rFonts w:hint="eastAsia" w:ascii="宋体" w:hAnsi="宋体" w:cs="宋体"/>
          <w:b/>
          <w:color w:val="auto"/>
          <w:spacing w:val="23"/>
          <w:sz w:val="28"/>
          <w:szCs w:val="28"/>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采购人</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w:t>
      </w:r>
      <w:r>
        <w:rPr>
          <w:rFonts w:hint="eastAsia" w:ascii="宋体" w:hAnsi="宋体" w:cs="宋体"/>
          <w:color w:val="auto"/>
          <w:spacing w:val="23"/>
          <w:sz w:val="28"/>
          <w:szCs w:val="28"/>
          <w:highlight w:val="none"/>
          <w:u w:val="single"/>
        </w:rPr>
        <w:t></w:t>
      </w:r>
    </w:p>
    <w:p w14:paraId="00C9D4E0">
      <w:pPr>
        <w:adjustRightInd w:val="0"/>
        <w:snapToGrid w:val="0"/>
        <w:spacing w:line="360" w:lineRule="auto"/>
        <w:jc w:val="center"/>
        <w:rPr>
          <w:rFonts w:ascii="宋体" w:hAnsi="宋体" w:cs="宋体"/>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乙方</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(投标人)：</w:t>
      </w:r>
      <w:r>
        <w:rPr>
          <w:rFonts w:hint="eastAsia" w:ascii="宋体" w:hAnsi="宋体" w:cs="宋体"/>
          <w:color w:val="auto"/>
          <w:spacing w:val="23"/>
          <w:sz w:val="28"/>
          <w:szCs w:val="28"/>
          <w:highlight w:val="none"/>
          <w:u w:val="single"/>
        </w:rPr>
        <w:t></w:t>
      </w:r>
    </w:p>
    <w:p w14:paraId="24ED5685">
      <w:pPr>
        <w:adjustRightInd w:val="0"/>
        <w:snapToGrid w:val="0"/>
        <w:spacing w:line="360" w:lineRule="auto"/>
        <w:jc w:val="center"/>
        <w:rPr>
          <w:rFonts w:ascii="宋体" w:hAnsi="宋体" w:cs="宋体"/>
          <w:b/>
          <w:color w:val="auto"/>
          <w:sz w:val="28"/>
          <w:szCs w:val="28"/>
          <w:highlight w:val="none"/>
        </w:rPr>
      </w:pPr>
      <w:r>
        <w:rPr>
          <w:rFonts w:hint="eastAsia" w:ascii="宋体" w:hAnsi="宋体" w:cs="宋体"/>
          <w:b/>
          <w:color w:val="auto"/>
          <w:spacing w:val="23"/>
          <w:sz w:val="28"/>
          <w:szCs w:val="28"/>
          <w:highlight w:val="none"/>
        </w:rPr>
        <w:t>签订时间：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月</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日</w:t>
      </w:r>
    </w:p>
    <w:p w14:paraId="1D604CE1">
      <w:pPr>
        <w:widowControl/>
        <w:spacing w:line="360" w:lineRule="auto"/>
        <w:ind w:firstLine="562" w:firstLineChars="200"/>
        <w:jc w:val="center"/>
        <w:rPr>
          <w:rFonts w:hint="eastAsia" w:ascii="宋体" w:hAnsi="宋体" w:eastAsia="宋体" w:cs="宋体"/>
          <w:b/>
          <w:color w:val="auto"/>
          <w:sz w:val="28"/>
          <w:szCs w:val="28"/>
          <w:highlight w:val="none"/>
        </w:rPr>
      </w:pPr>
    </w:p>
    <w:p w14:paraId="05CE89AD">
      <w:pPr>
        <w:pStyle w:val="2"/>
        <w:rPr>
          <w:rFonts w:hint="eastAsia"/>
        </w:rPr>
      </w:pPr>
    </w:p>
    <w:p w14:paraId="0024C691">
      <w:pPr>
        <w:widowControl/>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合同范本</w:t>
      </w:r>
    </w:p>
    <w:p w14:paraId="11EE0671">
      <w:pPr>
        <w:widowControl/>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甲方(采购人)：</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p>
    <w:p w14:paraId="0B4E0BA1">
      <w:pPr>
        <w:widowControl/>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cs="宋体"/>
          <w:bCs/>
          <w:color w:val="auto"/>
          <w:sz w:val="24"/>
          <w:szCs w:val="24"/>
          <w:highlight w:val="none"/>
          <w:lang w:val="en-US" w:eastAsia="zh-CN"/>
        </w:rPr>
        <w:t>投标人</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              </w:t>
      </w:r>
    </w:p>
    <w:p w14:paraId="1DF42F67">
      <w:pPr>
        <w:pStyle w:val="12"/>
        <w:spacing w:line="360" w:lineRule="auto"/>
        <w:ind w:firstLine="480"/>
        <w:rPr>
          <w:rFonts w:hint="eastAsia" w:ascii="宋体" w:hAnsi="宋体" w:eastAsia="宋体" w:cs="宋体"/>
          <w:color w:val="auto"/>
          <w:highlight w:val="none"/>
        </w:rPr>
      </w:pPr>
      <w:r>
        <w:rPr>
          <w:rFonts w:hint="eastAsia" w:ascii="宋体" w:hAnsi="宋体" w:eastAsia="宋体" w:cs="宋体"/>
          <w:bCs/>
          <w:color w:val="auto"/>
          <w:highlight w:val="none"/>
        </w:rPr>
        <w:t>甲乙双方经协商一致，订立本合同，</w:t>
      </w:r>
      <w:r>
        <w:rPr>
          <w:rFonts w:hint="eastAsia" w:ascii="宋体" w:hAnsi="宋体" w:eastAsia="宋体" w:cs="宋体"/>
          <w:color w:val="auto"/>
          <w:highlight w:val="none"/>
        </w:rPr>
        <w:t>根据《中华人民共和国</w:t>
      </w:r>
      <w:r>
        <w:rPr>
          <w:rFonts w:hint="eastAsia" w:ascii="宋体" w:hAnsi="宋体" w:eastAsia="宋体" w:cs="宋体"/>
          <w:color w:val="auto"/>
          <w:highlight w:val="none"/>
          <w:lang w:val="en-US" w:eastAsia="zh-CN"/>
        </w:rPr>
        <w:t>民法典</w:t>
      </w:r>
      <w:r>
        <w:rPr>
          <w:rFonts w:hint="eastAsia" w:ascii="宋体" w:hAnsi="宋体" w:eastAsia="宋体" w:cs="宋体"/>
          <w:color w:val="auto"/>
          <w:highlight w:val="none"/>
        </w:rPr>
        <w:t>》《中华人民共和国政府采购法》及</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highlight w:val="none"/>
        </w:rPr>
        <w:t>的</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及</w:t>
      </w:r>
      <w:r>
        <w:rPr>
          <w:rFonts w:hint="eastAsia" w:ascii="宋体" w:hAnsi="宋体" w:eastAsia="宋体" w:cs="宋体"/>
          <w:color w:val="auto"/>
          <w:highlight w:val="none"/>
          <w:lang w:val="en-US" w:eastAsia="zh-CN"/>
        </w:rPr>
        <w:t>中标（</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通知书，甲、乙双方同意签订本合同。详细技术说明及其他有关合同项目的特定信息由合同附件予以说明，合同附件及本项目的</w:t>
      </w:r>
      <w:r>
        <w:rPr>
          <w:rFonts w:hint="eastAsia" w:ascii="宋体" w:hAnsi="宋体" w:eastAsia="宋体" w:cs="宋体"/>
          <w:color w:val="auto"/>
          <w:highlight w:val="none"/>
          <w:lang w:val="en-US"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中标</w:t>
      </w:r>
      <w:r>
        <w:rPr>
          <w:rFonts w:hint="eastAsia" w:ascii="宋体" w:hAnsi="宋体" w:eastAsia="宋体" w:cs="宋体"/>
          <w:color w:val="auto"/>
          <w:highlight w:val="none"/>
        </w:rPr>
        <w:t>通知书等均为本合同不可分割的部分。双方同意共同遵守如下条款：</w:t>
      </w:r>
    </w:p>
    <w:p w14:paraId="20380B53">
      <w:pPr>
        <w:widowControl/>
        <w:numPr>
          <w:ilvl w:val="0"/>
          <w:numId w:val="0"/>
        </w:num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 xml:space="preserve"> 采购内容：</w:t>
      </w:r>
    </w:p>
    <w:tbl>
      <w:tblPr>
        <w:tblStyle w:val="9"/>
        <w:tblW w:w="8437" w:type="dxa"/>
        <w:tblInd w:w="-2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9"/>
        <w:gridCol w:w="1817"/>
        <w:gridCol w:w="1314"/>
        <w:gridCol w:w="1199"/>
        <w:gridCol w:w="1363"/>
        <w:gridCol w:w="1835"/>
      </w:tblGrid>
      <w:tr w14:paraId="725BC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tcBorders>
              <w:left w:val="single" w:color="000000" w:sz="8" w:space="0"/>
            </w:tcBorders>
            <w:noWrap w:val="0"/>
            <w:vAlign w:val="center"/>
          </w:tcPr>
          <w:p w14:paraId="63821230">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p>
        </w:tc>
        <w:tc>
          <w:tcPr>
            <w:tcW w:w="1817" w:type="dxa"/>
            <w:noWrap w:val="0"/>
            <w:vAlign w:val="center"/>
          </w:tcPr>
          <w:p w14:paraId="32BA387B">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规格/参数</w:t>
            </w:r>
          </w:p>
        </w:tc>
        <w:tc>
          <w:tcPr>
            <w:tcW w:w="1314" w:type="dxa"/>
            <w:noWrap w:val="0"/>
            <w:vAlign w:val="center"/>
          </w:tcPr>
          <w:p w14:paraId="4D255DB4">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品牌</w:t>
            </w:r>
            <w:r>
              <w:rPr>
                <w:rFonts w:hint="eastAsia" w:ascii="宋体" w:hAnsi="宋体" w:eastAsia="宋体" w:cs="宋体"/>
                <w:color w:val="auto"/>
                <w:highlight w:val="none"/>
                <w:lang w:val="en-US" w:eastAsia="zh-CN"/>
              </w:rPr>
              <w:t>/型号</w:t>
            </w:r>
          </w:p>
        </w:tc>
        <w:tc>
          <w:tcPr>
            <w:tcW w:w="1199" w:type="dxa"/>
            <w:noWrap w:val="0"/>
            <w:vAlign w:val="center"/>
          </w:tcPr>
          <w:p w14:paraId="2521A2B8">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363" w:type="dxa"/>
            <w:tcBorders>
              <w:right w:val="single" w:color="000000" w:sz="8" w:space="0"/>
            </w:tcBorders>
            <w:noWrap w:val="0"/>
            <w:vAlign w:val="center"/>
          </w:tcPr>
          <w:p w14:paraId="64D577FA">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单价(元)</w:t>
            </w:r>
          </w:p>
        </w:tc>
        <w:tc>
          <w:tcPr>
            <w:tcW w:w="1835" w:type="dxa"/>
            <w:tcBorders>
              <w:left w:val="single" w:color="000000" w:sz="8" w:space="0"/>
              <w:right w:val="single" w:color="000000" w:sz="8" w:space="0"/>
            </w:tcBorders>
            <w:noWrap w:val="0"/>
            <w:vAlign w:val="center"/>
          </w:tcPr>
          <w:p w14:paraId="5193783F">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总</w:t>
            </w:r>
            <w:r>
              <w:rPr>
                <w:rFonts w:hint="eastAsia" w:ascii="宋体" w:hAnsi="宋体" w:eastAsia="宋体" w:cs="宋体"/>
                <w:color w:val="auto"/>
                <w:highlight w:val="none"/>
                <w:lang w:val="en-US" w:eastAsia="zh-CN"/>
              </w:rPr>
              <w:t>价</w:t>
            </w:r>
            <w:r>
              <w:rPr>
                <w:rFonts w:hint="eastAsia" w:ascii="宋体" w:hAnsi="宋体" w:eastAsia="宋体" w:cs="宋体"/>
                <w:color w:val="auto"/>
                <w:highlight w:val="none"/>
              </w:rPr>
              <w:t>(元)</w:t>
            </w:r>
          </w:p>
        </w:tc>
      </w:tr>
      <w:tr w14:paraId="40B63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noWrap w:val="0"/>
            <w:vAlign w:val="center"/>
          </w:tcPr>
          <w:p w14:paraId="541A96F4">
            <w:pPr>
              <w:pStyle w:val="13"/>
              <w:jc w:val="center"/>
              <w:rPr>
                <w:rFonts w:hint="eastAsia" w:ascii="宋体" w:hAnsi="宋体" w:eastAsia="宋体" w:cs="宋体"/>
                <w:color w:val="auto"/>
                <w:highlight w:val="none"/>
              </w:rPr>
            </w:pPr>
          </w:p>
        </w:tc>
        <w:tc>
          <w:tcPr>
            <w:tcW w:w="1817" w:type="dxa"/>
            <w:noWrap w:val="0"/>
            <w:vAlign w:val="center"/>
          </w:tcPr>
          <w:p w14:paraId="4CECD8BF">
            <w:pPr>
              <w:pStyle w:val="13"/>
              <w:jc w:val="center"/>
              <w:rPr>
                <w:rFonts w:hint="eastAsia" w:ascii="宋体" w:hAnsi="宋体" w:eastAsia="宋体" w:cs="宋体"/>
                <w:color w:val="auto"/>
                <w:highlight w:val="none"/>
              </w:rPr>
            </w:pPr>
          </w:p>
        </w:tc>
        <w:tc>
          <w:tcPr>
            <w:tcW w:w="1314" w:type="dxa"/>
            <w:noWrap w:val="0"/>
            <w:vAlign w:val="center"/>
          </w:tcPr>
          <w:p w14:paraId="5FC561E0">
            <w:pPr>
              <w:pStyle w:val="13"/>
              <w:jc w:val="center"/>
              <w:rPr>
                <w:rFonts w:hint="eastAsia" w:ascii="宋体" w:hAnsi="宋体" w:eastAsia="宋体" w:cs="宋体"/>
                <w:color w:val="auto"/>
                <w:highlight w:val="none"/>
              </w:rPr>
            </w:pPr>
          </w:p>
        </w:tc>
        <w:tc>
          <w:tcPr>
            <w:tcW w:w="1199" w:type="dxa"/>
            <w:noWrap w:val="0"/>
            <w:vAlign w:val="center"/>
          </w:tcPr>
          <w:p w14:paraId="659CF2F1">
            <w:pPr>
              <w:pStyle w:val="13"/>
              <w:jc w:val="center"/>
              <w:rPr>
                <w:rFonts w:hint="eastAsia" w:ascii="宋体" w:hAnsi="宋体" w:eastAsia="宋体" w:cs="宋体"/>
                <w:color w:val="auto"/>
                <w:highlight w:val="none"/>
              </w:rPr>
            </w:pPr>
          </w:p>
        </w:tc>
        <w:tc>
          <w:tcPr>
            <w:tcW w:w="1363" w:type="dxa"/>
            <w:noWrap w:val="0"/>
            <w:vAlign w:val="center"/>
          </w:tcPr>
          <w:p w14:paraId="2785A70C">
            <w:pPr>
              <w:pStyle w:val="13"/>
              <w:jc w:val="center"/>
              <w:rPr>
                <w:rFonts w:hint="eastAsia" w:ascii="宋体" w:hAnsi="宋体" w:eastAsia="宋体" w:cs="宋体"/>
                <w:color w:val="auto"/>
                <w:highlight w:val="none"/>
              </w:rPr>
            </w:pPr>
          </w:p>
        </w:tc>
        <w:tc>
          <w:tcPr>
            <w:tcW w:w="1835" w:type="dxa"/>
            <w:noWrap w:val="0"/>
            <w:vAlign w:val="center"/>
          </w:tcPr>
          <w:p w14:paraId="4ABD59DB">
            <w:pPr>
              <w:pStyle w:val="13"/>
              <w:jc w:val="center"/>
              <w:rPr>
                <w:rFonts w:hint="eastAsia" w:ascii="宋体" w:hAnsi="宋体" w:eastAsia="宋体" w:cs="宋体"/>
                <w:color w:val="auto"/>
                <w:highlight w:val="none"/>
              </w:rPr>
            </w:pPr>
          </w:p>
        </w:tc>
      </w:tr>
      <w:tr w14:paraId="4BD42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noWrap w:val="0"/>
            <w:vAlign w:val="center"/>
          </w:tcPr>
          <w:p w14:paraId="3B954F55">
            <w:pPr>
              <w:pStyle w:val="13"/>
              <w:jc w:val="center"/>
              <w:rPr>
                <w:rFonts w:hint="eastAsia" w:ascii="宋体" w:hAnsi="宋体" w:eastAsia="宋体" w:cs="宋体"/>
                <w:color w:val="auto"/>
                <w:highlight w:val="none"/>
              </w:rPr>
            </w:pPr>
          </w:p>
        </w:tc>
        <w:tc>
          <w:tcPr>
            <w:tcW w:w="1817" w:type="dxa"/>
            <w:noWrap w:val="0"/>
            <w:vAlign w:val="center"/>
          </w:tcPr>
          <w:p w14:paraId="06C1BD6C">
            <w:pPr>
              <w:pStyle w:val="13"/>
              <w:jc w:val="center"/>
              <w:rPr>
                <w:rFonts w:hint="eastAsia" w:ascii="宋体" w:hAnsi="宋体" w:eastAsia="宋体" w:cs="宋体"/>
                <w:color w:val="auto"/>
                <w:highlight w:val="none"/>
              </w:rPr>
            </w:pPr>
          </w:p>
        </w:tc>
        <w:tc>
          <w:tcPr>
            <w:tcW w:w="1314" w:type="dxa"/>
            <w:noWrap w:val="0"/>
            <w:vAlign w:val="center"/>
          </w:tcPr>
          <w:p w14:paraId="26D946B8">
            <w:pPr>
              <w:pStyle w:val="13"/>
              <w:jc w:val="center"/>
              <w:rPr>
                <w:rFonts w:hint="eastAsia" w:ascii="宋体" w:hAnsi="宋体" w:eastAsia="宋体" w:cs="宋体"/>
                <w:color w:val="auto"/>
                <w:highlight w:val="none"/>
              </w:rPr>
            </w:pPr>
          </w:p>
        </w:tc>
        <w:tc>
          <w:tcPr>
            <w:tcW w:w="1199" w:type="dxa"/>
            <w:noWrap w:val="0"/>
            <w:vAlign w:val="center"/>
          </w:tcPr>
          <w:p w14:paraId="7A3D5A87">
            <w:pPr>
              <w:pStyle w:val="13"/>
              <w:jc w:val="center"/>
              <w:rPr>
                <w:rFonts w:hint="eastAsia" w:ascii="宋体" w:hAnsi="宋体" w:eastAsia="宋体" w:cs="宋体"/>
                <w:color w:val="auto"/>
                <w:highlight w:val="none"/>
              </w:rPr>
            </w:pPr>
          </w:p>
        </w:tc>
        <w:tc>
          <w:tcPr>
            <w:tcW w:w="1363" w:type="dxa"/>
            <w:noWrap w:val="0"/>
            <w:vAlign w:val="center"/>
          </w:tcPr>
          <w:p w14:paraId="2593AFA0">
            <w:pPr>
              <w:pStyle w:val="13"/>
              <w:jc w:val="center"/>
              <w:rPr>
                <w:rFonts w:hint="eastAsia" w:ascii="宋体" w:hAnsi="宋体" w:eastAsia="宋体" w:cs="宋体"/>
                <w:color w:val="auto"/>
                <w:highlight w:val="none"/>
              </w:rPr>
            </w:pPr>
          </w:p>
        </w:tc>
        <w:tc>
          <w:tcPr>
            <w:tcW w:w="1835" w:type="dxa"/>
            <w:noWrap w:val="0"/>
            <w:vAlign w:val="center"/>
          </w:tcPr>
          <w:p w14:paraId="2B03FF2D">
            <w:pPr>
              <w:pStyle w:val="13"/>
              <w:jc w:val="center"/>
              <w:rPr>
                <w:rFonts w:hint="eastAsia" w:ascii="宋体" w:hAnsi="宋体" w:eastAsia="宋体" w:cs="宋体"/>
                <w:color w:val="auto"/>
                <w:highlight w:val="none"/>
              </w:rPr>
            </w:pPr>
          </w:p>
        </w:tc>
      </w:tr>
      <w:tr w14:paraId="37190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noWrap w:val="0"/>
            <w:vAlign w:val="center"/>
          </w:tcPr>
          <w:p w14:paraId="256CB1AE">
            <w:pPr>
              <w:pStyle w:val="13"/>
              <w:jc w:val="center"/>
              <w:rPr>
                <w:rFonts w:hint="eastAsia" w:ascii="宋体" w:hAnsi="宋体" w:eastAsia="宋体" w:cs="宋体"/>
                <w:color w:val="auto"/>
                <w:highlight w:val="none"/>
              </w:rPr>
            </w:pPr>
          </w:p>
        </w:tc>
        <w:tc>
          <w:tcPr>
            <w:tcW w:w="1817" w:type="dxa"/>
            <w:noWrap w:val="0"/>
            <w:vAlign w:val="center"/>
          </w:tcPr>
          <w:p w14:paraId="0B48BFB8">
            <w:pPr>
              <w:pStyle w:val="13"/>
              <w:jc w:val="center"/>
              <w:rPr>
                <w:rFonts w:hint="eastAsia" w:ascii="宋体" w:hAnsi="宋体" w:eastAsia="宋体" w:cs="宋体"/>
                <w:color w:val="auto"/>
                <w:highlight w:val="none"/>
              </w:rPr>
            </w:pPr>
          </w:p>
        </w:tc>
        <w:tc>
          <w:tcPr>
            <w:tcW w:w="1314" w:type="dxa"/>
            <w:noWrap w:val="0"/>
            <w:vAlign w:val="center"/>
          </w:tcPr>
          <w:p w14:paraId="061E2779">
            <w:pPr>
              <w:pStyle w:val="13"/>
              <w:jc w:val="center"/>
              <w:rPr>
                <w:rFonts w:hint="eastAsia" w:ascii="宋体" w:hAnsi="宋体" w:eastAsia="宋体" w:cs="宋体"/>
                <w:color w:val="auto"/>
                <w:highlight w:val="none"/>
              </w:rPr>
            </w:pPr>
          </w:p>
        </w:tc>
        <w:tc>
          <w:tcPr>
            <w:tcW w:w="1199" w:type="dxa"/>
            <w:noWrap w:val="0"/>
            <w:vAlign w:val="center"/>
          </w:tcPr>
          <w:p w14:paraId="332F48AB">
            <w:pPr>
              <w:pStyle w:val="13"/>
              <w:jc w:val="center"/>
              <w:rPr>
                <w:rFonts w:hint="eastAsia" w:ascii="宋体" w:hAnsi="宋体" w:eastAsia="宋体" w:cs="宋体"/>
                <w:color w:val="auto"/>
                <w:highlight w:val="none"/>
              </w:rPr>
            </w:pPr>
          </w:p>
        </w:tc>
        <w:tc>
          <w:tcPr>
            <w:tcW w:w="1363" w:type="dxa"/>
            <w:noWrap w:val="0"/>
            <w:vAlign w:val="center"/>
          </w:tcPr>
          <w:p w14:paraId="72DCE27A">
            <w:pPr>
              <w:pStyle w:val="13"/>
              <w:jc w:val="center"/>
              <w:rPr>
                <w:rFonts w:hint="eastAsia" w:ascii="宋体" w:hAnsi="宋体" w:eastAsia="宋体" w:cs="宋体"/>
                <w:color w:val="auto"/>
                <w:highlight w:val="none"/>
              </w:rPr>
            </w:pPr>
          </w:p>
        </w:tc>
        <w:tc>
          <w:tcPr>
            <w:tcW w:w="1835" w:type="dxa"/>
            <w:noWrap w:val="0"/>
            <w:vAlign w:val="center"/>
          </w:tcPr>
          <w:p w14:paraId="2C251D47">
            <w:pPr>
              <w:pStyle w:val="13"/>
              <w:jc w:val="center"/>
              <w:rPr>
                <w:rFonts w:hint="eastAsia" w:ascii="宋体" w:hAnsi="宋体" w:eastAsia="宋体" w:cs="宋体"/>
                <w:color w:val="auto"/>
                <w:highlight w:val="none"/>
              </w:rPr>
            </w:pPr>
          </w:p>
        </w:tc>
      </w:tr>
      <w:tr w14:paraId="00F2C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exact"/>
        </w:trPr>
        <w:tc>
          <w:tcPr>
            <w:tcW w:w="909" w:type="dxa"/>
            <w:noWrap w:val="0"/>
            <w:vAlign w:val="center"/>
          </w:tcPr>
          <w:p w14:paraId="17EA1840">
            <w:pPr>
              <w:pStyle w:val="13"/>
              <w:jc w:val="center"/>
              <w:rPr>
                <w:rFonts w:hint="eastAsia" w:ascii="宋体" w:hAnsi="宋体" w:eastAsia="宋体" w:cs="宋体"/>
                <w:color w:val="auto"/>
                <w:highlight w:val="none"/>
              </w:rPr>
            </w:pPr>
          </w:p>
        </w:tc>
        <w:tc>
          <w:tcPr>
            <w:tcW w:w="1817" w:type="dxa"/>
            <w:noWrap w:val="0"/>
            <w:vAlign w:val="center"/>
          </w:tcPr>
          <w:p w14:paraId="127A7BEA">
            <w:pPr>
              <w:pStyle w:val="13"/>
              <w:jc w:val="center"/>
              <w:rPr>
                <w:rFonts w:hint="eastAsia" w:ascii="宋体" w:hAnsi="宋体" w:eastAsia="宋体" w:cs="宋体"/>
                <w:color w:val="auto"/>
                <w:highlight w:val="none"/>
              </w:rPr>
            </w:pPr>
          </w:p>
        </w:tc>
        <w:tc>
          <w:tcPr>
            <w:tcW w:w="1314" w:type="dxa"/>
            <w:noWrap w:val="0"/>
            <w:vAlign w:val="center"/>
          </w:tcPr>
          <w:p w14:paraId="23653A12">
            <w:pPr>
              <w:pStyle w:val="13"/>
              <w:jc w:val="center"/>
              <w:rPr>
                <w:rFonts w:hint="eastAsia" w:ascii="宋体" w:hAnsi="宋体" w:eastAsia="宋体" w:cs="宋体"/>
                <w:color w:val="auto"/>
                <w:highlight w:val="none"/>
              </w:rPr>
            </w:pPr>
          </w:p>
        </w:tc>
        <w:tc>
          <w:tcPr>
            <w:tcW w:w="1199" w:type="dxa"/>
            <w:noWrap w:val="0"/>
            <w:vAlign w:val="center"/>
          </w:tcPr>
          <w:p w14:paraId="636EFAFD">
            <w:pPr>
              <w:pStyle w:val="13"/>
              <w:jc w:val="center"/>
              <w:rPr>
                <w:rFonts w:hint="eastAsia" w:ascii="宋体" w:hAnsi="宋体" w:eastAsia="宋体" w:cs="宋体"/>
                <w:color w:val="auto"/>
                <w:highlight w:val="none"/>
              </w:rPr>
            </w:pPr>
          </w:p>
        </w:tc>
        <w:tc>
          <w:tcPr>
            <w:tcW w:w="1363" w:type="dxa"/>
            <w:noWrap w:val="0"/>
            <w:vAlign w:val="center"/>
          </w:tcPr>
          <w:p w14:paraId="20C7B07F">
            <w:pPr>
              <w:pStyle w:val="13"/>
              <w:jc w:val="center"/>
              <w:rPr>
                <w:rFonts w:hint="eastAsia" w:ascii="宋体" w:hAnsi="宋体" w:eastAsia="宋体" w:cs="宋体"/>
                <w:color w:val="auto"/>
                <w:highlight w:val="none"/>
              </w:rPr>
            </w:pPr>
          </w:p>
        </w:tc>
        <w:tc>
          <w:tcPr>
            <w:tcW w:w="1835" w:type="dxa"/>
            <w:noWrap w:val="0"/>
            <w:vAlign w:val="center"/>
          </w:tcPr>
          <w:p w14:paraId="1D7E62A0">
            <w:pPr>
              <w:pStyle w:val="13"/>
              <w:jc w:val="center"/>
              <w:rPr>
                <w:rFonts w:hint="eastAsia" w:ascii="宋体" w:hAnsi="宋体" w:eastAsia="宋体" w:cs="宋体"/>
                <w:color w:val="auto"/>
                <w:highlight w:val="none"/>
              </w:rPr>
            </w:pPr>
          </w:p>
        </w:tc>
      </w:tr>
    </w:tbl>
    <w:p w14:paraId="1FDCE926">
      <w:pPr>
        <w:pStyle w:val="2"/>
        <w:widowControl w:val="0"/>
        <w:numPr>
          <w:ilvl w:val="0"/>
          <w:numId w:val="0"/>
        </w:numPr>
        <w:jc w:val="both"/>
        <w:rPr>
          <w:rFonts w:hint="eastAsia" w:ascii="宋体" w:hAnsi="宋体" w:eastAsia="宋体" w:cs="宋体"/>
          <w:color w:val="auto"/>
          <w:highlight w:val="none"/>
        </w:rPr>
      </w:pPr>
    </w:p>
    <w:p w14:paraId="70E375EF">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合同总额包括完成采购范围内全部货物采购及相关伴随服务等全过程的费用。</w:t>
      </w:r>
    </w:p>
    <w:p w14:paraId="21CBA8B7">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注：货物名称内容必须与</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val="en-US"/>
        </w:rPr>
        <w:t>文件中货物名称内容一致。</w:t>
      </w:r>
    </w:p>
    <w:p w14:paraId="2234299D">
      <w:pPr>
        <w:widowControl/>
        <w:numPr>
          <w:ilvl w:val="0"/>
          <w:numId w:val="0"/>
        </w:numPr>
        <w:spacing w:line="360" w:lineRule="auto"/>
        <w:jc w:val="left"/>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二、合同金额：</w:t>
      </w:r>
    </w:p>
    <w:p w14:paraId="553E072A">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合同金额为</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en-US"/>
        </w:rPr>
        <w:t>人民币（大写：</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lang w:val="en-US"/>
        </w:rPr>
        <w:tab/>
      </w:r>
      <w:r>
        <w:rPr>
          <w:rFonts w:hint="eastAsia" w:ascii="宋体" w:hAnsi="宋体" w:eastAsia="宋体" w:cs="宋体"/>
          <w:color w:val="auto"/>
          <w:highlight w:val="none"/>
          <w:lang w:val="en-US"/>
        </w:rPr>
        <w:t>）（</w:t>
      </w:r>
      <w:r>
        <w:rPr>
          <w:rFonts w:hint="eastAsia" w:ascii="宋体" w:hAnsi="宋体" w:eastAsia="宋体" w:cs="宋体"/>
          <w:color w:val="auto"/>
          <w:highlight w:val="none"/>
          <w:lang w:val="en-US" w:eastAsia="zh-CN"/>
        </w:rPr>
        <w:t>小写：</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lang w:val="en-US"/>
        </w:rPr>
        <w:tab/>
      </w:r>
      <w:r>
        <w:rPr>
          <w:rFonts w:hint="eastAsia" w:ascii="宋体" w:hAnsi="宋体" w:eastAsia="宋体" w:cs="宋体"/>
          <w:color w:val="auto"/>
          <w:highlight w:val="none"/>
          <w:lang w:val="en-US"/>
        </w:rPr>
        <w:t>）。</w:t>
      </w:r>
    </w:p>
    <w:p w14:paraId="44463F13">
      <w:pPr>
        <w:widowControl/>
        <w:numPr>
          <w:ilvl w:val="0"/>
          <w:numId w:val="0"/>
        </w:numPr>
        <w:spacing w:line="360" w:lineRule="auto"/>
        <w:jc w:val="left"/>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三、货物要求：</w:t>
      </w:r>
    </w:p>
    <w:p w14:paraId="645DF77D">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货物为原制造商制造的全新产品，无污染，无侵权行为、表面无划损、无任何缺陷隐患，在中国境内可依常规安全合法使用。</w:t>
      </w:r>
    </w:p>
    <w:p w14:paraId="26B2D1C3">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交付验收标准依次序对照适用标准为：</w:t>
      </w:r>
    </w:p>
    <w:p w14:paraId="6370BD54">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①符合中华人民共和国国家安全质量标准、</w:t>
      </w:r>
      <w:r>
        <w:rPr>
          <w:rFonts w:hint="eastAsia" w:ascii="宋体" w:hAnsi="宋体" w:eastAsia="宋体" w:cs="宋体"/>
          <w:color w:val="auto"/>
          <w:highlight w:val="none"/>
          <w:lang w:val="en-US" w:eastAsia="zh-CN"/>
        </w:rPr>
        <w:t>节能标准、</w:t>
      </w:r>
      <w:r>
        <w:rPr>
          <w:rFonts w:hint="eastAsia" w:ascii="宋体" w:hAnsi="宋体" w:eastAsia="宋体" w:cs="宋体"/>
          <w:color w:val="auto"/>
          <w:highlight w:val="none"/>
          <w:lang w:val="en-US"/>
        </w:rPr>
        <w:t>环保标准或行业标准；</w:t>
      </w:r>
    </w:p>
    <w:p w14:paraId="67E376D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②符合</w:t>
      </w:r>
      <w:r>
        <w:rPr>
          <w:rFonts w:hint="eastAsia" w:ascii="宋体" w:hAnsi="宋体" w:eastAsia="宋体" w:cs="宋体"/>
          <w:color w:val="auto"/>
          <w:highlight w:val="none"/>
          <w:lang w:val="en-US" w:eastAsia="zh-CN"/>
        </w:rPr>
        <w:t>招标文件</w:t>
      </w:r>
      <w:r>
        <w:rPr>
          <w:rFonts w:hint="eastAsia" w:ascii="宋体" w:hAnsi="宋体" w:eastAsia="宋体" w:cs="宋体"/>
          <w:color w:val="auto"/>
          <w:highlight w:val="none"/>
          <w:lang w:val="en-US"/>
        </w:rPr>
        <w:t>和</w:t>
      </w:r>
      <w:r>
        <w:rPr>
          <w:rFonts w:hint="eastAsia" w:ascii="宋体" w:hAnsi="宋体" w:eastAsia="宋体" w:cs="宋体"/>
          <w:color w:val="auto"/>
          <w:highlight w:val="none"/>
          <w:lang w:val="en-US" w:eastAsia="zh-CN"/>
        </w:rPr>
        <w:t>投标文件</w:t>
      </w:r>
      <w:r>
        <w:rPr>
          <w:rFonts w:hint="eastAsia" w:ascii="宋体" w:hAnsi="宋体" w:eastAsia="宋体" w:cs="宋体"/>
          <w:color w:val="auto"/>
          <w:highlight w:val="none"/>
          <w:lang w:val="en-US"/>
        </w:rPr>
        <w:t>中甲方认可的各项要求；</w:t>
      </w:r>
    </w:p>
    <w:p w14:paraId="770C618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highlight w:val="none"/>
          <w:lang w:val="en-US"/>
        </w:rPr>
        <w:t>③货物来源</w:t>
      </w:r>
      <w:r>
        <w:rPr>
          <w:rFonts w:hint="eastAsia" w:ascii="宋体" w:hAnsi="宋体" w:eastAsia="宋体" w:cs="宋体"/>
          <w:color w:val="auto"/>
          <w:highlight w:val="none"/>
          <w:lang w:val="en-US" w:eastAsia="zh-CN"/>
        </w:rPr>
        <w:t>符合相关</w:t>
      </w:r>
      <w:r>
        <w:rPr>
          <w:rFonts w:hint="eastAsia" w:ascii="宋体" w:hAnsi="宋体" w:eastAsia="宋体" w:cs="宋体"/>
          <w:color w:val="auto"/>
          <w:highlight w:val="none"/>
          <w:lang w:val="en-US"/>
        </w:rPr>
        <w:t>标准。</w:t>
      </w:r>
    </w:p>
    <w:p w14:paraId="740815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四、</w:t>
      </w:r>
      <w:r>
        <w:rPr>
          <w:rFonts w:hint="eastAsia" w:ascii="宋体" w:hAnsi="宋体" w:cs="宋体"/>
          <w:b/>
          <w:color w:val="auto"/>
          <w:sz w:val="24"/>
          <w:szCs w:val="24"/>
          <w:highlight w:val="none"/>
          <w:lang w:val="en-US" w:eastAsia="zh-CN"/>
        </w:rPr>
        <w:t>交货</w:t>
      </w:r>
      <w:r>
        <w:rPr>
          <w:rFonts w:hint="eastAsia" w:ascii="宋体" w:hAnsi="宋体" w:eastAsia="宋体" w:cs="宋体"/>
          <w:b/>
          <w:color w:val="auto"/>
          <w:sz w:val="24"/>
          <w:szCs w:val="24"/>
          <w:highlight w:val="none"/>
          <w:lang w:val="en-US" w:eastAsia="zh-CN"/>
        </w:rPr>
        <w:t>期限</w:t>
      </w:r>
      <w:r>
        <w:rPr>
          <w:rFonts w:hint="eastAsia" w:ascii="宋体" w:hAnsi="宋体" w:eastAsia="宋体" w:cs="宋体"/>
          <w:b/>
          <w:color w:val="auto"/>
          <w:sz w:val="24"/>
          <w:szCs w:val="24"/>
          <w:highlight w:val="none"/>
          <w:lang w:val="en-US"/>
        </w:rPr>
        <w:t>及</w:t>
      </w:r>
      <w:r>
        <w:rPr>
          <w:rFonts w:hint="eastAsia" w:ascii="宋体" w:hAnsi="宋体" w:cs="宋体"/>
          <w:b/>
          <w:color w:val="auto"/>
          <w:sz w:val="24"/>
          <w:szCs w:val="24"/>
          <w:highlight w:val="none"/>
          <w:lang w:val="en-US" w:eastAsia="zh-CN"/>
        </w:rPr>
        <w:t>交货</w:t>
      </w:r>
      <w:r>
        <w:rPr>
          <w:rFonts w:hint="eastAsia" w:ascii="宋体" w:hAnsi="宋体" w:eastAsia="宋体" w:cs="宋体"/>
          <w:b/>
          <w:color w:val="auto"/>
          <w:sz w:val="24"/>
          <w:szCs w:val="24"/>
          <w:highlight w:val="none"/>
          <w:lang w:val="en-US"/>
        </w:rPr>
        <w:t>地点：</w:t>
      </w:r>
    </w:p>
    <w:p w14:paraId="7FEB637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b w:val="0"/>
          <w:bCs/>
          <w:color w:val="auto"/>
          <w:sz w:val="24"/>
          <w:szCs w:val="24"/>
          <w:highlight w:val="none"/>
          <w:lang w:val="en-US" w:eastAsia="zh-CN"/>
        </w:rPr>
        <w:t>交货</w:t>
      </w:r>
      <w:r>
        <w:rPr>
          <w:rFonts w:hint="eastAsia" w:ascii="宋体" w:hAnsi="宋体" w:eastAsia="宋体" w:cs="宋体"/>
          <w:color w:val="auto"/>
          <w:highlight w:val="none"/>
          <w:lang w:val="en-US" w:eastAsia="zh-CN"/>
        </w:rPr>
        <w:t>期限</w:t>
      </w:r>
      <w:r>
        <w:rPr>
          <w:rFonts w:hint="eastAsia" w:ascii="宋体" w:hAnsi="宋体" w:eastAsia="宋体" w:cs="宋体"/>
          <w:color w:val="auto"/>
          <w:highlight w:val="none"/>
          <w:lang w:val="en-US"/>
        </w:rPr>
        <w:t>：</w:t>
      </w:r>
      <w:r>
        <w:rPr>
          <w:rFonts w:hint="eastAsia" w:ascii="宋体" w:hAnsi="宋体" w:eastAsia="宋体" w:cs="宋体"/>
          <w:b w:val="0"/>
          <w:bCs/>
          <w:color w:val="auto"/>
          <w:kern w:val="1"/>
          <w:sz w:val="24"/>
          <w:highlight w:val="none"/>
          <w:u w:val="single"/>
          <w:lang w:val="en-US" w:eastAsia="zh-CN"/>
        </w:rPr>
        <w:t xml:space="preserve">                 </w:t>
      </w:r>
      <w:r>
        <w:rPr>
          <w:rFonts w:hint="eastAsia" w:ascii="宋体" w:hAnsi="宋体" w:eastAsia="宋体" w:cs="宋体"/>
          <w:color w:val="auto"/>
          <w:highlight w:val="none"/>
          <w:lang w:val="en-US"/>
        </w:rPr>
        <w:t>。</w:t>
      </w:r>
    </w:p>
    <w:p w14:paraId="36B3F2F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b w:val="0"/>
          <w:bCs/>
          <w:color w:val="auto"/>
          <w:sz w:val="24"/>
          <w:szCs w:val="24"/>
          <w:highlight w:val="none"/>
          <w:lang w:val="en-US" w:eastAsia="zh-CN"/>
        </w:rPr>
        <w:t>交货</w:t>
      </w:r>
      <w:r>
        <w:rPr>
          <w:rFonts w:hint="eastAsia" w:ascii="宋体" w:hAnsi="宋体" w:eastAsia="宋体" w:cs="宋体"/>
          <w:color w:val="auto"/>
          <w:highlight w:val="none"/>
          <w:lang w:val="en-US"/>
        </w:rPr>
        <w:t>地点：</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rPr>
        <w:t>。</w:t>
      </w:r>
    </w:p>
    <w:p w14:paraId="4FC73D63">
      <w:pPr>
        <w:pStyle w:val="14"/>
        <w:keepNext w:val="0"/>
        <w:keepLines w:val="0"/>
        <w:pageBreakBefore w:val="0"/>
        <w:widowControl w:val="0"/>
        <w:numPr>
          <w:ilvl w:val="0"/>
          <w:numId w:val="1"/>
        </w:numPr>
        <w:tabs>
          <w:tab w:val="left" w:pos="1480"/>
        </w:tabs>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付款方式</w:t>
      </w:r>
      <w:r>
        <w:rPr>
          <w:rFonts w:hint="eastAsia" w:ascii="宋体" w:hAnsi="宋体" w:cs="宋体"/>
          <w:b/>
          <w:color w:val="auto"/>
          <w:kern w:val="2"/>
          <w:sz w:val="24"/>
          <w:szCs w:val="24"/>
          <w:highlight w:val="none"/>
          <w:lang w:val="en-US" w:eastAsia="zh-CN" w:bidi="ar-SA"/>
        </w:rPr>
        <w:t>、质保期及其他要求</w:t>
      </w:r>
      <w:r>
        <w:rPr>
          <w:rFonts w:hint="eastAsia" w:ascii="宋体" w:hAnsi="宋体" w:eastAsia="宋体" w:cs="宋体"/>
          <w:b/>
          <w:color w:val="auto"/>
          <w:kern w:val="2"/>
          <w:sz w:val="24"/>
          <w:szCs w:val="24"/>
          <w:highlight w:val="none"/>
          <w:lang w:val="en-US" w:eastAsia="zh-CN" w:bidi="ar-SA"/>
        </w:rPr>
        <w:t>：</w:t>
      </w:r>
    </w:p>
    <w:p w14:paraId="0F26BAD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b w:val="0"/>
          <w:bCs/>
          <w:color w:val="auto"/>
          <w:kern w:val="2"/>
          <w:sz w:val="24"/>
          <w:szCs w:val="24"/>
          <w:highlight w:val="none"/>
          <w:lang w:val="en-US" w:eastAsia="zh-CN" w:bidi="ar-SA"/>
        </w:rPr>
        <w:t>付款方式</w:t>
      </w:r>
      <w:r>
        <w:rPr>
          <w:rFonts w:hint="eastAsia" w:ascii="宋体" w:hAnsi="宋体" w:eastAsia="宋体" w:cs="宋体"/>
          <w:b w:val="0"/>
          <w:bCs/>
          <w:color w:val="auto"/>
          <w:kern w:val="2"/>
          <w:sz w:val="24"/>
          <w:szCs w:val="24"/>
          <w:highlight w:val="none"/>
          <w:u w:val="none"/>
          <w:lang w:val="en-US" w:eastAsia="zh-CN" w:bidi="ar-SA"/>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23BFDFF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olor w:val="auto"/>
          <w:sz w:val="24"/>
          <w:highlight w:val="none"/>
          <w:lang w:val="en-US" w:eastAsia="zh-CN"/>
        </w:rPr>
      </w:pPr>
      <w:r>
        <w:rPr>
          <w:rFonts w:hint="eastAsia" w:ascii="宋体" w:hAnsi="宋体" w:eastAsia="宋体" w:cs="宋体"/>
          <w:i w:val="0"/>
          <w:iCs w:val="0"/>
          <w:color w:val="auto"/>
          <w:sz w:val="24"/>
          <w:highlight w:val="none"/>
          <w:lang w:val="en-US" w:eastAsia="zh-CN"/>
        </w:rPr>
        <w:t>质保期：</w:t>
      </w:r>
      <w:r>
        <w:rPr>
          <w:rFonts w:hint="eastAsia" w:ascii="宋体" w:hAnsi="宋体" w:eastAsia="宋体" w:cs="宋体"/>
          <w:i w:val="0"/>
          <w:iCs w:val="0"/>
          <w:color w:val="auto"/>
          <w:sz w:val="24"/>
          <w:highlight w:val="none"/>
          <w:u w:val="single"/>
          <w:lang w:val="en-US" w:eastAsia="zh-CN"/>
        </w:rPr>
        <w:t xml:space="preserve">                         </w:t>
      </w:r>
      <w:r>
        <w:rPr>
          <w:rFonts w:hint="eastAsia" w:ascii="宋体" w:hAnsi="宋体" w:eastAsia="宋体" w:cs="宋体"/>
          <w:i w:val="0"/>
          <w:iCs w:val="0"/>
          <w:color w:val="auto"/>
          <w:sz w:val="24"/>
          <w:highlight w:val="none"/>
          <w:lang w:val="en-US" w:eastAsia="zh-CN"/>
        </w:rPr>
        <w:t>。</w:t>
      </w:r>
    </w:p>
    <w:p w14:paraId="643FE413">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i w:val="0"/>
          <w:iCs w:val="0"/>
          <w:color w:val="auto"/>
          <w:sz w:val="24"/>
          <w:highlight w:val="none"/>
          <w:lang w:val="en-US" w:eastAsia="zh-CN"/>
        </w:rPr>
      </w:pPr>
      <w:r>
        <w:rPr>
          <w:rFonts w:hint="eastAsia" w:ascii="宋体" w:hAnsi="宋体" w:eastAsia="宋体" w:cs="宋体"/>
          <w:i w:val="0"/>
          <w:iCs w:val="0"/>
          <w:color w:val="auto"/>
          <w:sz w:val="24"/>
          <w:highlight w:val="none"/>
          <w:lang w:val="en-US" w:eastAsia="zh-CN"/>
        </w:rPr>
        <w:t>其他要求：</w:t>
      </w:r>
      <w:r>
        <w:rPr>
          <w:rFonts w:hint="eastAsia" w:ascii="宋体" w:hAnsi="宋体" w:eastAsia="宋体" w:cs="宋体"/>
          <w:i w:val="0"/>
          <w:iCs w:val="0"/>
          <w:color w:val="auto"/>
          <w:sz w:val="24"/>
          <w:highlight w:val="none"/>
          <w:u w:val="single"/>
          <w:lang w:val="en-US" w:eastAsia="zh-CN"/>
        </w:rPr>
        <w:t xml:space="preserve">                        </w:t>
      </w:r>
      <w:r>
        <w:rPr>
          <w:rFonts w:hint="eastAsia" w:ascii="宋体" w:hAnsi="宋体" w:eastAsia="宋体" w:cs="宋体"/>
          <w:i w:val="0"/>
          <w:iCs w:val="0"/>
          <w:color w:val="auto"/>
          <w:sz w:val="24"/>
          <w:highlight w:val="none"/>
          <w:lang w:val="en-US" w:eastAsia="zh-CN"/>
        </w:rPr>
        <w:t>。</w:t>
      </w:r>
    </w:p>
    <w:p w14:paraId="410B2915">
      <w:pPr>
        <w:pStyle w:val="3"/>
        <w:spacing w:before="161"/>
        <w:ind w:left="0" w:leftChars="0" w:firstLine="0" w:firstLineChars="0"/>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六、甲方的权利与义务</w:t>
      </w:r>
    </w:p>
    <w:p w14:paraId="51321C1D">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1、甲方协助乙方做好本项目准备工作，包括前期的组织、协调工作；</w:t>
      </w:r>
    </w:p>
    <w:p w14:paraId="16C076CD">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2、甲方应按照国家法律、法规的规定及本合同的约定编制规划，为乙方的工作提供方便。</w:t>
      </w:r>
    </w:p>
    <w:p w14:paraId="794FFE28">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3、甲方应按照合同要求，向乙方及时支付费用。</w:t>
      </w:r>
    </w:p>
    <w:p w14:paraId="7BC6DA77">
      <w:pPr>
        <w:pStyle w:val="3"/>
        <w:spacing w:before="161"/>
        <w:ind w:left="0" w:leftChars="0" w:firstLine="0" w:firstLineChars="0"/>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七、乙方的权利与义务</w:t>
      </w:r>
    </w:p>
    <w:p w14:paraId="41D13D03">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1、从项目开始至项目结束，乙方应确保项目质量达到合格标准。</w:t>
      </w:r>
    </w:p>
    <w:p w14:paraId="1A8019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val="0"/>
          <w:bCs/>
          <w:color w:val="auto"/>
          <w:kern w:val="1"/>
          <w:sz w:val="24"/>
          <w:highlight w:val="none"/>
          <w:lang w:val="en-US" w:eastAsia="zh-CN"/>
        </w:rPr>
        <w:t>2、乙方有义务向甲方提供进度安排，如因客观原因进度需要变更，乙方必须提前通知甲方。</w:t>
      </w:r>
    </w:p>
    <w:p w14:paraId="2644BF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八、乙方的</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sz w:val="24"/>
          <w:szCs w:val="24"/>
          <w:highlight w:val="none"/>
          <w:lang w:val="en-US" w:eastAsia="zh-CN"/>
        </w:rPr>
        <w:fldChar w:fldCharType="separate"/>
      </w:r>
      <w:r>
        <w:rPr>
          <w:rFonts w:hint="eastAsia" w:ascii="宋体" w:hAnsi="宋体" w:eastAsia="宋体" w:cs="宋体"/>
          <w:b/>
          <w:color w:val="auto"/>
          <w:sz w:val="24"/>
          <w:szCs w:val="24"/>
          <w:highlight w:val="none"/>
          <w:lang w:val="en-US" w:eastAsia="zh-CN"/>
        </w:rPr>
        <w:t>违约责任</w: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w:t>
      </w:r>
    </w:p>
    <w:p w14:paraId="1DE0FE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1、乙方不能按期交货的，每逾期1日，乙方应向甲方赔付合同总价的</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作为违约金。</w:t>
      </w:r>
    </w:p>
    <w:p w14:paraId="4441E441">
      <w:pPr>
        <w:keepNext w:val="0"/>
        <w:keepLines w:val="0"/>
        <w:pageBreakBefore w:val="0"/>
        <w:widowControl w:val="0"/>
        <w:kinsoku/>
        <w:wordWrap/>
        <w:overflowPunct/>
        <w:topLinePunct w:val="0"/>
        <w:autoSpaceDE/>
        <w:autoSpaceDN/>
        <w:bidi w:val="0"/>
        <w:adjustRightInd/>
        <w:snapToGrid/>
        <w:spacing w:line="360" w:lineRule="auto"/>
        <w:ind w:right="-195" w:rightChars="-93"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2、乙方所交</w:t>
      </w:r>
      <w:r>
        <w:rPr>
          <w:rFonts w:hint="eastAsia" w:ascii="宋体" w:hAnsi="宋体" w:eastAsia="宋体" w:cs="宋体"/>
          <w:color w:val="auto"/>
          <w:kern w:val="0"/>
          <w:sz w:val="24"/>
          <w:szCs w:val="24"/>
          <w:highlight w:val="none"/>
          <w:lang w:val="en-US" w:eastAsia="zh-CN"/>
        </w:rPr>
        <w:t>货物</w:t>
      </w:r>
      <w:r>
        <w:rPr>
          <w:rFonts w:hint="eastAsia" w:ascii="宋体" w:hAnsi="宋体" w:eastAsia="宋体" w:cs="宋体"/>
          <w:color w:val="auto"/>
          <w:kern w:val="0"/>
          <w:sz w:val="24"/>
          <w:szCs w:val="24"/>
          <w:highlight w:val="none"/>
        </w:rPr>
        <w:t>不符合国家法律法规和合同规定的，甲方有权拒收，并由乙方承担一切费用。</w:t>
      </w:r>
    </w:p>
    <w:p w14:paraId="1D60FCD0">
      <w:pPr>
        <w:pStyle w:val="14"/>
        <w:keepNext w:val="0"/>
        <w:keepLines w:val="0"/>
        <w:pageBreakBefore w:val="0"/>
        <w:widowControl w:val="0"/>
        <w:tabs>
          <w:tab w:val="left" w:pos="1480"/>
        </w:tabs>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九、甲方的</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违约责任</w:t>
      </w:r>
      <w:r>
        <w:rPr>
          <w:rFonts w:hint="eastAsia" w:ascii="宋体" w:hAnsi="宋体" w:eastAsia="宋体" w:cs="宋体"/>
          <w:b/>
          <w:color w:val="auto"/>
          <w:kern w:val="2"/>
          <w:sz w:val="24"/>
          <w:szCs w:val="24"/>
          <w:highlight w:val="none"/>
          <w:lang w:val="en-US" w:eastAsia="zh-CN" w:bidi="ar-SA"/>
        </w:rPr>
        <w:fldChar w:fldCharType="end"/>
      </w:r>
      <w:r>
        <w:rPr>
          <w:rFonts w:hint="eastAsia" w:ascii="宋体" w:hAnsi="宋体" w:eastAsia="宋体" w:cs="宋体"/>
          <w:b/>
          <w:color w:val="auto"/>
          <w:kern w:val="2"/>
          <w:sz w:val="24"/>
          <w:szCs w:val="24"/>
          <w:highlight w:val="none"/>
          <w:lang w:val="en-US" w:eastAsia="zh-CN" w:bidi="ar-SA"/>
        </w:rPr>
        <w:t>：</w:t>
      </w:r>
    </w:p>
    <w:p w14:paraId="0C9662D3">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甲方违反合同规定拒绝接货的，原服务期限相应顺延。</w:t>
      </w:r>
    </w:p>
    <w:p w14:paraId="33B115A6">
      <w:pPr>
        <w:spacing w:line="360" w:lineRule="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十、技术服务承诺</w:t>
      </w:r>
    </w:p>
    <w:p w14:paraId="2D6049FA">
      <w:pPr>
        <w:pStyle w:val="7"/>
        <w:spacing w:before="0" w:beforeAutospacing="0" w:after="120" w:afterAutospacing="0" w:line="360" w:lineRule="auto"/>
        <w:ind w:firstLine="420" w:firstLineChars="17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1、乙方负责提供产品相应的技术资料，包括产品合格证、产品保修单、安装使用及维护说明书以及运输装箱清单等。</w:t>
      </w:r>
    </w:p>
    <w:p w14:paraId="116CE7E5">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2、人员培训：乙方免费为甲方培训产品使用人员，培训内容包括：产品操作、维护、简单维修等。</w:t>
      </w:r>
    </w:p>
    <w:p w14:paraId="4B95C3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3、售后服务：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E880F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十一、验收标准</w:t>
      </w:r>
      <w:r>
        <w:rPr>
          <w:rFonts w:hint="eastAsia" w:ascii="宋体" w:hAnsi="宋体" w:cs="宋体"/>
          <w:b/>
          <w:color w:val="auto"/>
          <w:sz w:val="24"/>
          <w:szCs w:val="24"/>
          <w:highlight w:val="none"/>
          <w:lang w:val="en-US" w:eastAsia="zh-CN"/>
        </w:rPr>
        <w:t>和</w:t>
      </w:r>
      <w:r>
        <w:rPr>
          <w:rFonts w:hint="eastAsia" w:ascii="宋体" w:hAnsi="宋体" w:eastAsia="宋体" w:cs="宋体"/>
          <w:b/>
          <w:color w:val="auto"/>
          <w:sz w:val="24"/>
          <w:szCs w:val="24"/>
          <w:highlight w:val="none"/>
          <w:lang w:val="en-US" w:eastAsia="zh-CN"/>
        </w:rPr>
        <w:t>方法</w:t>
      </w:r>
    </w:p>
    <w:p w14:paraId="62A420D7">
      <w:pPr>
        <w:widowControl/>
        <w:spacing w:line="360" w:lineRule="auto"/>
        <w:ind w:right="-195" w:rightChars="-93"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1、验收标准：按照国标、招标和项目设计要求进行验收。</w:t>
      </w:r>
    </w:p>
    <w:p w14:paraId="2B1E04BA">
      <w:pPr>
        <w:widowControl/>
        <w:spacing w:line="360" w:lineRule="auto"/>
        <w:ind w:right="-195" w:rightChars="-93"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验收方法：产品到达采购人指定地点后，由招投双方、第三方监理机构及项目区所在镇村进行现场验收。交货时，采购方有权对产品进行随机抽检，若检测不合格或不达标，供应商须承担所有费用并免费退换货。</w:t>
      </w:r>
    </w:p>
    <w:p w14:paraId="5974612B">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3、验收内容</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 xml:space="preserve">3.1数量、重量：按采购合同清点数量，抽检部分包装进行称重，确保与投标信息一致。3.2包装及标识：包装完整无破损、无污染，标识规范、详细、清晰，符合标准和招标要求。3.3外观质量验收：对颜色、形态、气味等进行验收。 </w:t>
      </w:r>
    </w:p>
    <w:p w14:paraId="71FAF5D4">
      <w:pPr>
        <w:pStyle w:val="14"/>
        <w:tabs>
          <w:tab w:val="left" w:pos="1480"/>
        </w:tabs>
        <w:spacing w:line="520" w:lineRule="exact"/>
        <w:ind w:left="0" w:leftChars="0" w:firstLine="482" w:firstLineChars="20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十二、</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不可抗力</w:t>
      </w:r>
      <w:r>
        <w:rPr>
          <w:rFonts w:hint="eastAsia" w:ascii="宋体" w:hAnsi="宋体" w:eastAsia="宋体" w:cs="宋体"/>
          <w:b/>
          <w:color w:val="auto"/>
          <w:kern w:val="2"/>
          <w:sz w:val="24"/>
          <w:szCs w:val="24"/>
          <w:highlight w:val="none"/>
          <w:lang w:val="en-US" w:eastAsia="zh-CN" w:bidi="ar-SA"/>
        </w:rPr>
        <w:fldChar w:fldCharType="end"/>
      </w:r>
    </w:p>
    <w:p w14:paraId="6285C80C">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1、在合同有效期内，任何一方因不可抗力事件导致不能履行合同，则合同履行期可延长，其延长期与不可抗力影响期相同。</w:t>
      </w:r>
    </w:p>
    <w:p w14:paraId="35FBD573">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2、不可抗力事件发生后，应立即通知对方，并寄送有关权威机构出具的证明。</w:t>
      </w:r>
    </w:p>
    <w:p w14:paraId="32155CF8">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3、因国家政策调整或单位职能调整导致合同无法正常履行，双方可协商终止合同。</w:t>
      </w:r>
    </w:p>
    <w:p w14:paraId="406037A2">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4、不可抗力事件延续90天以上，双方应通过友好协商，确定是否继续履行合同。</w:t>
      </w:r>
    </w:p>
    <w:p w14:paraId="26519291">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十三、争议解决</w:t>
      </w:r>
    </w:p>
    <w:p w14:paraId="4493ADD0">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双方本着友好合作的态度,对合同履行过程中发生的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纠纷</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应及时协商解决,协商不成，</w:t>
      </w:r>
      <w:r>
        <w:rPr>
          <w:rFonts w:hint="eastAsia" w:ascii="宋体" w:hAnsi="宋体" w:eastAsia="宋体" w:cs="宋体"/>
          <w:color w:val="auto"/>
          <w:sz w:val="24"/>
          <w:szCs w:val="24"/>
          <w:highlight w:val="none"/>
        </w:rPr>
        <w:t>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6F93C765">
      <w:pPr>
        <w:widowControl/>
        <w:numPr>
          <w:ilvl w:val="0"/>
          <w:numId w:val="2"/>
        </w:numPr>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向甲方所在地有管辖权的人民法院诉讼解决</w:t>
      </w:r>
    </w:p>
    <w:p w14:paraId="05AF0A9C">
      <w:pPr>
        <w:widowControl/>
        <w:numPr>
          <w:ilvl w:val="0"/>
          <w:numId w:val="2"/>
        </w:numPr>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提请</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仲裁机构进行仲裁</w:t>
      </w:r>
      <w:r>
        <w:rPr>
          <w:rFonts w:hint="eastAsia" w:ascii="宋体" w:hAnsi="宋体" w:eastAsia="宋体" w:cs="宋体"/>
          <w:color w:val="auto"/>
          <w:kern w:val="0"/>
          <w:sz w:val="24"/>
          <w:szCs w:val="24"/>
          <w:highlight w:val="none"/>
        </w:rPr>
        <w:t>。</w:t>
      </w:r>
    </w:p>
    <w:p w14:paraId="77FE4FD9">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十四、监督和管理</w:t>
      </w:r>
    </w:p>
    <w:p w14:paraId="45D75F99">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1、政府采购合同履行中，采购人需追加与合同标的相同的货物、工程或者服务的，在不改变合同其他条款的前提下，可以与</w:t>
      </w:r>
      <w:r>
        <w:rPr>
          <w:rFonts w:hint="eastAsia" w:ascii="宋体" w:hAnsi="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协商签订补充合同，但所有补充合同的采购金额不得超过原合同采购金额的10%。</w:t>
      </w:r>
    </w:p>
    <w:p w14:paraId="21E9E7A9">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2、甲乙双方均应自觉配合有关监督管理部门对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合同履行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情况的监督检查，如实反映情况，提供有关资料；否则，将对有关单位、当事人按照有关规定予以处罚。</w:t>
      </w:r>
    </w:p>
    <w:p w14:paraId="539F8124">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十五、</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无效合同</w:t>
      </w:r>
      <w:r>
        <w:rPr>
          <w:rFonts w:hint="eastAsia" w:ascii="宋体" w:hAnsi="宋体" w:eastAsia="宋体" w:cs="宋体"/>
          <w:b/>
          <w:color w:val="auto"/>
          <w:kern w:val="2"/>
          <w:sz w:val="24"/>
          <w:szCs w:val="24"/>
          <w:highlight w:val="none"/>
          <w:lang w:val="en-US" w:eastAsia="zh-CN" w:bidi="ar-SA"/>
        </w:rPr>
        <w:fldChar w:fldCharType="end"/>
      </w:r>
    </w:p>
    <w:p w14:paraId="106445CF">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甲乙双方如因违反政府采购法及相关法律法规的规定，被宣告</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合同无效</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的，一切责任概由过错方自行承担。</w:t>
      </w:r>
    </w:p>
    <w:p w14:paraId="5DDB97BE">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十六、附则</w:t>
      </w:r>
    </w:p>
    <w:p w14:paraId="3FEA5C72">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的</w:t>
      </w:r>
      <w:r>
        <w:rPr>
          <w:rFonts w:hint="eastAsia" w:ascii="宋体" w:hAnsi="宋体" w:cs="宋体"/>
          <w:color w:val="auto"/>
          <w:spacing w:val="-6"/>
          <w:sz w:val="24"/>
          <w:szCs w:val="24"/>
          <w:highlight w:val="none"/>
          <w:lang w:val="en-US" w:eastAsia="zh-CN"/>
        </w:rPr>
        <w:t>招标文件</w:t>
      </w:r>
      <w:r>
        <w:rPr>
          <w:rFonts w:hint="eastAsia" w:ascii="宋体" w:hAnsi="宋体" w:eastAsia="宋体" w:cs="宋体"/>
          <w:color w:val="auto"/>
          <w:kern w:val="0"/>
          <w:sz w:val="24"/>
          <w:szCs w:val="24"/>
          <w:highlight w:val="none"/>
        </w:rPr>
        <w:t>、乙方</w:t>
      </w:r>
      <w:r>
        <w:rPr>
          <w:rFonts w:hint="eastAsia" w:ascii="宋体" w:hAnsi="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lang w:val="en-US" w:eastAsia="zh-CN"/>
        </w:rPr>
        <w:t>文件</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lang w:val="en-US" w:eastAsia="zh-CN"/>
        </w:rPr>
        <w:t>成交</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通知书及澄清说明文件都是本合同的组成部分，甲、乙双方必须全面遵守，如有违反，应承担违约责任。</w:t>
      </w:r>
    </w:p>
    <w:p w14:paraId="714A6C4D">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2、本合同一式四份,甲乙双方各执</w:t>
      </w:r>
      <w:r>
        <w:rPr>
          <w:rFonts w:hint="eastAsia" w:ascii="宋体" w:hAnsi="宋体" w:eastAsia="宋体" w:cs="宋体"/>
          <w:color w:val="auto"/>
          <w:kern w:val="0"/>
          <w:sz w:val="24"/>
          <w:szCs w:val="24"/>
          <w:highlight w:val="none"/>
          <w:lang w:val="en-US" w:eastAsia="zh-CN"/>
        </w:rPr>
        <w:t>两</w:t>
      </w:r>
      <w:r>
        <w:rPr>
          <w:rFonts w:hint="eastAsia" w:ascii="宋体" w:hAnsi="宋体" w:eastAsia="宋体" w:cs="宋体"/>
          <w:color w:val="auto"/>
          <w:kern w:val="0"/>
          <w:sz w:val="24"/>
          <w:szCs w:val="24"/>
          <w:highlight w:val="none"/>
        </w:rPr>
        <w:t>份。</w:t>
      </w:r>
    </w:p>
    <w:p w14:paraId="6387717D">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3、本合同自签订之日起生效。</w:t>
      </w:r>
    </w:p>
    <w:p w14:paraId="31DDA982">
      <w:pPr>
        <w:pStyle w:val="5"/>
        <w:rPr>
          <w:rFonts w:hint="eastAsia" w:ascii="宋体" w:hAnsi="宋体" w:eastAsia="宋体" w:cs="宋体"/>
          <w:color w:val="auto"/>
          <w:highlight w:val="none"/>
        </w:rPr>
      </w:pPr>
      <w:bookmarkStart w:id="3" w:name="_GoBack"/>
      <w:bookmarkEnd w:id="3"/>
    </w:p>
    <w:p w14:paraId="121252F9">
      <w:pPr>
        <w:pStyle w:val="2"/>
        <w:rPr>
          <w:rFonts w:hint="eastAsia"/>
        </w:rPr>
      </w:pPr>
    </w:p>
    <w:p w14:paraId="1EE25DB4">
      <w:pPr>
        <w:widowControl/>
        <w:spacing w:line="360" w:lineRule="auto"/>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采购人(甲方)：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(乙方)：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p>
    <w:p w14:paraId="2A2F21F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 xml:space="preserve">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或</w:t>
      </w:r>
    </w:p>
    <w:p w14:paraId="6ACC610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p>
    <w:p w14:paraId="3FBBA74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21A6E99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0E4C73E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3D69EB6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57874AAC">
      <w:pPr>
        <w:keepNext w:val="0"/>
        <w:keepLines w:val="0"/>
        <w:pageBreakBefore w:val="0"/>
        <w:widowControl/>
        <w:kinsoku/>
        <w:wordWrap/>
        <w:overflowPunct/>
        <w:topLinePunct w:val="0"/>
        <w:bidi w:val="0"/>
        <w:snapToGrid/>
        <w:spacing w:line="408"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p>
    <w:p w14:paraId="492E7F68">
      <w:pPr>
        <w:keepNext w:val="0"/>
        <w:keepLines w:val="0"/>
        <w:pageBreakBefore w:val="0"/>
        <w:kinsoku/>
        <w:wordWrap/>
        <w:overflowPunct/>
        <w:topLinePunct w:val="0"/>
        <w:bidi w:val="0"/>
        <w:snapToGrid/>
        <w:spacing w:line="408" w:lineRule="auto"/>
        <w:jc w:val="both"/>
        <w:textAlignment w:val="auto"/>
        <w:rPr>
          <w:rFonts w:hint="eastAsia" w:ascii="宋体" w:hAnsi="宋体" w:eastAsia="宋体" w:cs="宋体"/>
          <w:b/>
          <w:bCs/>
          <w:color w:val="auto"/>
          <w:sz w:val="24"/>
          <w:szCs w:val="24"/>
          <w:highlight w:val="none"/>
        </w:rPr>
      </w:pPr>
    </w:p>
    <w:p w14:paraId="18B228FD">
      <w:pPr>
        <w:keepNext w:val="0"/>
        <w:keepLines w:val="0"/>
        <w:pageBreakBefore w:val="0"/>
        <w:kinsoku/>
        <w:wordWrap/>
        <w:overflowPunct/>
        <w:topLinePunct w:val="0"/>
        <w:bidi w:val="0"/>
        <w:snapToGrid/>
        <w:spacing w:line="408"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注：本合同条款仅供参考，甲乙双方可根据实际情况进行补充</w:t>
      </w:r>
      <w:r>
        <w:rPr>
          <w:rFonts w:hint="eastAsia" w:ascii="宋体" w:hAnsi="宋体" w:eastAsia="宋体" w:cs="宋体"/>
          <w:b/>
          <w:bCs/>
          <w:color w:val="auto"/>
          <w:sz w:val="24"/>
          <w:szCs w:val="24"/>
          <w:highlight w:val="none"/>
          <w:lang w:val="en-US" w:eastAsia="zh-CN"/>
        </w:rPr>
        <w:t>。</w:t>
      </w:r>
    </w:p>
    <w:p w14:paraId="7557C67D">
      <w:pPr>
        <w:pStyle w:val="5"/>
        <w:rPr>
          <w:rFonts w:hint="eastAsia" w:ascii="宋体" w:hAnsi="宋体" w:eastAsia="宋体" w:cs="宋体"/>
          <w:b/>
          <w:bCs/>
          <w:color w:val="auto"/>
          <w:sz w:val="24"/>
          <w:szCs w:val="24"/>
          <w:highlight w:val="none"/>
          <w:lang w:val="en-US" w:eastAsia="zh-CN"/>
        </w:rPr>
      </w:pPr>
    </w:p>
    <w:p w14:paraId="75B9398B">
      <w:pPr>
        <w:pStyle w:val="2"/>
        <w:rPr>
          <w:rFonts w:hint="eastAsia" w:ascii="宋体" w:hAnsi="宋体" w:eastAsia="宋体" w:cs="宋体"/>
          <w:b/>
          <w:bCs/>
          <w:color w:val="auto"/>
          <w:sz w:val="24"/>
          <w:szCs w:val="24"/>
          <w:highlight w:val="none"/>
          <w:lang w:val="en-US" w:eastAsia="zh-CN"/>
        </w:rPr>
      </w:pPr>
    </w:p>
    <w:p w14:paraId="54782A3F">
      <w:pPr>
        <w:rPr>
          <w:rFonts w:hint="eastAsia" w:ascii="宋体" w:hAnsi="宋体" w:eastAsia="宋体" w:cs="宋体"/>
          <w:b/>
          <w:bCs/>
          <w:color w:val="auto"/>
          <w:sz w:val="24"/>
          <w:szCs w:val="24"/>
          <w:highlight w:val="none"/>
          <w:lang w:val="en-US" w:eastAsia="zh-CN"/>
        </w:rPr>
      </w:pPr>
    </w:p>
    <w:p w14:paraId="6BCC4A24">
      <w:pPr>
        <w:pStyle w:val="5"/>
        <w:rPr>
          <w:rFonts w:hint="eastAsia" w:ascii="宋体" w:hAnsi="宋体" w:eastAsia="宋体" w:cs="宋体"/>
          <w:b/>
          <w:bCs/>
          <w:color w:val="auto"/>
          <w:sz w:val="24"/>
          <w:szCs w:val="24"/>
          <w:highlight w:val="none"/>
          <w:lang w:val="en-US" w:eastAsia="zh-CN"/>
        </w:rPr>
      </w:pPr>
    </w:p>
    <w:p w14:paraId="070CF1F2">
      <w:pPr>
        <w:pStyle w:val="2"/>
        <w:rPr>
          <w:rFonts w:hint="eastAsia" w:ascii="宋体" w:hAnsi="宋体" w:eastAsia="宋体" w:cs="宋体"/>
          <w:b/>
          <w:bCs/>
          <w:color w:val="auto"/>
          <w:sz w:val="24"/>
          <w:szCs w:val="24"/>
          <w:highlight w:val="none"/>
          <w:lang w:val="en-US" w:eastAsia="zh-CN"/>
        </w:rPr>
      </w:pPr>
    </w:p>
    <w:p w14:paraId="2048B2E2">
      <w:pPr>
        <w:rPr>
          <w:rFonts w:hint="eastAsia" w:ascii="宋体" w:hAnsi="宋体" w:eastAsia="宋体" w:cs="宋体"/>
          <w:b/>
          <w:bCs/>
          <w:color w:val="auto"/>
          <w:sz w:val="24"/>
          <w:szCs w:val="24"/>
          <w:highlight w:val="none"/>
          <w:lang w:val="en-US" w:eastAsia="zh-CN"/>
        </w:rPr>
      </w:pPr>
    </w:p>
    <w:p w14:paraId="3C4231ED">
      <w:pPr>
        <w:pStyle w:val="5"/>
        <w:rPr>
          <w:rFonts w:hint="eastAsia" w:ascii="宋体" w:hAnsi="宋体" w:eastAsia="宋体" w:cs="宋体"/>
          <w:b/>
          <w:bCs/>
          <w:color w:val="auto"/>
          <w:sz w:val="24"/>
          <w:szCs w:val="24"/>
          <w:highlight w:val="none"/>
          <w:lang w:val="en-US" w:eastAsia="zh-CN"/>
        </w:rPr>
      </w:pPr>
    </w:p>
    <w:p w14:paraId="611D7EC4">
      <w:pPr>
        <w:pStyle w:val="2"/>
        <w:rPr>
          <w:rFonts w:hint="eastAsia" w:ascii="宋体" w:hAnsi="宋体" w:eastAsia="宋体" w:cs="宋体"/>
          <w:b/>
          <w:bCs/>
          <w:color w:val="auto"/>
          <w:sz w:val="24"/>
          <w:szCs w:val="24"/>
          <w:highlight w:val="none"/>
          <w:lang w:val="en-US" w:eastAsia="zh-CN"/>
        </w:rPr>
      </w:pPr>
    </w:p>
    <w:p w14:paraId="70F85C55">
      <w:pPr>
        <w:rPr>
          <w:rFonts w:hint="eastAsia" w:ascii="宋体" w:hAnsi="宋体" w:eastAsia="宋体" w:cs="宋体"/>
          <w:b/>
          <w:bCs/>
          <w:color w:val="auto"/>
          <w:sz w:val="24"/>
          <w:szCs w:val="24"/>
          <w:highlight w:val="none"/>
          <w:lang w:val="en-US" w:eastAsia="zh-CN"/>
        </w:rPr>
      </w:pPr>
    </w:p>
    <w:p w14:paraId="1CA53884">
      <w:pPr>
        <w:pStyle w:val="5"/>
        <w:rPr>
          <w:rFonts w:hint="eastAsia" w:ascii="宋体" w:hAnsi="宋体" w:eastAsia="宋体" w:cs="宋体"/>
          <w:b/>
          <w:bCs/>
          <w:color w:val="auto"/>
          <w:sz w:val="24"/>
          <w:szCs w:val="24"/>
          <w:highlight w:val="none"/>
          <w:lang w:val="en-US" w:eastAsia="zh-CN"/>
        </w:rPr>
      </w:pPr>
    </w:p>
    <w:p w14:paraId="54D47DE3">
      <w:pPr>
        <w:pStyle w:val="2"/>
        <w:rPr>
          <w:rFonts w:hint="eastAsia" w:ascii="宋体" w:hAnsi="宋体" w:eastAsia="宋体" w:cs="宋体"/>
          <w:b/>
          <w:bCs/>
          <w:color w:val="auto"/>
          <w:sz w:val="24"/>
          <w:szCs w:val="24"/>
          <w:highlight w:val="none"/>
          <w:lang w:val="en-US" w:eastAsia="zh-CN"/>
        </w:rPr>
      </w:pPr>
    </w:p>
    <w:p w14:paraId="5C8AB6B8">
      <w:pPr>
        <w:rPr>
          <w:rFonts w:hint="eastAsia" w:ascii="宋体" w:hAnsi="宋体" w:eastAsia="宋体" w:cs="宋体"/>
          <w:b/>
          <w:bCs/>
          <w:color w:val="auto"/>
          <w:sz w:val="24"/>
          <w:szCs w:val="24"/>
          <w:highlight w:val="none"/>
          <w:lang w:val="en-US" w:eastAsia="zh-CN"/>
        </w:rPr>
      </w:pPr>
    </w:p>
    <w:p w14:paraId="39EADD89">
      <w:pPr>
        <w:pStyle w:val="5"/>
        <w:rPr>
          <w:rFonts w:hint="eastAsia" w:ascii="宋体" w:hAnsi="宋体" w:eastAsia="宋体" w:cs="宋体"/>
          <w:b/>
          <w:bCs/>
          <w:color w:val="auto"/>
          <w:sz w:val="24"/>
          <w:szCs w:val="24"/>
          <w:highlight w:val="none"/>
          <w:lang w:val="en-US" w:eastAsia="zh-CN"/>
        </w:rPr>
      </w:pPr>
    </w:p>
    <w:p w14:paraId="77D452CD">
      <w:pPr>
        <w:pStyle w:val="2"/>
        <w:rPr>
          <w:rFonts w:hint="eastAsia" w:ascii="宋体" w:hAnsi="宋体" w:eastAsia="宋体" w:cs="宋体"/>
          <w:b/>
          <w:bCs/>
          <w:color w:val="auto"/>
          <w:sz w:val="24"/>
          <w:szCs w:val="24"/>
          <w:highlight w:val="none"/>
          <w:lang w:val="en-US" w:eastAsia="zh-CN"/>
        </w:rPr>
      </w:pPr>
    </w:p>
    <w:p w14:paraId="5D715267">
      <w:pPr>
        <w:rPr>
          <w:rFonts w:hint="default" w:ascii="宋体" w:hAnsi="宋体" w:eastAsia="宋体" w:cs="宋体"/>
          <w:b/>
          <w:bCs/>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D0D5A3"/>
    <w:multiLevelType w:val="singleLevel"/>
    <w:tmpl w:val="54D0D5A3"/>
    <w:lvl w:ilvl="0" w:tentative="0">
      <w:start w:val="5"/>
      <w:numFmt w:val="chineseCounting"/>
      <w:suff w:val="nothing"/>
      <w:lvlText w:val="%1、"/>
      <w:lvlJc w:val="left"/>
      <w:rPr>
        <w:rFonts w:hint="eastAsia"/>
      </w:rPr>
    </w:lvl>
  </w:abstractNum>
  <w:abstractNum w:abstractNumId="1">
    <w:nsid w:val="625CEF40"/>
    <w:multiLevelType w:val="singleLevel"/>
    <w:tmpl w:val="625CEF4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10162"/>
    <w:rsid w:val="01564F52"/>
    <w:rsid w:val="0A8E1F88"/>
    <w:rsid w:val="127252C6"/>
    <w:rsid w:val="23EE11FF"/>
    <w:rsid w:val="3AAA6A5C"/>
    <w:rsid w:val="3ABC562C"/>
    <w:rsid w:val="3FCB4A50"/>
    <w:rsid w:val="47910162"/>
    <w:rsid w:val="4CDF1BF4"/>
    <w:rsid w:val="518C60E5"/>
    <w:rsid w:val="5B934067"/>
    <w:rsid w:val="67DC3D6B"/>
    <w:rsid w:val="6F961CFB"/>
    <w:rsid w:val="76C14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8"/>
    <w:basedOn w:val="1"/>
    <w:next w:val="1"/>
    <w:qFormat/>
    <w:uiPriority w:val="1"/>
    <w:pPr>
      <w:spacing w:before="1"/>
      <w:ind w:left="223"/>
      <w:outlineLvl w:val="7"/>
    </w:pPr>
    <w:rPr>
      <w:rFonts w:ascii="宋体" w:hAnsi="宋体" w:cs="宋体"/>
      <w:b/>
      <w:bCs/>
      <w:sz w:val="24"/>
      <w:szCs w:val="24"/>
      <w:lang w:val="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styleId="4">
    <w:name w:val="Body Text Indent"/>
    <w:basedOn w:val="1"/>
    <w:next w:val="1"/>
    <w:unhideWhenUsed/>
    <w:qFormat/>
    <w:uiPriority w:val="99"/>
    <w:pPr>
      <w:ind w:left="420" w:leftChars="200"/>
    </w:pPr>
  </w:style>
  <w:style w:type="paragraph" w:styleId="5">
    <w:name w:val="footer"/>
    <w:basedOn w:val="1"/>
    <w:next w:val="2"/>
    <w:qFormat/>
    <w:uiPriority w:val="99"/>
    <w:pPr>
      <w:tabs>
        <w:tab w:val="center" w:pos="4153"/>
        <w:tab w:val="right" w:pos="8306"/>
      </w:tabs>
      <w:snapToGrid w:val="0"/>
      <w:jc w:val="left"/>
    </w:pPr>
    <w:rPr>
      <w:sz w:val="18"/>
      <w:szCs w:val="18"/>
    </w:rPr>
  </w:style>
  <w:style w:type="paragraph" w:styleId="6">
    <w:name w:val="toc 2"/>
    <w:basedOn w:val="1"/>
    <w:next w:val="1"/>
    <w:qFormat/>
    <w:uiPriority w:val="39"/>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4"/>
    <w:next w:val="6"/>
    <w:qFormat/>
    <w:uiPriority w:val="0"/>
    <w:pPr>
      <w:ind w:firstLine="420" w:firstLineChars="200"/>
    </w:pPr>
  </w:style>
  <w:style w:type="paragraph" w:customStyle="1" w:styleId="11">
    <w:name w:val="Footer"/>
    <w:basedOn w:val="1"/>
    <w:autoRedefine/>
    <w:qFormat/>
    <w:uiPriority w:val="0"/>
    <w:pPr>
      <w:tabs>
        <w:tab w:val="center" w:pos="4153"/>
        <w:tab w:val="right" w:pos="8306"/>
      </w:tabs>
      <w:snapToGrid w:val="0"/>
      <w:jc w:val="left"/>
    </w:pPr>
    <w:rPr>
      <w:sz w:val="18"/>
      <w:szCs w:val="18"/>
    </w:rPr>
  </w:style>
  <w:style w:type="paragraph" w:customStyle="1" w:styleId="12">
    <w:name w:val="样式 首行缩进:  2 字符"/>
    <w:basedOn w:val="1"/>
    <w:autoRedefine/>
    <w:qFormat/>
    <w:uiPriority w:val="0"/>
    <w:pPr>
      <w:spacing w:line="400" w:lineRule="exact"/>
      <w:ind w:firstLine="200" w:firstLineChars="200"/>
    </w:pPr>
    <w:rPr>
      <w:rFonts w:cs="宋体" w:asciiTheme="minorHAnsi" w:hAnsiTheme="minorHAnsi" w:eastAsiaTheme="minorEastAsia"/>
      <w:sz w:val="24"/>
      <w:szCs w:val="24"/>
    </w:rPr>
  </w:style>
  <w:style w:type="paragraph" w:customStyle="1" w:styleId="13">
    <w:name w:val="Table Paragraph"/>
    <w:basedOn w:val="1"/>
    <w:autoRedefine/>
    <w:qFormat/>
    <w:uiPriority w:val="1"/>
    <w:pPr>
      <w:autoSpaceDE w:val="0"/>
      <w:autoSpaceDN w:val="0"/>
      <w:adjustRightInd w:val="0"/>
      <w:jc w:val="left"/>
    </w:pPr>
    <w:rPr>
      <w:rFonts w:ascii="Times New Roman" w:hAnsi="Times New Roman"/>
      <w:kern w:val="0"/>
      <w:sz w:val="24"/>
      <w:szCs w:val="24"/>
    </w:rPr>
  </w:style>
  <w:style w:type="paragraph" w:styleId="14">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3901</Words>
  <Characters>3933</Characters>
  <Lines>0</Lines>
  <Paragraphs>0</Paragraphs>
  <TotalTime>7</TotalTime>
  <ScaleCrop>false</ScaleCrop>
  <LinksUpToDate>false</LinksUpToDate>
  <CharactersWithSpaces>4796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2025-06-11T10:45:00Z</dcterms:created>
  <dc:creator>admin</dc:creator>
  <cp:lastModifiedBy>念念</cp:lastModifiedBy>
  <dcterms:modified xsi:type="dcterms:W3CDTF">2026-06-17T11:13:29Z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26387EEF18C34BC28DB44A4CB1DBC7B3_13</vt:lpwstr>
  </property>
  <property fmtid="{D5CDD505-2E9C-101B-9397-08002B2CF9AE}" pid="4" name="KSOTemplateDocerSaveRecord">
    <vt:lpwstr>eyJoZGlkIjoiMThiNTMzNmIyZTUyN2Y4MjM3Yjk2ODcwYjk1ZmI1NjciLCJ1c2VySWQiOiIzNDczMDgyMjIifQ==</vt:lpwstr>
  </property>
</Properties>
</file>