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版本号：DQB-2026052-CS20260707001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陕西省总工会夏令营活动服务项目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DQB-2026052-CS</w:t>
      </w:r>
      <w:r>
        <w:br/>
      </w:r>
      <w:r>
        <w:br/>
      </w:r>
      <w:r>
        <w:br/>
      </w:r>
    </w:p>
    <w:p>
      <w:pPr>
        <w:pStyle w:val="null3"/>
        <w:jc w:val="center"/>
        <w:outlineLvl w:val="2"/>
      </w:pPr>
      <w:r>
        <w:rPr>
          <w:rFonts w:ascii="仿宋_GB2312" w:hAnsi="仿宋_GB2312" w:cs="仿宋_GB2312" w:eastAsia="仿宋_GB2312"/>
          <w:sz w:val="28"/>
          <w:b/>
        </w:rPr>
        <w:t>省总工会本级</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省总工会本级</w:t>
      </w:r>
      <w:r>
        <w:rPr>
          <w:rFonts w:ascii="仿宋_GB2312" w:hAnsi="仿宋_GB2312" w:cs="仿宋_GB2312" w:eastAsia="仿宋_GB2312"/>
        </w:rPr>
        <w:t>委托，拟对</w:t>
      </w:r>
      <w:r>
        <w:rPr>
          <w:rFonts w:ascii="仿宋_GB2312" w:hAnsi="仿宋_GB2312" w:cs="仿宋_GB2312" w:eastAsia="仿宋_GB2312"/>
        </w:rPr>
        <w:t>陕西省总工会夏令营活动服务项目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DQB-2026052-CS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陕西省总工会夏令营活动服务项目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陕西省总工会夏令营活动服务项目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采购包1（陕西省总工会夏令营活动服务）：属于专门面向小微企业采购。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供应商提供资信证明出具银行为基本户开户银行的承诺函或开户许可证等证明材料），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省总工会本级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武永刚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029-87228923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银行账号：52880188000163803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代理服务费收费标准：采购代理服务费按以下标准计取（核算代理服务费低于5000元时按500 0元收取）：成交金额在100万元以下按照费率的1.5%计取。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省总工会本级</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省总工会本级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省总工会本级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2026年7月至8月，组织我省12至18岁的烈士（含因公牺牲职工）子女、困难职工子女、新就业形态劳动者子女、农民工子女、少数民族职工子女和苦脏累险岗位一线职工子女400人开展工会夏令营活动。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陕西省总工会夏令营活动服务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标的名称：陕西省总工会夏令营活动服务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项目</w:t>
            </w:r>
            <w:r>
              <w:rPr>
                <w:rFonts w:ascii="仿宋_GB2312" w:hAnsi="仿宋_GB2312" w:cs="仿宋_GB2312" w:eastAsia="仿宋_GB2312"/>
                <w:sz w:val="21"/>
                <w:b/>
              </w:rPr>
              <w:t>概况</w:t>
            </w:r>
          </w:p>
          <w:p>
            <w:pPr>
              <w:pStyle w:val="null3"/>
              <w:ind w:firstLine="420"/>
              <w:jc w:val="both"/>
            </w:pPr>
            <w:r>
              <w:rPr>
                <w:rFonts w:ascii="仿宋_GB2312" w:hAnsi="仿宋_GB2312" w:cs="仿宋_GB2312" w:eastAsia="仿宋_GB2312"/>
                <w:sz w:val="21"/>
              </w:rPr>
              <w:t>2026年7月至8月，组织我省1</w:t>
            </w:r>
            <w:r>
              <w:rPr>
                <w:rFonts w:ascii="仿宋_GB2312" w:hAnsi="仿宋_GB2312" w:cs="仿宋_GB2312" w:eastAsia="仿宋_GB2312"/>
                <w:sz w:val="21"/>
              </w:rPr>
              <w:t>2</w:t>
            </w:r>
            <w:r>
              <w:rPr>
                <w:rFonts w:ascii="仿宋_GB2312" w:hAnsi="仿宋_GB2312" w:cs="仿宋_GB2312" w:eastAsia="仿宋_GB2312"/>
                <w:sz w:val="21"/>
              </w:rPr>
              <w:t>至</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岁的烈士（含因公牺牲职工）子女、困难职工子女、新就业形态劳动者子</w:t>
            </w:r>
            <w:r>
              <w:rPr>
                <w:rFonts w:ascii="仿宋_GB2312" w:hAnsi="仿宋_GB2312" w:cs="仿宋_GB2312" w:eastAsia="仿宋_GB2312"/>
                <w:sz w:val="21"/>
              </w:rPr>
              <w:t>女、农民工子女、少数民族职工子女</w:t>
            </w:r>
            <w:r>
              <w:rPr>
                <w:rFonts w:ascii="仿宋_GB2312" w:hAnsi="仿宋_GB2312" w:cs="仿宋_GB2312" w:eastAsia="仿宋_GB2312"/>
                <w:sz w:val="21"/>
              </w:rPr>
              <w:t>和苦脏累险岗位一线职工子女</w:t>
            </w:r>
            <w:r>
              <w:rPr>
                <w:rFonts w:ascii="仿宋_GB2312" w:hAnsi="仿宋_GB2312" w:cs="仿宋_GB2312" w:eastAsia="仿宋_GB2312"/>
                <w:sz w:val="21"/>
              </w:rPr>
              <w:t>开展工会夏令营活动。</w:t>
            </w:r>
          </w:p>
          <w:p>
            <w:pPr>
              <w:pStyle w:val="null3"/>
              <w:ind w:firstLine="422"/>
              <w:jc w:val="both"/>
            </w:pPr>
            <w:r>
              <w:rPr>
                <w:rFonts w:ascii="仿宋_GB2312" w:hAnsi="仿宋_GB2312" w:cs="仿宋_GB2312" w:eastAsia="仿宋_GB2312"/>
                <w:sz w:val="21"/>
                <w:b/>
              </w:rPr>
              <w:t>二、服务要求</w:t>
            </w:r>
          </w:p>
          <w:p>
            <w:pPr>
              <w:pStyle w:val="null3"/>
              <w:ind w:firstLine="420"/>
              <w:jc w:val="both"/>
            </w:pPr>
            <w:r>
              <w:rPr>
                <w:rFonts w:ascii="仿宋_GB2312" w:hAnsi="仿宋_GB2312" w:cs="仿宋_GB2312" w:eastAsia="仿宋_GB2312"/>
                <w:sz w:val="21"/>
              </w:rPr>
              <w:t>1.活动需要突出践行社会主义核心价值观，弘扬以伟大建党精神为源头的中国共产党人精神谱系，用好红色资源，深入开展社会主义核心价值观宣传教育，深化爱国主义、集体主义、社会主义教育，着力培养担当民族复兴大任的时代新人。利用2026年暑期，通过组织开展夏令营活动，把党委、政府和工会组织对农民工、新就业形态劳动者等职工群体的关心关爱送到职工心坎上。</w:t>
            </w:r>
          </w:p>
          <w:p>
            <w:pPr>
              <w:pStyle w:val="null3"/>
              <w:ind w:firstLine="420"/>
              <w:jc w:val="both"/>
            </w:pPr>
            <w:r>
              <w:rPr>
                <w:rFonts w:ascii="仿宋_GB2312" w:hAnsi="仿宋_GB2312" w:cs="仿宋_GB2312" w:eastAsia="仿宋_GB2312"/>
                <w:sz w:val="21"/>
              </w:rPr>
              <w:t>2.活动对象为我省1</w:t>
            </w:r>
            <w:r>
              <w:rPr>
                <w:rFonts w:ascii="仿宋_GB2312" w:hAnsi="仿宋_GB2312" w:cs="仿宋_GB2312" w:eastAsia="仿宋_GB2312"/>
                <w:sz w:val="21"/>
              </w:rPr>
              <w:t>2</w:t>
            </w:r>
            <w:r>
              <w:rPr>
                <w:rFonts w:ascii="仿宋_GB2312" w:hAnsi="仿宋_GB2312" w:cs="仿宋_GB2312" w:eastAsia="仿宋_GB2312"/>
                <w:sz w:val="21"/>
              </w:rPr>
              <w:t>至</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岁的烈士（含因公牺牲职工）子女、困难职工子女、新就业形态劳动者子女、农民工子女</w:t>
            </w:r>
            <w:r>
              <w:rPr>
                <w:rFonts w:ascii="仿宋_GB2312" w:hAnsi="仿宋_GB2312" w:cs="仿宋_GB2312" w:eastAsia="仿宋_GB2312"/>
                <w:sz w:val="21"/>
              </w:rPr>
              <w:t>、少数民族职工子女</w:t>
            </w:r>
            <w:r>
              <w:rPr>
                <w:rFonts w:ascii="仿宋_GB2312" w:hAnsi="仿宋_GB2312" w:cs="仿宋_GB2312" w:eastAsia="仿宋_GB2312"/>
                <w:sz w:val="21"/>
              </w:rPr>
              <w:t>和苦脏累险岗位一线职工子女</w:t>
            </w:r>
            <w:r>
              <w:rPr>
                <w:rFonts w:ascii="仿宋_GB2312" w:hAnsi="仿宋_GB2312" w:cs="仿宋_GB2312" w:eastAsia="仿宋_GB2312"/>
                <w:sz w:val="21"/>
              </w:rPr>
              <w:t>400</w:t>
            </w:r>
            <w:r>
              <w:rPr>
                <w:rFonts w:ascii="仿宋_GB2312" w:hAnsi="仿宋_GB2312" w:cs="仿宋_GB2312" w:eastAsia="仿宋_GB2312"/>
                <w:sz w:val="21"/>
              </w:rPr>
              <w:t>人</w:t>
            </w:r>
            <w:r>
              <w:rPr>
                <w:rFonts w:ascii="仿宋_GB2312" w:hAnsi="仿宋_GB2312" w:cs="仿宋_GB2312" w:eastAsia="仿宋_GB2312"/>
                <w:sz w:val="21"/>
              </w:rPr>
              <w:t>。需要确保活动安全顺利、达到预期效果。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要做好活动宣传报道工作，利用抖音等新媒体平台进行部分活动直播。</w:t>
            </w:r>
          </w:p>
          <w:p>
            <w:pPr>
              <w:pStyle w:val="null3"/>
            </w:pPr>
            <w:r>
              <w:rPr>
                <w:rFonts w:ascii="仿宋_GB2312" w:hAnsi="仿宋_GB2312" w:cs="仿宋_GB2312" w:eastAsia="仿宋_GB2312"/>
                <w:sz w:val="21"/>
              </w:rPr>
              <w:t>4.</w:t>
            </w:r>
            <w:r>
              <w:rPr>
                <w:rFonts w:ascii="仿宋_GB2312" w:hAnsi="仿宋_GB2312" w:cs="仿宋_GB2312" w:eastAsia="仿宋_GB2312"/>
                <w:sz w:val="21"/>
              </w:rPr>
              <w:t>按照规定为活动人员购买相关保险，采取各项安全措施确保全过程人员人身、财产安全</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合同签订之日起1个月 。</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按照采购人要求、合同约定及要求进行验收，须符合国家和行业标准。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进度款，项目完成并通过验收后，达到付款条件起10个工作日内，支付合同总金额的60.0%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均应全面履行本合同，任何一方不履行或不按约定履行均构成违约，违约方应赔偿因此给对方造成的全部损失。因履行合同所发生的一切争议，双方应友好协商解决，协商不成的，提交当地的仲裁委员会仲裁，仲裁裁决为终局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（1）落实异常低价审查 （1.1）评审中出现下列情形之一的，磋商小组应当启动异常低价投标（响应）审查程序：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（1.1.2）投标（响应）报价低于通过符合性审查的次低报价供应商投标（响应）报价65%的，即投标（响应）报价&lt;通过符合性审查的次低报价供应商投标（响应）报价×65%； （1.1.3）投标（响应）报价低于采购项目最高限价65%的，即投标（响应）报价&lt;采购项目最高限价×65%； （1.1.4）磋商小组基于专业判断，认为供应商报价过低，有可能影响产品质量或者不能诚信履约的其他情形。 （1.2）相关法律法规对供应商报价有规定的，从其规定。 （1.3）磋商小组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2）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供应商提供资信证明出具银行为基本户开户银行的承诺函或开户许可证等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保证金汇款声明函 分项报价表 中小企业声明函 商务应答表 服务内容及服务要求应答表 供应商应提交的相关资格证明材料 报价表 非联合体不分包响应声明 控股管理关系 法定代表人授权书 近三年无重大违法、违纪书面声明 残疾人福利性单位声明函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1.工作重点；2.关键点分析；3.服务优势；4.合理化建议；5.履约保障与落地实施思路。评审标准：项目服务方案各部分内容全面详细、阐述条理清晰详尽、符合本项目采购需求，能全面保障项目服务高效落地得10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供应商提供针对本项目的项目服务方案，包括1、服务总体规划；2、服务实施安排；3、服务流程规范；4、服务内容细化；5、服务标准；6、服务衔接机制。 评审标准：项目服务方案各部分内容全面详细、阐述条理清晰详尽、符合本项目采购需求，能全面保障项目服务高效落地得6分；评审内容每缺一项扣1分，评审内容每有一处缺陷未完全响应评审标准的扣0.5分。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供应商提供针对本项目的保障措施，包括1、服务实施保障；2、流程执行保障；3、资源调配保障；4、合规性保障。 评审标准：保障措施各部分内容全面详细、阐述条理清晰详尽、符合本项目采购需求，能全面支撑项目顺利实施、保障服务有序推进得4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食宿餐饮方案</w:t>
            </w:r>
          </w:p>
        </w:tc>
        <w:tc>
          <w:tcPr>
            <w:tcW w:type="dxa" w:w="2492"/>
          </w:tcPr>
          <w:p>
            <w:pPr>
              <w:pStyle w:val="null3"/>
            </w:pPr>
            <w:r>
              <w:rPr>
                <w:rFonts w:ascii="仿宋_GB2312" w:hAnsi="仿宋_GB2312" w:cs="仿宋_GB2312" w:eastAsia="仿宋_GB2312"/>
              </w:rPr>
              <w:t>供应商提供针对本项目的食宿餐饮方案，包括1、食餐饮安排（包括但不限于餐饮标准、餐饮质量、餐饮保证等）；2、住宿安排（包括但不限于住宿标准；3、卫生标准；4、人员安排情况等）；5、食宿安全 保障计划等内容。 评审标准：保障措施各部分内容全面详细、阐述条理清晰详尽、符合本项目采购需求，能全面支撑项目顺利实施、保障服务有序推进得5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人员方案</w:t>
            </w:r>
          </w:p>
        </w:tc>
        <w:tc>
          <w:tcPr>
            <w:tcW w:type="dxa" w:w="2492"/>
          </w:tcPr>
          <w:p>
            <w:pPr>
              <w:pStyle w:val="null3"/>
            </w:pPr>
            <w:r>
              <w:rPr>
                <w:rFonts w:ascii="仿宋_GB2312" w:hAnsi="仿宋_GB2312" w:cs="仿宋_GB2312" w:eastAsia="仿宋_GB2312"/>
              </w:rPr>
              <w:t>供应商提供针对本项目的人员方案，包括1、人员整体配置方案；2、核人员分工安排；3、人员专业能力匹配。 评审标准：人员配备各部分内容全面详细、阐述条理清晰详尽、符合本项目采购需求，能保障项目高效有序推进得6分；评审内容每缺一项扣2分，评审内容每有一处缺陷未完全响应评审标准的扣1分，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项目团队（15分） 1.项目负责人具有2年（含）以上夏令营的活动经验的得4分，2年以下的每少一年扣2分，扣完为止。（佐证材料：连续2年负责的夏令营的活动业绩证明） 2.项目组成员具有2年以上（含）活动策划经验的，每有1位得1分，最多得6分。（佐证材料：连续2年参与的活动策划业绩证明） 3.供应商须针对本项目提交完整人员配置清单，清单需列明姓名、年龄、岗位职责、专业资格四项信息；人员须覆盖前期策划、拍摄、直播、现场运维、后期制作五类岗位，每类岗位至少配置 1 名人员。本项满分 5 分，五类岗位全部配齐且清单信息完整得 5 分；每缺失一类岗位，不予计分。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交通出行方案</w:t>
            </w:r>
          </w:p>
        </w:tc>
        <w:tc>
          <w:tcPr>
            <w:tcW w:type="dxa" w:w="2492"/>
          </w:tcPr>
          <w:p>
            <w:pPr>
              <w:pStyle w:val="null3"/>
            </w:pPr>
            <w:r>
              <w:rPr>
                <w:rFonts w:ascii="仿宋_GB2312" w:hAnsi="仿宋_GB2312" w:cs="仿宋_GB2312" w:eastAsia="仿宋_GB2312"/>
              </w:rPr>
              <w:t>供应商提供针对本项目的交通出行方案，包括1、交通工具的配备 情况（包含但大巴车辆安排、司机配备情况等）；2、行程规划（包括但不 限于车辆出行安排表、出行线路等）；3、车辆状况（包括但不限于车辆车 型、基本状况、基本设施等）；4、交通出行安全保障措施等内容。方案各部分内容全面详细、阐述条理清晰详尽、符合本项目采购需求，能有效应对项目实施过程中各类突发事件、保障项目顺利推进得4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本项目的应急方案，包括1、应急组织架构及人员分工；2、常见突发事件预判（含安全事故、其他风险等）；3、各类突发事件应急处置流程；4医疗和应急保障措施（人员、设备、物资等）；5、应急复盘及改进机制。方案各部分内容全面详细、阐述条理清晰详尽、符合本项目采购需求，能有效应对项目实施过程中各类突发事件、保障项目顺利推进得5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供应商提供针对夏令营活动服务等方面的增值服务承诺（提供与本项目履约配套、可落地、不附加额外采购成本的增值服务），每提供1个经磋商小组一致认定的增值服务承诺计1分，最多得5分。）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提供2023年1月1日至响应截止时间（以合同签订时间为准）类似项目业绩，每提供一份合同得4分，满分20分。 评审依据：以加盖公章的业绩合同复印件为准，合同至少需包含合同首页、服务内容关键页、签章页。</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