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版本号：ZZHY202601300720260514001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2025年度“三区两带”困难立地植被恢复项目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ZZHY2026013007</w:t>
      </w:r>
      <w:r>
        <w:br/>
      </w:r>
      <w:r>
        <w:br/>
      </w:r>
      <w:r>
        <w:br/>
      </w:r>
    </w:p>
    <w:p>
      <w:pPr>
        <w:pStyle w:val="null3"/>
        <w:jc w:val="center"/>
        <w:outlineLvl w:val="2"/>
      </w:pPr>
      <w:r>
        <w:rPr>
          <w:rFonts w:ascii="仿宋_GB2312" w:hAnsi="仿宋_GB2312" w:cs="仿宋_GB2312" w:eastAsia="仿宋_GB2312"/>
          <w:sz w:val="28"/>
          <w:b/>
        </w:rPr>
        <w:t>西安市灞桥区秦岭生态环境保护和综合执法局</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西安市灞桥区秦岭生态环境保护和综合执法局</w:t>
      </w:r>
      <w:r>
        <w:rPr>
          <w:rFonts w:ascii="仿宋_GB2312" w:hAnsi="仿宋_GB2312" w:cs="仿宋_GB2312" w:eastAsia="仿宋_GB2312"/>
        </w:rPr>
        <w:t>委托，拟对</w:t>
      </w:r>
      <w:r>
        <w:rPr>
          <w:rFonts w:ascii="仿宋_GB2312" w:hAnsi="仿宋_GB2312" w:cs="仿宋_GB2312" w:eastAsia="仿宋_GB2312"/>
        </w:rPr>
        <w:t>2025年度“三区两带”困难立地植被恢复项目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ZZHY2026013007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2025年度“三区两带”困难立地植被恢复项目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重点对灞桥区洪庆街办三阳院村灞临路两侧的困难立地进行植被恢复，对灞临路两侧的其他林地、其他草地开展造林修复工作。共区划1个标段、9个造林小班，设计面积为207.61亩，可作业面积200.00亩，在宜林荒山、疏林地造林，林种为防护林，树种设计配置为侧柏、白皮松混交，共栽植各类苗木3.36万余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采购包1（2025年度“三区两带”困难立地植被恢复项目）：属于专门面向中小企业采购。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2、主体资格证明：具有独立承担民事责任能力的法人、其他组织或自然人，并出具合法有效的营业执照或事业单位法人证书等国家规定的合法证明文件，自然人参与的提供其身份证。</w:t>
      </w:r>
    </w:p>
    <w:p>
      <w:pPr>
        <w:pStyle w:val="null3"/>
      </w:pPr>
      <w:r>
        <w:rPr>
          <w:rFonts w:ascii="仿宋_GB2312" w:hAnsi="仿宋_GB2312" w:cs="仿宋_GB2312" w:eastAsia="仿宋_GB2312"/>
        </w:rPr>
        <w:t>3、拟派项目负责人：项目负责人具有林业或园林绿化相关专业中级及以上职称，且无在建工程（提供承诺函）。</w:t>
      </w:r>
    </w:p>
    <w:p>
      <w:pPr>
        <w:pStyle w:val="null3"/>
      </w:pPr>
      <w:r>
        <w:rPr>
          <w:rFonts w:ascii="仿宋_GB2312" w:hAnsi="仿宋_GB2312" w:cs="仿宋_GB2312" w:eastAsia="仿宋_GB2312"/>
        </w:rPr>
        <w:t>4、财务状况报告：提供2024年度或2025年度完整的财务审计报告（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w:t>
      </w:r>
    </w:p>
    <w:p>
      <w:pPr>
        <w:pStyle w:val="null3"/>
      </w:pPr>
      <w:r>
        <w:rPr>
          <w:rFonts w:ascii="仿宋_GB2312" w:hAnsi="仿宋_GB2312" w:cs="仿宋_GB2312" w:eastAsia="仿宋_GB2312"/>
        </w:rPr>
        <w:t>5、税收缴纳证明：提供响应文件递截止时间前6个月内已缴纳的至少一个月的纳税证明或完税证明，依法免税的单位应提供相关证明材料。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文件递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7、履行合同所必需的设备和专业技术能力：提供具有履行本合同所必需的设备和专业技术能力的说明及承诺。</w:t>
      </w:r>
    </w:p>
    <w:p>
      <w:pPr>
        <w:pStyle w:val="null3"/>
      </w:pPr>
      <w:r>
        <w:rPr>
          <w:rFonts w:ascii="仿宋_GB2312" w:hAnsi="仿宋_GB2312" w:cs="仿宋_GB2312" w:eastAsia="仿宋_GB2312"/>
        </w:rPr>
        <w:t>8、无重大违法记录：参加政府采购活动前3年内经营活动中无重大违法记录声明。</w:t>
      </w:r>
    </w:p>
    <w:p>
      <w:pPr>
        <w:pStyle w:val="null3"/>
      </w:pPr>
      <w:r>
        <w:rPr>
          <w:rFonts w:ascii="仿宋_GB2312" w:hAnsi="仿宋_GB2312" w:cs="仿宋_GB2312" w:eastAsia="仿宋_GB2312"/>
        </w:rPr>
        <w:t>9、信用查询：供应商未被“信用中国”网站(www.sr&amp;mtchin8.gov.&amp;)列入失信被执行人和重大税收违法失信主体，未被中国政府采购网(www.cc.gov.sn)列入政府采购严重违法失信行为记录名单）。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西安市灞桥区秦岭生态环境保护和综合执法局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029-88086170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西安市未央区未央路126号赛高国际商务港20层2004室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代理服务费收费标准：1、招标代理费以成交金额为收费基数，参照国家计委颁发的《 招标代理服务收费管理暂行办法》（计价格〔2002〕1980号）、《国家发展改革委关于招标代理服务收费有关问题的通知》（发改办价格〔2003〕 857号）、《国家发展改革委关于降低部分建设项目收费标准规范收费行为等有关问题的通知》（发改价格〔2011〕534号）的有关规定执行，由成交供应商在领取成交通知书前一次性支付。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西安市灞桥区秦岭生态环境保护和综合执法局</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西安市灞桥区秦岭生态环境保护和综合执法局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造林当年成活率达80%；面积核实率达到100%；落实1年的抚育管护。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地址：西安市未央区未央路126号赛高国际商务港20层2004室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重点对灞桥区洪庆街办三阳院村灞临路两侧的困难立地进行植被恢复，对灞临路两侧的其他林地、其他草地开展造林修复工作。共区划1个标段、9个造林小班，设计面积为207.61亩，可作业面积200.00亩，在宜林荒山、疏林地造林，林种为防护林，树种设计配置为侧柏、白皮松混交，共栽植各类苗木3.36万余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灞桥区洪庆街办三阳院村灞临路两侧困难立地植被恢复服务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标的名称：灞桥区洪庆街办三阳院村灞临路两侧困难立地植被恢复服务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 、项目概算</w:t>
            </w:r>
          </w:p>
          <w:p>
            <w:pPr>
              <w:pStyle w:val="null3"/>
            </w:pPr>
            <w:r>
              <w:rPr>
                <w:rFonts w:ascii="仿宋_GB2312" w:hAnsi="仿宋_GB2312" w:cs="仿宋_GB2312" w:eastAsia="仿宋_GB2312"/>
                <w:sz w:val="28"/>
              </w:rPr>
              <w:t xml:space="preserve"> </w:t>
            </w:r>
            <w:r>
              <w:rPr>
                <w:rFonts w:ascii="仿宋_GB2312" w:hAnsi="仿宋_GB2312" w:cs="仿宋_GB2312" w:eastAsia="仿宋_GB2312"/>
              </w:rPr>
              <w:t>该项目重点对灞桥区洪庆街办三阳院村灞临路两侧的困难立地进行植被恢复，对灞临路两侧的其他林地、其他草地开展造林修复工作。共区划1个标段、9个造林小班，设计面积为207.61亩，可作业面积200.00亩，在宜林荒山、疏林地造林，林种为防护林，树种设计配置为侧柏、白皮松混交，共栽植各类苗木3.36万余株。</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 xml:space="preserve">    1. 服务内容：项目区位于西安市灞桥区洪庆街道三阳院村，为宜林荒山、疏林地人工造林。项目区设计总面积(小班面积)为207.61亩，可作业面积200.00亩，共区划1个标段、9个造林小班。本次预算包含项目实施的所有内容，采购人不再额外提供水电等其他物料。</w:t>
            </w:r>
          </w:p>
          <w:p>
            <w:pPr>
              <w:pStyle w:val="null3"/>
            </w:pPr>
            <w:r>
              <w:rPr>
                <w:rFonts w:ascii="仿宋_GB2312" w:hAnsi="仿宋_GB2312" w:cs="仿宋_GB2312" w:eastAsia="仿宋_GB2312"/>
              </w:rPr>
              <w:t xml:space="preserve">    2. 服务地点：西安市灞桥区洪庆街道三阳院村，为宜林荒山、疏林地人工造林。</w:t>
            </w:r>
          </w:p>
          <w:p>
            <w:pPr>
              <w:pStyle w:val="null3"/>
            </w:pPr>
            <w:r>
              <w:rPr>
                <w:rFonts w:ascii="仿宋_GB2312" w:hAnsi="仿宋_GB2312" w:cs="仿宋_GB2312" w:eastAsia="仿宋_GB2312"/>
              </w:rPr>
              <w:t xml:space="preserve">    3. 实施期限：2026年6月30日前完成全部造林任务；2026年7月-2027年4月开展补植及管护养护工作；2027年6月底前完成项目竣工检查验收。</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 xml:space="preserve">    严格按国家现行有关技术标准、技术规范、项目质量检查验收标准及操作规程进行施工，加强造林整地、苗木栽植、后期抚育管理等环节管理，编制施工方案、技术总结等技术文件，做好项目施工记录。</w:t>
            </w:r>
          </w:p>
          <w:p>
            <w:pPr>
              <w:pStyle w:val="null3"/>
            </w:pPr>
            <w:r>
              <w:rPr>
                <w:rFonts w:ascii="仿宋_GB2312" w:hAnsi="仿宋_GB2312" w:cs="仿宋_GB2312" w:eastAsia="仿宋_GB2312"/>
              </w:rPr>
              <w:t xml:space="preserve">  （1）中华人民共和国国家标准《造林技术规程》（GB/T15776-2023）；</w:t>
            </w:r>
          </w:p>
          <w:p>
            <w:pPr>
              <w:pStyle w:val="null3"/>
            </w:pPr>
            <w:r>
              <w:rPr>
                <w:rFonts w:ascii="仿宋_GB2312" w:hAnsi="仿宋_GB2312" w:cs="仿宋_GB2312" w:eastAsia="仿宋_GB2312"/>
              </w:rPr>
              <w:t xml:space="preserve">  （2）中华人民共和国行业标准《造林作业设计规程》（LY/T1607-2003）；</w:t>
            </w:r>
          </w:p>
          <w:p>
            <w:pPr>
              <w:pStyle w:val="null3"/>
            </w:pPr>
            <w:r>
              <w:rPr>
                <w:rFonts w:ascii="仿宋_GB2312" w:hAnsi="仿宋_GB2312" w:cs="仿宋_GB2312" w:eastAsia="仿宋_GB2312"/>
              </w:rPr>
              <w:t xml:space="preserve">  （3）《陕西省造林技术规程》（DB/T142-2021）；</w:t>
            </w:r>
          </w:p>
          <w:p>
            <w:pPr>
              <w:pStyle w:val="null3"/>
            </w:pPr>
            <w:r>
              <w:rPr>
                <w:rFonts w:ascii="仿宋_GB2312" w:hAnsi="仿宋_GB2312" w:cs="仿宋_GB2312" w:eastAsia="仿宋_GB2312"/>
              </w:rPr>
              <w:t xml:space="preserve">  （4）《全国主要造林树种苗木质量分级》（GB6000-1999）。</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 苗木规格和标准</w:t>
            </w:r>
          </w:p>
          <w:p>
            <w:pPr>
              <w:pStyle w:val="null3"/>
            </w:pPr>
            <w:r>
              <w:rPr>
                <w:rFonts w:ascii="仿宋_GB2312" w:hAnsi="仿宋_GB2312" w:cs="仿宋_GB2312" w:eastAsia="仿宋_GB2312"/>
              </w:rPr>
              <w:t xml:space="preserve">    苗木要采用专业苗圃生产的良种壮苗，苗木质量必须达到GB6000-1999标准要求的I级苗木，同时具有经过林木种苗管理部门检验的“两证一签”(检疫证、合格证、标签)。其中，侧柏苗木规格：高度≥1m；3年生以上容器苗，容器直径15cm以上，不脱腿，充分木质化，无枯梢现象；白皮松苗木规格要求：高度≥1m；4年生以上容器苗，容器直径15cm以上，顶芽饱满，针叶完整,无多头现象。</w:t>
            </w:r>
          </w:p>
          <w:p>
            <w:pPr>
              <w:pStyle w:val="null3"/>
            </w:pPr>
            <w:r>
              <w:rPr>
                <w:rFonts w:ascii="仿宋_GB2312" w:hAnsi="仿宋_GB2312" w:cs="仿宋_GB2312" w:eastAsia="仿宋_GB2312"/>
              </w:rPr>
              <w:t xml:space="preserve"> 2. 整地要求</w:t>
            </w:r>
          </w:p>
          <w:p>
            <w:pPr>
              <w:pStyle w:val="null3"/>
            </w:pPr>
            <w:r>
              <w:rPr>
                <w:rFonts w:ascii="仿宋_GB2312" w:hAnsi="仿宋_GB2312" w:cs="仿宋_GB2312" w:eastAsia="仿宋_GB2312"/>
              </w:rPr>
              <w:t xml:space="preserve">    项目造林采用鱼鳞坑整地，株行距为：2×2m；混交每亩株数为:侧柏84株、白皮松84株；配置方式为：带状混交（3行侧柏+3行白皮松），品字形栽植;整穴方式为60×50×40cm（长径×短径×深）。</w:t>
            </w:r>
          </w:p>
          <w:p>
            <w:pPr>
              <w:pStyle w:val="null3"/>
            </w:pPr>
            <w:r>
              <w:rPr>
                <w:rFonts w:ascii="仿宋_GB2312" w:hAnsi="仿宋_GB2312" w:cs="仿宋_GB2312" w:eastAsia="仿宋_GB2312"/>
              </w:rPr>
              <w:t xml:space="preserve"> （1）参照造林模式图，用白灰点确定种植点位置。</w:t>
            </w:r>
          </w:p>
          <w:p>
            <w:pPr>
              <w:pStyle w:val="null3"/>
            </w:pPr>
            <w:r>
              <w:drawing>
                <wp:inline distT="0" distR="0" distB="0" distL="0">
                  <wp:extent cx="1621155" cy="116863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68637"/>
                          </a:xfrm>
                          <a:prstGeom prst="rect">
                            <a:avLst/>
                          </a:prstGeom>
                        </pic:spPr>
                      </pic:pic>
                    </a:graphicData>
                  </a:graphic>
                </wp:inline>
              </w:drawing>
            </w:r>
          </w:p>
          <w:p>
            <w:pPr>
              <w:pStyle w:val="null3"/>
            </w:pPr>
            <w:r>
              <w:rPr>
                <w:rFonts w:ascii="仿宋_GB2312" w:hAnsi="仿宋_GB2312" w:cs="仿宋_GB2312" w:eastAsia="仿宋_GB2312"/>
              </w:rPr>
              <w:t>（2）割灌除草。宜林地造林前，以栽植点行为中心线进行带状整地，带宽1米，割除杂草和散生灌木，并将割除的草灌清理出造林地。</w:t>
            </w:r>
          </w:p>
          <w:p>
            <w:pPr>
              <w:pStyle w:val="null3"/>
            </w:pPr>
            <w:r>
              <w:rPr>
                <w:rFonts w:ascii="仿宋_GB2312" w:hAnsi="仿宋_GB2312" w:cs="仿宋_GB2312" w:eastAsia="仿宋_GB2312"/>
              </w:rPr>
              <w:t>（3）根据小班树穴规格挖穴。树穴的形状应是垂直向下的圆柱形，底部中心部分应略高于边缘(呈倒锅底形)，坑底部要锄松15cm，以利于根系在穴中展开。挖掘时将表土、心土分开放置，通过穴土置换，改良土壤的理化性状。</w:t>
            </w:r>
          </w:p>
          <w:p>
            <w:pPr>
              <w:pStyle w:val="null3"/>
            </w:pPr>
            <w:r>
              <w:rPr>
                <w:rFonts w:ascii="仿宋_GB2312" w:hAnsi="仿宋_GB2312" w:cs="仿宋_GB2312" w:eastAsia="仿宋_GB2312"/>
              </w:rPr>
              <w:t>（4）遇到坚实的土壤或垃圾土应换土，将树穴加大，加深，回填营养土；在新堆或未经自然沉降的地方挖穴，应先在穴点附近适当夯实，挖好后的穴底也适当踩实，以防浇水后土塌树倒。当坑穴挖好后，专人负责验收，不合格返工。</w:t>
            </w:r>
          </w:p>
          <w:p>
            <w:pPr>
              <w:pStyle w:val="null3"/>
            </w:pPr>
            <w:r>
              <w:rPr>
                <w:rFonts w:ascii="仿宋_GB2312" w:hAnsi="仿宋_GB2312" w:cs="仿宋_GB2312" w:eastAsia="仿宋_GB2312"/>
              </w:rPr>
              <w:t>（5）挖坑时先将表土堆在坑的上方，将生土堆在坑的下方，挖好后把熟土垫入坑内，再在坑的外缘用生土环状围成高20cm～25cm的土埂形成树池便于集水。</w:t>
            </w:r>
          </w:p>
          <w:p>
            <w:pPr>
              <w:pStyle w:val="null3"/>
            </w:pPr>
            <w:r>
              <w:rPr>
                <w:rFonts w:ascii="仿宋_GB2312" w:hAnsi="仿宋_GB2312" w:cs="仿宋_GB2312" w:eastAsia="仿宋_GB2312"/>
              </w:rPr>
              <w:t>3.栽植要求</w:t>
            </w:r>
          </w:p>
          <w:p>
            <w:pPr>
              <w:pStyle w:val="null3"/>
            </w:pPr>
            <w:r>
              <w:rPr>
                <w:rFonts w:ascii="仿宋_GB2312" w:hAnsi="仿宋_GB2312" w:cs="仿宋_GB2312" w:eastAsia="仿宋_GB2312"/>
              </w:rPr>
              <w:t xml:space="preserve">   全部采用植苗造林。栽植前先在穴底回填表土，垫至离地面30cm～40cm处为止，可采用生根粉、保水剂沾根，地膜覆盖，以提高造林成活率。栽植技术要领：扶正、栽直、分层填土、轻提苗木、分层压实，使苗木根系与土壤接触密实，栽后立即浇水，水渗后扶正苗木，培土封穴。造林当年成活率≥80%。造林后1年养护期内，对死亡苗木应进行补植。本项目为春季造林，秋季补植，次年春季二次补植。造林保存率≥80%。</w:t>
            </w:r>
          </w:p>
          <w:p>
            <w:pPr>
              <w:pStyle w:val="null3"/>
            </w:pPr>
            <w:r>
              <w:rPr>
                <w:rFonts w:ascii="仿宋_GB2312" w:hAnsi="仿宋_GB2312" w:cs="仿宋_GB2312" w:eastAsia="仿宋_GB2312"/>
              </w:rPr>
              <w:t>4.抚育管理</w:t>
            </w:r>
          </w:p>
          <w:p>
            <w:pPr>
              <w:pStyle w:val="null3"/>
            </w:pPr>
            <w:r>
              <w:rPr>
                <w:rFonts w:ascii="仿宋_GB2312" w:hAnsi="仿宋_GB2312" w:cs="仿宋_GB2312" w:eastAsia="仿宋_GB2312"/>
              </w:rPr>
              <w:t>（1）造林后1年施工养护期内，应加强对新造林地的抚育、管理与管护，主要内容包括灌溉、施肥、松土除草、病虫害防治、支护、管护等。本项目施工管护期为1年，1年验收合格后，由地方政府负责继续管护直至成林。</w:t>
            </w:r>
          </w:p>
          <w:p>
            <w:pPr>
              <w:pStyle w:val="null3"/>
            </w:pPr>
            <w:r>
              <w:rPr>
                <w:rFonts w:ascii="仿宋_GB2312" w:hAnsi="仿宋_GB2312" w:cs="仿宋_GB2312" w:eastAsia="仿宋_GB2312"/>
              </w:rPr>
              <w:t>（2）每年除草松土2次，除草要做到不伤根、不伤皮、不伤树梢。防护林清除的杂草覆盖在树根附近，以减少水分蒸发和增加有机质。</w:t>
            </w:r>
          </w:p>
          <w:p>
            <w:pPr>
              <w:pStyle w:val="null3"/>
            </w:pPr>
            <w:r>
              <w:rPr>
                <w:rFonts w:ascii="仿宋_GB2312" w:hAnsi="仿宋_GB2312" w:cs="仿宋_GB2312" w:eastAsia="仿宋_GB2312"/>
              </w:rPr>
              <w:t>（3）造林后应及时灌溉，以提高造林成活率。根据苗木生长需要、降雨条件及土壤含水状况，适时进行灌溉，在天然降水常规年份，每年灌溉2次，春季和入冬前各一次。结合灌溉对幼树进行施肥。幼树施肥应采取薄施勤施的原则。年施肥2次，春、夏季各施1次，以氮、磷、钾配比肥为主，应尽量减少化肥施用，多施畜粪等有机肥、菌肥及生物肥料，可在树下种植苜蓿等豆科绿肥植物增加土壤肥力。</w:t>
            </w:r>
          </w:p>
          <w:p>
            <w:pPr>
              <w:pStyle w:val="null3"/>
            </w:pPr>
            <w:r>
              <w:rPr>
                <w:rFonts w:ascii="仿宋_GB2312" w:hAnsi="仿宋_GB2312" w:cs="仿宋_GB2312" w:eastAsia="仿宋_GB2312"/>
              </w:rPr>
              <w:t>（4）病虫害防治应坚持“生物防治为主、化学防治为辅”的原则，主要方法：一是通过合理施肥、灌水、修剪来增强树势，提高树木的抵抗力；二是人工捕虫、清除枯枝落叶；三是用糖醋液诱杀成虫，树干缠草绳消除虫卵；四是利用天敌进行防治。病虫害防治应尽可能采用物理防治措施或施用低污染的生物农药与矿物农药，尽量减少化学农药的施用。必须采用化学防治时，应选用低残留、低污染农药，并严格控制用量。</w:t>
            </w:r>
          </w:p>
          <w:p>
            <w:pPr>
              <w:pStyle w:val="null3"/>
            </w:pPr>
            <w:r>
              <w:rPr>
                <w:rFonts w:ascii="仿宋_GB2312" w:hAnsi="仿宋_GB2312" w:cs="仿宋_GB2312" w:eastAsia="仿宋_GB2312"/>
              </w:rPr>
              <w:t>5.管护</w:t>
            </w:r>
          </w:p>
          <w:p>
            <w:pPr>
              <w:pStyle w:val="null3"/>
            </w:pPr>
            <w:r>
              <w:rPr>
                <w:rFonts w:ascii="仿宋_GB2312" w:hAnsi="仿宋_GB2312" w:cs="仿宋_GB2312" w:eastAsia="仿宋_GB2312"/>
              </w:rPr>
              <w:t xml:space="preserve">   造林后应加强幼树管护。根据需要对苗木进行必要支护，防止风倒；加强巡护，对当地居民开展宣传教育，严禁牛羊进入造林绿化地块，严防人为破坏和偷盗苗木，确保造林绿化成果。</w:t>
            </w:r>
          </w:p>
          <w:p>
            <w:pPr>
              <w:pStyle w:val="null3"/>
            </w:pPr>
            <w:r>
              <w:rPr>
                <w:rFonts w:ascii="仿宋_GB2312" w:hAnsi="仿宋_GB2312" w:cs="仿宋_GB2312" w:eastAsia="仿宋_GB2312"/>
              </w:rPr>
              <w:t>五、商务要求</w:t>
            </w:r>
          </w:p>
          <w:p>
            <w:pPr>
              <w:pStyle w:val="null3"/>
              <w:jc w:val="both"/>
            </w:pPr>
            <w:r>
              <w:rPr>
                <w:rFonts w:ascii="仿宋_GB2312" w:hAnsi="仿宋_GB2312" w:cs="仿宋_GB2312" w:eastAsia="仿宋_GB2312"/>
              </w:rPr>
              <w:t>1. 服务期限：自合同签订之日起至2027年6月。</w:t>
            </w:r>
          </w:p>
          <w:p>
            <w:pPr>
              <w:pStyle w:val="null3"/>
            </w:pPr>
            <w:r>
              <w:rPr>
                <w:rFonts w:ascii="仿宋_GB2312" w:hAnsi="仿宋_GB2312" w:cs="仿宋_GB2312" w:eastAsia="仿宋_GB2312"/>
              </w:rPr>
              <w:t>2. 款项结算：项目验收合格后一次付清。</w:t>
            </w:r>
          </w:p>
          <w:p>
            <w:pPr>
              <w:pStyle w:val="null3"/>
            </w:pPr>
            <w:r>
              <w:rPr>
                <w:rFonts w:ascii="仿宋_GB2312" w:hAnsi="仿宋_GB2312" w:cs="仿宋_GB2312" w:eastAsia="仿宋_GB2312"/>
              </w:rPr>
              <w:t>六、其它</w:t>
            </w:r>
          </w:p>
          <w:p>
            <w:pPr>
              <w:pStyle w:val="null3"/>
              <w:jc w:val="both"/>
            </w:pPr>
            <w:r>
              <w:rPr>
                <w:rFonts w:ascii="仿宋_GB2312" w:hAnsi="仿宋_GB2312" w:cs="仿宋_GB2312" w:eastAsia="仿宋_GB2312"/>
              </w:rPr>
              <w:t>1. 进度要求</w:t>
            </w:r>
          </w:p>
          <w:p>
            <w:pPr>
              <w:pStyle w:val="null3"/>
              <w:jc w:val="both"/>
            </w:pPr>
            <w:r>
              <w:rPr>
                <w:rFonts w:ascii="仿宋_GB2312" w:hAnsi="仿宋_GB2312" w:cs="仿宋_GB2312" w:eastAsia="仿宋_GB2312"/>
              </w:rPr>
              <w:t>（1）合同签订之日起至6月30日栽植施工；</w:t>
            </w:r>
          </w:p>
          <w:p>
            <w:pPr>
              <w:pStyle w:val="null3"/>
              <w:jc w:val="both"/>
            </w:pPr>
            <w:r>
              <w:rPr>
                <w:rFonts w:ascii="仿宋_GB2312" w:hAnsi="仿宋_GB2312" w:cs="仿宋_GB2312" w:eastAsia="仿宋_GB2312"/>
              </w:rPr>
              <w:t>（2）2026年7月至2027年4月补植及抚育管护；</w:t>
            </w:r>
          </w:p>
          <w:p>
            <w:pPr>
              <w:pStyle w:val="null3"/>
              <w:jc w:val="both"/>
            </w:pPr>
            <w:r>
              <w:rPr>
                <w:rFonts w:ascii="仿宋_GB2312" w:hAnsi="仿宋_GB2312" w:cs="仿宋_GB2312" w:eastAsia="仿宋_GB2312"/>
              </w:rPr>
              <w:t>（3）2027年6月底前完成项目竣工检查验收。</w:t>
            </w:r>
          </w:p>
          <w:p>
            <w:pPr>
              <w:pStyle w:val="null3"/>
            </w:pPr>
            <w:r>
              <w:rPr>
                <w:rFonts w:ascii="仿宋_GB2312" w:hAnsi="仿宋_GB2312" w:cs="仿宋_GB2312" w:eastAsia="仿宋_GB2312"/>
              </w:rPr>
              <w:t>2. 成果交付要求</w:t>
            </w:r>
          </w:p>
          <w:p>
            <w:pPr>
              <w:pStyle w:val="null3"/>
            </w:pPr>
            <w:r>
              <w:rPr>
                <w:rFonts w:ascii="仿宋_GB2312" w:hAnsi="仿宋_GB2312" w:cs="仿宋_GB2312" w:eastAsia="仿宋_GB2312"/>
              </w:rPr>
              <w:t>（1）完成所有造林小班可作业面积200亩的造林绿化，面积核实率达到100%。</w:t>
            </w:r>
          </w:p>
          <w:p>
            <w:pPr>
              <w:pStyle w:val="null3"/>
            </w:pPr>
            <w:r>
              <w:rPr>
                <w:rFonts w:ascii="仿宋_GB2312" w:hAnsi="仿宋_GB2312" w:cs="仿宋_GB2312" w:eastAsia="仿宋_GB2312"/>
              </w:rPr>
              <w:t>（2）苗木规格和标准采用专业苗圃生产的良种壮苗，苗木质量必须达到GB6000-1999标准要求的I级苗木，同时具有经过林木种苗管理部门检验的“两证一签”(检疫证、合格证、标签)。</w:t>
            </w:r>
          </w:p>
          <w:p>
            <w:pPr>
              <w:pStyle w:val="null3"/>
            </w:pPr>
            <w:r>
              <w:rPr>
                <w:rFonts w:ascii="仿宋_GB2312" w:hAnsi="仿宋_GB2312" w:cs="仿宋_GB2312" w:eastAsia="仿宋_GB2312"/>
              </w:rPr>
              <w:t>（3）全过程档案资料。包括完整的施工日志、监理日志、所有进场苗木的“两证一签”；招投标文件、施工合同、物资采购合同、资金支付凭证等；施工方和监理方共同完成的自查验收报告，以及施工过程影像资料；所有造林地块的精准矢量数据。</w:t>
            </w:r>
          </w:p>
          <w:p>
            <w:pPr>
              <w:pStyle w:val="null3"/>
            </w:pPr>
            <w:r>
              <w:rPr>
                <w:rFonts w:ascii="仿宋_GB2312" w:hAnsi="仿宋_GB2312" w:cs="仿宋_GB2312" w:eastAsia="仿宋_GB2312"/>
              </w:rPr>
              <w:t>3. 质量验收标准或规范</w:t>
            </w:r>
          </w:p>
          <w:p>
            <w:pPr>
              <w:pStyle w:val="null3"/>
            </w:pPr>
            <w:r>
              <w:rPr>
                <w:rFonts w:ascii="仿宋_GB2312" w:hAnsi="仿宋_GB2312" w:cs="仿宋_GB2312" w:eastAsia="仿宋_GB2312"/>
              </w:rPr>
              <w:t>造林当年成活率达80%；面积核实率达到100%；落实1年的抚育管护。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人员配置齐全，满足项目需求。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设备配备齐全，满足山地林地施工、养护管护及安全作业需求。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灞桥区洪庆街办三阳院村灞临路两侧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1.完成所有造林小班可作业面积200亩的造林绿化，面积核实率达到100%。 2.苗木规格和标准采用专业苗圃生产的良种壮苗，苗木质量必须达到GB6000-1999标准要求的I级苗木，同时具有经过林木种苗管理部门检验的“两证一签”(检疫证、合格证、标签)。 3.全过程档案资料。包括完整的施工日志、监理日志、所有进场苗木的“两证一签”；采购文件、施工合同、物资采购合同、资金支付凭证等；施工方和监理方共同完成的自查验收报告，以及施工过程影像资料；所有造林地块的精准矢量数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1年的抚育管护期满，无质量问题一次付清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非联合体磋商承诺函。</w:t>
            </w:r>
          </w:p>
        </w:tc>
        <w:tc>
          <w:tcPr>
            <w:tcW w:type="dxa" w:w="1661"/>
          </w:tcPr>
          <w:p>
            <w:pPr>
              <w:pStyle w:val="null3"/>
            </w:pPr>
            <w:r>
              <w:rPr>
                <w:rFonts w:ascii="仿宋_GB2312" w:hAnsi="仿宋_GB2312" w:cs="仿宋_GB2312" w:eastAsia="仿宋_GB2312"/>
              </w:rPr>
              <w:t>4.非联合体磋商承诺函.docx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3.1中小企业声明函 3.3监狱企业的证明文件 3.2残疾人福利性单位声明函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5.法定代表人授权书或身份证明.docx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项目负责人具有林业或园林绿化相关专业中级及以上职称，且无在建工程（提供承诺函）。</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财务审计报告（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提供响应文件递截止时间前6个月内已缴纳的至少一个月的纳税证明或完税证明，依法免税的单位应提供相关证明材料。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6.供应商提交的相关资格证明材料.docx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6.供应商提交的相关资格证明材料.docx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（1）供应商名称：与营业执照及响应文件的签署盖章一致。（2）响应文件签字盖章：符合磋商文件“第七章 响应文件格式”的规定。（3）报价唯一：只能有一个有效报价，不得提交选择性报价，且报价不超过磋商文件规定的采购预算金额及最高限价。（4）响应文件格式：符合磋商文件“第七章 响应文件格式”的要求 。</w:t>
            </w:r>
          </w:p>
        </w:tc>
        <w:tc>
          <w:tcPr>
            <w:tcW w:type="dxa" w:w="1661"/>
          </w:tcPr>
          <w:p>
            <w:pPr>
              <w:pStyle w:val="null3"/>
            </w:pPr>
            <w:r>
              <w:rPr>
                <w:rFonts w:ascii="仿宋_GB2312" w:hAnsi="仿宋_GB2312" w:cs="仿宋_GB2312" w:eastAsia="仿宋_GB2312"/>
              </w:rPr>
              <w:t>6.供应商提交的相关资格证明材料.docx 2.响应函 5.法定代表人授权书或身份证明.docx 7.3报价表附录.docx 3.1中小企业声明函 3.3监狱企业的证明文件 8.实施方案.docx 1.响应文件封面 7.1标的清单 4.非联合体磋商承诺函.docx 3.2残疾人福利性单位声明函 7.2报价表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7.3报价表附录.docx 7.1标的清单 7.2报价表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7.3报价表附录.docx 7.1标的清单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抚育管护期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7.3报价表附录.docx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7.3报价表附录.docx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本项目所包含的植被更换、养护内容及要求提出详细的总体方案，包括但不限于：①造林地清理及整地方案；②施肥、栽植、浇水及铺设育林板方案；③未成林抚育方案；④幼林管护方案；⑤团队管理方案；⑥苗木运输、造林方法补植补造、抚育管理方案；⑦绿化服务总体设想。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28分，每缺少一项或该项只有标题没有实质性内容扣4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供应商针对本项目所包含的植被更换、养护内容及要求提出详细的质量保证方案，包括但不限于：①苗木选品；②服务质量目标情况以及制定的质量保证措施；③制定服务承诺书等。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缺少一项或该项只有标题没有实质性内容扣5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绿化垃圾清理方案</w:t>
            </w:r>
          </w:p>
        </w:tc>
        <w:tc>
          <w:tcPr>
            <w:tcW w:type="dxa" w:w="2492"/>
          </w:tcPr>
          <w:p>
            <w:pPr>
              <w:pStyle w:val="null3"/>
            </w:pPr>
            <w:r>
              <w:rPr>
                <w:rFonts w:ascii="仿宋_GB2312" w:hAnsi="仿宋_GB2312" w:cs="仿宋_GB2312" w:eastAsia="仿宋_GB2312"/>
              </w:rPr>
              <w:t>一、评审内容： 供应商针对本项目特点制定绿化垃圾的清理方案，包括但不限于①清理方式；②拟投入机械说明；③枯萎草花处置方案；④现场环境保护措施等。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每缺少一项或该项只有标题没有实质性内容扣3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养护管理措施及考核制度</w:t>
            </w:r>
          </w:p>
        </w:tc>
        <w:tc>
          <w:tcPr>
            <w:tcW w:type="dxa" w:w="2492"/>
          </w:tcPr>
          <w:p>
            <w:pPr>
              <w:pStyle w:val="null3"/>
            </w:pPr>
            <w:r>
              <w:rPr>
                <w:rFonts w:ascii="仿宋_GB2312" w:hAnsi="仿宋_GB2312" w:cs="仿宋_GB2312" w:eastAsia="仿宋_GB2312"/>
              </w:rPr>
              <w:t>一、评审内容： 供应商针对本项目具有完善的养护管理措施及考核制度，包含但不限于①养护管理措施（包括体系完善、保障制度、养护管理制度、养护操作规程等）；②落实养护计划的具体措施，并依据考核要求制定切实可行的考核办法；③完善的监督巡查体制。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缺少一项或该项只有标题没有实质性内容扣3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供应商针对本项目具有完善的应急措施及预案，包含但不限于①物力调配及保障措施；②极端天气、异常植物、重点植物关注；③有补救延误服务期的措施；④有确保总服务期的技术组织措施等方面。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每缺少一项或该项只有标题没有实质性内容扣3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针对本项目提供具体可行的团队配置方案，包括但不限于①团队人员配备计划及管理人员证书；②岗位人员的岗位职责；③团队人员管理制度。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缺少一项或该项只有标题没有实质性内容扣4分；每项评审内容每存在一处缺陷（缺陷是指内容没有结合项目实际需求、虽有内容但不完善、不全面、内容表述前后不一致、套用其他项目方案或与项目需求不匹配及其他不利于项目实施的等任意一种情形）扣0.5分，本项评审内容分值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供应商具有2023年1月至今的同类业绩证明文件（以合同签订时间为准），每提供一个得1分，满分2分。 注：响应文件中附加盖供应商公章的合同复印件。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分值，依据《政府采购竞争性磋商采购方式管理暂行办法》的有关规定，将满足竞争性磋商文件要求且第二次（最终）磋商报价最低的供应商的价格为磋商基准价，其价格分为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7.1标的清单</w:t>
            </w:r>
          </w:p>
          <w:p>
            <w:pPr>
              <w:pStyle w:val="null3"/>
            </w:pPr>
            <w:r>
              <w:rPr>
                <w:rFonts w:ascii="仿宋_GB2312" w:hAnsi="仿宋_GB2312" w:cs="仿宋_GB2312" w:eastAsia="仿宋_GB2312"/>
              </w:rPr>
              <w:t>7.2报价表</w:t>
            </w:r>
          </w:p>
          <w:p>
            <w:pPr>
              <w:pStyle w:val="null3"/>
            </w:pPr>
            <w:r>
              <w:rPr>
                <w:rFonts w:ascii="仿宋_GB2312" w:hAnsi="仿宋_GB2312" w:cs="仿宋_GB2312" w:eastAsia="仿宋_GB2312"/>
              </w:rPr>
              <w:t>7.3报价表附录.docx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详见附件：3.1中小企业声明函</w:t>
      </w:r>
    </w:p>
    <w:p>
      <w:pPr>
        <w:pStyle w:val="null3"/>
        <w:ind w:firstLine="960"/>
      </w:pPr>
      <w:r>
        <w:rPr>
          <w:rFonts w:ascii="仿宋_GB2312" w:hAnsi="仿宋_GB2312" w:cs="仿宋_GB2312" w:eastAsia="仿宋_GB2312"/>
        </w:rPr>
        <w:t>详见附件：3.2残疾人福利性单位声明函</w:t>
      </w:r>
    </w:p>
    <w:p>
      <w:pPr>
        <w:pStyle w:val="null3"/>
        <w:ind w:firstLine="960"/>
      </w:pPr>
      <w:r>
        <w:rPr>
          <w:rFonts w:ascii="仿宋_GB2312" w:hAnsi="仿宋_GB2312" w:cs="仿宋_GB2312" w:eastAsia="仿宋_GB2312"/>
        </w:rPr>
        <w:t>详见附件：3.3监狱企业的证明文件</w:t>
      </w:r>
    </w:p>
    <w:p>
      <w:pPr>
        <w:pStyle w:val="null3"/>
        <w:ind w:firstLine="960"/>
      </w:pPr>
      <w:r>
        <w:rPr>
          <w:rFonts w:ascii="仿宋_GB2312" w:hAnsi="仿宋_GB2312" w:cs="仿宋_GB2312" w:eastAsia="仿宋_GB2312"/>
        </w:rPr>
        <w:t>详见附件：4.非联合体磋商承诺函.docx</w:t>
      </w:r>
    </w:p>
    <w:p>
      <w:pPr>
        <w:pStyle w:val="null3"/>
        <w:ind w:firstLine="960"/>
      </w:pPr>
      <w:r>
        <w:rPr>
          <w:rFonts w:ascii="仿宋_GB2312" w:hAnsi="仿宋_GB2312" w:cs="仿宋_GB2312" w:eastAsia="仿宋_GB2312"/>
        </w:rPr>
        <w:t>详见附件：5.法定代表人授权书或身份证明.docx</w:t>
      </w:r>
    </w:p>
    <w:p>
      <w:pPr>
        <w:pStyle w:val="null3"/>
        <w:ind w:firstLine="960"/>
      </w:pPr>
      <w:r>
        <w:rPr>
          <w:rFonts w:ascii="仿宋_GB2312" w:hAnsi="仿宋_GB2312" w:cs="仿宋_GB2312" w:eastAsia="仿宋_GB2312"/>
        </w:rPr>
        <w:t>详见附件：6.供应商提交的相关资格证明材料.docx</w:t>
      </w:r>
    </w:p>
    <w:p>
      <w:pPr>
        <w:pStyle w:val="null3"/>
        <w:ind w:firstLine="960"/>
      </w:pPr>
      <w:r>
        <w:rPr>
          <w:rFonts w:ascii="仿宋_GB2312" w:hAnsi="仿宋_GB2312" w:cs="仿宋_GB2312" w:eastAsia="仿宋_GB2312"/>
        </w:rPr>
        <w:t>详见附件：7.1标的清单</w:t>
      </w:r>
    </w:p>
    <w:p>
      <w:pPr>
        <w:pStyle w:val="null3"/>
        <w:ind w:firstLine="960"/>
      </w:pPr>
      <w:r>
        <w:rPr>
          <w:rFonts w:ascii="仿宋_GB2312" w:hAnsi="仿宋_GB2312" w:cs="仿宋_GB2312" w:eastAsia="仿宋_GB2312"/>
        </w:rPr>
        <w:t>详见附件：7.2报价表</w:t>
      </w:r>
    </w:p>
    <w:p>
      <w:pPr>
        <w:pStyle w:val="null3"/>
        <w:ind w:firstLine="960"/>
      </w:pPr>
      <w:r>
        <w:rPr>
          <w:rFonts w:ascii="仿宋_GB2312" w:hAnsi="仿宋_GB2312" w:cs="仿宋_GB2312" w:eastAsia="仿宋_GB2312"/>
        </w:rPr>
        <w:t>详见附件：7.3报价表附录.docx</w:t>
      </w:r>
    </w:p>
    <w:p>
      <w:pPr>
        <w:pStyle w:val="null3"/>
        <w:ind w:firstLine="960"/>
      </w:pPr>
      <w:r>
        <w:rPr>
          <w:rFonts w:ascii="仿宋_GB2312" w:hAnsi="仿宋_GB2312" w:cs="仿宋_GB2312" w:eastAsia="仿宋_GB2312"/>
        </w:rPr>
        <w:t>详见附件：8.实施方案.docx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