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3DAC32">
      <w:pPr>
        <w:kinsoku w:val="0"/>
        <w:autoSpaceDE w:val="0"/>
        <w:autoSpaceDN w:val="0"/>
        <w:adjustRightInd w:val="0"/>
        <w:snapToGrid w:val="0"/>
        <w:spacing w:line="262" w:lineRule="auto"/>
        <w:jc w:val="left"/>
        <w:textAlignment w:val="baseline"/>
        <w:rPr>
          <w:rFonts w:ascii="Arial" w:hAnsi="Arial" w:eastAsia="Arial" w:cs="Arial"/>
          <w:snapToGrid w:val="0"/>
          <w:color w:val="000000"/>
          <w:kern w:val="0"/>
          <w:sz w:val="21"/>
          <w:szCs w:val="21"/>
          <w:lang w:val="en-US" w:eastAsia="en-US" w:bidi="ar-SA"/>
        </w:rPr>
      </w:pPr>
    </w:p>
    <w:p w14:paraId="5F702D19">
      <w:pPr>
        <w:kinsoku w:val="0"/>
        <w:autoSpaceDE w:val="0"/>
        <w:autoSpaceDN w:val="0"/>
        <w:adjustRightInd w:val="0"/>
        <w:snapToGrid w:val="0"/>
        <w:spacing w:line="262" w:lineRule="auto"/>
        <w:jc w:val="left"/>
        <w:textAlignment w:val="baseline"/>
        <w:rPr>
          <w:rFonts w:ascii="Arial" w:hAnsi="Arial" w:eastAsia="Arial" w:cs="Arial"/>
          <w:snapToGrid w:val="0"/>
          <w:color w:val="000000"/>
          <w:kern w:val="0"/>
          <w:sz w:val="21"/>
          <w:szCs w:val="21"/>
          <w:lang w:val="en-US" w:eastAsia="en-US" w:bidi="ar-SA"/>
        </w:rPr>
      </w:pPr>
    </w:p>
    <w:p w14:paraId="1DBA3A37">
      <w:pPr>
        <w:kinsoku w:val="0"/>
        <w:autoSpaceDE w:val="0"/>
        <w:autoSpaceDN w:val="0"/>
        <w:adjustRightInd w:val="0"/>
        <w:snapToGrid w:val="0"/>
        <w:spacing w:line="262" w:lineRule="auto"/>
        <w:jc w:val="left"/>
        <w:textAlignment w:val="baseline"/>
        <w:rPr>
          <w:rFonts w:ascii="Arial" w:hAnsi="Arial" w:eastAsia="Arial" w:cs="Arial"/>
          <w:snapToGrid w:val="0"/>
          <w:color w:val="000000"/>
          <w:kern w:val="0"/>
          <w:sz w:val="21"/>
          <w:szCs w:val="21"/>
          <w:lang w:val="en-US" w:eastAsia="en-US" w:bidi="ar-SA"/>
        </w:rPr>
      </w:pPr>
    </w:p>
    <w:p w14:paraId="03EDBC50">
      <w:pPr>
        <w:kinsoku w:val="0"/>
        <w:autoSpaceDE w:val="0"/>
        <w:autoSpaceDN w:val="0"/>
        <w:adjustRightInd w:val="0"/>
        <w:snapToGrid w:val="0"/>
        <w:spacing w:line="263" w:lineRule="auto"/>
        <w:jc w:val="left"/>
        <w:textAlignment w:val="baseline"/>
        <w:rPr>
          <w:rFonts w:ascii="Arial" w:hAnsi="Arial" w:eastAsia="Arial" w:cs="Arial"/>
          <w:snapToGrid w:val="0"/>
          <w:color w:val="000000"/>
          <w:kern w:val="0"/>
          <w:sz w:val="21"/>
          <w:szCs w:val="21"/>
          <w:lang w:val="en-US" w:eastAsia="en-US" w:bidi="ar-SA"/>
        </w:rPr>
      </w:pPr>
    </w:p>
    <w:p w14:paraId="1880B156">
      <w:pPr>
        <w:kinsoku w:val="0"/>
        <w:autoSpaceDE w:val="0"/>
        <w:autoSpaceDN w:val="0"/>
        <w:adjustRightInd w:val="0"/>
        <w:snapToGrid w:val="0"/>
        <w:spacing w:line="263" w:lineRule="auto"/>
        <w:jc w:val="left"/>
        <w:textAlignment w:val="baseline"/>
        <w:rPr>
          <w:rFonts w:ascii="Arial" w:hAnsi="Arial" w:eastAsia="Arial" w:cs="Arial"/>
          <w:snapToGrid w:val="0"/>
          <w:color w:val="000000"/>
          <w:kern w:val="0"/>
          <w:sz w:val="21"/>
          <w:szCs w:val="21"/>
          <w:lang w:val="en-US" w:eastAsia="en-US" w:bidi="ar-SA"/>
        </w:rPr>
      </w:pPr>
    </w:p>
    <w:p w14:paraId="0274CFD0">
      <w:pPr>
        <w:kinsoku w:val="0"/>
        <w:autoSpaceDE w:val="0"/>
        <w:autoSpaceDN w:val="0"/>
        <w:adjustRightInd w:val="0"/>
        <w:snapToGrid w:val="0"/>
        <w:spacing w:line="263" w:lineRule="auto"/>
        <w:jc w:val="left"/>
        <w:textAlignment w:val="baseline"/>
        <w:rPr>
          <w:rFonts w:ascii="Arial" w:hAnsi="Arial" w:eastAsia="Arial" w:cs="Arial"/>
          <w:snapToGrid w:val="0"/>
          <w:color w:val="000000"/>
          <w:kern w:val="0"/>
          <w:sz w:val="21"/>
          <w:szCs w:val="21"/>
          <w:lang w:val="en-US" w:eastAsia="en-US" w:bidi="ar-SA"/>
        </w:rPr>
      </w:pPr>
    </w:p>
    <w:p w14:paraId="3CCAE132">
      <w:pPr>
        <w:kinsoku w:val="0"/>
        <w:autoSpaceDE w:val="0"/>
        <w:autoSpaceDN w:val="0"/>
        <w:adjustRightInd w:val="0"/>
        <w:snapToGrid w:val="0"/>
        <w:spacing w:line="263" w:lineRule="auto"/>
        <w:jc w:val="left"/>
        <w:textAlignment w:val="baseline"/>
        <w:rPr>
          <w:rFonts w:ascii="Arial" w:hAnsi="Arial" w:eastAsia="Arial" w:cs="Arial"/>
          <w:snapToGrid w:val="0"/>
          <w:color w:val="000000"/>
          <w:kern w:val="0"/>
          <w:sz w:val="21"/>
          <w:szCs w:val="21"/>
          <w:lang w:val="en-US" w:eastAsia="en-US" w:bidi="ar-SA"/>
        </w:rPr>
      </w:pPr>
    </w:p>
    <w:p w14:paraId="73066CCE">
      <w:pPr>
        <w:widowControl/>
        <w:kinsoku w:val="0"/>
        <w:autoSpaceDE w:val="0"/>
        <w:autoSpaceDN w:val="0"/>
        <w:adjustRightInd w:val="0"/>
        <w:snapToGrid w:val="0"/>
        <w:spacing w:before="114" w:line="225" w:lineRule="auto"/>
        <w:ind w:left="394"/>
        <w:jc w:val="left"/>
        <w:textAlignment w:val="baseline"/>
        <w:outlineLvl w:val="0"/>
        <w:rPr>
          <w:rFonts w:hint="eastAsia" w:ascii="宋体" w:hAnsi="宋体" w:eastAsia="宋体" w:cs="宋体"/>
          <w:snapToGrid w:val="0"/>
          <w:color w:val="000000"/>
          <w:kern w:val="0"/>
          <w:sz w:val="35"/>
          <w:szCs w:val="35"/>
          <w:lang w:eastAsia="zh-CN"/>
        </w:rPr>
      </w:pPr>
      <w:r>
        <w:rPr>
          <w:rFonts w:hint="eastAsia" w:ascii="宋体" w:hAnsi="宋体" w:eastAsia="宋体" w:cs="宋体"/>
          <w:b/>
          <w:bCs/>
          <w:snapToGrid w:val="0"/>
          <w:color w:val="000000"/>
          <w:spacing w:val="6"/>
          <w:kern w:val="0"/>
          <w:sz w:val="35"/>
          <w:szCs w:val="35"/>
          <w:lang w:eastAsia="zh-CN"/>
        </w:rPr>
        <w:t>2025年度“三区两带”困难立地植被恢复项目</w:t>
      </w:r>
    </w:p>
    <w:p w14:paraId="37D6D953">
      <w:pPr>
        <w:kinsoku w:val="0"/>
        <w:autoSpaceDE w:val="0"/>
        <w:autoSpaceDN w:val="0"/>
        <w:adjustRightInd w:val="0"/>
        <w:snapToGrid w:val="0"/>
        <w:spacing w:line="258" w:lineRule="auto"/>
        <w:jc w:val="left"/>
        <w:textAlignment w:val="baseline"/>
        <w:rPr>
          <w:rFonts w:ascii="Arial" w:hAnsi="Arial" w:eastAsia="Arial" w:cs="Arial"/>
          <w:snapToGrid w:val="0"/>
          <w:color w:val="000000"/>
          <w:kern w:val="0"/>
          <w:sz w:val="21"/>
          <w:szCs w:val="21"/>
          <w:lang w:val="en-US" w:eastAsia="en-US" w:bidi="ar-SA"/>
        </w:rPr>
      </w:pPr>
    </w:p>
    <w:p w14:paraId="1C8C1E63">
      <w:pPr>
        <w:kinsoku w:val="0"/>
        <w:autoSpaceDE w:val="0"/>
        <w:autoSpaceDN w:val="0"/>
        <w:adjustRightInd w:val="0"/>
        <w:snapToGrid w:val="0"/>
        <w:spacing w:line="258" w:lineRule="auto"/>
        <w:jc w:val="left"/>
        <w:textAlignment w:val="baseline"/>
        <w:rPr>
          <w:rFonts w:ascii="Arial" w:hAnsi="Arial" w:eastAsia="Arial" w:cs="Arial"/>
          <w:snapToGrid w:val="0"/>
          <w:color w:val="000000"/>
          <w:kern w:val="0"/>
          <w:sz w:val="21"/>
          <w:szCs w:val="21"/>
          <w:lang w:val="en-US" w:eastAsia="en-US" w:bidi="ar-SA"/>
        </w:rPr>
      </w:pPr>
    </w:p>
    <w:p w14:paraId="373ACD14">
      <w:pPr>
        <w:kinsoku w:val="0"/>
        <w:autoSpaceDE w:val="0"/>
        <w:autoSpaceDN w:val="0"/>
        <w:adjustRightInd w:val="0"/>
        <w:snapToGrid w:val="0"/>
        <w:spacing w:line="258" w:lineRule="auto"/>
        <w:jc w:val="left"/>
        <w:textAlignment w:val="baseline"/>
        <w:rPr>
          <w:rFonts w:ascii="Arial" w:hAnsi="Arial" w:eastAsia="Arial" w:cs="Arial"/>
          <w:snapToGrid w:val="0"/>
          <w:color w:val="000000"/>
          <w:kern w:val="0"/>
          <w:sz w:val="21"/>
          <w:szCs w:val="21"/>
          <w:lang w:val="en-US" w:eastAsia="en-US" w:bidi="ar-SA"/>
        </w:rPr>
      </w:pPr>
    </w:p>
    <w:p w14:paraId="6CAC1A23">
      <w:pPr>
        <w:kinsoku w:val="0"/>
        <w:autoSpaceDE w:val="0"/>
        <w:autoSpaceDN w:val="0"/>
        <w:adjustRightInd w:val="0"/>
        <w:snapToGrid w:val="0"/>
        <w:spacing w:line="258" w:lineRule="auto"/>
        <w:jc w:val="left"/>
        <w:textAlignment w:val="baseline"/>
        <w:rPr>
          <w:rFonts w:ascii="Arial" w:hAnsi="Arial" w:eastAsia="Arial" w:cs="Arial"/>
          <w:snapToGrid w:val="0"/>
          <w:color w:val="000000"/>
          <w:kern w:val="0"/>
          <w:sz w:val="21"/>
          <w:szCs w:val="21"/>
          <w:lang w:val="en-US" w:eastAsia="en-US" w:bidi="ar-SA"/>
        </w:rPr>
      </w:pPr>
    </w:p>
    <w:p w14:paraId="67A3E8FA">
      <w:pPr>
        <w:kinsoku w:val="0"/>
        <w:autoSpaceDE w:val="0"/>
        <w:autoSpaceDN w:val="0"/>
        <w:adjustRightInd w:val="0"/>
        <w:snapToGrid w:val="0"/>
        <w:spacing w:line="258" w:lineRule="auto"/>
        <w:jc w:val="left"/>
        <w:textAlignment w:val="baseline"/>
        <w:rPr>
          <w:rFonts w:ascii="Arial" w:hAnsi="Arial" w:eastAsia="Arial" w:cs="Arial"/>
          <w:snapToGrid w:val="0"/>
          <w:color w:val="000000"/>
          <w:kern w:val="0"/>
          <w:sz w:val="21"/>
          <w:szCs w:val="21"/>
          <w:lang w:val="en-US" w:eastAsia="en-US" w:bidi="ar-SA"/>
        </w:rPr>
      </w:pPr>
    </w:p>
    <w:p w14:paraId="03238A64">
      <w:pPr>
        <w:kinsoku w:val="0"/>
        <w:autoSpaceDE w:val="0"/>
        <w:autoSpaceDN w:val="0"/>
        <w:adjustRightInd w:val="0"/>
        <w:snapToGrid w:val="0"/>
        <w:spacing w:line="258" w:lineRule="auto"/>
        <w:jc w:val="left"/>
        <w:textAlignment w:val="baseline"/>
        <w:rPr>
          <w:rFonts w:ascii="Arial" w:hAnsi="Arial" w:eastAsia="Arial" w:cs="Arial"/>
          <w:snapToGrid w:val="0"/>
          <w:color w:val="000000"/>
          <w:kern w:val="0"/>
          <w:sz w:val="21"/>
          <w:szCs w:val="21"/>
          <w:lang w:val="en-US" w:eastAsia="en-US" w:bidi="ar-SA"/>
        </w:rPr>
      </w:pPr>
    </w:p>
    <w:p w14:paraId="198162E3">
      <w:pPr>
        <w:kinsoku w:val="0"/>
        <w:autoSpaceDE w:val="0"/>
        <w:autoSpaceDN w:val="0"/>
        <w:adjustRightInd w:val="0"/>
        <w:snapToGrid w:val="0"/>
        <w:spacing w:line="258" w:lineRule="auto"/>
        <w:jc w:val="left"/>
        <w:textAlignment w:val="baseline"/>
        <w:rPr>
          <w:rFonts w:ascii="Arial" w:hAnsi="Arial" w:eastAsia="Arial" w:cs="Arial"/>
          <w:snapToGrid w:val="0"/>
          <w:color w:val="000000"/>
          <w:kern w:val="0"/>
          <w:sz w:val="21"/>
          <w:szCs w:val="21"/>
          <w:lang w:val="en-US" w:eastAsia="en-US" w:bidi="ar-SA"/>
        </w:rPr>
      </w:pPr>
    </w:p>
    <w:p w14:paraId="5812A896">
      <w:pPr>
        <w:kinsoku w:val="0"/>
        <w:autoSpaceDE w:val="0"/>
        <w:autoSpaceDN w:val="0"/>
        <w:adjustRightInd w:val="0"/>
        <w:snapToGrid w:val="0"/>
        <w:spacing w:line="258" w:lineRule="auto"/>
        <w:jc w:val="left"/>
        <w:textAlignment w:val="baseline"/>
        <w:rPr>
          <w:rFonts w:ascii="Arial" w:hAnsi="Arial" w:eastAsia="Arial" w:cs="Arial"/>
          <w:snapToGrid w:val="0"/>
          <w:color w:val="000000"/>
          <w:kern w:val="0"/>
          <w:sz w:val="21"/>
          <w:szCs w:val="21"/>
          <w:lang w:val="en-US" w:eastAsia="en-US" w:bidi="ar-SA"/>
        </w:rPr>
      </w:pPr>
    </w:p>
    <w:p w14:paraId="6A8A27E4">
      <w:pPr>
        <w:kinsoku w:val="0"/>
        <w:autoSpaceDE w:val="0"/>
        <w:autoSpaceDN w:val="0"/>
        <w:adjustRightInd w:val="0"/>
        <w:snapToGrid w:val="0"/>
        <w:spacing w:line="258" w:lineRule="auto"/>
        <w:jc w:val="left"/>
        <w:textAlignment w:val="baseline"/>
        <w:rPr>
          <w:rFonts w:ascii="Arial" w:hAnsi="Arial" w:eastAsia="Arial" w:cs="Arial"/>
          <w:snapToGrid w:val="0"/>
          <w:color w:val="000000"/>
          <w:kern w:val="0"/>
          <w:sz w:val="21"/>
          <w:szCs w:val="21"/>
          <w:lang w:val="en-US" w:eastAsia="en-US" w:bidi="ar-SA"/>
        </w:rPr>
      </w:pPr>
    </w:p>
    <w:p w14:paraId="2CBF7488">
      <w:pPr>
        <w:kinsoku w:val="0"/>
        <w:autoSpaceDE w:val="0"/>
        <w:autoSpaceDN w:val="0"/>
        <w:adjustRightInd w:val="0"/>
        <w:snapToGrid w:val="0"/>
        <w:spacing w:line="258" w:lineRule="auto"/>
        <w:jc w:val="left"/>
        <w:textAlignment w:val="baseline"/>
        <w:rPr>
          <w:rFonts w:ascii="Arial" w:hAnsi="Arial" w:eastAsia="Arial" w:cs="Arial"/>
          <w:snapToGrid w:val="0"/>
          <w:color w:val="000000"/>
          <w:kern w:val="0"/>
          <w:sz w:val="21"/>
          <w:szCs w:val="21"/>
          <w:lang w:val="en-US" w:eastAsia="en-US" w:bidi="ar-SA"/>
        </w:rPr>
      </w:pPr>
    </w:p>
    <w:p w14:paraId="0F3C722A">
      <w:pPr>
        <w:kinsoku w:val="0"/>
        <w:autoSpaceDE w:val="0"/>
        <w:autoSpaceDN w:val="0"/>
        <w:adjustRightInd w:val="0"/>
        <w:snapToGrid w:val="0"/>
        <w:spacing w:line="259" w:lineRule="auto"/>
        <w:jc w:val="left"/>
        <w:textAlignment w:val="baseline"/>
        <w:rPr>
          <w:rFonts w:ascii="Arial" w:hAnsi="Arial" w:eastAsia="Arial" w:cs="Arial"/>
          <w:snapToGrid w:val="0"/>
          <w:color w:val="000000"/>
          <w:kern w:val="0"/>
          <w:sz w:val="21"/>
          <w:szCs w:val="21"/>
          <w:lang w:val="en-US" w:eastAsia="en-US" w:bidi="ar-SA"/>
        </w:rPr>
      </w:pPr>
    </w:p>
    <w:p w14:paraId="07648BA1">
      <w:pPr>
        <w:widowControl/>
        <w:kinsoku w:val="0"/>
        <w:autoSpaceDE w:val="0"/>
        <w:autoSpaceDN w:val="0"/>
        <w:adjustRightInd w:val="0"/>
        <w:snapToGrid w:val="0"/>
        <w:spacing w:before="231" w:line="224" w:lineRule="auto"/>
        <w:jc w:val="center"/>
        <w:textAlignment w:val="baseline"/>
        <w:outlineLvl w:val="0"/>
        <w:rPr>
          <w:rFonts w:ascii="宋体" w:hAnsi="宋体" w:eastAsia="宋体" w:cs="宋体"/>
          <w:snapToGrid w:val="0"/>
          <w:color w:val="000000"/>
          <w:kern w:val="0"/>
          <w:sz w:val="71"/>
          <w:szCs w:val="71"/>
          <w:lang w:eastAsia="en-US"/>
        </w:rPr>
      </w:pPr>
      <w:r>
        <w:rPr>
          <w:rFonts w:hint="eastAsia" w:ascii="宋体" w:hAnsi="宋体" w:eastAsia="宋体" w:cs="宋体"/>
          <w:b/>
          <w:bCs/>
          <w:snapToGrid w:val="0"/>
          <w:color w:val="000000"/>
          <w:spacing w:val="-2"/>
          <w:kern w:val="0"/>
          <w:sz w:val="71"/>
          <w:szCs w:val="71"/>
          <w:lang w:eastAsia="zh-CN"/>
        </w:rPr>
        <w:t>委</w:t>
      </w:r>
      <w:r>
        <w:rPr>
          <w:rFonts w:hint="eastAsia" w:ascii="宋体" w:hAnsi="宋体" w:eastAsia="宋体" w:cs="宋体"/>
          <w:b/>
          <w:bCs/>
          <w:snapToGrid w:val="0"/>
          <w:color w:val="000000"/>
          <w:spacing w:val="-2"/>
          <w:kern w:val="0"/>
          <w:sz w:val="71"/>
          <w:szCs w:val="71"/>
          <w:lang w:val="en-US" w:eastAsia="zh-CN"/>
        </w:rPr>
        <w:t xml:space="preserve"> </w:t>
      </w:r>
      <w:r>
        <w:rPr>
          <w:rFonts w:hint="eastAsia" w:ascii="宋体" w:hAnsi="宋体" w:eastAsia="宋体" w:cs="宋体"/>
          <w:b/>
          <w:bCs/>
          <w:snapToGrid w:val="0"/>
          <w:color w:val="000000"/>
          <w:spacing w:val="-2"/>
          <w:kern w:val="0"/>
          <w:sz w:val="71"/>
          <w:szCs w:val="71"/>
          <w:lang w:eastAsia="zh-CN"/>
        </w:rPr>
        <w:t>托</w:t>
      </w:r>
      <w:r>
        <w:rPr>
          <w:rFonts w:hint="eastAsia" w:ascii="宋体" w:hAnsi="宋体" w:eastAsia="宋体" w:cs="宋体"/>
          <w:b/>
          <w:bCs/>
          <w:snapToGrid w:val="0"/>
          <w:color w:val="000000"/>
          <w:spacing w:val="-2"/>
          <w:kern w:val="0"/>
          <w:sz w:val="71"/>
          <w:szCs w:val="71"/>
          <w:lang w:val="en-US" w:eastAsia="zh-CN"/>
        </w:rPr>
        <w:t xml:space="preserve"> </w:t>
      </w:r>
      <w:r>
        <w:rPr>
          <w:rFonts w:ascii="宋体" w:hAnsi="宋体" w:eastAsia="宋体" w:cs="宋体"/>
          <w:b/>
          <w:bCs/>
          <w:snapToGrid w:val="0"/>
          <w:color w:val="000000"/>
          <w:spacing w:val="-2"/>
          <w:kern w:val="0"/>
          <w:sz w:val="71"/>
          <w:szCs w:val="71"/>
          <w:lang w:eastAsia="en-US"/>
        </w:rPr>
        <w:t>合</w:t>
      </w:r>
      <w:r>
        <w:rPr>
          <w:rFonts w:hint="eastAsia" w:ascii="宋体" w:hAnsi="宋体" w:eastAsia="宋体" w:cs="宋体"/>
          <w:b/>
          <w:bCs/>
          <w:snapToGrid w:val="0"/>
          <w:color w:val="000000"/>
          <w:spacing w:val="-2"/>
          <w:kern w:val="0"/>
          <w:sz w:val="71"/>
          <w:szCs w:val="71"/>
          <w:lang w:val="en-US" w:eastAsia="zh-CN"/>
        </w:rPr>
        <w:t xml:space="preserve"> </w:t>
      </w:r>
      <w:r>
        <w:rPr>
          <w:rFonts w:ascii="宋体" w:hAnsi="宋体" w:eastAsia="宋体" w:cs="宋体"/>
          <w:b/>
          <w:bCs/>
          <w:snapToGrid w:val="0"/>
          <w:color w:val="000000"/>
          <w:spacing w:val="-2"/>
          <w:kern w:val="0"/>
          <w:sz w:val="71"/>
          <w:szCs w:val="71"/>
          <w:lang w:eastAsia="en-US"/>
        </w:rPr>
        <w:t>同</w:t>
      </w:r>
    </w:p>
    <w:p w14:paraId="6A32580E">
      <w:pPr>
        <w:kinsoku w:val="0"/>
        <w:autoSpaceDE w:val="0"/>
        <w:autoSpaceDN w:val="0"/>
        <w:adjustRightInd w:val="0"/>
        <w:snapToGrid w:val="0"/>
        <w:spacing w:line="242" w:lineRule="auto"/>
        <w:jc w:val="left"/>
        <w:textAlignment w:val="baseline"/>
        <w:rPr>
          <w:rFonts w:ascii="Arial" w:hAnsi="Arial" w:eastAsia="Arial" w:cs="Arial"/>
          <w:snapToGrid w:val="0"/>
          <w:color w:val="000000"/>
          <w:kern w:val="0"/>
          <w:sz w:val="21"/>
          <w:szCs w:val="21"/>
          <w:lang w:val="en-US" w:eastAsia="en-US" w:bidi="ar-SA"/>
        </w:rPr>
      </w:pPr>
    </w:p>
    <w:p w14:paraId="2610A5EF">
      <w:pPr>
        <w:kinsoku w:val="0"/>
        <w:autoSpaceDE w:val="0"/>
        <w:autoSpaceDN w:val="0"/>
        <w:adjustRightInd w:val="0"/>
        <w:snapToGrid w:val="0"/>
        <w:spacing w:line="242" w:lineRule="auto"/>
        <w:jc w:val="left"/>
        <w:textAlignment w:val="baseline"/>
        <w:rPr>
          <w:rFonts w:ascii="Arial" w:hAnsi="Arial" w:eastAsia="Arial" w:cs="Arial"/>
          <w:snapToGrid w:val="0"/>
          <w:color w:val="000000"/>
          <w:kern w:val="0"/>
          <w:sz w:val="21"/>
          <w:szCs w:val="21"/>
          <w:lang w:val="en-US" w:eastAsia="en-US" w:bidi="ar-SA"/>
        </w:rPr>
      </w:pPr>
    </w:p>
    <w:p w14:paraId="1D999353">
      <w:pPr>
        <w:kinsoku w:val="0"/>
        <w:autoSpaceDE w:val="0"/>
        <w:autoSpaceDN w:val="0"/>
        <w:adjustRightInd w:val="0"/>
        <w:snapToGrid w:val="0"/>
        <w:spacing w:line="242" w:lineRule="auto"/>
        <w:jc w:val="left"/>
        <w:textAlignment w:val="baseline"/>
        <w:rPr>
          <w:rFonts w:ascii="Arial" w:hAnsi="Arial" w:eastAsia="Arial" w:cs="Arial"/>
          <w:snapToGrid w:val="0"/>
          <w:color w:val="000000"/>
          <w:kern w:val="0"/>
          <w:sz w:val="21"/>
          <w:szCs w:val="21"/>
          <w:lang w:val="en-US" w:eastAsia="en-US" w:bidi="ar-SA"/>
        </w:rPr>
      </w:pPr>
    </w:p>
    <w:p w14:paraId="48F80F3D">
      <w:pPr>
        <w:kinsoku w:val="0"/>
        <w:autoSpaceDE w:val="0"/>
        <w:autoSpaceDN w:val="0"/>
        <w:adjustRightInd w:val="0"/>
        <w:snapToGrid w:val="0"/>
        <w:spacing w:line="242" w:lineRule="auto"/>
        <w:jc w:val="left"/>
        <w:textAlignment w:val="baseline"/>
        <w:rPr>
          <w:rFonts w:ascii="Arial" w:hAnsi="Arial" w:eastAsia="Arial" w:cs="Arial"/>
          <w:snapToGrid w:val="0"/>
          <w:color w:val="000000"/>
          <w:kern w:val="0"/>
          <w:sz w:val="21"/>
          <w:szCs w:val="21"/>
          <w:lang w:val="en-US" w:eastAsia="en-US" w:bidi="ar-SA"/>
        </w:rPr>
      </w:pPr>
    </w:p>
    <w:p w14:paraId="71059C53">
      <w:pPr>
        <w:kinsoku w:val="0"/>
        <w:autoSpaceDE w:val="0"/>
        <w:autoSpaceDN w:val="0"/>
        <w:adjustRightInd w:val="0"/>
        <w:snapToGrid w:val="0"/>
        <w:spacing w:line="242" w:lineRule="auto"/>
        <w:jc w:val="left"/>
        <w:textAlignment w:val="baseline"/>
        <w:rPr>
          <w:rFonts w:ascii="Arial" w:hAnsi="Arial" w:eastAsia="Arial" w:cs="Arial"/>
          <w:snapToGrid w:val="0"/>
          <w:color w:val="000000"/>
          <w:kern w:val="0"/>
          <w:sz w:val="21"/>
          <w:szCs w:val="21"/>
          <w:lang w:val="en-US" w:eastAsia="en-US" w:bidi="ar-SA"/>
        </w:rPr>
      </w:pPr>
    </w:p>
    <w:p w14:paraId="4AA6A9F2">
      <w:pPr>
        <w:kinsoku w:val="0"/>
        <w:autoSpaceDE w:val="0"/>
        <w:autoSpaceDN w:val="0"/>
        <w:adjustRightInd w:val="0"/>
        <w:snapToGrid w:val="0"/>
        <w:spacing w:line="242" w:lineRule="auto"/>
        <w:jc w:val="left"/>
        <w:textAlignment w:val="baseline"/>
        <w:rPr>
          <w:rFonts w:ascii="Arial" w:hAnsi="Arial" w:eastAsia="Arial" w:cs="Arial"/>
          <w:snapToGrid w:val="0"/>
          <w:color w:val="000000"/>
          <w:kern w:val="0"/>
          <w:sz w:val="21"/>
          <w:szCs w:val="21"/>
          <w:lang w:val="en-US" w:eastAsia="en-US" w:bidi="ar-SA"/>
        </w:rPr>
      </w:pPr>
    </w:p>
    <w:p w14:paraId="2C9DD209">
      <w:pPr>
        <w:kinsoku w:val="0"/>
        <w:autoSpaceDE w:val="0"/>
        <w:autoSpaceDN w:val="0"/>
        <w:adjustRightInd w:val="0"/>
        <w:snapToGrid w:val="0"/>
        <w:spacing w:line="242" w:lineRule="auto"/>
        <w:jc w:val="left"/>
        <w:textAlignment w:val="baseline"/>
        <w:rPr>
          <w:rFonts w:ascii="Arial" w:hAnsi="Arial" w:eastAsia="Arial" w:cs="Arial"/>
          <w:snapToGrid w:val="0"/>
          <w:color w:val="000000"/>
          <w:kern w:val="0"/>
          <w:sz w:val="21"/>
          <w:szCs w:val="21"/>
          <w:lang w:val="en-US" w:eastAsia="en-US" w:bidi="ar-SA"/>
        </w:rPr>
      </w:pPr>
    </w:p>
    <w:p w14:paraId="0601701A">
      <w:pPr>
        <w:kinsoku w:val="0"/>
        <w:autoSpaceDE w:val="0"/>
        <w:autoSpaceDN w:val="0"/>
        <w:adjustRightInd w:val="0"/>
        <w:snapToGrid w:val="0"/>
        <w:spacing w:line="242" w:lineRule="auto"/>
        <w:jc w:val="left"/>
        <w:textAlignment w:val="baseline"/>
        <w:rPr>
          <w:rFonts w:ascii="Arial" w:hAnsi="Arial" w:eastAsia="Arial" w:cs="Arial"/>
          <w:snapToGrid w:val="0"/>
          <w:color w:val="000000"/>
          <w:kern w:val="0"/>
          <w:sz w:val="21"/>
          <w:szCs w:val="21"/>
          <w:lang w:val="en-US" w:eastAsia="en-US" w:bidi="ar-SA"/>
        </w:rPr>
      </w:pPr>
    </w:p>
    <w:p w14:paraId="7A0C8E68">
      <w:pPr>
        <w:kinsoku w:val="0"/>
        <w:autoSpaceDE w:val="0"/>
        <w:autoSpaceDN w:val="0"/>
        <w:adjustRightInd w:val="0"/>
        <w:snapToGrid w:val="0"/>
        <w:spacing w:line="242" w:lineRule="auto"/>
        <w:jc w:val="left"/>
        <w:textAlignment w:val="baseline"/>
        <w:rPr>
          <w:rFonts w:ascii="Arial" w:hAnsi="Arial" w:eastAsia="Arial" w:cs="Arial"/>
          <w:snapToGrid w:val="0"/>
          <w:color w:val="000000"/>
          <w:kern w:val="0"/>
          <w:sz w:val="21"/>
          <w:szCs w:val="21"/>
          <w:lang w:val="en-US" w:eastAsia="en-US" w:bidi="ar-SA"/>
        </w:rPr>
      </w:pPr>
    </w:p>
    <w:p w14:paraId="18A70457">
      <w:pPr>
        <w:kinsoku w:val="0"/>
        <w:autoSpaceDE w:val="0"/>
        <w:autoSpaceDN w:val="0"/>
        <w:adjustRightInd w:val="0"/>
        <w:snapToGrid w:val="0"/>
        <w:spacing w:line="242" w:lineRule="auto"/>
        <w:jc w:val="left"/>
        <w:textAlignment w:val="baseline"/>
        <w:rPr>
          <w:rFonts w:ascii="Arial" w:hAnsi="Arial" w:eastAsia="Arial" w:cs="Arial"/>
          <w:snapToGrid w:val="0"/>
          <w:color w:val="000000"/>
          <w:kern w:val="0"/>
          <w:sz w:val="21"/>
          <w:szCs w:val="21"/>
          <w:lang w:val="en-US" w:eastAsia="en-US" w:bidi="ar-SA"/>
        </w:rPr>
      </w:pPr>
    </w:p>
    <w:p w14:paraId="2BF56236">
      <w:pPr>
        <w:kinsoku w:val="0"/>
        <w:autoSpaceDE w:val="0"/>
        <w:autoSpaceDN w:val="0"/>
        <w:adjustRightInd w:val="0"/>
        <w:snapToGrid w:val="0"/>
        <w:spacing w:line="242" w:lineRule="auto"/>
        <w:jc w:val="left"/>
        <w:textAlignment w:val="baseline"/>
        <w:rPr>
          <w:rFonts w:ascii="Arial" w:hAnsi="Arial" w:eastAsia="Arial" w:cs="Arial"/>
          <w:snapToGrid w:val="0"/>
          <w:color w:val="000000"/>
          <w:kern w:val="0"/>
          <w:sz w:val="21"/>
          <w:szCs w:val="21"/>
          <w:lang w:val="en-US" w:eastAsia="en-US" w:bidi="ar-SA"/>
        </w:rPr>
      </w:pPr>
    </w:p>
    <w:p w14:paraId="54D5AF2C">
      <w:pPr>
        <w:kinsoku w:val="0"/>
        <w:autoSpaceDE w:val="0"/>
        <w:autoSpaceDN w:val="0"/>
        <w:adjustRightInd w:val="0"/>
        <w:snapToGrid w:val="0"/>
        <w:spacing w:line="242" w:lineRule="auto"/>
        <w:jc w:val="left"/>
        <w:textAlignment w:val="baseline"/>
        <w:rPr>
          <w:rFonts w:ascii="Arial" w:hAnsi="Arial" w:eastAsia="Arial" w:cs="Arial"/>
          <w:snapToGrid w:val="0"/>
          <w:color w:val="000000"/>
          <w:kern w:val="0"/>
          <w:sz w:val="21"/>
          <w:szCs w:val="21"/>
          <w:lang w:val="en-US" w:eastAsia="en-US" w:bidi="ar-SA"/>
        </w:rPr>
      </w:pPr>
    </w:p>
    <w:p w14:paraId="4F65720F">
      <w:pPr>
        <w:kinsoku w:val="0"/>
        <w:autoSpaceDE w:val="0"/>
        <w:autoSpaceDN w:val="0"/>
        <w:adjustRightInd w:val="0"/>
        <w:snapToGrid w:val="0"/>
        <w:spacing w:line="242" w:lineRule="auto"/>
        <w:jc w:val="left"/>
        <w:textAlignment w:val="baseline"/>
        <w:rPr>
          <w:rFonts w:ascii="Arial" w:hAnsi="Arial" w:eastAsia="Arial" w:cs="Arial"/>
          <w:snapToGrid w:val="0"/>
          <w:color w:val="000000"/>
          <w:kern w:val="0"/>
          <w:sz w:val="21"/>
          <w:szCs w:val="21"/>
          <w:lang w:val="en-US" w:eastAsia="en-US" w:bidi="ar-SA"/>
        </w:rPr>
      </w:pPr>
    </w:p>
    <w:p w14:paraId="546B1438">
      <w:pPr>
        <w:kinsoku w:val="0"/>
        <w:autoSpaceDE w:val="0"/>
        <w:autoSpaceDN w:val="0"/>
        <w:adjustRightInd w:val="0"/>
        <w:snapToGrid w:val="0"/>
        <w:spacing w:line="242" w:lineRule="auto"/>
        <w:jc w:val="left"/>
        <w:textAlignment w:val="baseline"/>
        <w:rPr>
          <w:rFonts w:ascii="Arial" w:hAnsi="Arial" w:eastAsia="Arial" w:cs="Arial"/>
          <w:snapToGrid w:val="0"/>
          <w:color w:val="000000"/>
          <w:kern w:val="0"/>
          <w:sz w:val="21"/>
          <w:szCs w:val="21"/>
          <w:lang w:val="en-US" w:eastAsia="en-US" w:bidi="ar-SA"/>
        </w:rPr>
      </w:pPr>
    </w:p>
    <w:p w14:paraId="7E5B2D25">
      <w:pPr>
        <w:kinsoku w:val="0"/>
        <w:autoSpaceDE w:val="0"/>
        <w:autoSpaceDN w:val="0"/>
        <w:adjustRightInd w:val="0"/>
        <w:snapToGrid w:val="0"/>
        <w:spacing w:line="243" w:lineRule="auto"/>
        <w:jc w:val="left"/>
        <w:textAlignment w:val="baseline"/>
        <w:rPr>
          <w:rFonts w:ascii="Arial" w:hAnsi="Arial" w:eastAsia="Arial" w:cs="Arial"/>
          <w:snapToGrid w:val="0"/>
          <w:color w:val="000000"/>
          <w:kern w:val="0"/>
          <w:sz w:val="21"/>
          <w:szCs w:val="21"/>
          <w:lang w:val="en-US" w:eastAsia="en-US" w:bidi="ar-SA"/>
        </w:rPr>
      </w:pPr>
    </w:p>
    <w:p w14:paraId="1A18D3B3">
      <w:pPr>
        <w:kinsoku w:val="0"/>
        <w:autoSpaceDE w:val="0"/>
        <w:autoSpaceDN w:val="0"/>
        <w:adjustRightInd w:val="0"/>
        <w:snapToGrid w:val="0"/>
        <w:spacing w:line="243" w:lineRule="auto"/>
        <w:jc w:val="left"/>
        <w:textAlignment w:val="baseline"/>
        <w:rPr>
          <w:rFonts w:ascii="Arial" w:hAnsi="Arial" w:eastAsia="Arial" w:cs="Arial"/>
          <w:snapToGrid w:val="0"/>
          <w:color w:val="000000"/>
          <w:kern w:val="0"/>
          <w:sz w:val="21"/>
          <w:szCs w:val="21"/>
          <w:lang w:val="en-US" w:eastAsia="en-US" w:bidi="ar-SA"/>
        </w:rPr>
      </w:pPr>
    </w:p>
    <w:p w14:paraId="5F0AFED1">
      <w:pPr>
        <w:kinsoku w:val="0"/>
        <w:autoSpaceDE w:val="0"/>
        <w:autoSpaceDN w:val="0"/>
        <w:adjustRightInd w:val="0"/>
        <w:snapToGrid w:val="0"/>
        <w:spacing w:line="243" w:lineRule="auto"/>
        <w:jc w:val="left"/>
        <w:textAlignment w:val="baseline"/>
        <w:rPr>
          <w:rFonts w:ascii="Arial" w:hAnsi="Arial" w:eastAsia="Arial" w:cs="Arial"/>
          <w:snapToGrid w:val="0"/>
          <w:color w:val="000000"/>
          <w:kern w:val="0"/>
          <w:sz w:val="21"/>
          <w:szCs w:val="21"/>
          <w:lang w:val="en-US" w:eastAsia="en-US" w:bidi="ar-SA"/>
        </w:rPr>
      </w:pPr>
    </w:p>
    <w:p w14:paraId="2AC11C3D">
      <w:pPr>
        <w:kinsoku w:val="0"/>
        <w:autoSpaceDE w:val="0"/>
        <w:autoSpaceDN w:val="0"/>
        <w:adjustRightInd w:val="0"/>
        <w:snapToGrid w:val="0"/>
        <w:spacing w:line="243" w:lineRule="auto"/>
        <w:jc w:val="left"/>
        <w:textAlignment w:val="baseline"/>
        <w:rPr>
          <w:rFonts w:ascii="Arial" w:hAnsi="Arial" w:eastAsia="Arial" w:cs="Arial"/>
          <w:snapToGrid w:val="0"/>
          <w:color w:val="000000"/>
          <w:kern w:val="0"/>
          <w:sz w:val="21"/>
          <w:szCs w:val="21"/>
          <w:lang w:val="en-US" w:eastAsia="en-US" w:bidi="ar-SA"/>
        </w:rPr>
      </w:pPr>
    </w:p>
    <w:p w14:paraId="28D46B2B">
      <w:pPr>
        <w:kinsoku w:val="0"/>
        <w:autoSpaceDE w:val="0"/>
        <w:autoSpaceDN w:val="0"/>
        <w:adjustRightInd w:val="0"/>
        <w:snapToGrid w:val="0"/>
        <w:spacing w:line="243" w:lineRule="auto"/>
        <w:jc w:val="left"/>
        <w:textAlignment w:val="baseline"/>
        <w:rPr>
          <w:rFonts w:ascii="Arial" w:hAnsi="Arial" w:eastAsia="Arial" w:cs="Arial"/>
          <w:snapToGrid w:val="0"/>
          <w:color w:val="000000"/>
          <w:kern w:val="0"/>
          <w:sz w:val="21"/>
          <w:szCs w:val="21"/>
          <w:lang w:val="en-US" w:eastAsia="en-US" w:bidi="ar-SA"/>
        </w:rPr>
      </w:pPr>
    </w:p>
    <w:p w14:paraId="3A7B76E5">
      <w:pPr>
        <w:kinsoku w:val="0"/>
        <w:autoSpaceDE w:val="0"/>
        <w:autoSpaceDN w:val="0"/>
        <w:adjustRightInd w:val="0"/>
        <w:snapToGrid w:val="0"/>
        <w:spacing w:line="243" w:lineRule="auto"/>
        <w:jc w:val="left"/>
        <w:textAlignment w:val="baseline"/>
        <w:rPr>
          <w:rFonts w:ascii="Arial" w:hAnsi="Arial" w:eastAsia="Arial" w:cs="Arial"/>
          <w:snapToGrid w:val="0"/>
          <w:color w:val="000000"/>
          <w:kern w:val="0"/>
          <w:sz w:val="21"/>
          <w:szCs w:val="21"/>
          <w:lang w:val="en-US" w:eastAsia="en-US" w:bidi="ar-SA"/>
        </w:rPr>
      </w:pPr>
    </w:p>
    <w:p w14:paraId="300CB86C">
      <w:pPr>
        <w:widowControl/>
        <w:kinsoku w:val="0"/>
        <w:autoSpaceDE w:val="0"/>
        <w:autoSpaceDN w:val="0"/>
        <w:adjustRightInd w:val="0"/>
        <w:snapToGrid w:val="0"/>
        <w:spacing w:before="91" w:line="220" w:lineRule="auto"/>
        <w:ind w:firstLine="556" w:firstLineChars="200"/>
        <w:jc w:val="left"/>
        <w:textAlignment w:val="baseline"/>
        <w:rPr>
          <w:rFonts w:hint="eastAsia" w:ascii="宋体" w:hAnsi="宋体" w:eastAsia="宋体" w:cs="宋体"/>
          <w:snapToGrid w:val="0"/>
          <w:color w:val="000000"/>
          <w:kern w:val="0"/>
          <w:sz w:val="28"/>
          <w:szCs w:val="28"/>
          <w:lang w:eastAsia="zh-CN"/>
        </w:rPr>
      </w:pPr>
      <w:r>
        <w:rPr>
          <w:rFonts w:ascii="宋体" w:hAnsi="宋体" w:eastAsia="宋体" w:cs="宋体"/>
          <w:snapToGrid w:val="0"/>
          <w:color w:val="000000"/>
          <w:spacing w:val="-1"/>
          <w:kern w:val="0"/>
          <w:sz w:val="28"/>
          <w:szCs w:val="28"/>
          <w:lang w:eastAsia="en-US"/>
        </w:rPr>
        <w:t>发包人：</w:t>
      </w:r>
      <w:r>
        <w:rPr>
          <w:rFonts w:hint="eastAsia" w:ascii="宋体" w:hAnsi="宋体" w:eastAsia="宋体" w:cs="宋体"/>
          <w:snapToGrid w:val="0"/>
          <w:color w:val="000000"/>
          <w:spacing w:val="-1"/>
          <w:kern w:val="0"/>
          <w:sz w:val="28"/>
          <w:szCs w:val="28"/>
          <w:u w:val="single" w:color="auto"/>
          <w:lang w:eastAsia="zh-CN"/>
        </w:rPr>
        <w:t>西安市灞桥区秦岭生态环境保护和综合执法局</w:t>
      </w:r>
      <w:r>
        <w:rPr>
          <w:rFonts w:hint="eastAsia" w:ascii="宋体" w:hAnsi="宋体" w:eastAsia="宋体" w:cs="宋体"/>
          <w:snapToGrid w:val="0"/>
          <w:color w:val="000000"/>
          <w:kern w:val="0"/>
          <w:sz w:val="28"/>
          <w:szCs w:val="28"/>
          <w:u w:val="none" w:color="auto"/>
          <w:lang w:eastAsia="zh-CN"/>
        </w:rPr>
        <w:t>（盖章）</w:t>
      </w:r>
    </w:p>
    <w:p w14:paraId="097B6505">
      <w:pPr>
        <w:kinsoku w:val="0"/>
        <w:autoSpaceDE w:val="0"/>
        <w:autoSpaceDN w:val="0"/>
        <w:adjustRightInd w:val="0"/>
        <w:snapToGrid w:val="0"/>
        <w:spacing w:line="282" w:lineRule="auto"/>
        <w:jc w:val="left"/>
        <w:textAlignment w:val="baseline"/>
        <w:rPr>
          <w:rFonts w:ascii="Arial" w:hAnsi="Arial" w:eastAsia="Arial" w:cs="Arial"/>
          <w:snapToGrid w:val="0"/>
          <w:color w:val="000000"/>
          <w:kern w:val="0"/>
          <w:sz w:val="21"/>
          <w:szCs w:val="21"/>
          <w:lang w:val="en-US" w:eastAsia="en-US" w:bidi="ar-SA"/>
        </w:rPr>
      </w:pPr>
    </w:p>
    <w:p w14:paraId="6C789D35">
      <w:pPr>
        <w:widowControl/>
        <w:kinsoku w:val="0"/>
        <w:autoSpaceDE w:val="0"/>
        <w:autoSpaceDN w:val="0"/>
        <w:adjustRightInd w:val="0"/>
        <w:snapToGrid w:val="0"/>
        <w:spacing w:before="91" w:line="220" w:lineRule="auto"/>
        <w:ind w:firstLine="556" w:firstLineChars="200"/>
        <w:jc w:val="left"/>
        <w:textAlignment w:val="baseline"/>
        <w:rPr>
          <w:rFonts w:hint="eastAsia" w:ascii="宋体" w:hAnsi="宋体" w:eastAsia="宋体" w:cs="宋体"/>
          <w:snapToGrid w:val="0"/>
          <w:color w:val="000000"/>
          <w:kern w:val="0"/>
          <w:sz w:val="28"/>
          <w:szCs w:val="28"/>
          <w:lang w:eastAsia="zh-CN"/>
        </w:rPr>
      </w:pPr>
      <w:r>
        <w:rPr>
          <w:rFonts w:ascii="宋体" w:hAnsi="宋体" w:eastAsia="宋体" w:cs="宋体"/>
          <w:snapToGrid w:val="0"/>
          <w:color w:val="000000"/>
          <w:spacing w:val="-1"/>
          <w:kern w:val="0"/>
          <w:sz w:val="28"/>
          <w:szCs w:val="28"/>
          <w:lang w:eastAsia="en-US"/>
        </w:rPr>
        <w:t>承包人：</w:t>
      </w:r>
      <w:r>
        <w:rPr>
          <w:rFonts w:ascii="宋体" w:hAnsi="宋体" w:eastAsia="宋体" w:cs="宋体"/>
          <w:snapToGrid w:val="0"/>
          <w:color w:val="000000"/>
          <w:spacing w:val="-1"/>
          <w:kern w:val="0"/>
          <w:sz w:val="28"/>
          <w:szCs w:val="28"/>
          <w:u w:val="single" w:color="auto"/>
          <w:lang w:eastAsia="en-US"/>
        </w:rPr>
        <w:t xml:space="preserve">  </w:t>
      </w:r>
      <w:r>
        <w:rPr>
          <w:rFonts w:hint="eastAsia" w:ascii="宋体" w:hAnsi="宋体" w:eastAsia="宋体" w:cs="宋体"/>
          <w:snapToGrid w:val="0"/>
          <w:color w:val="000000"/>
          <w:spacing w:val="-1"/>
          <w:kern w:val="0"/>
          <w:sz w:val="28"/>
          <w:szCs w:val="28"/>
          <w:u w:val="single" w:color="auto"/>
          <w:lang w:val="en-US" w:eastAsia="zh-CN"/>
        </w:rPr>
        <w:t xml:space="preserve">                                      </w:t>
      </w:r>
      <w:r>
        <w:rPr>
          <w:rFonts w:hint="eastAsia" w:ascii="宋体" w:hAnsi="宋体" w:eastAsia="宋体" w:cs="宋体"/>
          <w:snapToGrid w:val="0"/>
          <w:color w:val="000000"/>
          <w:spacing w:val="3"/>
          <w:kern w:val="0"/>
          <w:sz w:val="28"/>
          <w:szCs w:val="28"/>
          <w:u w:val="none" w:color="auto"/>
          <w:lang w:eastAsia="zh-CN"/>
        </w:rPr>
        <w:t>（盖章）</w:t>
      </w:r>
    </w:p>
    <w:p w14:paraId="30D05284">
      <w:pPr>
        <w:widowControl/>
        <w:kinsoku w:val="0"/>
        <w:autoSpaceDE w:val="0"/>
        <w:autoSpaceDN w:val="0"/>
        <w:adjustRightInd w:val="0"/>
        <w:snapToGrid w:val="0"/>
        <w:spacing w:line="220" w:lineRule="auto"/>
        <w:jc w:val="left"/>
        <w:textAlignment w:val="baseline"/>
        <w:rPr>
          <w:rFonts w:ascii="宋体" w:hAnsi="宋体" w:eastAsia="宋体" w:cs="宋体"/>
          <w:snapToGrid w:val="0"/>
          <w:color w:val="000000"/>
          <w:kern w:val="0"/>
          <w:sz w:val="28"/>
          <w:szCs w:val="28"/>
          <w:lang w:eastAsia="en-US"/>
        </w:rPr>
      </w:pPr>
    </w:p>
    <w:p w14:paraId="73E52619">
      <w:pPr>
        <w:widowControl/>
        <w:kinsoku w:val="0"/>
        <w:autoSpaceDE w:val="0"/>
        <w:autoSpaceDN w:val="0"/>
        <w:adjustRightInd w:val="0"/>
        <w:snapToGrid w:val="0"/>
        <w:spacing w:line="220" w:lineRule="auto"/>
        <w:ind w:firstLine="560" w:firstLineChars="200"/>
        <w:jc w:val="left"/>
        <w:textAlignment w:val="baseline"/>
        <w:rPr>
          <w:rFonts w:hint="default" w:ascii="宋体" w:hAnsi="宋体" w:eastAsia="宋体" w:cs="宋体"/>
          <w:snapToGrid w:val="0"/>
          <w:color w:val="000000"/>
          <w:kern w:val="0"/>
          <w:sz w:val="28"/>
          <w:szCs w:val="28"/>
          <w:lang w:val="en-US" w:eastAsia="zh-CN"/>
        </w:rPr>
      </w:pPr>
      <w:r>
        <w:rPr>
          <w:rFonts w:hint="eastAsia" w:ascii="宋体" w:hAnsi="宋体" w:eastAsia="宋体" w:cs="宋体"/>
          <w:snapToGrid w:val="0"/>
          <w:color w:val="000000"/>
          <w:kern w:val="0"/>
          <w:sz w:val="28"/>
          <w:szCs w:val="28"/>
          <w:lang w:eastAsia="zh-CN"/>
        </w:rPr>
        <w:t>时</w:t>
      </w:r>
      <w:r>
        <w:rPr>
          <w:rFonts w:hint="eastAsia" w:ascii="宋体" w:hAnsi="宋体" w:eastAsia="宋体" w:cs="宋体"/>
          <w:snapToGrid w:val="0"/>
          <w:color w:val="000000"/>
          <w:kern w:val="0"/>
          <w:sz w:val="28"/>
          <w:szCs w:val="28"/>
          <w:lang w:val="en-US" w:eastAsia="zh-CN"/>
        </w:rPr>
        <w:t xml:space="preserve">  </w:t>
      </w:r>
      <w:r>
        <w:rPr>
          <w:rFonts w:hint="eastAsia" w:ascii="宋体" w:hAnsi="宋体" w:eastAsia="宋体" w:cs="宋体"/>
          <w:snapToGrid w:val="0"/>
          <w:color w:val="000000"/>
          <w:kern w:val="0"/>
          <w:sz w:val="28"/>
          <w:szCs w:val="28"/>
          <w:lang w:eastAsia="zh-CN"/>
        </w:rPr>
        <w:t>间：</w:t>
      </w:r>
      <w:r>
        <w:rPr>
          <w:rFonts w:hint="eastAsia" w:ascii="宋体" w:hAnsi="宋体" w:eastAsia="宋体" w:cs="宋体"/>
          <w:snapToGrid w:val="0"/>
          <w:color w:val="000000"/>
          <w:kern w:val="0"/>
          <w:sz w:val="28"/>
          <w:szCs w:val="28"/>
          <w:lang w:val="en-US" w:eastAsia="zh-CN"/>
        </w:rPr>
        <w:t xml:space="preserve">    年   月   日</w:t>
      </w:r>
    </w:p>
    <w:p w14:paraId="4A7BF0B2">
      <w:pPr>
        <w:jc w:val="center"/>
        <w:rPr>
          <w:rFonts w:hint="eastAsia"/>
          <w:b/>
          <w:bCs/>
          <w:sz w:val="32"/>
          <w:szCs w:val="32"/>
        </w:rPr>
      </w:pPr>
    </w:p>
    <w:p w14:paraId="5C8823AA">
      <w:pPr>
        <w:widowControl/>
        <w:kinsoku w:val="0"/>
        <w:autoSpaceDE w:val="0"/>
        <w:autoSpaceDN w:val="0"/>
        <w:adjustRightInd w:val="0"/>
        <w:snapToGrid w:val="0"/>
        <w:spacing w:before="172" w:line="219" w:lineRule="auto"/>
        <w:ind w:left="721"/>
        <w:jc w:val="left"/>
        <w:textAlignment w:val="baseline"/>
        <w:outlineLvl w:val="0"/>
        <w:rPr>
          <w:rFonts w:ascii="宋体" w:hAnsi="宋体" w:eastAsia="宋体" w:cs="宋体"/>
          <w:snapToGrid w:val="0"/>
          <w:color w:val="000000"/>
          <w:kern w:val="0"/>
          <w:sz w:val="30"/>
          <w:szCs w:val="30"/>
          <w:lang w:eastAsia="en-US"/>
        </w:rPr>
      </w:pPr>
      <w:r>
        <w:rPr>
          <w:rFonts w:hint="eastAsia" w:ascii="宋体" w:hAnsi="宋体" w:eastAsia="宋体" w:cs="宋体"/>
          <w:b/>
          <w:bCs/>
          <w:snapToGrid w:val="0"/>
          <w:color w:val="000000"/>
          <w:spacing w:val="-3"/>
          <w:kern w:val="0"/>
          <w:sz w:val="30"/>
          <w:szCs w:val="30"/>
          <w:lang w:eastAsia="zh-CN"/>
        </w:rPr>
        <w:t>2025年度“三区两带”困难立地植被恢复项目</w:t>
      </w:r>
      <w:r>
        <w:rPr>
          <w:rFonts w:ascii="宋体" w:hAnsi="宋体" w:eastAsia="宋体" w:cs="宋体"/>
          <w:b/>
          <w:bCs/>
          <w:snapToGrid w:val="0"/>
          <w:color w:val="000000"/>
          <w:spacing w:val="-3"/>
          <w:kern w:val="0"/>
          <w:sz w:val="30"/>
          <w:szCs w:val="30"/>
          <w:lang w:eastAsia="en-US"/>
        </w:rPr>
        <w:t>合同</w:t>
      </w:r>
    </w:p>
    <w:p w14:paraId="11DE53BF">
      <w:pPr>
        <w:widowControl/>
        <w:kinsoku w:val="0"/>
        <w:autoSpaceDE w:val="0"/>
        <w:autoSpaceDN w:val="0"/>
        <w:adjustRightInd w:val="0"/>
        <w:snapToGrid w:val="0"/>
        <w:spacing w:before="232" w:line="228" w:lineRule="auto"/>
        <w:ind w:left="25"/>
        <w:jc w:val="left"/>
        <w:textAlignment w:val="baseline"/>
        <w:rPr>
          <w:rFonts w:ascii="宋体" w:hAnsi="宋体" w:eastAsia="宋体" w:cs="宋体"/>
          <w:snapToGrid w:val="0"/>
          <w:color w:val="000000"/>
          <w:spacing w:val="9"/>
          <w:kern w:val="0"/>
          <w:sz w:val="20"/>
          <w:szCs w:val="20"/>
          <w:lang w:eastAsia="en-US"/>
        </w:rPr>
      </w:pPr>
    </w:p>
    <w:p w14:paraId="6F12CD48">
      <w:pPr>
        <w:keepNext w:val="0"/>
        <w:keepLines w:val="0"/>
        <w:pageBreakBefore w:val="0"/>
        <w:widowControl/>
        <w:kinsoku w:val="0"/>
        <w:wordWrap/>
        <w:overflowPunct/>
        <w:topLinePunct w:val="0"/>
        <w:autoSpaceDE w:val="0"/>
        <w:autoSpaceDN w:val="0"/>
        <w:bidi w:val="0"/>
        <w:adjustRightInd w:val="0"/>
        <w:snapToGrid w:val="0"/>
        <w:spacing w:line="360" w:lineRule="auto"/>
        <w:ind w:left="25"/>
        <w:jc w:val="left"/>
        <w:textAlignment w:val="baseline"/>
        <w:rPr>
          <w:rFonts w:hint="eastAsia" w:ascii="宋体" w:hAnsi="宋体" w:eastAsia="宋体" w:cs="宋体"/>
          <w:snapToGrid w:val="0"/>
          <w:color w:val="000000"/>
          <w:kern w:val="0"/>
          <w:sz w:val="21"/>
          <w:szCs w:val="21"/>
          <w:lang w:eastAsia="en-US"/>
        </w:rPr>
      </w:pPr>
      <w:r>
        <w:rPr>
          <w:rFonts w:hint="eastAsia" w:ascii="宋体" w:hAnsi="宋体" w:eastAsia="宋体" w:cs="宋体"/>
          <w:snapToGrid w:val="0"/>
          <w:color w:val="000000"/>
          <w:spacing w:val="9"/>
          <w:kern w:val="0"/>
          <w:sz w:val="21"/>
          <w:szCs w:val="21"/>
          <w:lang w:eastAsia="en-US"/>
        </w:rPr>
        <w:t>发包人：</w:t>
      </w:r>
      <w:r>
        <w:rPr>
          <w:rFonts w:hint="eastAsia" w:ascii="宋体" w:hAnsi="宋体" w:eastAsia="宋体" w:cs="宋体"/>
          <w:snapToGrid w:val="0"/>
          <w:color w:val="000000"/>
          <w:spacing w:val="9"/>
          <w:kern w:val="0"/>
          <w:sz w:val="21"/>
          <w:szCs w:val="21"/>
          <w:u w:val="single" w:color="auto"/>
          <w:lang w:eastAsia="zh-CN"/>
        </w:rPr>
        <w:t>西安市灞桥区秦岭生态环境保护和综合执法局</w:t>
      </w:r>
      <w:r>
        <w:rPr>
          <w:rFonts w:hint="eastAsia" w:ascii="宋体" w:hAnsi="宋体" w:eastAsia="宋体" w:cs="宋体"/>
          <w:snapToGrid w:val="0"/>
          <w:color w:val="000000"/>
          <w:kern w:val="0"/>
          <w:sz w:val="21"/>
          <w:szCs w:val="21"/>
          <w:u w:val="single" w:color="auto"/>
          <w:lang w:eastAsia="en-US"/>
        </w:rPr>
        <w:t xml:space="preserve"> </w:t>
      </w:r>
    </w:p>
    <w:p w14:paraId="2E8F3FAA">
      <w:pPr>
        <w:keepNext w:val="0"/>
        <w:keepLines w:val="0"/>
        <w:pageBreakBefore w:val="0"/>
        <w:widowControl/>
        <w:kinsoku w:val="0"/>
        <w:wordWrap/>
        <w:overflowPunct/>
        <w:topLinePunct w:val="0"/>
        <w:autoSpaceDE w:val="0"/>
        <w:autoSpaceDN w:val="0"/>
        <w:bidi w:val="0"/>
        <w:adjustRightInd w:val="0"/>
        <w:snapToGrid w:val="0"/>
        <w:spacing w:line="360" w:lineRule="auto"/>
        <w:ind w:left="22"/>
        <w:jc w:val="left"/>
        <w:textAlignment w:val="baseline"/>
        <w:rPr>
          <w:rFonts w:hint="eastAsia" w:ascii="宋体" w:hAnsi="宋体" w:eastAsia="宋体" w:cs="宋体"/>
          <w:snapToGrid w:val="0"/>
          <w:color w:val="000000"/>
          <w:kern w:val="0"/>
          <w:sz w:val="21"/>
          <w:szCs w:val="21"/>
          <w:lang w:eastAsia="en-US"/>
        </w:rPr>
      </w:pPr>
      <w:r>
        <w:rPr>
          <w:rFonts w:hint="eastAsia" w:ascii="宋体" w:hAnsi="宋体" w:eastAsia="宋体" w:cs="宋体"/>
          <w:snapToGrid w:val="0"/>
          <w:color w:val="000000"/>
          <w:spacing w:val="9"/>
          <w:kern w:val="0"/>
          <w:sz w:val="21"/>
          <w:szCs w:val="21"/>
          <w:lang w:eastAsia="en-US"/>
        </w:rPr>
        <w:t>承包人：</w:t>
      </w:r>
      <w:r>
        <w:rPr>
          <w:rFonts w:hint="eastAsia" w:ascii="宋体" w:hAnsi="宋体" w:eastAsia="宋体" w:cs="宋体"/>
          <w:snapToGrid w:val="0"/>
          <w:color w:val="000000"/>
          <w:spacing w:val="9"/>
          <w:kern w:val="0"/>
          <w:sz w:val="21"/>
          <w:szCs w:val="21"/>
          <w:u w:val="single" w:color="auto"/>
          <w:lang w:val="en-US" w:eastAsia="zh-CN"/>
        </w:rPr>
        <w:t xml:space="preserve">                                      </w:t>
      </w:r>
      <w:r>
        <w:rPr>
          <w:rFonts w:hint="eastAsia" w:ascii="宋体" w:hAnsi="宋体" w:eastAsia="宋体" w:cs="宋体"/>
          <w:snapToGrid w:val="0"/>
          <w:color w:val="000000"/>
          <w:spacing w:val="2"/>
          <w:kern w:val="0"/>
          <w:sz w:val="21"/>
          <w:szCs w:val="21"/>
          <w:u w:val="single" w:color="auto"/>
          <w:lang w:eastAsia="en-US"/>
        </w:rPr>
        <w:t xml:space="preserve">  </w:t>
      </w:r>
    </w:p>
    <w:p w14:paraId="1F9588C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依据《中华人民共和国民法典》</w:t>
      </w:r>
      <w:r>
        <w:rPr>
          <w:rFonts w:hint="eastAsia" w:ascii="宋体" w:hAnsi="宋体" w:eastAsia="宋体" w:cs="宋体"/>
          <w:lang w:eastAsia="zh-CN"/>
        </w:rPr>
        <w:t>、</w:t>
      </w:r>
      <w:r>
        <w:rPr>
          <w:rFonts w:hint="eastAsia" w:ascii="宋体" w:hAnsi="宋体" w:eastAsia="宋体" w:cs="宋体"/>
        </w:rPr>
        <w:t>《中华人民共和国森林法》</w:t>
      </w:r>
      <w:r>
        <w:rPr>
          <w:rFonts w:hint="eastAsia" w:ascii="宋体" w:hAnsi="宋体" w:eastAsia="宋体" w:cs="宋体"/>
          <w:lang w:eastAsia="zh-CN"/>
        </w:rPr>
        <w:t>、</w:t>
      </w:r>
      <w:r>
        <w:rPr>
          <w:rFonts w:hint="eastAsia" w:ascii="宋体" w:hAnsi="宋体" w:eastAsia="宋体" w:cs="宋体"/>
        </w:rPr>
        <w:t>《造林技术规程》（GB/T 15776-2016）等法律法规及本项目作业设计，甲乙双方本着平等自愿、公平诚信的原则，就</w:t>
      </w:r>
      <w:r>
        <w:rPr>
          <w:rFonts w:hint="eastAsia" w:ascii="宋体" w:hAnsi="宋体" w:eastAsia="宋体" w:cs="宋体"/>
          <w:u w:val="single"/>
        </w:rPr>
        <w:t>2025年度“三区两带”困难立地植被恢复项目</w:t>
      </w:r>
      <w:r>
        <w:rPr>
          <w:rFonts w:hint="eastAsia" w:ascii="宋体" w:hAnsi="宋体" w:eastAsia="宋体" w:cs="宋体"/>
        </w:rPr>
        <w:t>事宜协商一致，订立本合同，双方共同遵守。</w:t>
      </w:r>
    </w:p>
    <w:p w14:paraId="47A2E6D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rPr>
      </w:pPr>
      <w:r>
        <w:rPr>
          <w:rFonts w:hint="eastAsia" w:ascii="宋体" w:hAnsi="宋体" w:eastAsia="宋体" w:cs="宋体"/>
          <w:b/>
          <w:bCs/>
        </w:rPr>
        <w:t xml:space="preserve">第一条 </w:t>
      </w:r>
      <w:r>
        <w:rPr>
          <w:rFonts w:hint="eastAsia" w:ascii="宋体" w:hAnsi="宋体" w:eastAsia="宋体" w:cs="宋体"/>
          <w:b/>
          <w:bCs/>
          <w:lang w:eastAsia="zh-CN"/>
        </w:rPr>
        <w:t>项目</w:t>
      </w:r>
      <w:r>
        <w:rPr>
          <w:rFonts w:hint="eastAsia" w:ascii="宋体" w:hAnsi="宋体" w:eastAsia="宋体" w:cs="宋体"/>
          <w:b/>
          <w:bCs/>
        </w:rPr>
        <w:t>概况</w:t>
      </w:r>
    </w:p>
    <w:p w14:paraId="730D170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1.项目名称：</w:t>
      </w:r>
      <w:r>
        <w:rPr>
          <w:rFonts w:hint="eastAsia" w:ascii="宋体" w:hAnsi="宋体" w:eastAsia="宋体" w:cs="宋体"/>
          <w:u w:val="single"/>
        </w:rPr>
        <w:t>2025年度“三区两带”困难立地植被恢复项目</w:t>
      </w:r>
    </w:p>
    <w:p w14:paraId="6DC9590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2.项目地点：</w:t>
      </w:r>
      <w:r>
        <w:rPr>
          <w:rFonts w:hint="eastAsia" w:ascii="宋体" w:hAnsi="宋体" w:eastAsia="宋体" w:cs="宋体"/>
          <w:u w:val="single"/>
        </w:rPr>
        <w:t>西安市灞桥区洪庆街道三阳院村</w:t>
      </w:r>
    </w:p>
    <w:p w14:paraId="060E40B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3.服务内容：</w:t>
      </w:r>
      <w:r>
        <w:rPr>
          <w:rFonts w:hint="eastAsia" w:ascii="宋体" w:hAnsi="宋体" w:eastAsia="宋体" w:cs="宋体"/>
          <w:u w:val="single"/>
        </w:rPr>
        <w:t>项目区位于西安市灞桥区洪庆街道三阳院村，为宜林荒山、疏林地人工造林。项目区设计总面积(小班面积)为207.61亩，可作业面积200.00亩，共区划1个标段、9个造林小班。本次预算包含项目实施的所有内容，采购人不再额外提供水电等其他物料。</w:t>
      </w:r>
    </w:p>
    <w:p w14:paraId="212B98A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4.质量标准：</w:t>
      </w:r>
      <w:r>
        <w:rPr>
          <w:rFonts w:hint="eastAsia" w:ascii="宋体" w:hAnsi="宋体" w:eastAsia="宋体" w:cs="宋体"/>
          <w:u w:val="single"/>
        </w:rPr>
        <w:t>造林当年成活率达80%；面积核实率达到100%；落实1年的抚育管护。</w:t>
      </w:r>
    </w:p>
    <w:p w14:paraId="31CDFB4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5.服务期：</w:t>
      </w:r>
      <w:r>
        <w:rPr>
          <w:rFonts w:hint="eastAsia" w:ascii="宋体" w:hAnsi="宋体" w:eastAsia="宋体" w:cs="宋体"/>
          <w:u w:val="single"/>
        </w:rPr>
        <w:t>自合同签订之日起至2027年6月。</w:t>
      </w:r>
    </w:p>
    <w:p w14:paraId="2CEBCEF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u w:val="single"/>
        </w:rPr>
      </w:pPr>
      <w:r>
        <w:rPr>
          <w:rFonts w:hint="eastAsia" w:ascii="宋体" w:hAnsi="宋体" w:eastAsia="宋体" w:cs="宋体"/>
        </w:rPr>
        <w:t>6.养护期：</w:t>
      </w:r>
      <w:r>
        <w:rPr>
          <w:rFonts w:hint="eastAsia" w:ascii="宋体" w:hAnsi="宋体" w:eastAsia="宋体" w:cs="宋体"/>
          <w:u w:val="single"/>
        </w:rPr>
        <w:t>养护期为 1 年，竣工验收合格之日起即进入养护期。</w:t>
      </w:r>
    </w:p>
    <w:p w14:paraId="5E3B480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rPr>
      </w:pPr>
      <w:r>
        <w:rPr>
          <w:rFonts w:hint="eastAsia" w:ascii="宋体" w:hAnsi="宋体" w:eastAsia="宋体" w:cs="宋体"/>
          <w:b/>
          <w:bCs/>
        </w:rPr>
        <w:t>第二条 承包范围与方式</w:t>
      </w:r>
    </w:p>
    <w:p w14:paraId="0F6E152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2.1承包范围：该项目重点对灞桥区洪庆街办三阳院村灞临路两侧的困难立地进行植被恢复，对灞临路两侧的其他林地、其他草地开展造林修复工作。共区划1个标段、9个造林小班，设计面积为207.61亩，可作业面积200.00亩，在宜林荒山、疏林地造林，林种为防护林，树种设计配置为侧柏、白皮松混交，共栽植各类苗木3.36万余株。</w:t>
      </w:r>
    </w:p>
    <w:p w14:paraId="3A57829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2.2承包方式：</w:t>
      </w:r>
      <w:r>
        <w:rPr>
          <w:rFonts w:hint="eastAsia" w:ascii="宋体" w:hAnsi="宋体" w:eastAsia="宋体" w:cs="宋体"/>
          <w:lang w:eastAsia="zh-CN"/>
        </w:rPr>
        <w:t>☑</w:t>
      </w:r>
      <w:r>
        <w:rPr>
          <w:rFonts w:hint="eastAsia" w:ascii="宋体" w:hAnsi="宋体" w:eastAsia="宋体" w:cs="宋体"/>
        </w:rPr>
        <w:t xml:space="preserve"> 包工包料包成活（总承包） □ 包工不包料 □ 其他：__________。</w:t>
      </w:r>
    </w:p>
    <w:p w14:paraId="1EB31F0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rPr>
      </w:pPr>
      <w:r>
        <w:rPr>
          <w:rFonts w:hint="eastAsia" w:ascii="宋体" w:hAnsi="宋体" w:eastAsia="宋体" w:cs="宋体"/>
          <w:b/>
          <w:bCs/>
        </w:rPr>
        <w:t xml:space="preserve">第三条 </w:t>
      </w:r>
      <w:r>
        <w:rPr>
          <w:rFonts w:hint="eastAsia" w:ascii="宋体" w:hAnsi="宋体" w:eastAsia="宋体" w:cs="宋体"/>
          <w:b/>
          <w:bCs/>
          <w:lang w:eastAsia="zh-CN"/>
        </w:rPr>
        <w:t>服务</w:t>
      </w:r>
      <w:r>
        <w:rPr>
          <w:rFonts w:hint="eastAsia" w:ascii="宋体" w:hAnsi="宋体" w:eastAsia="宋体" w:cs="宋体"/>
          <w:b/>
          <w:bCs/>
        </w:rPr>
        <w:t>期</w:t>
      </w:r>
    </w:p>
    <w:p w14:paraId="6C4CEE8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lang w:val="en-US" w:eastAsia="zh-CN"/>
        </w:rPr>
      </w:pPr>
      <w:r>
        <w:rPr>
          <w:rFonts w:hint="eastAsia" w:ascii="宋体" w:hAnsi="宋体" w:eastAsia="宋体" w:cs="宋体"/>
          <w:lang w:val="en-US" w:eastAsia="zh-CN"/>
        </w:rPr>
        <w:t xml:space="preserve">    3.1自合同签订之日起至2027年6月；</w:t>
      </w:r>
    </w:p>
    <w:p w14:paraId="430E9D1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lang w:val="en-US" w:eastAsia="zh-CN"/>
        </w:rPr>
        <w:t>3.2</w:t>
      </w:r>
      <w:r>
        <w:rPr>
          <w:rFonts w:hint="eastAsia" w:ascii="宋体" w:hAnsi="宋体" w:eastAsia="宋体" w:cs="宋体"/>
        </w:rPr>
        <w:t>合同签订之日起至6月30日栽植施工；</w:t>
      </w:r>
    </w:p>
    <w:p w14:paraId="7C3A5DB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lang w:val="en-US" w:eastAsia="zh-CN"/>
        </w:rPr>
        <w:t xml:space="preserve">3.3 </w:t>
      </w:r>
      <w:r>
        <w:rPr>
          <w:rFonts w:hint="eastAsia" w:ascii="宋体" w:hAnsi="宋体" w:eastAsia="宋体" w:cs="宋体"/>
        </w:rPr>
        <w:t>2026年7月至2027年4月补植及抚育管护；</w:t>
      </w:r>
    </w:p>
    <w:p w14:paraId="7C6B9FD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rPr>
      </w:pPr>
      <w:r>
        <w:rPr>
          <w:rFonts w:hint="eastAsia" w:ascii="宋体" w:hAnsi="宋体" w:eastAsia="宋体" w:cs="宋体"/>
          <w:b/>
          <w:bCs/>
        </w:rPr>
        <w:t>第四条 合同价款</w:t>
      </w:r>
    </w:p>
    <w:p w14:paraId="687E262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4.1合同总价：人民币</w:t>
      </w:r>
      <w:r>
        <w:rPr>
          <w:rFonts w:hint="eastAsia" w:ascii="宋体" w:hAnsi="宋体" w:eastAsia="宋体" w:cs="宋体"/>
          <w:u w:val="single"/>
          <w:lang w:val="en-US" w:eastAsia="zh-CN"/>
        </w:rPr>
        <w:t xml:space="preserve">     </w:t>
      </w:r>
      <w:r>
        <w:rPr>
          <w:rFonts w:hint="eastAsia" w:ascii="宋体" w:hAnsi="宋体" w:eastAsia="宋体" w:cs="宋体"/>
        </w:rPr>
        <w:t>元（大写：</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w:t>
      </w:r>
      <w:r>
        <w:rPr>
          <w:rFonts w:hint="eastAsia" w:ascii="宋体" w:hAnsi="宋体" w:eastAsia="宋体" w:cs="宋体"/>
        </w:rPr>
        <w:t>，最终结算面积以实际验收合格面积为准，总价按实调整。</w:t>
      </w:r>
    </w:p>
    <w:p w14:paraId="7F26D14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4.</w:t>
      </w:r>
      <w:r>
        <w:rPr>
          <w:rFonts w:hint="eastAsia" w:ascii="宋体" w:hAnsi="宋体" w:eastAsia="宋体" w:cs="宋体"/>
          <w:lang w:val="en-US" w:eastAsia="zh-CN"/>
        </w:rPr>
        <w:t>2</w:t>
      </w:r>
      <w:r>
        <w:rPr>
          <w:rFonts w:hint="eastAsia" w:ascii="宋体" w:hAnsi="宋体" w:eastAsia="宋体" w:cs="宋体"/>
        </w:rPr>
        <w:t>价款说明：本合同价款为固定</w:t>
      </w:r>
      <w:r>
        <w:rPr>
          <w:rFonts w:hint="eastAsia" w:ascii="宋体" w:hAnsi="宋体" w:eastAsia="宋体" w:cs="宋体"/>
          <w:lang w:eastAsia="zh-CN"/>
        </w:rPr>
        <w:t>总</w:t>
      </w:r>
      <w:r>
        <w:rPr>
          <w:rFonts w:hint="eastAsia" w:ascii="宋体" w:hAnsi="宋体" w:eastAsia="宋体" w:cs="宋体"/>
        </w:rPr>
        <w:t>合同，不因物价上涨、人工成本增加等因素调整（政策性调整除外）。</w:t>
      </w:r>
    </w:p>
    <w:p w14:paraId="40355DD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highlight w:val="none"/>
        </w:rPr>
      </w:pPr>
      <w:r>
        <w:rPr>
          <w:rFonts w:hint="eastAsia" w:ascii="宋体" w:hAnsi="宋体" w:eastAsia="宋体" w:cs="宋体"/>
          <w:b/>
          <w:bCs/>
          <w:highlight w:val="none"/>
        </w:rPr>
        <w:t>第五条 付款方式</w:t>
      </w:r>
    </w:p>
    <w:p w14:paraId="7FAAE1C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u w:val="single"/>
          <w:lang w:val="en-US" w:eastAsia="zh-CN"/>
        </w:rPr>
      </w:pPr>
      <w:r>
        <w:rPr>
          <w:rFonts w:hint="eastAsia" w:ascii="宋体" w:hAnsi="宋体" w:eastAsia="宋体" w:cs="宋体"/>
          <w:highlight w:val="none"/>
          <w:lang w:val="en-US" w:eastAsia="zh-CN"/>
        </w:rPr>
        <w:t>第一次付款：主体栽植完成并经甲方初验合格后</w:t>
      </w:r>
      <w:r>
        <w:rPr>
          <w:rFonts w:hint="eastAsia" w:ascii="宋体" w:hAnsi="宋体" w:eastAsia="宋体" w:cs="宋体"/>
          <w:highlight w:val="none"/>
          <w:u w:val="single"/>
          <w:lang w:val="en-US" w:eastAsia="zh-CN"/>
        </w:rPr>
        <w:t xml:space="preserve"> 10 </w:t>
      </w:r>
      <w:r>
        <w:rPr>
          <w:rFonts w:hint="eastAsia" w:ascii="宋体" w:hAnsi="宋体" w:eastAsia="宋体" w:cs="宋体"/>
          <w:highlight w:val="none"/>
          <w:lang w:val="en-US" w:eastAsia="zh-CN"/>
        </w:rPr>
        <w:t>日内，支付至合同总价的</w:t>
      </w:r>
      <w:r>
        <w:rPr>
          <w:rFonts w:hint="eastAsia" w:ascii="宋体" w:hAnsi="宋体" w:eastAsia="宋体" w:cs="宋体"/>
          <w:highlight w:val="none"/>
          <w:u w:val="single"/>
          <w:lang w:val="en-US" w:eastAsia="zh-CN"/>
        </w:rPr>
        <w:t xml:space="preserve"> 40% </w:t>
      </w:r>
      <w:r>
        <w:rPr>
          <w:rFonts w:hint="eastAsia" w:ascii="宋体" w:hAnsi="宋体" w:eastAsia="宋体" w:cs="宋体"/>
          <w:highlight w:val="none"/>
          <w:u w:val="none"/>
          <w:lang w:val="en-US" w:eastAsia="zh-CN"/>
        </w:rPr>
        <w:t>。</w:t>
      </w:r>
    </w:p>
    <w:p w14:paraId="3258C42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第二次付款：1年的抚育管护期满后，最终验收合格并完成结算，资料归档后</w:t>
      </w:r>
      <w:r>
        <w:rPr>
          <w:rFonts w:hint="eastAsia" w:ascii="宋体" w:hAnsi="宋体" w:eastAsia="宋体" w:cs="宋体"/>
          <w:highlight w:val="none"/>
          <w:u w:val="single"/>
          <w:lang w:val="en-US" w:eastAsia="zh-CN"/>
        </w:rPr>
        <w:t xml:space="preserve"> 10 </w:t>
      </w:r>
      <w:r>
        <w:rPr>
          <w:rFonts w:hint="eastAsia" w:ascii="宋体" w:hAnsi="宋体" w:eastAsia="宋体" w:cs="宋体"/>
          <w:highlight w:val="none"/>
          <w:lang w:val="en-US" w:eastAsia="zh-CN"/>
        </w:rPr>
        <w:t>日内，支付全部结算款。</w:t>
      </w:r>
    </w:p>
    <w:p w14:paraId="43E9743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rPr>
      </w:pPr>
      <w:r>
        <w:rPr>
          <w:rFonts w:hint="eastAsia" w:ascii="宋体" w:hAnsi="宋体" w:eastAsia="宋体" w:cs="宋体"/>
          <w:b/>
          <w:bCs/>
        </w:rPr>
        <w:t>第六条 苗木与技术要求</w:t>
      </w:r>
    </w:p>
    <w:p w14:paraId="24B00E4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6.1 苗木规格和标准：</w:t>
      </w:r>
    </w:p>
    <w:p w14:paraId="03B0FF5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苗木要采用专业苗圃生产的良种壮苗，苗木质量必须达到GB6000-1999标准要求的I级苗木，同时具有经过林木种苗管理部门检验的“两证一签”(检疫证、合格证、标签)。其中，侧柏苗木规格：高度≥1m；3年生以上容器苗，容器直径15cm以上，不脱腿，充分木质化，无枯梢现象；白皮松苗木规格要求：高度≥1m；4年生以上容器苗，容器直径15cm以上，顶芽饱满，针叶完整,无多头现象。</w:t>
      </w:r>
    </w:p>
    <w:p w14:paraId="2723AF7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lang w:val="en-US" w:eastAsia="zh-CN"/>
        </w:rPr>
        <w:t>6.</w:t>
      </w:r>
      <w:r>
        <w:rPr>
          <w:rFonts w:hint="eastAsia" w:ascii="宋体" w:hAnsi="宋体" w:eastAsia="宋体" w:cs="宋体"/>
        </w:rPr>
        <w:t>2整地要求</w:t>
      </w:r>
    </w:p>
    <w:p w14:paraId="08E8CF3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项目造林采用鱼鳞坑整地，株行距为：2×2m；混交每亩株数为:侧柏84株、白皮松84株；配置方式为：带状混交（3行侧柏+3行白皮松），品字形栽植;整穴方式为60×50×40cm（长径×短径×深）。</w:t>
      </w:r>
    </w:p>
    <w:p w14:paraId="756D95D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（1）参照造林模式图，用白灰点确定种植点位置。</w:t>
      </w:r>
    </w:p>
    <w:p w14:paraId="70CCB06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lang w:val="en-US" w:eastAsia="zh-CN"/>
        </w:rPr>
      </w:pPr>
      <w:r>
        <w:rPr>
          <w:rFonts w:hint="eastAsia" w:ascii="宋体" w:hAnsi="宋体" w:eastAsia="宋体" w:cs="宋体"/>
          <w:snapToGrid/>
          <w:kern w:val="2"/>
          <w:sz w:val="28"/>
          <w:szCs w:val="28"/>
          <w:lang w:eastAsia="zh-CN"/>
        </w:rPr>
        <w:drawing>
          <wp:anchor distT="0" distB="0" distL="114935" distR="114935" simplePos="0" relativeHeight="251659264" behindDoc="0" locked="0" layoutInCell="1" allowOverlap="1">
            <wp:simplePos x="0" y="0"/>
            <wp:positionH relativeFrom="column">
              <wp:posOffset>681355</wp:posOffset>
            </wp:positionH>
            <wp:positionV relativeFrom="paragraph">
              <wp:posOffset>31115</wp:posOffset>
            </wp:positionV>
            <wp:extent cx="3505835" cy="2531745"/>
            <wp:effectExtent l="0" t="0" r="18415" b="1905"/>
            <wp:wrapNone/>
            <wp:docPr id="2" name="图片 2" descr="c7c8cb0fccd6575c9df792793ba49ff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7c8cb0fccd6575c9df792793ba49ff2"/>
                    <pic:cNvPicPr>
                      <a:picLocks noChangeAspect="1"/>
                    </pic:cNvPicPr>
                  </pic:nvPicPr>
                  <pic:blipFill>
                    <a:blip r:embed="rId4"/>
                    <a:srcRect l="3304" t="4628" r="3722" b="352"/>
                    <a:stretch>
                      <a:fillRect/>
                    </a:stretch>
                  </pic:blipFill>
                  <pic:spPr>
                    <a:xfrm>
                      <a:off x="0" y="0"/>
                      <a:ext cx="3505835" cy="2531745"/>
                    </a:xfrm>
                    <a:prstGeom prst="rect">
                      <a:avLst/>
                    </a:prstGeom>
                    <a:noFill/>
                    <a:ln>
                      <a:noFill/>
                    </a:ln>
                  </pic:spPr>
                </pic:pic>
              </a:graphicData>
            </a:graphic>
          </wp:anchor>
        </w:drawing>
      </w:r>
    </w:p>
    <w:p w14:paraId="5487D15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lang w:val="en-US" w:eastAsia="zh-CN"/>
        </w:rPr>
      </w:pPr>
    </w:p>
    <w:p w14:paraId="58D53E7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lang w:val="en-US" w:eastAsia="zh-CN"/>
        </w:rPr>
      </w:pPr>
    </w:p>
    <w:p w14:paraId="49C7065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lang w:val="en-US" w:eastAsia="zh-CN"/>
        </w:rPr>
      </w:pPr>
    </w:p>
    <w:p w14:paraId="7784D84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lang w:val="en-US" w:eastAsia="zh-CN"/>
        </w:rPr>
      </w:pPr>
    </w:p>
    <w:p w14:paraId="2BC1E5D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lang w:val="en-US" w:eastAsia="zh-CN"/>
        </w:rPr>
      </w:pPr>
    </w:p>
    <w:p w14:paraId="10AE679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lang w:val="en-US" w:eastAsia="zh-CN"/>
        </w:rPr>
      </w:pPr>
    </w:p>
    <w:p w14:paraId="27858AF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lang w:val="en-US" w:eastAsia="zh-CN"/>
        </w:rPr>
      </w:pPr>
    </w:p>
    <w:p w14:paraId="6B2AF96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lang w:val="en-US" w:eastAsia="zh-CN"/>
        </w:rPr>
      </w:pPr>
    </w:p>
    <w:p w14:paraId="06D00A1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lang w:val="en-US" w:eastAsia="zh-CN"/>
        </w:rPr>
      </w:pPr>
    </w:p>
    <w:p w14:paraId="334F4D3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（2）割灌除草。宜林地造林前，以栽植点行为中心线进行带状整地，带宽1米，割除杂草和散生灌木，并将割除的草灌清理出造林地。</w:t>
      </w:r>
    </w:p>
    <w:p w14:paraId="603363F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3）根据小班树穴规格挖穴。树穴的形状应是垂直向下的圆柱形，底部中心部分应略高于边缘(呈倒锅底形)，坑底部要锄松15cm，以利于根系在穴中展开。挖掘时将表土、心土分开放置，通过穴土置换，改良土壤的理化性状。</w:t>
      </w:r>
    </w:p>
    <w:p w14:paraId="19528CE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4）遇到坚实的土壤或垃圾土应换土，将树穴加大，加深，回填营养土；在新堆或未经自然沉降的地方挖穴，应先在穴点附近适当夯实，挖好后的穴底也适当踩实，以防浇水后土塌树倒。当坑穴挖好后，专人负责验收，不合格返工。</w:t>
      </w:r>
    </w:p>
    <w:p w14:paraId="34A06EC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（5）挖坑时先将表土堆在坑的上方，将生土堆在坑的下方，挖好后把熟土垫入坑内，再在坑的外缘用生土环状围成高20cm～25cm的土埂形成树池便于集水。</w:t>
      </w:r>
    </w:p>
    <w:p w14:paraId="2A8AD39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lang w:val="en-US" w:eastAsia="zh-CN"/>
        </w:rPr>
        <w:t>6.</w:t>
      </w:r>
      <w:r>
        <w:rPr>
          <w:rFonts w:hint="eastAsia" w:ascii="宋体" w:hAnsi="宋体" w:eastAsia="宋体" w:cs="宋体"/>
        </w:rPr>
        <w:t>3栽植要求</w:t>
      </w:r>
    </w:p>
    <w:p w14:paraId="176A287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全部采用植苗造林。栽植前先在穴底回填表土，垫至离地面30cm～40cm处为止，可采用生根粉、保水剂沾根，地膜覆盖，以提高造林成活率。栽植技术要领：扶正、栽直、分层填土、轻提苗木、分层压实，使苗木根系与土壤接触密实，栽后立即浇水，水渗后扶正苗木，培土封穴。造林当年成活率≥80%。造林后1年养护期内，对死亡苗木应进行补植。本项目为春季造林，秋季补植，次年春季二次补植。造林保存率≥80%。</w:t>
      </w:r>
    </w:p>
    <w:p w14:paraId="4F924B5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lang w:val="en-US" w:eastAsia="zh-CN"/>
        </w:rPr>
        <w:t>6.</w:t>
      </w:r>
      <w:r>
        <w:rPr>
          <w:rFonts w:hint="eastAsia" w:ascii="宋体" w:hAnsi="宋体" w:eastAsia="宋体" w:cs="宋体"/>
        </w:rPr>
        <w:t>4.抚育管理</w:t>
      </w:r>
    </w:p>
    <w:p w14:paraId="09CF4B9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1）造林后1年施工养护期内，应加强对新造林地的抚育、管理与管护，主要内容包括灌溉、施肥、松土除草、病虫害防治、支护、管护等。本项目施工管护期为1年，1年验收合格后，由地方政府负责继续管护直至成林。</w:t>
      </w:r>
    </w:p>
    <w:p w14:paraId="0A04FE2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（2）每年除草松土2次，除草要做到不伤根、不伤皮、不伤树梢。防护林清除的杂草覆盖在树根附近，以减少水分蒸发和增加有机质。</w:t>
      </w:r>
    </w:p>
    <w:p w14:paraId="653C125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3）造林后应及时灌溉，以提高造林成活率。根据苗木生长需要、降雨条件及土壤含水状况，适时进行灌溉，在天然降水常规年份，每年灌溉2次，春季和入冬前各一次。结合灌溉对幼树进行施肥。幼树施肥应采取薄施勤施的原则。年施肥2次，春、夏季各施1次，以氮、磷、钾配比肥为主，应尽量减少化肥施用，多施畜粪等有机肥、菌肥及生物肥料，可在树下种植苜蓿等豆科绿肥植物增加土壤肥力。</w:t>
      </w:r>
    </w:p>
    <w:p w14:paraId="0FFB1D4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4）病虫害防治应坚持“生物防治为主、化学防治为辅”的原则，主要方法：一是通过合理施肥、灌水、修剪来增强树势，提高树木的抵抗力；二是人工捕虫、清除枯枝落叶；三是用糖醋液诱杀成虫，树干缠草绳消除虫卵；四是利用天敌进行防治。病虫害防治应尽可能采用物理防治措施或施用低污染的生物农药与矿物农药，尽量减少化学农药的施用。必须采用化学防治时，应选用低残留、低污染农药，并严格控制用量。</w:t>
      </w:r>
    </w:p>
    <w:p w14:paraId="10082AE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lang w:val="en-US" w:eastAsia="zh-CN"/>
        </w:rPr>
        <w:t>6.</w:t>
      </w:r>
      <w:r>
        <w:rPr>
          <w:rFonts w:hint="eastAsia" w:ascii="宋体" w:hAnsi="宋体" w:eastAsia="宋体" w:cs="宋体"/>
        </w:rPr>
        <w:t>5管护</w:t>
      </w:r>
    </w:p>
    <w:p w14:paraId="40F74C9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造林后应加强幼树管护。根据需要对苗木进行必要支护，防止风倒；加强巡护，对当地居民开展宣传教育，严禁牛羊进入造林绿化地块，严防人为破坏和偷盗苗木，确保造林绿化成果。</w:t>
      </w:r>
    </w:p>
    <w:p w14:paraId="59117537">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rPr>
      </w:pPr>
      <w:r>
        <w:rPr>
          <w:rFonts w:hint="eastAsia" w:ascii="宋体" w:hAnsi="宋体" w:eastAsia="宋体" w:cs="宋体"/>
          <w:b/>
          <w:bCs/>
        </w:rPr>
        <w:t>第七条 质量验收</w:t>
      </w:r>
    </w:p>
    <w:p w14:paraId="1090BE7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7.1验收依据：“三区两带”困难立地植被恢复作业设计、造林技术规程、本合同约定标准、国家</w:t>
      </w:r>
      <w:r>
        <w:rPr>
          <w:rFonts w:hint="eastAsia" w:ascii="宋体" w:hAnsi="宋体" w:eastAsia="宋体" w:cs="宋体"/>
          <w:lang w:eastAsia="zh-CN"/>
        </w:rPr>
        <w:t>或</w:t>
      </w:r>
      <w:r>
        <w:rPr>
          <w:rFonts w:hint="eastAsia" w:ascii="宋体" w:hAnsi="宋体" w:eastAsia="宋体" w:cs="宋体"/>
        </w:rPr>
        <w:t>省级林业验收办法。</w:t>
      </w:r>
    </w:p>
    <w:p w14:paraId="134ED79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7.2</w:t>
      </w:r>
      <w:r>
        <w:rPr>
          <w:rFonts w:hint="eastAsia" w:ascii="宋体" w:hAnsi="宋体" w:eastAsia="宋体" w:cs="宋体"/>
          <w:lang w:eastAsia="zh-CN"/>
        </w:rPr>
        <w:t>验收标准：造林当年成活率达80%；面积核实率达到100%；落实1年的抚育管护。</w:t>
      </w:r>
      <w:r>
        <w:rPr>
          <w:rFonts w:hint="eastAsia" w:ascii="宋体" w:hAnsi="宋体" w:eastAsia="宋体" w:cs="宋体"/>
        </w:rPr>
        <w:t xml:space="preserve"> </w:t>
      </w:r>
    </w:p>
    <w:p w14:paraId="2D7C0FD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lang w:val="en-US" w:eastAsia="zh-CN"/>
        </w:rPr>
        <w:t>7.3</w:t>
      </w:r>
      <w:r>
        <w:rPr>
          <w:rFonts w:hint="eastAsia" w:ascii="宋体" w:hAnsi="宋体" w:eastAsia="宋体" w:cs="宋体"/>
        </w:rPr>
        <w:t>验收程序：</w:t>
      </w:r>
    </w:p>
    <w:p w14:paraId="02C4938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lang w:val="en-US" w:eastAsia="zh-CN"/>
        </w:rPr>
        <w:t xml:space="preserve">    （1）</w:t>
      </w:r>
      <w:r>
        <w:rPr>
          <w:rFonts w:hint="eastAsia" w:ascii="宋体" w:hAnsi="宋体" w:eastAsia="宋体" w:cs="宋体"/>
        </w:rPr>
        <w:t>初验：主体栽植完成后，甲方组织监理、设计单位进行现场初验，核查面积、苗木数量、栽植质量；</w:t>
      </w:r>
    </w:p>
    <w:p w14:paraId="47CA91C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2</w:t>
      </w:r>
      <w:r>
        <w:rPr>
          <w:rFonts w:hint="eastAsia" w:ascii="宋体" w:hAnsi="宋体" w:eastAsia="宋体" w:cs="宋体"/>
          <w:lang w:eastAsia="zh-CN"/>
        </w:rPr>
        <w:t>）当年抚育完成：</w:t>
      </w:r>
      <w:r>
        <w:rPr>
          <w:rFonts w:hint="eastAsia" w:ascii="宋体" w:hAnsi="宋体" w:eastAsia="宋体" w:cs="宋体"/>
        </w:rPr>
        <w:t>甲方组织验收，核查成活率、生长状况、管护质量；</w:t>
      </w:r>
    </w:p>
    <w:p w14:paraId="4D27025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3）</w:t>
      </w:r>
      <w:r>
        <w:rPr>
          <w:rFonts w:hint="eastAsia" w:ascii="宋体" w:hAnsi="宋体" w:eastAsia="宋体" w:cs="宋体"/>
        </w:rPr>
        <w:t>终验：</w:t>
      </w:r>
      <w:r>
        <w:rPr>
          <w:rFonts w:hint="eastAsia" w:ascii="宋体" w:hAnsi="宋体" w:eastAsia="宋体" w:cs="宋体"/>
          <w:lang w:val="en-US" w:eastAsia="zh-CN"/>
        </w:rPr>
        <w:t>1年</w:t>
      </w:r>
      <w:r>
        <w:rPr>
          <w:rFonts w:hint="eastAsia" w:ascii="宋体" w:hAnsi="宋体" w:eastAsia="宋体" w:cs="宋体"/>
        </w:rPr>
        <w:t>管护期满后，甲方组织全面竣工验收，核查保存率、林分质量、资料完整性，出具验收报告。</w:t>
      </w:r>
    </w:p>
    <w:p w14:paraId="7981813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7.3不合格处理：</w:t>
      </w:r>
    </w:p>
    <w:p w14:paraId="67BEEAD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成活率低于</w:t>
      </w:r>
      <w:r>
        <w:rPr>
          <w:rFonts w:hint="eastAsia" w:ascii="宋体" w:hAnsi="宋体" w:eastAsia="宋体" w:cs="宋体"/>
          <w:u w:val="single"/>
        </w:rPr>
        <w:t xml:space="preserve"> 95% </w:t>
      </w:r>
      <w:r>
        <w:rPr>
          <w:rFonts w:hint="eastAsia" w:ascii="宋体" w:hAnsi="宋体" w:eastAsia="宋体" w:cs="宋体"/>
        </w:rPr>
        <w:t>的，乙方需在</w:t>
      </w:r>
      <w:r>
        <w:rPr>
          <w:rFonts w:hint="eastAsia" w:ascii="宋体" w:hAnsi="宋体" w:eastAsia="宋体" w:cs="宋体"/>
          <w:u w:val="single"/>
          <w:lang w:val="en-US" w:eastAsia="zh-CN"/>
        </w:rPr>
        <w:t xml:space="preserve"> </w:t>
      </w:r>
      <w:r>
        <w:rPr>
          <w:rFonts w:hint="eastAsia" w:ascii="宋体" w:hAnsi="宋体" w:eastAsia="宋体" w:cs="宋体"/>
          <w:u w:val="single"/>
        </w:rPr>
        <w:t xml:space="preserve">1 </w:t>
      </w:r>
      <w:r>
        <w:rPr>
          <w:rFonts w:hint="eastAsia" w:ascii="宋体" w:hAnsi="宋体" w:eastAsia="宋体" w:cs="宋体"/>
        </w:rPr>
        <w:t>个月内无偿补植至合格标准；补植后仍不合格的，甲方有权扣除相应</w:t>
      </w:r>
      <w:r>
        <w:rPr>
          <w:rFonts w:hint="eastAsia" w:ascii="宋体" w:hAnsi="宋体" w:eastAsia="宋体" w:cs="宋体"/>
          <w:lang w:eastAsia="zh-CN"/>
        </w:rPr>
        <w:t>合同</w:t>
      </w:r>
      <w:r>
        <w:rPr>
          <w:rFonts w:hint="eastAsia" w:ascii="宋体" w:hAnsi="宋体" w:eastAsia="宋体" w:cs="宋体"/>
        </w:rPr>
        <w:t>款或解除合同并索赔损失。</w:t>
      </w:r>
    </w:p>
    <w:p w14:paraId="39B7B7C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rPr>
      </w:pPr>
      <w:r>
        <w:rPr>
          <w:rFonts w:hint="eastAsia" w:ascii="宋体" w:hAnsi="宋体" w:eastAsia="宋体" w:cs="宋体"/>
          <w:b/>
          <w:bCs/>
        </w:rPr>
        <w:t>第八条 双方责任</w:t>
      </w:r>
    </w:p>
    <w:p w14:paraId="1A30E58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lang w:val="en-US" w:eastAsia="zh-CN"/>
        </w:rPr>
        <w:t>8.1</w:t>
      </w:r>
      <w:r>
        <w:rPr>
          <w:rFonts w:hint="eastAsia" w:ascii="宋体" w:hAnsi="宋体" w:eastAsia="宋体" w:cs="宋体"/>
        </w:rPr>
        <w:t>甲方责任</w:t>
      </w:r>
    </w:p>
    <w:p w14:paraId="50CEF4A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1</w:t>
      </w:r>
      <w:r>
        <w:rPr>
          <w:rFonts w:hint="eastAsia" w:ascii="宋体" w:hAnsi="宋体" w:eastAsia="宋体" w:cs="宋体"/>
          <w:lang w:eastAsia="zh-CN"/>
        </w:rPr>
        <w:t>）</w:t>
      </w:r>
      <w:r>
        <w:rPr>
          <w:rFonts w:hint="eastAsia" w:ascii="宋体" w:hAnsi="宋体" w:eastAsia="宋体" w:cs="宋体"/>
        </w:rPr>
        <w:t>负责办理项目立项、林地报批、采伐许可、环评、水保等全部前期手续，承担相关费用；</w:t>
      </w:r>
    </w:p>
    <w:p w14:paraId="48CE162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2</w:t>
      </w:r>
      <w:r>
        <w:rPr>
          <w:rFonts w:hint="eastAsia" w:ascii="宋体" w:hAnsi="宋体" w:eastAsia="宋体" w:cs="宋体"/>
          <w:lang w:eastAsia="zh-CN"/>
        </w:rPr>
        <w:t>）</w:t>
      </w:r>
      <w:r>
        <w:rPr>
          <w:rFonts w:hint="eastAsia" w:ascii="宋体" w:hAnsi="宋体" w:eastAsia="宋体" w:cs="宋体"/>
        </w:rPr>
        <w:t>负责协调林地权属，确保施工场地交付无纠纷；</w:t>
      </w:r>
    </w:p>
    <w:p w14:paraId="16499A0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3</w:t>
      </w:r>
      <w:r>
        <w:rPr>
          <w:rFonts w:hint="eastAsia" w:ascii="宋体" w:hAnsi="宋体" w:eastAsia="宋体" w:cs="宋体"/>
          <w:lang w:eastAsia="zh-CN"/>
        </w:rPr>
        <w:t>）</w:t>
      </w:r>
      <w:r>
        <w:rPr>
          <w:rFonts w:hint="eastAsia" w:ascii="宋体" w:hAnsi="宋体" w:eastAsia="宋体" w:cs="宋体"/>
        </w:rPr>
        <w:t>提供作业设计、施工图、技术交底，派驻现场代表监督施工；</w:t>
      </w:r>
    </w:p>
    <w:p w14:paraId="28D13BE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4</w:t>
      </w:r>
      <w:r>
        <w:rPr>
          <w:rFonts w:hint="eastAsia" w:ascii="宋体" w:hAnsi="宋体" w:eastAsia="宋体" w:cs="宋体"/>
          <w:lang w:eastAsia="zh-CN"/>
        </w:rPr>
        <w:t>）</w:t>
      </w:r>
      <w:r>
        <w:rPr>
          <w:rFonts w:hint="eastAsia" w:ascii="宋体" w:hAnsi="宋体" w:eastAsia="宋体" w:cs="宋体"/>
        </w:rPr>
        <w:t>按合同约定及时支付工程款，组织各阶段验收；</w:t>
      </w:r>
    </w:p>
    <w:p w14:paraId="634F40D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5</w:t>
      </w:r>
      <w:r>
        <w:rPr>
          <w:rFonts w:hint="eastAsia" w:ascii="宋体" w:hAnsi="宋体" w:eastAsia="宋体" w:cs="宋体"/>
          <w:lang w:eastAsia="zh-CN"/>
        </w:rPr>
        <w:t>）</w:t>
      </w:r>
      <w:r>
        <w:rPr>
          <w:rFonts w:hint="eastAsia" w:ascii="宋体" w:hAnsi="宋体" w:eastAsia="宋体" w:cs="宋体"/>
        </w:rPr>
        <w:t>协调处理施工期间周边关系、防火、防盗等事宜。</w:t>
      </w:r>
    </w:p>
    <w:p w14:paraId="25C3DAA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lang w:val="en-US" w:eastAsia="zh-CN"/>
        </w:rPr>
        <w:t>8.2</w:t>
      </w:r>
      <w:r>
        <w:rPr>
          <w:rFonts w:hint="eastAsia" w:ascii="宋体" w:hAnsi="宋体" w:eastAsia="宋体" w:cs="宋体"/>
        </w:rPr>
        <w:t>乙方责任</w:t>
      </w:r>
    </w:p>
    <w:p w14:paraId="2519B07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1</w:t>
      </w:r>
      <w:r>
        <w:rPr>
          <w:rFonts w:hint="eastAsia" w:ascii="宋体" w:hAnsi="宋体" w:eastAsia="宋体" w:cs="宋体"/>
          <w:lang w:eastAsia="zh-CN"/>
        </w:rPr>
        <w:t>）</w:t>
      </w:r>
      <w:r>
        <w:rPr>
          <w:rFonts w:hint="eastAsia" w:ascii="宋体" w:hAnsi="宋体" w:eastAsia="宋体" w:cs="宋体"/>
        </w:rPr>
        <w:t>严格按作业设计、技术规范、甲方要求施工，确保</w:t>
      </w:r>
      <w:r>
        <w:rPr>
          <w:rFonts w:hint="eastAsia" w:ascii="宋体" w:hAnsi="宋体" w:eastAsia="宋体" w:cs="宋体"/>
          <w:lang w:eastAsia="zh-CN"/>
        </w:rPr>
        <w:t>项目</w:t>
      </w:r>
      <w:r>
        <w:rPr>
          <w:rFonts w:hint="eastAsia" w:ascii="宋体" w:hAnsi="宋体" w:eastAsia="宋体" w:cs="宋体"/>
        </w:rPr>
        <w:t>质量和</w:t>
      </w:r>
      <w:r>
        <w:rPr>
          <w:rFonts w:hint="eastAsia" w:ascii="宋体" w:hAnsi="宋体" w:eastAsia="宋体" w:cs="宋体"/>
          <w:lang w:eastAsia="zh-CN"/>
        </w:rPr>
        <w:t>服务</w:t>
      </w:r>
      <w:r>
        <w:rPr>
          <w:rFonts w:hint="eastAsia" w:ascii="宋体" w:hAnsi="宋体" w:eastAsia="宋体" w:cs="宋体"/>
        </w:rPr>
        <w:t>期；</w:t>
      </w:r>
    </w:p>
    <w:p w14:paraId="5B8EA24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2</w:t>
      </w:r>
      <w:r>
        <w:rPr>
          <w:rFonts w:hint="eastAsia" w:ascii="宋体" w:hAnsi="宋体" w:eastAsia="宋体" w:cs="宋体"/>
          <w:lang w:eastAsia="zh-CN"/>
        </w:rPr>
        <w:t>）</w:t>
      </w:r>
      <w:r>
        <w:rPr>
          <w:rFonts w:hint="eastAsia" w:ascii="宋体" w:hAnsi="宋体" w:eastAsia="宋体" w:cs="宋体"/>
        </w:rPr>
        <w:t>负责苗木采购、运输、检疫，确保苗木质量合格；</w:t>
      </w:r>
    </w:p>
    <w:p w14:paraId="4BE6DBF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lang w:val="en-US" w:eastAsia="zh-CN"/>
        </w:rPr>
        <w:t xml:space="preserve">    （3）</w:t>
      </w:r>
      <w:r>
        <w:rPr>
          <w:rFonts w:hint="eastAsia" w:ascii="宋体" w:hAnsi="宋体" w:eastAsia="宋体" w:cs="宋体"/>
        </w:rPr>
        <w:t>承担施工期间安全生产、文明施工责任，发生安全事故由乙方全权负责；</w:t>
      </w:r>
    </w:p>
    <w:p w14:paraId="1C6150F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4</w:t>
      </w:r>
      <w:r>
        <w:rPr>
          <w:rFonts w:hint="eastAsia" w:ascii="宋体" w:hAnsi="宋体" w:eastAsia="宋体" w:cs="宋体"/>
          <w:lang w:eastAsia="zh-CN"/>
        </w:rPr>
        <w:t>）</w:t>
      </w:r>
      <w:r>
        <w:rPr>
          <w:rFonts w:hint="eastAsia" w:ascii="宋体" w:hAnsi="宋体" w:eastAsia="宋体" w:cs="宋体"/>
        </w:rPr>
        <w:t>负责</w:t>
      </w:r>
      <w:r>
        <w:rPr>
          <w:rFonts w:hint="eastAsia" w:ascii="宋体" w:hAnsi="宋体" w:eastAsia="宋体" w:cs="宋体"/>
          <w:u w:val="single"/>
          <w:lang w:val="en-US" w:eastAsia="zh-CN"/>
        </w:rPr>
        <w:t xml:space="preserve"> 1 </w:t>
      </w:r>
      <w:r>
        <w:rPr>
          <w:rFonts w:hint="eastAsia" w:ascii="宋体" w:hAnsi="宋体" w:eastAsia="宋体" w:cs="宋体"/>
        </w:rPr>
        <w:t>年管护期内全部抚育、管护、补植工作，确保苗木成活；</w:t>
      </w:r>
    </w:p>
    <w:p w14:paraId="3D6E4BA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5</w:t>
      </w:r>
      <w:r>
        <w:rPr>
          <w:rFonts w:hint="eastAsia" w:ascii="宋体" w:hAnsi="宋体" w:eastAsia="宋体" w:cs="宋体"/>
          <w:lang w:eastAsia="zh-CN"/>
        </w:rPr>
        <w:t>）</w:t>
      </w:r>
      <w:r>
        <w:rPr>
          <w:rFonts w:hint="eastAsia" w:ascii="宋体" w:hAnsi="宋体" w:eastAsia="宋体" w:cs="宋体"/>
        </w:rPr>
        <w:t>负责资料收集、整理、归档，竣工时提交完整验收资料；</w:t>
      </w:r>
    </w:p>
    <w:p w14:paraId="6996724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6</w:t>
      </w:r>
      <w:r>
        <w:rPr>
          <w:rFonts w:hint="eastAsia" w:ascii="宋体" w:hAnsi="宋体" w:eastAsia="宋体" w:cs="宋体"/>
          <w:lang w:eastAsia="zh-CN"/>
        </w:rPr>
        <w:t>）</w:t>
      </w:r>
      <w:r>
        <w:rPr>
          <w:rFonts w:hint="eastAsia" w:ascii="宋体" w:hAnsi="宋体" w:eastAsia="宋体" w:cs="宋体"/>
        </w:rPr>
        <w:t>接受甲方、监理、林业部门的监督检查，对不合格项及时整改。</w:t>
      </w:r>
    </w:p>
    <w:p w14:paraId="5D34617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rPr>
      </w:pPr>
      <w:r>
        <w:rPr>
          <w:rFonts w:hint="eastAsia" w:ascii="宋体" w:hAnsi="宋体" w:eastAsia="宋体" w:cs="宋体"/>
          <w:b/>
          <w:bCs/>
        </w:rPr>
        <w:t>第九条 违约责任</w:t>
      </w:r>
    </w:p>
    <w:p w14:paraId="70DB7EC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9.1 甲方违约：</w:t>
      </w:r>
    </w:p>
    <w:p w14:paraId="6FB4076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未按合同约定支付</w:t>
      </w:r>
      <w:r>
        <w:rPr>
          <w:rFonts w:hint="eastAsia" w:ascii="宋体" w:hAnsi="宋体" w:eastAsia="宋体" w:cs="宋体"/>
          <w:lang w:eastAsia="zh-CN"/>
        </w:rPr>
        <w:t>合同</w:t>
      </w:r>
      <w:r>
        <w:rPr>
          <w:rFonts w:hint="eastAsia" w:ascii="宋体" w:hAnsi="宋体" w:eastAsia="宋体" w:cs="宋体"/>
        </w:rPr>
        <w:t>款的，每逾期</w:t>
      </w:r>
      <w:r>
        <w:rPr>
          <w:rFonts w:hint="eastAsia" w:ascii="宋体" w:hAnsi="宋体" w:eastAsia="宋体" w:cs="宋体"/>
          <w:u w:val="single"/>
        </w:rPr>
        <w:t xml:space="preserve"> 1 </w:t>
      </w:r>
      <w:r>
        <w:rPr>
          <w:rFonts w:hint="eastAsia" w:ascii="宋体" w:hAnsi="宋体" w:eastAsia="宋体" w:cs="宋体"/>
        </w:rPr>
        <w:t>日，按应付未付款的</w:t>
      </w:r>
      <w:r>
        <w:rPr>
          <w:rFonts w:hint="eastAsia" w:ascii="宋体" w:hAnsi="宋体" w:eastAsia="宋体" w:cs="宋体"/>
          <w:u w:val="single"/>
        </w:rPr>
        <w:t xml:space="preserve"> 0.05%</w:t>
      </w:r>
      <w:r>
        <w:rPr>
          <w:rFonts w:hint="eastAsia" w:ascii="宋体" w:hAnsi="宋体" w:eastAsia="宋体" w:cs="宋体"/>
          <w:u w:val="single"/>
          <w:lang w:val="en-US" w:eastAsia="zh-CN"/>
        </w:rPr>
        <w:t xml:space="preserve"> </w:t>
      </w:r>
      <w:r>
        <w:rPr>
          <w:rFonts w:hint="eastAsia" w:ascii="宋体" w:hAnsi="宋体" w:eastAsia="宋体" w:cs="宋体"/>
        </w:rPr>
        <w:t>支付违约金；逾期超过</w:t>
      </w:r>
      <w:r>
        <w:rPr>
          <w:rFonts w:hint="eastAsia" w:ascii="宋体" w:hAnsi="宋体" w:eastAsia="宋体" w:cs="宋体"/>
          <w:u w:val="single"/>
        </w:rPr>
        <w:t xml:space="preserve"> 30 </w:t>
      </w:r>
      <w:r>
        <w:rPr>
          <w:rFonts w:hint="eastAsia" w:ascii="宋体" w:hAnsi="宋体" w:eastAsia="宋体" w:cs="宋体"/>
        </w:rPr>
        <w:t>日的，乙方有权暂停施工，</w:t>
      </w:r>
      <w:r>
        <w:rPr>
          <w:rFonts w:hint="eastAsia" w:ascii="宋体" w:hAnsi="宋体" w:eastAsia="宋体" w:cs="宋体"/>
          <w:lang w:eastAsia="zh-CN"/>
        </w:rPr>
        <w:t>服务</w:t>
      </w:r>
      <w:r>
        <w:rPr>
          <w:rFonts w:hint="eastAsia" w:ascii="宋体" w:hAnsi="宋体" w:eastAsia="宋体" w:cs="宋体"/>
        </w:rPr>
        <w:t>期顺延，甲方承担乙方损失；</w:t>
      </w:r>
    </w:p>
    <w:p w14:paraId="68C7E7C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因甲方手续不全、场地交付延误导致</w:t>
      </w:r>
      <w:r>
        <w:rPr>
          <w:rFonts w:hint="eastAsia" w:ascii="宋体" w:hAnsi="宋体" w:eastAsia="宋体" w:cs="宋体"/>
          <w:lang w:eastAsia="zh-CN"/>
        </w:rPr>
        <w:t>服务</w:t>
      </w:r>
      <w:r>
        <w:rPr>
          <w:rFonts w:hint="eastAsia" w:ascii="宋体" w:hAnsi="宋体" w:eastAsia="宋体" w:cs="宋体"/>
        </w:rPr>
        <w:t>期延误的，甲方赔偿乙方实际损失。</w:t>
      </w:r>
    </w:p>
    <w:p w14:paraId="5616EA7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9.2 乙方违约：</w:t>
      </w:r>
    </w:p>
    <w:p w14:paraId="786C909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工程质量不合格的，乙方无偿整改、补植，直至合格；整改后仍不合格的，甲方有权解除合同，乙方支付合同总价</w:t>
      </w:r>
      <w:r>
        <w:rPr>
          <w:rFonts w:hint="eastAsia" w:ascii="宋体" w:hAnsi="宋体" w:eastAsia="宋体" w:cs="宋体"/>
          <w:u w:val="single"/>
        </w:rPr>
        <w:t xml:space="preserve"> 20% </w:t>
      </w:r>
      <w:r>
        <w:rPr>
          <w:rFonts w:hint="eastAsia" w:ascii="宋体" w:hAnsi="宋体" w:eastAsia="宋体" w:cs="宋体"/>
        </w:rPr>
        <w:t>的违约金，并赔偿甲方损失；</w:t>
      </w:r>
    </w:p>
    <w:p w14:paraId="2F50884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未按</w:t>
      </w:r>
      <w:r>
        <w:rPr>
          <w:rFonts w:hint="eastAsia" w:ascii="宋体" w:hAnsi="宋体" w:eastAsia="宋体" w:cs="宋体"/>
          <w:lang w:eastAsia="zh-CN"/>
        </w:rPr>
        <w:t>服务</w:t>
      </w:r>
      <w:r>
        <w:rPr>
          <w:rFonts w:hint="eastAsia" w:ascii="宋体" w:hAnsi="宋体" w:eastAsia="宋体" w:cs="宋体"/>
        </w:rPr>
        <w:t>期</w:t>
      </w:r>
      <w:r>
        <w:rPr>
          <w:rFonts w:hint="eastAsia" w:ascii="宋体" w:hAnsi="宋体" w:eastAsia="宋体" w:cs="宋体"/>
          <w:lang w:eastAsia="zh-CN"/>
        </w:rPr>
        <w:t>完</w:t>
      </w:r>
      <w:r>
        <w:rPr>
          <w:rFonts w:hint="eastAsia" w:ascii="宋体" w:hAnsi="宋体" w:eastAsia="宋体" w:cs="宋体"/>
        </w:rPr>
        <w:t>工的，每逾期</w:t>
      </w:r>
      <w:r>
        <w:rPr>
          <w:rFonts w:hint="eastAsia" w:ascii="宋体" w:hAnsi="宋体" w:eastAsia="宋体" w:cs="宋体"/>
          <w:u w:val="single"/>
        </w:rPr>
        <w:t xml:space="preserve"> 1 </w:t>
      </w:r>
      <w:r>
        <w:rPr>
          <w:rFonts w:hint="eastAsia" w:ascii="宋体" w:hAnsi="宋体" w:eastAsia="宋体" w:cs="宋体"/>
        </w:rPr>
        <w:t>日，按合同总价的</w:t>
      </w:r>
      <w:r>
        <w:rPr>
          <w:rFonts w:hint="eastAsia" w:ascii="宋体" w:hAnsi="宋体" w:eastAsia="宋体" w:cs="宋体"/>
          <w:u w:val="single"/>
        </w:rPr>
        <w:t xml:space="preserve"> 0.05% </w:t>
      </w:r>
      <w:r>
        <w:rPr>
          <w:rFonts w:hint="eastAsia" w:ascii="宋体" w:hAnsi="宋体" w:eastAsia="宋体" w:cs="宋体"/>
        </w:rPr>
        <w:t>支付违约金；逾期超过</w:t>
      </w:r>
      <w:r>
        <w:rPr>
          <w:rFonts w:hint="eastAsia" w:ascii="宋体" w:hAnsi="宋体" w:eastAsia="宋体" w:cs="宋体"/>
          <w:u w:val="single"/>
        </w:rPr>
        <w:t xml:space="preserve"> 30 </w:t>
      </w:r>
      <w:r>
        <w:rPr>
          <w:rFonts w:hint="eastAsia" w:ascii="宋体" w:hAnsi="宋体" w:eastAsia="宋体" w:cs="宋体"/>
        </w:rPr>
        <w:t>日的，甲方有权解除合同，乙方承担损失；</w:t>
      </w:r>
    </w:p>
    <w:p w14:paraId="05B0AD9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管护期内苗木成活率、保存率未达标的，乙方无偿补植；情节严重的，甲方扣除相应工程款。</w:t>
      </w:r>
    </w:p>
    <w:p w14:paraId="720402A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rPr>
      </w:pPr>
      <w:r>
        <w:rPr>
          <w:rFonts w:hint="eastAsia" w:ascii="宋体" w:hAnsi="宋体" w:eastAsia="宋体" w:cs="宋体"/>
          <w:b/>
          <w:bCs/>
        </w:rPr>
        <w:t>第十条 不可抗力</w:t>
      </w:r>
    </w:p>
    <w:p w14:paraId="6D7A534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因不可抗力（地震、洪水、台风、霜冻、火灾等）导致本合同无法履行或</w:t>
      </w:r>
      <w:r>
        <w:rPr>
          <w:rFonts w:hint="eastAsia" w:ascii="宋体" w:hAnsi="宋体" w:eastAsia="宋体" w:cs="宋体"/>
          <w:lang w:eastAsia="zh-CN"/>
        </w:rPr>
        <w:t>服务</w:t>
      </w:r>
      <w:r>
        <w:rPr>
          <w:rFonts w:hint="eastAsia" w:ascii="宋体" w:hAnsi="宋体" w:eastAsia="宋体" w:cs="宋体"/>
        </w:rPr>
        <w:t>期延误的，双方互不承担违约责任，</w:t>
      </w:r>
      <w:r>
        <w:rPr>
          <w:rFonts w:hint="eastAsia" w:ascii="宋体" w:hAnsi="宋体" w:eastAsia="宋体" w:cs="宋体"/>
          <w:lang w:eastAsia="zh-CN"/>
        </w:rPr>
        <w:t>服务</w:t>
      </w:r>
      <w:r>
        <w:rPr>
          <w:rFonts w:hint="eastAsia" w:ascii="宋体" w:hAnsi="宋体" w:eastAsia="宋体" w:cs="宋体"/>
        </w:rPr>
        <w:t>期顺延。不可抗力发生后，乙方应立即通知甲方，并在</w:t>
      </w:r>
      <w:r>
        <w:rPr>
          <w:rFonts w:hint="eastAsia" w:ascii="宋体" w:hAnsi="宋体" w:eastAsia="宋体" w:cs="宋体"/>
          <w:u w:val="single"/>
        </w:rPr>
        <w:t xml:space="preserve"> 7 </w:t>
      </w:r>
      <w:r>
        <w:rPr>
          <w:rFonts w:hint="eastAsia" w:ascii="宋体" w:hAnsi="宋体" w:eastAsia="宋体" w:cs="宋体"/>
        </w:rPr>
        <w:t>日内提供证明文件，双方协商处理后续事宜。</w:t>
      </w:r>
    </w:p>
    <w:p w14:paraId="51B8F74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rPr>
      </w:pPr>
      <w:r>
        <w:rPr>
          <w:rFonts w:hint="eastAsia" w:ascii="宋体" w:hAnsi="宋体" w:eastAsia="宋体" w:cs="宋体"/>
          <w:b/>
          <w:bCs/>
        </w:rPr>
        <w:t>第十一条 争议解决</w:t>
      </w:r>
    </w:p>
    <w:p w14:paraId="0AA0DFD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本合同履行过程中发生争议，双方应友好协商解决；协商不成的，任何一方均有权向工程所在地人民法院提起诉讼。</w:t>
      </w:r>
    </w:p>
    <w:p w14:paraId="067C324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rPr>
      </w:pPr>
      <w:r>
        <w:rPr>
          <w:rFonts w:hint="eastAsia" w:ascii="宋体" w:hAnsi="宋体" w:eastAsia="宋体" w:cs="宋体"/>
          <w:b/>
          <w:bCs/>
        </w:rPr>
        <w:t>第十二条 其他</w:t>
      </w:r>
    </w:p>
    <w:p w14:paraId="4208962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12.1合同生效：本合同自双方签字盖章之日起生效，一式</w:t>
      </w:r>
      <w:r>
        <w:rPr>
          <w:rFonts w:hint="eastAsia" w:ascii="宋体" w:hAnsi="宋体" w:eastAsia="宋体" w:cs="宋体"/>
          <w:u w:val="single"/>
          <w:lang w:val="en-US" w:eastAsia="zh-CN"/>
        </w:rPr>
        <w:t xml:space="preserve">    </w:t>
      </w:r>
      <w:r>
        <w:rPr>
          <w:rFonts w:hint="eastAsia" w:ascii="宋体" w:hAnsi="宋体" w:eastAsia="宋体" w:cs="宋体"/>
        </w:rPr>
        <w:t>份，甲方执</w:t>
      </w:r>
      <w:r>
        <w:rPr>
          <w:rFonts w:hint="eastAsia" w:ascii="宋体" w:hAnsi="宋体" w:eastAsia="宋体" w:cs="宋体"/>
          <w:u w:val="single"/>
          <w:lang w:val="en-US" w:eastAsia="zh-CN"/>
        </w:rPr>
        <w:t xml:space="preserve">    </w:t>
      </w:r>
      <w:r>
        <w:rPr>
          <w:rFonts w:hint="eastAsia" w:ascii="宋体" w:hAnsi="宋体" w:eastAsia="宋体" w:cs="宋体"/>
        </w:rPr>
        <w:t>份、乙方执</w:t>
      </w:r>
      <w:r>
        <w:rPr>
          <w:rFonts w:hint="eastAsia" w:ascii="宋体" w:hAnsi="宋体" w:eastAsia="宋体" w:cs="宋体"/>
          <w:u w:val="single"/>
          <w:lang w:val="en-US" w:eastAsia="zh-CN"/>
        </w:rPr>
        <w:t xml:space="preserve">    </w:t>
      </w:r>
      <w:r>
        <w:rPr>
          <w:rFonts w:hint="eastAsia" w:ascii="宋体" w:hAnsi="宋体" w:eastAsia="宋体" w:cs="宋体"/>
        </w:rPr>
        <w:t>份、林业部门 / 监理单位执</w:t>
      </w:r>
      <w:r>
        <w:rPr>
          <w:rFonts w:hint="eastAsia" w:ascii="宋体" w:hAnsi="宋体" w:eastAsia="宋体" w:cs="宋体"/>
          <w:u w:val="single"/>
          <w:lang w:val="en-US" w:eastAsia="zh-CN"/>
        </w:rPr>
        <w:t xml:space="preserve">    </w:t>
      </w:r>
      <w:r>
        <w:rPr>
          <w:rFonts w:hint="eastAsia" w:ascii="宋体" w:hAnsi="宋体" w:eastAsia="宋体" w:cs="宋体"/>
        </w:rPr>
        <w:t>份，具有同等法律效力。</w:t>
      </w:r>
    </w:p>
    <w:p w14:paraId="478691A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12.2合同变更：任何变更需双方协商一致，签订书面补充协议，补充协议与本合同具有同等法律效力。</w:t>
      </w:r>
    </w:p>
    <w:p w14:paraId="72C9DFF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12.3保密条款：双方应对本合同内容及项目相关资料保密，未经对方同意不得向第三方泄露。</w:t>
      </w:r>
    </w:p>
    <w:p w14:paraId="55024D2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12.4质保期：管护期满后</w:t>
      </w:r>
      <w:r>
        <w:rPr>
          <w:rFonts w:hint="eastAsia" w:ascii="宋体" w:hAnsi="宋体" w:eastAsia="宋体" w:cs="宋体"/>
          <w:u w:val="single"/>
          <w:lang w:val="en-US" w:eastAsia="zh-CN"/>
        </w:rPr>
        <w:t xml:space="preserve"> </w:t>
      </w:r>
      <w:r>
        <w:rPr>
          <w:rFonts w:hint="eastAsia" w:ascii="宋体" w:hAnsi="宋体" w:eastAsia="宋体" w:cs="宋体"/>
          <w:u w:val="single"/>
        </w:rPr>
        <w:t xml:space="preserve">1 </w:t>
      </w:r>
      <w:r>
        <w:rPr>
          <w:rFonts w:hint="eastAsia" w:ascii="宋体" w:hAnsi="宋体" w:eastAsia="宋体" w:cs="宋体"/>
        </w:rPr>
        <w:t>年为质保期，质保期内因乙方管护原因导致苗木死亡的，乙方无偿补植。</w:t>
      </w:r>
    </w:p>
    <w:p w14:paraId="4444AF3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12.5未尽事宜：由双方另行协商，签订补充协议。</w:t>
      </w:r>
    </w:p>
    <w:p w14:paraId="0441B19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p>
    <w:p w14:paraId="3457B03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p>
    <w:p w14:paraId="4594D9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lang w:eastAsia="zh-CN"/>
        </w:rPr>
      </w:pPr>
      <w:r>
        <w:rPr>
          <w:rFonts w:hint="eastAsia" w:ascii="宋体" w:hAnsi="宋体" w:eastAsia="宋体" w:cs="宋体"/>
          <w:lang w:eastAsia="zh-CN"/>
        </w:rPr>
        <w:t>【本页无正文】</w:t>
      </w:r>
    </w:p>
    <w:p w14:paraId="21F6726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lang w:eastAsia="zh-CN"/>
        </w:rPr>
      </w:pPr>
    </w:p>
    <w:p w14:paraId="7D6DAC5D">
      <w:pPr>
        <w:keepNext w:val="0"/>
        <w:keepLines w:val="0"/>
        <w:pageBreakBefore w:val="0"/>
        <w:widowControl w:val="0"/>
        <w:tabs>
          <w:tab w:val="left" w:pos="5260"/>
        </w:tabs>
        <w:kinsoku/>
        <w:wordWrap/>
        <w:overflowPunct/>
        <w:topLinePunct w:val="0"/>
        <w:autoSpaceDE/>
        <w:autoSpaceDN/>
        <w:bidi w:val="0"/>
        <w:adjustRightInd/>
        <w:snapToGrid/>
        <w:spacing w:line="480" w:lineRule="auto"/>
        <w:textAlignment w:val="auto"/>
        <w:rPr>
          <w:rFonts w:hint="default" w:ascii="宋体" w:hAnsi="宋体" w:eastAsia="宋体" w:cs="宋体"/>
          <w:lang w:val="en-US" w:eastAsia="zh-CN"/>
        </w:rPr>
      </w:pPr>
      <w:r>
        <w:rPr>
          <w:rFonts w:hint="eastAsia" w:ascii="宋体" w:hAnsi="宋体" w:eastAsia="宋体" w:cs="宋体"/>
        </w:rPr>
        <w:t>甲方（盖章）：</w:t>
      </w:r>
      <w:r>
        <w:rPr>
          <w:rFonts w:hint="eastAsia" w:ascii="宋体" w:hAnsi="宋体" w:eastAsia="宋体" w:cs="宋体"/>
          <w:u w:val="single"/>
          <w:lang w:val="en-US" w:eastAsia="zh-CN"/>
        </w:rPr>
        <w:t xml:space="preserve">                      </w:t>
      </w:r>
      <w:r>
        <w:rPr>
          <w:rFonts w:hint="eastAsia" w:ascii="宋体" w:hAnsi="宋体" w:eastAsia="宋体" w:cs="宋体"/>
          <w:u w:val="none"/>
          <w:lang w:val="en-US" w:eastAsia="zh-CN"/>
        </w:rPr>
        <w:t xml:space="preserve">         </w:t>
      </w:r>
      <w:r>
        <w:rPr>
          <w:rFonts w:hint="eastAsia" w:ascii="宋体" w:hAnsi="宋体" w:eastAsia="宋体" w:cs="宋体"/>
        </w:rPr>
        <w:t>甲方（盖章）：</w:t>
      </w:r>
      <w:r>
        <w:rPr>
          <w:rFonts w:hint="eastAsia" w:ascii="宋体" w:hAnsi="宋体" w:eastAsia="宋体" w:cs="宋体"/>
          <w:u w:val="single"/>
          <w:lang w:val="en-US" w:eastAsia="zh-CN"/>
        </w:rPr>
        <w:t xml:space="preserve">                      </w:t>
      </w:r>
    </w:p>
    <w:p w14:paraId="4237BFC1">
      <w:pPr>
        <w:keepNext w:val="0"/>
        <w:keepLines w:val="0"/>
        <w:pageBreakBefore w:val="0"/>
        <w:widowControl w:val="0"/>
        <w:kinsoku/>
        <w:wordWrap/>
        <w:overflowPunct/>
        <w:topLinePunct w:val="0"/>
        <w:autoSpaceDE/>
        <w:autoSpaceDN/>
        <w:bidi w:val="0"/>
        <w:adjustRightInd/>
        <w:snapToGrid/>
        <w:spacing w:before="157" w:beforeLines="50" w:line="240" w:lineRule="auto"/>
        <w:textAlignment w:val="auto"/>
        <w:rPr>
          <w:rFonts w:hint="default" w:ascii="宋体" w:hAnsi="宋体" w:eastAsia="宋体" w:cs="宋体"/>
          <w:lang w:val="en-US" w:eastAsia="zh-CN"/>
        </w:rPr>
      </w:pPr>
      <w:r>
        <w:rPr>
          <w:rFonts w:hint="eastAsia" w:ascii="宋体" w:hAnsi="宋体" w:eastAsia="宋体" w:cs="宋体"/>
        </w:rPr>
        <w:t>法定代表人</w:t>
      </w:r>
      <w:r>
        <w:rPr>
          <w:rFonts w:hint="eastAsia" w:ascii="宋体" w:hAnsi="宋体" w:eastAsia="宋体" w:cs="宋体"/>
          <w:lang w:eastAsia="zh-CN"/>
        </w:rPr>
        <w:t>或</w:t>
      </w:r>
      <w:r>
        <w:rPr>
          <w:rFonts w:hint="eastAsia" w:ascii="宋体" w:hAnsi="宋体" w:eastAsia="宋体" w:cs="宋体"/>
          <w:lang w:val="en-US" w:eastAsia="zh-CN"/>
        </w:rPr>
        <w:t xml:space="preserve">                                </w:t>
      </w:r>
      <w:r>
        <w:rPr>
          <w:rFonts w:hint="eastAsia" w:ascii="宋体" w:hAnsi="宋体" w:eastAsia="宋体" w:cs="宋体"/>
        </w:rPr>
        <w:t>法定代表人</w:t>
      </w:r>
      <w:r>
        <w:rPr>
          <w:rFonts w:hint="eastAsia" w:ascii="宋体" w:hAnsi="宋体" w:eastAsia="宋体" w:cs="宋体"/>
          <w:lang w:eastAsia="zh-CN"/>
        </w:rPr>
        <w:t>或</w:t>
      </w:r>
    </w:p>
    <w:p w14:paraId="70FA23EB">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宋体" w:hAnsi="宋体" w:eastAsia="宋体" w:cs="宋体"/>
          <w:lang w:val="en-US" w:eastAsia="zh-CN"/>
        </w:rPr>
      </w:pPr>
      <w:r>
        <w:rPr>
          <w:rFonts w:hint="eastAsia" w:ascii="宋体" w:hAnsi="宋体" w:eastAsia="宋体" w:cs="宋体"/>
        </w:rPr>
        <w:t>授权代表（签字</w:t>
      </w:r>
      <w:r>
        <w:rPr>
          <w:rFonts w:hint="eastAsia" w:ascii="宋体" w:hAnsi="宋体" w:eastAsia="宋体" w:cs="宋体"/>
          <w:lang w:eastAsia="zh-CN"/>
        </w:rPr>
        <w:t>或盖章</w:t>
      </w:r>
      <w:r>
        <w:rPr>
          <w:rFonts w:hint="eastAsia" w:ascii="宋体" w:hAnsi="宋体" w:eastAsia="宋体" w:cs="宋体"/>
        </w:rPr>
        <w:t>）：</w:t>
      </w:r>
      <w:r>
        <w:rPr>
          <w:rFonts w:hint="eastAsia" w:ascii="宋体" w:hAnsi="宋体" w:eastAsia="宋体" w:cs="宋体"/>
          <w:u w:val="single"/>
          <w:lang w:val="en-US" w:eastAsia="zh-CN"/>
        </w:rPr>
        <w:t xml:space="preserve">            </w:t>
      </w:r>
      <w:r>
        <w:rPr>
          <w:rFonts w:hint="eastAsia" w:ascii="宋体" w:hAnsi="宋体" w:eastAsia="宋体" w:cs="宋体"/>
          <w:u w:val="none"/>
          <w:lang w:val="en-US" w:eastAsia="zh-CN"/>
        </w:rPr>
        <w:t xml:space="preserve">         </w:t>
      </w:r>
      <w:r>
        <w:rPr>
          <w:rFonts w:hint="eastAsia" w:ascii="宋体" w:hAnsi="宋体" w:eastAsia="宋体" w:cs="宋体"/>
        </w:rPr>
        <w:t>授权代表（签字</w:t>
      </w:r>
      <w:r>
        <w:rPr>
          <w:rFonts w:hint="eastAsia" w:ascii="宋体" w:hAnsi="宋体" w:eastAsia="宋体" w:cs="宋体"/>
          <w:lang w:eastAsia="zh-CN"/>
        </w:rPr>
        <w:t>或盖章</w:t>
      </w:r>
      <w:r>
        <w:rPr>
          <w:rFonts w:hint="eastAsia" w:ascii="宋体" w:hAnsi="宋体" w:eastAsia="宋体" w:cs="宋体"/>
        </w:rPr>
        <w:t>）：</w:t>
      </w:r>
      <w:r>
        <w:rPr>
          <w:rFonts w:hint="eastAsia" w:ascii="宋体" w:hAnsi="宋体" w:eastAsia="宋体" w:cs="宋体"/>
          <w:u w:val="single"/>
          <w:lang w:val="en-US" w:eastAsia="zh-CN"/>
        </w:rPr>
        <w:t xml:space="preserve">            </w:t>
      </w:r>
    </w:p>
    <w:p w14:paraId="26A8B88D">
      <w:pPr>
        <w:keepNext w:val="0"/>
        <w:keepLines w:val="0"/>
        <w:pageBreakBefore w:val="0"/>
        <w:widowControl w:val="0"/>
        <w:kinsoku/>
        <w:wordWrap/>
        <w:overflowPunct/>
        <w:topLinePunct w:val="0"/>
        <w:autoSpaceDE/>
        <w:autoSpaceDN/>
        <w:bidi w:val="0"/>
        <w:adjustRightInd/>
        <w:snapToGrid/>
        <w:spacing w:before="157" w:beforeLines="50" w:line="480" w:lineRule="auto"/>
        <w:textAlignment w:val="auto"/>
        <w:rPr>
          <w:rFonts w:hint="default" w:ascii="宋体" w:hAnsi="宋体" w:eastAsia="宋体" w:cs="宋体"/>
          <w:lang w:val="en-US" w:eastAsia="zh-CN"/>
        </w:rPr>
      </w:pPr>
      <w:r>
        <w:rPr>
          <w:rFonts w:hint="eastAsia" w:ascii="宋体" w:hAnsi="宋体" w:eastAsia="宋体" w:cs="宋体"/>
          <w:lang w:val="en-US" w:eastAsia="zh-CN"/>
        </w:rPr>
        <w:t xml:space="preserve">    </w:t>
      </w:r>
      <w:r>
        <w:rPr>
          <w:rFonts w:hint="eastAsia" w:ascii="宋体" w:hAnsi="宋体" w:eastAsia="宋体" w:cs="宋体"/>
        </w:rPr>
        <w:t>年</w:t>
      </w:r>
      <w:r>
        <w:rPr>
          <w:rFonts w:hint="eastAsia" w:ascii="宋体" w:hAnsi="宋体" w:eastAsia="宋体" w:cs="宋体"/>
          <w:lang w:val="en-US" w:eastAsia="zh-CN"/>
        </w:rPr>
        <w:t xml:space="preserve">  </w:t>
      </w:r>
      <w:r>
        <w:rPr>
          <w:rFonts w:hint="eastAsia" w:ascii="宋体" w:hAnsi="宋体" w:eastAsia="宋体" w:cs="宋体"/>
        </w:rPr>
        <w:t>月</w:t>
      </w:r>
      <w:r>
        <w:rPr>
          <w:rFonts w:hint="eastAsia" w:ascii="宋体" w:hAnsi="宋体" w:eastAsia="宋体" w:cs="宋体"/>
          <w:lang w:val="en-US" w:eastAsia="zh-CN"/>
        </w:rPr>
        <w:t xml:space="preserve">  </w:t>
      </w:r>
      <w:r>
        <w:rPr>
          <w:rFonts w:hint="eastAsia" w:ascii="宋体" w:hAnsi="宋体" w:eastAsia="宋体" w:cs="宋体"/>
        </w:rPr>
        <w:t>日</w:t>
      </w:r>
      <w:r>
        <w:rPr>
          <w:rFonts w:hint="eastAsia" w:ascii="宋体" w:hAnsi="宋体" w:eastAsia="宋体" w:cs="宋体"/>
          <w:lang w:val="en-US" w:eastAsia="zh-CN"/>
        </w:rPr>
        <w:t xml:space="preserve">                                               </w:t>
      </w:r>
      <w:r>
        <w:rPr>
          <w:rFonts w:hint="eastAsia" w:ascii="宋体" w:hAnsi="宋体" w:eastAsia="宋体" w:cs="宋体"/>
        </w:rPr>
        <w:t>年</w:t>
      </w:r>
      <w:r>
        <w:rPr>
          <w:rFonts w:hint="eastAsia" w:ascii="宋体" w:hAnsi="宋体" w:eastAsia="宋体" w:cs="宋体"/>
          <w:lang w:val="en-US" w:eastAsia="zh-CN"/>
        </w:rPr>
        <w:t xml:space="preserve">  </w:t>
      </w:r>
      <w:r>
        <w:rPr>
          <w:rFonts w:hint="eastAsia" w:ascii="宋体" w:hAnsi="宋体" w:eastAsia="宋体" w:cs="宋体"/>
        </w:rPr>
        <w:t>月</w:t>
      </w:r>
      <w:r>
        <w:rPr>
          <w:rFonts w:hint="eastAsia" w:ascii="宋体" w:hAnsi="宋体" w:eastAsia="宋体" w:cs="宋体"/>
          <w:lang w:val="en-US" w:eastAsia="zh-CN"/>
        </w:rPr>
        <w:t xml:space="preserve">  </w:t>
      </w:r>
      <w:r>
        <w:rPr>
          <w:rFonts w:hint="eastAsia" w:ascii="宋体" w:hAnsi="宋体" w:eastAsia="宋体" w:cs="宋体"/>
        </w:rPr>
        <w:t>日</w:t>
      </w:r>
    </w:p>
    <w:p w14:paraId="166CEDC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4D4974"/>
    <w:rsid w:val="040E3D31"/>
    <w:rsid w:val="094D4974"/>
    <w:rsid w:val="10D57106"/>
    <w:rsid w:val="1ADF6943"/>
    <w:rsid w:val="47623BDA"/>
    <w:rsid w:val="5F887604"/>
    <w:rsid w:val="60D83B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3681</Words>
  <Characters>3886</Characters>
  <Lines>0</Lines>
  <Paragraphs>0</Paragraphs>
  <TotalTime>133</TotalTime>
  <ScaleCrop>false</ScaleCrop>
  <LinksUpToDate>false</LinksUpToDate>
  <CharactersWithSpaces>4254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2026-05-13T11:35:00Z</dcterms:created>
  <dc:creator>a张媛</dc:creator>
  <cp:lastModifiedBy>a张媛</cp:lastModifiedBy>
  <dcterms:modified xsi:type="dcterms:W3CDTF">2026-05-20T06:03:44Z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487572585FC94116A903E899A3CA442B_11</vt:lpwstr>
  </property>
  <property fmtid="{D5CDD505-2E9C-101B-9397-08002B2CF9AE}" pid="4" name="KSOTemplateDocerSaveRecord">
    <vt:lpwstr>eyJoZGlkIjoiMmRiN2Q0OTNkZDhmZDNkNTEzNGY0OTQxMDA4MmMyMzIiLCJ1c2VySWQiOiI4MDI0NDcxNDgifQ==</vt:lpwstr>
  </property>
</Properties>
</file>