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版本号：GZH-ZB-20260601420260630002</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2026年度不动产权证书及证明采购项目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GZH-ZB-202606014</w:t>
      </w:r>
      <w:r>
        <w:br/>
      </w:r>
      <w:r>
        <w:br/>
      </w:r>
      <w:r>
        <w:br/>
      </w:r>
      <w:r>
        <w:br/>
      </w:r>
      <w:r>
        <w:br/>
      </w:r>
    </w:p>
    <w:p>
      <w:pPr>
        <w:pStyle w:val="null3"/>
        <w:jc w:val="center"/>
        <w:outlineLvl w:val="5"/>
      </w:pPr>
      <w:r>
        <w:rPr>
          <w:rFonts w:ascii="仿宋_GB2312" w:hAnsi="仿宋_GB2312" w:cs="仿宋_GB2312" w:eastAsia="仿宋_GB2312"/>
          <w:sz w:val="15"/>
          <w:b/>
        </w:rPr>
        <w:t>西安市不动产登记服务中心</w:t>
      </w:r>
    </w:p>
    <w:p>
      <w:pPr>
        <w:pStyle w:val="null3"/>
        <w:jc w:val="center"/>
        <w:outlineLvl w:val="5"/>
      </w:pPr>
      <w:r>
        <w:rPr>
          <w:rFonts w:ascii="仿宋_GB2312" w:hAnsi="仿宋_GB2312" w:cs="仿宋_GB2312" w:eastAsia="仿宋_GB2312"/>
          <w:sz w:val="15"/>
          <w:b/>
        </w:rPr>
        <w:t>陕西国中恒工程项目管理有限公司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陕西国中恒工程项目管理有限公司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西安市不动产登记服务中心</w:t>
      </w:r>
      <w:r>
        <w:rPr>
          <w:rFonts w:ascii="仿宋_GB2312" w:hAnsi="仿宋_GB2312" w:cs="仿宋_GB2312" w:eastAsia="仿宋_GB2312"/>
        </w:rPr>
        <w:t>委托，拟对</w:t>
      </w:r>
      <w:r>
        <w:rPr>
          <w:rFonts w:ascii="仿宋_GB2312" w:hAnsi="仿宋_GB2312" w:cs="仿宋_GB2312" w:eastAsia="仿宋_GB2312"/>
        </w:rPr>
        <w:t>2026年度不动产权证书及证明采购项目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GZH-ZB-202606014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2026年度不动产权证书及证明采购项目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市不动产登记服务中心在办理不动产权登记业务时，按相关规定须向完成确权登记的办事群众及企业发放不动产权证书或证明。按照《陕西省自然资源厅办公室关于加强不动产权证书和不动产登记证明管理工作的通知》(陕自然资办发(2025)307号)文件要求规定，由北京印刷集团有限责任公司承担西安等6市区的不动产权证书及证明印制任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采购包1（2026年度不动产权证书及证明采购项目）：属于专门面向中小企业采购。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p>
      <w:pPr>
        <w:pStyle w:val="null3"/>
      </w:pPr>
      <w:r>
        <w:rPr>
          <w:rFonts w:ascii="仿宋_GB2312" w:hAnsi="仿宋_GB2312" w:cs="仿宋_GB2312" w:eastAsia="仿宋_GB2312"/>
        </w:rPr>
        <w:t>2、资质条件：供应商须具备合格有效的《印刷经营许可证》。</w:t>
      </w:r>
    </w:p>
    <w:p>
      <w:pPr>
        <w:pStyle w:val="null3"/>
      </w:pPr>
      <w:r>
        <w:rPr>
          <w:rFonts w:ascii="仿宋_GB2312" w:hAnsi="仿宋_GB2312" w:cs="仿宋_GB2312" w:eastAsia="仿宋_GB2312"/>
        </w:rPr>
        <w:t>3、财务状况报告：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p>
      <w:pPr>
        <w:pStyle w:val="null3"/>
      </w:pPr>
      <w:r>
        <w:rPr>
          <w:rFonts w:ascii="仿宋_GB2312" w:hAnsi="仿宋_GB2312" w:cs="仿宋_GB2312" w:eastAsia="仿宋_GB2312"/>
        </w:rPr>
        <w:t>4、社保资金缴纳证明：提供递交响应文件截止之日前一年内任意一个月的社会保障资金缴存单据或社保机构开具的社会保险参保缴费情况证明。依法不需要缴纳社会保障资金的供应商应提供相关声明或承诺。</w:t>
      </w:r>
    </w:p>
    <w:p>
      <w:pPr>
        <w:pStyle w:val="null3"/>
      </w:pPr>
      <w:r>
        <w:rPr>
          <w:rFonts w:ascii="仿宋_GB2312" w:hAnsi="仿宋_GB2312" w:cs="仿宋_GB2312" w:eastAsia="仿宋_GB2312"/>
        </w:rPr>
        <w:t>5、税收缴纳证明：提供递交响应文件截止之日前一年内任意一个月的依法缴纳税收的相关凭据（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6、履约能力：提供具有履行合同所必需的设备和专业技术能力的书面声明。</w:t>
      </w:r>
    </w:p>
    <w:p>
      <w:pPr>
        <w:pStyle w:val="null3"/>
      </w:pPr>
      <w:r>
        <w:rPr>
          <w:rFonts w:ascii="仿宋_GB2312" w:hAnsi="仿宋_GB2312" w:cs="仿宋_GB2312" w:eastAsia="仿宋_GB2312"/>
        </w:rPr>
        <w:t>7、无重大违法记录声明：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8、法定代表人（主要负责人）委托授权书/身份证明：法定代表人（主要负责人）参加投标的，须提供法定代表人（主要负责人）身份证明；法定代表人（主要负责人）授权他人参加投标的，须提供法定代表人（主要负责人）授权委托书。采购文件中凡是需要法定代表人盖章之处，非法人单位的负责人均参照执行。 法人的分支机构参与投标时，除提供《法定代表人（主要负责人）授权委托书》外，还须同时提供法人给分支机构出具的授权书。</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西安市不动产登记服务中心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朱雀大街中段朱雀云天大厦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李喜阳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029-85569560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陕西国中恒工程项目管理有限公司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西安市北大街118号宏府大厦A座12F室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成璇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029-87361685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代理服务费收费标准：以中标（成交）金额为基数，参照国家计委颁发的《招标代理服务收费管理暂行办法》（计价格〔2002〕1980号）和财政部颁发的《政府采购代理机构管理暂行办法》 (财库〔2018〕2号) 的有关规定执行。</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西安市不动产登记服务中心</w:t>
      </w:r>
      <w:r>
        <w:rPr>
          <w:rFonts w:ascii="仿宋_GB2312" w:hAnsi="仿宋_GB2312" w:cs="仿宋_GB2312" w:eastAsia="仿宋_GB2312"/>
        </w:rPr>
        <w:t>和</w:t>
      </w:r>
      <w:r>
        <w:rPr>
          <w:rFonts w:ascii="仿宋_GB2312" w:hAnsi="仿宋_GB2312" w:cs="仿宋_GB2312" w:eastAsia="仿宋_GB2312"/>
        </w:rPr>
        <w:t>陕西国中恒工程项目管理有限公司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陕西国中恒工程项目管理有限公司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西安市不动产登记服务中心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陕西国中恒工程项目管理有限公司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所提供的服务及其任何一部分，以及采购人在中华人民共和国境内使用本项目成果时，均不会侵犯任何第三方的知识产权（包括但不限于专利权、商标权、著作权、商业秘密等）。2.如果采购人因使用本项目服务成果而被任何第三方诉称侵犯其知识产权，供应商应负责处理这一指控，并应以供应商的名义自负费用向起诉方提出抗辩。由此可能产生的一切法律责任和经济责任均由供应商承担。3.一旦出现侵犯第三方知识产权的索赔或诉讼，由供应商承担全部责任。若采购人因此被第三方索赔或被判决承担赔偿责任，采购人有权向供应商全额追偿（追偿范围包括但不限于赔偿款项、律师费、诉讼费、保全费等全部损失）。</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本项目单一来源协商文件、响应文件、协商过程文件、采购合同及附件文本、合同签订时国家及行业现行的标准和技术规范以及与本项目验收有关的其他文件。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陕西国中恒工程项目管理有限公司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陕西国中恒工程项目管理有限公司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陕西国中恒工程项目管理有限公司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联系人：成璇</w:t>
      </w:r>
    </w:p>
    <w:p>
      <w:pPr>
        <w:pStyle w:val="null3"/>
      </w:pPr>
      <w:r>
        <w:rPr>
          <w:rFonts w:ascii="仿宋_GB2312" w:hAnsi="仿宋_GB2312" w:cs="仿宋_GB2312" w:eastAsia="仿宋_GB2312"/>
        </w:rPr>
        <w:t>联系电话：029-87361685</w:t>
      </w:r>
    </w:p>
    <w:p>
      <w:pPr>
        <w:pStyle w:val="null3"/>
      </w:pPr>
      <w:r>
        <w:rPr>
          <w:rFonts w:ascii="仿宋_GB2312" w:hAnsi="仿宋_GB2312" w:cs="仿宋_GB2312" w:eastAsia="仿宋_GB2312"/>
        </w:rPr>
        <w:t>地址：西安市北大街118号宏府大厦 A座12F室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市不动产登记服务中心在办理不动产权登记业务时，按相关规定须向完成确权登记的办事群众及企业发放不动产权证书或证明。按照《陕西省自然资源厅办公室关于加强不动产权证书和不动产登记证明管理工作的通知》(陕自然资办发(2025)307号)文件要求规定，由北京印刷集团有限责任公司承担西安等6市区的不动产权证书及证明印制任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产权证书及证明</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标的名称：产权证书及证明</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w:t>
            </w:r>
            <w:r>
              <w:rPr>
                <w:rFonts w:ascii="仿宋_GB2312" w:hAnsi="仿宋_GB2312" w:cs="仿宋_GB2312" w:eastAsia="仿宋_GB2312"/>
                <w:b/>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452"/>
              <w:gridCol w:w="1041"/>
              <w:gridCol w:w="452"/>
              <w:gridCol w:w="606"/>
            </w:tblGrid>
            <w:tr>
              <w:tc>
                <w:tcPr>
                  <w:tcW w:type="dxa" w:w="4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10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名称</w:t>
                  </w:r>
                </w:p>
              </w:tc>
              <w:tc>
                <w:tcPr>
                  <w:tcW w:type="dxa" w:w="4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0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不动产权证书</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册</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380000</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0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不动产权证明</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218000</w:t>
                  </w:r>
                </w:p>
              </w:tc>
            </w:tr>
          </w:tbl>
          <w:p>
            <w:pPr>
              <w:pStyle w:val="null3"/>
            </w:pPr>
            <w:r>
              <w:rPr>
                <w:rFonts w:ascii="仿宋_GB2312" w:hAnsi="仿宋_GB2312" w:cs="仿宋_GB2312" w:eastAsia="仿宋_GB2312"/>
                <w:b/>
              </w:rPr>
              <w:t>二、技术要求</w:t>
            </w:r>
          </w:p>
          <w:tbl>
            <w:tblPr>
              <w:tblInd w:type="dxa" w:w="120"/>
              <w:tblBorders>
                <w:top w:val="none" w:color="000000" w:sz="4"/>
                <w:left w:val="none" w:color="000000" w:sz="4"/>
                <w:bottom w:val="none" w:color="000000" w:sz="4"/>
                <w:right w:val="none" w:color="000000" w:sz="4"/>
                <w:insideH w:val="none"/>
                <w:insideV w:val="none"/>
              </w:tblBorders>
            </w:tblPr>
            <w:tblGrid>
              <w:gridCol w:w="229"/>
              <w:gridCol w:w="337"/>
              <w:gridCol w:w="1987"/>
            </w:tblGrid>
            <w:tr>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3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名称</w:t>
                  </w:r>
                </w:p>
              </w:tc>
              <w:tc>
                <w:tcPr>
                  <w:tcW w:type="dxa" w:w="19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规格</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不动产权证书</w:t>
                  </w:r>
                </w:p>
              </w:tc>
              <w:tc>
                <w:tcPr>
                  <w:tcW w:type="dxa" w:w="1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167mm(L)*240mm(H)，证书样式为本式，分别由封面、封底、封二、封三及内页构成，其中封皮材料为环保型封面包装材料，封二、封三以及内页纸张为单张纸。</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不动产权证明</w:t>
                  </w:r>
                </w:p>
              </w:tc>
              <w:tc>
                <w:tcPr>
                  <w:tcW w:type="dxa" w:w="1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167mm(L)*240mm(H)，证书样式为本式，分别由封面、封底、封二、封三及内页构成，其中封皮材料为环保型封面包装材料，封二、封三以及内页纸张为单张纸。</w:t>
                  </w:r>
                </w:p>
              </w:tc>
            </w:tr>
          </w:tbl>
          <w:p>
            <w:pPr>
              <w:pStyle w:val="null3"/>
            </w:pPr>
            <w:r>
              <w:rPr>
                <w:rFonts w:ascii="仿宋_GB2312" w:hAnsi="仿宋_GB2312" w:cs="仿宋_GB2312" w:eastAsia="仿宋_GB2312"/>
                <w:b/>
              </w:rPr>
              <w:t>印刷技术标准要求：</w:t>
            </w:r>
          </w:p>
          <w:p>
            <w:pPr>
              <w:pStyle w:val="null3"/>
              <w:ind w:firstLine="400"/>
            </w:pPr>
            <w:r>
              <w:rPr>
                <w:rFonts w:ascii="仿宋_GB2312" w:hAnsi="仿宋_GB2312" w:cs="仿宋_GB2312" w:eastAsia="仿宋_GB2312"/>
              </w:rPr>
              <w:t>1、平版印刷环保要求</w:t>
            </w:r>
          </w:p>
          <w:p>
            <w:pPr>
              <w:pStyle w:val="null3"/>
              <w:ind w:firstLine="400"/>
            </w:pPr>
            <w:r>
              <w:rPr>
                <w:rFonts w:ascii="仿宋_GB2312" w:hAnsi="仿宋_GB2312" w:cs="仿宋_GB2312" w:eastAsia="仿宋_GB2312"/>
              </w:rPr>
              <w:t>本项目所有平版印刷相关工艺及产品环保指标，须严格符合</w:t>
            </w:r>
            <w:r>
              <w:rPr>
                <w:rFonts w:ascii="仿宋_GB2312" w:hAnsi="仿宋_GB2312" w:cs="仿宋_GB2312" w:eastAsia="仿宋_GB2312"/>
              </w:rPr>
              <w:t>HJ2503-2011《环境标志产品技术要求印刷第一部分：平版印刷》国家环境保护标准全部规定。</w:t>
            </w:r>
          </w:p>
          <w:p>
            <w:pPr>
              <w:pStyle w:val="null3"/>
              <w:ind w:firstLine="400"/>
            </w:pPr>
            <w:r>
              <w:rPr>
                <w:rFonts w:ascii="仿宋_GB2312" w:hAnsi="仿宋_GB2312" w:cs="仿宋_GB2312" w:eastAsia="仿宋_GB2312"/>
              </w:rPr>
              <w:t>2、平版印刷质量要求</w:t>
            </w:r>
          </w:p>
          <w:p>
            <w:pPr>
              <w:pStyle w:val="null3"/>
              <w:ind w:firstLine="400"/>
            </w:pPr>
            <w:r>
              <w:rPr>
                <w:rFonts w:ascii="仿宋_GB2312" w:hAnsi="仿宋_GB2312" w:cs="仿宋_GB2312" w:eastAsia="仿宋_GB2312"/>
              </w:rPr>
              <w:t>本项目平版装潢印刷品质量，须达到</w:t>
            </w:r>
            <w:r>
              <w:rPr>
                <w:rFonts w:ascii="仿宋_GB2312" w:hAnsi="仿宋_GB2312" w:cs="仿宋_GB2312" w:eastAsia="仿宋_GB2312"/>
              </w:rPr>
              <w:t>GB/T7705-2008《平版装潢印刷品》标准中精细产品等级全部技术要求。</w:t>
            </w:r>
          </w:p>
          <w:p>
            <w:pPr>
              <w:pStyle w:val="null3"/>
              <w:ind w:firstLine="400"/>
            </w:pPr>
            <w:r>
              <w:rPr>
                <w:rFonts w:ascii="仿宋_GB2312" w:hAnsi="仿宋_GB2312" w:cs="仿宋_GB2312" w:eastAsia="仿宋_GB2312"/>
              </w:rPr>
              <w:t>3、防伪技术质量通用要求</w:t>
            </w:r>
          </w:p>
          <w:p>
            <w:pPr>
              <w:pStyle w:val="null3"/>
              <w:ind w:firstLine="400"/>
            </w:pPr>
            <w:r>
              <w:rPr>
                <w:rFonts w:ascii="仿宋_GB2312" w:hAnsi="仿宋_GB2312" w:cs="仿宋_GB2312" w:eastAsia="仿宋_GB2312"/>
              </w:rPr>
              <w:t>本项目所有涉及防伪技术、防伪标识、全息防伪、防伪材料等相关产品及工艺，均须满足下列国家标准最高等级</w:t>
            </w:r>
            <w:r>
              <w:rPr>
                <w:rFonts w:ascii="仿宋_GB2312" w:hAnsi="仿宋_GB2312" w:cs="仿宋_GB2312" w:eastAsia="仿宋_GB2312"/>
              </w:rPr>
              <w:t>(一级/A级)技术要求：</w:t>
            </w:r>
          </w:p>
          <w:p>
            <w:pPr>
              <w:pStyle w:val="null3"/>
              <w:ind w:firstLine="400"/>
            </w:pPr>
            <w:r>
              <w:rPr>
                <w:rFonts w:ascii="仿宋_GB2312" w:hAnsi="仿宋_GB2312" w:cs="仿宋_GB2312" w:eastAsia="仿宋_GB2312"/>
              </w:rPr>
              <w:t>(1)GB/T19425-2024《防伪技术产品通用技术条件》；</w:t>
            </w:r>
          </w:p>
          <w:p>
            <w:pPr>
              <w:pStyle w:val="null3"/>
              <w:ind w:firstLine="400"/>
            </w:pPr>
            <w:r>
              <w:rPr>
                <w:rFonts w:ascii="仿宋_GB2312" w:hAnsi="仿宋_GB2312" w:cs="仿宋_GB2312" w:eastAsia="仿宋_GB2312"/>
              </w:rPr>
              <w:t>(2)GB/T22258-2008《防伪标识通用技术条件》；</w:t>
            </w:r>
          </w:p>
          <w:p>
            <w:pPr>
              <w:pStyle w:val="null3"/>
              <w:ind w:firstLine="400"/>
            </w:pPr>
            <w:r>
              <w:rPr>
                <w:rFonts w:ascii="仿宋_GB2312" w:hAnsi="仿宋_GB2312" w:cs="仿宋_GB2312" w:eastAsia="仿宋_GB2312"/>
              </w:rPr>
              <w:t>4、平版印刷质量要求</w:t>
            </w:r>
          </w:p>
          <w:p>
            <w:pPr>
              <w:pStyle w:val="null3"/>
              <w:ind w:firstLine="400"/>
            </w:pPr>
            <w:r>
              <w:rPr>
                <w:rFonts w:ascii="仿宋_GB2312" w:hAnsi="仿宋_GB2312" w:cs="仿宋_GB2312" w:eastAsia="仿宋_GB2312"/>
              </w:rPr>
              <w:t>本项目平版装潢印刷品质量，须达到</w:t>
            </w:r>
            <w:r>
              <w:rPr>
                <w:rFonts w:ascii="仿宋_GB2312" w:hAnsi="仿宋_GB2312" w:cs="仿宋_GB2312" w:eastAsia="仿宋_GB2312"/>
              </w:rPr>
              <w:t>GB/T7705-2008《平版装潢印刷品》标准中精细产品等级全部技术要求。</w:t>
            </w:r>
          </w:p>
          <w:p>
            <w:pPr>
              <w:pStyle w:val="null3"/>
              <w:ind w:firstLine="400"/>
            </w:pPr>
            <w:r>
              <w:rPr>
                <w:rFonts w:ascii="仿宋_GB2312" w:hAnsi="仿宋_GB2312" w:cs="仿宋_GB2312" w:eastAsia="仿宋_GB2312"/>
              </w:rPr>
              <w:t>5、防伪技术质量通用要求</w:t>
            </w:r>
          </w:p>
          <w:p>
            <w:pPr>
              <w:pStyle w:val="null3"/>
              <w:ind w:firstLine="400"/>
            </w:pPr>
            <w:r>
              <w:rPr>
                <w:rFonts w:ascii="仿宋_GB2312" w:hAnsi="仿宋_GB2312" w:cs="仿宋_GB2312" w:eastAsia="仿宋_GB2312"/>
              </w:rPr>
              <w:t>本项目所有涉及防伪技术、防伪标识、全息防伪、防伪材料等相关产品及工艺，均须满足下列国家标准最高等级</w:t>
            </w:r>
            <w:r>
              <w:rPr>
                <w:rFonts w:ascii="仿宋_GB2312" w:hAnsi="仿宋_GB2312" w:cs="仿宋_GB2312" w:eastAsia="仿宋_GB2312"/>
              </w:rPr>
              <w:t>(一级/A级)技术要求：</w:t>
            </w:r>
          </w:p>
          <w:p>
            <w:pPr>
              <w:pStyle w:val="null3"/>
              <w:ind w:firstLine="400"/>
            </w:pPr>
            <w:r>
              <w:rPr>
                <w:rFonts w:ascii="仿宋_GB2312" w:hAnsi="仿宋_GB2312" w:cs="仿宋_GB2312" w:eastAsia="仿宋_GB2312"/>
              </w:rPr>
              <w:t>(1)GB/T19425-2024《防伪技术产品通用技术条件》；</w:t>
            </w:r>
          </w:p>
          <w:p>
            <w:pPr>
              <w:pStyle w:val="null3"/>
              <w:ind w:firstLine="400"/>
            </w:pPr>
            <w:r>
              <w:rPr>
                <w:rFonts w:ascii="仿宋_GB2312" w:hAnsi="仿宋_GB2312" w:cs="仿宋_GB2312" w:eastAsia="仿宋_GB2312"/>
              </w:rPr>
              <w:t>(2)GB/T22258-2008《防伪标识通用技术条件》；</w:t>
            </w:r>
          </w:p>
          <w:p>
            <w:pPr>
              <w:pStyle w:val="null3"/>
              <w:ind w:firstLine="400"/>
            </w:pPr>
            <w:r>
              <w:rPr>
                <w:rFonts w:ascii="仿宋_GB2312" w:hAnsi="仿宋_GB2312" w:cs="仿宋_GB2312" w:eastAsia="仿宋_GB2312"/>
              </w:rPr>
              <w:t>6、印刷颜色测量与控制要求</w:t>
            </w:r>
          </w:p>
          <w:p>
            <w:pPr>
              <w:pStyle w:val="null3"/>
              <w:ind w:firstLine="400"/>
            </w:pPr>
            <w:r>
              <w:rPr>
                <w:rFonts w:ascii="仿宋_GB2312" w:hAnsi="仿宋_GB2312" w:cs="仿宋_GB2312" w:eastAsia="仿宋_GB2312"/>
              </w:rPr>
              <w:t>本项目印刷图像光谱测量、色度计算及色彩全过程控制，执行</w:t>
            </w:r>
            <w:r>
              <w:rPr>
                <w:rFonts w:ascii="仿宋_GB2312" w:hAnsi="仿宋_GB2312" w:cs="仿宋_GB2312" w:eastAsia="仿宋_GB2312"/>
              </w:rPr>
              <w:t>GB/T19437-2004/IS0 13655：1996《印刷技术印刷图像的光谱测量和色度计算》标准规定。</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具体采购数量和供货周期由采购人下发每批次印制任务书确定</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供应商分期供货，按照实际供货情况进行结算；最后一批供货完成后，配合采购人对全年供应的产权证书及证明进行验收，验收通过后，按照实际情况予以结算，供应商需向采购人提供每次费用结算的合法有效发票，达到付款条件起10个工作日内，支付合同总金额的100.0%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严格按照本项目单一来源协商文件、响应文件、协商过程文件、采购合同及附件文本、合同签订时国家及行业现行的标准和技术规范以及与本项目验收有关的其他文件验收。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不动产权证书及不动产登记证明质保期为十年。1、在货物最终验收后的3年内免费保换。因由于设计、工艺或材料的缺陷而发生的任何不足或故障负责，费用由成交供应商负担。2、对不符合质量标准的产品，采购人可以要求作废并销毁，成交供应商将根据相关销毁产品的规章制度，在采购人的监督下进行销毁，并为采购人重新印制或补印。4、对达不到合同规格及质量要求的货物，成交供应商在收到书面通知后，根据采购人的管理要求及时免费更换有缺陷的货物。5、免费提供每周7×24小时不间断的电话支持服务，解答用户在使用过程中遇到的问题，及时提出解决问题的建议和对策。</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民法典》中的相关条款执行。(二)未按合同要求提供不动产权证书及不动产登记证明或不动产权证书及不动产登记证明质量不能满足合同要求，采购人应当将成交供应商违约的情况以及拟采取的措施以书面形式报政府采购监管部门，根据政府采购监管部门的处理意见，采购人有权依据《民法典》有关条款及合同约定终止合同，并要求成交供应商承担违约责任。同时，政府采购监管部门有权依据《政府采购法》及相关法律法规对成交供应商的违法行为进行相应的处罚。(三)成交供应商交货超出印制任务书确定期限的，每日按合同总价款的 1 ‰向采购人偿付违约金。</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服务要求：⑴供应商应严格按照自然资源部、陕西省自然资源厅对证书和证明监制的相关要求制定印刷证书和证明。⑵供应商接到采购人下发的印制任务书后，及时开展印制工作，按时将证书及证明送货至采购人指定地点。 3.5.2成交供应商在成交结果公告后3日内将3份与上传响应文件一致的纸质版响应文件递交代理机构。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供应商须具备合格有效的《印刷经营许可证》。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提供递交响应文件截止之日前一年内任意一个月的社会保障资金缴存单据或社保机构开具的社会保险参保缴费情况证明。依法不需要缴纳社会保障资金的供应商应提供相关声明或承诺。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参加投标的，须提供法定代表人（主要负责人）身份证明；法定代表人（主要负责人）授权他人参加投标的，须提供法定代表人（主要负责人）授权委托书。采购文件中凡是需要法定代表人盖章之处，非法人单位的负责人均参照执行。 法人的分支机构参与投标时，除提供《法定代表人（主要负责人）授权委托书》外，还须同时提供法人给分支机构出具的授权书。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供应商按照单一来源采购文件要求上传响应文件，完全理解并接受法律法规和采购文件对供应商合法经营的各类规约和责任义务要求，没有出现法律法规或采购文件规定的其他无效情形。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中小企业声明函 商务应答表 报价表 资格证明文件.docx 供应商承诺书.docx 响应文件封面 产品技术参数表 分项报价表.docx 合同文本条款响应.docx 残疾人福利性单位声明函 标的清单 项目实施方案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同时满足以下条款：（1）货币单位符合单一来源采购文件要求 ；（2）报价符合唯一性要求； （3）未超出采购预算或最高限价 ；（4）符合《报价表》、《标的清单》及《分项报价表》的填报要求</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完全理解并接受对合格供应商、合格的货物、工程或服务要求，结合单一来源采购文件第二章“供应商须知”及第三章“采购项目技术、服务、商务及其他要求”的实质性要求且没有实质性负偏离。</w:t>
            </w:r>
          </w:p>
        </w:tc>
        <w:tc>
          <w:tcPr>
            <w:tcW w:type="dxa" w:w="1661"/>
          </w:tcPr>
          <w:p>
            <w:pPr>
              <w:pStyle w:val="null3"/>
            </w:pPr>
            <w:r>
              <w:rPr>
                <w:rFonts w:ascii="仿宋_GB2312" w:hAnsi="仿宋_GB2312" w:cs="仿宋_GB2312" w:eastAsia="仿宋_GB2312"/>
              </w:rPr>
              <w:t>产品技术参数表 商务应答表 项目实施方案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协商小组认为供应商报价明显过低，有可能影响产品质量或者不能诚信履约的，协商小组应当要求其在合理的时间内在项目电子化交易系统中上传说明材料，必要时提交相关证明材料。供应商提交的相关证明材料，应当加盖供应商（法定名称）电子印章，在协商小组要求的时间内通过项目电子化交易系统进行提交，否则提交的相关证明材料无效。供应商不能证明其报价合理性的，协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完全理解并接受磋商文件《合同文本》条款的要求，且未有采购人不能接受的附加条件的。</w:t>
            </w:r>
          </w:p>
        </w:tc>
        <w:tc>
          <w:tcPr>
            <w:tcW w:type="dxa" w:w="1661"/>
          </w:tcPr>
          <w:p>
            <w:pPr>
              <w:pStyle w:val="null3"/>
            </w:pPr>
            <w:r>
              <w:rPr>
                <w:rFonts w:ascii="仿宋_GB2312" w:hAnsi="仿宋_GB2312" w:cs="仿宋_GB2312" w:eastAsia="仿宋_GB2312"/>
              </w:rPr>
              <w:t>合同文本条款响应.docx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详见附件：合同文本条款响应.docx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详见附件：供货合同.docx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