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6B00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仿宋_GB18030" w:hAnsi="方正仿宋_GB18030" w:eastAsia="方正仿宋_GB18030" w:cs="方正仿宋_GB18030"/>
          <w:b/>
          <w:bCs/>
          <w:color w:val="auto"/>
          <w:sz w:val="40"/>
          <w:szCs w:val="40"/>
        </w:rPr>
      </w:pPr>
      <w:r>
        <w:rPr>
          <w:rFonts w:hint="eastAsia" w:ascii="方正仿宋_GB18030" w:hAnsi="方正仿宋_GB18030" w:eastAsia="方正仿宋_GB18030" w:cs="方正仿宋_GB18030"/>
          <w:b/>
          <w:bCs/>
          <w:color w:val="auto"/>
          <w:sz w:val="40"/>
          <w:szCs w:val="40"/>
        </w:rPr>
        <w:t>供货合同</w:t>
      </w:r>
    </w:p>
    <w:p w14:paraId="3A906D89">
      <w:pPr>
        <w:keepNext w:val="0"/>
        <w:keepLines w:val="0"/>
        <w:pageBreakBefore w:val="0"/>
        <w:widowControl w:val="0"/>
        <w:kinsoku/>
        <w:wordWrap/>
        <w:overflowPunct/>
        <w:topLinePunct w:val="0"/>
        <w:autoSpaceDE/>
        <w:autoSpaceDN/>
        <w:bidi w:val="0"/>
        <w:adjustRightInd/>
        <w:snapToGrid/>
        <w:spacing w:line="400" w:lineRule="exact"/>
        <w:ind w:left="0" w:leftChars="0" w:firstLine="559" w:firstLineChars="233"/>
        <w:textAlignment w:val="auto"/>
        <w:rPr>
          <w:rFonts w:hint="eastAsia" w:ascii="方正仿宋_GB18030" w:hAnsi="方正仿宋_GB18030" w:eastAsia="方正仿宋_GB18030" w:cs="方正仿宋_GB18030"/>
          <w:color w:val="auto"/>
          <w:sz w:val="24"/>
          <w:szCs w:val="24"/>
        </w:rPr>
      </w:pPr>
    </w:p>
    <w:p w14:paraId="03EE753C">
      <w:pPr>
        <w:keepNext w:val="0"/>
        <w:keepLines w:val="0"/>
        <w:pageBreakBefore w:val="0"/>
        <w:widowControl w:val="0"/>
        <w:kinsoku/>
        <w:wordWrap/>
        <w:overflowPunct/>
        <w:topLinePunct w:val="0"/>
        <w:autoSpaceDE/>
        <w:autoSpaceDN/>
        <w:bidi w:val="0"/>
        <w:adjustRightInd/>
        <w:snapToGrid/>
        <w:spacing w:line="400" w:lineRule="exact"/>
        <w:ind w:left="0" w:leftChars="0" w:firstLine="559" w:firstLineChars="233"/>
        <w:textAlignment w:val="auto"/>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甲方</w:t>
      </w:r>
      <w:r>
        <w:rPr>
          <w:rFonts w:hint="eastAsia" w:ascii="方正仿宋_GB18030" w:hAnsi="方正仿宋_GB18030" w:eastAsia="方正仿宋_GB18030" w:cs="方正仿宋_GB18030"/>
          <w:color w:val="auto"/>
          <w:sz w:val="24"/>
          <w:szCs w:val="24"/>
          <w:lang w:eastAsia="zh-CN"/>
        </w:rPr>
        <w:t>：</w:t>
      </w:r>
      <w:r>
        <w:rPr>
          <w:rFonts w:hint="eastAsia" w:ascii="方正仿宋_GB18030" w:hAnsi="方正仿宋_GB18030" w:eastAsia="方正仿宋_GB18030" w:cs="方正仿宋_GB18030"/>
          <w:color w:val="auto"/>
          <w:sz w:val="24"/>
          <w:szCs w:val="24"/>
          <w:u w:val="single"/>
        </w:rPr>
        <w:t>西安市不动产登记服务中心</w:t>
      </w:r>
      <w:r>
        <w:rPr>
          <w:rFonts w:hint="eastAsia" w:ascii="方正仿宋_GB18030" w:hAnsi="方正仿宋_GB18030" w:eastAsia="方正仿宋_GB18030" w:cs="方正仿宋_GB18030"/>
          <w:color w:val="auto"/>
          <w:sz w:val="24"/>
          <w:szCs w:val="24"/>
        </w:rPr>
        <w:t>(采购人)</w:t>
      </w:r>
    </w:p>
    <w:p w14:paraId="2D9171FA">
      <w:pPr>
        <w:keepNext w:val="0"/>
        <w:keepLines w:val="0"/>
        <w:pageBreakBefore w:val="0"/>
        <w:widowControl w:val="0"/>
        <w:kinsoku/>
        <w:wordWrap/>
        <w:overflowPunct/>
        <w:topLinePunct w:val="0"/>
        <w:autoSpaceDE/>
        <w:autoSpaceDN/>
        <w:bidi w:val="0"/>
        <w:adjustRightInd/>
        <w:snapToGrid/>
        <w:spacing w:line="400" w:lineRule="exact"/>
        <w:ind w:left="0" w:leftChars="0" w:firstLine="559" w:firstLineChars="233"/>
        <w:textAlignment w:val="auto"/>
        <w:rPr>
          <w:rFonts w:hint="eastAsia" w:ascii="方正仿宋_GB18030" w:hAnsi="方正仿宋_GB18030" w:eastAsia="方正仿宋_GB18030" w:cs="方正仿宋_GB18030"/>
          <w:color w:val="auto"/>
          <w:sz w:val="24"/>
          <w:szCs w:val="24"/>
          <w:lang w:val="en-US" w:eastAsia="zh-CN"/>
        </w:rPr>
      </w:pPr>
      <w:r>
        <w:rPr>
          <w:rFonts w:hint="eastAsia" w:ascii="方正仿宋_GB18030" w:hAnsi="方正仿宋_GB18030" w:eastAsia="方正仿宋_GB18030" w:cs="方正仿宋_GB18030"/>
          <w:color w:val="auto"/>
          <w:sz w:val="24"/>
          <w:szCs w:val="24"/>
        </w:rPr>
        <w:t>乙方</w:t>
      </w:r>
      <w:r>
        <w:rPr>
          <w:rFonts w:hint="eastAsia" w:ascii="方正仿宋_GB18030" w:hAnsi="方正仿宋_GB18030" w:eastAsia="方正仿宋_GB18030" w:cs="方正仿宋_GB18030"/>
          <w:color w:val="auto"/>
          <w:sz w:val="24"/>
          <w:szCs w:val="24"/>
          <w:lang w:eastAsia="zh-CN"/>
        </w:rPr>
        <w:t>：</w:t>
      </w:r>
      <w:r>
        <w:rPr>
          <w:rFonts w:hint="eastAsia" w:ascii="方正仿宋_GB18030" w:hAnsi="方正仿宋_GB18030" w:eastAsia="方正仿宋_GB18030" w:cs="方正仿宋_GB18030"/>
          <w:color w:val="auto"/>
          <w:sz w:val="24"/>
          <w:szCs w:val="24"/>
          <w:u w:val="single"/>
          <w:lang w:val="en-US" w:eastAsia="zh-CN"/>
        </w:rPr>
        <w:t xml:space="preserve">                        </w:t>
      </w:r>
      <w:r>
        <w:rPr>
          <w:rFonts w:hint="eastAsia" w:ascii="方正仿宋_GB18030" w:hAnsi="方正仿宋_GB18030" w:eastAsia="方正仿宋_GB18030" w:cs="方正仿宋_GB18030"/>
          <w:color w:val="auto"/>
          <w:sz w:val="24"/>
          <w:szCs w:val="24"/>
        </w:rPr>
        <w:t>(</w:t>
      </w:r>
      <w:r>
        <w:rPr>
          <w:rFonts w:hint="eastAsia" w:ascii="方正仿宋_GB18030" w:hAnsi="方正仿宋_GB18030" w:eastAsia="方正仿宋_GB18030" w:cs="方正仿宋_GB18030"/>
          <w:color w:val="auto"/>
          <w:sz w:val="24"/>
          <w:szCs w:val="24"/>
          <w:lang w:val="en-US" w:eastAsia="zh-CN"/>
        </w:rPr>
        <w:t>成交</w:t>
      </w:r>
      <w:r>
        <w:rPr>
          <w:rFonts w:hint="eastAsia" w:ascii="方正仿宋_GB18030" w:hAnsi="方正仿宋_GB18030" w:eastAsia="方正仿宋_GB18030" w:cs="方正仿宋_GB18030"/>
          <w:color w:val="auto"/>
          <w:sz w:val="24"/>
          <w:szCs w:val="24"/>
        </w:rPr>
        <w:t>供应商)</w:t>
      </w:r>
    </w:p>
    <w:p w14:paraId="25F6CD4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方正仿宋_GB18030" w:hAnsi="方正仿宋_GB18030" w:eastAsia="方正仿宋_GB18030" w:cs="方正仿宋_GB18030"/>
          <w:color w:val="auto"/>
          <w:sz w:val="24"/>
          <w:szCs w:val="24"/>
        </w:rPr>
      </w:pPr>
    </w:p>
    <w:p w14:paraId="4ED57A7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按照政府采购程序组织单一来源采购，</w:t>
      </w:r>
      <w:r>
        <w:rPr>
          <w:rFonts w:hint="eastAsia" w:ascii="方正仿宋_GB18030" w:hAnsi="方正仿宋_GB18030" w:eastAsia="方正仿宋_GB18030" w:cs="方正仿宋_GB18030"/>
          <w:color w:val="auto"/>
          <w:sz w:val="24"/>
          <w:szCs w:val="24"/>
          <w:u w:val="none"/>
        </w:rPr>
        <w:t>确定</w:t>
      </w:r>
      <w:r>
        <w:rPr>
          <w:rFonts w:hint="eastAsia" w:ascii="方正仿宋_GB18030" w:hAnsi="方正仿宋_GB18030" w:eastAsia="方正仿宋_GB18030" w:cs="方正仿宋_GB18030"/>
          <w:color w:val="auto"/>
          <w:sz w:val="24"/>
          <w:szCs w:val="24"/>
          <w:u w:val="none"/>
          <w:lang w:val="en-US" w:eastAsia="zh-CN"/>
        </w:rPr>
        <w:t>乙方</w:t>
      </w:r>
      <w:r>
        <w:rPr>
          <w:rFonts w:hint="eastAsia" w:ascii="方正仿宋_GB18030" w:hAnsi="方正仿宋_GB18030" w:eastAsia="方正仿宋_GB18030" w:cs="方正仿宋_GB18030"/>
          <w:color w:val="auto"/>
          <w:sz w:val="24"/>
          <w:szCs w:val="24"/>
        </w:rPr>
        <w:t>为2026年度不动产权证书及证明采购项目(项目编号</w:t>
      </w:r>
      <w:r>
        <w:rPr>
          <w:rFonts w:hint="eastAsia" w:ascii="方正仿宋_GB18030" w:hAnsi="方正仿宋_GB18030" w:eastAsia="方正仿宋_GB18030" w:cs="方正仿宋_GB18030"/>
          <w:color w:val="auto"/>
          <w:sz w:val="24"/>
          <w:szCs w:val="24"/>
          <w:lang w:eastAsia="zh-CN"/>
        </w:rPr>
        <w:t>：</w:t>
      </w:r>
      <w:r>
        <w:rPr>
          <w:rFonts w:hint="eastAsia" w:ascii="方正仿宋_GB18030" w:hAnsi="方正仿宋_GB18030" w:eastAsia="方正仿宋_GB18030" w:cs="方正仿宋_GB18030"/>
          <w:color w:val="auto"/>
          <w:sz w:val="24"/>
          <w:szCs w:val="24"/>
        </w:rPr>
        <w:t>GZH-ZB-202606014)成交供应商。依据《中华人民共和国政</w:t>
      </w:r>
      <w:bookmarkStart w:id="0" w:name="_GoBack"/>
      <w:bookmarkEnd w:id="0"/>
      <w:r>
        <w:rPr>
          <w:rFonts w:hint="eastAsia" w:ascii="方正仿宋_GB18030" w:hAnsi="方正仿宋_GB18030" w:eastAsia="方正仿宋_GB18030" w:cs="方正仿宋_GB18030"/>
          <w:color w:val="auto"/>
          <w:sz w:val="24"/>
          <w:szCs w:val="24"/>
        </w:rPr>
        <w:t>府采购法》、《中华人民共和国民法典》以及单一来源采购文件、成交通知书，经甲、乙双方协商，达成如下合同条款。</w:t>
      </w:r>
    </w:p>
    <w:p w14:paraId="4FFE56E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一、合同标的物内容及数量(以单一来源采购响应文件正本和澄清表(函)</w:t>
      </w:r>
    </w:p>
    <w:tbl>
      <w:tblPr>
        <w:tblStyle w:val="1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1304"/>
        <w:gridCol w:w="3961"/>
        <w:gridCol w:w="634"/>
        <w:gridCol w:w="888"/>
        <w:gridCol w:w="1005"/>
        <w:gridCol w:w="878"/>
      </w:tblGrid>
      <w:tr w14:paraId="03A3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760A2745">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序号</w:t>
            </w:r>
          </w:p>
        </w:tc>
        <w:tc>
          <w:tcPr>
            <w:tcW w:w="711" w:type="pct"/>
            <w:vAlign w:val="center"/>
          </w:tcPr>
          <w:p w14:paraId="4036148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名称</w:t>
            </w:r>
          </w:p>
        </w:tc>
        <w:tc>
          <w:tcPr>
            <w:tcW w:w="2160" w:type="pct"/>
            <w:vAlign w:val="center"/>
          </w:tcPr>
          <w:p w14:paraId="2628623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规格</w:t>
            </w:r>
          </w:p>
        </w:tc>
        <w:tc>
          <w:tcPr>
            <w:tcW w:w="346" w:type="pct"/>
            <w:shd w:val="clear" w:color="auto" w:fill="auto"/>
            <w:vAlign w:val="center"/>
          </w:tcPr>
          <w:p w14:paraId="4D3B24E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单位</w:t>
            </w:r>
          </w:p>
        </w:tc>
        <w:tc>
          <w:tcPr>
            <w:tcW w:w="484" w:type="pct"/>
            <w:shd w:val="clear" w:color="auto" w:fill="auto"/>
            <w:vAlign w:val="center"/>
          </w:tcPr>
          <w:p w14:paraId="5D04DA55">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数量</w:t>
            </w:r>
          </w:p>
        </w:tc>
        <w:tc>
          <w:tcPr>
            <w:tcW w:w="548" w:type="pct"/>
            <w:vAlign w:val="center"/>
          </w:tcPr>
          <w:p w14:paraId="713C9814">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单价（元）</w:t>
            </w:r>
          </w:p>
        </w:tc>
        <w:tc>
          <w:tcPr>
            <w:tcW w:w="476" w:type="pct"/>
            <w:vAlign w:val="center"/>
          </w:tcPr>
          <w:p w14:paraId="171A1EE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b/>
                <w:bCs/>
                <w:color w:val="auto"/>
                <w:vertAlign w:val="baseline"/>
                <w:lang w:val="en-US" w:eastAsia="zh-CN"/>
              </w:rPr>
            </w:pPr>
            <w:r>
              <w:rPr>
                <w:rFonts w:hint="eastAsia" w:ascii="方正仿宋_GB18030" w:hAnsi="方正仿宋_GB18030" w:eastAsia="方正仿宋_GB18030" w:cs="方正仿宋_GB18030"/>
                <w:b/>
                <w:bCs/>
                <w:color w:val="auto"/>
                <w:vertAlign w:val="baseline"/>
                <w:lang w:val="en-US" w:eastAsia="zh-CN"/>
              </w:rPr>
              <w:t>合价（元）</w:t>
            </w:r>
          </w:p>
        </w:tc>
      </w:tr>
      <w:tr w14:paraId="761B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6306B49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1</w:t>
            </w:r>
          </w:p>
        </w:tc>
        <w:tc>
          <w:tcPr>
            <w:tcW w:w="711" w:type="pct"/>
            <w:vAlign w:val="center"/>
          </w:tcPr>
          <w:p w14:paraId="5D8FFC7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不动产权证书</w:t>
            </w:r>
          </w:p>
        </w:tc>
        <w:tc>
          <w:tcPr>
            <w:tcW w:w="2160" w:type="pct"/>
            <w:vAlign w:val="center"/>
          </w:tcPr>
          <w:p w14:paraId="27FD137E">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167mm(L)*240mm(H)，证书样式为本式，分别由封面、封底、封二、封三及内页构成，其中封皮材料为环保型封面包装材料，封二、封三以及内页纸张为单张纸。</w:t>
            </w:r>
          </w:p>
        </w:tc>
        <w:tc>
          <w:tcPr>
            <w:tcW w:w="346" w:type="pct"/>
            <w:shd w:val="clear" w:color="auto" w:fill="auto"/>
            <w:vAlign w:val="center"/>
          </w:tcPr>
          <w:p w14:paraId="5927B87C">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册</w:t>
            </w:r>
          </w:p>
        </w:tc>
        <w:tc>
          <w:tcPr>
            <w:tcW w:w="484" w:type="pct"/>
            <w:shd w:val="clear" w:color="auto" w:fill="auto"/>
            <w:vAlign w:val="center"/>
          </w:tcPr>
          <w:p w14:paraId="392B9453">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380000</w:t>
            </w:r>
          </w:p>
        </w:tc>
        <w:tc>
          <w:tcPr>
            <w:tcW w:w="548" w:type="pct"/>
            <w:vAlign w:val="center"/>
          </w:tcPr>
          <w:p w14:paraId="1FFF661E">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p>
        </w:tc>
        <w:tc>
          <w:tcPr>
            <w:tcW w:w="476" w:type="pct"/>
            <w:vAlign w:val="center"/>
          </w:tcPr>
          <w:p w14:paraId="71623B08">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p>
        </w:tc>
      </w:tr>
      <w:tr w14:paraId="4183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037B2F72">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2</w:t>
            </w:r>
          </w:p>
        </w:tc>
        <w:tc>
          <w:tcPr>
            <w:tcW w:w="711" w:type="pct"/>
            <w:vAlign w:val="center"/>
          </w:tcPr>
          <w:p w14:paraId="2A870D1C">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不动产权证明</w:t>
            </w:r>
          </w:p>
        </w:tc>
        <w:tc>
          <w:tcPr>
            <w:tcW w:w="2160" w:type="pct"/>
            <w:vAlign w:val="center"/>
          </w:tcPr>
          <w:p w14:paraId="1A00842B">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167mm(L)*240mm(H)，证书样式为本式，分别由封面、封底、封二、封三及内页构成，其中封皮材料为环保型封面包装材料，封二、封三以及内页纸张为单张纸。</w:t>
            </w:r>
          </w:p>
        </w:tc>
        <w:tc>
          <w:tcPr>
            <w:tcW w:w="346" w:type="pct"/>
            <w:shd w:val="clear" w:color="auto" w:fill="auto"/>
            <w:vAlign w:val="center"/>
          </w:tcPr>
          <w:p w14:paraId="409FE0B7">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份</w:t>
            </w:r>
          </w:p>
        </w:tc>
        <w:tc>
          <w:tcPr>
            <w:tcW w:w="484" w:type="pct"/>
            <w:shd w:val="clear" w:color="auto" w:fill="auto"/>
            <w:vAlign w:val="center"/>
          </w:tcPr>
          <w:p w14:paraId="2B2316A7">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218000</w:t>
            </w:r>
          </w:p>
        </w:tc>
        <w:tc>
          <w:tcPr>
            <w:tcW w:w="548" w:type="pct"/>
            <w:vAlign w:val="center"/>
          </w:tcPr>
          <w:p w14:paraId="7D00D848">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p>
        </w:tc>
        <w:tc>
          <w:tcPr>
            <w:tcW w:w="476" w:type="pct"/>
            <w:vAlign w:val="center"/>
          </w:tcPr>
          <w:p w14:paraId="228B9C47">
            <w:pPr>
              <w:pStyle w:val="18"/>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方正仿宋_GB18030" w:hAnsi="方正仿宋_GB18030" w:eastAsia="方正仿宋_GB18030" w:cs="方正仿宋_GB18030"/>
                <w:color w:val="auto"/>
                <w:vertAlign w:val="baseline"/>
                <w:lang w:val="en-US" w:eastAsia="zh-CN"/>
              </w:rPr>
            </w:pPr>
          </w:p>
        </w:tc>
      </w:tr>
      <w:tr w14:paraId="71F0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14:paraId="62CBA84F">
            <w:pPr>
              <w:pStyle w:val="18"/>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方正仿宋_GB18030" w:hAnsi="方正仿宋_GB18030" w:eastAsia="方正仿宋_GB18030" w:cs="方正仿宋_GB18030"/>
                <w:color w:val="auto"/>
                <w:u w:val="single"/>
                <w:vertAlign w:val="baseline"/>
                <w:lang w:val="en-US" w:eastAsia="zh-CN"/>
              </w:rPr>
            </w:pPr>
            <w:r>
              <w:rPr>
                <w:rFonts w:hint="eastAsia" w:ascii="方正仿宋_GB18030" w:hAnsi="方正仿宋_GB18030" w:eastAsia="方正仿宋_GB18030" w:cs="方正仿宋_GB18030"/>
                <w:color w:val="auto"/>
                <w:vertAlign w:val="baseline"/>
                <w:lang w:val="en-US" w:eastAsia="zh-CN"/>
              </w:rPr>
              <w:t>合计：（大写）：</w:t>
            </w:r>
            <w:r>
              <w:rPr>
                <w:rFonts w:hint="eastAsia" w:ascii="方正仿宋_GB18030" w:hAnsi="方正仿宋_GB18030" w:eastAsia="方正仿宋_GB18030" w:cs="方正仿宋_GB18030"/>
                <w:color w:val="auto"/>
                <w:u w:val="single"/>
                <w:vertAlign w:val="baseline"/>
                <w:lang w:val="en-US" w:eastAsia="zh-CN"/>
              </w:rPr>
              <w:t xml:space="preserve">                   </w:t>
            </w:r>
          </w:p>
          <w:p w14:paraId="56BB42A1">
            <w:pPr>
              <w:pStyle w:val="18"/>
              <w:keepNext w:val="0"/>
              <w:keepLines w:val="0"/>
              <w:pageBreakBefore w:val="0"/>
              <w:widowControl/>
              <w:kinsoku/>
              <w:wordWrap/>
              <w:overflowPunct/>
              <w:topLinePunct w:val="0"/>
              <w:autoSpaceDE/>
              <w:autoSpaceDN/>
              <w:bidi w:val="0"/>
              <w:adjustRightInd/>
              <w:snapToGrid/>
              <w:spacing w:line="320" w:lineRule="exact"/>
              <w:ind w:firstLine="600" w:firstLineChars="300"/>
              <w:jc w:val="both"/>
              <w:textAlignment w:val="auto"/>
              <w:rPr>
                <w:rFonts w:hint="eastAsia" w:ascii="方正仿宋_GB18030" w:hAnsi="方正仿宋_GB18030" w:eastAsia="方正仿宋_GB18030" w:cs="方正仿宋_GB18030"/>
                <w:color w:val="auto"/>
                <w:vertAlign w:val="baseline"/>
                <w:lang w:val="en-US" w:eastAsia="zh-CN"/>
              </w:rPr>
            </w:pPr>
            <w:r>
              <w:rPr>
                <w:rFonts w:hint="eastAsia" w:ascii="方正仿宋_GB18030" w:hAnsi="方正仿宋_GB18030" w:eastAsia="方正仿宋_GB18030" w:cs="方正仿宋_GB18030"/>
                <w:color w:val="auto"/>
                <w:vertAlign w:val="baseline"/>
                <w:lang w:val="en-US" w:eastAsia="zh-CN"/>
              </w:rPr>
              <w:t>（小写）：</w:t>
            </w:r>
            <w:r>
              <w:rPr>
                <w:rFonts w:hint="eastAsia" w:ascii="方正仿宋_GB18030" w:hAnsi="方正仿宋_GB18030" w:eastAsia="方正仿宋_GB18030" w:cs="方正仿宋_GB18030"/>
                <w:color w:val="auto"/>
                <w:u w:val="single"/>
                <w:vertAlign w:val="baseline"/>
                <w:lang w:val="en-US" w:eastAsia="zh-CN"/>
              </w:rPr>
              <w:t xml:space="preserve">                   </w:t>
            </w:r>
          </w:p>
        </w:tc>
      </w:tr>
    </w:tbl>
    <w:p w14:paraId="0C8A246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rPr>
      </w:pPr>
      <w:r>
        <w:rPr>
          <w:rFonts w:hint="eastAsia" w:ascii="方正仿宋_GB18030" w:hAnsi="方正仿宋_GB18030" w:eastAsia="方正仿宋_GB18030" w:cs="方正仿宋_GB18030"/>
          <w:b/>
          <w:bCs/>
          <w:color w:val="auto"/>
          <w:sz w:val="24"/>
          <w:szCs w:val="24"/>
        </w:rPr>
        <w:t>二、交货条件</w:t>
      </w:r>
    </w:p>
    <w:p w14:paraId="2A2E374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(一)交货地点</w:t>
      </w:r>
      <w:r>
        <w:rPr>
          <w:rFonts w:hint="eastAsia" w:ascii="方正仿宋_GB18030" w:hAnsi="方正仿宋_GB18030" w:eastAsia="方正仿宋_GB18030" w:cs="方正仿宋_GB18030"/>
          <w:color w:val="auto"/>
          <w:sz w:val="24"/>
          <w:szCs w:val="24"/>
          <w:lang w:eastAsia="zh-CN"/>
        </w:rPr>
        <w:t>：</w:t>
      </w:r>
      <w:r>
        <w:rPr>
          <w:rFonts w:hint="eastAsia" w:ascii="方正仿宋_GB18030" w:hAnsi="方正仿宋_GB18030" w:eastAsia="方正仿宋_GB18030" w:cs="方正仿宋_GB18030"/>
          <w:color w:val="auto"/>
          <w:sz w:val="24"/>
          <w:szCs w:val="24"/>
        </w:rPr>
        <w:t>采购人指定地点。</w:t>
      </w:r>
    </w:p>
    <w:p w14:paraId="27489FA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rPr>
      </w:pPr>
      <w:r>
        <w:rPr>
          <w:rFonts w:hint="eastAsia" w:ascii="方正仿宋_GB18030" w:hAnsi="方正仿宋_GB18030" w:eastAsia="方正仿宋_GB18030" w:cs="方正仿宋_GB18030"/>
          <w:color w:val="auto"/>
          <w:sz w:val="24"/>
          <w:szCs w:val="24"/>
        </w:rPr>
        <w:t>(二)交货周期</w:t>
      </w:r>
      <w:r>
        <w:rPr>
          <w:rFonts w:hint="eastAsia" w:ascii="方正仿宋_GB18030" w:hAnsi="方正仿宋_GB18030" w:eastAsia="方正仿宋_GB18030" w:cs="方正仿宋_GB18030"/>
          <w:color w:val="auto"/>
          <w:sz w:val="24"/>
          <w:szCs w:val="24"/>
          <w:lang w:eastAsia="zh-CN"/>
        </w:rPr>
        <w:t>：</w:t>
      </w:r>
      <w:r>
        <w:rPr>
          <w:rFonts w:hint="eastAsia" w:ascii="方正仿宋_GB18030" w:hAnsi="方正仿宋_GB18030" w:eastAsia="方正仿宋_GB18030" w:cs="方正仿宋_GB18030"/>
          <w:color w:val="auto"/>
          <w:sz w:val="24"/>
          <w:szCs w:val="24"/>
        </w:rPr>
        <w:t>具体采购数量和供货周期由采购人下发每批次印制任务书确定。</w:t>
      </w:r>
    </w:p>
    <w:p w14:paraId="53E6D2E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rPr>
      </w:pPr>
      <w:r>
        <w:rPr>
          <w:rFonts w:hint="eastAsia" w:ascii="方正仿宋_GB18030" w:hAnsi="方正仿宋_GB18030" w:eastAsia="方正仿宋_GB18030" w:cs="方正仿宋_GB18030"/>
          <w:b/>
          <w:bCs/>
          <w:color w:val="auto"/>
          <w:sz w:val="24"/>
          <w:szCs w:val="24"/>
        </w:rPr>
        <w:t>三、合同价款</w:t>
      </w:r>
    </w:p>
    <w:p w14:paraId="727481E6">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rPr>
        <w:t>(一)合同含税总价款为人民币(大写)</w:t>
      </w:r>
      <w:r>
        <w:rPr>
          <w:rFonts w:hint="eastAsia" w:ascii="方正仿宋_GB18030" w:hAnsi="方正仿宋_GB18030" w:eastAsia="方正仿宋_GB18030" w:cs="方正仿宋_GB18030"/>
          <w:color w:val="auto"/>
          <w:sz w:val="24"/>
          <w:szCs w:val="24"/>
          <w:u w:val="single"/>
          <w:lang w:val="en-US" w:eastAsia="zh-CN"/>
        </w:rPr>
        <w:t xml:space="preserve">                        </w:t>
      </w:r>
      <w:r>
        <w:rPr>
          <w:rFonts w:hint="eastAsia" w:ascii="方正仿宋_GB18030" w:hAnsi="方正仿宋_GB18030" w:eastAsia="方正仿宋_GB18030" w:cs="方正仿宋_GB18030"/>
          <w:color w:val="auto"/>
          <w:sz w:val="24"/>
          <w:szCs w:val="24"/>
          <w:u w:val="none"/>
          <w:lang w:val="en-US" w:eastAsia="zh-CN"/>
        </w:rPr>
        <w:t>（￥</w:t>
      </w:r>
      <w:r>
        <w:rPr>
          <w:rFonts w:hint="eastAsia" w:ascii="方正仿宋_GB18030" w:hAnsi="方正仿宋_GB18030" w:eastAsia="方正仿宋_GB18030" w:cs="方正仿宋_GB18030"/>
          <w:color w:val="auto"/>
          <w:sz w:val="24"/>
          <w:szCs w:val="24"/>
          <w:u w:val="single"/>
          <w:lang w:val="en-US" w:eastAsia="zh-CN"/>
        </w:rPr>
        <w:t xml:space="preserve">       </w:t>
      </w:r>
      <w:r>
        <w:rPr>
          <w:rFonts w:hint="eastAsia" w:ascii="方正仿宋_GB18030" w:hAnsi="方正仿宋_GB18030" w:eastAsia="方正仿宋_GB18030" w:cs="方正仿宋_GB18030"/>
          <w:color w:val="auto"/>
          <w:sz w:val="24"/>
          <w:szCs w:val="24"/>
          <w:u w:val="none"/>
          <w:lang w:val="en-US" w:eastAsia="zh-CN"/>
        </w:rPr>
        <w:t>）。</w:t>
      </w:r>
    </w:p>
    <w:p w14:paraId="553CBE9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(二)合同总价包括：包括但不限于制版费、印刷费、校对费、材料费、包装费、送货费和完成项目所需的全部费用。</w:t>
      </w:r>
    </w:p>
    <w:p w14:paraId="1ADD058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(三)合同总价一次性包死，不受市场价格变化因素的影响。</w:t>
      </w:r>
    </w:p>
    <w:p w14:paraId="438BD29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四、款项结算</w:t>
      </w:r>
    </w:p>
    <w:p w14:paraId="164373B8">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合同签订后，乙方分期供货，按照实际供货情况进行结算；最后一批供货完成后，配合甲方对全年供应的产权证书及证明进行验收，验收通过后，按照实际情况予以结算。乙方需向甲方提供每次费用结算的合法有效发票，甲方在收到发票后的10个工作日内，通过银行转账方式向供应商支付该批次费用。若供应商未按要求提供发票，采购人有权拒绝付款，且不承担逾期付款的违约责任。</w:t>
      </w:r>
    </w:p>
    <w:p w14:paraId="7F46197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(二)支付方式：银行转账。</w:t>
      </w:r>
    </w:p>
    <w:p w14:paraId="7C00512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(三)结算方式：乙方持成交通知书、供货合同、发票，与甲方结算。</w:t>
      </w:r>
    </w:p>
    <w:p w14:paraId="301238A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五、双方的权利和义务</w:t>
      </w:r>
    </w:p>
    <w:p w14:paraId="4A5F3C9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(一)甲方的权利和义务</w:t>
      </w:r>
    </w:p>
    <w:p w14:paraId="1DAA2F22">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1、采购人有权享有供应商按照合同约定提供的服务，并对供应商的服务有权提出监督、改正。</w:t>
      </w:r>
    </w:p>
    <w:p w14:paraId="45958385">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2、在服务实施过程中，采购人应为供应商提供必要的工作便利与指导，配合供应商履行职责。</w:t>
      </w:r>
    </w:p>
    <w:p w14:paraId="4D87B5A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3、按照合同约定，按时向供应商支付应付费用。</w:t>
      </w:r>
    </w:p>
    <w:p w14:paraId="6B8A5CF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(二)乙方的权利和义务</w:t>
      </w:r>
    </w:p>
    <w:p w14:paraId="241F2D7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1、按照约定履行合同内义务，并接受采购人的监督。</w:t>
      </w:r>
    </w:p>
    <w:p w14:paraId="30CEF0C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2、按照本合同的约定向采购人收取相关费用。</w:t>
      </w:r>
    </w:p>
    <w:p w14:paraId="641D013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3、在交货之前，供应商应就成品的品质作出准确和全面的检验，保证其产品不存在任何瑕疵。</w:t>
      </w:r>
    </w:p>
    <w:p w14:paraId="5C1D41FD">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六、质量保证</w:t>
      </w:r>
    </w:p>
    <w:p w14:paraId="289D9136">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保证所供不动产权证书及不动产登记证明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包括但不限于：</w:t>
      </w:r>
    </w:p>
    <w:p w14:paraId="2C13899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1.平版印刷环保要求</w:t>
      </w:r>
    </w:p>
    <w:p w14:paraId="54C0C33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本项目所有平版印刷相关工艺及产品环保指标，须严格符合HJ2503-2011《环境标志产品技术要求印刷第一部分：平版印刷》国家环境保护标准全部规定。</w:t>
      </w:r>
    </w:p>
    <w:p w14:paraId="0642183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2.平版印刷质量要求</w:t>
      </w:r>
    </w:p>
    <w:p w14:paraId="7779E54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本项目平版装潢印刷品质量，须达到GB/T7705-2008《平版装潢印刷品》标准中精细产品等级全部技术要求。</w:t>
      </w:r>
    </w:p>
    <w:p w14:paraId="24A606D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3.防伪技术质量通用要求</w:t>
      </w:r>
    </w:p>
    <w:p w14:paraId="27BB590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本项目所有涉及防伪技术、防伪标识、全息防伪、防伪材料等相关产品及工艺，均须满足下列国家标准最高等级(一级/A级)技术要求：</w:t>
      </w:r>
    </w:p>
    <w:p w14:paraId="690C32F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(1)GB/T19425-2024《防伪技术产品通用技术条件》；</w:t>
      </w:r>
    </w:p>
    <w:p w14:paraId="7FA282B8">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(2)GB/T22258-2008《防伪标识通用技术条件》；</w:t>
      </w:r>
    </w:p>
    <w:p w14:paraId="4A5A445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4.平版印刷质量要求</w:t>
      </w:r>
    </w:p>
    <w:p w14:paraId="04462294">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本项目平版装潢印刷品质量，须达到GB/T7705-2008《平版装潢印刷品》标准中精细产品等级全部技术要求。</w:t>
      </w:r>
    </w:p>
    <w:p w14:paraId="0A27076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5.防伪技术质量通用要求</w:t>
      </w:r>
    </w:p>
    <w:p w14:paraId="00E24EB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本项目所有涉及防伪技术、防伪标识、全息防伪、防伪材料等相关产品及工艺，均须满足下列国家标准最高等级(一级/A级)技术要求：</w:t>
      </w:r>
    </w:p>
    <w:p w14:paraId="07FA85B4">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(1)GB/T19425-2024《防伪技术产品通用技术条件》；</w:t>
      </w:r>
    </w:p>
    <w:p w14:paraId="4F3E5FAE">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(2)GB/T22258-2008《防伪标识通用技术条件》；</w:t>
      </w:r>
    </w:p>
    <w:p w14:paraId="05CFF5F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6.印刷颜色测量与控制要求</w:t>
      </w:r>
    </w:p>
    <w:p w14:paraId="176ADE9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本项目印刷图像光谱测量、色度计算及色彩全过程控制，执行GB/T19437-2004/IS0 13655：1996《印刷技术印刷图像的光谱测量和色度计算》标准规定。</w:t>
      </w:r>
    </w:p>
    <w:p w14:paraId="694DBD5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(二)保证所供不动产权证书及不动产登记证明技术指标先进、质量性能可靠、配置合理、进货渠道正规，全面满足单一来源采购文件要求，无假货、水货或翻新货，并能按期交付。</w:t>
      </w:r>
    </w:p>
    <w:p w14:paraId="30FCC4E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(三)保证所供不动产权证书及不动产登记证明在装卸、运输和仓储过程中有足够的包装保护，防止不动产权证书及不动产登记证明受潮、锈蚀、遭受冲撞及其他不可预见的损坏。</w:t>
      </w:r>
    </w:p>
    <w:p w14:paraId="5E059A9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(四)保证所供不动产权证书及不动产登记证明具有良好的外观，适合各种安装场所的使用要求，确保达到最佳运行状态。</w:t>
      </w:r>
    </w:p>
    <w:p w14:paraId="282A836F">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(五)乙方所供不动产权证书及不动产登记证明因侵权而产生的一切后果由乙方负责，甲方保留索赔权力。</w:t>
      </w:r>
    </w:p>
    <w:p w14:paraId="44A8CBE9">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七、包装和储运</w:t>
      </w:r>
    </w:p>
    <w:p w14:paraId="0D8547F9">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(一)不动产权证书及不动产登记证明的包装应为出厂时的原包装，包装内应附有详细的装箱清单、出厂合格证明及其他相关资料。</w:t>
      </w:r>
    </w:p>
    <w:p w14:paraId="33080B9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(二)运输由乙方负责，运杂费已包含在合同总价内，包括从不动产权证书及不动产登记证明供应地点运送至交付地点所含的运输费、装卸费、仓储费、保险费等。</w:t>
      </w:r>
    </w:p>
    <w:p w14:paraId="670729A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(三)运输方式由乙方自行选择，但必须保证按期交付。</w:t>
      </w:r>
    </w:p>
    <w:p w14:paraId="22F1A22C">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(四)不动产权证书及不动产登记证明到达甲方指定地点后，乙方应按有关技术规程和甲方要求进行存放和保管。</w:t>
      </w:r>
    </w:p>
    <w:p w14:paraId="2F3971F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八、验收</w:t>
      </w:r>
    </w:p>
    <w:p w14:paraId="305324A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(一)现场验收：不动产权证书及不动产登记证明及其备附件到达甲方指定地点后，甲方根据合同要求，在乙方和甲方相关负责人双方同时在场的情况下，进行外观验收，确认产地、规格、型号和数量。</w:t>
      </w:r>
    </w:p>
    <w:p w14:paraId="4434A818">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(二)验收依据</w:t>
      </w:r>
    </w:p>
    <w:p w14:paraId="0D198D38">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1、单一来源协商文件、响应文件、澄清表(函)；</w:t>
      </w:r>
    </w:p>
    <w:p w14:paraId="113784B2">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2、本合同及附件文本；</w:t>
      </w:r>
    </w:p>
    <w:p w14:paraId="764365FD">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3、合同签订时国家及行业现行的标准和技术规范。</w:t>
      </w:r>
    </w:p>
    <w:p w14:paraId="0BF8D7D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(三)乙方应向甲方提交项目实施过程中的所有资料，以便甲方日后管理和维护。</w:t>
      </w:r>
    </w:p>
    <w:p w14:paraId="175DFC3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(四)不动产权证书及不动产登记证明到达甲方指定地点后，乙方应按有关技术规程和甲方要求进行存放和保管。</w:t>
      </w:r>
    </w:p>
    <w:p w14:paraId="2A610ED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九、售后服务</w:t>
      </w:r>
    </w:p>
    <w:p w14:paraId="1FE39A9E">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乙方提供以下售后服务：</w:t>
      </w:r>
    </w:p>
    <w:p w14:paraId="66D09D8F">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(一)售后响应时间</w:t>
      </w:r>
    </w:p>
    <w:p w14:paraId="3754396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在接到采购人通知后，做到5分钟之内响应，1小时之内对于所涉及的问题反应和处理，必要情况24小时内到达客户地点，更换有缺陷的货物，若现场不能解决，最多不超过3日内将货物免费更换。</w:t>
      </w:r>
    </w:p>
    <w:p w14:paraId="61942305">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(二)质量保证期：不动产权证书及不动产登记证明质保期为十年。</w:t>
      </w:r>
    </w:p>
    <w:p w14:paraId="5BF290C2">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1、在货物最终验收后的3年内免费保换。因由于设计、工艺或材料的缺陷而发生的任何不足或故障负责，费用由乙方负担。</w:t>
      </w:r>
    </w:p>
    <w:p w14:paraId="77161A1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2、对不符合质量标准的产品，甲方可以要求作废并销毁，乙方将根据相关销毁产品的规章制度，在甲方的监督下进行销毁，并为甲方重新印制或补印。</w:t>
      </w:r>
    </w:p>
    <w:p w14:paraId="76A52F03">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4、对达不到合同规格及质量要求的货物，乙方在收到书面通知后，根据甲方的管理要求及时免费更换有缺陷的货物。</w:t>
      </w:r>
    </w:p>
    <w:p w14:paraId="70A3A66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5、免费提供每周7</w:t>
      </w:r>
      <w:r>
        <w:rPr>
          <w:rFonts w:hint="eastAsia" w:ascii="仿宋_GB2312" w:hAnsi="仿宋_GB2312" w:eastAsia="仿宋_GB2312" w:cs="仿宋_GB2312"/>
          <w:color w:val="auto"/>
          <w:lang w:val="en-US" w:eastAsia="zh-CN"/>
        </w:rPr>
        <w:t>×</w:t>
      </w:r>
      <w:r>
        <w:rPr>
          <w:rFonts w:hint="eastAsia" w:ascii="方正仿宋_GB18030" w:hAnsi="方正仿宋_GB18030" w:eastAsia="方正仿宋_GB18030" w:cs="方正仿宋_GB18030"/>
          <w:color w:val="auto"/>
          <w:sz w:val="24"/>
          <w:szCs w:val="24"/>
          <w:u w:val="none"/>
          <w:lang w:val="en-US" w:eastAsia="zh-CN"/>
        </w:rPr>
        <w:t>24小时不间断的电话支持服务，解答用户在使用过程中遇到的问题，及时提出解决问题的建议和对策。</w:t>
      </w:r>
    </w:p>
    <w:p w14:paraId="264E255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十、技术与服务</w:t>
      </w:r>
    </w:p>
    <w:p w14:paraId="2C8BB25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(一)技术资料</w:t>
      </w:r>
    </w:p>
    <w:p w14:paraId="313AD20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1、不动产权证书及不动产登记证明合格证；</w:t>
      </w:r>
    </w:p>
    <w:p w14:paraId="07528A00">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2、不动产权证书及不动产登记证明技术参数；</w:t>
      </w:r>
    </w:p>
    <w:p w14:paraId="455E6CB6">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3、不动产权证书及不动产登记证明使用维护说明书(中文)；</w:t>
      </w:r>
    </w:p>
    <w:p w14:paraId="270A1EB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4、其它资料。</w:t>
      </w:r>
    </w:p>
    <w:p w14:paraId="635CC9BF">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(二)服务承诺</w:t>
      </w:r>
    </w:p>
    <w:p w14:paraId="136B3129">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以单一来源采购响应文件、澄清表(函)、合同和随不动产权证书及不动产登记证明的相关文件为准。</w:t>
      </w:r>
    </w:p>
    <w:p w14:paraId="542F0BA1">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十一、违约责任</w:t>
      </w:r>
    </w:p>
    <w:p w14:paraId="5DE48F3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(一)按《民法典》中的相关条款执行。</w:t>
      </w:r>
    </w:p>
    <w:p w14:paraId="71F2B68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未按合同要求提供不动产权证书及不动产登记证明或不动产权证书及不动产登记证明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2D43ACCE">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(三)乙方交货超出印制任务书确定期限的，每日按合同总价款的</w:t>
      </w:r>
      <w:r>
        <w:rPr>
          <w:rFonts w:hint="eastAsia" w:ascii="方正仿宋_GB18030" w:hAnsi="方正仿宋_GB18030" w:eastAsia="方正仿宋_GB18030" w:cs="方正仿宋_GB18030"/>
          <w:color w:val="auto"/>
          <w:sz w:val="24"/>
          <w:szCs w:val="24"/>
          <w:u w:val="single"/>
          <w:lang w:val="en-US" w:eastAsia="zh-CN"/>
        </w:rPr>
        <w:t xml:space="preserve"> 1 </w:t>
      </w:r>
      <w:r>
        <w:rPr>
          <w:rFonts w:hint="eastAsia" w:ascii="方正仿宋_GB18030" w:hAnsi="方正仿宋_GB18030" w:eastAsia="方正仿宋_GB18030" w:cs="方正仿宋_GB18030"/>
          <w:color w:val="auto"/>
          <w:sz w:val="24"/>
          <w:szCs w:val="24"/>
          <w:u w:val="none"/>
          <w:lang w:val="en-US" w:eastAsia="zh-CN"/>
        </w:rPr>
        <w:t>‰向甲方偿付违约金。</w:t>
      </w:r>
    </w:p>
    <w:p w14:paraId="01D4423A">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十二、争议解决</w:t>
      </w:r>
    </w:p>
    <w:p w14:paraId="1A2D840E">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(一)本合同在履行过程中发生的争议，由甲、乙双方当事人协商解决，协商不成的按下列第</w:t>
      </w:r>
      <w:r>
        <w:rPr>
          <w:rFonts w:hint="eastAsia" w:ascii="方正仿宋_GB18030" w:hAnsi="方正仿宋_GB18030" w:eastAsia="方正仿宋_GB18030" w:cs="方正仿宋_GB18030"/>
          <w:color w:val="auto"/>
          <w:sz w:val="24"/>
          <w:szCs w:val="24"/>
          <w:u w:val="single"/>
          <w:lang w:val="en-US" w:eastAsia="zh-CN"/>
        </w:rPr>
        <w:t xml:space="preserve"> 2 </w:t>
      </w:r>
      <w:r>
        <w:rPr>
          <w:rFonts w:hint="eastAsia" w:ascii="方正仿宋_GB18030" w:hAnsi="方正仿宋_GB18030" w:eastAsia="方正仿宋_GB18030" w:cs="方正仿宋_GB18030"/>
          <w:color w:val="auto"/>
          <w:sz w:val="24"/>
          <w:szCs w:val="24"/>
          <w:u w:val="none"/>
          <w:lang w:val="en-US" w:eastAsia="zh-CN"/>
        </w:rPr>
        <w:t>种方式解决：</w:t>
      </w:r>
    </w:p>
    <w:p w14:paraId="54DABD75">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1、提交西安仲裁委员会仲裁；</w:t>
      </w:r>
    </w:p>
    <w:p w14:paraId="3FF89BD4">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2、依法向甲方所在地人民法院起诉。</w:t>
      </w:r>
    </w:p>
    <w:p w14:paraId="52A9EE92">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(二)本条款为独立条款，本合同的无效、变更、解除和终止均不影响本条款的效力。</w:t>
      </w:r>
    </w:p>
    <w:p w14:paraId="01B02A7F">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十三、合同变更</w:t>
      </w:r>
    </w:p>
    <w:p w14:paraId="5F924647">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4D93FD22">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十四、合同生效</w:t>
      </w:r>
    </w:p>
    <w:p w14:paraId="6B618185">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本合同一式</w:t>
      </w:r>
      <w:r>
        <w:rPr>
          <w:rFonts w:hint="eastAsia" w:ascii="方正仿宋_GB18030" w:hAnsi="方正仿宋_GB18030" w:eastAsia="方正仿宋_GB18030" w:cs="方正仿宋_GB18030"/>
          <w:color w:val="auto"/>
          <w:sz w:val="24"/>
          <w:szCs w:val="24"/>
          <w:u w:val="single"/>
          <w:lang w:val="en-US" w:eastAsia="zh-CN"/>
        </w:rPr>
        <w:t>陆</w:t>
      </w:r>
      <w:r>
        <w:rPr>
          <w:rFonts w:hint="eastAsia" w:ascii="方正仿宋_GB18030" w:hAnsi="方正仿宋_GB18030" w:eastAsia="方正仿宋_GB18030" w:cs="方正仿宋_GB18030"/>
          <w:color w:val="auto"/>
          <w:sz w:val="24"/>
          <w:szCs w:val="24"/>
          <w:u w:val="none"/>
          <w:lang w:val="en-US" w:eastAsia="zh-CN"/>
        </w:rPr>
        <w:t>份，甲方持</w:t>
      </w:r>
      <w:r>
        <w:rPr>
          <w:rFonts w:hint="eastAsia" w:ascii="方正仿宋_GB18030" w:hAnsi="方正仿宋_GB18030" w:eastAsia="方正仿宋_GB18030" w:cs="方正仿宋_GB18030"/>
          <w:color w:val="auto"/>
          <w:sz w:val="24"/>
          <w:szCs w:val="24"/>
          <w:u w:val="single"/>
          <w:lang w:val="en-US" w:eastAsia="zh-CN"/>
        </w:rPr>
        <w:t>两</w:t>
      </w:r>
      <w:r>
        <w:rPr>
          <w:rFonts w:hint="eastAsia" w:ascii="方正仿宋_GB18030" w:hAnsi="方正仿宋_GB18030" w:eastAsia="方正仿宋_GB18030" w:cs="方正仿宋_GB18030"/>
          <w:color w:val="auto"/>
          <w:sz w:val="24"/>
          <w:szCs w:val="24"/>
          <w:u w:val="none"/>
          <w:lang w:val="en-US" w:eastAsia="zh-CN"/>
        </w:rPr>
        <w:t>份，乙方持</w:t>
      </w:r>
      <w:r>
        <w:rPr>
          <w:rFonts w:hint="eastAsia" w:ascii="方正仿宋_GB18030" w:hAnsi="方正仿宋_GB18030" w:eastAsia="方正仿宋_GB18030" w:cs="方正仿宋_GB18030"/>
          <w:color w:val="auto"/>
          <w:sz w:val="24"/>
          <w:szCs w:val="24"/>
          <w:u w:val="single"/>
          <w:lang w:val="en-US" w:eastAsia="zh-CN"/>
        </w:rPr>
        <w:t>两</w:t>
      </w:r>
      <w:r>
        <w:rPr>
          <w:rFonts w:hint="eastAsia" w:ascii="方正仿宋_GB18030" w:hAnsi="方正仿宋_GB18030" w:eastAsia="方正仿宋_GB18030" w:cs="方正仿宋_GB18030"/>
          <w:color w:val="auto"/>
          <w:sz w:val="24"/>
          <w:szCs w:val="24"/>
          <w:u w:val="none"/>
          <w:lang w:val="en-US" w:eastAsia="zh-CN"/>
        </w:rPr>
        <w:t>份，西安市财政局政府采购管理处备案贰份，本合同甲、乙两方签字盖章后生效，合同执行完毕后，自动失效(合同的服务承诺则长期有效)。</w:t>
      </w:r>
    </w:p>
    <w:p w14:paraId="59E51E4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方正仿宋_GB18030" w:hAnsi="方正仿宋_GB18030" w:eastAsia="方正仿宋_GB18030" w:cs="方正仿宋_GB18030"/>
          <w:b/>
          <w:bCs/>
          <w:color w:val="auto"/>
          <w:sz w:val="24"/>
          <w:szCs w:val="24"/>
          <w:u w:val="none"/>
          <w:lang w:val="en-US" w:eastAsia="zh-CN"/>
        </w:rPr>
      </w:pPr>
      <w:r>
        <w:rPr>
          <w:rFonts w:hint="eastAsia" w:ascii="方正仿宋_GB18030" w:hAnsi="方正仿宋_GB18030" w:eastAsia="方正仿宋_GB18030" w:cs="方正仿宋_GB18030"/>
          <w:b/>
          <w:bCs/>
          <w:color w:val="auto"/>
          <w:sz w:val="24"/>
          <w:szCs w:val="24"/>
          <w:u w:val="none"/>
          <w:lang w:val="en-US" w:eastAsia="zh-CN"/>
        </w:rPr>
        <w:t>十五、其他事项</w:t>
      </w:r>
    </w:p>
    <w:p w14:paraId="154BE50B">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(一)西安市财政局政府采购管理处在合同的履行期间以及履行期后，可以随时检查项目的执行情况，对采购标准、采购内容进行调查核实，并对发现的问题进行处理。</w:t>
      </w:r>
    </w:p>
    <w:p w14:paraId="307A2F58">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(二)单一来源采购文件、单一来源采购响应文件、澄清表(函)、成交通知书、合同附件均成为合同不可分割的部分。</w:t>
      </w:r>
    </w:p>
    <w:p w14:paraId="2879243F">
      <w:pPr>
        <w:pStyle w:val="8"/>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t>(三)合同未尽事宜，由甲、乙双方协商后签订政府采购补充合同，与原合同具有同等法律效力。</w:t>
      </w:r>
    </w:p>
    <w:p w14:paraId="6CCA1DDA">
      <w:pPr>
        <w:rPr>
          <w:rFonts w:hint="eastAsia" w:ascii="方正仿宋_GB18030" w:hAnsi="方正仿宋_GB18030" w:eastAsia="方正仿宋_GB18030" w:cs="方正仿宋_GB18030"/>
          <w:color w:val="auto"/>
          <w:sz w:val="24"/>
          <w:szCs w:val="24"/>
          <w:u w:val="none"/>
          <w:lang w:val="en-US" w:eastAsia="zh-CN"/>
        </w:rPr>
      </w:pPr>
      <w:r>
        <w:rPr>
          <w:rFonts w:hint="eastAsia" w:ascii="方正仿宋_GB18030" w:hAnsi="方正仿宋_GB18030" w:eastAsia="方正仿宋_GB18030" w:cs="方正仿宋_GB18030"/>
          <w:color w:val="auto"/>
          <w:sz w:val="24"/>
          <w:szCs w:val="24"/>
          <w:u w:val="none"/>
          <w:lang w:val="en-US" w:eastAsia="zh-CN"/>
        </w:rPr>
        <w:br w:type="page"/>
      </w:r>
    </w:p>
    <w:p w14:paraId="7E2EC66B">
      <w:pPr>
        <w:pStyle w:val="8"/>
        <w:keepNext w:val="0"/>
        <w:keepLines w:val="0"/>
        <w:pageBreakBefore w:val="0"/>
        <w:widowControl w:val="0"/>
        <w:kinsoku/>
        <w:wordWrap/>
        <w:overflowPunct/>
        <w:topLinePunct w:val="0"/>
        <w:autoSpaceDE/>
        <w:autoSpaceDN/>
        <w:bidi w:val="0"/>
        <w:adjustRightInd/>
        <w:snapToGrid/>
        <w:spacing w:line="36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p>
    <w:tbl>
      <w:tblPr>
        <w:tblStyle w:val="11"/>
        <w:tblpPr w:leftFromText="180" w:rightFromText="180" w:vertAnchor="text" w:horzAnchor="page" w:tblpXSpec="center" w:tblpY="147"/>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3"/>
        <w:gridCol w:w="4441"/>
      </w:tblGrid>
      <w:tr w14:paraId="70D4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40B4F653">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甲方（</w:t>
            </w:r>
            <w:r>
              <w:rPr>
                <w:rFonts w:hint="eastAsia" w:ascii="方正仿宋_GB18030" w:hAnsi="方正仿宋_GB18030" w:eastAsia="方正仿宋_GB18030" w:cs="方正仿宋_GB18030"/>
                <w:caps w:val="0"/>
                <w:smallCaps w:val="0"/>
                <w:color w:val="auto"/>
                <w:sz w:val="21"/>
                <w:szCs w:val="21"/>
                <w:highlight w:val="none"/>
                <w:lang w:val="en-US" w:eastAsia="zh-CN"/>
              </w:rPr>
              <w:t>采购人</w:t>
            </w:r>
            <w:r>
              <w:rPr>
                <w:rFonts w:hint="eastAsia" w:ascii="方正仿宋_GB18030" w:hAnsi="方正仿宋_GB18030" w:eastAsia="方正仿宋_GB18030" w:cs="方正仿宋_GB18030"/>
                <w:caps w:val="0"/>
                <w:smallCaps w:val="0"/>
                <w:color w:val="auto"/>
                <w:sz w:val="21"/>
                <w:szCs w:val="21"/>
                <w:highlight w:val="none"/>
              </w:rPr>
              <w:t>）：</w:t>
            </w:r>
          </w:p>
        </w:tc>
        <w:tc>
          <w:tcPr>
            <w:tcW w:w="2420" w:type="pct"/>
            <w:noWrap/>
            <w:vAlign w:val="center"/>
          </w:tcPr>
          <w:p w14:paraId="2226D8C5">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乙方（</w:t>
            </w:r>
            <w:r>
              <w:rPr>
                <w:rFonts w:hint="eastAsia" w:ascii="方正仿宋_GB18030" w:hAnsi="方正仿宋_GB18030" w:eastAsia="方正仿宋_GB18030" w:cs="方正仿宋_GB18030"/>
                <w:caps w:val="0"/>
                <w:smallCaps w:val="0"/>
                <w:color w:val="auto"/>
                <w:sz w:val="21"/>
                <w:szCs w:val="21"/>
                <w:highlight w:val="none"/>
                <w:lang w:val="en-US" w:eastAsia="zh-CN"/>
              </w:rPr>
              <w:t>成交供应商</w:t>
            </w:r>
            <w:r>
              <w:rPr>
                <w:rFonts w:hint="eastAsia" w:ascii="方正仿宋_GB18030" w:hAnsi="方正仿宋_GB18030" w:eastAsia="方正仿宋_GB18030" w:cs="方正仿宋_GB18030"/>
                <w:caps w:val="0"/>
                <w:smallCaps w:val="0"/>
                <w:color w:val="auto"/>
                <w:sz w:val="21"/>
                <w:szCs w:val="21"/>
                <w:highlight w:val="none"/>
              </w:rPr>
              <w:t>）：</w:t>
            </w:r>
          </w:p>
        </w:tc>
      </w:tr>
      <w:tr w14:paraId="3C1E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743A9F88">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地　址：</w:t>
            </w:r>
          </w:p>
        </w:tc>
        <w:tc>
          <w:tcPr>
            <w:tcW w:w="2420" w:type="pct"/>
            <w:noWrap/>
            <w:vAlign w:val="center"/>
          </w:tcPr>
          <w:p w14:paraId="390C21D9">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地　址：</w:t>
            </w:r>
          </w:p>
        </w:tc>
      </w:tr>
      <w:tr w14:paraId="1064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781D2ACF">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lang w:val="en-US" w:eastAsia="zh-CN"/>
              </w:rPr>
              <w:t>授权</w:t>
            </w:r>
            <w:r>
              <w:rPr>
                <w:rFonts w:hint="eastAsia" w:ascii="方正仿宋_GB18030" w:hAnsi="方正仿宋_GB18030" w:eastAsia="方正仿宋_GB18030" w:cs="方正仿宋_GB18030"/>
                <w:caps w:val="0"/>
                <w:smallCaps w:val="0"/>
                <w:color w:val="auto"/>
                <w:sz w:val="21"/>
                <w:szCs w:val="21"/>
                <w:highlight w:val="none"/>
              </w:rPr>
              <w:t>代理人：　</w:t>
            </w:r>
          </w:p>
        </w:tc>
        <w:tc>
          <w:tcPr>
            <w:tcW w:w="2420" w:type="pct"/>
            <w:noWrap/>
            <w:vAlign w:val="center"/>
          </w:tcPr>
          <w:p w14:paraId="6B7A66F9">
            <w:pPr>
              <w:keepNext w:val="0"/>
              <w:keepLines w:val="0"/>
              <w:pageBreakBefore w:val="0"/>
              <w:tabs>
                <w:tab w:val="left" w:pos="5355"/>
              </w:tabs>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lang w:val="en-US" w:eastAsia="zh-CN"/>
              </w:rPr>
              <w:t>授权</w:t>
            </w:r>
            <w:r>
              <w:rPr>
                <w:rFonts w:hint="eastAsia" w:ascii="方正仿宋_GB18030" w:hAnsi="方正仿宋_GB18030" w:eastAsia="方正仿宋_GB18030" w:cs="方正仿宋_GB18030"/>
                <w:caps w:val="0"/>
                <w:smallCaps w:val="0"/>
                <w:color w:val="auto"/>
                <w:sz w:val="21"/>
                <w:szCs w:val="21"/>
                <w:highlight w:val="none"/>
              </w:rPr>
              <w:t>代理人</w:t>
            </w:r>
          </w:p>
        </w:tc>
      </w:tr>
      <w:tr w14:paraId="655E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7FBDB07D">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联系电话：</w:t>
            </w:r>
          </w:p>
        </w:tc>
        <w:tc>
          <w:tcPr>
            <w:tcW w:w="2420" w:type="pct"/>
            <w:noWrap/>
            <w:vAlign w:val="center"/>
          </w:tcPr>
          <w:p w14:paraId="6B09DE93">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联系电话：</w:t>
            </w:r>
          </w:p>
        </w:tc>
      </w:tr>
      <w:tr w14:paraId="7C8B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63BBD855">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开户行：</w:t>
            </w:r>
          </w:p>
        </w:tc>
        <w:tc>
          <w:tcPr>
            <w:tcW w:w="2420" w:type="pct"/>
            <w:noWrap/>
            <w:vAlign w:val="center"/>
          </w:tcPr>
          <w:p w14:paraId="39A5D71D">
            <w:pPr>
              <w:keepNext w:val="0"/>
              <w:keepLines w:val="0"/>
              <w:pageBreakBefore w:val="0"/>
              <w:tabs>
                <w:tab w:val="left" w:pos="5355"/>
              </w:tabs>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开户行：</w:t>
            </w:r>
          </w:p>
        </w:tc>
      </w:tr>
      <w:tr w14:paraId="3189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79" w:type="pct"/>
            <w:noWrap/>
            <w:vAlign w:val="center"/>
          </w:tcPr>
          <w:p w14:paraId="4C935E47">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账号：</w:t>
            </w:r>
          </w:p>
        </w:tc>
        <w:tc>
          <w:tcPr>
            <w:tcW w:w="2420" w:type="pct"/>
            <w:noWrap/>
            <w:vAlign w:val="center"/>
          </w:tcPr>
          <w:p w14:paraId="0A0557F7">
            <w:pPr>
              <w:keepNext w:val="0"/>
              <w:keepLines w:val="0"/>
              <w:pageBreakBefore w:val="0"/>
              <w:tabs>
                <w:tab w:val="left" w:pos="5355"/>
              </w:tabs>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账号：</w:t>
            </w:r>
          </w:p>
        </w:tc>
      </w:tr>
      <w:tr w14:paraId="11AF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579" w:type="pct"/>
            <w:noWrap/>
            <w:vAlign w:val="center"/>
          </w:tcPr>
          <w:p w14:paraId="3FD293D7">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日期：年  月   日</w:t>
            </w:r>
          </w:p>
        </w:tc>
        <w:tc>
          <w:tcPr>
            <w:tcW w:w="2420" w:type="pct"/>
            <w:noWrap/>
            <w:vAlign w:val="center"/>
          </w:tcPr>
          <w:p w14:paraId="047B08AE">
            <w:pPr>
              <w:keepNext w:val="0"/>
              <w:keepLines w:val="0"/>
              <w:pageBreakBefore w:val="0"/>
              <w:kinsoku/>
              <w:wordWrap/>
              <w:overflowPunct/>
              <w:topLinePunct w:val="0"/>
              <w:autoSpaceDE/>
              <w:autoSpaceDN/>
              <w:bidi w:val="0"/>
              <w:adjustRightInd/>
              <w:snapToGrid/>
              <w:spacing w:line="360" w:lineRule="exact"/>
              <w:textAlignment w:val="auto"/>
              <w:rPr>
                <w:rFonts w:hint="eastAsia" w:ascii="方正仿宋_GB18030" w:hAnsi="方正仿宋_GB18030" w:eastAsia="方正仿宋_GB18030" w:cs="方正仿宋_GB18030"/>
                <w:caps w:val="0"/>
                <w:smallCaps w:val="0"/>
                <w:color w:val="auto"/>
                <w:sz w:val="21"/>
                <w:szCs w:val="21"/>
                <w:highlight w:val="none"/>
              </w:rPr>
            </w:pPr>
            <w:r>
              <w:rPr>
                <w:rFonts w:hint="eastAsia" w:ascii="方正仿宋_GB18030" w:hAnsi="方正仿宋_GB18030" w:eastAsia="方正仿宋_GB18030" w:cs="方正仿宋_GB18030"/>
                <w:caps w:val="0"/>
                <w:smallCaps w:val="0"/>
                <w:color w:val="auto"/>
                <w:sz w:val="21"/>
                <w:szCs w:val="21"/>
                <w:highlight w:val="none"/>
              </w:rPr>
              <w:t>日期： 年  月  日</w:t>
            </w:r>
          </w:p>
        </w:tc>
      </w:tr>
    </w:tbl>
    <w:p w14:paraId="4C0B9E33">
      <w:pPr>
        <w:pStyle w:val="8"/>
        <w:keepNext w:val="0"/>
        <w:keepLines w:val="0"/>
        <w:pageBreakBefore w:val="0"/>
        <w:widowControl w:val="0"/>
        <w:kinsoku/>
        <w:wordWrap/>
        <w:overflowPunct/>
        <w:topLinePunct w:val="0"/>
        <w:autoSpaceDE/>
        <w:autoSpaceDN/>
        <w:bidi w:val="0"/>
        <w:adjustRightInd/>
        <w:snapToGrid/>
        <w:spacing w:line="360" w:lineRule="exact"/>
        <w:ind w:left="0" w:leftChars="0" w:firstLine="480" w:firstLineChars="200"/>
        <w:textAlignment w:val="auto"/>
        <w:rPr>
          <w:rFonts w:hint="eastAsia" w:ascii="方正仿宋_GB18030" w:hAnsi="方正仿宋_GB18030" w:eastAsia="方正仿宋_GB18030" w:cs="方正仿宋_GB18030"/>
          <w:color w:val="auto"/>
          <w:sz w:val="24"/>
          <w:szCs w:val="24"/>
          <w:u w:val="none"/>
          <w:lang w:val="en-US" w:eastAsia="zh-CN"/>
        </w:rPr>
      </w:pPr>
    </w:p>
    <w:p w14:paraId="54619AD9">
      <w:pPr>
        <w:pStyle w:val="8"/>
        <w:keepNext w:val="0"/>
        <w:keepLines w:val="0"/>
        <w:pageBreakBefore w:val="0"/>
        <w:kinsoku/>
        <w:wordWrap/>
        <w:overflowPunct/>
        <w:topLinePunct w:val="0"/>
        <w:autoSpaceDE/>
        <w:autoSpaceDN/>
        <w:bidi w:val="0"/>
        <w:adjustRightInd/>
        <w:snapToGrid/>
        <w:spacing w:line="360" w:lineRule="exact"/>
        <w:ind w:left="0" w:leftChars="0" w:firstLine="0" w:firstLineChars="0"/>
        <w:textAlignment w:val="auto"/>
        <w:rPr>
          <w:rFonts w:hint="eastAsia" w:ascii="方正仿宋_GB18030" w:hAnsi="方正仿宋_GB18030" w:eastAsia="方正仿宋_GB18030" w:cs="方正仿宋_GB18030"/>
          <w:color w:val="auto"/>
          <w:sz w:val="24"/>
          <w:szCs w:val="24"/>
          <w:u w:val="none"/>
          <w:lang w:val="en-US" w:eastAsia="zh-CN"/>
        </w:rPr>
      </w:pPr>
    </w:p>
    <w:p w14:paraId="411AC793">
      <w:pPr>
        <w:pStyle w:val="8"/>
        <w:keepNext w:val="0"/>
        <w:keepLines w:val="0"/>
        <w:pageBreakBefore w:val="0"/>
        <w:kinsoku/>
        <w:wordWrap/>
        <w:overflowPunct/>
        <w:topLinePunct w:val="0"/>
        <w:autoSpaceDE/>
        <w:autoSpaceDN/>
        <w:bidi w:val="0"/>
        <w:adjustRightInd/>
        <w:snapToGrid/>
        <w:spacing w:line="360" w:lineRule="exact"/>
        <w:ind w:left="0" w:leftChars="0" w:firstLine="0" w:firstLineChars="0"/>
        <w:textAlignment w:val="auto"/>
        <w:rPr>
          <w:rFonts w:hint="eastAsia" w:ascii="方正仿宋_GB18030" w:hAnsi="方正仿宋_GB18030" w:eastAsia="方正仿宋_GB18030" w:cs="方正仿宋_GB18030"/>
          <w:color w:val="auto"/>
          <w:sz w:val="24"/>
          <w:szCs w:val="24"/>
          <w:u w:val="none"/>
          <w:lang w:val="en-US" w:eastAsia="zh-CN"/>
        </w:rPr>
      </w:pPr>
    </w:p>
    <w:sectPr>
      <w:pgSz w:w="11906" w:h="16838"/>
      <w:pgMar w:top="1440" w:right="114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仿宋_GB18030">
    <w:panose1 w:val="02000000000000000000"/>
    <w:charset w:val="86"/>
    <w:family w:val="auto"/>
    <w:pitch w:val="default"/>
    <w:sig w:usb0="00000001" w:usb1="08000000" w:usb2="00000000" w:usb3="00000000" w:csb0="00040000" w:csb1="00000000"/>
    <w:embedRegular r:id="rId1" w:fontKey="{17499D17-CD7D-4848-AFE3-DA8712334370}"/>
  </w:font>
  <w:font w:name="仿宋_GB2312">
    <w:altName w:val="仿宋"/>
    <w:panose1 w:val="00000000000000000000"/>
    <w:charset w:val="00"/>
    <w:family w:val="auto"/>
    <w:pitch w:val="default"/>
    <w:sig w:usb0="00000000" w:usb1="00000000" w:usb2="00000000" w:usb3="00000000" w:csb0="00000000" w:csb1="00000000"/>
    <w:embedRegular r:id="rId2" w:fontKey="{10B6109D-9A47-4CCF-8DE1-E75A28A221A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4B34A6"/>
    <w:rsid w:val="01303AC5"/>
    <w:rsid w:val="05FD1BBE"/>
    <w:rsid w:val="06AC0A0C"/>
    <w:rsid w:val="0EC73F5E"/>
    <w:rsid w:val="0FA314C4"/>
    <w:rsid w:val="100C66D5"/>
    <w:rsid w:val="122A05F8"/>
    <w:rsid w:val="17395C7D"/>
    <w:rsid w:val="1E731794"/>
    <w:rsid w:val="240D341D"/>
    <w:rsid w:val="24422E26"/>
    <w:rsid w:val="26E7587D"/>
    <w:rsid w:val="29DF3391"/>
    <w:rsid w:val="2B780E96"/>
    <w:rsid w:val="2EA62314"/>
    <w:rsid w:val="30DB2D00"/>
    <w:rsid w:val="31F05F32"/>
    <w:rsid w:val="3465383C"/>
    <w:rsid w:val="3CB75A27"/>
    <w:rsid w:val="3D643E0C"/>
    <w:rsid w:val="3D6E74D6"/>
    <w:rsid w:val="40CC25C5"/>
    <w:rsid w:val="4541667C"/>
    <w:rsid w:val="49787CEA"/>
    <w:rsid w:val="4AFE4EC2"/>
    <w:rsid w:val="4BC114B6"/>
    <w:rsid w:val="5194430A"/>
    <w:rsid w:val="51C1782C"/>
    <w:rsid w:val="54897A6D"/>
    <w:rsid w:val="59244DC4"/>
    <w:rsid w:val="5B6B56EA"/>
    <w:rsid w:val="5D5B6D2D"/>
    <w:rsid w:val="5DB91FC8"/>
    <w:rsid w:val="5E041700"/>
    <w:rsid w:val="5EE72B8A"/>
    <w:rsid w:val="60E0460C"/>
    <w:rsid w:val="61915623"/>
    <w:rsid w:val="623C0084"/>
    <w:rsid w:val="634C5649"/>
    <w:rsid w:val="65705DC1"/>
    <w:rsid w:val="674B34A6"/>
    <w:rsid w:val="678332EB"/>
    <w:rsid w:val="69507602"/>
    <w:rsid w:val="6FAC02E5"/>
    <w:rsid w:val="710A048B"/>
    <w:rsid w:val="711F04E9"/>
    <w:rsid w:val="717E1E1B"/>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宋体"/>
      <w:kern w:val="2"/>
      <w:sz w:val="28"/>
      <w:szCs w:val="28"/>
      <w:lang w:val="en-US" w:eastAsia="zh-CN" w:bidi="ar-SA"/>
    </w:rPr>
  </w:style>
  <w:style w:type="paragraph" w:styleId="3">
    <w:name w:val="heading 1"/>
    <w:basedOn w:val="1"/>
    <w:next w:val="1"/>
    <w:link w:val="14"/>
    <w:qFormat/>
    <w:uiPriority w:val="0"/>
    <w:pPr>
      <w:keepNext/>
      <w:spacing w:after="100" w:line="240" w:lineRule="auto"/>
      <w:ind w:firstLine="0" w:firstLineChars="0"/>
      <w:jc w:val="center"/>
      <w:outlineLvl w:val="0"/>
    </w:pPr>
    <w:rPr>
      <w:b/>
      <w:bCs/>
      <w:kern w:val="0"/>
      <w:sz w:val="44"/>
      <w:szCs w:val="44"/>
    </w:rPr>
  </w:style>
  <w:style w:type="paragraph" w:styleId="4">
    <w:name w:val="heading 2"/>
    <w:basedOn w:val="1"/>
    <w:next w:val="1"/>
    <w:link w:val="15"/>
    <w:semiHidden/>
    <w:unhideWhenUsed/>
    <w:qFormat/>
    <w:uiPriority w:val="0"/>
    <w:pPr>
      <w:keepNext/>
      <w:spacing w:line="240" w:lineRule="auto"/>
      <w:ind w:leftChars="200" w:firstLine="0" w:firstLineChars="0"/>
      <w:jc w:val="left"/>
      <w:outlineLvl w:val="1"/>
    </w:pPr>
    <w:rPr>
      <w:b/>
      <w:bCs/>
      <w:kern w:val="0"/>
      <w:sz w:val="32"/>
      <w:szCs w:val="32"/>
    </w:rPr>
  </w:style>
  <w:style w:type="paragraph" w:styleId="5">
    <w:name w:val="heading 3"/>
    <w:basedOn w:val="1"/>
    <w:next w:val="1"/>
    <w:link w:val="16"/>
    <w:semiHidden/>
    <w:unhideWhenUsed/>
    <w:qFormat/>
    <w:uiPriority w:val="0"/>
    <w:pPr>
      <w:keepNext/>
      <w:spacing w:line="240" w:lineRule="auto"/>
      <w:ind w:leftChars="200" w:firstLine="0" w:firstLineChars="0"/>
      <w:outlineLvl w:val="2"/>
    </w:pPr>
    <w:rPr>
      <w:b/>
      <w:bCs/>
      <w:kern w:val="0"/>
    </w:rPr>
  </w:style>
  <w:style w:type="paragraph" w:styleId="6">
    <w:name w:val="heading 4"/>
    <w:basedOn w:val="1"/>
    <w:next w:val="1"/>
    <w:link w:val="17"/>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Tahoma" w:hAnsi="Tahoma"/>
    </w:rPr>
  </w:style>
  <w:style w:type="paragraph" w:styleId="7">
    <w:name w:val="Body Text Indent"/>
    <w:basedOn w:val="1"/>
    <w:qFormat/>
    <w:uiPriority w:val="0"/>
    <w:pPr>
      <w:spacing w:after="120" w:afterLines="0" w:afterAutospacing="0"/>
      <w:ind w:left="420" w:leftChars="200"/>
    </w:pPr>
  </w:style>
  <w:style w:type="paragraph" w:styleId="8">
    <w:name w:val="List 2"/>
    <w:basedOn w:val="1"/>
    <w:qFormat/>
    <w:uiPriority w:val="0"/>
    <w:pPr>
      <w:ind w:left="100" w:leftChars="200" w:hanging="200" w:hanging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Char"/>
    <w:link w:val="3"/>
    <w:qFormat/>
    <w:uiPriority w:val="0"/>
    <w:rPr>
      <w:rFonts w:ascii="仿宋" w:hAnsi="仿宋" w:eastAsia="仿宋" w:cs="仿宋"/>
      <w:b/>
      <w:bCs/>
      <w:kern w:val="0"/>
      <w:sz w:val="44"/>
      <w:szCs w:val="44"/>
    </w:rPr>
  </w:style>
  <w:style w:type="character" w:customStyle="1" w:styleId="15">
    <w:name w:val="标题 2 Char"/>
    <w:link w:val="4"/>
    <w:qFormat/>
    <w:uiPriority w:val="0"/>
    <w:rPr>
      <w:rFonts w:ascii="仿宋" w:hAnsi="仿宋" w:eastAsia="宋体" w:cs="宋体"/>
      <w:b/>
      <w:bCs/>
      <w:kern w:val="0"/>
      <w:sz w:val="32"/>
      <w:szCs w:val="32"/>
    </w:rPr>
  </w:style>
  <w:style w:type="character" w:customStyle="1" w:styleId="16">
    <w:name w:val="标题 3 Char"/>
    <w:link w:val="5"/>
    <w:qFormat/>
    <w:uiPriority w:val="0"/>
    <w:rPr>
      <w:rFonts w:ascii="宋体" w:hAnsi="宋体" w:eastAsia="宋体"/>
      <w:b/>
      <w:bCs/>
      <w:kern w:val="0"/>
      <w:sz w:val="28"/>
    </w:rPr>
  </w:style>
  <w:style w:type="character" w:customStyle="1" w:styleId="17">
    <w:name w:val="标题 4 Char"/>
    <w:link w:val="6"/>
    <w:qFormat/>
    <w:uiPriority w:val="0"/>
    <w:rPr>
      <w:rFonts w:ascii="宋体" w:hAnsi="宋体" w:eastAsia="宋体"/>
      <w:b/>
      <w:bCs/>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3600</Words>
  <Characters>3794</Characters>
  <Lines>0</Lines>
  <Paragraphs>0</Paragraphs>
  <TotalTime>0</TotalTime>
  <ScaleCrop>false</ScaleCrop>
  <LinksUpToDate>false</LinksUpToDate>
  <CharactersWithSpaces>3905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2026-06-23T02:56:00Z</dcterms:created>
  <dc:creator>朱娟</dc:creator>
  <cp:lastModifiedBy>朱娟</cp:lastModifiedBy>
  <dcterms:modified xsi:type="dcterms:W3CDTF">2026-06-30T03:02:34Z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0417723CAC1846C3B9B767F41DC7B513_11</vt:lpwstr>
  </property>
  <property fmtid="{D5CDD505-2E9C-101B-9397-08002B2CF9AE}" pid="4" name="KSOTemplateDocerSaveRecord">
    <vt:lpwstr>eyJoZGlkIjoiNmQ5YTlhOTI1MTIxMWQzZmNmMTc3YTIwMzNkYjU1MDciLCJ1c2VySWQiOiIyMDIwODMyODIifQ==</vt:lpwstr>
  </property>
</Properties>
</file>