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微软雅黑" w:hAnsi="微软雅黑" w:eastAsia="黑体" w:cs="黑体"/>
          <w:b/>
          <w:bCs/>
          <w:color w:val="auto"/>
          <w:w w:val="70"/>
          <w:kern w:val="44"/>
          <w:sz w:val="32"/>
          <w:szCs w:val="44"/>
        </w:rPr>
        <w:id w:val="-650287218"/>
      </w:sdtPr>
      <w:sdtEndPr>
        <w:rPr>
          <w:rFonts w:hint="eastAsia" w:ascii="Times New Roman" w:hAnsi="Times New Roman" w:eastAsia="宋体(中文正文)" w:cstheme="minorBidi"/>
          <w:b w:val="0"/>
          <w:bCs w:val="0"/>
          <w:color w:val="auto"/>
          <w:w w:val="100"/>
          <w:kern w:val="2"/>
          <w:sz w:val="24"/>
          <w:szCs w:val="22"/>
        </w:rPr>
      </w:sdtEndPr>
      <w:sdtContent>
        <w:p w14:paraId="315E1561">
          <w:pPr>
            <w:ind w:firstLine="448"/>
            <w:rPr>
              <w:color w:val="auto"/>
              <w:w w:val="70"/>
            </w:rPr>
          </w:pPr>
          <w:bookmarkStart w:id="0" w:name="_Hlk197435197"/>
          <w:bookmarkEnd w:id="0"/>
        </w:p>
        <w:p w14:paraId="0166F2B3">
          <w:pPr>
            <w:pStyle w:val="100"/>
            <w:spacing w:before="326"/>
            <w:rPr>
              <w:rFonts w:cs="Times New Roman"/>
              <w:color w:val="auto"/>
              <w:w w:val="70"/>
              <w:szCs w:val="52"/>
            </w:rPr>
          </w:pPr>
          <w:r>
            <w:rPr>
              <w:rFonts w:hint="eastAsia" w:cs="Times New Roman"/>
              <w:color w:val="auto"/>
              <w:w w:val="70"/>
              <w:szCs w:val="52"/>
            </w:rPr>
            <w:t>府谷能源投资集团五一矿业有限公司</w:t>
          </w:r>
        </w:p>
        <w:p w14:paraId="657962F0">
          <w:pPr>
            <w:pStyle w:val="107"/>
            <w:rPr>
              <w:color w:val="auto"/>
            </w:rPr>
          </w:pPr>
          <w:bookmarkStart w:id="1" w:name="OLE_LINK6"/>
          <w:r>
            <w:rPr>
              <w:rFonts w:hint="eastAsia"/>
              <w:color w:val="auto"/>
            </w:rPr>
            <w:t>首采工作面综采成套装备总体配套</w:t>
          </w:r>
        </w:p>
        <w:p w14:paraId="7CD58DF1">
          <w:pPr>
            <w:pStyle w:val="107"/>
            <w:rPr>
              <w:color w:val="auto"/>
            </w:rPr>
          </w:pPr>
          <w:r>
            <w:rPr>
              <w:rFonts w:hint="eastAsia"/>
              <w:color w:val="auto"/>
            </w:rPr>
            <w:t>采煤机技术规格书</w:t>
          </w:r>
        </w:p>
        <w:bookmarkEnd w:id="1"/>
        <w:p w14:paraId="27B34C6A">
          <w:pPr>
            <w:pStyle w:val="101"/>
            <w:rPr>
              <w:rFonts w:hint="eastAsia" w:eastAsia="华文中宋"/>
              <w:color w:val="auto"/>
              <w:lang w:eastAsia="zh-CN"/>
            </w:rPr>
          </w:pPr>
          <w:r>
            <w:rPr>
              <w:rFonts w:hint="eastAsia"/>
              <w:color w:val="auto"/>
              <w:lang w:eastAsia="zh-CN"/>
            </w:rPr>
            <w:t>（</w:t>
          </w:r>
          <w:r>
            <w:rPr>
              <w:rFonts w:hint="eastAsia"/>
              <w:color w:val="auto"/>
              <w:lang w:val="en-US" w:eastAsia="zh-CN"/>
            </w:rPr>
            <w:t>第二包</w:t>
          </w:r>
          <w:r>
            <w:rPr>
              <w:rFonts w:hint="eastAsia"/>
              <w:color w:val="auto"/>
              <w:lang w:eastAsia="zh-CN"/>
            </w:rPr>
            <w:t>）</w:t>
          </w:r>
        </w:p>
        <w:p w14:paraId="24874DB6">
          <w:pPr>
            <w:pStyle w:val="101"/>
            <w:rPr>
              <w:color w:val="auto"/>
            </w:rPr>
          </w:pPr>
          <w:bookmarkStart w:id="24" w:name="_GoBack"/>
          <w:bookmarkEnd w:id="24"/>
        </w:p>
        <w:p w14:paraId="75BCF25D">
          <w:pPr>
            <w:pStyle w:val="101"/>
            <w:rPr>
              <w:color w:val="auto"/>
            </w:rPr>
          </w:pPr>
        </w:p>
        <w:p w14:paraId="6CAAE347">
          <w:pPr>
            <w:pStyle w:val="101"/>
            <w:rPr>
              <w:color w:val="auto"/>
            </w:rPr>
          </w:pPr>
        </w:p>
        <w:p w14:paraId="72DE009E">
          <w:pPr>
            <w:pStyle w:val="101"/>
            <w:rPr>
              <w:color w:val="auto"/>
            </w:rPr>
          </w:pPr>
        </w:p>
        <w:tbl>
          <w:tblPr>
            <w:tblStyle w:val="42"/>
            <w:tblW w:w="0" w:type="auto"/>
            <w:tblInd w:w="112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13"/>
          </w:tblGrid>
          <w:tr w14:paraId="7E984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513" w:type="dxa"/>
              </w:tcPr>
              <w:p w14:paraId="49CAA7E8">
                <w:pPr>
                  <w:pStyle w:val="105"/>
                  <w:jc w:val="distribute"/>
                  <w:rPr>
                    <w:rFonts w:hint="eastAsia"/>
                    <w:color w:val="auto"/>
                    <w:kern w:val="0"/>
                    <w:sz w:val="44"/>
                    <w:szCs w:val="44"/>
                  </w:rPr>
                </w:pPr>
                <w:r>
                  <w:rPr>
                    <w:rFonts w:hint="eastAsia"/>
                    <w:color w:val="auto"/>
                    <w:kern w:val="0"/>
                    <w:sz w:val="44"/>
                    <w:szCs w:val="44"/>
                  </w:rPr>
                  <w:t>府谷能源投资集团五一矿业有限公司</w:t>
                </w:r>
              </w:p>
            </w:tc>
          </w:tr>
        </w:tbl>
        <w:p w14:paraId="3322FCF8">
          <w:pPr>
            <w:pStyle w:val="105"/>
            <w:rPr>
              <w:rFonts w:hint="eastAsia"/>
              <w:color w:val="auto"/>
              <w:sz w:val="44"/>
              <w:szCs w:val="44"/>
            </w:rPr>
          </w:pPr>
        </w:p>
        <w:p w14:paraId="604F8A3D">
          <w:pPr>
            <w:pStyle w:val="105"/>
            <w:rPr>
              <w:rFonts w:hint="eastAsia"/>
              <w:color w:val="auto"/>
              <w:sz w:val="44"/>
              <w:szCs w:val="44"/>
            </w:rPr>
          </w:pPr>
          <w:r>
            <w:rPr>
              <w:rFonts w:hint="eastAsia"/>
              <w:color w:val="auto"/>
              <w:sz w:val="44"/>
              <w:szCs w:val="44"/>
            </w:rPr>
            <w:t>二</w:t>
          </w:r>
          <w:r>
            <w:rPr>
              <w:color w:val="auto"/>
              <w:sz w:val="44"/>
              <w:szCs w:val="44"/>
            </w:rPr>
            <w:t>O</w:t>
          </w:r>
          <w:r>
            <w:rPr>
              <w:rFonts w:hint="eastAsia"/>
              <w:color w:val="auto"/>
              <w:sz w:val="44"/>
              <w:szCs w:val="44"/>
            </w:rPr>
            <w:t>二六年五月</w:t>
          </w:r>
        </w:p>
        <w:p w14:paraId="66771F53">
          <w:pPr>
            <w:pStyle w:val="105"/>
            <w:rPr>
              <w:rFonts w:hint="eastAsia"/>
              <w:color w:val="auto"/>
            </w:rPr>
          </w:pPr>
        </w:p>
        <w:p w14:paraId="02F992D7">
          <w:pPr>
            <w:pStyle w:val="105"/>
            <w:rPr>
              <w:rFonts w:hint="eastAsia"/>
              <w:color w:val="auto"/>
            </w:rPr>
          </w:pPr>
        </w:p>
        <w:p w14:paraId="3B82F3DC">
          <w:pPr>
            <w:ind w:firstLine="480"/>
            <w:rPr>
              <w:color w:val="auto"/>
            </w:rPr>
          </w:pPr>
        </w:p>
        <w:p w14:paraId="29D209C7">
          <w:pPr>
            <w:tabs>
              <w:tab w:val="center" w:pos="5113"/>
            </w:tabs>
            <w:ind w:firstLine="480"/>
            <w:rPr>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440" w:right="1080" w:bottom="1440" w:left="1080" w:header="964" w:footer="992" w:gutter="0"/>
              <w:pgNumType w:start="0"/>
              <w:cols w:space="425" w:num="1"/>
              <w:titlePg/>
              <w:docGrid w:type="lines" w:linePitch="326" w:charSpace="0"/>
            </w:sectPr>
          </w:pPr>
        </w:p>
        <w:sdt>
          <w:sdtPr>
            <w:rPr>
              <w:rFonts w:asciiTheme="minorHAnsi" w:hAnsiTheme="minorHAnsi" w:eastAsiaTheme="minorEastAsia" w:cstheme="minorBidi"/>
              <w:color w:val="auto"/>
              <w:kern w:val="2"/>
              <w:sz w:val="24"/>
              <w:szCs w:val="22"/>
              <w:lang w:val="zh-CN"/>
            </w:rPr>
            <w:id w:val="-511144090"/>
            <w:docPartObj>
              <w:docPartGallery w:val="Table of Contents"/>
              <w:docPartUnique/>
            </w:docPartObj>
          </w:sdtPr>
          <w:sdtEndPr>
            <w:rPr>
              <w:rFonts w:ascii="Times New Roman" w:hAnsi="Times New Roman" w:eastAsia="宋体(中文正文)" w:cstheme="minorBidi"/>
              <w:b/>
              <w:bCs/>
              <w:color w:val="auto"/>
              <w:kern w:val="2"/>
              <w:sz w:val="24"/>
              <w:szCs w:val="22"/>
              <w:lang w:val="zh-CN"/>
            </w:rPr>
          </w:sdtEndPr>
          <w:sdtContent>
            <w:p w14:paraId="79CDF360">
              <w:pPr>
                <w:pStyle w:val="97"/>
                <w:ind w:firstLine="480"/>
                <w:jc w:val="center"/>
                <w:rPr>
                  <w:rFonts w:hint="eastAsia" w:ascii="黑体" w:hAnsi="黑体" w:eastAsia="黑体"/>
                  <w:b/>
                  <w:bCs/>
                  <w:color w:val="auto"/>
                </w:rPr>
              </w:pPr>
              <w:r>
                <w:rPr>
                  <w:rFonts w:ascii="黑体" w:hAnsi="黑体" w:eastAsia="黑体"/>
                  <w:b/>
                  <w:bCs/>
                  <w:color w:val="auto"/>
                  <w:lang w:val="zh-CN"/>
                </w:rPr>
                <w:t>目</w:t>
              </w:r>
              <w:r>
                <w:rPr>
                  <w:rFonts w:hint="eastAsia" w:ascii="黑体" w:hAnsi="黑体" w:eastAsia="黑体"/>
                  <w:b/>
                  <w:bCs/>
                  <w:color w:val="auto"/>
                  <w:lang w:val="zh-CN"/>
                </w:rPr>
                <w:t xml:space="preserve"> </w:t>
              </w:r>
              <w:r>
                <w:rPr>
                  <w:rFonts w:ascii="黑体" w:hAnsi="黑体" w:eastAsia="黑体"/>
                  <w:b/>
                  <w:bCs/>
                  <w:color w:val="auto"/>
                  <w:lang w:val="zh-CN"/>
                </w:rPr>
                <w:t xml:space="preserve"> 录</w:t>
              </w:r>
            </w:p>
            <w:p w14:paraId="6CFEB324">
              <w:pPr>
                <w:pStyle w:val="31"/>
                <w:rPr>
                  <w:rFonts w:hint="eastAsia" w:asciiTheme="minorHAnsi" w:hAnsiTheme="minorHAnsi" w:eastAsiaTheme="minorEastAsia" w:cstheme="minorBidi"/>
                  <w:color w:val="auto"/>
                  <w:sz w:val="22"/>
                  <w14:ligatures w14:val="standardContextual"/>
                </w:rPr>
              </w:pPr>
              <w:r>
                <w:rPr>
                  <w:color w:val="auto"/>
                </w:rPr>
                <w:fldChar w:fldCharType="begin"/>
              </w:r>
              <w:r>
                <w:rPr>
                  <w:color w:val="auto"/>
                </w:rPr>
                <w:instrText xml:space="preserve"> TOC \o "1-2" \h \z \u </w:instrText>
              </w:r>
              <w:r>
                <w:rPr>
                  <w:color w:val="auto"/>
                </w:rPr>
                <w:fldChar w:fldCharType="separate"/>
              </w:r>
              <w:r>
                <w:rPr>
                  <w:color w:val="auto"/>
                </w:rPr>
                <w:fldChar w:fldCharType="begin"/>
              </w:r>
              <w:r>
                <w:rPr>
                  <w:color w:val="auto"/>
                </w:rPr>
                <w:instrText xml:space="preserve"> HYPERLINK \l "_Toc229574391" </w:instrText>
              </w:r>
              <w:r>
                <w:rPr>
                  <w:color w:val="auto"/>
                </w:rPr>
                <w:fldChar w:fldCharType="separate"/>
              </w:r>
              <w:r>
                <w:rPr>
                  <w:rStyle w:val="48"/>
                  <w:color w:val="auto"/>
                </w:rPr>
                <w:t>一、总则</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_Toc229574391 \h</w:instrText>
              </w:r>
              <w:r>
                <w:rPr>
                  <w:rFonts w:hint="eastAsia"/>
                  <w:color w:val="auto"/>
                </w:rPr>
                <w:instrText xml:space="preserve"> </w:instrText>
              </w:r>
              <w:r>
                <w:rPr>
                  <w:rFonts w:hint="eastAsia"/>
                  <w:color w:val="auto"/>
                </w:rPr>
                <w:fldChar w:fldCharType="separate"/>
              </w:r>
              <w:r>
                <w:rPr>
                  <w:rFonts w:hint="eastAsia"/>
                  <w:color w:val="auto"/>
                </w:rPr>
                <w:t>2</w:t>
              </w:r>
              <w:r>
                <w:rPr>
                  <w:rFonts w:hint="eastAsia"/>
                  <w:color w:val="auto"/>
                </w:rPr>
                <w:fldChar w:fldCharType="end"/>
              </w:r>
              <w:r>
                <w:rPr>
                  <w:rFonts w:hint="eastAsia"/>
                  <w:color w:val="auto"/>
                </w:rPr>
                <w:fldChar w:fldCharType="end"/>
              </w:r>
            </w:p>
            <w:p w14:paraId="022B634B">
              <w:pPr>
                <w:pStyle w:val="31"/>
                <w:rPr>
                  <w:rFonts w:hint="eastAsia" w:asciiTheme="minorHAnsi" w:hAnsiTheme="minorHAnsi" w:eastAsiaTheme="minorEastAsia" w:cstheme="minorBidi"/>
                  <w:color w:val="auto"/>
                  <w:sz w:val="22"/>
                  <w14:ligatures w14:val="standardContextual"/>
                </w:rPr>
              </w:pPr>
              <w:r>
                <w:rPr>
                  <w:color w:val="auto"/>
                </w:rPr>
                <w:fldChar w:fldCharType="begin"/>
              </w:r>
              <w:r>
                <w:rPr>
                  <w:color w:val="auto"/>
                </w:rPr>
                <w:instrText xml:space="preserve"> HYPERLINK \l "_Toc229574392" </w:instrText>
              </w:r>
              <w:r>
                <w:rPr>
                  <w:color w:val="auto"/>
                </w:rPr>
                <w:fldChar w:fldCharType="separate"/>
              </w:r>
              <w:r>
                <w:rPr>
                  <w:rStyle w:val="48"/>
                  <w:color w:val="auto"/>
                </w:rPr>
                <w:t>二、项目概况</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_Toc229574392 \h</w:instrText>
              </w:r>
              <w:r>
                <w:rPr>
                  <w:rFonts w:hint="eastAsia"/>
                  <w:color w:val="auto"/>
                </w:rPr>
                <w:instrText xml:space="preserve"> </w:instrText>
              </w:r>
              <w:r>
                <w:rPr>
                  <w:rFonts w:hint="eastAsia"/>
                  <w:color w:val="auto"/>
                </w:rPr>
                <w:fldChar w:fldCharType="separate"/>
              </w:r>
              <w:r>
                <w:rPr>
                  <w:rFonts w:hint="eastAsia"/>
                  <w:color w:val="auto"/>
                </w:rPr>
                <w:t>3</w:t>
              </w:r>
              <w:r>
                <w:rPr>
                  <w:rFonts w:hint="eastAsia"/>
                  <w:color w:val="auto"/>
                </w:rPr>
                <w:fldChar w:fldCharType="end"/>
              </w:r>
              <w:r>
                <w:rPr>
                  <w:rFonts w:hint="eastAsia"/>
                  <w:color w:val="auto"/>
                </w:rPr>
                <w:fldChar w:fldCharType="end"/>
              </w:r>
            </w:p>
            <w:p w14:paraId="558CE76C">
              <w:pPr>
                <w:pStyle w:val="31"/>
                <w:rPr>
                  <w:rFonts w:hint="eastAsia" w:asciiTheme="minorHAnsi" w:hAnsiTheme="minorHAnsi" w:eastAsiaTheme="minorEastAsia" w:cstheme="minorBidi"/>
                  <w:color w:val="auto"/>
                  <w:sz w:val="22"/>
                  <w14:ligatures w14:val="standardContextual"/>
                </w:rPr>
              </w:pPr>
              <w:r>
                <w:rPr>
                  <w:color w:val="auto"/>
                </w:rPr>
                <w:fldChar w:fldCharType="begin"/>
              </w:r>
              <w:r>
                <w:rPr>
                  <w:color w:val="auto"/>
                </w:rPr>
                <w:instrText xml:space="preserve"> HYPERLINK \l "_Toc229574393" </w:instrText>
              </w:r>
              <w:r>
                <w:rPr>
                  <w:color w:val="auto"/>
                </w:rPr>
                <w:fldChar w:fldCharType="separate"/>
              </w:r>
              <w:r>
                <w:rPr>
                  <w:rStyle w:val="48"/>
                  <w:color w:val="auto"/>
                </w:rPr>
                <w:t>三、采煤机主要技术参数及要求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_Toc229574393 \h</w:instrText>
              </w:r>
              <w:r>
                <w:rPr>
                  <w:rFonts w:hint="eastAsia"/>
                  <w:color w:val="auto"/>
                </w:rPr>
                <w:instrText xml:space="preserve"> </w:instrText>
              </w:r>
              <w:r>
                <w:rPr>
                  <w:rFonts w:hint="eastAsia"/>
                  <w:color w:val="auto"/>
                </w:rPr>
                <w:fldChar w:fldCharType="separate"/>
              </w:r>
              <w:r>
                <w:rPr>
                  <w:rFonts w:hint="eastAsia"/>
                  <w:color w:val="auto"/>
                </w:rPr>
                <w:t>4</w:t>
              </w:r>
              <w:r>
                <w:rPr>
                  <w:rFonts w:hint="eastAsia"/>
                  <w:color w:val="auto"/>
                </w:rPr>
                <w:fldChar w:fldCharType="end"/>
              </w:r>
              <w:r>
                <w:rPr>
                  <w:rFonts w:hint="eastAsia"/>
                  <w:color w:val="auto"/>
                </w:rPr>
                <w:fldChar w:fldCharType="end"/>
              </w:r>
            </w:p>
            <w:p w14:paraId="1996F667">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"_Toc229574394" </w:instrText>
              </w:r>
              <w:r>
                <w:rPr>
                  <w:color w:val="auto"/>
                </w:rPr>
                <w:fldChar w:fldCharType="separate"/>
              </w:r>
              <w:r>
                <w:rPr>
                  <w:rStyle w:val="48"/>
                  <w:color w:val="auto"/>
                </w:rPr>
                <w:t>3.1、采煤机主要技术参数</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_Toc229574394 \h</w:instrText>
              </w:r>
              <w:r>
                <w:rPr>
                  <w:rFonts w:hint="eastAsia"/>
                  <w:color w:val="auto"/>
                </w:rPr>
                <w:instrText xml:space="preserve"> </w:instrText>
              </w:r>
              <w:r>
                <w:rPr>
                  <w:rFonts w:hint="eastAsia"/>
                  <w:color w:val="auto"/>
                </w:rPr>
                <w:fldChar w:fldCharType="separate"/>
              </w:r>
              <w:r>
                <w:rPr>
                  <w:color w:val="auto"/>
                </w:rPr>
                <w:t>4</w:t>
              </w:r>
              <w:r>
                <w:rPr>
                  <w:rFonts w:hint="eastAsia"/>
                  <w:color w:val="auto"/>
                </w:rPr>
                <w:fldChar w:fldCharType="end"/>
              </w:r>
              <w:r>
                <w:rPr>
                  <w:rFonts w:hint="eastAsia"/>
                  <w:color w:val="auto"/>
                </w:rPr>
                <w:fldChar w:fldCharType="end"/>
              </w:r>
            </w:p>
            <w:p w14:paraId="4F778191">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"_Toc229574395" </w:instrText>
              </w:r>
              <w:r>
                <w:rPr>
                  <w:color w:val="auto"/>
                </w:rPr>
                <w:fldChar w:fldCharType="separate"/>
              </w:r>
              <w:r>
                <w:rPr>
                  <w:rStyle w:val="48"/>
                  <w:color w:val="auto"/>
                </w:rPr>
                <w:t>3.2、采煤机主要技术特征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_Toc229574395 \h</w:instrText>
              </w:r>
              <w:r>
                <w:rPr>
                  <w:rFonts w:hint="eastAsia"/>
                  <w:color w:val="auto"/>
                </w:rPr>
                <w:instrText xml:space="preserve"> </w:instrText>
              </w:r>
              <w:r>
                <w:rPr>
                  <w:rFonts w:hint="eastAsia"/>
                  <w:color w:val="auto"/>
                </w:rPr>
                <w:fldChar w:fldCharType="separate"/>
              </w:r>
              <w:r>
                <w:rPr>
                  <w:color w:val="auto"/>
                </w:rPr>
                <w:t>5</w:t>
              </w:r>
              <w:r>
                <w:rPr>
                  <w:rFonts w:hint="eastAsia"/>
                  <w:color w:val="auto"/>
                </w:rPr>
                <w:fldChar w:fldCharType="end"/>
              </w:r>
              <w:r>
                <w:rPr>
                  <w:rFonts w:hint="eastAsia"/>
                  <w:color w:val="auto"/>
                </w:rPr>
                <w:fldChar w:fldCharType="end"/>
              </w:r>
            </w:p>
            <w:p w14:paraId="36B281B3">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"_Toc229574396" </w:instrText>
              </w:r>
              <w:r>
                <w:rPr>
                  <w:color w:val="auto"/>
                </w:rPr>
                <w:fldChar w:fldCharType="separate"/>
              </w:r>
              <w:r>
                <w:rPr>
                  <w:rStyle w:val="48"/>
                  <w:color w:val="auto"/>
                </w:rPr>
                <w:t>3.3、采煤机电气技术要求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_Toc229574396 \h</w:instrText>
              </w:r>
              <w:r>
                <w:rPr>
                  <w:rFonts w:hint="eastAsia"/>
                  <w:color w:val="auto"/>
                </w:rPr>
                <w:instrText xml:space="preserve"> </w:instrText>
              </w:r>
              <w:r>
                <w:rPr>
                  <w:rFonts w:hint="eastAsia"/>
                  <w:color w:val="auto"/>
                </w:rPr>
                <w:fldChar w:fldCharType="separate"/>
              </w:r>
              <w:r>
                <w:rPr>
                  <w:color w:val="auto"/>
                </w:rPr>
                <w:t>6</w:t>
              </w:r>
              <w:r>
                <w:rPr>
                  <w:rFonts w:hint="eastAsia"/>
                  <w:color w:val="auto"/>
                </w:rPr>
                <w:fldChar w:fldCharType="end"/>
              </w:r>
              <w:r>
                <w:rPr>
                  <w:rFonts w:hint="eastAsia"/>
                  <w:color w:val="auto"/>
                </w:rPr>
                <w:fldChar w:fldCharType="end"/>
              </w:r>
            </w:p>
            <w:p w14:paraId="79268AB0">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"_Toc229574397" </w:instrText>
              </w:r>
              <w:r>
                <w:rPr>
                  <w:color w:val="auto"/>
                </w:rPr>
                <w:fldChar w:fldCharType="separate"/>
              </w:r>
              <w:r>
                <w:rPr>
                  <w:rStyle w:val="48"/>
                  <w:color w:val="auto"/>
                </w:rPr>
                <w:t>3.4、采煤机其他要求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_Toc229574397 \h</w:instrText>
              </w:r>
              <w:r>
                <w:rPr>
                  <w:rFonts w:hint="eastAsia"/>
                  <w:color w:val="auto"/>
                </w:rPr>
                <w:instrText xml:space="preserve"> </w:instrText>
              </w:r>
              <w:r>
                <w:rPr>
                  <w:rFonts w:hint="eastAsia"/>
                  <w:color w:val="auto"/>
                </w:rPr>
                <w:fldChar w:fldCharType="separate"/>
              </w:r>
              <w:r>
                <w:rPr>
                  <w:color w:val="auto"/>
                </w:rPr>
                <w:t>10</w:t>
              </w:r>
              <w:r>
                <w:rPr>
                  <w:rFonts w:hint="eastAsia"/>
                  <w:color w:val="auto"/>
                </w:rPr>
                <w:fldChar w:fldCharType="end"/>
              </w:r>
              <w:r>
                <w:rPr>
                  <w:rFonts w:hint="eastAsia"/>
                  <w:color w:val="auto"/>
                </w:rPr>
                <w:fldChar w:fldCharType="end"/>
              </w:r>
            </w:p>
            <w:p w14:paraId="56A379E6">
              <w:pPr>
                <w:pStyle w:val="31"/>
                <w:rPr>
                  <w:rFonts w:hint="eastAsia" w:asciiTheme="minorHAnsi" w:hAnsiTheme="minorHAnsi" w:eastAsiaTheme="minorEastAsia" w:cstheme="minorBidi"/>
                  <w:color w:val="auto"/>
                  <w:sz w:val="22"/>
                  <w14:ligatures w14:val="standardContextual"/>
                </w:rPr>
              </w:pPr>
              <w:r>
                <w:rPr>
                  <w:color w:val="auto"/>
                </w:rPr>
                <w:fldChar w:fldCharType="begin"/>
              </w:r>
              <w:r>
                <w:rPr>
                  <w:color w:val="auto"/>
                </w:rPr>
                <w:instrText xml:space="preserve"> HYPERLINK \l "_Toc229574398" </w:instrText>
              </w:r>
              <w:r>
                <w:rPr>
                  <w:color w:val="auto"/>
                </w:rPr>
                <w:fldChar w:fldCharType="separate"/>
              </w:r>
              <w:r>
                <w:rPr>
                  <w:rStyle w:val="48"/>
                  <w:color w:val="auto"/>
                </w:rPr>
                <w:t>四、供货要求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_Toc229574398 \h</w:instrText>
              </w:r>
              <w:r>
                <w:rPr>
                  <w:rFonts w:hint="eastAsia"/>
                  <w:color w:val="auto"/>
                </w:rPr>
                <w:instrText xml:space="preserve"> </w:instrText>
              </w:r>
              <w:r>
                <w:rPr>
                  <w:rFonts w:hint="eastAsia"/>
                  <w:color w:val="auto"/>
                </w:rPr>
                <w:fldChar w:fldCharType="separate"/>
              </w:r>
              <w:r>
                <w:rPr>
                  <w:rFonts w:hint="eastAsia"/>
                  <w:color w:val="auto"/>
                </w:rPr>
                <w:t>12</w:t>
              </w:r>
              <w:r>
                <w:rPr>
                  <w:rFonts w:hint="eastAsia"/>
                  <w:color w:val="auto"/>
                </w:rPr>
                <w:fldChar w:fldCharType="end"/>
              </w:r>
              <w:r>
                <w:rPr>
                  <w:rFonts w:hint="eastAsia"/>
                  <w:color w:val="auto"/>
                </w:rPr>
                <w:fldChar w:fldCharType="end"/>
              </w:r>
            </w:p>
            <w:p w14:paraId="58883F0D">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"_Toc229574399" </w:instrText>
              </w:r>
              <w:r>
                <w:rPr>
                  <w:color w:val="auto"/>
                </w:rPr>
                <w:fldChar w:fldCharType="separate"/>
              </w:r>
              <w:r>
                <w:rPr>
                  <w:rStyle w:val="48"/>
                  <w:color w:val="auto"/>
                </w:rPr>
                <w:t>4.1、供货要求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_Toc229574399 \h</w:instrText>
              </w:r>
              <w:r>
                <w:rPr>
                  <w:rFonts w:hint="eastAsia"/>
                  <w:color w:val="auto"/>
                </w:rPr>
                <w:instrText xml:space="preserve"> </w:instrText>
              </w:r>
              <w:r>
                <w:rPr>
                  <w:rFonts w:hint="eastAsia"/>
                  <w:color w:val="auto"/>
                </w:rPr>
                <w:fldChar w:fldCharType="separate"/>
              </w:r>
              <w:r>
                <w:rPr>
                  <w:color w:val="auto"/>
                </w:rPr>
                <w:t>12</w:t>
              </w:r>
              <w:r>
                <w:rPr>
                  <w:rFonts w:hint="eastAsia"/>
                  <w:color w:val="auto"/>
                </w:rPr>
                <w:fldChar w:fldCharType="end"/>
              </w:r>
              <w:r>
                <w:rPr>
                  <w:rFonts w:hint="eastAsia"/>
                  <w:color w:val="auto"/>
                </w:rPr>
                <w:fldChar w:fldCharType="end"/>
              </w:r>
            </w:p>
            <w:p w14:paraId="7DE7AF09">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"_Toc229574400" </w:instrText>
              </w:r>
              <w:r>
                <w:rPr>
                  <w:color w:val="auto"/>
                </w:rPr>
                <w:fldChar w:fldCharType="separate"/>
              </w:r>
              <w:r>
                <w:rPr>
                  <w:rStyle w:val="48"/>
                  <w:color w:val="auto"/>
                </w:rPr>
                <w:t>4.2、图纸、文件交付要求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_Toc229574400 \h</w:instrText>
              </w:r>
              <w:r>
                <w:rPr>
                  <w:rFonts w:hint="eastAsia"/>
                  <w:color w:val="auto"/>
                </w:rPr>
                <w:instrText xml:space="preserve"> </w:instrText>
              </w:r>
              <w:r>
                <w:rPr>
                  <w:rFonts w:hint="eastAsia"/>
                  <w:color w:val="auto"/>
                </w:rPr>
                <w:fldChar w:fldCharType="separate"/>
              </w:r>
              <w:r>
                <w:rPr>
                  <w:color w:val="auto"/>
                </w:rPr>
                <w:t>12</w:t>
              </w:r>
              <w:r>
                <w:rPr>
                  <w:rFonts w:hint="eastAsia"/>
                  <w:color w:val="auto"/>
                </w:rPr>
                <w:fldChar w:fldCharType="end"/>
              </w:r>
              <w:r>
                <w:rPr>
                  <w:rFonts w:hint="eastAsia"/>
                  <w:color w:val="auto"/>
                </w:rPr>
                <w:fldChar w:fldCharType="end"/>
              </w:r>
            </w:p>
            <w:p w14:paraId="3C32D9E4">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"_Toc229574401" </w:instrText>
              </w:r>
              <w:r>
                <w:rPr>
                  <w:color w:val="auto"/>
                </w:rPr>
                <w:fldChar w:fldCharType="separate"/>
              </w:r>
              <w:r>
                <w:rPr>
                  <w:rStyle w:val="48"/>
                  <w:color w:val="auto"/>
                </w:rPr>
                <w:t>4.3、质量保证和售后服务</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_Toc229574401 \h</w:instrText>
              </w:r>
              <w:r>
                <w:rPr>
                  <w:rFonts w:hint="eastAsia"/>
                  <w:color w:val="auto"/>
                </w:rPr>
                <w:instrText xml:space="preserve"> </w:instrText>
              </w:r>
              <w:r>
                <w:rPr>
                  <w:rFonts w:hint="eastAsia"/>
                  <w:color w:val="auto"/>
                </w:rPr>
                <w:fldChar w:fldCharType="separate"/>
              </w:r>
              <w:r>
                <w:rPr>
                  <w:color w:val="auto"/>
                </w:rPr>
                <w:t>12</w:t>
              </w:r>
              <w:r>
                <w:rPr>
                  <w:rFonts w:hint="eastAsia"/>
                  <w:color w:val="auto"/>
                </w:rPr>
                <w:fldChar w:fldCharType="end"/>
              </w:r>
              <w:r>
                <w:rPr>
                  <w:rFonts w:hint="eastAsia"/>
                  <w:color w:val="auto"/>
                </w:rPr>
                <w:fldChar w:fldCharType="end"/>
              </w:r>
            </w:p>
            <w:p w14:paraId="05DDCFC8">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"_Toc229574402" </w:instrText>
              </w:r>
              <w:r>
                <w:rPr>
                  <w:color w:val="auto"/>
                </w:rPr>
                <w:fldChar w:fldCharType="separate"/>
              </w:r>
              <w:r>
                <w:rPr>
                  <w:rStyle w:val="48"/>
                  <w:color w:val="auto"/>
                </w:rPr>
                <w:t>4.4、培训及安装调试</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_Toc229574402 \h</w:instrText>
              </w:r>
              <w:r>
                <w:rPr>
                  <w:rFonts w:hint="eastAsia"/>
                  <w:color w:val="auto"/>
                </w:rPr>
                <w:instrText xml:space="preserve"> </w:instrText>
              </w:r>
              <w:r>
                <w:rPr>
                  <w:rFonts w:hint="eastAsia"/>
                  <w:color w:val="auto"/>
                </w:rPr>
                <w:fldChar w:fldCharType="separate"/>
              </w:r>
              <w:r>
                <w:rPr>
                  <w:color w:val="auto"/>
                </w:rPr>
                <w:t>13</w:t>
              </w:r>
              <w:r>
                <w:rPr>
                  <w:rFonts w:hint="eastAsia"/>
                  <w:color w:val="auto"/>
                </w:rPr>
                <w:fldChar w:fldCharType="end"/>
              </w:r>
              <w:r>
                <w:rPr>
                  <w:rFonts w:hint="eastAsia"/>
                  <w:color w:val="auto"/>
                </w:rPr>
                <w:fldChar w:fldCharType="end"/>
              </w:r>
            </w:p>
            <w:p w14:paraId="2978D7DE">
              <w:pPr>
                <w:pStyle w:val="35"/>
                <w:rPr>
                  <w:rFonts w:hint="eastAsia" w:asciiTheme="minorHAnsi" w:hAnsiTheme="minorHAnsi" w:eastAsiaTheme="minorEastAsia"/>
                  <w:color w:val="auto"/>
                  <w:sz w:val="22"/>
                  <w:szCs w:val="24"/>
                  <w14:ligatures w14:val="standardContextual"/>
                </w:rPr>
              </w:pPr>
              <w:r>
                <w:rPr>
                  <w:color w:val="auto"/>
                </w:rPr>
                <w:fldChar w:fldCharType="begin"/>
              </w:r>
              <w:r>
                <w:rPr>
                  <w:color w:val="auto"/>
                </w:rPr>
                <w:instrText xml:space="preserve"> HYPERLINK \l "_Toc229574403" </w:instrText>
              </w:r>
              <w:r>
                <w:rPr>
                  <w:color w:val="auto"/>
                </w:rPr>
                <w:fldChar w:fldCharType="separate"/>
              </w:r>
              <w:r>
                <w:rPr>
                  <w:rStyle w:val="48"/>
                  <w:color w:val="auto"/>
                </w:rPr>
                <w:t>4.5、备件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_Toc229574403 \h</w:instrText>
              </w:r>
              <w:r>
                <w:rPr>
                  <w:rFonts w:hint="eastAsia"/>
                  <w:color w:val="auto"/>
                </w:rPr>
                <w:instrText xml:space="preserve"> </w:instrText>
              </w:r>
              <w:r>
                <w:rPr>
                  <w:rFonts w:hint="eastAsia"/>
                  <w:color w:val="auto"/>
                </w:rPr>
                <w:fldChar w:fldCharType="separate"/>
              </w:r>
              <w:r>
                <w:rPr>
                  <w:color w:val="auto"/>
                </w:rPr>
                <w:t>13</w:t>
              </w:r>
              <w:r>
                <w:rPr>
                  <w:rFonts w:hint="eastAsia"/>
                  <w:color w:val="auto"/>
                </w:rPr>
                <w:fldChar w:fldCharType="end"/>
              </w:r>
              <w:r>
                <w:rPr>
                  <w:rFonts w:hint="eastAsia"/>
                  <w:color w:val="auto"/>
                </w:rPr>
                <w:fldChar w:fldCharType="end"/>
              </w:r>
            </w:p>
            <w:p w14:paraId="1BFE1992">
              <w:pPr>
                <w:ind w:firstLine="199" w:firstLineChars="83"/>
                <w:rPr>
                  <w:b/>
                  <w:bCs/>
                  <w:color w:val="auto"/>
                  <w:lang w:val="zh-CN"/>
                </w:rPr>
              </w:pPr>
              <w:r>
                <w:rPr>
                  <w:color w:val="auto"/>
                </w:rPr>
                <w:fldChar w:fldCharType="end"/>
              </w:r>
            </w:p>
          </w:sdtContent>
        </w:sdt>
        <w:p w14:paraId="7E27B92C">
          <w:pPr>
            <w:ind w:firstLineChars="83"/>
            <w:rPr>
              <w:b/>
              <w:bCs/>
              <w:color w:val="auto"/>
              <w:lang w:val="zh-CN"/>
            </w:rPr>
          </w:pPr>
        </w:p>
        <w:p w14:paraId="54F7C398">
          <w:pPr>
            <w:widowControl/>
            <w:spacing w:line="240" w:lineRule="auto"/>
            <w:ind w:firstLine="0" w:firstLineChars="0"/>
            <w:jc w:val="left"/>
            <w:rPr>
              <w:b/>
              <w:bCs/>
              <w:color w:val="auto"/>
              <w:lang w:val="zh-CN"/>
            </w:rPr>
          </w:pPr>
          <w:r>
            <w:rPr>
              <w:b/>
              <w:bCs/>
              <w:color w:val="auto"/>
              <w:lang w:val="zh-CN"/>
            </w:rPr>
            <w:br w:type="page"/>
          </w:r>
        </w:p>
        <w:p w14:paraId="40178CBD">
          <w:pPr>
            <w:pStyle w:val="2"/>
            <w:rPr>
              <w:rFonts w:hint="eastAsia"/>
              <w:color w:val="auto"/>
            </w:rPr>
          </w:pPr>
          <w:bookmarkStart w:id="2" w:name="_Toc229574391"/>
          <w:r>
            <w:rPr>
              <w:rFonts w:hint="eastAsia"/>
              <w:b w:val="0"/>
              <w:bCs w:val="0"/>
              <w:color w:val="auto"/>
            </w:rPr>
            <w:t>一、</w:t>
          </w:r>
          <w:r>
            <w:rPr>
              <w:rFonts w:hint="eastAsia"/>
              <w:color w:val="auto"/>
            </w:rPr>
            <w:t>总则</w:t>
          </w:r>
          <w:bookmarkEnd w:id="2"/>
        </w:p>
        <w:p w14:paraId="627F056D">
          <w:pPr>
            <w:ind w:firstLine="480"/>
            <w:rPr>
              <w:color w:val="auto"/>
            </w:rPr>
          </w:pPr>
          <w:r>
            <w:rPr>
              <w:color w:val="auto"/>
            </w:rPr>
            <w:t>1</w:t>
          </w:r>
          <w:r>
            <w:rPr>
              <w:rFonts w:hint="eastAsia"/>
              <w:color w:val="auto"/>
            </w:rPr>
            <w:t>、本技术规格书适用于府谷能源投资集团五一矿业</w:t>
          </w:r>
          <w:r>
            <w:rPr>
              <w:color w:val="auto"/>
            </w:rPr>
            <w:t>8</w:t>
          </w:r>
          <w:r>
            <w:rPr>
              <w:color w:val="auto"/>
              <w:vertAlign w:val="superscript"/>
            </w:rPr>
            <w:t>-1</w:t>
          </w:r>
          <w:r>
            <w:rPr>
              <w:rFonts w:hint="eastAsia"/>
              <w:color w:val="auto"/>
            </w:rPr>
            <w:t>煤层与</w:t>
          </w:r>
          <w:r>
            <w:rPr>
              <w:color w:val="auto"/>
            </w:rPr>
            <w:t>8</w:t>
          </w:r>
          <w:r>
            <w:rPr>
              <w:color w:val="auto"/>
              <w:vertAlign w:val="superscript"/>
            </w:rPr>
            <w:t>-2</w:t>
          </w:r>
          <w:r>
            <w:rPr>
              <w:rFonts w:hint="eastAsia"/>
              <w:color w:val="auto"/>
            </w:rPr>
            <w:t>煤层智能化综采工作面成套装备配套项目，提出了对该成套装备的功能设计结构、性能和安装等方面的技术要求。</w:t>
          </w:r>
        </w:p>
        <w:p w14:paraId="3E000D7A">
          <w:pPr>
            <w:ind w:firstLine="480"/>
            <w:rPr>
              <w:color w:val="auto"/>
            </w:rPr>
          </w:pPr>
          <w:r>
            <w:rPr>
              <w:color w:val="auto"/>
            </w:rPr>
            <w:t>2</w:t>
          </w:r>
          <w:r>
            <w:rPr>
              <w:rFonts w:hint="eastAsia"/>
              <w:color w:val="auto"/>
            </w:rPr>
            <w:t>、需方在本技术规格书中提出了最低限度的技术要求，并未规定所有的技术要求和适用的标准，且未对一切技术细则做出规定，也未充分引述有关标准和规范的条文，供方应提供一套满足本规格书和现行有关标准要求的高质量产品及其相应服务。</w:t>
          </w:r>
        </w:p>
        <w:p w14:paraId="2311C3DC">
          <w:pPr>
            <w:ind w:firstLine="480"/>
            <w:rPr>
              <w:color w:val="auto"/>
            </w:rPr>
          </w:pPr>
          <w:r>
            <w:rPr>
              <w:color w:val="auto"/>
            </w:rPr>
            <w:t>3</w:t>
          </w:r>
          <w:r>
            <w:rPr>
              <w:rFonts w:hint="eastAsia"/>
              <w:color w:val="auto"/>
            </w:rPr>
            <w:t>、供方所提供的设备均应是没有使用过的、新的，采用先进、可靠的加工设备和制造工艺，具有良好的表面几何形状及合适的公差配合的设备；提供的所有零部件都具有良好的互换性，且便于安装、调整和维修；提供的所有零部件都必须能确保设备安全、持续、稳定地运行，保证向需方提供满意的产品。</w:t>
          </w:r>
        </w:p>
        <w:p w14:paraId="7B938DC9">
          <w:pPr>
            <w:ind w:firstLine="480"/>
            <w:rPr>
              <w:color w:val="auto"/>
            </w:rPr>
          </w:pPr>
          <w:r>
            <w:rPr>
              <w:rFonts w:hint="eastAsia"/>
              <w:color w:val="auto"/>
            </w:rPr>
            <w:t>4、所选设备要具有较高的可靠性，能够充分满足综采放顶煤工作面年产300万吨的要求。</w:t>
          </w:r>
        </w:p>
        <w:p w14:paraId="66B34111">
          <w:pPr>
            <w:ind w:firstLine="480"/>
            <w:rPr>
              <w:color w:val="auto"/>
            </w:rPr>
          </w:pPr>
          <w:r>
            <w:rPr>
              <w:rFonts w:hint="eastAsia"/>
              <w:color w:val="auto"/>
            </w:rPr>
            <w:t>5、优先选用国内外技术先进、性能优良的成熟装备，使综采放顶煤设备达到国际先进水平。</w:t>
          </w:r>
        </w:p>
        <w:p w14:paraId="05D41C7F">
          <w:pPr>
            <w:ind w:firstLine="480"/>
            <w:rPr>
              <w:color w:val="auto"/>
            </w:rPr>
          </w:pPr>
          <w:r>
            <w:rPr>
              <w:rFonts w:hint="eastAsia"/>
              <w:color w:val="auto"/>
            </w:rPr>
            <w:t>6、综采放顶煤工作面的配套设备必须适应与满足高产高效的需要，以工作面设备能力为基础，用设备协调性来保证工作面快速推进的需要。</w:t>
          </w:r>
        </w:p>
        <w:p w14:paraId="3555D628">
          <w:pPr>
            <w:ind w:firstLine="480"/>
            <w:rPr>
              <w:color w:val="auto"/>
            </w:rPr>
          </w:pPr>
          <w:r>
            <w:rPr>
              <w:rFonts w:hint="eastAsia"/>
              <w:color w:val="auto"/>
            </w:rPr>
            <w:t>7、根据</w:t>
          </w:r>
          <w:r>
            <w:rPr>
              <w:color w:val="auto"/>
            </w:rPr>
            <w:t>8</w:t>
          </w:r>
          <w:r>
            <w:rPr>
              <w:color w:val="auto"/>
              <w:vertAlign w:val="superscript"/>
            </w:rPr>
            <w:t>-1</w:t>
          </w:r>
          <w:r>
            <w:rPr>
              <w:rFonts w:hint="eastAsia"/>
              <w:color w:val="auto"/>
            </w:rPr>
            <w:t>煤层与</w:t>
          </w:r>
          <w:r>
            <w:rPr>
              <w:color w:val="auto"/>
            </w:rPr>
            <w:t>8</w:t>
          </w:r>
          <w:r>
            <w:rPr>
              <w:color w:val="auto"/>
              <w:vertAlign w:val="superscript"/>
            </w:rPr>
            <w:t>-2</w:t>
          </w:r>
          <w:r>
            <w:rPr>
              <w:rFonts w:hint="eastAsia"/>
              <w:color w:val="auto"/>
            </w:rPr>
            <w:t>煤层的地质构造情况，本次成套装备的选型设计需要兼顾两层煤开采技术。用于</w:t>
          </w:r>
          <w:r>
            <w:rPr>
              <w:color w:val="auto"/>
            </w:rPr>
            <w:t>8</w:t>
          </w:r>
          <w:r>
            <w:rPr>
              <w:color w:val="auto"/>
              <w:vertAlign w:val="superscript"/>
            </w:rPr>
            <w:t>-1</w:t>
          </w:r>
          <w:r>
            <w:rPr>
              <w:rFonts w:hint="eastAsia"/>
              <w:color w:val="auto"/>
            </w:rPr>
            <w:t>煤层开采为中厚煤层单一煤层开采。用于</w:t>
          </w:r>
          <w:r>
            <w:rPr>
              <w:color w:val="auto"/>
            </w:rPr>
            <w:t>8</w:t>
          </w:r>
          <w:r>
            <w:rPr>
              <w:color w:val="auto"/>
              <w:vertAlign w:val="superscript"/>
            </w:rPr>
            <w:t>-2</w:t>
          </w:r>
          <w:r>
            <w:rPr>
              <w:rFonts w:hint="eastAsia"/>
              <w:color w:val="auto"/>
            </w:rPr>
            <w:t>煤层开采为厚煤层放顶煤开采。用于</w:t>
          </w:r>
          <w:r>
            <w:rPr>
              <w:color w:val="auto"/>
            </w:rPr>
            <w:t>8</w:t>
          </w:r>
          <w:r>
            <w:rPr>
              <w:color w:val="auto"/>
              <w:vertAlign w:val="superscript"/>
            </w:rPr>
            <w:t>-2</w:t>
          </w:r>
          <w:r>
            <w:rPr>
              <w:rFonts w:hint="eastAsia"/>
              <w:color w:val="auto"/>
            </w:rPr>
            <w:t>煤层放顶煤开采的中间架也可用于</w:t>
          </w:r>
          <w:r>
            <w:rPr>
              <w:color w:val="auto"/>
            </w:rPr>
            <w:t>8</w:t>
          </w:r>
          <w:r>
            <w:rPr>
              <w:color w:val="auto"/>
              <w:vertAlign w:val="superscript"/>
            </w:rPr>
            <w:t>-1</w:t>
          </w:r>
          <w:r>
            <w:rPr>
              <w:rFonts w:hint="eastAsia"/>
              <w:color w:val="auto"/>
            </w:rPr>
            <w:t>煤层的单一煤层开采。</w:t>
          </w:r>
        </w:p>
        <w:p w14:paraId="390581D7">
          <w:pPr>
            <w:ind w:firstLine="480"/>
            <w:rPr>
              <w:color w:val="auto"/>
            </w:rPr>
          </w:pPr>
          <w:r>
            <w:rPr>
              <w:rFonts w:hint="eastAsia"/>
              <w:color w:val="auto"/>
            </w:rPr>
            <w:t>8、如果供方没有以书面形式对本规格书的条款提出异议，则意味着供方提供的设备（或系统）完全满足本规格书的要求。</w:t>
          </w:r>
        </w:p>
        <w:p w14:paraId="2352EF9F">
          <w:pPr>
            <w:ind w:firstLine="480"/>
            <w:rPr>
              <w:color w:val="auto"/>
            </w:rPr>
          </w:pPr>
          <w:r>
            <w:rPr>
              <w:rFonts w:hint="eastAsia"/>
              <w:color w:val="auto"/>
            </w:rPr>
            <w:t>9、供方须执行现行国家标准和行业标准。所有标准都会被修订，供需双方应探讨使用标准最新版本的可能性。有矛盾时，按现行的技术要求较高的标准执行。</w:t>
          </w:r>
        </w:p>
        <w:p w14:paraId="3FBF6A6C">
          <w:pPr>
            <w:ind w:firstLine="480"/>
            <w:rPr>
              <w:color w:val="auto"/>
            </w:rPr>
          </w:pPr>
          <w:r>
            <w:rPr>
              <w:rFonts w:hint="eastAsia"/>
              <w:color w:val="auto"/>
            </w:rPr>
            <w:t>10、本项目包含设计、供货、安装及调试等全部费用。</w:t>
          </w:r>
        </w:p>
        <w:p w14:paraId="2D628BE6">
          <w:pPr>
            <w:pStyle w:val="2"/>
            <w:pageBreakBefore/>
            <w:rPr>
              <w:rFonts w:hint="eastAsia"/>
              <w:color w:val="auto"/>
            </w:rPr>
          </w:pPr>
          <w:bookmarkStart w:id="3" w:name="_Toc229574392"/>
          <w:r>
            <w:rPr>
              <w:rFonts w:hint="eastAsia"/>
              <w:color w:val="auto"/>
            </w:rPr>
            <w:t>二、项目概况</w:t>
          </w:r>
          <w:bookmarkEnd w:id="3"/>
        </w:p>
        <w:p w14:paraId="389DC827">
          <w:pPr>
            <w:ind w:firstLine="480"/>
            <w:rPr>
              <w:color w:val="auto"/>
            </w:rPr>
          </w:pPr>
          <w:r>
            <w:rPr>
              <w:rFonts w:hint="eastAsia"/>
              <w:color w:val="auto"/>
            </w:rPr>
            <w:t>针对府能集团</w:t>
          </w:r>
          <w:r>
            <w:rPr>
              <w:color w:val="auto"/>
            </w:rPr>
            <w:t>五一矿业8</w:t>
          </w:r>
          <w:r>
            <w:rPr>
              <w:color w:val="auto"/>
              <w:vertAlign w:val="superscript"/>
            </w:rPr>
            <w:t>-1</w:t>
          </w:r>
          <w:r>
            <w:rPr>
              <w:rFonts w:hint="eastAsia"/>
              <w:color w:val="auto"/>
            </w:rPr>
            <w:t>和</w:t>
          </w:r>
          <w:r>
            <w:rPr>
              <w:color w:val="auto"/>
            </w:rPr>
            <w:t>8</w:t>
          </w:r>
          <w:r>
            <w:rPr>
              <w:color w:val="auto"/>
              <w:vertAlign w:val="superscript"/>
            </w:rPr>
            <w:t>-2</w:t>
          </w:r>
          <w:r>
            <w:rPr>
              <w:rFonts w:hint="eastAsia"/>
              <w:color w:val="auto"/>
            </w:rPr>
            <w:t>两层煤开采设计选型综采工作面成套装备配套，选型配套装备用于</w:t>
          </w:r>
          <w:r>
            <w:rPr>
              <w:color w:val="auto"/>
            </w:rPr>
            <w:t>8</w:t>
          </w:r>
          <w:r>
            <w:rPr>
              <w:color w:val="auto"/>
              <w:vertAlign w:val="superscript"/>
            </w:rPr>
            <w:t>-1</w:t>
          </w:r>
          <w:r>
            <w:rPr>
              <w:rFonts w:hint="eastAsia"/>
              <w:color w:val="auto"/>
            </w:rPr>
            <w:t>中厚煤层单一煤层开采和用于</w:t>
          </w:r>
          <w:r>
            <w:rPr>
              <w:color w:val="auto"/>
            </w:rPr>
            <w:t>8</w:t>
          </w:r>
          <w:r>
            <w:rPr>
              <w:color w:val="auto"/>
              <w:vertAlign w:val="superscript"/>
            </w:rPr>
            <w:t>-2</w:t>
          </w:r>
          <w:r>
            <w:rPr>
              <w:rFonts w:hint="eastAsia"/>
              <w:color w:val="auto"/>
            </w:rPr>
            <w:t>厚煤层放顶煤开采。</w:t>
          </w:r>
          <w:r>
            <w:rPr>
              <w:color w:val="auto"/>
            </w:rPr>
            <w:t>8</w:t>
          </w:r>
          <w:r>
            <w:rPr>
              <w:color w:val="auto"/>
              <w:vertAlign w:val="superscript"/>
            </w:rPr>
            <w:t>-1</w:t>
          </w:r>
          <w:r>
            <w:rPr>
              <w:color w:val="auto"/>
            </w:rPr>
            <w:t>煤层厚度0.96~4.47m，平均煤厚2.24m</w:t>
          </w:r>
          <w:r>
            <w:rPr>
              <w:rFonts w:hint="eastAsia"/>
              <w:color w:val="auto"/>
            </w:rPr>
            <w:t>，煤层厚度变化较大，由东向西变薄。</w:t>
          </w:r>
          <w:r>
            <w:rPr>
              <w:color w:val="auto"/>
            </w:rPr>
            <w:t>8</w:t>
          </w:r>
          <w:r>
            <w:rPr>
              <w:color w:val="auto"/>
              <w:vertAlign w:val="superscript"/>
            </w:rPr>
            <w:t>-2</w:t>
          </w:r>
          <w:r>
            <w:rPr>
              <w:rFonts w:hint="eastAsia"/>
              <w:color w:val="auto"/>
            </w:rPr>
            <w:t>煤层厚度</w:t>
          </w:r>
          <w:r>
            <w:rPr>
              <w:color w:val="auto"/>
            </w:rPr>
            <w:t>2.00~13.45m</w:t>
          </w:r>
          <w:r>
            <w:rPr>
              <w:rFonts w:hint="eastAsia"/>
              <w:color w:val="auto"/>
            </w:rPr>
            <w:t>，平均</w:t>
          </w:r>
          <w:r>
            <w:rPr>
              <w:color w:val="auto"/>
            </w:rPr>
            <w:t>8.74m</w:t>
          </w:r>
          <w:r>
            <w:rPr>
              <w:rFonts w:hint="eastAsia"/>
              <w:color w:val="auto"/>
            </w:rPr>
            <w:t>，煤层赋存稳定</w:t>
          </w:r>
          <w:r>
            <w:rPr>
              <w:color w:val="auto"/>
            </w:rPr>
            <w:t>。</w:t>
          </w:r>
        </w:p>
        <w:p w14:paraId="18145298">
          <w:pPr>
            <w:ind w:firstLine="480"/>
            <w:rPr>
              <w:color w:val="auto"/>
            </w:rPr>
          </w:pPr>
          <w:r>
            <w:rPr>
              <w:rFonts w:hint="eastAsia"/>
              <w:color w:val="auto"/>
            </w:rPr>
            <w:t>根据采区划分方案，12 采区为双翼采区，布置在8</w:t>
          </w:r>
          <w:r>
            <w:rPr>
              <w:rFonts w:hint="eastAsia"/>
              <w:color w:val="auto"/>
              <w:vertAlign w:val="superscript"/>
            </w:rPr>
            <w:t>-2</w:t>
          </w:r>
          <w:r>
            <w:rPr>
              <w:rFonts w:hint="eastAsia"/>
              <w:color w:val="auto"/>
            </w:rPr>
            <w:t xml:space="preserve"> 煤层的三条大巷兼作采区巷道，辅助运输大巷布置在东侧，回风大巷布置在西侧，带式输送机大巷布置中间，回采工作面沿大巷条带式布置。三条大巷均选用矩形断面，锚喷支护，巷道间距40m。</w:t>
          </w:r>
        </w:p>
        <w:p w14:paraId="5EB13D33">
          <w:pPr>
            <w:ind w:firstLine="480"/>
            <w:rPr>
              <w:color w:val="auto"/>
            </w:rPr>
          </w:pPr>
          <w:r>
            <w:rPr>
              <w:rFonts w:hint="eastAsia"/>
              <w:color w:val="auto"/>
            </w:rPr>
            <w:t>12 采区首采煤层为8</w:t>
          </w:r>
          <w:r>
            <w:rPr>
              <w:rFonts w:hint="eastAsia"/>
              <w:color w:val="auto"/>
              <w:vertAlign w:val="superscript"/>
            </w:rPr>
            <w:t>-1</w:t>
          </w:r>
          <w:r>
            <w:rPr>
              <w:rFonts w:hint="eastAsia"/>
              <w:color w:val="auto"/>
            </w:rPr>
            <w:t xml:space="preserve"> 煤层。回采工作面巷道均采用三巷式布置，一条回风巷、两条运输巷，其中一条运输巷铺设带式输送机，另一条运输巷用于辅助运输，在本工作面采完后，辅助运输巷作兼做下一个工作面的回风巷；采区内同煤层各工作面间采用后退式顺序开采，两条运输巷间距暂定为25m（即留有20m 的煤柱），生产中可根据工作面实际矿压情况对间距进行适当调整，尽量提高煤炭回收率。</w:t>
          </w:r>
        </w:p>
        <w:p w14:paraId="5085BF45">
          <w:pPr>
            <w:ind w:firstLine="480"/>
            <w:rPr>
              <w:color w:val="auto"/>
            </w:rPr>
          </w:pPr>
          <w:r>
            <w:rPr>
              <w:color w:val="auto"/>
            </w:rPr>
            <w:t>工作面</w:t>
          </w:r>
          <w:r>
            <w:rPr>
              <w:rFonts w:hint="eastAsia"/>
              <w:color w:val="auto"/>
            </w:rPr>
            <w:t>装备</w:t>
          </w:r>
          <w:r>
            <w:rPr>
              <w:color w:val="auto"/>
            </w:rPr>
            <w:t>应在矿山压力及设备允许的范围内，应尽可能增大机采高度，以最大限度的提高工作面回采率。按有利于提高煤炭回收率、缩短循环放煤时间的原则，考虑综采放顶煤开采端面顶煤稳定性控制和设备稳定性、可靠性确定五一煤矿综采</w:t>
          </w:r>
          <w:r>
            <w:rPr>
              <w:rFonts w:hint="eastAsia"/>
              <w:color w:val="auto"/>
            </w:rPr>
            <w:t>放顶煤</w:t>
          </w:r>
          <w:r>
            <w:rPr>
              <w:color w:val="auto"/>
            </w:rPr>
            <w:t>工作面采高为2.2~3.8m，相应支架最大结构高度为4m。</w:t>
          </w:r>
        </w:p>
        <w:p w14:paraId="36078991">
          <w:pPr>
            <w:ind w:firstLine="480"/>
            <w:rPr>
              <w:color w:val="auto"/>
            </w:rPr>
          </w:pPr>
          <w:r>
            <w:rPr>
              <w:color w:val="auto"/>
            </w:rPr>
            <w:t>首采工作面开采8</w:t>
          </w:r>
          <w:r>
            <w:rPr>
              <w:color w:val="auto"/>
              <w:vertAlign w:val="superscript"/>
            </w:rPr>
            <w:t>-1</w:t>
          </w:r>
          <w:r>
            <w:rPr>
              <w:color w:val="auto"/>
            </w:rPr>
            <w:t>煤，考虑到煤层压茬关系，首采工作面布置在大巷东侧。为使矿井初期工程量少及达产快，设计将综采放顶煤工作面布置柳林则村庄煤柱南侧，工作面长度1</w:t>
          </w:r>
          <w:r>
            <w:rPr>
              <w:rFonts w:hint="eastAsia"/>
              <w:color w:val="auto"/>
            </w:rPr>
            <w:t>6</w:t>
          </w:r>
          <w:r>
            <w:rPr>
              <w:color w:val="auto"/>
            </w:rPr>
            <w:t>5</w:t>
          </w:r>
          <w:r>
            <w:rPr>
              <w:rFonts w:hint="eastAsia"/>
              <w:color w:val="auto"/>
            </w:rPr>
            <w:t>.75</w:t>
          </w:r>
          <w:r>
            <w:rPr>
              <w:color w:val="auto"/>
            </w:rPr>
            <w:t>m，推进长度约2000m。</w:t>
          </w:r>
        </w:p>
        <w:p w14:paraId="5A354ECC">
          <w:pPr>
            <w:ind w:firstLine="480"/>
            <w:rPr>
              <w:color w:val="auto"/>
            </w:rPr>
          </w:pPr>
          <w:r>
            <w:rPr>
              <w:rFonts w:hint="eastAsia"/>
              <w:color w:val="auto"/>
            </w:rPr>
            <w:t>其他开采技术条件：采区煤层瓦斯含量低。煤尘均具有爆炸危险性。煤层属易自燃煤层。煤层顶底板稳定性好。</w:t>
          </w:r>
        </w:p>
        <w:p w14:paraId="4A1CE11E">
          <w:pPr>
            <w:ind w:firstLine="480"/>
            <w:rPr>
              <w:color w:val="auto"/>
            </w:rPr>
          </w:pPr>
          <w:r>
            <w:rPr>
              <w:rFonts w:hint="eastAsia"/>
              <w:color w:val="auto"/>
            </w:rPr>
            <w:t>配套：</w:t>
          </w:r>
        </w:p>
        <w:p w14:paraId="50F52326">
          <w:pPr>
            <w:ind w:firstLine="480"/>
            <w:rPr>
              <w:color w:val="auto"/>
            </w:rPr>
          </w:pPr>
          <w:r>
            <w:rPr>
              <w:rFonts w:hint="eastAsia"/>
              <w:color w:val="auto"/>
            </w:rPr>
            <w:t>中间架：</w:t>
          </w:r>
          <w:r>
            <w:rPr>
              <w:color w:val="auto"/>
            </w:rPr>
            <w:t>ZFY12000/22/40D</w:t>
          </w:r>
        </w:p>
        <w:p w14:paraId="67524E2E">
          <w:pPr>
            <w:ind w:firstLine="480"/>
            <w:rPr>
              <w:color w:val="auto"/>
            </w:rPr>
          </w:pPr>
          <w:r>
            <w:rPr>
              <w:rFonts w:hint="eastAsia"/>
              <w:color w:val="auto"/>
            </w:rPr>
            <w:t>过渡架：</w:t>
          </w:r>
          <w:r>
            <w:rPr>
              <w:color w:val="auto"/>
            </w:rPr>
            <w:t>ZFG12000/24/40D</w:t>
          </w:r>
        </w:p>
        <w:p w14:paraId="5B8E31B2">
          <w:pPr>
            <w:ind w:firstLine="480"/>
            <w:rPr>
              <w:color w:val="auto"/>
            </w:rPr>
          </w:pPr>
          <w:r>
            <w:rPr>
              <w:rFonts w:hint="eastAsia"/>
              <w:color w:val="auto"/>
            </w:rPr>
            <w:t>端头架：</w:t>
          </w:r>
          <w:r>
            <w:rPr>
              <w:color w:val="auto"/>
            </w:rPr>
            <w:t>2xZQL2x5000/2</w:t>
          </w:r>
          <w:r>
            <w:rPr>
              <w:rFonts w:hint="eastAsia"/>
              <w:color w:val="auto"/>
            </w:rPr>
            <w:t>2</w:t>
          </w:r>
          <w:r>
            <w:rPr>
              <w:color w:val="auto"/>
            </w:rPr>
            <w:t>/40D</w:t>
          </w:r>
        </w:p>
        <w:p w14:paraId="79156495">
          <w:pPr>
            <w:ind w:firstLine="480"/>
            <w:rPr>
              <w:color w:val="auto"/>
            </w:rPr>
          </w:pPr>
          <w:bookmarkStart w:id="4" w:name="_Hlk200913240"/>
          <w:r>
            <w:rPr>
              <w:rFonts w:hint="eastAsia"/>
              <w:color w:val="auto"/>
            </w:rPr>
            <w:t>前部刮板运输机：</w:t>
          </w:r>
          <w:r>
            <w:rPr>
              <w:color w:val="auto"/>
            </w:rPr>
            <w:t>SGZ900/</w:t>
          </w:r>
          <w:r>
            <w:rPr>
              <w:rFonts w:hint="eastAsia"/>
              <w:color w:val="auto"/>
            </w:rPr>
            <w:t>2x7</w:t>
          </w:r>
          <w:r>
            <w:rPr>
              <w:color w:val="auto"/>
            </w:rPr>
            <w:t>00</w:t>
          </w:r>
        </w:p>
        <w:p w14:paraId="44C0B00D">
          <w:pPr>
            <w:ind w:firstLine="480"/>
            <w:rPr>
              <w:color w:val="auto"/>
            </w:rPr>
          </w:pPr>
          <w:r>
            <w:rPr>
              <w:rFonts w:hint="eastAsia"/>
              <w:color w:val="auto"/>
            </w:rPr>
            <w:t>后部刮板运输机：</w:t>
          </w:r>
          <w:r>
            <w:rPr>
              <w:color w:val="auto"/>
            </w:rPr>
            <w:t>SGZ</w:t>
          </w:r>
          <w:r>
            <w:rPr>
              <w:rFonts w:hint="eastAsia"/>
              <w:color w:val="auto"/>
            </w:rPr>
            <w:t>10</w:t>
          </w:r>
          <w:r>
            <w:rPr>
              <w:color w:val="auto"/>
            </w:rPr>
            <w:t>00/2x700</w:t>
          </w:r>
          <w:bookmarkEnd w:id="4"/>
        </w:p>
        <w:p w14:paraId="2F2EA962">
          <w:pPr>
            <w:pStyle w:val="2"/>
            <w:pageBreakBefore/>
            <w:rPr>
              <w:rFonts w:hint="eastAsia"/>
              <w:color w:val="auto"/>
            </w:rPr>
          </w:pPr>
          <w:bookmarkStart w:id="5" w:name="_Toc229574393"/>
          <w:r>
            <w:rPr>
              <w:rFonts w:hint="eastAsia"/>
              <w:color w:val="auto"/>
            </w:rPr>
            <w:t>三、采煤机主要技术参数及要求</w:t>
          </w:r>
          <w:bookmarkEnd w:id="5"/>
        </w:p>
        <w:p w14:paraId="2C24D318">
          <w:pPr>
            <w:pStyle w:val="3"/>
            <w:rPr>
              <w:rFonts w:hint="eastAsia"/>
              <w:color w:val="auto"/>
            </w:rPr>
          </w:pPr>
          <w:bookmarkStart w:id="6" w:name="_Toc229574394"/>
          <w:r>
            <w:rPr>
              <w:rFonts w:hint="eastAsia"/>
              <w:color w:val="auto"/>
            </w:rPr>
            <w:t>3.1、采煤机主要技术参数</w:t>
          </w:r>
          <w:bookmarkEnd w:id="6"/>
        </w:p>
        <w:p w14:paraId="1BC305EE">
          <w:pPr>
            <w:ind w:firstLine="480"/>
            <w:rPr>
              <w:color w:val="auto"/>
            </w:rPr>
          </w:pPr>
          <w:r>
            <w:rPr>
              <w:rFonts w:hint="eastAsia"/>
              <w:color w:val="auto"/>
            </w:rPr>
            <w:t>1）双滚筒采煤机型号：MG500/1180-WD</w:t>
          </w:r>
        </w:p>
        <w:p w14:paraId="23C73682">
          <w:pPr>
            <w:ind w:firstLine="480"/>
            <w:rPr>
              <w:color w:val="auto"/>
            </w:rPr>
          </w:pPr>
          <w:r>
            <w:rPr>
              <w:rFonts w:hint="eastAsia"/>
              <w:color w:val="auto"/>
            </w:rPr>
            <w:t>2）</w:t>
          </w:r>
          <w:bookmarkStart w:id="7" w:name="_Hlk200913160"/>
          <w:r>
            <w:rPr>
              <w:rFonts w:hint="eastAsia"/>
              <w:color w:val="auto"/>
            </w:rPr>
            <w:t>总装机功率：118</w:t>
          </w:r>
          <w:r>
            <w:rPr>
              <w:color w:val="auto"/>
            </w:rPr>
            <w:t>0</w:t>
          </w:r>
          <w:r>
            <w:rPr>
              <w:rFonts w:hint="eastAsia"/>
              <w:color w:val="auto"/>
            </w:rPr>
            <w:t>kW</w:t>
          </w:r>
        </w:p>
        <w:p w14:paraId="2C82D1CD">
          <w:pPr>
            <w:ind w:firstLine="480"/>
            <w:rPr>
              <w:color w:val="auto"/>
            </w:rPr>
          </w:pPr>
          <w:r>
            <w:rPr>
              <w:rFonts w:hint="eastAsia"/>
              <w:color w:val="auto"/>
            </w:rPr>
            <w:t>3）截割电机功率：2</w:t>
          </w:r>
          <w:r>
            <w:rPr>
              <w:rFonts w:hint="eastAsia"/>
              <w:b/>
              <w:color w:val="auto"/>
              <w:sz w:val="15"/>
            </w:rPr>
            <w:t>╳</w:t>
          </w:r>
          <w:r>
            <w:rPr>
              <w:rFonts w:hint="eastAsia"/>
              <w:color w:val="auto"/>
            </w:rPr>
            <w:t>500kW</w:t>
          </w:r>
        </w:p>
        <w:bookmarkEnd w:id="7"/>
        <w:p w14:paraId="31B75E45">
          <w:pPr>
            <w:ind w:firstLine="480"/>
            <w:rPr>
              <w:color w:val="auto"/>
            </w:rPr>
          </w:pPr>
          <w:r>
            <w:rPr>
              <w:rFonts w:hint="eastAsia"/>
              <w:color w:val="auto"/>
            </w:rPr>
            <w:t>4）牵引功率：2</w:t>
          </w:r>
          <w:bookmarkStart w:id="8" w:name="_Hlk29123633"/>
          <w:r>
            <w:rPr>
              <w:rFonts w:hint="eastAsia"/>
              <w:b/>
              <w:color w:val="auto"/>
              <w:sz w:val="15"/>
            </w:rPr>
            <w:t>╳</w:t>
          </w:r>
          <w:bookmarkEnd w:id="8"/>
          <w:r>
            <w:rPr>
              <w:rFonts w:hint="eastAsia"/>
              <w:color w:val="auto"/>
            </w:rPr>
            <w:t>75kW</w:t>
          </w:r>
        </w:p>
        <w:p w14:paraId="62A84AC4">
          <w:pPr>
            <w:ind w:firstLine="480"/>
            <w:rPr>
              <w:color w:val="auto"/>
            </w:rPr>
          </w:pPr>
          <w:r>
            <w:rPr>
              <w:rFonts w:hint="eastAsia"/>
              <w:color w:val="auto"/>
            </w:rPr>
            <w:t>5）</w:t>
          </w:r>
          <w:bookmarkStart w:id="9" w:name="OLE_LINK2"/>
          <w:r>
            <w:rPr>
              <w:rFonts w:hint="eastAsia"/>
              <w:color w:val="auto"/>
            </w:rPr>
            <w:t>生产能力：≥1500</w:t>
          </w:r>
          <w:r>
            <w:rPr>
              <w:color w:val="auto"/>
            </w:rPr>
            <w:t>t/h</w:t>
          </w:r>
        </w:p>
        <w:p w14:paraId="6D4928E7">
          <w:pPr>
            <w:ind w:firstLine="480"/>
            <w:rPr>
              <w:color w:val="auto"/>
            </w:rPr>
          </w:pPr>
          <w:r>
            <w:rPr>
              <w:rFonts w:hint="eastAsia"/>
              <w:color w:val="auto"/>
            </w:rPr>
            <w:t>6）采高范围：</w:t>
          </w:r>
          <w:r>
            <w:rPr>
              <w:color w:val="auto"/>
            </w:rPr>
            <w:t>2</w:t>
          </w:r>
          <w:r>
            <w:rPr>
              <w:rFonts w:hint="eastAsia"/>
              <w:color w:val="auto"/>
            </w:rPr>
            <w:t>.24～4.2m</w:t>
          </w:r>
        </w:p>
        <w:bookmarkEnd w:id="9"/>
        <w:p w14:paraId="2AB30EBF">
          <w:pPr>
            <w:ind w:firstLine="480"/>
            <w:rPr>
              <w:color w:val="auto"/>
            </w:rPr>
          </w:pPr>
          <w:r>
            <w:rPr>
              <w:rFonts w:hint="eastAsia"/>
              <w:color w:val="auto"/>
            </w:rPr>
            <w:t>7）</w:t>
          </w:r>
          <w:r>
            <w:rPr>
              <w:color w:val="auto"/>
            </w:rPr>
            <w:t>适应煤层倾角：</w:t>
          </w:r>
          <w:r>
            <w:rPr>
              <w:rFonts w:hint="eastAsia"/>
              <w:color w:val="auto"/>
            </w:rPr>
            <w:t>走向倾角≤10</w:t>
          </w:r>
          <w:r>
            <w:rPr>
              <w:color w:val="auto"/>
            </w:rPr>
            <w:t>°</w:t>
          </w:r>
          <w:r>
            <w:rPr>
              <w:rFonts w:hint="eastAsia"/>
              <w:color w:val="auto"/>
            </w:rPr>
            <w:t>，倾向倾角≤15</w:t>
          </w:r>
          <w:r>
            <w:rPr>
              <w:color w:val="auto"/>
            </w:rPr>
            <w:t>°</w:t>
          </w:r>
        </w:p>
        <w:p w14:paraId="32496D5C">
          <w:pPr>
            <w:ind w:firstLine="480"/>
            <w:rPr>
              <w:color w:val="auto"/>
            </w:rPr>
          </w:pPr>
          <w:r>
            <w:rPr>
              <w:rFonts w:hint="eastAsia"/>
              <w:color w:val="auto"/>
            </w:rPr>
            <w:t>8）</w:t>
          </w:r>
          <w:r>
            <w:rPr>
              <w:color w:val="auto"/>
            </w:rPr>
            <w:t>适应煤质硬度：f</w:t>
          </w:r>
          <w:r>
            <w:rPr>
              <w:rFonts w:hint="eastAsia"/>
              <w:color w:val="auto"/>
            </w:rPr>
            <w:t>≥4</w:t>
          </w:r>
        </w:p>
        <w:p w14:paraId="45F53033">
          <w:pPr>
            <w:ind w:firstLine="480"/>
            <w:rPr>
              <w:color w:val="auto"/>
            </w:rPr>
          </w:pPr>
          <w:r>
            <w:rPr>
              <w:rFonts w:hint="eastAsia"/>
              <w:color w:val="auto"/>
            </w:rPr>
            <w:t>9）有效截深：800mm</w:t>
          </w:r>
        </w:p>
        <w:p w14:paraId="6A46DCD5">
          <w:pPr>
            <w:ind w:firstLine="480"/>
            <w:rPr>
              <w:color w:val="auto"/>
            </w:rPr>
          </w:pPr>
          <w:r>
            <w:rPr>
              <w:rFonts w:hint="eastAsia"/>
              <w:color w:val="auto"/>
            </w:rPr>
            <w:t>10）</w:t>
          </w:r>
          <w:bookmarkStart w:id="10" w:name="_Hlk200913201"/>
          <w:r>
            <w:rPr>
              <w:rFonts w:hint="eastAsia"/>
              <w:color w:val="auto"/>
            </w:rPr>
            <w:t>滚筒</w:t>
          </w:r>
          <w:bookmarkStart w:id="11" w:name="OLE_LINK1"/>
          <w:r>
            <w:rPr>
              <w:rFonts w:hint="eastAsia"/>
              <w:color w:val="auto"/>
            </w:rPr>
            <w:t>直径</w:t>
          </w:r>
          <w:bookmarkEnd w:id="11"/>
          <w:r>
            <w:rPr>
              <w:rFonts w:hint="eastAsia"/>
              <w:color w:val="auto"/>
            </w:rPr>
            <w:t>：φ</w:t>
          </w:r>
          <w:r>
            <w:rPr>
              <w:color w:val="auto"/>
            </w:rPr>
            <w:t>2</w:t>
          </w:r>
          <w:r>
            <w:rPr>
              <w:rFonts w:hint="eastAsia"/>
              <w:color w:val="auto"/>
            </w:rPr>
            <w:t>000mm</w:t>
          </w:r>
          <w:bookmarkEnd w:id="10"/>
          <w:r>
            <w:rPr>
              <w:rFonts w:hint="eastAsia"/>
              <w:color w:val="auto"/>
            </w:rPr>
            <w:t xml:space="preserve"> </w:t>
          </w:r>
        </w:p>
        <w:p w14:paraId="3B92BC15">
          <w:pPr>
            <w:ind w:firstLine="480"/>
            <w:rPr>
              <w:color w:val="auto"/>
            </w:rPr>
          </w:pPr>
          <w:r>
            <w:rPr>
              <w:rFonts w:hint="eastAsia"/>
              <w:color w:val="auto"/>
            </w:rPr>
            <w:t>11）机面高度：≤1</w:t>
          </w:r>
          <w:r>
            <w:rPr>
              <w:color w:val="auto"/>
            </w:rPr>
            <w:t>.</w:t>
          </w:r>
          <w:r>
            <w:rPr>
              <w:rFonts w:hint="eastAsia"/>
              <w:color w:val="auto"/>
            </w:rPr>
            <w:t>6</w:t>
          </w:r>
          <w:r>
            <w:rPr>
              <w:color w:val="auto"/>
            </w:rPr>
            <w:t>m</w:t>
          </w:r>
        </w:p>
        <w:p w14:paraId="07465044">
          <w:pPr>
            <w:ind w:firstLine="480"/>
            <w:rPr>
              <w:color w:val="auto"/>
            </w:rPr>
          </w:pPr>
          <w:r>
            <w:rPr>
              <w:rFonts w:hint="eastAsia"/>
              <w:color w:val="auto"/>
            </w:rPr>
            <w:t>12）过煤高度：≥650mm</w:t>
          </w:r>
        </w:p>
        <w:p w14:paraId="2F8203FD">
          <w:pPr>
            <w:ind w:firstLine="480"/>
            <w:rPr>
              <w:color w:val="auto"/>
            </w:rPr>
          </w:pPr>
          <w:r>
            <w:rPr>
              <w:rFonts w:hint="eastAsia"/>
              <w:color w:val="auto"/>
            </w:rPr>
            <w:t>13）中部槽卧底量：≥300mm</w:t>
          </w:r>
        </w:p>
        <w:p w14:paraId="29DFDF19">
          <w:pPr>
            <w:ind w:firstLine="480"/>
            <w:rPr>
              <w:color w:val="auto"/>
            </w:rPr>
          </w:pPr>
          <w:r>
            <w:rPr>
              <w:rFonts w:hint="eastAsia"/>
              <w:color w:val="auto"/>
            </w:rPr>
            <w:t>14）牵引方式：电牵引</w:t>
          </w:r>
        </w:p>
        <w:p w14:paraId="0C7E81ED">
          <w:pPr>
            <w:ind w:firstLine="480"/>
            <w:rPr>
              <w:color w:val="auto"/>
            </w:rPr>
          </w:pPr>
          <w:r>
            <w:rPr>
              <w:rFonts w:hint="eastAsia"/>
              <w:color w:val="auto"/>
            </w:rPr>
            <w:t>15）调速方式：</w:t>
          </w:r>
          <w:bookmarkStart w:id="12" w:name="OLE_LINK3"/>
          <w:r>
            <w:rPr>
              <w:rFonts w:hint="eastAsia"/>
              <w:color w:val="auto"/>
            </w:rPr>
            <w:t>机载“一拖一”交流变频调速</w:t>
          </w:r>
          <w:bookmarkEnd w:id="12"/>
        </w:p>
        <w:p w14:paraId="6C4B0B48">
          <w:pPr>
            <w:ind w:firstLine="480"/>
            <w:rPr>
              <w:color w:val="auto"/>
            </w:rPr>
          </w:pPr>
          <w:r>
            <w:rPr>
              <w:rFonts w:hint="eastAsia"/>
              <w:color w:val="auto"/>
            </w:rPr>
            <w:t>16）牵引型式：齿轮-锻造强力销排，销排节距1</w:t>
          </w:r>
          <w:r>
            <w:rPr>
              <w:color w:val="auto"/>
            </w:rPr>
            <w:t>47</w:t>
          </w:r>
          <w:r>
            <w:rPr>
              <w:rFonts w:hint="eastAsia"/>
              <w:color w:val="auto"/>
            </w:rPr>
            <w:t>mm</w:t>
          </w:r>
        </w:p>
        <w:p w14:paraId="15FCAD1D">
          <w:pPr>
            <w:ind w:firstLine="480"/>
            <w:rPr>
              <w:color w:val="auto"/>
            </w:rPr>
          </w:pPr>
          <w:r>
            <w:rPr>
              <w:rFonts w:hint="eastAsia"/>
              <w:color w:val="auto"/>
            </w:rPr>
            <w:t>17）牵引速度：0～7.26/12.1(m/min)</w:t>
          </w:r>
        </w:p>
        <w:p w14:paraId="1989F101">
          <w:pPr>
            <w:ind w:firstLine="480"/>
            <w:rPr>
              <w:color w:val="auto"/>
            </w:rPr>
          </w:pPr>
          <w:r>
            <w:rPr>
              <w:rFonts w:hint="eastAsia"/>
              <w:color w:val="auto"/>
            </w:rPr>
            <w:t>18）牵 引 力：985/590kN</w:t>
          </w:r>
        </w:p>
        <w:p w14:paraId="5BEF6111">
          <w:pPr>
            <w:ind w:firstLine="480"/>
            <w:rPr>
              <w:color w:val="auto"/>
            </w:rPr>
          </w:pPr>
          <w:r>
            <w:rPr>
              <w:rFonts w:hint="eastAsia"/>
              <w:color w:val="auto"/>
            </w:rPr>
            <w:t>19）供电电压：3300V</w:t>
          </w:r>
        </w:p>
        <w:p w14:paraId="096BC1BD">
          <w:pPr>
            <w:ind w:firstLine="480"/>
            <w:rPr>
              <w:color w:val="auto"/>
            </w:rPr>
          </w:pPr>
          <w:r>
            <w:rPr>
              <w:rFonts w:hint="eastAsia"/>
              <w:color w:val="auto"/>
            </w:rPr>
            <w:t>20）整机重量：~70000kg</w:t>
          </w:r>
        </w:p>
        <w:p w14:paraId="05F42D1B">
          <w:pPr>
            <w:ind w:firstLine="480"/>
            <w:rPr>
              <w:color w:val="auto"/>
            </w:rPr>
          </w:pPr>
          <w:r>
            <w:rPr>
              <w:rFonts w:hint="eastAsia"/>
              <w:color w:val="auto"/>
            </w:rPr>
            <w:t>21）操作形式及布置：无线电遥控、端头站控制、本机控制、应急控制</w:t>
          </w:r>
        </w:p>
        <w:p w14:paraId="03731631">
          <w:pPr>
            <w:ind w:firstLine="480"/>
            <w:rPr>
              <w:color w:val="auto"/>
            </w:rPr>
          </w:pPr>
          <w:r>
            <w:rPr>
              <w:rFonts w:hint="eastAsia"/>
              <w:color w:val="auto"/>
            </w:rPr>
            <w:t>22）控制方式：DSP控制技术</w:t>
          </w:r>
        </w:p>
        <w:p w14:paraId="7126FDCF">
          <w:pPr>
            <w:ind w:firstLine="480"/>
            <w:rPr>
              <w:color w:val="auto"/>
            </w:rPr>
          </w:pPr>
          <w:r>
            <w:rPr>
              <w:rFonts w:hint="eastAsia"/>
              <w:color w:val="auto"/>
            </w:rPr>
            <w:t>23）冷却方式：水冷却</w:t>
          </w:r>
        </w:p>
        <w:p w14:paraId="7FE3EE40">
          <w:pPr>
            <w:ind w:firstLine="480"/>
            <w:rPr>
              <w:color w:val="auto"/>
            </w:rPr>
          </w:pPr>
          <w:r>
            <w:rPr>
              <w:rFonts w:hint="eastAsia"/>
              <w:color w:val="auto"/>
            </w:rPr>
            <w:t>24）灭尘方式：内外喷雾，内喷雾故障时，外喷雾压力不小于8MPa</w:t>
          </w:r>
        </w:p>
        <w:p w14:paraId="6637F76C">
          <w:pPr>
            <w:ind w:firstLine="480"/>
            <w:rPr>
              <w:color w:val="auto"/>
            </w:rPr>
          </w:pPr>
          <w:r>
            <w:rPr>
              <w:rFonts w:hint="eastAsia"/>
              <w:color w:val="auto"/>
            </w:rPr>
            <w:t>25）配套刮板机中部槽内宽：900mm</w:t>
          </w:r>
        </w:p>
        <w:p w14:paraId="0C1BD2EA">
          <w:pPr>
            <w:ind w:firstLine="480"/>
            <w:rPr>
              <w:color w:val="auto"/>
            </w:rPr>
          </w:pPr>
          <w:r>
            <w:rPr>
              <w:rFonts w:hint="eastAsia"/>
              <w:color w:val="auto"/>
            </w:rPr>
            <w:t>26）</w:t>
          </w:r>
          <w:r>
            <w:rPr>
              <w:color w:val="auto"/>
            </w:rPr>
            <w:t>牵引方式：采用</w:t>
          </w:r>
          <w:r>
            <w:rPr>
              <w:rFonts w:hint="eastAsia"/>
              <w:color w:val="auto"/>
            </w:rPr>
            <w:t>变频调速</w:t>
          </w:r>
          <w:r>
            <w:rPr>
              <w:color w:val="auto"/>
            </w:rPr>
            <w:t>无链电牵引，交流变频调速，具有恒功率自动调速，正常割煤速度能够在0～</w:t>
          </w:r>
          <w:r>
            <w:rPr>
              <w:rFonts w:hint="eastAsia"/>
              <w:color w:val="auto"/>
            </w:rPr>
            <w:t>7.26</w:t>
          </w:r>
          <w:r>
            <w:rPr>
              <w:color w:val="auto"/>
            </w:rPr>
            <w:t>m/min范围内调节。</w:t>
          </w:r>
          <w:r>
            <w:rPr>
              <w:rFonts w:hint="eastAsia"/>
              <w:color w:val="auto"/>
            </w:rPr>
            <w:t>采用机载变频调速系统，避免由于牵引电缆故障引起的变频器损坏。交流变频电牵引系统可采用“一拖一”方式，由两台变频器各自控制一台牵引电机，通过外部控制系统，自动平衡两台牵引电机及其牵引部的载荷。</w:t>
          </w:r>
        </w:p>
        <w:p w14:paraId="227704F8">
          <w:pPr>
            <w:pStyle w:val="3"/>
            <w:rPr>
              <w:rFonts w:hint="eastAsia"/>
              <w:color w:val="auto"/>
            </w:rPr>
          </w:pPr>
          <w:bookmarkStart w:id="13" w:name="_Toc229574395"/>
          <w:r>
            <w:rPr>
              <w:rFonts w:hint="eastAsia"/>
              <w:color w:val="auto"/>
            </w:rPr>
            <w:t>3.2、采煤机主要技术特征</w:t>
          </w:r>
          <w:bookmarkEnd w:id="13"/>
        </w:p>
        <w:p w14:paraId="4B066D25">
          <w:pPr>
            <w:ind w:firstLine="480"/>
            <w:rPr>
              <w:color w:val="auto"/>
            </w:rPr>
          </w:pPr>
          <w:r>
            <w:rPr>
              <w:rFonts w:hint="eastAsia"/>
              <w:color w:val="auto"/>
            </w:rPr>
            <w:t>1）</w:t>
          </w:r>
          <w:r>
            <w:rPr>
              <w:color w:val="auto"/>
            </w:rPr>
            <w:t>采煤机</w:t>
          </w:r>
          <w:r>
            <w:rPr>
              <w:rFonts w:hint="eastAsia"/>
              <w:color w:val="auto"/>
            </w:rPr>
            <w:t>摇臂</w:t>
          </w:r>
          <w:r>
            <w:rPr>
              <w:color w:val="auto"/>
            </w:rPr>
            <w:t>应适合于左右工作面互换</w:t>
          </w:r>
          <w:r>
            <w:rPr>
              <w:rFonts w:hint="eastAsia"/>
              <w:color w:val="auto"/>
            </w:rPr>
            <w:t>；</w:t>
          </w:r>
        </w:p>
        <w:p w14:paraId="5095F01E">
          <w:pPr>
            <w:ind w:firstLine="480"/>
            <w:rPr>
              <w:color w:val="auto"/>
            </w:rPr>
          </w:pPr>
          <w:r>
            <w:rPr>
              <w:rFonts w:hint="eastAsia"/>
              <w:color w:val="auto"/>
            </w:rPr>
            <w:t>2）</w:t>
          </w:r>
          <w:r>
            <w:rPr>
              <w:color w:val="auto"/>
            </w:rPr>
            <w:t>适应工作面倾角</w:t>
          </w:r>
          <w:r>
            <w:rPr>
              <w:rFonts w:hint="eastAsia"/>
              <w:color w:val="auto"/>
            </w:rPr>
            <w:t>≤15</w:t>
          </w:r>
          <w:r>
            <w:rPr>
              <w:color w:val="auto"/>
            </w:rPr>
            <w:t>°；适应工作面走向倾角</w:t>
          </w:r>
          <w:r>
            <w:rPr>
              <w:rFonts w:hint="eastAsia"/>
              <w:color w:val="auto"/>
            </w:rPr>
            <w:t>≤</w:t>
          </w:r>
          <w:r>
            <w:rPr>
              <w:color w:val="auto"/>
            </w:rPr>
            <w:t>1</w:t>
          </w:r>
          <w:r>
            <w:rPr>
              <w:rFonts w:hint="eastAsia"/>
              <w:color w:val="auto"/>
            </w:rPr>
            <w:t>5</w:t>
          </w:r>
          <w:r>
            <w:rPr>
              <w:color w:val="auto"/>
            </w:rPr>
            <w:t>°</w:t>
          </w:r>
          <w:r>
            <w:rPr>
              <w:rFonts w:hint="eastAsia"/>
              <w:color w:val="auto"/>
            </w:rPr>
            <w:t>；</w:t>
          </w:r>
        </w:p>
        <w:p w14:paraId="23299A46">
          <w:pPr>
            <w:ind w:firstLine="480"/>
            <w:rPr>
              <w:color w:val="auto"/>
            </w:rPr>
          </w:pPr>
          <w:r>
            <w:rPr>
              <w:rFonts w:hint="eastAsia"/>
              <w:color w:val="auto"/>
            </w:rPr>
            <w:t>3）滚筒配备强力滚筒，可切割矿石硬度：</w:t>
          </w:r>
          <w:r>
            <w:rPr>
              <w:color w:val="auto"/>
            </w:rPr>
            <w:t>f</w:t>
          </w:r>
          <w:r>
            <w:rPr>
              <w:rFonts w:hint="eastAsia"/>
              <w:color w:val="auto"/>
            </w:rPr>
            <w:t>≥4；</w:t>
          </w:r>
        </w:p>
        <w:p w14:paraId="0E102E13">
          <w:pPr>
            <w:ind w:firstLine="480"/>
            <w:rPr>
              <w:color w:val="auto"/>
            </w:rPr>
          </w:pPr>
          <w:r>
            <w:rPr>
              <w:rFonts w:hint="eastAsia"/>
              <w:color w:val="auto"/>
            </w:rPr>
            <w:t>4）</w:t>
          </w:r>
          <w:r>
            <w:rPr>
              <w:color w:val="auto"/>
            </w:rPr>
            <w:t>内、外喷雾压力满足</w:t>
          </w:r>
          <w:r>
            <w:rPr>
              <w:rFonts w:hint="eastAsia"/>
              <w:color w:val="auto"/>
            </w:rPr>
            <w:t>2025版</w:t>
          </w:r>
          <w:r>
            <w:rPr>
              <w:color w:val="auto"/>
            </w:rPr>
            <w:t>《煤矿安全规程》规定的有关要求</w:t>
          </w:r>
          <w:r>
            <w:rPr>
              <w:rFonts w:hint="eastAsia"/>
              <w:color w:val="auto"/>
            </w:rPr>
            <w:t>；</w:t>
          </w:r>
        </w:p>
        <w:p w14:paraId="1DC43CB0">
          <w:pPr>
            <w:ind w:firstLine="480"/>
            <w:rPr>
              <w:color w:val="auto"/>
            </w:rPr>
          </w:pPr>
          <w:r>
            <w:rPr>
              <w:rFonts w:hint="eastAsia"/>
              <w:color w:val="auto"/>
            </w:rPr>
            <w:t>5）装煤效果良好，机道浮煤从底板算起不能超过4</w:t>
          </w:r>
          <w:r>
            <w:rPr>
              <w:color w:val="auto"/>
            </w:rPr>
            <w:t>00mm</w:t>
          </w:r>
          <w:r>
            <w:rPr>
              <w:rFonts w:hint="eastAsia"/>
              <w:color w:val="auto"/>
            </w:rPr>
            <w:t>；</w:t>
          </w:r>
        </w:p>
        <w:p w14:paraId="0C58DEBE">
          <w:pPr>
            <w:ind w:firstLine="480"/>
            <w:rPr>
              <w:color w:val="auto"/>
            </w:rPr>
          </w:pPr>
          <w:r>
            <w:rPr>
              <w:rFonts w:hint="eastAsia"/>
              <w:color w:val="auto"/>
            </w:rPr>
            <w:t>6）采煤机不带弧形挡煤板，配置有机组顶部的挡矸装置（护板）；</w:t>
          </w:r>
        </w:p>
        <w:p w14:paraId="4865D858">
          <w:pPr>
            <w:ind w:firstLine="480"/>
            <w:rPr>
              <w:rFonts w:cs="Times New Roman"/>
              <w:color w:val="auto"/>
            </w:rPr>
          </w:pPr>
          <w:r>
            <w:rPr>
              <w:rFonts w:hint="eastAsia" w:cs="Times New Roman"/>
              <w:color w:val="auto"/>
            </w:rPr>
            <w:t>7）采用多电机横向布置，机身分三段，机身各段之间采用高强度液压螺栓连接，左右摇臂与机身用锥销轴高强度液压螺栓连接；</w:t>
          </w:r>
          <w:r>
            <w:rPr>
              <w:rFonts w:hint="eastAsia"/>
              <w:color w:val="auto"/>
            </w:rPr>
            <w:t>安装智能螺杆预紧力在线实时监测系统；</w:t>
          </w:r>
        </w:p>
        <w:p w14:paraId="06298017">
          <w:pPr>
            <w:ind w:firstLine="480"/>
            <w:rPr>
              <w:rFonts w:cs="Times New Roman"/>
              <w:color w:val="auto"/>
            </w:rPr>
          </w:pPr>
          <w:r>
            <w:rPr>
              <w:rFonts w:hint="eastAsia" w:cs="Times New Roman"/>
              <w:color w:val="auto"/>
            </w:rPr>
            <w:t>8）整体摇臂结构，刚性好；</w:t>
          </w:r>
        </w:p>
        <w:p w14:paraId="012396DA">
          <w:pPr>
            <w:ind w:firstLine="480"/>
            <w:rPr>
              <w:rFonts w:cs="Times New Roman"/>
              <w:color w:val="auto"/>
            </w:rPr>
          </w:pPr>
          <w:r>
            <w:rPr>
              <w:rFonts w:hint="eastAsia" w:cs="Times New Roman"/>
              <w:color w:val="auto"/>
            </w:rPr>
            <w:t>9）截割电机横向布置在摇臂上，摇臂与机身没有动力传递，全部采用直齿轮传动，结构简单；</w:t>
          </w:r>
        </w:p>
        <w:p w14:paraId="4D5EC7EA">
          <w:pPr>
            <w:ind w:firstLine="480"/>
            <w:rPr>
              <w:rFonts w:cs="Times New Roman"/>
              <w:color w:val="auto"/>
            </w:rPr>
          </w:pPr>
          <w:r>
            <w:rPr>
              <w:rFonts w:hint="eastAsia" w:cs="Times New Roman"/>
              <w:color w:val="auto"/>
            </w:rPr>
            <w:t>10）液压泵箱采用集成阀块结构，管路少，维修方便；</w:t>
          </w:r>
        </w:p>
        <w:p w14:paraId="482847FB">
          <w:pPr>
            <w:ind w:firstLine="480"/>
            <w:rPr>
              <w:rFonts w:cs="Times New Roman"/>
              <w:color w:val="auto"/>
            </w:rPr>
          </w:pPr>
          <w:r>
            <w:rPr>
              <w:rFonts w:hint="eastAsia" w:cs="Times New Roman"/>
              <w:color w:val="auto"/>
            </w:rPr>
            <w:t>11）通过摇臂壳体水套和内置冷却管组有效冷却摇臂内齿轮油；</w:t>
          </w:r>
        </w:p>
        <w:p w14:paraId="4C5E43AC">
          <w:pPr>
            <w:ind w:firstLine="480"/>
            <w:rPr>
              <w:rFonts w:cs="Times New Roman"/>
              <w:color w:val="auto"/>
            </w:rPr>
          </w:pPr>
          <w:r>
            <w:rPr>
              <w:rFonts w:hint="eastAsia" w:cs="Times New Roman"/>
              <w:color w:val="auto"/>
            </w:rPr>
            <w:t>12）摇臂壳体、牵引传动部壳体、行走箱壳体、电气传动箱箱体，</w:t>
          </w:r>
          <w:r>
            <w:rPr>
              <w:rFonts w:hint="eastAsia" w:ascii="仿宋" w:hAnsi="仿宋" w:eastAsia="仿宋" w:cs="仿宋"/>
              <w:color w:val="auto"/>
              <w:szCs w:val="24"/>
            </w:rPr>
            <w:t>▲</w:t>
          </w:r>
          <w:r>
            <w:rPr>
              <w:rFonts w:hint="eastAsia" w:cs="Times New Roman"/>
              <w:color w:val="auto"/>
            </w:rPr>
            <w:t>采用优质合金钢调质处理，硬度大于</w:t>
          </w:r>
          <w:r>
            <w:rPr>
              <w:rFonts w:cs="Times New Roman"/>
              <w:color w:val="auto"/>
            </w:rPr>
            <w:t>HB2</w:t>
          </w:r>
          <w:r>
            <w:rPr>
              <w:rFonts w:hint="eastAsia" w:cs="Times New Roman"/>
              <w:color w:val="auto"/>
            </w:rPr>
            <w:t>8</w:t>
          </w:r>
          <w:r>
            <w:rPr>
              <w:rFonts w:cs="Times New Roman"/>
              <w:color w:val="auto"/>
            </w:rPr>
            <w:t>0</w:t>
          </w:r>
          <w:r>
            <w:rPr>
              <w:rFonts w:hint="eastAsia" w:cs="Times New Roman"/>
              <w:color w:val="auto"/>
            </w:rPr>
            <w:t>，屈服强度大于55</w:t>
          </w:r>
          <w:r>
            <w:rPr>
              <w:rFonts w:cs="Times New Roman"/>
              <w:color w:val="auto"/>
            </w:rPr>
            <w:t>0N/mm</w:t>
          </w:r>
          <w:r>
            <w:rPr>
              <w:rFonts w:cs="Times New Roman"/>
              <w:color w:val="auto"/>
              <w:vertAlign w:val="superscript"/>
            </w:rPr>
            <w:t>2</w:t>
          </w:r>
          <w:r>
            <w:rPr>
              <w:rFonts w:hint="eastAsia" w:cs="Times New Roman"/>
              <w:color w:val="auto"/>
            </w:rPr>
            <w:t>；</w:t>
          </w:r>
        </w:p>
        <w:p w14:paraId="5756EF01">
          <w:pPr>
            <w:ind w:firstLine="480"/>
            <w:rPr>
              <w:rFonts w:cs="Times New Roman"/>
              <w:color w:val="auto"/>
            </w:rPr>
          </w:pPr>
          <w:r>
            <w:rPr>
              <w:rFonts w:hint="eastAsia" w:cs="Times New Roman"/>
              <w:color w:val="auto"/>
            </w:rPr>
            <w:t>13）</w:t>
          </w:r>
          <w:r>
            <w:rPr>
              <w:rFonts w:hint="eastAsia" w:ascii="仿宋" w:hAnsi="仿宋" w:eastAsia="仿宋" w:cs="仿宋"/>
              <w:color w:val="auto"/>
              <w:szCs w:val="24"/>
            </w:rPr>
            <w:t>▲</w:t>
          </w:r>
          <w:r>
            <w:rPr>
              <w:rFonts w:hint="eastAsia" w:cs="Times New Roman"/>
              <w:color w:val="auto"/>
            </w:rPr>
            <w:t>传动齿轮采用</w:t>
          </w:r>
          <w:r>
            <w:rPr>
              <w:rFonts w:cs="Times New Roman"/>
              <w:color w:val="auto"/>
            </w:rPr>
            <w:t>18Cr2Ni4W</w:t>
          </w:r>
          <w:r>
            <w:rPr>
              <w:rFonts w:hint="eastAsia" w:cs="Times New Roman"/>
              <w:color w:val="auto"/>
            </w:rPr>
            <w:t>A材质，渗碳淬火，基体硬度</w:t>
          </w:r>
          <w:r>
            <w:rPr>
              <w:rFonts w:cs="Times New Roman"/>
              <w:color w:val="auto"/>
            </w:rPr>
            <w:t>37-38HRC</w:t>
          </w:r>
          <w:r>
            <w:rPr>
              <w:rFonts w:hint="eastAsia" w:cs="Times New Roman"/>
              <w:color w:val="auto"/>
            </w:rPr>
            <w:t>，</w:t>
          </w:r>
          <w:r>
            <w:rPr>
              <w:rFonts w:cs="Times New Roman"/>
              <w:color w:val="auto"/>
            </w:rPr>
            <w:t>341-350HB</w:t>
          </w:r>
          <w:r>
            <w:rPr>
              <w:rFonts w:hint="eastAsia" w:cs="Times New Roman"/>
              <w:color w:val="auto"/>
            </w:rPr>
            <w:t>渗碳层厚度大于3</w:t>
          </w:r>
          <w:r>
            <w:rPr>
              <w:rFonts w:cs="Times New Roman"/>
              <w:color w:val="auto"/>
            </w:rPr>
            <w:t>.</w:t>
          </w:r>
          <w:r>
            <w:rPr>
              <w:rFonts w:hint="eastAsia" w:cs="Times New Roman"/>
              <w:color w:val="auto"/>
            </w:rPr>
            <w:t>0</w:t>
          </w:r>
          <w:r>
            <w:rPr>
              <w:rFonts w:cs="Times New Roman"/>
              <w:color w:val="auto"/>
            </w:rPr>
            <w:t>mm</w:t>
          </w:r>
          <w:r>
            <w:rPr>
              <w:rFonts w:hint="eastAsia" w:cs="Times New Roman"/>
              <w:color w:val="auto"/>
            </w:rPr>
            <w:t>，驱动轮、行走轮渗碳层厚度大于5</w:t>
          </w:r>
          <w:r>
            <w:rPr>
              <w:rFonts w:cs="Times New Roman"/>
              <w:color w:val="auto"/>
            </w:rPr>
            <w:t>.</w:t>
          </w:r>
          <w:r>
            <w:rPr>
              <w:rFonts w:hint="eastAsia" w:cs="Times New Roman"/>
              <w:color w:val="auto"/>
            </w:rPr>
            <w:t>0</w:t>
          </w:r>
          <w:r>
            <w:rPr>
              <w:rFonts w:cs="Times New Roman"/>
              <w:color w:val="auto"/>
            </w:rPr>
            <w:t>mm</w:t>
          </w:r>
          <w:r>
            <w:rPr>
              <w:rFonts w:hint="eastAsia" w:cs="Times New Roman"/>
              <w:color w:val="auto"/>
            </w:rPr>
            <w:t>；</w:t>
          </w:r>
        </w:p>
        <w:p w14:paraId="3D1BEB2E">
          <w:pPr>
            <w:ind w:firstLine="480"/>
            <w:rPr>
              <w:rFonts w:cs="Times New Roman"/>
              <w:color w:val="auto"/>
            </w:rPr>
          </w:pPr>
          <w:r>
            <w:rPr>
              <w:rFonts w:hint="eastAsia" w:cs="Times New Roman"/>
              <w:color w:val="auto"/>
            </w:rPr>
            <w:t>14）高速级油封采用氟胶油封，摇臂行星减速输出采用浮动密封；</w:t>
          </w:r>
        </w:p>
        <w:p w14:paraId="731A1A2D">
          <w:pPr>
            <w:ind w:firstLine="480"/>
            <w:rPr>
              <w:rFonts w:cs="Times New Roman"/>
              <w:color w:val="auto"/>
            </w:rPr>
          </w:pPr>
          <w:r>
            <w:rPr>
              <w:rFonts w:hint="eastAsia" w:cs="Times New Roman"/>
              <w:color w:val="auto"/>
            </w:rPr>
            <w:t>15）变频器应有以下保护：接地保护、过压保护、欠载保护、供电电源缺相保护、变频器输出短路保护，以及变频器对牵引电机的缺相保护、堵转保护、过流保护；</w:t>
          </w:r>
        </w:p>
        <w:p w14:paraId="4B6B21B7">
          <w:pPr>
            <w:ind w:firstLine="480"/>
            <w:rPr>
              <w:rFonts w:cs="Times New Roman"/>
              <w:color w:val="auto"/>
            </w:rPr>
          </w:pPr>
          <w:r>
            <w:rPr>
              <w:rFonts w:hint="eastAsia" w:cs="Times New Roman"/>
              <w:color w:val="auto"/>
            </w:rPr>
            <w:t>16）电气控制系统：系统采用</w:t>
          </w:r>
          <w:r>
            <w:rPr>
              <w:rFonts w:cs="Times New Roman"/>
              <w:color w:val="auto"/>
            </w:rPr>
            <w:t>DSP</w:t>
          </w:r>
          <w:r>
            <w:rPr>
              <w:rFonts w:hint="eastAsia" w:cs="Times New Roman"/>
              <w:color w:val="auto"/>
            </w:rPr>
            <w:t>控制系统，具有瓦斯超标断电保护</w:t>
          </w:r>
          <w:r>
            <w:rPr>
              <w:rFonts w:hint="eastAsia"/>
              <w:color w:val="auto"/>
            </w:rPr>
            <w:t>、</w:t>
          </w:r>
          <w:r>
            <w:rPr>
              <w:color w:val="auto"/>
            </w:rPr>
            <w:t>机载断电仪的甲烷浓度以及采煤机开停等监控数据</w:t>
          </w:r>
          <w:r>
            <w:rPr>
              <w:rFonts w:hint="eastAsia"/>
              <w:color w:val="auto"/>
            </w:rPr>
            <w:t>具备</w:t>
          </w:r>
          <w:r>
            <w:rPr>
              <w:color w:val="auto"/>
            </w:rPr>
            <w:t>接入安全监控系统</w:t>
          </w:r>
          <w:r>
            <w:rPr>
              <w:rFonts w:hint="eastAsia"/>
              <w:color w:val="auto"/>
            </w:rPr>
            <w:t>的功能；</w:t>
          </w:r>
          <w:r>
            <w:rPr>
              <w:rFonts w:hint="eastAsia" w:cs="Times New Roman"/>
              <w:color w:val="auto"/>
            </w:rPr>
            <w:t>调速系统有欠电压、过电压、过电流、过载等保护功能；</w:t>
          </w:r>
        </w:p>
        <w:p w14:paraId="67F93C93">
          <w:pPr>
            <w:ind w:firstLine="480"/>
            <w:rPr>
              <w:rFonts w:cs="Times New Roman"/>
              <w:color w:val="auto"/>
            </w:rPr>
          </w:pPr>
          <w:r>
            <w:rPr>
              <w:rFonts w:hint="eastAsia" w:cs="Times New Roman"/>
              <w:color w:val="auto"/>
            </w:rPr>
            <w:t>17）</w:t>
          </w:r>
          <w:r>
            <w:rPr>
              <w:rFonts w:hint="eastAsia" w:ascii="仿宋" w:hAnsi="仿宋" w:eastAsia="仿宋" w:cs="仿宋"/>
              <w:color w:val="auto"/>
              <w:szCs w:val="24"/>
            </w:rPr>
            <w:t>▲</w:t>
          </w:r>
          <w:r>
            <w:rPr>
              <w:rFonts w:hint="eastAsia" w:cs="Times New Roman"/>
              <w:color w:val="auto"/>
            </w:rPr>
            <w:t>具有参数记忆功能，有助于分析查找系统故障原因，能自动跟踪记录系统参数异常以及出现可保护性故障时采煤机的工作参数，可记忆及显示故障停机前最近</w:t>
          </w:r>
          <w:r>
            <w:rPr>
              <w:rFonts w:cs="Times New Roman"/>
              <w:color w:val="auto"/>
            </w:rPr>
            <w:t>50</w:t>
          </w:r>
          <w:r>
            <w:rPr>
              <w:rFonts w:hint="eastAsia" w:cs="Times New Roman"/>
              <w:color w:val="auto"/>
            </w:rPr>
            <w:t>个时间点的工作参数，便于分析和处理；</w:t>
          </w:r>
        </w:p>
        <w:p w14:paraId="5F95BE19">
          <w:pPr>
            <w:ind w:firstLine="480"/>
            <w:rPr>
              <w:rFonts w:cs="Times New Roman"/>
              <w:color w:val="auto"/>
            </w:rPr>
          </w:pPr>
          <w:r>
            <w:rPr>
              <w:rFonts w:hint="eastAsia" w:cs="Times New Roman"/>
              <w:color w:val="auto"/>
            </w:rPr>
            <w:t>18）喷雾冷却系统主进水采用</w:t>
          </w:r>
          <w:r>
            <w:rPr>
              <w:rFonts w:cs="Times New Roman"/>
              <w:color w:val="auto"/>
            </w:rPr>
            <w:t>DN25</w:t>
          </w:r>
          <w:r>
            <w:rPr>
              <w:rFonts w:hint="eastAsia" w:cs="Times New Roman"/>
              <w:color w:val="auto"/>
            </w:rPr>
            <w:t>接口；</w:t>
          </w:r>
          <w:r>
            <w:rPr>
              <w:rFonts w:cs="Times New Roman"/>
              <w:color w:val="auto"/>
            </w:rPr>
            <w:t xml:space="preserve"> </w:t>
          </w:r>
        </w:p>
        <w:p w14:paraId="0EAAB81A">
          <w:pPr>
            <w:ind w:firstLine="480"/>
            <w:rPr>
              <w:rFonts w:cs="Times New Roman"/>
              <w:color w:val="auto"/>
            </w:rPr>
          </w:pPr>
          <w:r>
            <w:rPr>
              <w:rFonts w:hint="eastAsia" w:cs="Times New Roman"/>
              <w:color w:val="auto"/>
            </w:rPr>
            <w:t>19）</w:t>
          </w:r>
          <w:r>
            <w:rPr>
              <w:rFonts w:hint="eastAsia" w:ascii="仿宋" w:hAnsi="仿宋" w:eastAsia="仿宋" w:cs="仿宋"/>
              <w:color w:val="auto"/>
              <w:szCs w:val="24"/>
            </w:rPr>
            <w:t>▲</w:t>
          </w:r>
          <w:r>
            <w:rPr>
              <w:rFonts w:hint="eastAsia" w:cs="Times New Roman"/>
              <w:color w:val="auto"/>
            </w:rPr>
            <w:t>采煤机液压及冷却管路胶管均采用</w:t>
          </w:r>
          <w:r>
            <w:rPr>
              <w:rFonts w:cs="Times New Roman"/>
              <w:color w:val="auto"/>
            </w:rPr>
            <w:t>DN</w:t>
          </w:r>
          <w:r>
            <w:rPr>
              <w:rFonts w:hint="eastAsia" w:cs="Times New Roman"/>
              <w:color w:val="auto"/>
            </w:rPr>
            <w:t>系列接口；</w:t>
          </w:r>
        </w:p>
        <w:p w14:paraId="466569F4">
          <w:pPr>
            <w:ind w:firstLine="480"/>
            <w:rPr>
              <w:color w:val="auto"/>
            </w:rPr>
          </w:pPr>
          <w:r>
            <w:rPr>
              <w:rFonts w:hint="eastAsia" w:cs="Times New Roman"/>
              <w:color w:val="auto"/>
            </w:rPr>
            <w:t>20）</w:t>
          </w:r>
          <w:r>
            <w:rPr>
              <w:color w:val="auto"/>
            </w:rPr>
            <w:t>采煤机应具有有线端部按钮控制和无线遥控功能，实现对采煤机的操作，</w:t>
          </w:r>
          <w:r>
            <w:rPr>
              <w:rFonts w:hint="eastAsia" w:ascii="仿宋" w:hAnsi="仿宋" w:eastAsia="仿宋" w:cs="仿宋"/>
              <w:color w:val="auto"/>
              <w:szCs w:val="24"/>
            </w:rPr>
            <w:t>▲</w:t>
          </w:r>
          <w:r>
            <w:rPr>
              <w:color w:val="auto"/>
            </w:rPr>
            <w:t>遥控器的有效控制距离</w:t>
          </w:r>
          <w:r>
            <w:rPr>
              <w:rFonts w:hint="eastAsia"/>
              <w:color w:val="auto"/>
            </w:rPr>
            <w:t>≥5</w:t>
          </w:r>
          <w:r>
            <w:rPr>
              <w:color w:val="auto"/>
            </w:rPr>
            <w:t>0m</w:t>
          </w:r>
          <w:r>
            <w:rPr>
              <w:rFonts w:hint="eastAsia"/>
              <w:color w:val="auto"/>
            </w:rPr>
            <w:t>，</w:t>
          </w:r>
          <w:r>
            <w:rPr>
              <w:rFonts w:hint="eastAsia" w:cs="Times New Roman"/>
              <w:color w:val="auto"/>
            </w:rPr>
            <w:t>电源采用可充电电源，其连续工作时间必须不小于</w:t>
          </w:r>
          <w:r>
            <w:rPr>
              <w:rFonts w:cs="Times New Roman"/>
              <w:color w:val="auto"/>
            </w:rPr>
            <w:t>16h</w:t>
          </w:r>
          <w:r>
            <w:rPr>
              <w:rFonts w:hint="eastAsia" w:cs="Times New Roman"/>
              <w:color w:val="auto"/>
            </w:rPr>
            <w:t>；</w:t>
          </w:r>
        </w:p>
        <w:p w14:paraId="3B9E8B6F">
          <w:pPr>
            <w:ind w:firstLine="480"/>
            <w:rPr>
              <w:rFonts w:cs="Times New Roman"/>
              <w:color w:val="auto"/>
            </w:rPr>
          </w:pPr>
          <w:r>
            <w:rPr>
              <w:rFonts w:hint="eastAsia"/>
              <w:color w:val="auto"/>
            </w:rPr>
            <w:t>21）</w:t>
          </w:r>
          <w:r>
            <w:rPr>
              <w:rFonts w:hint="eastAsia" w:cs="Times New Roman"/>
              <w:color w:val="auto"/>
            </w:rPr>
            <w:t>采用双向遥控器，具有数据显示功能（包括煤机运行速度、截割电流等）；出现故障或报警时，可在遥控器上查看运行数据（包括煤机运行速度、截割电流、温度、流量、压力等）。遥控器应可自由识别或设定为左右遥控器；遥控器与电控箱通信断开或关机时，采煤机能主动停止牵引；</w:t>
          </w:r>
        </w:p>
        <w:p w14:paraId="4C57FA57">
          <w:pPr>
            <w:ind w:firstLine="480"/>
            <w:rPr>
              <w:color w:val="auto"/>
            </w:rPr>
          </w:pPr>
          <w:r>
            <w:rPr>
              <w:rFonts w:hint="eastAsia"/>
              <w:color w:val="auto"/>
            </w:rPr>
            <w:t>22）应具有齐全、可靠的机械保护如紧急停机开关、刮板机停止、闭锁开关等；</w:t>
          </w:r>
        </w:p>
        <w:p w14:paraId="662BAD5A">
          <w:pPr>
            <w:ind w:firstLine="480"/>
            <w:rPr>
              <w:color w:val="auto"/>
            </w:rPr>
          </w:pPr>
          <w:r>
            <w:rPr>
              <w:rFonts w:hint="eastAsia"/>
              <w:color w:val="auto"/>
            </w:rPr>
            <w:t>23）启动前应能发出声光预警信号；</w:t>
          </w:r>
        </w:p>
        <w:p w14:paraId="34A6360E">
          <w:pPr>
            <w:ind w:firstLine="480"/>
            <w:rPr>
              <w:color w:val="auto"/>
            </w:rPr>
          </w:pPr>
          <w:r>
            <w:rPr>
              <w:rFonts w:hint="eastAsia"/>
              <w:color w:val="auto"/>
            </w:rPr>
            <w:t>24）牵引、截割、泵电动机能够实现分别启动；</w:t>
          </w:r>
        </w:p>
        <w:p w14:paraId="67748130">
          <w:pPr>
            <w:ind w:firstLine="480"/>
            <w:rPr>
              <w:color w:val="auto"/>
            </w:rPr>
          </w:pPr>
          <w:r>
            <w:rPr>
              <w:rFonts w:hint="eastAsia"/>
              <w:color w:val="auto"/>
            </w:rPr>
            <w:t>25）应加装照明灯，保证煤机割煤时司机看清滚筒割煤状况；</w:t>
          </w:r>
        </w:p>
        <w:p w14:paraId="7B8D00ED">
          <w:pPr>
            <w:ind w:firstLine="480"/>
            <w:rPr>
              <w:color w:val="auto"/>
            </w:rPr>
          </w:pPr>
          <w:r>
            <w:rPr>
              <w:rFonts w:hint="eastAsia"/>
              <w:color w:val="auto"/>
            </w:rPr>
            <w:t>26）必须装有密封注油装置，并配有动力注油泵；油脂润滑的各部位应方便可靠</w:t>
          </w:r>
          <w:r>
            <w:rPr>
              <w:color w:val="auto"/>
            </w:rPr>
            <w:t>，并有废油排放出口</w:t>
          </w:r>
          <w:r>
            <w:rPr>
              <w:rFonts w:hint="eastAsia"/>
              <w:color w:val="auto"/>
            </w:rPr>
            <w:t>；</w:t>
          </w:r>
        </w:p>
        <w:p w14:paraId="6B6972EA">
          <w:pPr>
            <w:ind w:firstLine="480"/>
            <w:rPr>
              <w:color w:val="auto"/>
            </w:rPr>
          </w:pPr>
          <w:r>
            <w:rPr>
              <w:rFonts w:hint="eastAsia"/>
              <w:color w:val="auto"/>
            </w:rPr>
            <w:t>27）配置瓦斯检测显示和断电功能，配置滚筒采高卧底检测、显示功能，设有采煤机闭锁运输机的功能；</w:t>
          </w:r>
        </w:p>
        <w:p w14:paraId="476A6DB9">
          <w:pPr>
            <w:ind w:firstLine="480"/>
            <w:rPr>
              <w:color w:val="auto"/>
            </w:rPr>
          </w:pPr>
          <w:r>
            <w:rPr>
              <w:rFonts w:hint="eastAsia"/>
              <w:color w:val="auto"/>
            </w:rPr>
            <w:t>28）预留破碎机构安装位置。</w:t>
          </w:r>
        </w:p>
        <w:p w14:paraId="59002FA4">
          <w:pPr>
            <w:pStyle w:val="3"/>
            <w:rPr>
              <w:rFonts w:hint="eastAsia"/>
              <w:color w:val="auto"/>
            </w:rPr>
          </w:pPr>
          <w:bookmarkStart w:id="14" w:name="_Toc229574396"/>
          <w:r>
            <w:rPr>
              <w:rFonts w:hint="eastAsia"/>
              <w:color w:val="auto"/>
            </w:rPr>
            <w:t>3.3、采煤机电气技术要求</w:t>
          </w:r>
          <w:bookmarkEnd w:id="14"/>
        </w:p>
        <w:p w14:paraId="773093D2">
          <w:pPr>
            <w:ind w:firstLine="480"/>
            <w:rPr>
              <w:color w:val="auto"/>
            </w:rPr>
          </w:pPr>
          <w:r>
            <w:rPr>
              <w:rFonts w:hint="eastAsia"/>
              <w:color w:val="auto"/>
            </w:rPr>
            <w:t>1）控制系统要求</w:t>
          </w:r>
        </w:p>
        <w:p w14:paraId="1DA3D90D">
          <w:pPr>
            <w:pStyle w:val="96"/>
            <w:numPr>
              <w:ilvl w:val="0"/>
              <w:numId w:val="25"/>
            </w:numPr>
            <w:ind w:firstLineChars="0"/>
            <w:rPr>
              <w:color w:val="auto"/>
            </w:rPr>
          </w:pPr>
          <w:r>
            <w:rPr>
              <w:rFonts w:hint="eastAsia"/>
              <w:color w:val="auto"/>
            </w:rPr>
            <w:t>电控系统采用先进可靠的新一代</w:t>
          </w:r>
          <w:r>
            <w:rPr>
              <w:color w:val="auto"/>
            </w:rPr>
            <w:t>DSP</w:t>
          </w:r>
          <w:r>
            <w:rPr>
              <w:rFonts w:hint="eastAsia"/>
              <w:color w:val="auto"/>
            </w:rPr>
            <w:t>控制系统；</w:t>
          </w:r>
          <w:r>
            <w:rPr>
              <w:color w:val="auto"/>
            </w:rPr>
            <w:t xml:space="preserve"> </w:t>
          </w:r>
        </w:p>
        <w:p w14:paraId="31CA81A5">
          <w:pPr>
            <w:pStyle w:val="96"/>
            <w:numPr>
              <w:ilvl w:val="0"/>
              <w:numId w:val="25"/>
            </w:numPr>
            <w:ind w:firstLineChars="0"/>
            <w:rPr>
              <w:color w:val="auto"/>
            </w:rPr>
          </w:pPr>
          <w:r>
            <w:rPr>
              <w:rFonts w:hint="eastAsia" w:ascii="仿宋" w:hAnsi="仿宋" w:eastAsia="仿宋" w:cs="仿宋"/>
              <w:color w:val="auto"/>
              <w:szCs w:val="24"/>
            </w:rPr>
            <w:t>▲</w:t>
          </w:r>
          <w:r>
            <w:rPr>
              <w:rFonts w:hint="eastAsia"/>
              <w:color w:val="auto"/>
            </w:rPr>
            <w:t>控制系统功能模块采用</w:t>
          </w:r>
          <w:r>
            <w:rPr>
              <w:color w:val="auto"/>
            </w:rPr>
            <w:t>CAN</w:t>
          </w:r>
          <w:r>
            <w:rPr>
              <w:rFonts w:hint="eastAsia"/>
              <w:color w:val="auto"/>
            </w:rPr>
            <w:t>总线或</w:t>
          </w:r>
          <w:r>
            <w:rPr>
              <w:color w:val="auto"/>
            </w:rPr>
            <w:t>profibus</w:t>
          </w:r>
          <w:r>
            <w:rPr>
              <w:rFonts w:hint="eastAsia"/>
              <w:color w:val="auto"/>
            </w:rPr>
            <w:t>总线架构；</w:t>
          </w:r>
        </w:p>
        <w:p w14:paraId="40DC5A14">
          <w:pPr>
            <w:pStyle w:val="96"/>
            <w:numPr>
              <w:ilvl w:val="0"/>
              <w:numId w:val="25"/>
            </w:numPr>
            <w:ind w:firstLineChars="0"/>
            <w:rPr>
              <w:color w:val="auto"/>
            </w:rPr>
          </w:pPr>
          <w:r>
            <w:rPr>
              <w:rFonts w:hint="eastAsia"/>
              <w:color w:val="auto"/>
            </w:rPr>
            <w:t>电气控制系统的主要元器件使用优质高端品牌产品；</w:t>
          </w:r>
        </w:p>
        <w:p w14:paraId="60788183">
          <w:pPr>
            <w:pStyle w:val="96"/>
            <w:numPr>
              <w:ilvl w:val="0"/>
              <w:numId w:val="25"/>
            </w:numPr>
            <w:ind w:firstLineChars="0"/>
            <w:rPr>
              <w:color w:val="auto"/>
            </w:rPr>
          </w:pPr>
          <w:r>
            <w:rPr>
              <w:rFonts w:hint="eastAsia"/>
              <w:color w:val="auto"/>
            </w:rPr>
            <w:t>采煤机具备就机操作、端头操作、离机遥控操作、应急近控操作等常规操作手段，并配置顺槽远端操作和自动运行等操作方式；</w:t>
          </w:r>
        </w:p>
        <w:p w14:paraId="0A0D6D0A">
          <w:pPr>
            <w:pStyle w:val="96"/>
            <w:numPr>
              <w:ilvl w:val="0"/>
              <w:numId w:val="25"/>
            </w:numPr>
            <w:ind w:firstLineChars="0"/>
            <w:rPr>
              <w:color w:val="auto"/>
            </w:rPr>
          </w:pPr>
          <w:r>
            <w:rPr>
              <w:rFonts w:hint="eastAsia"/>
              <w:color w:val="auto"/>
            </w:rPr>
            <w:t>采煤机启动前发出预警信号。</w:t>
          </w:r>
        </w:p>
        <w:p w14:paraId="401CC212">
          <w:pPr>
            <w:pStyle w:val="96"/>
            <w:numPr>
              <w:ilvl w:val="0"/>
              <w:numId w:val="25"/>
            </w:numPr>
            <w:ind w:firstLineChars="0"/>
            <w:rPr>
              <w:color w:val="auto"/>
            </w:rPr>
          </w:pPr>
          <w:r>
            <w:rPr>
              <w:rFonts w:hint="eastAsia"/>
              <w:color w:val="auto"/>
            </w:rPr>
            <w:t>采煤机限位功能。</w:t>
          </w:r>
        </w:p>
        <w:p w14:paraId="2A4DF12D">
          <w:pPr>
            <w:ind w:firstLine="480"/>
            <w:rPr>
              <w:color w:val="auto"/>
            </w:rPr>
          </w:pPr>
          <w:r>
            <w:rPr>
              <w:rFonts w:hint="eastAsia"/>
              <w:color w:val="auto"/>
            </w:rPr>
            <w:t>2）变频调速</w:t>
          </w:r>
        </w:p>
        <w:p w14:paraId="0B2A0D83">
          <w:pPr>
            <w:pStyle w:val="96"/>
            <w:numPr>
              <w:ilvl w:val="0"/>
              <w:numId w:val="25"/>
            </w:numPr>
            <w:ind w:firstLineChars="0"/>
            <w:rPr>
              <w:color w:val="auto"/>
            </w:rPr>
          </w:pPr>
          <w:r>
            <w:rPr>
              <w:rFonts w:hint="eastAsia"/>
              <w:color w:val="auto"/>
            </w:rPr>
            <w:t>采煤机采用性能优良的交流变频调速系统，变频器要求优质高端产品；</w:t>
          </w:r>
        </w:p>
        <w:p w14:paraId="67551CF9">
          <w:pPr>
            <w:pStyle w:val="96"/>
            <w:numPr>
              <w:ilvl w:val="0"/>
              <w:numId w:val="25"/>
            </w:numPr>
            <w:ind w:firstLineChars="0"/>
            <w:rPr>
              <w:color w:val="auto"/>
            </w:rPr>
          </w:pPr>
          <w:r>
            <w:rPr>
              <w:rFonts w:hint="eastAsia"/>
              <w:color w:val="auto"/>
            </w:rPr>
            <w:t>变频器冷却系统需有检测及保护，冷却水流量需有明确显示；</w:t>
          </w:r>
        </w:p>
        <w:p w14:paraId="47457A1D">
          <w:pPr>
            <w:pStyle w:val="96"/>
            <w:numPr>
              <w:ilvl w:val="0"/>
              <w:numId w:val="25"/>
            </w:numPr>
            <w:ind w:firstLineChars="0"/>
            <w:rPr>
              <w:color w:val="auto"/>
            </w:rPr>
          </w:pPr>
          <w:r>
            <w:rPr>
              <w:rFonts w:hint="eastAsia"/>
              <w:color w:val="auto"/>
            </w:rPr>
            <w:t>变频器与控制系统采用通讯连接方式；</w:t>
          </w:r>
        </w:p>
        <w:p w14:paraId="4F6A7576">
          <w:pPr>
            <w:pStyle w:val="96"/>
            <w:numPr>
              <w:ilvl w:val="0"/>
              <w:numId w:val="25"/>
            </w:numPr>
            <w:ind w:firstLineChars="0"/>
            <w:rPr>
              <w:color w:val="auto"/>
            </w:rPr>
          </w:pPr>
          <w:r>
            <w:rPr>
              <w:rFonts w:hint="eastAsia"/>
              <w:color w:val="auto"/>
            </w:rPr>
            <w:t>变频器故障代码需要有中文翻译，并在采煤机主显示界面显示。</w:t>
          </w:r>
        </w:p>
        <w:p w14:paraId="42292248">
          <w:pPr>
            <w:ind w:firstLine="480"/>
            <w:rPr>
              <w:color w:val="auto"/>
            </w:rPr>
          </w:pPr>
          <w:r>
            <w:rPr>
              <w:rFonts w:hint="eastAsia"/>
              <w:color w:val="auto"/>
            </w:rPr>
            <w:t>3）采煤机状态检测</w:t>
          </w:r>
        </w:p>
        <w:p w14:paraId="3F150C02">
          <w:pPr>
            <w:pStyle w:val="96"/>
            <w:numPr>
              <w:ilvl w:val="0"/>
              <w:numId w:val="25"/>
            </w:numPr>
            <w:ind w:firstLineChars="0"/>
            <w:rPr>
              <w:color w:val="auto"/>
            </w:rPr>
          </w:pPr>
          <w:r>
            <w:rPr>
              <w:rFonts w:hint="eastAsia"/>
              <w:color w:val="auto"/>
            </w:rPr>
            <w:t>提供各工作电机运行电流、温度的显示、报警和保护；</w:t>
          </w:r>
        </w:p>
        <w:p w14:paraId="257A7920">
          <w:pPr>
            <w:pStyle w:val="96"/>
            <w:numPr>
              <w:ilvl w:val="0"/>
              <w:numId w:val="25"/>
            </w:numPr>
            <w:ind w:firstLineChars="0"/>
            <w:rPr>
              <w:color w:val="auto"/>
            </w:rPr>
          </w:pPr>
          <w:r>
            <w:rPr>
              <w:rFonts w:hint="eastAsia"/>
              <w:color w:val="auto"/>
            </w:rPr>
            <w:t>提供摇臂轴温、牵引箱轴温、泵箱温度的显示、报警和保护；</w:t>
          </w:r>
        </w:p>
        <w:p w14:paraId="668596A4">
          <w:pPr>
            <w:pStyle w:val="96"/>
            <w:numPr>
              <w:ilvl w:val="0"/>
              <w:numId w:val="25"/>
            </w:numPr>
            <w:ind w:firstLineChars="0"/>
            <w:rPr>
              <w:color w:val="auto"/>
            </w:rPr>
          </w:pPr>
          <w:r>
            <w:rPr>
              <w:rFonts w:hint="eastAsia"/>
              <w:color w:val="auto"/>
            </w:rPr>
            <w:t>提供液压系统压力、泵箱油位的显示、报警和保护；</w:t>
          </w:r>
        </w:p>
        <w:p w14:paraId="2DF0FF80">
          <w:pPr>
            <w:pStyle w:val="96"/>
            <w:numPr>
              <w:ilvl w:val="0"/>
              <w:numId w:val="25"/>
            </w:numPr>
            <w:ind w:firstLineChars="0"/>
            <w:rPr>
              <w:color w:val="auto"/>
            </w:rPr>
          </w:pPr>
          <w:r>
            <w:rPr>
              <w:rFonts w:hint="eastAsia"/>
              <w:color w:val="auto"/>
            </w:rPr>
            <w:t>提供水路压力、冷却水流量的显示、报警和保护；</w:t>
          </w:r>
        </w:p>
        <w:p w14:paraId="118696E3">
          <w:pPr>
            <w:pStyle w:val="96"/>
            <w:numPr>
              <w:ilvl w:val="0"/>
              <w:numId w:val="25"/>
            </w:numPr>
            <w:ind w:firstLineChars="0"/>
            <w:rPr>
              <w:color w:val="auto"/>
            </w:rPr>
          </w:pPr>
          <w:r>
            <w:rPr>
              <w:rFonts w:hint="eastAsia"/>
              <w:color w:val="auto"/>
            </w:rPr>
            <w:t>提供滚筒高度及卧底量的实时显示及采高、卧底限制功能；</w:t>
          </w:r>
        </w:p>
        <w:p w14:paraId="73573D95">
          <w:pPr>
            <w:pStyle w:val="96"/>
            <w:numPr>
              <w:ilvl w:val="0"/>
              <w:numId w:val="25"/>
            </w:numPr>
            <w:ind w:firstLineChars="0"/>
            <w:rPr>
              <w:color w:val="auto"/>
            </w:rPr>
          </w:pPr>
          <w:r>
            <w:rPr>
              <w:rFonts w:hint="eastAsia"/>
              <w:color w:val="auto"/>
            </w:rPr>
            <w:t>实时检测并显示采煤机的行走速度和定位采煤机位置，并提供与支架联动、区域限速，端头限制功能；</w:t>
          </w:r>
        </w:p>
        <w:p w14:paraId="74E26307">
          <w:pPr>
            <w:pStyle w:val="96"/>
            <w:numPr>
              <w:ilvl w:val="0"/>
              <w:numId w:val="25"/>
            </w:numPr>
            <w:ind w:firstLineChars="0"/>
            <w:rPr>
              <w:color w:val="auto"/>
            </w:rPr>
          </w:pPr>
          <w:r>
            <w:rPr>
              <w:rFonts w:hint="eastAsia"/>
              <w:color w:val="auto"/>
            </w:rPr>
            <w:t>实时检测采煤机的俯、仰采角度及采煤机行走方向的工作面倾角，并可以实现仰、俯采限制，倾角传感器选用不锈钢材质；</w:t>
          </w:r>
        </w:p>
        <w:p w14:paraId="2BFE04F2">
          <w:pPr>
            <w:pStyle w:val="96"/>
            <w:numPr>
              <w:ilvl w:val="0"/>
              <w:numId w:val="25"/>
            </w:numPr>
            <w:ind w:firstLineChars="0"/>
            <w:rPr>
              <w:color w:val="auto"/>
            </w:rPr>
          </w:pPr>
          <w:r>
            <w:rPr>
              <w:rFonts w:hint="eastAsia"/>
              <w:color w:val="auto"/>
            </w:rPr>
            <w:t>当主电缆承受的拉力过大时，系统应采取停止牵引或断电的保护措施，避免电缆被拉断；</w:t>
          </w:r>
        </w:p>
        <w:p w14:paraId="4B108610">
          <w:pPr>
            <w:pStyle w:val="96"/>
            <w:numPr>
              <w:ilvl w:val="0"/>
              <w:numId w:val="25"/>
            </w:numPr>
            <w:ind w:firstLineChars="0"/>
            <w:rPr>
              <w:color w:val="auto"/>
            </w:rPr>
          </w:pPr>
          <w:r>
            <w:rPr>
              <w:rFonts w:hint="eastAsia"/>
              <w:color w:val="auto"/>
            </w:rPr>
            <w:t>采煤机应配备摄像系统，远程监视滚筒截割情况，便于操作人员远程监视和操作；</w:t>
          </w:r>
        </w:p>
        <w:p w14:paraId="53F3FEF6">
          <w:pPr>
            <w:pStyle w:val="96"/>
            <w:numPr>
              <w:ilvl w:val="0"/>
              <w:numId w:val="25"/>
            </w:numPr>
            <w:ind w:firstLineChars="0"/>
            <w:rPr>
              <w:color w:val="auto"/>
            </w:rPr>
          </w:pPr>
          <w:r>
            <w:rPr>
              <w:rFonts w:hint="eastAsia"/>
              <w:color w:val="auto"/>
            </w:rPr>
            <w:t>采煤机油液监测要求：提供摇臂润滑油黏度、水分、铁磁性磨损颗粒、非铁磁性磨损颗粒、温度等进行在线监测，智能诊断分析、报警警示、预测判断设备运行状态，提前发现设备初期磨损征兆，实现趋势分析、数据查询、存储、导出，并达到远程监测功能，实现企业远程运维；</w:t>
          </w:r>
        </w:p>
        <w:p w14:paraId="5288F377">
          <w:pPr>
            <w:pStyle w:val="96"/>
            <w:numPr>
              <w:ilvl w:val="0"/>
              <w:numId w:val="25"/>
            </w:numPr>
            <w:ind w:firstLineChars="0"/>
            <w:rPr>
              <w:color w:val="auto"/>
            </w:rPr>
          </w:pPr>
          <w:r>
            <w:rPr>
              <w:rFonts w:hint="eastAsia"/>
              <w:color w:val="auto"/>
            </w:rPr>
            <w:t>完善的监测和保护包括过载、过流、过压、欠压保护；漏电闭锁、短路；水压、水量；电机、截割部和润滑油温度等监测和保护；电机应采用预埋温度传感器技术；</w:t>
          </w:r>
        </w:p>
        <w:p w14:paraId="6AF0FCBC">
          <w:pPr>
            <w:pStyle w:val="96"/>
            <w:numPr>
              <w:ilvl w:val="0"/>
              <w:numId w:val="25"/>
            </w:numPr>
            <w:ind w:firstLineChars="0"/>
            <w:rPr>
              <w:color w:val="auto"/>
            </w:rPr>
          </w:pPr>
          <w:r>
            <w:rPr>
              <w:rFonts w:hint="eastAsia"/>
              <w:color w:val="auto"/>
            </w:rPr>
            <w:t>具有采煤机摇臂高度显示功能。</w:t>
          </w:r>
        </w:p>
        <w:p w14:paraId="3A1CB6B4">
          <w:pPr>
            <w:ind w:firstLine="480"/>
            <w:rPr>
              <w:color w:val="auto"/>
            </w:rPr>
          </w:pPr>
          <w:r>
            <w:rPr>
              <w:rFonts w:hint="eastAsia"/>
              <w:color w:val="auto"/>
            </w:rPr>
            <w:t>4）人机交互界面</w:t>
          </w:r>
        </w:p>
        <w:p w14:paraId="7A99DB59">
          <w:pPr>
            <w:pStyle w:val="96"/>
            <w:numPr>
              <w:ilvl w:val="0"/>
              <w:numId w:val="26"/>
            </w:numPr>
            <w:ind w:firstLineChars="0"/>
            <w:rPr>
              <w:rFonts w:cs="Times New Roman"/>
              <w:color w:val="auto"/>
            </w:rPr>
          </w:pPr>
          <w:r>
            <w:rPr>
              <w:rFonts w:hint="eastAsia" w:cs="Times New Roman"/>
              <w:color w:val="auto"/>
            </w:rPr>
            <w:t>采用大屏幕中文显示，所有采煤机工作信息及系统内部的操作指令均可以便捷查看，故障诊断信息直接在屏幕中提示，易于操作和处理。</w:t>
          </w:r>
        </w:p>
        <w:p w14:paraId="7B80DBDE">
          <w:pPr>
            <w:pStyle w:val="96"/>
            <w:numPr>
              <w:ilvl w:val="0"/>
              <w:numId w:val="26"/>
            </w:numPr>
            <w:ind w:firstLineChars="0"/>
            <w:rPr>
              <w:rFonts w:cs="Times New Roman"/>
              <w:color w:val="auto"/>
            </w:rPr>
          </w:pPr>
          <w:r>
            <w:rPr>
              <w:rFonts w:hint="eastAsia" w:cs="Times New Roman"/>
              <w:color w:val="auto"/>
            </w:rPr>
            <w:t>对于系统内部的各种参数：电机的保护动作值、采煤机的运行速度等参数，均可以不打开电控箱，通过按钮操作直接进行修改，使采煤机适应各种工作面变化。</w:t>
          </w:r>
        </w:p>
        <w:p w14:paraId="197FBB47">
          <w:pPr>
            <w:ind w:firstLine="480"/>
            <w:rPr>
              <w:color w:val="auto"/>
            </w:rPr>
          </w:pPr>
          <w:r>
            <w:rPr>
              <w:rFonts w:hint="eastAsia"/>
              <w:color w:val="auto"/>
            </w:rPr>
            <w:t>5）顺槽计算机</w:t>
          </w:r>
        </w:p>
        <w:p w14:paraId="54404E5C">
          <w:pPr>
            <w:pStyle w:val="96"/>
            <w:numPr>
              <w:ilvl w:val="0"/>
              <w:numId w:val="26"/>
            </w:numPr>
            <w:ind w:firstLineChars="0"/>
            <w:rPr>
              <w:rFonts w:cs="Times New Roman"/>
              <w:color w:val="auto"/>
            </w:rPr>
          </w:pPr>
          <w:r>
            <w:rPr>
              <w:rFonts w:hint="eastAsia" w:cs="Times New Roman"/>
              <w:color w:val="auto"/>
            </w:rPr>
            <w:t>顺槽计算机采用载波或光纤采煤机通信，显示采煤机所有工作参数；</w:t>
          </w:r>
        </w:p>
        <w:p w14:paraId="420B08C5">
          <w:pPr>
            <w:pStyle w:val="96"/>
            <w:numPr>
              <w:ilvl w:val="0"/>
              <w:numId w:val="26"/>
            </w:numPr>
            <w:ind w:firstLineChars="0"/>
            <w:rPr>
              <w:rFonts w:cs="Times New Roman"/>
              <w:color w:val="auto"/>
            </w:rPr>
          </w:pPr>
          <w:r>
            <w:rPr>
              <w:rFonts w:hint="eastAsia" w:cs="Times New Roman"/>
              <w:color w:val="auto"/>
            </w:rPr>
            <w:t>顺槽计算机可以控制采煤机运行；</w:t>
          </w:r>
        </w:p>
        <w:p w14:paraId="3C5C563E">
          <w:pPr>
            <w:pStyle w:val="96"/>
            <w:numPr>
              <w:ilvl w:val="0"/>
              <w:numId w:val="26"/>
            </w:numPr>
            <w:ind w:firstLineChars="0"/>
            <w:rPr>
              <w:rFonts w:cs="Times New Roman"/>
              <w:color w:val="auto"/>
            </w:rPr>
          </w:pPr>
          <w:r>
            <w:rPr>
              <w:rFonts w:hint="eastAsia" w:cs="Times New Roman"/>
              <w:color w:val="auto"/>
            </w:rPr>
            <w:t>顺槽计算机提供RS485、RJ45物理接口，采用MODBUS协议或TCP/IP协议与上位控制设备建立通讯，上位控制设备可以读取采煤机工作数据，也可控制采煤机运行；数据必须向矿方免费开放；</w:t>
          </w:r>
        </w:p>
        <w:p w14:paraId="3D6558D9">
          <w:pPr>
            <w:pStyle w:val="96"/>
            <w:numPr>
              <w:ilvl w:val="0"/>
              <w:numId w:val="26"/>
            </w:numPr>
            <w:ind w:firstLineChars="0"/>
            <w:rPr>
              <w:rFonts w:cs="Times New Roman"/>
              <w:color w:val="auto"/>
            </w:rPr>
          </w:pPr>
          <w:r>
            <w:rPr>
              <w:rFonts w:hint="eastAsia" w:cs="Times New Roman"/>
              <w:color w:val="auto"/>
            </w:rPr>
            <w:t>顺槽计算机具备智能化故障处理方法提示的功能，系统保护并报出故障后，顺槽计算机会自动提示该故障的处理方法，操作员可按照提示依次处理。</w:t>
          </w:r>
        </w:p>
        <w:p w14:paraId="740E4BE1">
          <w:pPr>
            <w:ind w:firstLine="480"/>
            <w:rPr>
              <w:color w:val="auto"/>
            </w:rPr>
          </w:pPr>
          <w:r>
            <w:rPr>
              <w:rFonts w:hint="eastAsia"/>
              <w:color w:val="auto"/>
            </w:rPr>
            <w:t>6）自动化采煤机功能</w:t>
          </w:r>
        </w:p>
        <w:p w14:paraId="6381E8C7">
          <w:pPr>
            <w:pStyle w:val="96"/>
            <w:numPr>
              <w:ilvl w:val="0"/>
              <w:numId w:val="26"/>
            </w:numPr>
            <w:ind w:firstLineChars="0"/>
            <w:rPr>
              <w:rFonts w:cs="Times New Roman"/>
              <w:color w:val="auto"/>
            </w:rPr>
          </w:pPr>
          <w:r>
            <w:rPr>
              <w:rFonts w:hint="eastAsia" w:cs="Times New Roman"/>
              <w:color w:val="auto"/>
            </w:rPr>
            <w:t>具备常规采煤机的基本就机控制功能；</w:t>
          </w:r>
        </w:p>
        <w:p w14:paraId="09CC05D2">
          <w:pPr>
            <w:pStyle w:val="96"/>
            <w:numPr>
              <w:ilvl w:val="0"/>
              <w:numId w:val="26"/>
            </w:numPr>
            <w:ind w:firstLineChars="0"/>
            <w:rPr>
              <w:rFonts w:cs="Times New Roman"/>
              <w:color w:val="auto"/>
            </w:rPr>
          </w:pPr>
          <w:r>
            <w:rPr>
              <w:rFonts w:hint="eastAsia" w:cs="Times New Roman"/>
              <w:color w:val="auto"/>
            </w:rPr>
            <w:t>可以通过顺槽集中控制设备，在工作面视频系统的辅助下对采煤机进行远程控制，控制采煤机的牵引、调高和停止；</w:t>
          </w:r>
        </w:p>
        <w:p w14:paraId="7307EF80">
          <w:pPr>
            <w:pStyle w:val="96"/>
            <w:numPr>
              <w:ilvl w:val="0"/>
              <w:numId w:val="26"/>
            </w:numPr>
            <w:ind w:firstLineChars="0"/>
            <w:rPr>
              <w:rFonts w:cs="Times New Roman"/>
              <w:color w:val="auto"/>
            </w:rPr>
          </w:pPr>
          <w:r>
            <w:rPr>
              <w:rFonts w:hint="eastAsia" w:cs="Times New Roman"/>
              <w:color w:val="auto"/>
            </w:rPr>
            <w:t>可以通过顺槽集中控制设备进入采煤机自动运行即记忆截割模式，并可以随时进行人工干预；</w:t>
          </w:r>
        </w:p>
        <w:p w14:paraId="127BF3C5">
          <w:pPr>
            <w:pStyle w:val="96"/>
            <w:numPr>
              <w:ilvl w:val="0"/>
              <w:numId w:val="26"/>
            </w:numPr>
            <w:ind w:firstLineChars="0"/>
            <w:rPr>
              <w:rFonts w:cs="Times New Roman"/>
              <w:color w:val="auto"/>
            </w:rPr>
          </w:pPr>
          <w:r>
            <w:rPr>
              <w:rFonts w:hint="eastAsia" w:cs="Times New Roman"/>
              <w:color w:val="auto"/>
            </w:rPr>
            <w:t>采煤机在工作面中间区域自主运行，可以与支架和刮板机进行联动，根据刮板机功率进行调速，还可以在工作面两端头进行具有采煤工艺的自动运行，如斜切进刀、割三角煤、倒退扫底等工艺，并可以根据用户的工艺要求在线配置；</w:t>
          </w:r>
        </w:p>
        <w:p w14:paraId="38438031">
          <w:pPr>
            <w:pStyle w:val="96"/>
            <w:numPr>
              <w:ilvl w:val="0"/>
              <w:numId w:val="26"/>
            </w:numPr>
            <w:ind w:firstLineChars="0"/>
            <w:rPr>
              <w:rFonts w:cs="Times New Roman"/>
              <w:color w:val="auto"/>
            </w:rPr>
          </w:pPr>
          <w:r>
            <w:rPr>
              <w:rFonts w:hint="eastAsia" w:cs="Times New Roman"/>
              <w:color w:val="auto"/>
            </w:rPr>
            <w:t>可以在顺槽侧观察采煤机的完整工作数据，并可以通过上位机上传这些数据；</w:t>
          </w:r>
        </w:p>
        <w:p w14:paraId="1099B76A">
          <w:pPr>
            <w:pStyle w:val="96"/>
            <w:numPr>
              <w:ilvl w:val="0"/>
              <w:numId w:val="26"/>
            </w:numPr>
            <w:ind w:firstLineChars="0"/>
            <w:rPr>
              <w:rFonts w:cs="Times New Roman"/>
              <w:color w:val="auto"/>
            </w:rPr>
          </w:pPr>
          <w:r>
            <w:rPr>
              <w:rFonts w:hint="eastAsia" w:cs="Times New Roman"/>
              <w:color w:val="auto"/>
            </w:rPr>
            <w:t xml:space="preserve">采煤机具备完善的状态检测，对各个运行单元及工况状态进行监测，异常情况下进行保护，动作灵敏，有效避免机械故障的发生； </w:t>
          </w:r>
        </w:p>
        <w:p w14:paraId="741E084A">
          <w:pPr>
            <w:pStyle w:val="96"/>
            <w:numPr>
              <w:ilvl w:val="0"/>
              <w:numId w:val="26"/>
            </w:numPr>
            <w:ind w:firstLineChars="0"/>
            <w:rPr>
              <w:color w:val="auto"/>
            </w:rPr>
          </w:pPr>
          <w:r>
            <w:rPr>
              <w:rFonts w:hint="eastAsia" w:cs="Times New Roman"/>
              <w:color w:val="auto"/>
            </w:rPr>
            <w:t>采煤机具备实时可靠的远程通讯系统，可以将采煤机数据传输到顺槽和地面，远程传输具备时效性好、响应迅速的特点。</w:t>
          </w:r>
        </w:p>
        <w:p w14:paraId="3F30F439">
          <w:pPr>
            <w:ind w:firstLine="480"/>
            <w:rPr>
              <w:color w:val="auto"/>
            </w:rPr>
          </w:pPr>
          <w:r>
            <w:rPr>
              <w:rFonts w:hint="eastAsia"/>
              <w:color w:val="auto"/>
            </w:rPr>
            <w:t>7）自动化采煤机具体要求</w:t>
          </w:r>
        </w:p>
        <w:p w14:paraId="5415F391">
          <w:pPr>
            <w:pStyle w:val="96"/>
            <w:numPr>
              <w:ilvl w:val="0"/>
              <w:numId w:val="26"/>
            </w:numPr>
            <w:ind w:firstLineChars="0"/>
            <w:rPr>
              <w:rFonts w:cs="Times New Roman"/>
              <w:color w:val="auto"/>
            </w:rPr>
          </w:pPr>
          <w:r>
            <w:rPr>
              <w:rFonts w:hint="eastAsia" w:cs="Times New Roman"/>
              <w:color w:val="auto"/>
            </w:rPr>
            <w:t>具备可配置复杂工艺程序的记忆截割功能，以满足不同工作面的采煤工艺要求，工艺程序可以修改并配置；</w:t>
          </w:r>
        </w:p>
        <w:p w14:paraId="692DD8BE">
          <w:pPr>
            <w:pStyle w:val="96"/>
            <w:numPr>
              <w:ilvl w:val="0"/>
              <w:numId w:val="26"/>
            </w:numPr>
            <w:ind w:firstLineChars="0"/>
            <w:rPr>
              <w:rFonts w:cs="Times New Roman"/>
              <w:color w:val="auto"/>
            </w:rPr>
          </w:pPr>
          <w:r>
            <w:rPr>
              <w:rFonts w:hint="eastAsia" w:ascii="仿宋" w:hAnsi="仿宋" w:eastAsia="仿宋" w:cs="仿宋"/>
              <w:color w:val="auto"/>
              <w:szCs w:val="24"/>
            </w:rPr>
            <w:t>▲</w:t>
          </w:r>
          <w:r>
            <w:rPr>
              <w:rFonts w:hint="eastAsia" w:cs="Times New Roman"/>
              <w:color w:val="auto"/>
            </w:rPr>
            <w:t xml:space="preserve">自动控制的精度高，行走位置检测分辨力不大于1cm，典型位置控制精度优于±5cm，记忆截割典型采高重复误差±2.5cm，采高记忆曲线位置分辨力不大于10cm，具有线性插值、采高精度与牵引速度的自适应调节与预期控制等； </w:t>
          </w:r>
        </w:p>
        <w:p w14:paraId="1EE0CD6A">
          <w:pPr>
            <w:pStyle w:val="96"/>
            <w:numPr>
              <w:ilvl w:val="0"/>
              <w:numId w:val="26"/>
            </w:numPr>
            <w:ind w:firstLineChars="0"/>
            <w:rPr>
              <w:rFonts w:cs="Times New Roman"/>
              <w:color w:val="auto"/>
            </w:rPr>
          </w:pPr>
          <w:r>
            <w:rPr>
              <w:rFonts w:hint="eastAsia" w:cs="Times New Roman"/>
              <w:color w:val="auto"/>
            </w:rPr>
            <w:t>可在本地和远程上位机实现学习记忆、自动操作、自动过程的在线学习修正、无限制的中断与恢复等；</w:t>
          </w:r>
        </w:p>
        <w:p w14:paraId="31350D90">
          <w:pPr>
            <w:pStyle w:val="96"/>
            <w:numPr>
              <w:ilvl w:val="0"/>
              <w:numId w:val="26"/>
            </w:numPr>
            <w:ind w:firstLineChars="0"/>
            <w:rPr>
              <w:rFonts w:cs="Times New Roman"/>
              <w:color w:val="auto"/>
            </w:rPr>
          </w:pPr>
          <w:r>
            <w:rPr>
              <w:rFonts w:hint="eastAsia" w:cs="Times New Roman"/>
              <w:color w:val="auto"/>
            </w:rPr>
            <w:t>具备防形截割，图形化编程设定等功能，可以根据采煤机的工作过程自动建立工作面模型，调整模型即可修改采煤机自动运行轨迹，图形化的编程设定可以方便的修改这些模型；</w:t>
          </w:r>
        </w:p>
        <w:p w14:paraId="5B560DAD">
          <w:pPr>
            <w:pStyle w:val="96"/>
            <w:numPr>
              <w:ilvl w:val="0"/>
              <w:numId w:val="26"/>
            </w:numPr>
            <w:ind w:firstLineChars="0"/>
            <w:rPr>
              <w:rFonts w:cs="Times New Roman"/>
              <w:color w:val="auto"/>
            </w:rPr>
          </w:pPr>
          <w:r>
            <w:rPr>
              <w:rFonts w:hint="eastAsia" w:cs="Times New Roman"/>
              <w:color w:val="auto"/>
            </w:rPr>
            <w:t>采煤机通讯稳定可靠，采用高速全双工调制通信、稳定可靠的高阶信号滤波以及虚拟专用通道等技术，抗干扰能力强，支持全功能远程操作控制及煤机运行状态的远程全面监视，</w:t>
          </w:r>
          <w:r>
            <w:rPr>
              <w:rFonts w:hint="eastAsia" w:ascii="仿宋" w:hAnsi="仿宋" w:eastAsia="仿宋" w:cs="仿宋"/>
              <w:color w:val="auto"/>
              <w:szCs w:val="24"/>
            </w:rPr>
            <w:t>▲</w:t>
          </w:r>
          <w:r>
            <w:rPr>
              <w:rFonts w:hint="eastAsia" w:cs="Times New Roman"/>
              <w:color w:val="auto"/>
            </w:rPr>
            <w:t>稳定连续传输总带宽大于100kps；</w:t>
          </w:r>
          <w:r>
            <w:rPr>
              <w:rFonts w:hint="eastAsia" w:ascii="仿宋" w:hAnsi="仿宋" w:eastAsia="仿宋" w:cs="仿宋"/>
              <w:color w:val="auto"/>
              <w:szCs w:val="24"/>
            </w:rPr>
            <w:t>▲</w:t>
          </w:r>
          <w:r>
            <w:rPr>
              <w:rFonts w:hint="eastAsia" w:cs="Times New Roman"/>
              <w:color w:val="auto"/>
            </w:rPr>
            <w:t>从顺槽到采煤机的内部指令传输延迟不大于20ms，延时抖动小于1ms；</w:t>
          </w:r>
        </w:p>
        <w:p w14:paraId="0F5780D0">
          <w:pPr>
            <w:pStyle w:val="96"/>
            <w:numPr>
              <w:ilvl w:val="0"/>
              <w:numId w:val="26"/>
            </w:numPr>
            <w:ind w:firstLineChars="0"/>
            <w:rPr>
              <w:rFonts w:cs="Times New Roman"/>
              <w:color w:val="auto"/>
            </w:rPr>
          </w:pPr>
          <w:r>
            <w:rPr>
              <w:rFonts w:hint="eastAsia" w:cs="Times New Roman"/>
              <w:color w:val="auto"/>
            </w:rPr>
            <w:t>具备故障预诊断能力；</w:t>
          </w:r>
        </w:p>
        <w:p w14:paraId="2AF572AC">
          <w:pPr>
            <w:pStyle w:val="96"/>
            <w:numPr>
              <w:ilvl w:val="0"/>
              <w:numId w:val="26"/>
            </w:numPr>
            <w:ind w:firstLineChars="0"/>
            <w:rPr>
              <w:rFonts w:cs="Times New Roman"/>
              <w:color w:val="auto"/>
            </w:rPr>
          </w:pPr>
          <w:r>
            <w:rPr>
              <w:rFonts w:hint="eastAsia" w:cs="Times New Roman"/>
              <w:color w:val="auto"/>
            </w:rPr>
            <w:t>记忆截割自动操纵软件可以实现牵引速度与采高控制精度自适应调节，实现高精度自动记忆截割；</w:t>
          </w:r>
        </w:p>
        <w:p w14:paraId="253CF26C">
          <w:pPr>
            <w:pStyle w:val="96"/>
            <w:numPr>
              <w:ilvl w:val="0"/>
              <w:numId w:val="26"/>
            </w:numPr>
            <w:ind w:firstLineChars="0"/>
            <w:rPr>
              <w:rFonts w:cs="Times New Roman"/>
              <w:color w:val="auto"/>
            </w:rPr>
          </w:pPr>
          <w:r>
            <w:rPr>
              <w:rFonts w:hint="eastAsia" w:cs="Times New Roman"/>
              <w:color w:val="auto"/>
            </w:rPr>
            <w:t>系统各种保护或运行参数均可在线修改。</w:t>
          </w:r>
        </w:p>
        <w:p w14:paraId="2E2CED15">
          <w:pPr>
            <w:pStyle w:val="96"/>
            <w:numPr>
              <w:ilvl w:val="0"/>
              <w:numId w:val="26"/>
            </w:numPr>
            <w:ind w:firstLineChars="0"/>
            <w:rPr>
              <w:rFonts w:cs="Times New Roman"/>
              <w:color w:val="auto"/>
            </w:rPr>
          </w:pPr>
          <w:r>
            <w:rPr>
              <w:rFonts w:hint="eastAsia" w:cs="Times New Roman"/>
              <w:color w:val="auto"/>
            </w:rPr>
            <w:t>实时通讯状态检测，设置检测及校验，当通讯失败或是校验出错的情况下，采煤机可快速保护锁定，不允许启动及操作（就机模式除外）；</w:t>
          </w:r>
        </w:p>
        <w:p w14:paraId="0C8FFBEC">
          <w:pPr>
            <w:pStyle w:val="96"/>
            <w:numPr>
              <w:ilvl w:val="0"/>
              <w:numId w:val="26"/>
            </w:numPr>
            <w:ind w:firstLineChars="0"/>
            <w:rPr>
              <w:rFonts w:cs="Times New Roman"/>
              <w:color w:val="auto"/>
            </w:rPr>
          </w:pPr>
          <w:r>
            <w:rPr>
              <w:rFonts w:hint="eastAsia" w:cs="Times New Roman"/>
              <w:color w:val="auto"/>
            </w:rPr>
            <w:t>具备就机操作、远程自动控制两种模式互锁功能，在就机模式下，不允许远端控制；在远端控制模式下允许就机控制，用以保证采煤机操作的安全性；</w:t>
          </w:r>
        </w:p>
        <w:p w14:paraId="0AC0568B">
          <w:pPr>
            <w:pStyle w:val="96"/>
            <w:numPr>
              <w:ilvl w:val="0"/>
              <w:numId w:val="26"/>
            </w:numPr>
            <w:ind w:firstLineChars="0"/>
            <w:rPr>
              <w:rFonts w:cs="Times New Roman"/>
              <w:color w:val="auto"/>
            </w:rPr>
          </w:pPr>
          <w:r>
            <w:rPr>
              <w:rFonts w:hint="eastAsia" w:cs="Times New Roman"/>
              <w:color w:val="auto"/>
            </w:rPr>
            <w:t>采煤机上电前对基本模块进行状态检测，电机启动预警，在自动操作模式下对采煤机各关键传感和执行环节工作状态实施连续监测，异常报警或退出自动模式必要时保护停机；</w:t>
          </w:r>
        </w:p>
        <w:p w14:paraId="0FC4C2C1">
          <w:pPr>
            <w:pStyle w:val="96"/>
            <w:numPr>
              <w:ilvl w:val="0"/>
              <w:numId w:val="26"/>
            </w:numPr>
            <w:ind w:firstLineChars="0"/>
            <w:rPr>
              <w:rFonts w:cs="Times New Roman"/>
              <w:color w:val="auto"/>
            </w:rPr>
          </w:pPr>
          <w:r>
            <w:rPr>
              <w:rFonts w:hint="eastAsia" w:cs="Times New Roman"/>
              <w:color w:val="auto"/>
            </w:rPr>
            <w:t>采煤机自动记忆截割模式下，各项操作均可以人工干预，人工干预具备最高的优先级。当工作面环境发生变化，记忆数据与实际数据差距较大时，记忆截割停止运行，并提示操作人员，并可在线修改记忆截割轨迹；</w:t>
          </w:r>
        </w:p>
        <w:p w14:paraId="0A7018B2">
          <w:pPr>
            <w:pStyle w:val="96"/>
            <w:numPr>
              <w:ilvl w:val="0"/>
              <w:numId w:val="26"/>
            </w:numPr>
            <w:ind w:firstLineChars="0"/>
            <w:rPr>
              <w:rFonts w:cs="Times New Roman"/>
              <w:color w:val="auto"/>
            </w:rPr>
          </w:pPr>
          <w:r>
            <w:rPr>
              <w:rFonts w:hint="eastAsia" w:cs="Times New Roman"/>
              <w:color w:val="auto"/>
            </w:rPr>
            <w:t>为采煤机位置红外发射器提供一个安装位置及一路本安电源，电源容量为12VDC 900mA；红外发射器外形尺寸由电液控制厂家提供。</w:t>
          </w:r>
        </w:p>
        <w:p w14:paraId="09700915">
          <w:pPr>
            <w:pStyle w:val="96"/>
            <w:numPr>
              <w:ilvl w:val="0"/>
              <w:numId w:val="26"/>
            </w:numPr>
            <w:ind w:firstLineChars="0"/>
            <w:rPr>
              <w:rFonts w:cs="Times New Roman"/>
              <w:color w:val="auto"/>
            </w:rPr>
          </w:pPr>
          <w:r>
            <w:rPr>
              <w:rFonts w:hint="eastAsia" w:ascii="宋体" w:hAnsi="宋体" w:eastAsia="宋体" w:cs="宋体"/>
              <w:color w:val="auto"/>
              <w:szCs w:val="24"/>
            </w:rPr>
            <w:t>为惯性导航系统提供安装位置和一路本安电源，24VDC 50W，惯导由矿方提供。</w:t>
          </w:r>
        </w:p>
        <w:p w14:paraId="2A1928BF">
          <w:pPr>
            <w:pStyle w:val="96"/>
            <w:numPr>
              <w:ilvl w:val="0"/>
              <w:numId w:val="26"/>
            </w:numPr>
            <w:ind w:firstLineChars="0"/>
            <w:rPr>
              <w:rFonts w:cs="Times New Roman"/>
              <w:color w:val="auto"/>
            </w:rPr>
          </w:pPr>
          <w:r>
            <w:rPr>
              <w:rFonts w:hint="eastAsia" w:cs="Times New Roman"/>
              <w:color w:val="auto"/>
            </w:rPr>
            <w:t>刮板输送机找直系统安装在采煤机上，由采煤机制造厂家提供安装位置、供电电源，预留机载无线基站安装位置以及与找直系统的以太网通信接口。</w:t>
          </w:r>
        </w:p>
        <w:p w14:paraId="223CF11E">
          <w:pPr>
            <w:pStyle w:val="96"/>
            <w:numPr>
              <w:ilvl w:val="0"/>
              <w:numId w:val="26"/>
            </w:numPr>
            <w:ind w:firstLineChars="0"/>
            <w:rPr>
              <w:color w:val="auto"/>
            </w:rPr>
          </w:pPr>
          <w:r>
            <w:rPr>
              <w:rFonts w:hint="eastAsia" w:cs="Times New Roman"/>
              <w:color w:val="auto"/>
            </w:rPr>
            <w:t>可接入综采智能化系统，接受集控中心发送的规划截割指令或截割曲线并自动执行。具备参数化编程设定等功能，可以根据集控中心指令修改采煤机规划截割路径。可根据集控中心速度要求进行调速，根据集控中心采高要求进行采高调整。提供三角煤协同阶段节点反馈，接受三角煤各阶段启停控制。</w:t>
          </w:r>
        </w:p>
        <w:p w14:paraId="16FADB8D">
          <w:pPr>
            <w:ind w:firstLine="480"/>
            <w:rPr>
              <w:color w:val="auto"/>
            </w:rPr>
          </w:pPr>
          <w:r>
            <w:rPr>
              <w:rFonts w:hint="eastAsia"/>
              <w:color w:val="auto"/>
            </w:rPr>
            <w:t>8）采煤机螺栓智能检测系统</w:t>
          </w:r>
        </w:p>
        <w:p w14:paraId="30C566EC">
          <w:pPr>
            <w:ind w:firstLine="480"/>
            <w:rPr>
              <w:color w:val="auto"/>
            </w:rPr>
          </w:pPr>
          <w:r>
            <w:rPr>
              <w:rFonts w:hint="eastAsia"/>
              <w:color w:val="auto"/>
            </w:rPr>
            <w:t>采煤机运行过程中，机身受到很强的变化载荷的冲击与振动，通过安装智能螺杆预紧力在线实时监测系统，能够对连接采煤机机身的几根长螺杆是否松动及时预警，避免长螺杆的松动甚至是断裂，保证了煤矿的安全生产。</w:t>
          </w:r>
        </w:p>
        <w:p w14:paraId="200A3624">
          <w:pPr>
            <w:ind w:firstLine="480"/>
            <w:rPr>
              <w:color w:val="auto"/>
            </w:rPr>
          </w:pPr>
          <w:r>
            <w:rPr>
              <w:rFonts w:hint="eastAsia"/>
              <w:color w:val="auto"/>
            </w:rPr>
            <w:t>选用上海应谱、成都威尔森科、上海坤景</w:t>
          </w:r>
          <w:r>
            <w:rPr>
              <w:color w:val="auto"/>
            </w:rPr>
            <w:t>或同等档次以上品牌产品</w:t>
          </w:r>
          <w:r>
            <w:rPr>
              <w:rFonts w:hint="eastAsia"/>
              <w:color w:val="auto"/>
            </w:rPr>
            <w:t>。</w:t>
          </w:r>
        </w:p>
        <w:p w14:paraId="42CBC4B7">
          <w:pPr>
            <w:pStyle w:val="3"/>
            <w:rPr>
              <w:rFonts w:hint="eastAsia"/>
              <w:color w:val="auto"/>
            </w:rPr>
          </w:pPr>
          <w:bookmarkStart w:id="15" w:name="_Toc229574397"/>
          <w:r>
            <w:rPr>
              <w:rFonts w:hint="eastAsia"/>
              <w:color w:val="auto"/>
            </w:rPr>
            <w:t>3.4、采煤机其他要求</w:t>
          </w:r>
          <w:bookmarkEnd w:id="15"/>
        </w:p>
        <w:p w14:paraId="1E467ED1">
          <w:pPr>
            <w:ind w:firstLine="480"/>
            <w:rPr>
              <w:color w:val="auto"/>
            </w:rPr>
          </w:pPr>
          <w:r>
            <w:rPr>
              <w:color w:val="auto"/>
            </w:rPr>
            <w:t>1</w:t>
          </w:r>
          <w:r>
            <w:rPr>
              <w:rFonts w:hint="eastAsia"/>
              <w:color w:val="auto"/>
            </w:rPr>
            <w:t>）外购的标准件及非标准件必须符合国标或者行业标准，保证安全可靠；</w:t>
          </w:r>
        </w:p>
        <w:p w14:paraId="117BE5B4">
          <w:pPr>
            <w:ind w:firstLine="480"/>
            <w:rPr>
              <w:color w:val="auto"/>
            </w:rPr>
          </w:pPr>
          <w:r>
            <w:rPr>
              <w:color w:val="auto"/>
            </w:rPr>
            <w:t>2</w:t>
          </w:r>
          <w:r>
            <w:rPr>
              <w:rFonts w:hint="eastAsia"/>
              <w:color w:val="auto"/>
            </w:rPr>
            <w:t>）电气控制系统应具有2025版《煤矿安全规程》所规定的各种保护及要求；</w:t>
          </w:r>
        </w:p>
        <w:p w14:paraId="5927F2B2">
          <w:pPr>
            <w:ind w:firstLine="480"/>
            <w:rPr>
              <w:color w:val="auto"/>
            </w:rPr>
          </w:pPr>
          <w:r>
            <w:rPr>
              <w:rFonts w:hint="eastAsia"/>
              <w:color w:val="auto"/>
            </w:rPr>
            <w:t>3）机身各部件之间连接采用高强度液压螺栓连接；</w:t>
          </w:r>
        </w:p>
        <w:p w14:paraId="6C967B5E">
          <w:pPr>
            <w:ind w:firstLine="480"/>
            <w:rPr>
              <w:color w:val="auto"/>
            </w:rPr>
          </w:pPr>
          <w:r>
            <w:rPr>
              <w:rFonts w:hint="eastAsia"/>
              <w:color w:val="auto"/>
            </w:rPr>
            <w:t>4）各运行部件要设有防护装置；</w:t>
          </w:r>
        </w:p>
        <w:p w14:paraId="6407A3C8">
          <w:pPr>
            <w:ind w:firstLine="480"/>
            <w:rPr>
              <w:color w:val="auto"/>
            </w:rPr>
          </w:pPr>
          <w:r>
            <w:rPr>
              <w:rFonts w:hint="eastAsia"/>
              <w:color w:val="auto"/>
            </w:rPr>
            <w:t>5）各种标识清晰、易懂、防腐蚀，安装在明显的位置，应有中文标识；</w:t>
          </w:r>
        </w:p>
        <w:p w14:paraId="14231962">
          <w:pPr>
            <w:ind w:firstLine="480"/>
            <w:rPr>
              <w:color w:val="auto"/>
            </w:rPr>
          </w:pPr>
          <w:r>
            <w:rPr>
              <w:rFonts w:hint="eastAsia"/>
              <w:color w:val="auto"/>
            </w:rPr>
            <w:t>6）设备入井前必须取得国家煤矿安全标志证书</w:t>
          </w:r>
          <w:r>
            <w:rPr>
              <w:rFonts w:hint="cs"/>
              <w:color w:val="auto"/>
            </w:rPr>
            <w:t>“</w:t>
          </w:r>
          <w:r>
            <w:rPr>
              <w:color w:val="auto"/>
            </w:rPr>
            <w:t>MA”</w:t>
          </w:r>
          <w:r>
            <w:rPr>
              <w:rFonts w:hint="eastAsia"/>
              <w:color w:val="auto"/>
            </w:rPr>
            <w:t>标识牌；</w:t>
          </w:r>
        </w:p>
        <w:p w14:paraId="21918365">
          <w:pPr>
            <w:ind w:firstLine="480"/>
            <w:rPr>
              <w:color w:val="auto"/>
            </w:rPr>
          </w:pPr>
          <w:r>
            <w:rPr>
              <w:rFonts w:hint="eastAsia"/>
              <w:color w:val="auto"/>
            </w:rPr>
            <w:t>7）电气设备应符合中国</w:t>
          </w:r>
          <w:r>
            <w:rPr>
              <w:color w:val="auto"/>
            </w:rPr>
            <w:t>GB3836.1~4 2010</w:t>
          </w:r>
          <w:r>
            <w:rPr>
              <w:rFonts w:hint="eastAsia"/>
              <w:color w:val="auto"/>
            </w:rPr>
            <w:t>准或其它被中国防爆检验部门认可的标准；</w:t>
          </w:r>
        </w:p>
        <w:p w14:paraId="666A7568">
          <w:pPr>
            <w:ind w:firstLine="480"/>
            <w:rPr>
              <w:color w:val="auto"/>
            </w:rPr>
          </w:pPr>
          <w:r>
            <w:rPr>
              <w:rFonts w:hint="eastAsia"/>
              <w:color w:val="auto"/>
            </w:rPr>
            <w:t>8）</w:t>
          </w:r>
          <w:r>
            <w:rPr>
              <w:rFonts w:hint="eastAsia" w:ascii="仿宋" w:hAnsi="仿宋" w:eastAsia="仿宋" w:cs="仿宋"/>
              <w:color w:val="auto"/>
              <w:szCs w:val="24"/>
            </w:rPr>
            <w:t>▲</w:t>
          </w:r>
          <w:r>
            <w:rPr>
              <w:rFonts w:hint="eastAsia"/>
              <w:color w:val="auto"/>
            </w:rPr>
            <w:t>电机外壳的防护等级：不低于</w:t>
          </w:r>
          <w:r>
            <w:rPr>
              <w:color w:val="auto"/>
            </w:rPr>
            <w:t>IP55</w:t>
          </w:r>
          <w:r>
            <w:rPr>
              <w:rFonts w:hint="eastAsia"/>
              <w:color w:val="auto"/>
            </w:rPr>
            <w:t>，电机等级为</w:t>
          </w:r>
          <w:r>
            <w:rPr>
              <w:color w:val="auto"/>
            </w:rPr>
            <w:t>H</w:t>
          </w:r>
          <w:r>
            <w:rPr>
              <w:rFonts w:hint="eastAsia"/>
              <w:color w:val="auto"/>
            </w:rPr>
            <w:t>级；</w:t>
          </w:r>
        </w:p>
        <w:p w14:paraId="1D270E12">
          <w:pPr>
            <w:ind w:firstLine="480"/>
            <w:rPr>
              <w:color w:val="auto"/>
            </w:rPr>
          </w:pPr>
          <w:r>
            <w:rPr>
              <w:rFonts w:hint="eastAsia"/>
              <w:color w:val="auto"/>
            </w:rPr>
            <w:t>9）在质保期内对所有设备免费维修或更换。在质保期内由于产品质量问题引起的损失由投标方承担；</w:t>
          </w:r>
        </w:p>
        <w:p w14:paraId="7E53829B">
          <w:pPr>
            <w:ind w:firstLine="480"/>
            <w:rPr>
              <w:color w:val="auto"/>
            </w:rPr>
          </w:pPr>
          <w:r>
            <w:rPr>
              <w:color w:val="auto"/>
            </w:rPr>
            <w:t>1</w:t>
          </w:r>
          <w:r>
            <w:rPr>
              <w:rFonts w:hint="eastAsia"/>
              <w:color w:val="auto"/>
            </w:rPr>
            <w:t>0）在质保期过后，免费提供技术服务和备件的有偿更换及维修工作，需方仅负担所更换的配件费用；</w:t>
          </w:r>
        </w:p>
        <w:p w14:paraId="64C66BBE">
          <w:pPr>
            <w:ind w:firstLine="480"/>
            <w:rPr>
              <w:color w:val="auto"/>
            </w:rPr>
          </w:pPr>
          <w:r>
            <w:rPr>
              <w:color w:val="auto"/>
            </w:rPr>
            <w:t>1</w:t>
          </w:r>
          <w:r>
            <w:rPr>
              <w:rFonts w:hint="eastAsia"/>
              <w:color w:val="auto"/>
            </w:rPr>
            <w:t>1）投标人须详细填报设备所有配置部件的材质、原产地、结构、技术参数等详细信息；</w:t>
          </w:r>
        </w:p>
        <w:p w14:paraId="2B20468B">
          <w:pPr>
            <w:ind w:firstLine="480"/>
            <w:rPr>
              <w:color w:val="auto"/>
            </w:rPr>
          </w:pPr>
          <w:r>
            <w:rPr>
              <w:rFonts w:hint="eastAsia"/>
              <w:color w:val="auto"/>
            </w:rPr>
            <w:t>12）所有数据免费向矿方提供；</w:t>
          </w:r>
        </w:p>
        <w:p w14:paraId="103F1944">
          <w:pPr>
            <w:ind w:firstLine="480"/>
            <w:rPr>
              <w:color w:val="auto"/>
            </w:rPr>
          </w:pPr>
          <w:r>
            <w:rPr>
              <w:rFonts w:hint="eastAsia"/>
              <w:color w:val="auto"/>
            </w:rPr>
            <w:t>13）采煤机的主要配置</w:t>
          </w:r>
        </w:p>
        <w:p w14:paraId="5FB90637">
          <w:pPr>
            <w:pStyle w:val="96"/>
            <w:numPr>
              <w:ilvl w:val="0"/>
              <w:numId w:val="27"/>
            </w:numPr>
            <w:ind w:firstLineChars="0"/>
            <w:rPr>
              <w:color w:val="auto"/>
            </w:rPr>
          </w:pPr>
          <w:r>
            <w:rPr>
              <w:rFonts w:hint="eastAsia" w:ascii="仿宋" w:hAnsi="仿宋" w:eastAsia="仿宋" w:cs="仿宋"/>
              <w:color w:val="auto"/>
              <w:szCs w:val="24"/>
            </w:rPr>
            <w:t>▲</w:t>
          </w:r>
          <w:r>
            <w:rPr>
              <w:rFonts w:hint="eastAsia"/>
              <w:color w:val="auto"/>
            </w:rPr>
            <w:t>截割电动机、牵引电动机、油泵电动机</w:t>
          </w:r>
          <w:bookmarkStart w:id="16" w:name="_Hlk209443360"/>
          <w:r>
            <w:rPr>
              <w:rFonts w:hint="eastAsia"/>
              <w:color w:val="auto"/>
            </w:rPr>
            <w:t>选用江苏亚力、辽宁抚顺、西北骏马、中加特</w:t>
          </w:r>
          <w:r>
            <w:rPr>
              <w:color w:val="auto"/>
            </w:rPr>
            <w:t>或同等档次以上品牌产品</w:t>
          </w:r>
          <w:r>
            <w:rPr>
              <w:rFonts w:hint="eastAsia"/>
              <w:color w:val="auto"/>
            </w:rPr>
            <w:t>，效率大于</w:t>
          </w:r>
          <w:r>
            <w:rPr>
              <w:color w:val="auto"/>
            </w:rPr>
            <w:t>92%</w:t>
          </w:r>
          <w:r>
            <w:rPr>
              <w:rFonts w:hint="eastAsia"/>
              <w:color w:val="auto"/>
            </w:rPr>
            <w:t>；</w:t>
          </w:r>
          <w:bookmarkEnd w:id="16"/>
        </w:p>
        <w:p w14:paraId="583054E1">
          <w:pPr>
            <w:pStyle w:val="96"/>
            <w:numPr>
              <w:ilvl w:val="0"/>
              <w:numId w:val="27"/>
            </w:numPr>
            <w:ind w:firstLineChars="0"/>
            <w:rPr>
              <w:color w:val="auto"/>
            </w:rPr>
          </w:pPr>
          <w:r>
            <w:rPr>
              <w:rFonts w:hint="eastAsia" w:ascii="仿宋" w:hAnsi="仿宋" w:eastAsia="仿宋" w:cs="仿宋"/>
              <w:color w:val="auto"/>
              <w:szCs w:val="24"/>
            </w:rPr>
            <w:t>▲</w:t>
          </w:r>
          <w:r>
            <w:rPr>
              <w:rFonts w:hint="eastAsia"/>
              <w:color w:val="auto"/>
            </w:rPr>
            <w:t>变频器选用A</w:t>
          </w:r>
          <w:r>
            <w:rPr>
              <w:color w:val="auto"/>
            </w:rPr>
            <w:t>BB</w:t>
          </w:r>
          <w:r>
            <w:rPr>
              <w:rFonts w:hint="eastAsia"/>
              <w:color w:val="auto"/>
            </w:rPr>
            <w:t>、西门子、JOY</w:t>
          </w:r>
          <w:r>
            <w:rPr>
              <w:color w:val="auto"/>
            </w:rPr>
            <w:t>或同等档次以上品牌产品</w:t>
          </w:r>
          <w:r>
            <w:rPr>
              <w:rFonts w:hint="eastAsia"/>
              <w:color w:val="auto"/>
            </w:rPr>
            <w:t>；</w:t>
          </w:r>
        </w:p>
        <w:p w14:paraId="513520F7">
          <w:pPr>
            <w:pStyle w:val="96"/>
            <w:numPr>
              <w:ilvl w:val="0"/>
              <w:numId w:val="27"/>
            </w:numPr>
            <w:ind w:firstLineChars="0"/>
            <w:rPr>
              <w:color w:val="auto"/>
            </w:rPr>
          </w:pPr>
          <w:r>
            <w:rPr>
              <w:rFonts w:hint="eastAsia" w:ascii="仿宋" w:hAnsi="仿宋" w:eastAsia="仿宋" w:cs="仿宋"/>
              <w:color w:val="auto"/>
              <w:szCs w:val="24"/>
            </w:rPr>
            <w:t>▲</w:t>
          </w:r>
          <w:r>
            <w:rPr>
              <w:rFonts w:hint="eastAsia"/>
              <w:color w:val="auto"/>
            </w:rPr>
            <w:t>主要部位轴承选用S</w:t>
          </w:r>
          <w:r>
            <w:rPr>
              <w:color w:val="auto"/>
            </w:rPr>
            <w:t>KF</w:t>
          </w:r>
          <w:r>
            <w:rPr>
              <w:rFonts w:hint="eastAsia"/>
              <w:color w:val="auto"/>
            </w:rPr>
            <w:t>、F</w:t>
          </w:r>
          <w:r>
            <w:rPr>
              <w:color w:val="auto"/>
            </w:rPr>
            <w:t>AG</w:t>
          </w:r>
          <w:r>
            <w:rPr>
              <w:rFonts w:hint="eastAsia"/>
              <w:color w:val="auto"/>
            </w:rPr>
            <w:t>、TIMKEN</w:t>
          </w:r>
          <w:r>
            <w:rPr>
              <w:color w:val="auto"/>
            </w:rPr>
            <w:t>或同等档次以上品牌产品</w:t>
          </w:r>
          <w:r>
            <w:rPr>
              <w:rFonts w:hint="eastAsia"/>
              <w:color w:val="auto"/>
            </w:rPr>
            <w:t>；</w:t>
          </w:r>
        </w:p>
        <w:p w14:paraId="7E3E8CC7">
          <w:pPr>
            <w:pStyle w:val="96"/>
            <w:numPr>
              <w:ilvl w:val="0"/>
              <w:numId w:val="27"/>
            </w:numPr>
            <w:ind w:firstLineChars="0"/>
            <w:rPr>
              <w:color w:val="auto"/>
            </w:rPr>
          </w:pPr>
          <w:r>
            <w:rPr>
              <w:rFonts w:hint="eastAsia"/>
              <w:color w:val="auto"/>
            </w:rPr>
            <w:t>可编程控制器选用西门子、A</w:t>
          </w:r>
          <w:r>
            <w:rPr>
              <w:color w:val="auto"/>
            </w:rPr>
            <w:t>B</w:t>
          </w:r>
          <w:r>
            <w:rPr>
              <w:rFonts w:hint="eastAsia"/>
              <w:color w:val="auto"/>
            </w:rPr>
            <w:t>、三菱</w:t>
          </w:r>
          <w:r>
            <w:rPr>
              <w:color w:val="auto"/>
            </w:rPr>
            <w:t>或同等档次以上品牌产品</w:t>
          </w:r>
          <w:r>
            <w:rPr>
              <w:rFonts w:hint="eastAsia"/>
              <w:color w:val="auto"/>
            </w:rPr>
            <w:t>；</w:t>
          </w:r>
        </w:p>
        <w:p w14:paraId="40ABA175">
          <w:pPr>
            <w:pStyle w:val="96"/>
            <w:numPr>
              <w:ilvl w:val="0"/>
              <w:numId w:val="27"/>
            </w:numPr>
            <w:ind w:firstLineChars="0"/>
            <w:rPr>
              <w:color w:val="auto"/>
            </w:rPr>
          </w:pPr>
          <w:r>
            <w:rPr>
              <w:rFonts w:hint="eastAsia"/>
              <w:color w:val="auto"/>
            </w:rPr>
            <w:t>调高齿轮泵采用帕姆克、</w:t>
          </w:r>
          <w:r>
            <w:rPr>
              <w:color w:val="auto"/>
            </w:rPr>
            <w:t>PARKER</w:t>
          </w:r>
          <w:r>
            <w:rPr>
              <w:rFonts w:hint="eastAsia"/>
              <w:color w:val="auto"/>
            </w:rPr>
            <w:t>、</w:t>
          </w:r>
          <w:r>
            <w:rPr>
              <w:color w:val="auto"/>
            </w:rPr>
            <w:t>Rexroth或同等档次以上品牌产品</w:t>
          </w:r>
          <w:r>
            <w:rPr>
              <w:rFonts w:hint="eastAsia"/>
              <w:color w:val="auto"/>
            </w:rPr>
            <w:t>；</w:t>
          </w:r>
        </w:p>
        <w:p w14:paraId="135DE664">
          <w:pPr>
            <w:pStyle w:val="96"/>
            <w:numPr>
              <w:ilvl w:val="0"/>
              <w:numId w:val="27"/>
            </w:numPr>
            <w:ind w:firstLineChars="0"/>
            <w:rPr>
              <w:color w:val="auto"/>
            </w:rPr>
          </w:pPr>
          <w:r>
            <w:rPr>
              <w:rFonts w:hint="eastAsia" w:cs="Times New Roman"/>
              <w:color w:val="auto"/>
            </w:rPr>
            <w:t>摇臂行星减速输出采用</w:t>
          </w:r>
          <w:r>
            <w:rPr>
              <w:rFonts w:cs="Times New Roman"/>
              <w:color w:val="auto"/>
            </w:rPr>
            <w:t>GOETZE</w:t>
          </w:r>
          <w:r>
            <w:rPr>
              <w:rFonts w:hint="eastAsia" w:cs="Times New Roman"/>
              <w:color w:val="auto"/>
            </w:rPr>
            <w:t>、</w:t>
          </w:r>
          <w:r>
            <w:rPr>
              <w:rFonts w:cs="Times New Roman"/>
              <w:color w:val="auto"/>
            </w:rPr>
            <w:t>Freudenberg</w:t>
          </w:r>
          <w:r>
            <w:rPr>
              <w:rFonts w:hint="eastAsia" w:cs="Times New Roman"/>
              <w:color w:val="auto"/>
            </w:rPr>
            <w:t>、</w:t>
          </w:r>
          <w:r>
            <w:rPr>
              <w:rFonts w:cs="Times New Roman"/>
              <w:color w:val="auto"/>
            </w:rPr>
            <w:t>Corteco</w:t>
          </w:r>
          <w:r>
            <w:rPr>
              <w:color w:val="auto"/>
            </w:rPr>
            <w:t>或同等档次以上品牌</w:t>
          </w:r>
          <w:r>
            <w:rPr>
              <w:rFonts w:hint="eastAsia" w:cs="Times New Roman"/>
              <w:color w:val="auto"/>
            </w:rPr>
            <w:t>浮动密封；</w:t>
          </w:r>
        </w:p>
        <w:p w14:paraId="145C387D">
          <w:pPr>
            <w:pStyle w:val="96"/>
            <w:numPr>
              <w:ilvl w:val="0"/>
              <w:numId w:val="27"/>
            </w:numPr>
            <w:ind w:firstLineChars="0"/>
            <w:rPr>
              <w:rFonts w:cs="Times New Roman"/>
              <w:color w:val="auto"/>
            </w:rPr>
          </w:pPr>
          <w:r>
            <w:rPr>
              <w:rFonts w:hint="eastAsia" w:cs="Times New Roman"/>
              <w:color w:val="auto"/>
            </w:rPr>
            <w:t>喷雾冷却系统选用</w:t>
          </w:r>
          <w:r>
            <w:rPr>
              <w:rFonts w:cs="Times New Roman"/>
              <w:color w:val="auto"/>
            </w:rPr>
            <w:t>CONFLOW</w:t>
          </w:r>
          <w:r>
            <w:rPr>
              <w:rFonts w:hint="eastAsia"/>
              <w:color w:val="auto"/>
            </w:rPr>
            <w:t>、</w:t>
          </w:r>
          <w:r>
            <w:rPr>
              <w:rFonts w:cs="Times New Roman"/>
              <w:color w:val="auto"/>
            </w:rPr>
            <w:t>Spraystream</w:t>
          </w:r>
          <w:r>
            <w:rPr>
              <w:rFonts w:hint="eastAsia" w:cs="Times New Roman"/>
              <w:color w:val="auto"/>
            </w:rPr>
            <w:t>、</w:t>
          </w:r>
          <w:r>
            <w:rPr>
              <w:rFonts w:cs="Times New Roman"/>
              <w:color w:val="auto"/>
            </w:rPr>
            <w:t>BETE</w:t>
          </w:r>
          <w:r>
            <w:rPr>
              <w:color w:val="auto"/>
            </w:rPr>
            <w:t>或同等档次以上品牌</w:t>
          </w:r>
          <w:r>
            <w:rPr>
              <w:rFonts w:hint="eastAsia" w:cs="Times New Roman"/>
              <w:color w:val="auto"/>
            </w:rPr>
            <w:t>产品；</w:t>
          </w:r>
        </w:p>
        <w:p w14:paraId="30EFC2B1">
          <w:pPr>
            <w:pStyle w:val="96"/>
            <w:numPr>
              <w:ilvl w:val="0"/>
              <w:numId w:val="27"/>
            </w:numPr>
            <w:ind w:firstLineChars="0"/>
            <w:rPr>
              <w:color w:val="auto"/>
            </w:rPr>
          </w:pPr>
          <w:r>
            <w:rPr>
              <w:rFonts w:hint="eastAsia" w:cs="Times New Roman"/>
              <w:color w:val="auto"/>
            </w:rPr>
            <w:t>滚筒采用库门瑙尔、凯南麦特</w:t>
          </w:r>
          <w:bookmarkStart w:id="17" w:name="_Hlk209443393"/>
          <w:r>
            <w:rPr>
              <w:rFonts w:cs="Times New Roman"/>
              <w:color w:val="auto"/>
            </w:rPr>
            <w:t>(</w:t>
          </w:r>
          <w:r>
            <w:rPr>
              <w:rFonts w:hint="eastAsia" w:cs="Times New Roman"/>
              <w:color w:val="auto"/>
            </w:rPr>
            <w:t>徐</w:t>
          </w:r>
          <w:r>
            <w:rPr>
              <w:rFonts w:cs="Times New Roman"/>
              <w:color w:val="auto"/>
            </w:rPr>
            <w:t>)</w:t>
          </w:r>
          <w:r>
            <w:rPr>
              <w:rFonts w:hint="eastAsia" w:cs="Times New Roman"/>
              <w:color w:val="auto"/>
            </w:rPr>
            <w:t>、菲利普斯</w:t>
          </w:r>
          <w:r>
            <w:rPr>
              <w:rFonts w:cs="Times New Roman"/>
              <w:color w:val="auto"/>
            </w:rPr>
            <w:t>或同等档次以上品牌</w:t>
          </w:r>
          <w:r>
            <w:rPr>
              <w:rFonts w:hint="eastAsia" w:cs="Times New Roman"/>
              <w:color w:val="auto"/>
            </w:rPr>
            <w:t>的重型强力破岩滚筒，方榫连接形式；</w:t>
          </w:r>
        </w:p>
        <w:p w14:paraId="790CCB60">
          <w:pPr>
            <w:pStyle w:val="96"/>
            <w:numPr>
              <w:ilvl w:val="0"/>
              <w:numId w:val="27"/>
            </w:numPr>
            <w:ind w:firstLineChars="0"/>
            <w:rPr>
              <w:color w:val="auto"/>
            </w:rPr>
          </w:pPr>
          <w:r>
            <w:rPr>
              <w:rFonts w:hint="eastAsia"/>
              <w:color w:val="auto"/>
            </w:rPr>
            <w:t>调高泵、关键密封件、关键电器元件等选用优质高端品牌产品配置，招标文件技术标中明确品牌与产地。</w:t>
          </w:r>
        </w:p>
        <w:bookmarkEnd w:id="17"/>
        <w:p w14:paraId="7AE32239">
          <w:pPr>
            <w:ind w:firstLine="480"/>
            <w:rPr>
              <w:color w:val="auto"/>
            </w:rPr>
          </w:pPr>
          <w:r>
            <w:rPr>
              <w:rFonts w:hint="eastAsia"/>
              <w:color w:val="auto"/>
            </w:rPr>
            <w:t>14）质量和寿命保证</w:t>
          </w:r>
        </w:p>
        <w:p w14:paraId="76A4EAC0">
          <w:pPr>
            <w:pStyle w:val="96"/>
            <w:numPr>
              <w:ilvl w:val="0"/>
              <w:numId w:val="27"/>
            </w:numPr>
            <w:ind w:firstLineChars="0"/>
            <w:rPr>
              <w:color w:val="auto"/>
            </w:rPr>
          </w:pPr>
          <w:r>
            <w:rPr>
              <w:rFonts w:hint="eastAsia"/>
              <w:color w:val="auto"/>
            </w:rPr>
            <w:t>整机质保期：使用1年（或货到验收合格后18个月，先到为准）</w:t>
          </w:r>
        </w:p>
        <w:p w14:paraId="2FCEC64E">
          <w:pPr>
            <w:pStyle w:val="96"/>
            <w:numPr>
              <w:ilvl w:val="0"/>
              <w:numId w:val="27"/>
            </w:numPr>
            <w:ind w:firstLineChars="0"/>
            <w:rPr>
              <w:color w:val="auto"/>
            </w:rPr>
          </w:pPr>
          <w:r>
            <w:rPr>
              <w:rFonts w:hint="eastAsia" w:ascii="仿宋" w:hAnsi="仿宋" w:eastAsia="仿宋" w:cs="仿宋"/>
              <w:color w:val="auto"/>
              <w:szCs w:val="24"/>
            </w:rPr>
            <w:t>▲</w:t>
          </w:r>
          <w:r>
            <w:rPr>
              <w:rFonts w:hint="eastAsia"/>
              <w:color w:val="auto"/>
            </w:rPr>
            <w:t>整机寿命：</w:t>
          </w:r>
          <w:r>
            <w:rPr>
              <w:color w:val="auto"/>
            </w:rPr>
            <w:tab/>
          </w:r>
          <w:r>
            <w:rPr>
              <w:rFonts w:hint="eastAsia"/>
              <w:color w:val="auto"/>
            </w:rPr>
            <w:t>过煤量≥2000万吨</w:t>
          </w:r>
        </w:p>
        <w:p w14:paraId="2A9A703C">
          <w:pPr>
            <w:pStyle w:val="96"/>
            <w:numPr>
              <w:ilvl w:val="0"/>
              <w:numId w:val="27"/>
            </w:numPr>
            <w:ind w:firstLineChars="0"/>
            <w:rPr>
              <w:color w:val="auto"/>
            </w:rPr>
          </w:pPr>
          <w:r>
            <w:rPr>
              <w:rFonts w:hint="eastAsia" w:ascii="仿宋" w:hAnsi="仿宋" w:eastAsia="仿宋" w:cs="仿宋"/>
              <w:color w:val="auto"/>
              <w:szCs w:val="24"/>
            </w:rPr>
            <w:t>▲</w:t>
          </w:r>
          <w:r>
            <w:rPr>
              <w:rFonts w:hint="eastAsia"/>
              <w:color w:val="auto"/>
            </w:rPr>
            <w:t>整机大修周期：过煤量≥800万吨</w:t>
          </w:r>
        </w:p>
        <w:p w14:paraId="01D075BB">
          <w:pPr>
            <w:pStyle w:val="96"/>
            <w:numPr>
              <w:ilvl w:val="0"/>
              <w:numId w:val="27"/>
            </w:numPr>
            <w:ind w:firstLineChars="0"/>
            <w:rPr>
              <w:color w:val="auto"/>
            </w:rPr>
          </w:pPr>
          <w:r>
            <w:rPr>
              <w:rFonts w:hint="eastAsia"/>
              <w:color w:val="auto"/>
            </w:rPr>
            <w:t>机械传动系统大修周期：过煤量≥600万吨</w:t>
          </w:r>
        </w:p>
        <w:p w14:paraId="354148CC">
          <w:pPr>
            <w:pStyle w:val="96"/>
            <w:numPr>
              <w:ilvl w:val="0"/>
              <w:numId w:val="27"/>
            </w:numPr>
            <w:ind w:firstLineChars="0"/>
            <w:rPr>
              <w:color w:val="auto"/>
            </w:rPr>
          </w:pPr>
          <w:r>
            <w:rPr>
              <w:rFonts w:hint="eastAsia"/>
              <w:color w:val="auto"/>
            </w:rPr>
            <w:t>导向滑靴寿命：过煤量≥200万吨</w:t>
          </w:r>
        </w:p>
        <w:p w14:paraId="249286FD">
          <w:pPr>
            <w:pStyle w:val="96"/>
            <w:numPr>
              <w:ilvl w:val="0"/>
              <w:numId w:val="27"/>
            </w:numPr>
            <w:ind w:firstLineChars="0"/>
            <w:rPr>
              <w:color w:val="auto"/>
            </w:rPr>
          </w:pPr>
          <w:r>
            <w:rPr>
              <w:rFonts w:hint="eastAsia"/>
              <w:color w:val="auto"/>
            </w:rPr>
            <w:t>支撑滑靴寿命：过煤量≥200万吨</w:t>
          </w:r>
        </w:p>
        <w:p w14:paraId="24517054">
          <w:pPr>
            <w:pStyle w:val="96"/>
            <w:numPr>
              <w:ilvl w:val="0"/>
              <w:numId w:val="27"/>
            </w:numPr>
            <w:ind w:left="840" w:firstLine="0" w:firstLineChars="0"/>
            <w:rPr>
              <w:color w:val="auto"/>
            </w:rPr>
          </w:pPr>
          <w:r>
            <w:rPr>
              <w:rFonts w:hint="eastAsia"/>
              <w:color w:val="auto"/>
            </w:rPr>
            <w:t>行走轮寿命：过煤量≥200万吨</w:t>
          </w:r>
        </w:p>
      </w:sdtContent>
    </w:sdt>
    <w:p w14:paraId="634F06E1">
      <w:pPr>
        <w:pStyle w:val="2"/>
        <w:rPr>
          <w:rFonts w:hint="eastAsia"/>
          <w:color w:val="auto"/>
        </w:rPr>
      </w:pPr>
      <w:bookmarkStart w:id="18" w:name="_Toc229574398"/>
      <w:r>
        <w:rPr>
          <w:rFonts w:hint="eastAsia"/>
          <w:color w:val="auto"/>
        </w:rPr>
        <w:t>四、供货要求</w:t>
      </w:r>
      <w:bookmarkEnd w:id="18"/>
    </w:p>
    <w:p w14:paraId="69C7C0B3">
      <w:pPr>
        <w:pStyle w:val="3"/>
        <w:rPr>
          <w:rFonts w:hint="eastAsia"/>
          <w:color w:val="auto"/>
        </w:rPr>
      </w:pPr>
      <w:bookmarkStart w:id="19" w:name="_Toc229574399"/>
      <w:r>
        <w:rPr>
          <w:rFonts w:hint="eastAsia"/>
          <w:color w:val="auto"/>
        </w:rPr>
        <w:t>4.1、供货</w:t>
      </w:r>
      <w:bookmarkEnd w:id="19"/>
      <w:r>
        <w:rPr>
          <w:rFonts w:hint="eastAsia"/>
          <w:color w:val="auto"/>
        </w:rPr>
        <w:t>范围</w:t>
      </w:r>
    </w:p>
    <w:tbl>
      <w:tblPr>
        <w:tblStyle w:val="41"/>
        <w:tblW w:w="9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260"/>
        <w:gridCol w:w="851"/>
        <w:gridCol w:w="850"/>
        <w:gridCol w:w="3402"/>
      </w:tblGrid>
      <w:tr w14:paraId="7A1DF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816" w:type="dxa"/>
            <w:vAlign w:val="center"/>
          </w:tcPr>
          <w:p w14:paraId="2F388080">
            <w:pPr>
              <w:widowControl/>
              <w:spacing w:line="240" w:lineRule="auto"/>
              <w:ind w:firstLine="0" w:firstLineChars="0"/>
              <w:jc w:val="center"/>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序号</w:t>
            </w:r>
          </w:p>
        </w:tc>
        <w:tc>
          <w:tcPr>
            <w:tcW w:w="3260" w:type="dxa"/>
            <w:vAlign w:val="center"/>
          </w:tcPr>
          <w:p w14:paraId="25A67070">
            <w:pPr>
              <w:widowControl/>
              <w:spacing w:line="240" w:lineRule="auto"/>
              <w:ind w:firstLine="0" w:firstLineChars="0"/>
              <w:jc w:val="center"/>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设备型号名称</w:t>
            </w:r>
          </w:p>
        </w:tc>
        <w:tc>
          <w:tcPr>
            <w:tcW w:w="851" w:type="dxa"/>
            <w:vAlign w:val="center"/>
          </w:tcPr>
          <w:p w14:paraId="7D344C87">
            <w:pPr>
              <w:widowControl/>
              <w:spacing w:line="240" w:lineRule="auto"/>
              <w:ind w:firstLine="0" w:firstLineChars="0"/>
              <w:jc w:val="center"/>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单位</w:t>
            </w:r>
          </w:p>
        </w:tc>
        <w:tc>
          <w:tcPr>
            <w:tcW w:w="850" w:type="dxa"/>
            <w:vAlign w:val="center"/>
          </w:tcPr>
          <w:p w14:paraId="5A68E10F">
            <w:pPr>
              <w:widowControl/>
              <w:spacing w:line="240" w:lineRule="auto"/>
              <w:ind w:firstLine="0" w:firstLineChars="0"/>
              <w:jc w:val="center"/>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数量</w:t>
            </w:r>
          </w:p>
        </w:tc>
        <w:tc>
          <w:tcPr>
            <w:tcW w:w="3402" w:type="dxa"/>
            <w:vAlign w:val="center"/>
          </w:tcPr>
          <w:p w14:paraId="048EECC5">
            <w:pPr>
              <w:widowControl/>
              <w:spacing w:line="240" w:lineRule="auto"/>
              <w:ind w:firstLine="0" w:firstLineChars="0"/>
              <w:jc w:val="center"/>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备注</w:t>
            </w:r>
          </w:p>
        </w:tc>
      </w:tr>
      <w:tr w14:paraId="3B5D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16" w:type="dxa"/>
            <w:vAlign w:val="center"/>
          </w:tcPr>
          <w:p w14:paraId="6BE9862C">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260" w:type="dxa"/>
            <w:vAlign w:val="center"/>
          </w:tcPr>
          <w:p w14:paraId="78CD37F2">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MG500/1180-WD</w:t>
            </w:r>
            <w:r>
              <w:rPr>
                <w:rFonts w:hint="eastAsia" w:ascii="宋体" w:hAnsi="宋体" w:eastAsia="宋体" w:cs="宋体"/>
                <w:color w:val="auto"/>
                <w:kern w:val="0"/>
                <w:szCs w:val="24"/>
              </w:rPr>
              <w:t>型采煤机</w:t>
            </w:r>
          </w:p>
        </w:tc>
        <w:tc>
          <w:tcPr>
            <w:tcW w:w="851" w:type="dxa"/>
            <w:vAlign w:val="center"/>
          </w:tcPr>
          <w:p w14:paraId="73E849C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台</w:t>
            </w:r>
          </w:p>
        </w:tc>
        <w:tc>
          <w:tcPr>
            <w:tcW w:w="850" w:type="dxa"/>
            <w:vAlign w:val="center"/>
          </w:tcPr>
          <w:p w14:paraId="31626148">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402" w:type="dxa"/>
            <w:vAlign w:val="center"/>
          </w:tcPr>
          <w:p w14:paraId="263ADDDA">
            <w:pPr>
              <w:widowControl/>
              <w:spacing w:line="240" w:lineRule="auto"/>
              <w:ind w:firstLine="0" w:firstLineChars="0"/>
              <w:jc w:val="center"/>
              <w:rPr>
                <w:rFonts w:hint="eastAsia" w:ascii="宋体" w:hAnsi="宋体" w:eastAsia="宋体" w:cs="宋体"/>
                <w:color w:val="auto"/>
                <w:kern w:val="0"/>
                <w:szCs w:val="24"/>
              </w:rPr>
            </w:pPr>
          </w:p>
        </w:tc>
      </w:tr>
      <w:tr w14:paraId="1C6A3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16" w:type="dxa"/>
            <w:vAlign w:val="center"/>
          </w:tcPr>
          <w:p w14:paraId="13DF18A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2</w:t>
            </w:r>
          </w:p>
        </w:tc>
        <w:tc>
          <w:tcPr>
            <w:tcW w:w="3260" w:type="dxa"/>
            <w:vAlign w:val="center"/>
          </w:tcPr>
          <w:p w14:paraId="70C2B010">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随机备品备件</w:t>
            </w:r>
          </w:p>
        </w:tc>
        <w:tc>
          <w:tcPr>
            <w:tcW w:w="851" w:type="dxa"/>
            <w:vAlign w:val="center"/>
          </w:tcPr>
          <w:p w14:paraId="77E9426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批</w:t>
            </w:r>
          </w:p>
        </w:tc>
        <w:tc>
          <w:tcPr>
            <w:tcW w:w="850" w:type="dxa"/>
            <w:vAlign w:val="center"/>
          </w:tcPr>
          <w:p w14:paraId="4AA48B15">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1</w:t>
            </w:r>
          </w:p>
        </w:tc>
        <w:tc>
          <w:tcPr>
            <w:tcW w:w="3402" w:type="dxa"/>
            <w:vAlign w:val="center"/>
          </w:tcPr>
          <w:p w14:paraId="25788A9C">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投标总价的3%</w:t>
            </w:r>
          </w:p>
        </w:tc>
      </w:tr>
      <w:tr w14:paraId="0FC50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Align w:val="center"/>
          </w:tcPr>
          <w:p w14:paraId="32E57362">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3</w:t>
            </w:r>
          </w:p>
        </w:tc>
        <w:tc>
          <w:tcPr>
            <w:tcW w:w="3260" w:type="dxa"/>
            <w:vAlign w:val="center"/>
          </w:tcPr>
          <w:p w14:paraId="278834CB">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专用工具</w:t>
            </w:r>
          </w:p>
        </w:tc>
        <w:tc>
          <w:tcPr>
            <w:tcW w:w="851" w:type="dxa"/>
            <w:vAlign w:val="center"/>
          </w:tcPr>
          <w:p w14:paraId="2F5E2072">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套</w:t>
            </w:r>
          </w:p>
        </w:tc>
        <w:tc>
          <w:tcPr>
            <w:tcW w:w="850" w:type="dxa"/>
            <w:vAlign w:val="center"/>
          </w:tcPr>
          <w:p w14:paraId="490F80F1">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402" w:type="dxa"/>
            <w:vAlign w:val="center"/>
          </w:tcPr>
          <w:p w14:paraId="72D27AFC">
            <w:pPr>
              <w:widowControl/>
              <w:spacing w:line="240" w:lineRule="auto"/>
              <w:ind w:firstLine="0" w:firstLineChars="0"/>
              <w:jc w:val="center"/>
              <w:rPr>
                <w:rFonts w:hint="eastAsia" w:ascii="宋体" w:hAnsi="宋体" w:eastAsia="宋体" w:cs="宋体"/>
                <w:color w:val="auto"/>
                <w:kern w:val="0"/>
                <w:szCs w:val="24"/>
              </w:rPr>
            </w:pPr>
          </w:p>
        </w:tc>
      </w:tr>
      <w:tr w14:paraId="11C8C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16" w:type="dxa"/>
            <w:vAlign w:val="center"/>
          </w:tcPr>
          <w:p w14:paraId="1408F94B">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4</w:t>
            </w:r>
          </w:p>
        </w:tc>
        <w:tc>
          <w:tcPr>
            <w:tcW w:w="3260" w:type="dxa"/>
            <w:vAlign w:val="center"/>
          </w:tcPr>
          <w:p w14:paraId="37507A07">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技术资料</w:t>
            </w:r>
          </w:p>
        </w:tc>
        <w:tc>
          <w:tcPr>
            <w:tcW w:w="851" w:type="dxa"/>
            <w:vAlign w:val="center"/>
          </w:tcPr>
          <w:p w14:paraId="256638D5">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套</w:t>
            </w:r>
          </w:p>
        </w:tc>
        <w:tc>
          <w:tcPr>
            <w:tcW w:w="850" w:type="dxa"/>
            <w:vAlign w:val="center"/>
          </w:tcPr>
          <w:p w14:paraId="5D9F187F">
            <w:pPr>
              <w:widowControl/>
              <w:spacing w:line="240" w:lineRule="auto"/>
              <w:ind w:firstLine="0" w:firstLineChars="0"/>
              <w:jc w:val="center"/>
              <w:rPr>
                <w:rFonts w:hint="eastAsia" w:ascii="宋体" w:hAnsi="宋体" w:eastAsia="宋体" w:cs="宋体"/>
                <w:color w:val="auto"/>
                <w:kern w:val="0"/>
                <w:szCs w:val="24"/>
              </w:rPr>
            </w:pPr>
            <w:r>
              <w:rPr>
                <w:rFonts w:hint="eastAsia" w:ascii="宋体" w:hAnsi="宋体" w:eastAsia="宋体" w:cs="宋体"/>
                <w:color w:val="auto"/>
                <w:kern w:val="0"/>
                <w:szCs w:val="24"/>
              </w:rPr>
              <w:t>6</w:t>
            </w:r>
          </w:p>
        </w:tc>
        <w:tc>
          <w:tcPr>
            <w:tcW w:w="3402" w:type="dxa"/>
            <w:vAlign w:val="center"/>
          </w:tcPr>
          <w:p w14:paraId="3B7BA72A">
            <w:pPr>
              <w:widowControl/>
              <w:spacing w:line="240" w:lineRule="auto"/>
              <w:ind w:firstLine="0" w:firstLineChars="0"/>
              <w:jc w:val="center"/>
              <w:rPr>
                <w:rFonts w:hint="eastAsia" w:ascii="宋体" w:hAnsi="宋体" w:eastAsia="宋体" w:cs="宋体"/>
                <w:color w:val="auto"/>
                <w:kern w:val="0"/>
                <w:szCs w:val="24"/>
              </w:rPr>
            </w:pPr>
            <w:r>
              <w:rPr>
                <w:rFonts w:ascii="宋体" w:hAnsi="宋体" w:eastAsia="宋体" w:cs="宋体"/>
                <w:color w:val="auto"/>
                <w:kern w:val="0"/>
                <w:szCs w:val="24"/>
              </w:rPr>
              <w:t>含电子版1套</w:t>
            </w:r>
          </w:p>
        </w:tc>
      </w:tr>
    </w:tbl>
    <w:p w14:paraId="5E7CD0EB">
      <w:pPr>
        <w:ind w:firstLine="480"/>
        <w:rPr>
          <w:color w:val="auto"/>
        </w:rPr>
      </w:pPr>
      <w:r>
        <w:rPr>
          <w:color w:val="auto"/>
        </w:rPr>
        <w:t>1</w:t>
      </w:r>
      <w:r>
        <w:rPr>
          <w:rFonts w:hint="eastAsia"/>
          <w:color w:val="auto"/>
        </w:rPr>
        <w:t>）必须保证出厂的产品均按照有关国家标准或相关行业标准进行生产和检验。</w:t>
      </w:r>
    </w:p>
    <w:p w14:paraId="7567B12B">
      <w:pPr>
        <w:ind w:firstLine="480"/>
        <w:rPr>
          <w:color w:val="auto"/>
        </w:rPr>
      </w:pPr>
      <w:r>
        <w:rPr>
          <w:color w:val="auto"/>
        </w:rPr>
        <w:t>2</w:t>
      </w:r>
      <w:r>
        <w:rPr>
          <w:rFonts w:hint="eastAsia"/>
          <w:color w:val="auto"/>
        </w:rPr>
        <w:t>）产品合格证、煤矿矿用安全标志、防爆合格证等齐全。</w:t>
      </w:r>
    </w:p>
    <w:p w14:paraId="2604AABF">
      <w:pPr>
        <w:ind w:firstLine="480"/>
        <w:rPr>
          <w:color w:val="auto"/>
        </w:rPr>
      </w:pPr>
      <w:r>
        <w:rPr>
          <w:color w:val="auto"/>
        </w:rPr>
        <w:t>3</w:t>
      </w:r>
      <w:r>
        <w:rPr>
          <w:rFonts w:hint="eastAsia"/>
          <w:color w:val="auto"/>
        </w:rPr>
        <w:t>）凡因运输等出现的质量问题，均由厂家承担并解决。</w:t>
      </w:r>
    </w:p>
    <w:p w14:paraId="1C171910">
      <w:pPr>
        <w:ind w:firstLine="480"/>
        <w:rPr>
          <w:color w:val="auto"/>
        </w:rPr>
      </w:pPr>
      <w:r>
        <w:rPr>
          <w:color w:val="auto"/>
        </w:rPr>
        <w:t>4</w:t>
      </w:r>
      <w:r>
        <w:rPr>
          <w:rFonts w:hint="eastAsia"/>
          <w:color w:val="auto"/>
        </w:rPr>
        <w:t>）供方负责设备的运输及运输过程管理。</w:t>
      </w:r>
    </w:p>
    <w:p w14:paraId="3D292CB7">
      <w:pPr>
        <w:ind w:firstLine="480"/>
        <w:rPr>
          <w:color w:val="auto"/>
        </w:rPr>
      </w:pPr>
      <w:r>
        <w:rPr>
          <w:color w:val="auto"/>
        </w:rPr>
        <w:t>5</w:t>
      </w:r>
      <w:r>
        <w:rPr>
          <w:rFonts w:hint="eastAsia"/>
          <w:color w:val="auto"/>
        </w:rPr>
        <w:t>）供方提供的必须是适应需方井下生产条件的最新机型，严禁提供淘汰机型及部件。</w:t>
      </w:r>
    </w:p>
    <w:p w14:paraId="6FA54145">
      <w:pPr>
        <w:ind w:firstLine="480"/>
        <w:rPr>
          <w:color w:val="auto"/>
        </w:rPr>
      </w:pPr>
      <w:r>
        <w:rPr>
          <w:color w:val="auto"/>
        </w:rPr>
        <w:t>6</w:t>
      </w:r>
      <w:r>
        <w:rPr>
          <w:rFonts w:hint="eastAsia"/>
          <w:color w:val="auto"/>
        </w:rPr>
        <w:t>）配备安装和维修所需的各种专用工具4套。配备1套专用</w:t>
      </w:r>
      <w:r>
        <w:rPr>
          <w:rFonts w:hint="eastAsia" w:ascii="宋体" w:hAnsi="宋体" w:eastAsia="宋体" w:cs="宋体"/>
          <w:color w:val="auto"/>
          <w:kern w:val="0"/>
          <w:szCs w:val="24"/>
        </w:rPr>
        <w:t>乳化液冲击扳手</w:t>
      </w:r>
      <w:r>
        <w:rPr>
          <w:rFonts w:hint="eastAsia"/>
          <w:color w:val="auto"/>
        </w:rPr>
        <w:t>，</w:t>
      </w:r>
      <w:r>
        <w:rPr>
          <w:rFonts w:hint="eastAsia" w:ascii="宋体" w:hAnsi="宋体" w:eastAsia="宋体" w:cs="宋体"/>
          <w:color w:val="auto"/>
          <w:kern w:val="0"/>
          <w:szCs w:val="24"/>
        </w:rPr>
        <w:t>选用傲美，柯乐西，阿坦克</w:t>
      </w:r>
      <w:r>
        <w:rPr>
          <w:color w:val="auto"/>
        </w:rPr>
        <w:t>或同等档次以上品牌产品</w:t>
      </w:r>
      <w:r>
        <w:rPr>
          <w:rFonts w:hint="eastAsia"/>
          <w:color w:val="auto"/>
        </w:rPr>
        <w:t>。</w:t>
      </w:r>
    </w:p>
    <w:p w14:paraId="31C5D746">
      <w:pPr>
        <w:ind w:firstLine="480"/>
        <w:rPr>
          <w:color w:val="auto"/>
        </w:rPr>
      </w:pPr>
      <w:r>
        <w:rPr>
          <w:rFonts w:hint="eastAsia"/>
          <w:color w:val="auto"/>
        </w:rPr>
        <w:t>7）配置</w:t>
      </w:r>
      <w:r>
        <w:rPr>
          <w:rFonts w:hint="eastAsia" w:ascii="宋体" w:hAnsi="宋体" w:eastAsia="宋体" w:cs="宋体"/>
          <w:color w:val="auto"/>
          <w:kern w:val="0"/>
          <w:szCs w:val="24"/>
        </w:rPr>
        <w:t>遥控发射器6台</w:t>
      </w:r>
      <w:r>
        <w:rPr>
          <w:rFonts w:hint="eastAsia"/>
          <w:color w:val="auto"/>
        </w:rPr>
        <w:t>。</w:t>
      </w:r>
    </w:p>
    <w:p w14:paraId="0DE05ECA">
      <w:pPr>
        <w:ind w:firstLine="480"/>
        <w:rPr>
          <w:color w:val="auto"/>
        </w:rPr>
      </w:pPr>
      <w:r>
        <w:rPr>
          <w:rFonts w:hint="eastAsia"/>
          <w:color w:val="auto"/>
        </w:rPr>
        <w:t>8）免费开放接口及相关通信协议，配合接入综采智能化系统。</w:t>
      </w:r>
    </w:p>
    <w:p w14:paraId="4BF5ECB6">
      <w:pPr>
        <w:ind w:firstLine="480"/>
        <w:rPr>
          <w:color w:val="auto"/>
        </w:rPr>
      </w:pPr>
      <w:r>
        <w:rPr>
          <w:rFonts w:hint="eastAsia"/>
          <w:color w:val="auto"/>
        </w:rPr>
        <w:t>9）针对技术参数中已推荐参考品牌的产品，投标人应在技术偏离表中响应时如实填写具体响应品牌。</w:t>
      </w:r>
    </w:p>
    <w:p w14:paraId="73A1345C">
      <w:pPr>
        <w:pStyle w:val="3"/>
        <w:rPr>
          <w:rFonts w:hint="eastAsia"/>
          <w:color w:val="auto"/>
        </w:rPr>
      </w:pPr>
      <w:bookmarkStart w:id="20" w:name="_Toc229574400"/>
      <w:r>
        <w:rPr>
          <w:rFonts w:hint="eastAsia"/>
          <w:color w:val="auto"/>
        </w:rPr>
        <w:t>4.2、图纸、文件交付要求</w:t>
      </w:r>
      <w:bookmarkEnd w:id="20"/>
    </w:p>
    <w:p w14:paraId="0A62AA7B">
      <w:pPr>
        <w:ind w:firstLine="480"/>
        <w:rPr>
          <w:color w:val="auto"/>
        </w:rPr>
      </w:pPr>
      <w:r>
        <w:rPr>
          <w:rFonts w:hint="eastAsia"/>
          <w:color w:val="auto"/>
        </w:rPr>
        <w:t>1）供方提供的技术资料包括全套的安装使用说明书、设备图册、产品合格证明书、防爆合格证、煤安证、设备总图、配套图及控制系统图、产品标准、装箱单、备件明细、随机工具明细等，每套设备资料包括纸质版、电子版（电子资料必须为pdf格式，电子版1份，纸质版6份/台）。技术文件及图纸的内容必须正确、完整，图画清晰，能充分满足安装、调试及正常运行和维护的要求。</w:t>
      </w:r>
    </w:p>
    <w:p w14:paraId="0632EA4F">
      <w:pPr>
        <w:ind w:firstLine="480"/>
        <w:rPr>
          <w:color w:val="auto"/>
        </w:rPr>
      </w:pPr>
      <w:r>
        <w:rPr>
          <w:rFonts w:hint="eastAsia"/>
          <w:color w:val="auto"/>
        </w:rPr>
        <w:t>2）供方应提供适用于本项目实际情况的技术资料。</w:t>
      </w:r>
    </w:p>
    <w:p w14:paraId="6A537FF6">
      <w:pPr>
        <w:ind w:firstLine="480"/>
        <w:rPr>
          <w:color w:val="auto"/>
        </w:rPr>
      </w:pPr>
      <w:r>
        <w:rPr>
          <w:rFonts w:hint="eastAsia"/>
          <w:color w:val="auto"/>
        </w:rPr>
        <w:t>3）供方提供的资料应使用国家法定单位制即国际单位制，语言为中文。</w:t>
      </w:r>
    </w:p>
    <w:p w14:paraId="2060E11A">
      <w:pPr>
        <w:pStyle w:val="3"/>
        <w:rPr>
          <w:rFonts w:hint="eastAsia"/>
          <w:color w:val="auto"/>
        </w:rPr>
      </w:pPr>
      <w:bookmarkStart w:id="21" w:name="_Toc229574401"/>
      <w:r>
        <w:rPr>
          <w:color w:val="auto"/>
        </w:rPr>
        <w:t>4.</w:t>
      </w:r>
      <w:r>
        <w:rPr>
          <w:rFonts w:hint="eastAsia"/>
          <w:color w:val="auto"/>
        </w:rPr>
        <w:t>3</w:t>
      </w:r>
      <w:r>
        <w:rPr>
          <w:color w:val="auto"/>
        </w:rPr>
        <w:t>、质量保证和售后服务</w:t>
      </w:r>
      <w:bookmarkEnd w:id="21"/>
    </w:p>
    <w:p w14:paraId="3FA86907">
      <w:pPr>
        <w:ind w:firstLine="480"/>
        <w:rPr>
          <w:color w:val="auto"/>
        </w:rPr>
      </w:pPr>
      <w:r>
        <w:rPr>
          <w:rFonts w:hint="eastAsia"/>
          <w:color w:val="auto"/>
        </w:rPr>
        <w:t>1）设备的质量保证期为供需双方及相关单位对整机安装运行验收合格后12个月或设备到矿后18个月，以先到为准；易损易耗件、因操作不当造成的损坏丢失不质保；在质保期内由于技术、材料、设计、制造等原因导致的产品质量问题，由供方负责免费更换；由于需方操作不当造成设备损坏、丢失，供方提供优惠的备品、备件并免收指导维修费用。</w:t>
      </w:r>
    </w:p>
    <w:p w14:paraId="3AD20F6E">
      <w:pPr>
        <w:ind w:firstLine="480"/>
        <w:rPr>
          <w:color w:val="auto"/>
        </w:rPr>
      </w:pPr>
      <w:r>
        <w:rPr>
          <w:rFonts w:hint="eastAsia"/>
          <w:color w:val="auto"/>
        </w:rPr>
        <w:t>2）供方应向需方提供产品终身技术服务，包括进行设备安装调试（含智能化设备）、现场技术指导及培训设备操作维修人员，并长期优惠供应备品备件。</w:t>
      </w:r>
    </w:p>
    <w:p w14:paraId="27A6B94B">
      <w:pPr>
        <w:ind w:firstLine="480"/>
        <w:rPr>
          <w:color w:val="auto"/>
        </w:rPr>
      </w:pPr>
      <w:r>
        <w:rPr>
          <w:rFonts w:hint="eastAsia"/>
          <w:color w:val="auto"/>
        </w:rPr>
        <w:t>3）设备生产过程中与设备出厂前，由供方负责组织需方人员（6-8名）前往设备生产厂地进行中检及出厂验收，所产生的费用由供方承担。</w:t>
      </w:r>
    </w:p>
    <w:p w14:paraId="421F2CEA">
      <w:pPr>
        <w:ind w:firstLine="480"/>
        <w:rPr>
          <w:color w:val="auto"/>
        </w:rPr>
      </w:pPr>
      <w:r>
        <w:rPr>
          <w:rFonts w:hint="eastAsia"/>
          <w:color w:val="auto"/>
        </w:rPr>
        <w:t>4）在安装和调试过程中，供方应免费派具有专业经验的专业工程师到现场进行技术服务，并指导、协助安装和配合调试，使其达到设备性能和需方的预期要求，并完成验收工作。并负责解决合同设备在安装调试、运行中发现的制造质量及性能等有关问题，并提供调试方案给需方并经需方认可。</w:t>
      </w:r>
    </w:p>
    <w:p w14:paraId="410AEF77">
      <w:pPr>
        <w:ind w:firstLine="480"/>
        <w:rPr>
          <w:color w:val="auto"/>
        </w:rPr>
      </w:pPr>
      <w:r>
        <w:rPr>
          <w:rFonts w:hint="eastAsia"/>
          <w:color w:val="auto"/>
        </w:rPr>
        <w:t>5）设备调试完成后，由供方提供技术培训。培训方式采用集中现场培训的方式，培训教师为供方技术骨干人员或相关配套厂商认证的培训人员。集中培训次数不少于3次，培训时间、地点、人数由需方确定，培训内容由供需双方共同商定，并提前15个日历日书面通知供方，便于供方做出合理的培训安排，保证培训质量。</w:t>
      </w:r>
    </w:p>
    <w:p w14:paraId="5B9175A1">
      <w:pPr>
        <w:ind w:firstLine="480"/>
        <w:rPr>
          <w:color w:val="auto"/>
        </w:rPr>
      </w:pPr>
      <w:r>
        <w:rPr>
          <w:rFonts w:hint="eastAsia"/>
          <w:color w:val="auto"/>
        </w:rPr>
        <w:t>对矿方的管理、维护、操作人员在设备的安装、调试进行综合培训以及跟班服务，保证项目进行过程中能顺利的使用工作面的所有设备，并将整个系统有效地运行起来。</w:t>
      </w:r>
    </w:p>
    <w:p w14:paraId="765A93AD">
      <w:pPr>
        <w:ind w:firstLine="480"/>
        <w:rPr>
          <w:color w:val="auto"/>
        </w:rPr>
      </w:pPr>
      <w:r>
        <w:rPr>
          <w:rFonts w:hint="eastAsia"/>
          <w:color w:val="auto"/>
        </w:rPr>
        <w:t>6）设备投入运行后，使用过程中出现质量、技术问题时，供方及时帮助解决，重大问题12小时、一般问题8小时做出答复。如需到达现场提供技术服务，供方在24小时内派技术人员到现场协助处理，不能影响正常生产。</w:t>
      </w:r>
    </w:p>
    <w:p w14:paraId="0BE04D29">
      <w:pPr>
        <w:pStyle w:val="3"/>
        <w:rPr>
          <w:rFonts w:hint="eastAsia"/>
          <w:color w:val="auto"/>
        </w:rPr>
      </w:pPr>
      <w:bookmarkStart w:id="22" w:name="_Toc229574402"/>
      <w:r>
        <w:rPr>
          <w:rFonts w:hint="eastAsia"/>
          <w:color w:val="auto"/>
        </w:rPr>
        <w:t>4.4、培训及安装调试</w:t>
      </w:r>
      <w:bookmarkEnd w:id="22"/>
    </w:p>
    <w:p w14:paraId="36FCD45E">
      <w:pPr>
        <w:ind w:firstLine="480"/>
        <w:rPr>
          <w:color w:val="auto"/>
        </w:rPr>
      </w:pPr>
      <w:r>
        <w:rPr>
          <w:rFonts w:hint="eastAsia"/>
          <w:color w:val="auto"/>
        </w:rPr>
        <w:t>1）</w:t>
      </w:r>
      <w:r>
        <w:rPr>
          <w:color w:val="auto"/>
        </w:rPr>
        <w:t>供方负责需方2人到供方工厂进行培训工作，由供方提供需方培训人员食宿。保证操作人员能够独立、熟练操作，并能排除设备运行中的一般故障。</w:t>
      </w:r>
    </w:p>
    <w:p w14:paraId="1C6BF603">
      <w:pPr>
        <w:ind w:firstLine="480"/>
        <w:rPr>
          <w:color w:val="auto"/>
        </w:rPr>
      </w:pPr>
      <w:r>
        <w:rPr>
          <w:rFonts w:hint="eastAsia"/>
          <w:color w:val="auto"/>
        </w:rPr>
        <w:t>2）</w:t>
      </w:r>
      <w:r>
        <w:rPr>
          <w:color w:val="auto"/>
        </w:rPr>
        <w:t>设备到货后，供方按需方通知日期派遣有经验并身体状况良好的工程技术人员到现场指导设备的安装、调试、试运行。供方技术人员的指导必须是正确的，如果出现由于非正确技术指导而造成的损失，供方将负责免费维修、更换或补偿损失部分。且供方应提供所有的关于装配与调试所用的专用工具。</w:t>
      </w:r>
    </w:p>
    <w:p w14:paraId="74C99F16">
      <w:pPr>
        <w:pStyle w:val="3"/>
        <w:rPr>
          <w:rFonts w:hint="eastAsia"/>
          <w:color w:val="auto"/>
        </w:rPr>
      </w:pPr>
      <w:bookmarkStart w:id="23" w:name="_Toc229574403"/>
      <w:r>
        <w:rPr>
          <w:rFonts w:hint="eastAsia"/>
          <w:color w:val="auto"/>
        </w:rPr>
        <w:t>4.5、备件</w:t>
      </w:r>
      <w:bookmarkEnd w:id="23"/>
    </w:p>
    <w:p w14:paraId="75E91290">
      <w:pPr>
        <w:ind w:firstLine="480"/>
        <w:rPr>
          <w:color w:val="auto"/>
        </w:rPr>
      </w:pPr>
      <w:r>
        <w:rPr>
          <w:color w:val="auto"/>
        </w:rPr>
        <w:t>1</w:t>
      </w:r>
      <w:r>
        <w:rPr>
          <w:rFonts w:hint="eastAsia"/>
          <w:color w:val="auto"/>
        </w:rPr>
        <w:t>）备件和消耗品必须满足设备组装、空载试验、带载试验、试运行、质保期内的需求，并在设备交货时提供。</w:t>
      </w:r>
    </w:p>
    <w:p w14:paraId="097A1D05">
      <w:pPr>
        <w:ind w:firstLine="480"/>
        <w:rPr>
          <w:color w:val="auto"/>
        </w:rPr>
      </w:pPr>
      <w:r>
        <w:rPr>
          <w:color w:val="auto"/>
        </w:rPr>
        <w:t>2</w:t>
      </w:r>
      <w:r>
        <w:rPr>
          <w:rFonts w:hint="eastAsia"/>
          <w:color w:val="auto"/>
        </w:rPr>
        <w:t>）供方还将进一步提供机械与电气设备上所需的备件、易耗品及标准件的货源地，包括润滑油脂的可靠信息。</w:t>
      </w:r>
    </w:p>
    <w:p w14:paraId="2CB8024A">
      <w:pPr>
        <w:ind w:firstLine="480"/>
        <w:rPr>
          <w:color w:val="auto"/>
        </w:rPr>
      </w:pPr>
      <w:r>
        <w:rPr>
          <w:color w:val="auto"/>
        </w:rPr>
        <w:t>3</w:t>
      </w:r>
      <w:r>
        <w:rPr>
          <w:rFonts w:hint="eastAsia"/>
          <w:color w:val="auto"/>
        </w:rPr>
        <w:t>）供方应保证长期以最优惠的价格供给易损件和备件。如果备件发生设计变更，应将变更信息及时通知需方。</w:t>
      </w:r>
    </w:p>
    <w:p w14:paraId="2A3C9093">
      <w:pPr>
        <w:ind w:firstLine="480"/>
        <w:rPr>
          <w:color w:val="auto"/>
        </w:rPr>
      </w:pPr>
      <w:r>
        <w:rPr>
          <w:color w:val="auto"/>
        </w:rPr>
        <w:t>4</w:t>
      </w:r>
      <w:r>
        <w:rPr>
          <w:rFonts w:hint="eastAsia"/>
          <w:color w:val="auto"/>
        </w:rPr>
        <w:t>）在备件停止生产的情况下，供方应事先将要停止生产的计划通知需方使买方有足够的时间采购所需的备件。</w:t>
      </w:r>
    </w:p>
    <w:p w14:paraId="70831A03">
      <w:pPr>
        <w:ind w:firstLine="480"/>
        <w:rPr>
          <w:color w:val="auto"/>
        </w:rPr>
      </w:pPr>
      <w:r>
        <w:rPr>
          <w:color w:val="auto"/>
        </w:rPr>
        <w:t>5</w:t>
      </w:r>
      <w:r>
        <w:rPr>
          <w:rFonts w:hint="eastAsia"/>
          <w:color w:val="auto"/>
        </w:rPr>
        <w:t>）在备件停止生产后，如果需方要求，供方应免费向需方提供备件的图纸和规格。</w:t>
      </w:r>
    </w:p>
    <w:p w14:paraId="7089D149">
      <w:pPr>
        <w:ind w:firstLine="480"/>
        <w:rPr>
          <w:color w:val="auto"/>
        </w:rPr>
      </w:pPr>
    </w:p>
    <w:sectPr>
      <w:headerReference r:id="rId12" w:type="first"/>
      <w:footerReference r:id="rId14" w:type="first"/>
      <w:headerReference r:id="rId11" w:type="default"/>
      <w:footerReference r:id="rId13" w:type="default"/>
      <w:pgSz w:w="11906" w:h="16838"/>
      <w:pgMar w:top="1440" w:right="1474" w:bottom="1440" w:left="1474" w:header="964" w:footer="737" w:gutter="0"/>
      <w:cols w:space="425" w:num="1"/>
      <w:titlePg/>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宋体(中文正文)">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Cambria Math">
    <w:panose1 w:val="02040503050406030204"/>
    <w:charset w:val="00"/>
    <w:family w:val="roman"/>
    <w:pitch w:val="default"/>
    <w:sig w:usb0="E00006FF" w:usb1="420024FF" w:usb2="02000000" w:usb3="00000000" w:csb0="2000019F" w:csb1="00000000"/>
  </w:font>
  <w:font w:name="ZWAdobeF">
    <w:altName w:val="Times New Roman"/>
    <w:panose1 w:val="00000000000000000000"/>
    <w:charset w:val="00"/>
    <w:family w:val="auto"/>
    <w:pitch w:val="default"/>
    <w:sig w:usb0="00000000" w:usb1="00000000" w:usb2="00000000" w:usb3="00000000" w:csb0="000001FF" w:csb1="00000000"/>
  </w:font>
  <w:font w:name="Century">
    <w:altName w:val="Times New Roman"/>
    <w:panose1 w:val="02040604050505020304"/>
    <w:charset w:val="00"/>
    <w:family w:val="roman"/>
    <w:pitch w:val="default"/>
    <w:sig w:usb0="00000000" w:usb1="00000000" w:usb2="00000000" w:usb3="00000000" w:csb0="0000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B3329">
    <w:pPr>
      <w:pStyle w:val="2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590EE">
    <w:pPr>
      <w:pStyle w:val="2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9F42E">
    <w:pPr>
      <w:pStyle w:val="29"/>
      <w:ind w:firstLine="360"/>
      <w:jc w:val="center"/>
    </w:pPr>
  </w:p>
  <w:p w14:paraId="5D7968C4">
    <w:pPr>
      <w:pStyle w:val="2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3623021"/>
    </w:sdtPr>
    <w:sdtContent>
      <w:p w14:paraId="43F2F2D8">
        <w:pPr>
          <w:pStyle w:val="29"/>
          <w:ind w:firstLine="360"/>
          <w:jc w:val="center"/>
        </w:pPr>
        <w:r>
          <w:fldChar w:fldCharType="begin"/>
        </w:r>
        <w:r>
          <w:instrText xml:space="preserve">PAGE   \* MERGEFORMAT</w:instrText>
        </w:r>
        <w:r>
          <w:fldChar w:fldCharType="separate"/>
        </w:r>
        <w:r>
          <w:rPr>
            <w:lang w:val="zh-CN"/>
          </w:rPr>
          <w:t>2</w:t>
        </w:r>
        <w:r>
          <w:fldChar w:fldCharType="end"/>
        </w:r>
      </w:p>
    </w:sdtContent>
  </w:sdt>
  <w:p w14:paraId="5A5B1D83">
    <w:pPr>
      <w:pStyle w:val="2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9527885"/>
    </w:sdtPr>
    <w:sdtContent>
      <w:p w14:paraId="40B62273">
        <w:pPr>
          <w:pStyle w:val="29"/>
          <w:ind w:firstLine="360"/>
          <w:jc w:val="center"/>
        </w:pPr>
        <w:r>
          <w:fldChar w:fldCharType="begin"/>
        </w:r>
        <w:r>
          <w:instrText xml:space="preserve">PAGE   \* MERGEFORMAT</w:instrText>
        </w:r>
        <w:r>
          <w:fldChar w:fldCharType="separate"/>
        </w:r>
        <w:r>
          <w:rPr>
            <w:lang w:val="zh-CN"/>
          </w:rPr>
          <w:t>2</w:t>
        </w:r>
        <w:r>
          <w:fldChar w:fldCharType="end"/>
        </w:r>
      </w:p>
    </w:sdtContent>
  </w:sdt>
  <w:p w14:paraId="26546C06">
    <w:pPr>
      <w:pStyle w:val="2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9016">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F45AE">
    <w:pPr>
      <w:pStyle w:val="3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94EDA">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21B3F">
    <w:pPr>
      <w:pStyle w:val="30"/>
      <w:pBdr>
        <w:bottom w:val="thickThinSmallGap" w:color="auto" w:sz="24" w:space="1"/>
      </w:pBdr>
      <w:tabs>
        <w:tab w:val="clear" w:pos="4153"/>
        <w:tab w:val="clear" w:pos="8306"/>
      </w:tabs>
      <w:spacing w:line="240" w:lineRule="auto"/>
      <w:ind w:firstLine="210" w:firstLineChars="100"/>
      <w:jc w:val="left"/>
      <w:rPr>
        <w:rFonts w:ascii="楷体_GB2312" w:eastAsia="楷体_GB2312" w:cs="Times New Roman"/>
        <w:i/>
        <w:iCs/>
        <w:sz w:val="21"/>
        <w:szCs w:val="20"/>
      </w:rPr>
    </w:pPr>
    <w:r>
      <w:rPr>
        <w:rFonts w:hint="eastAsia" w:ascii="楷体_GB2312" w:eastAsia="楷体_GB2312" w:cs="Times New Roman"/>
        <w:i/>
        <w:iCs/>
        <w:sz w:val="21"/>
        <w:szCs w:val="20"/>
      </w:rPr>
      <w:t>府谷能源投资集团五一矿业首采工作面综采成套装备总体配套采煤机技术规格书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D56E7">
    <w:pPr>
      <w:pStyle w:val="30"/>
      <w:pBdr>
        <w:bottom w:val="thickThinSmallGap" w:color="auto" w:sz="24" w:space="1"/>
      </w:pBdr>
      <w:tabs>
        <w:tab w:val="clear" w:pos="4153"/>
        <w:tab w:val="clear" w:pos="8306"/>
      </w:tabs>
      <w:spacing w:line="240" w:lineRule="auto"/>
      <w:ind w:firstLine="210" w:firstLineChars="100"/>
      <w:jc w:val="left"/>
      <w:rPr>
        <w:rFonts w:ascii="楷体_GB2312" w:eastAsia="楷体_GB2312" w:cs="Times New Roman"/>
        <w:i/>
        <w:iCs/>
        <w:sz w:val="21"/>
        <w:szCs w:val="20"/>
      </w:rPr>
    </w:pPr>
    <w:r>
      <w:rPr>
        <w:rFonts w:hint="eastAsia" w:ascii="楷体_GB2312" w:eastAsia="楷体_GB2312" w:cs="Times New Roman"/>
        <w:i/>
        <w:iCs/>
        <w:sz w:val="21"/>
        <w:szCs w:val="20"/>
      </w:rPr>
      <w:t>府谷能源投资集团五一矿业首采工作面综采成套装备总体配套采煤机技术规格书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pStyle w:val="140"/>
      <w:lvlText w:val="%1.%2.%3.%4.%5.%6.%7.%8"/>
      <w:lvlJc w:val="left"/>
      <w:pPr>
        <w:tabs>
          <w:tab w:val="left" w:pos="1440"/>
        </w:tabs>
        <w:ind w:left="1440" w:hanging="1440"/>
      </w:pPr>
      <w:rPr>
        <w:rFonts w:hint="eastAsia"/>
      </w:rPr>
    </w:lvl>
    <w:lvl w:ilvl="8" w:tentative="0">
      <w:start w:val="1"/>
      <w:numFmt w:val="decimal"/>
      <w:pStyle w:val="142"/>
      <w:lvlText w:val="%1.%2.%3.%4.%5.%6.%7.%8.%9"/>
      <w:lvlJc w:val="left"/>
      <w:pPr>
        <w:tabs>
          <w:tab w:val="left" w:pos="1584"/>
        </w:tabs>
        <w:ind w:left="1584" w:hanging="1584"/>
      </w:pPr>
      <w:rPr>
        <w:rFonts w:hint="eastAsia"/>
      </w:rPr>
    </w:lvl>
  </w:abstractNum>
  <w:abstractNum w:abstractNumId="1">
    <w:nsid w:val="00000008"/>
    <w:multiLevelType w:val="singleLevel"/>
    <w:tmpl w:val="00000008"/>
    <w:lvl w:ilvl="0" w:tentative="0">
      <w:start w:val="1"/>
      <w:numFmt w:val="bullet"/>
      <w:pStyle w:val="24"/>
      <w:lvlText w:val=""/>
      <w:lvlJc w:val="left"/>
      <w:pPr>
        <w:tabs>
          <w:tab w:val="left" w:pos="1800"/>
        </w:tabs>
        <w:ind w:left="1800" w:hanging="360"/>
      </w:pPr>
      <w:rPr>
        <w:rFonts w:hint="default" w:ascii="Symbol" w:hAnsi="Symbol"/>
      </w:rPr>
    </w:lvl>
  </w:abstractNum>
  <w:abstractNum w:abstractNumId="2">
    <w:nsid w:val="0000000B"/>
    <w:multiLevelType w:val="singleLevel"/>
    <w:tmpl w:val="0000000B"/>
    <w:lvl w:ilvl="0" w:tentative="0">
      <w:start w:val="1"/>
      <w:numFmt w:val="decimal"/>
      <w:pStyle w:val="25"/>
      <w:lvlText w:val="%1."/>
      <w:lvlJc w:val="left"/>
      <w:pPr>
        <w:tabs>
          <w:tab w:val="left" w:pos="1440"/>
        </w:tabs>
        <w:ind w:left="1440" w:hanging="360"/>
      </w:pPr>
    </w:lvl>
  </w:abstractNum>
  <w:abstractNum w:abstractNumId="3">
    <w:nsid w:val="0000000D"/>
    <w:multiLevelType w:val="singleLevel"/>
    <w:tmpl w:val="0000000D"/>
    <w:lvl w:ilvl="0" w:tentative="0">
      <w:start w:val="1"/>
      <w:numFmt w:val="bullet"/>
      <w:pStyle w:val="20"/>
      <w:lvlText w:val=""/>
      <w:lvlJc w:val="left"/>
      <w:pPr>
        <w:tabs>
          <w:tab w:val="left" w:pos="720"/>
        </w:tabs>
        <w:ind w:left="720" w:hanging="360"/>
      </w:pPr>
      <w:rPr>
        <w:rFonts w:hint="default" w:ascii="Symbol" w:hAnsi="Symbol"/>
      </w:rPr>
    </w:lvl>
  </w:abstractNum>
  <w:abstractNum w:abstractNumId="4">
    <w:nsid w:val="0000000F"/>
    <w:multiLevelType w:val="singleLevel"/>
    <w:tmpl w:val="0000000F"/>
    <w:lvl w:ilvl="0" w:tentative="0">
      <w:start w:val="1"/>
      <w:numFmt w:val="decimal"/>
      <w:pStyle w:val="12"/>
      <w:lvlText w:val="%1."/>
      <w:lvlJc w:val="left"/>
      <w:pPr>
        <w:tabs>
          <w:tab w:val="left" w:pos="720"/>
        </w:tabs>
        <w:ind w:left="720" w:hanging="360"/>
      </w:pPr>
    </w:lvl>
  </w:abstractNum>
  <w:abstractNum w:abstractNumId="5">
    <w:nsid w:val="00000010"/>
    <w:multiLevelType w:val="multilevel"/>
    <w:tmpl w:val="00000010"/>
    <w:lvl w:ilvl="0" w:tentative="0">
      <w:start w:val="1"/>
      <w:numFmt w:val="decimal"/>
      <w:lvlText w:val="%1)"/>
      <w:lvlJc w:val="left"/>
      <w:pPr>
        <w:ind w:left="840" w:hanging="420"/>
      </w:pPr>
    </w:lvl>
    <w:lvl w:ilvl="1" w:tentative="0">
      <w:start w:val="1"/>
      <w:numFmt w:val="lowerLetter"/>
      <w:pStyle w:val="152"/>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0000012"/>
    <w:multiLevelType w:val="singleLevel"/>
    <w:tmpl w:val="00000012"/>
    <w:lvl w:ilvl="0" w:tentative="0">
      <w:start w:val="1"/>
      <w:numFmt w:val="decimal"/>
      <w:pStyle w:val="33"/>
      <w:lvlText w:val="%1."/>
      <w:lvlJc w:val="left"/>
      <w:pPr>
        <w:tabs>
          <w:tab w:val="left" w:pos="1800"/>
        </w:tabs>
        <w:ind w:left="1800" w:hanging="360"/>
      </w:pPr>
    </w:lvl>
  </w:abstractNum>
  <w:abstractNum w:abstractNumId="7">
    <w:nsid w:val="00000014"/>
    <w:multiLevelType w:val="singleLevel"/>
    <w:tmpl w:val="00000014"/>
    <w:lvl w:ilvl="0" w:tentative="0">
      <w:start w:val="1"/>
      <w:numFmt w:val="bullet"/>
      <w:pStyle w:val="16"/>
      <w:lvlText w:val=""/>
      <w:lvlJc w:val="left"/>
      <w:pPr>
        <w:tabs>
          <w:tab w:val="left" w:pos="360"/>
        </w:tabs>
        <w:ind w:left="360" w:hanging="360"/>
      </w:pPr>
      <w:rPr>
        <w:rFonts w:hint="default" w:ascii="Symbol" w:hAnsi="Symbol"/>
      </w:rPr>
    </w:lvl>
  </w:abstractNum>
  <w:abstractNum w:abstractNumId="8">
    <w:nsid w:val="00000015"/>
    <w:multiLevelType w:val="multilevel"/>
    <w:tmpl w:val="00000015"/>
    <w:lvl w:ilvl="0" w:tentative="0">
      <w:start w:val="1"/>
      <w:numFmt w:val="decimal"/>
      <w:pStyle w:val="154"/>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rPr>
        <w:b w:val="0"/>
      </w:rPr>
    </w:lvl>
    <w:lvl w:ilvl="3" w:tentative="0">
      <w:start w:val="1"/>
      <w:numFmt w:val="decimal"/>
      <w:lvlText w:val="%1.%2.%3.%4"/>
      <w:lvlJc w:val="left"/>
      <w:pPr>
        <w:ind w:left="1984" w:hanging="708"/>
      </w:pPr>
    </w:lvl>
    <w:lvl w:ilvl="4" w:tentative="0">
      <w:start w:val="1"/>
      <w:numFmt w:val="decimal"/>
      <w:pStyle w:val="161"/>
      <w:lvlText w:val="%1.%2.%3.%4.%5"/>
      <w:lvlJc w:val="left"/>
      <w:pPr>
        <w:ind w:left="2551" w:hanging="850"/>
      </w:pPr>
    </w:lvl>
    <w:lvl w:ilvl="5" w:tentative="0">
      <w:start w:val="1"/>
      <w:numFmt w:val="decimal"/>
      <w:pStyle w:val="162"/>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00000016"/>
    <w:multiLevelType w:val="multilevel"/>
    <w:tmpl w:val="00000016"/>
    <w:lvl w:ilvl="0" w:tentative="0">
      <w:start w:val="1"/>
      <w:numFmt w:val="decimal"/>
      <w:lvlText w:val="%1)"/>
      <w:lvlJc w:val="left"/>
      <w:pPr>
        <w:ind w:left="1146" w:hanging="720"/>
      </w:pPr>
      <w:rPr>
        <w:rFonts w:hint="default"/>
      </w:rPr>
    </w:lvl>
    <w:lvl w:ilvl="1" w:tentative="0">
      <w:start w:val="1"/>
      <w:numFmt w:val="lowerLetter"/>
      <w:lvlText w:val="%2)"/>
      <w:lvlJc w:val="left"/>
      <w:pPr>
        <w:ind w:left="1387" w:hanging="420"/>
      </w:pPr>
    </w:lvl>
    <w:lvl w:ilvl="2" w:tentative="0">
      <w:start w:val="1"/>
      <w:numFmt w:val="lowerRoman"/>
      <w:lvlText w:val="%3."/>
      <w:lvlJc w:val="right"/>
      <w:pPr>
        <w:ind w:left="1807" w:hanging="420"/>
      </w:pPr>
    </w:lvl>
    <w:lvl w:ilvl="3" w:tentative="0">
      <w:start w:val="1"/>
      <w:numFmt w:val="decimal"/>
      <w:pStyle w:val="166"/>
      <w:lvlText w:val="%4."/>
      <w:lvlJc w:val="left"/>
      <w:pPr>
        <w:ind w:left="2227" w:hanging="420"/>
      </w:pPr>
    </w:lvl>
    <w:lvl w:ilvl="4" w:tentative="0">
      <w:start w:val="1"/>
      <w:numFmt w:val="lowerLetter"/>
      <w:pStyle w:val="167"/>
      <w:lvlText w:val="%5)"/>
      <w:lvlJc w:val="left"/>
      <w:pPr>
        <w:ind w:left="2647" w:hanging="420"/>
      </w:pPr>
    </w:lvl>
    <w:lvl w:ilvl="5" w:tentative="0">
      <w:start w:val="1"/>
      <w:numFmt w:val="lowerRoman"/>
      <w:lvlText w:val="%6."/>
      <w:lvlJc w:val="right"/>
      <w:pPr>
        <w:ind w:left="3067" w:hanging="420"/>
      </w:pPr>
    </w:lvl>
    <w:lvl w:ilvl="6" w:tentative="0">
      <w:start w:val="1"/>
      <w:numFmt w:val="decimal"/>
      <w:lvlText w:val="%7."/>
      <w:lvlJc w:val="left"/>
      <w:pPr>
        <w:ind w:left="3487" w:hanging="420"/>
      </w:pPr>
    </w:lvl>
    <w:lvl w:ilvl="7" w:tentative="0">
      <w:start w:val="1"/>
      <w:numFmt w:val="lowerLetter"/>
      <w:lvlText w:val="%8)"/>
      <w:lvlJc w:val="left"/>
      <w:pPr>
        <w:ind w:left="3907" w:hanging="420"/>
      </w:pPr>
    </w:lvl>
    <w:lvl w:ilvl="8" w:tentative="0">
      <w:start w:val="1"/>
      <w:numFmt w:val="lowerRoman"/>
      <w:lvlText w:val="%9."/>
      <w:lvlJc w:val="right"/>
      <w:pPr>
        <w:ind w:left="4327" w:hanging="420"/>
      </w:pPr>
    </w:lvl>
  </w:abstractNum>
  <w:abstractNum w:abstractNumId="10">
    <w:nsid w:val="00000018"/>
    <w:multiLevelType w:val="singleLevel"/>
    <w:tmpl w:val="00000018"/>
    <w:lvl w:ilvl="0" w:tentative="0">
      <w:start w:val="1"/>
      <w:numFmt w:val="bullet"/>
      <w:pStyle w:val="13"/>
      <w:lvlText w:val=""/>
      <w:lvlJc w:val="left"/>
      <w:pPr>
        <w:tabs>
          <w:tab w:val="left" w:pos="1440"/>
        </w:tabs>
        <w:ind w:left="1440" w:hanging="360"/>
      </w:pPr>
      <w:rPr>
        <w:rFonts w:hint="default" w:ascii="Symbol" w:hAnsi="Symbol"/>
      </w:rPr>
    </w:lvl>
  </w:abstractNum>
  <w:abstractNum w:abstractNumId="11">
    <w:nsid w:val="0000001A"/>
    <w:multiLevelType w:val="singleLevel"/>
    <w:tmpl w:val="0000001A"/>
    <w:lvl w:ilvl="0" w:tentative="0">
      <w:start w:val="1"/>
      <w:numFmt w:val="decimal"/>
      <w:pStyle w:val="14"/>
      <w:lvlText w:val="%1."/>
      <w:lvlJc w:val="left"/>
      <w:pPr>
        <w:tabs>
          <w:tab w:val="left" w:pos="360"/>
        </w:tabs>
        <w:ind w:left="360" w:hanging="360"/>
      </w:pPr>
    </w:lvl>
  </w:abstractNum>
  <w:abstractNum w:abstractNumId="12">
    <w:nsid w:val="0000001B"/>
    <w:multiLevelType w:val="multilevel"/>
    <w:tmpl w:val="0000001B"/>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pStyle w:val="168"/>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3">
    <w:nsid w:val="0000001C"/>
    <w:multiLevelType w:val="multilevel"/>
    <w:tmpl w:val="0000001C"/>
    <w:lvl w:ilvl="0" w:tentative="0">
      <w:start w:val="1"/>
      <w:numFmt w:val="bullet"/>
      <w:pStyle w:val="169"/>
      <w:lvlText w:val=""/>
      <w:lvlJc w:val="left"/>
      <w:pPr>
        <w:tabs>
          <w:tab w:val="left" w:pos="845"/>
        </w:tabs>
        <w:ind w:left="845" w:hanging="420"/>
      </w:pPr>
      <w:rPr>
        <w:rFonts w:hint="default" w:ascii="Wingdings" w:hAnsi="Wingdings"/>
      </w:rPr>
    </w:lvl>
    <w:lvl w:ilvl="1" w:tentative="0">
      <w:start w:val="1"/>
      <w:numFmt w:val="bullet"/>
      <w:pStyle w:val="172"/>
      <w:lvlText w:val=""/>
      <w:lvlJc w:val="left"/>
      <w:pPr>
        <w:tabs>
          <w:tab w:val="left" w:pos="1265"/>
        </w:tabs>
        <w:ind w:left="1265" w:hanging="420"/>
      </w:pPr>
      <w:rPr>
        <w:rFonts w:hint="default" w:ascii="Wingdings" w:hAnsi="Wingdings"/>
      </w:rPr>
    </w:lvl>
    <w:lvl w:ilvl="2" w:tentative="0">
      <w:start w:val="1"/>
      <w:numFmt w:val="bullet"/>
      <w:lvlText w:val=""/>
      <w:lvlJc w:val="left"/>
      <w:pPr>
        <w:tabs>
          <w:tab w:val="left" w:pos="1685"/>
        </w:tabs>
        <w:ind w:left="1685" w:hanging="420"/>
      </w:pPr>
      <w:rPr>
        <w:rFonts w:hint="default" w:ascii="Wingdings" w:hAnsi="Wingdings"/>
      </w:rPr>
    </w:lvl>
    <w:lvl w:ilvl="3" w:tentative="0">
      <w:start w:val="1"/>
      <w:numFmt w:val="bullet"/>
      <w:pStyle w:val="173"/>
      <w:lvlText w:val=""/>
      <w:lvlJc w:val="left"/>
      <w:pPr>
        <w:tabs>
          <w:tab w:val="left" w:pos="2105"/>
        </w:tabs>
        <w:ind w:left="2105" w:hanging="420"/>
      </w:pPr>
      <w:rPr>
        <w:rFonts w:hint="default" w:ascii="Wingdings" w:hAnsi="Wingdings"/>
      </w:rPr>
    </w:lvl>
    <w:lvl w:ilvl="4" w:tentative="0">
      <w:start w:val="1"/>
      <w:numFmt w:val="bullet"/>
      <w:lvlText w:val=""/>
      <w:lvlJc w:val="left"/>
      <w:pPr>
        <w:tabs>
          <w:tab w:val="left" w:pos="2525"/>
        </w:tabs>
        <w:ind w:left="2525" w:hanging="420"/>
      </w:pPr>
      <w:rPr>
        <w:rFonts w:hint="default" w:ascii="Wingdings" w:hAnsi="Wingdings"/>
      </w:rPr>
    </w:lvl>
    <w:lvl w:ilvl="5" w:tentative="0">
      <w:start w:val="1"/>
      <w:numFmt w:val="bullet"/>
      <w:lvlText w:val=""/>
      <w:lvlJc w:val="left"/>
      <w:pPr>
        <w:tabs>
          <w:tab w:val="left" w:pos="2945"/>
        </w:tabs>
        <w:ind w:left="2945" w:hanging="420"/>
      </w:pPr>
      <w:rPr>
        <w:rFonts w:hint="default" w:ascii="Wingdings" w:hAnsi="Wingdings"/>
      </w:rPr>
    </w:lvl>
    <w:lvl w:ilvl="6" w:tentative="0">
      <w:start w:val="1"/>
      <w:numFmt w:val="bullet"/>
      <w:lvlText w:val=""/>
      <w:lvlJc w:val="left"/>
      <w:pPr>
        <w:tabs>
          <w:tab w:val="left" w:pos="3365"/>
        </w:tabs>
        <w:ind w:left="3365" w:hanging="420"/>
      </w:pPr>
      <w:rPr>
        <w:rFonts w:hint="default" w:ascii="Wingdings" w:hAnsi="Wingdings"/>
      </w:rPr>
    </w:lvl>
    <w:lvl w:ilvl="7" w:tentative="0">
      <w:start w:val="1"/>
      <w:numFmt w:val="bullet"/>
      <w:lvlText w:val=""/>
      <w:lvlJc w:val="left"/>
      <w:pPr>
        <w:tabs>
          <w:tab w:val="left" w:pos="3785"/>
        </w:tabs>
        <w:ind w:left="3785" w:hanging="420"/>
      </w:pPr>
      <w:rPr>
        <w:rFonts w:hint="default" w:ascii="Wingdings" w:hAnsi="Wingdings"/>
      </w:rPr>
    </w:lvl>
    <w:lvl w:ilvl="8" w:tentative="0">
      <w:start w:val="1"/>
      <w:numFmt w:val="bullet"/>
      <w:lvlText w:val=""/>
      <w:lvlJc w:val="left"/>
      <w:pPr>
        <w:tabs>
          <w:tab w:val="left" w:pos="4205"/>
        </w:tabs>
        <w:ind w:left="4205" w:hanging="420"/>
      </w:pPr>
      <w:rPr>
        <w:rFonts w:hint="default" w:ascii="Wingdings" w:hAnsi="Wingdings"/>
      </w:rPr>
    </w:lvl>
  </w:abstractNum>
  <w:abstractNum w:abstractNumId="14">
    <w:nsid w:val="0000001D"/>
    <w:multiLevelType w:val="multilevel"/>
    <w:tmpl w:val="0000001D"/>
    <w:lvl w:ilvl="0" w:tentative="0">
      <w:start w:val="1"/>
      <w:numFmt w:val="bullet"/>
      <w:pStyle w:val="176"/>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0000001E"/>
    <w:multiLevelType w:val="multilevel"/>
    <w:tmpl w:val="0000001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177"/>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0000001F"/>
    <w:multiLevelType w:val="multilevel"/>
    <w:tmpl w:val="0000001F"/>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180"/>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pStyle w:val="181"/>
      <w:lvlText w:val="%5)"/>
      <w:lvlJc w:val="left"/>
      <w:pPr>
        <w:tabs>
          <w:tab w:val="left" w:pos="2100"/>
        </w:tabs>
        <w:ind w:left="2100" w:hanging="420"/>
      </w:pPr>
    </w:lvl>
    <w:lvl w:ilvl="5" w:tentative="0">
      <w:start w:val="1"/>
      <w:numFmt w:val="lowerRoman"/>
      <w:pStyle w:val="184"/>
      <w:lvlText w:val="%6."/>
      <w:lvlJc w:val="right"/>
      <w:pPr>
        <w:tabs>
          <w:tab w:val="left" w:pos="2520"/>
        </w:tabs>
        <w:ind w:left="2520" w:hanging="420"/>
      </w:pPr>
    </w:lvl>
    <w:lvl w:ilvl="6" w:tentative="0">
      <w:start w:val="1"/>
      <w:numFmt w:val="decimal"/>
      <w:pStyle w:val="189"/>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00000020"/>
    <w:multiLevelType w:val="singleLevel"/>
    <w:tmpl w:val="00000020"/>
    <w:lvl w:ilvl="0" w:tentative="0">
      <w:start w:val="1"/>
      <w:numFmt w:val="decimal"/>
      <w:pStyle w:val="185"/>
      <w:suff w:val="space"/>
      <w:lvlText w:val="%1."/>
      <w:lvlJc w:val="left"/>
    </w:lvl>
  </w:abstractNum>
  <w:abstractNum w:abstractNumId="18">
    <w:nsid w:val="00000023"/>
    <w:multiLevelType w:val="multilevel"/>
    <w:tmpl w:val="0000002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191"/>
      <w:lvlText w:val=""/>
      <w:lvlJc w:val="left"/>
      <w:pPr>
        <w:tabs>
          <w:tab w:val="left" w:pos="840"/>
        </w:tabs>
        <w:ind w:left="840" w:hanging="420"/>
      </w:pPr>
      <w:rPr>
        <w:rFonts w:hint="default" w:ascii="Wingdings" w:hAnsi="Wingdings"/>
      </w:rPr>
    </w:lvl>
    <w:lvl w:ilvl="2" w:tentative="0">
      <w:start w:val="1"/>
      <w:numFmt w:val="bullet"/>
      <w:pStyle w:val="192"/>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00000024"/>
    <w:multiLevelType w:val="multilevel"/>
    <w:tmpl w:val="00000024"/>
    <w:lvl w:ilvl="0" w:tentative="0">
      <w:start w:val="1"/>
      <w:numFmt w:val="bullet"/>
      <w:pStyle w:val="193"/>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00000025"/>
    <w:multiLevelType w:val="multilevel"/>
    <w:tmpl w:val="00000025"/>
    <w:lvl w:ilvl="0" w:tentative="0">
      <w:start w:val="1"/>
      <w:numFmt w:val="bullet"/>
      <w:pStyle w:val="194"/>
      <w:lvlText w:val=""/>
      <w:lvlJc w:val="left"/>
      <w:pPr>
        <w:tabs>
          <w:tab w:val="left" w:pos="420"/>
        </w:tabs>
        <w:ind w:left="420" w:hanging="420"/>
      </w:pPr>
      <w:rPr>
        <w:rFonts w:hint="default" w:ascii="Wingdings" w:hAnsi="Wingdings"/>
      </w:rPr>
    </w:lvl>
    <w:lvl w:ilvl="1" w:tentative="0">
      <w:start w:val="1"/>
      <w:numFmt w:val="lowerLetter"/>
      <w:pStyle w:val="195"/>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00000026"/>
    <w:multiLevelType w:val="multilevel"/>
    <w:tmpl w:val="00000026"/>
    <w:lvl w:ilvl="0" w:tentative="0">
      <w:start w:val="2"/>
      <w:numFmt w:val="decimal"/>
      <w:pStyle w:val="19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0329653C"/>
    <w:multiLevelType w:val="multilevel"/>
    <w:tmpl w:val="0329653C"/>
    <w:lvl w:ilvl="0" w:tentative="0">
      <w:start w:val="1"/>
      <w:numFmt w:val="decimal"/>
      <w:pStyle w:val="39"/>
      <w:lvlText w:val="（%1）"/>
      <w:lvlJc w:val="left"/>
      <w:pPr>
        <w:ind w:left="3256" w:hanging="420"/>
      </w:pPr>
    </w:lvl>
    <w:lvl w:ilvl="1" w:tentative="0">
      <w:start w:val="1"/>
      <w:numFmt w:val="lowerLetter"/>
      <w:lvlText w:val="%2)"/>
      <w:lvlJc w:val="left"/>
      <w:pPr>
        <w:ind w:left="3676" w:hanging="420"/>
      </w:pPr>
    </w:lvl>
    <w:lvl w:ilvl="2" w:tentative="0">
      <w:start w:val="1"/>
      <w:numFmt w:val="lowerRoman"/>
      <w:lvlText w:val="%3."/>
      <w:lvlJc w:val="right"/>
      <w:pPr>
        <w:ind w:left="4096" w:hanging="420"/>
      </w:pPr>
    </w:lvl>
    <w:lvl w:ilvl="3" w:tentative="0">
      <w:start w:val="1"/>
      <w:numFmt w:val="decimal"/>
      <w:lvlText w:val="%4."/>
      <w:lvlJc w:val="left"/>
      <w:pPr>
        <w:ind w:left="4516" w:hanging="420"/>
      </w:pPr>
    </w:lvl>
    <w:lvl w:ilvl="4" w:tentative="0">
      <w:start w:val="1"/>
      <w:numFmt w:val="lowerLetter"/>
      <w:lvlText w:val="%5)"/>
      <w:lvlJc w:val="left"/>
      <w:pPr>
        <w:ind w:left="4936" w:hanging="420"/>
      </w:pPr>
    </w:lvl>
    <w:lvl w:ilvl="5" w:tentative="0">
      <w:start w:val="1"/>
      <w:numFmt w:val="lowerRoman"/>
      <w:lvlText w:val="%6."/>
      <w:lvlJc w:val="right"/>
      <w:pPr>
        <w:ind w:left="5356" w:hanging="420"/>
      </w:pPr>
    </w:lvl>
    <w:lvl w:ilvl="6" w:tentative="0">
      <w:start w:val="1"/>
      <w:numFmt w:val="decimal"/>
      <w:lvlText w:val="%7."/>
      <w:lvlJc w:val="left"/>
      <w:pPr>
        <w:ind w:left="5776" w:hanging="420"/>
      </w:pPr>
    </w:lvl>
    <w:lvl w:ilvl="7" w:tentative="0">
      <w:start w:val="1"/>
      <w:numFmt w:val="lowerLetter"/>
      <w:lvlText w:val="%8)"/>
      <w:lvlJc w:val="left"/>
      <w:pPr>
        <w:ind w:left="6196" w:hanging="420"/>
      </w:pPr>
    </w:lvl>
    <w:lvl w:ilvl="8" w:tentative="0">
      <w:start w:val="1"/>
      <w:numFmt w:val="lowerRoman"/>
      <w:lvlText w:val="%9."/>
      <w:lvlJc w:val="right"/>
      <w:pPr>
        <w:ind w:left="6616" w:hanging="420"/>
      </w:pPr>
    </w:lvl>
  </w:abstractNum>
  <w:abstractNum w:abstractNumId="23">
    <w:nsid w:val="0A784D83"/>
    <w:multiLevelType w:val="multilevel"/>
    <w:tmpl w:val="0A784D83"/>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4">
    <w:nsid w:val="2A2919E9"/>
    <w:multiLevelType w:val="multilevel"/>
    <w:tmpl w:val="2A2919E9"/>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5">
    <w:nsid w:val="36E66294"/>
    <w:multiLevelType w:val="multilevel"/>
    <w:tmpl w:val="36E66294"/>
    <w:lvl w:ilvl="0" w:tentative="0">
      <w:start w:val="1"/>
      <w:numFmt w:val="decimal"/>
      <w:lvlText w:val="%1"/>
      <w:lvlJc w:val="left"/>
      <w:pPr>
        <w:ind w:left="432" w:hanging="432"/>
      </w:pPr>
      <w:rPr>
        <w:rFonts w:ascii="微软雅黑" w:hAnsi="微软雅黑" w:eastAsia="微软雅黑"/>
      </w:rPr>
    </w:lvl>
    <w:lvl w:ilvl="1" w:tentative="0">
      <w:start w:val="1"/>
      <w:numFmt w:val="decimal"/>
      <w:lvlText w:val="%1.%2"/>
      <w:lvlJc w:val="left"/>
      <w:pPr>
        <w:ind w:left="1001" w:hanging="576"/>
      </w:pPr>
      <w:rPr>
        <w:rFonts w:ascii="微软雅黑" w:hAnsi="微软雅黑" w:eastAsia="微软雅黑"/>
        <w:b/>
      </w:rPr>
    </w:lvl>
    <w:lvl w:ilvl="2" w:tentative="0">
      <w:start w:val="1"/>
      <w:numFmt w:val="decimal"/>
      <w:lvlText w:val="%1.%2.%3"/>
      <w:lvlJc w:val="left"/>
      <w:pPr>
        <w:ind w:left="720" w:hanging="720"/>
      </w:pPr>
      <w:rPr>
        <w:rFonts w:ascii="微软雅黑" w:hAnsi="微软雅黑" w:eastAsia="微软雅黑"/>
      </w:r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26">
    <w:nsid w:val="3CE25BA3"/>
    <w:multiLevelType w:val="multilevel"/>
    <w:tmpl w:val="3CE25BA3"/>
    <w:lvl w:ilvl="0" w:tentative="0">
      <w:start w:val="1"/>
      <w:numFmt w:val="bullet"/>
      <w:lvlText w:val=""/>
      <w:lvlJc w:val="left"/>
      <w:pPr>
        <w:ind w:left="1280" w:hanging="440"/>
      </w:pPr>
      <w:rPr>
        <w:rFonts w:hint="default" w:ascii="Wingdings" w:hAnsi="Wingdings"/>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num w:numId="1">
    <w:abstractNumId w:val="25"/>
  </w:num>
  <w:num w:numId="2">
    <w:abstractNumId w:val="4"/>
  </w:num>
  <w:num w:numId="3">
    <w:abstractNumId w:val="10"/>
  </w:num>
  <w:num w:numId="4">
    <w:abstractNumId w:val="11"/>
  </w:num>
  <w:num w:numId="5">
    <w:abstractNumId w:val="7"/>
  </w:num>
  <w:num w:numId="6">
    <w:abstractNumId w:val="3"/>
  </w:num>
  <w:num w:numId="7">
    <w:abstractNumId w:val="1"/>
  </w:num>
  <w:num w:numId="8">
    <w:abstractNumId w:val="2"/>
  </w:num>
  <w:num w:numId="9">
    <w:abstractNumId w:val="6"/>
  </w:num>
  <w:num w:numId="10">
    <w:abstractNumId w:val="22"/>
  </w:num>
  <w:num w:numId="11">
    <w:abstractNumId w:val="0"/>
  </w:num>
  <w:num w:numId="12">
    <w:abstractNumId w:val="5"/>
  </w:num>
  <w:num w:numId="13">
    <w:abstractNumId w:val="8"/>
  </w:num>
  <w:num w:numId="14">
    <w:abstractNumId w:val="9"/>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4"/>
  </w:num>
  <w:num w:numId="26">
    <w:abstractNumId w:val="2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F03"/>
    <w:rsid w:val="00007381"/>
    <w:rsid w:val="00010423"/>
    <w:rsid w:val="0001421B"/>
    <w:rsid w:val="000164FB"/>
    <w:rsid w:val="00020B93"/>
    <w:rsid w:val="00023434"/>
    <w:rsid w:val="0002661D"/>
    <w:rsid w:val="00027051"/>
    <w:rsid w:val="00027064"/>
    <w:rsid w:val="00032D46"/>
    <w:rsid w:val="00043F78"/>
    <w:rsid w:val="00044881"/>
    <w:rsid w:val="00051A2C"/>
    <w:rsid w:val="0006607F"/>
    <w:rsid w:val="000810C8"/>
    <w:rsid w:val="00084CFB"/>
    <w:rsid w:val="0008510E"/>
    <w:rsid w:val="0008777A"/>
    <w:rsid w:val="000A1C4F"/>
    <w:rsid w:val="000A6CAF"/>
    <w:rsid w:val="000B7061"/>
    <w:rsid w:val="000B717E"/>
    <w:rsid w:val="000C27D2"/>
    <w:rsid w:val="000D05F1"/>
    <w:rsid w:val="000D7291"/>
    <w:rsid w:val="000E0979"/>
    <w:rsid w:val="000E18DC"/>
    <w:rsid w:val="000E356B"/>
    <w:rsid w:val="000E7082"/>
    <w:rsid w:val="000E7657"/>
    <w:rsid w:val="000F5A51"/>
    <w:rsid w:val="00102D42"/>
    <w:rsid w:val="00105096"/>
    <w:rsid w:val="00110042"/>
    <w:rsid w:val="001179D6"/>
    <w:rsid w:val="00122833"/>
    <w:rsid w:val="00127BAB"/>
    <w:rsid w:val="001319F2"/>
    <w:rsid w:val="001356DC"/>
    <w:rsid w:val="0013632E"/>
    <w:rsid w:val="001370E3"/>
    <w:rsid w:val="001562DD"/>
    <w:rsid w:val="00156888"/>
    <w:rsid w:val="001626BB"/>
    <w:rsid w:val="00165A0C"/>
    <w:rsid w:val="00167F25"/>
    <w:rsid w:val="00175CEE"/>
    <w:rsid w:val="00177B45"/>
    <w:rsid w:val="0018399A"/>
    <w:rsid w:val="00186E53"/>
    <w:rsid w:val="00187F11"/>
    <w:rsid w:val="00191C6D"/>
    <w:rsid w:val="00191E1B"/>
    <w:rsid w:val="0019318E"/>
    <w:rsid w:val="001B0BBE"/>
    <w:rsid w:val="001B4B1B"/>
    <w:rsid w:val="001B50FC"/>
    <w:rsid w:val="001C0FB7"/>
    <w:rsid w:val="001D0932"/>
    <w:rsid w:val="001D0C3A"/>
    <w:rsid w:val="001D1BF6"/>
    <w:rsid w:val="001D53A2"/>
    <w:rsid w:val="001D689B"/>
    <w:rsid w:val="001D6BE4"/>
    <w:rsid w:val="001E5D9D"/>
    <w:rsid w:val="001F7E8E"/>
    <w:rsid w:val="002053E9"/>
    <w:rsid w:val="002078FF"/>
    <w:rsid w:val="00207F16"/>
    <w:rsid w:val="00210F0E"/>
    <w:rsid w:val="00213473"/>
    <w:rsid w:val="00221C26"/>
    <w:rsid w:val="00224E19"/>
    <w:rsid w:val="002264E3"/>
    <w:rsid w:val="00231D24"/>
    <w:rsid w:val="00232262"/>
    <w:rsid w:val="00234499"/>
    <w:rsid w:val="002371DC"/>
    <w:rsid w:val="00237ACF"/>
    <w:rsid w:val="002466AF"/>
    <w:rsid w:val="00250CEA"/>
    <w:rsid w:val="00253D1F"/>
    <w:rsid w:val="00257E71"/>
    <w:rsid w:val="00265E5E"/>
    <w:rsid w:val="002701F8"/>
    <w:rsid w:val="0027179F"/>
    <w:rsid w:val="00272430"/>
    <w:rsid w:val="0028123E"/>
    <w:rsid w:val="0029044B"/>
    <w:rsid w:val="00292CC1"/>
    <w:rsid w:val="0029358E"/>
    <w:rsid w:val="00295393"/>
    <w:rsid w:val="00295F33"/>
    <w:rsid w:val="002A354A"/>
    <w:rsid w:val="002A5154"/>
    <w:rsid w:val="002A5D4A"/>
    <w:rsid w:val="002B3861"/>
    <w:rsid w:val="002B51B7"/>
    <w:rsid w:val="002B5E95"/>
    <w:rsid w:val="002C1D25"/>
    <w:rsid w:val="002C25CD"/>
    <w:rsid w:val="002C5BA9"/>
    <w:rsid w:val="002C6CFB"/>
    <w:rsid w:val="002D0A46"/>
    <w:rsid w:val="002E394B"/>
    <w:rsid w:val="002E3C5C"/>
    <w:rsid w:val="002E7246"/>
    <w:rsid w:val="002E7436"/>
    <w:rsid w:val="002E7A0D"/>
    <w:rsid w:val="00303A04"/>
    <w:rsid w:val="00305B49"/>
    <w:rsid w:val="00306F48"/>
    <w:rsid w:val="00307547"/>
    <w:rsid w:val="00307CB1"/>
    <w:rsid w:val="0031396B"/>
    <w:rsid w:val="00315CF8"/>
    <w:rsid w:val="00316B16"/>
    <w:rsid w:val="00316ECC"/>
    <w:rsid w:val="003171A9"/>
    <w:rsid w:val="00320209"/>
    <w:rsid w:val="00321F40"/>
    <w:rsid w:val="0033329B"/>
    <w:rsid w:val="00333545"/>
    <w:rsid w:val="00337D6F"/>
    <w:rsid w:val="003420F5"/>
    <w:rsid w:val="00344F33"/>
    <w:rsid w:val="00345DD4"/>
    <w:rsid w:val="00351AD5"/>
    <w:rsid w:val="00354255"/>
    <w:rsid w:val="00354664"/>
    <w:rsid w:val="00356CC4"/>
    <w:rsid w:val="003677F2"/>
    <w:rsid w:val="00373188"/>
    <w:rsid w:val="003755CA"/>
    <w:rsid w:val="003770E9"/>
    <w:rsid w:val="00377A65"/>
    <w:rsid w:val="00381AC0"/>
    <w:rsid w:val="00391D1A"/>
    <w:rsid w:val="00391EFC"/>
    <w:rsid w:val="00392036"/>
    <w:rsid w:val="0039392E"/>
    <w:rsid w:val="00394112"/>
    <w:rsid w:val="00394B9F"/>
    <w:rsid w:val="00397719"/>
    <w:rsid w:val="003977BB"/>
    <w:rsid w:val="003A0E20"/>
    <w:rsid w:val="003B7364"/>
    <w:rsid w:val="003C0E41"/>
    <w:rsid w:val="003C241C"/>
    <w:rsid w:val="003C25B7"/>
    <w:rsid w:val="003C5945"/>
    <w:rsid w:val="003D09A2"/>
    <w:rsid w:val="003D4FBD"/>
    <w:rsid w:val="003D66B9"/>
    <w:rsid w:val="003D70A3"/>
    <w:rsid w:val="003D7881"/>
    <w:rsid w:val="003E2F52"/>
    <w:rsid w:val="003E4C60"/>
    <w:rsid w:val="003E6129"/>
    <w:rsid w:val="003F0442"/>
    <w:rsid w:val="003F2401"/>
    <w:rsid w:val="003F2EFC"/>
    <w:rsid w:val="003F7EC8"/>
    <w:rsid w:val="00407B61"/>
    <w:rsid w:val="00420743"/>
    <w:rsid w:val="00425DBD"/>
    <w:rsid w:val="0043208E"/>
    <w:rsid w:val="00433A8D"/>
    <w:rsid w:val="00436E9A"/>
    <w:rsid w:val="00440074"/>
    <w:rsid w:val="00441DDF"/>
    <w:rsid w:val="004425F3"/>
    <w:rsid w:val="0044294E"/>
    <w:rsid w:val="00443C31"/>
    <w:rsid w:val="00445793"/>
    <w:rsid w:val="00452907"/>
    <w:rsid w:val="0046343E"/>
    <w:rsid w:val="00466AF9"/>
    <w:rsid w:val="00466C0F"/>
    <w:rsid w:val="00473C1D"/>
    <w:rsid w:val="0047619A"/>
    <w:rsid w:val="004762B5"/>
    <w:rsid w:val="00477D9C"/>
    <w:rsid w:val="004850E8"/>
    <w:rsid w:val="0048749F"/>
    <w:rsid w:val="00491743"/>
    <w:rsid w:val="00494BEB"/>
    <w:rsid w:val="00497725"/>
    <w:rsid w:val="004A401F"/>
    <w:rsid w:val="004C40C6"/>
    <w:rsid w:val="004C4588"/>
    <w:rsid w:val="004D172C"/>
    <w:rsid w:val="004D356B"/>
    <w:rsid w:val="004D688B"/>
    <w:rsid w:val="004E21E5"/>
    <w:rsid w:val="004E43A7"/>
    <w:rsid w:val="004F3828"/>
    <w:rsid w:val="004F583C"/>
    <w:rsid w:val="004F6DEF"/>
    <w:rsid w:val="005005E8"/>
    <w:rsid w:val="00502424"/>
    <w:rsid w:val="005027E2"/>
    <w:rsid w:val="00507958"/>
    <w:rsid w:val="005178E5"/>
    <w:rsid w:val="00520121"/>
    <w:rsid w:val="0052537E"/>
    <w:rsid w:val="00532E50"/>
    <w:rsid w:val="005336AA"/>
    <w:rsid w:val="00542871"/>
    <w:rsid w:val="005435F6"/>
    <w:rsid w:val="0054427F"/>
    <w:rsid w:val="0054612C"/>
    <w:rsid w:val="00552344"/>
    <w:rsid w:val="0055679D"/>
    <w:rsid w:val="00557609"/>
    <w:rsid w:val="005609F7"/>
    <w:rsid w:val="00562D5B"/>
    <w:rsid w:val="0056380A"/>
    <w:rsid w:val="00574BF8"/>
    <w:rsid w:val="005762CC"/>
    <w:rsid w:val="00576E94"/>
    <w:rsid w:val="005807F7"/>
    <w:rsid w:val="005A369D"/>
    <w:rsid w:val="005A66F5"/>
    <w:rsid w:val="005A7F9C"/>
    <w:rsid w:val="005C1928"/>
    <w:rsid w:val="005C2846"/>
    <w:rsid w:val="005C2C90"/>
    <w:rsid w:val="005C4047"/>
    <w:rsid w:val="005C43F3"/>
    <w:rsid w:val="005D5183"/>
    <w:rsid w:val="005E6403"/>
    <w:rsid w:val="005F0DBB"/>
    <w:rsid w:val="005F5A99"/>
    <w:rsid w:val="00600296"/>
    <w:rsid w:val="00613EAE"/>
    <w:rsid w:val="0061645B"/>
    <w:rsid w:val="006216B3"/>
    <w:rsid w:val="00621A76"/>
    <w:rsid w:val="006251B0"/>
    <w:rsid w:val="0062547B"/>
    <w:rsid w:val="00627B6B"/>
    <w:rsid w:val="00627EBC"/>
    <w:rsid w:val="00630657"/>
    <w:rsid w:val="00634075"/>
    <w:rsid w:val="00640305"/>
    <w:rsid w:val="00645730"/>
    <w:rsid w:val="006472BB"/>
    <w:rsid w:val="006474F0"/>
    <w:rsid w:val="00650618"/>
    <w:rsid w:val="00651262"/>
    <w:rsid w:val="0065385B"/>
    <w:rsid w:val="006617B1"/>
    <w:rsid w:val="006666B1"/>
    <w:rsid w:val="0066767D"/>
    <w:rsid w:val="00677920"/>
    <w:rsid w:val="006824BD"/>
    <w:rsid w:val="00682CDD"/>
    <w:rsid w:val="00684428"/>
    <w:rsid w:val="00685C0D"/>
    <w:rsid w:val="00695D17"/>
    <w:rsid w:val="006A4D5B"/>
    <w:rsid w:val="006A78AB"/>
    <w:rsid w:val="006B666A"/>
    <w:rsid w:val="006C0C03"/>
    <w:rsid w:val="006C1A97"/>
    <w:rsid w:val="006C2815"/>
    <w:rsid w:val="006D182C"/>
    <w:rsid w:val="006E1389"/>
    <w:rsid w:val="006E643A"/>
    <w:rsid w:val="006E7401"/>
    <w:rsid w:val="006F1486"/>
    <w:rsid w:val="006F181B"/>
    <w:rsid w:val="006F24D7"/>
    <w:rsid w:val="006F2858"/>
    <w:rsid w:val="0070079A"/>
    <w:rsid w:val="007015CF"/>
    <w:rsid w:val="00705434"/>
    <w:rsid w:val="007064FA"/>
    <w:rsid w:val="00711EA6"/>
    <w:rsid w:val="0071428B"/>
    <w:rsid w:val="00714C8E"/>
    <w:rsid w:val="00724B6A"/>
    <w:rsid w:val="0072612A"/>
    <w:rsid w:val="007265CC"/>
    <w:rsid w:val="007335F4"/>
    <w:rsid w:val="00733E09"/>
    <w:rsid w:val="00740CE2"/>
    <w:rsid w:val="00740D9F"/>
    <w:rsid w:val="0074154C"/>
    <w:rsid w:val="00744DAD"/>
    <w:rsid w:val="00745E2A"/>
    <w:rsid w:val="007475F4"/>
    <w:rsid w:val="00752CE7"/>
    <w:rsid w:val="0075434F"/>
    <w:rsid w:val="00756A79"/>
    <w:rsid w:val="007575CD"/>
    <w:rsid w:val="00757933"/>
    <w:rsid w:val="007614C0"/>
    <w:rsid w:val="00766B7C"/>
    <w:rsid w:val="0077128F"/>
    <w:rsid w:val="00776079"/>
    <w:rsid w:val="007763BC"/>
    <w:rsid w:val="0078348E"/>
    <w:rsid w:val="007A0985"/>
    <w:rsid w:val="007A1A8A"/>
    <w:rsid w:val="007A6B6B"/>
    <w:rsid w:val="007B6864"/>
    <w:rsid w:val="007C5536"/>
    <w:rsid w:val="007C79E8"/>
    <w:rsid w:val="007D49B3"/>
    <w:rsid w:val="007D735A"/>
    <w:rsid w:val="007F0548"/>
    <w:rsid w:val="007F1163"/>
    <w:rsid w:val="007F3C79"/>
    <w:rsid w:val="007F556C"/>
    <w:rsid w:val="007F575E"/>
    <w:rsid w:val="007F6A7D"/>
    <w:rsid w:val="007F7A1C"/>
    <w:rsid w:val="00801553"/>
    <w:rsid w:val="00805586"/>
    <w:rsid w:val="00807950"/>
    <w:rsid w:val="0081319D"/>
    <w:rsid w:val="00816A1F"/>
    <w:rsid w:val="00816C46"/>
    <w:rsid w:val="00832417"/>
    <w:rsid w:val="00832789"/>
    <w:rsid w:val="00833EB5"/>
    <w:rsid w:val="008407E1"/>
    <w:rsid w:val="0084390D"/>
    <w:rsid w:val="008470F8"/>
    <w:rsid w:val="008604F7"/>
    <w:rsid w:val="008617B8"/>
    <w:rsid w:val="00863D54"/>
    <w:rsid w:val="008641A3"/>
    <w:rsid w:val="008674D9"/>
    <w:rsid w:val="00867BAC"/>
    <w:rsid w:val="00870A03"/>
    <w:rsid w:val="00871C3A"/>
    <w:rsid w:val="00885226"/>
    <w:rsid w:val="00885C64"/>
    <w:rsid w:val="00887A5A"/>
    <w:rsid w:val="00891290"/>
    <w:rsid w:val="00891A95"/>
    <w:rsid w:val="008A4BE7"/>
    <w:rsid w:val="008B0BCA"/>
    <w:rsid w:val="008B103B"/>
    <w:rsid w:val="008B567E"/>
    <w:rsid w:val="008B66BE"/>
    <w:rsid w:val="008B6CFB"/>
    <w:rsid w:val="008B6CFE"/>
    <w:rsid w:val="008C1FF0"/>
    <w:rsid w:val="008C3031"/>
    <w:rsid w:val="008C3FF3"/>
    <w:rsid w:val="008C42B3"/>
    <w:rsid w:val="008C7D96"/>
    <w:rsid w:val="008E2956"/>
    <w:rsid w:val="008E3727"/>
    <w:rsid w:val="008E6166"/>
    <w:rsid w:val="008F05AB"/>
    <w:rsid w:val="008F0C6D"/>
    <w:rsid w:val="008F3343"/>
    <w:rsid w:val="008F40F8"/>
    <w:rsid w:val="008F61A9"/>
    <w:rsid w:val="0090097A"/>
    <w:rsid w:val="00904EEC"/>
    <w:rsid w:val="00905454"/>
    <w:rsid w:val="009060DB"/>
    <w:rsid w:val="00916DCD"/>
    <w:rsid w:val="0092085F"/>
    <w:rsid w:val="009259C8"/>
    <w:rsid w:val="00926E3C"/>
    <w:rsid w:val="009276A0"/>
    <w:rsid w:val="009351DD"/>
    <w:rsid w:val="00940349"/>
    <w:rsid w:val="0094372E"/>
    <w:rsid w:val="00944266"/>
    <w:rsid w:val="00946E3A"/>
    <w:rsid w:val="00952354"/>
    <w:rsid w:val="009549B6"/>
    <w:rsid w:val="00955C7A"/>
    <w:rsid w:val="00957492"/>
    <w:rsid w:val="00965FD6"/>
    <w:rsid w:val="0097390A"/>
    <w:rsid w:val="00975F03"/>
    <w:rsid w:val="00986430"/>
    <w:rsid w:val="0098755A"/>
    <w:rsid w:val="0098761F"/>
    <w:rsid w:val="00987B21"/>
    <w:rsid w:val="00992DA8"/>
    <w:rsid w:val="009A5F31"/>
    <w:rsid w:val="009B347C"/>
    <w:rsid w:val="009C229A"/>
    <w:rsid w:val="009C3A90"/>
    <w:rsid w:val="009C64C5"/>
    <w:rsid w:val="009D0EF8"/>
    <w:rsid w:val="009D588F"/>
    <w:rsid w:val="009E51DB"/>
    <w:rsid w:val="009F67ED"/>
    <w:rsid w:val="00A02E7A"/>
    <w:rsid w:val="00A039E1"/>
    <w:rsid w:val="00A07AB1"/>
    <w:rsid w:val="00A129D6"/>
    <w:rsid w:val="00A15106"/>
    <w:rsid w:val="00A156BF"/>
    <w:rsid w:val="00A15C61"/>
    <w:rsid w:val="00A24875"/>
    <w:rsid w:val="00A26B00"/>
    <w:rsid w:val="00A374A1"/>
    <w:rsid w:val="00A3750D"/>
    <w:rsid w:val="00A4102A"/>
    <w:rsid w:val="00A46B8D"/>
    <w:rsid w:val="00A51FC4"/>
    <w:rsid w:val="00A61A47"/>
    <w:rsid w:val="00A642C6"/>
    <w:rsid w:val="00A649C2"/>
    <w:rsid w:val="00A66E60"/>
    <w:rsid w:val="00A713D8"/>
    <w:rsid w:val="00A73BBA"/>
    <w:rsid w:val="00A83B36"/>
    <w:rsid w:val="00A84B27"/>
    <w:rsid w:val="00A85547"/>
    <w:rsid w:val="00A90AB5"/>
    <w:rsid w:val="00A91503"/>
    <w:rsid w:val="00A920E4"/>
    <w:rsid w:val="00A97C57"/>
    <w:rsid w:val="00AA1ED7"/>
    <w:rsid w:val="00AA25FC"/>
    <w:rsid w:val="00AA3F4C"/>
    <w:rsid w:val="00AD034F"/>
    <w:rsid w:val="00AD0C98"/>
    <w:rsid w:val="00AD2C03"/>
    <w:rsid w:val="00AD41B4"/>
    <w:rsid w:val="00AD43E5"/>
    <w:rsid w:val="00AD56F8"/>
    <w:rsid w:val="00AE25A1"/>
    <w:rsid w:val="00AF2909"/>
    <w:rsid w:val="00AF49CC"/>
    <w:rsid w:val="00B0454C"/>
    <w:rsid w:val="00B06EF3"/>
    <w:rsid w:val="00B070D6"/>
    <w:rsid w:val="00B128F2"/>
    <w:rsid w:val="00B1329D"/>
    <w:rsid w:val="00B15DF2"/>
    <w:rsid w:val="00B25EE1"/>
    <w:rsid w:val="00B300AF"/>
    <w:rsid w:val="00B31D67"/>
    <w:rsid w:val="00B32C2B"/>
    <w:rsid w:val="00B3335F"/>
    <w:rsid w:val="00B3600A"/>
    <w:rsid w:val="00B375DE"/>
    <w:rsid w:val="00B44CC2"/>
    <w:rsid w:val="00B50CDC"/>
    <w:rsid w:val="00B53C6A"/>
    <w:rsid w:val="00B545DF"/>
    <w:rsid w:val="00B56970"/>
    <w:rsid w:val="00B6069E"/>
    <w:rsid w:val="00B60714"/>
    <w:rsid w:val="00B6540D"/>
    <w:rsid w:val="00B7023A"/>
    <w:rsid w:val="00B70680"/>
    <w:rsid w:val="00B7189A"/>
    <w:rsid w:val="00B75CCF"/>
    <w:rsid w:val="00B76161"/>
    <w:rsid w:val="00B7620D"/>
    <w:rsid w:val="00B7767D"/>
    <w:rsid w:val="00B83F57"/>
    <w:rsid w:val="00B87415"/>
    <w:rsid w:val="00B87C22"/>
    <w:rsid w:val="00B91122"/>
    <w:rsid w:val="00BA0588"/>
    <w:rsid w:val="00BB0D4C"/>
    <w:rsid w:val="00BB3B29"/>
    <w:rsid w:val="00BC09B9"/>
    <w:rsid w:val="00BC35AE"/>
    <w:rsid w:val="00BC3C39"/>
    <w:rsid w:val="00BD59EB"/>
    <w:rsid w:val="00BD63FF"/>
    <w:rsid w:val="00BD7E3B"/>
    <w:rsid w:val="00BE02C7"/>
    <w:rsid w:val="00BE24BB"/>
    <w:rsid w:val="00BE2EDF"/>
    <w:rsid w:val="00BE5FC6"/>
    <w:rsid w:val="00C01161"/>
    <w:rsid w:val="00C11973"/>
    <w:rsid w:val="00C12252"/>
    <w:rsid w:val="00C15A7E"/>
    <w:rsid w:val="00C22DCA"/>
    <w:rsid w:val="00C23629"/>
    <w:rsid w:val="00C34CD9"/>
    <w:rsid w:val="00C355DA"/>
    <w:rsid w:val="00C40688"/>
    <w:rsid w:val="00C463C0"/>
    <w:rsid w:val="00C470EB"/>
    <w:rsid w:val="00C52EA3"/>
    <w:rsid w:val="00C54AEB"/>
    <w:rsid w:val="00C60DCC"/>
    <w:rsid w:val="00C67B6E"/>
    <w:rsid w:val="00C74A38"/>
    <w:rsid w:val="00C90E72"/>
    <w:rsid w:val="00C942E9"/>
    <w:rsid w:val="00CB0970"/>
    <w:rsid w:val="00CB384C"/>
    <w:rsid w:val="00CB696B"/>
    <w:rsid w:val="00CC02BA"/>
    <w:rsid w:val="00CC0B48"/>
    <w:rsid w:val="00CC40FD"/>
    <w:rsid w:val="00CC529B"/>
    <w:rsid w:val="00CE0581"/>
    <w:rsid w:val="00CE31FC"/>
    <w:rsid w:val="00CE32F7"/>
    <w:rsid w:val="00CF07B8"/>
    <w:rsid w:val="00D01A48"/>
    <w:rsid w:val="00D0309D"/>
    <w:rsid w:val="00D07519"/>
    <w:rsid w:val="00D11D25"/>
    <w:rsid w:val="00D14134"/>
    <w:rsid w:val="00D16A36"/>
    <w:rsid w:val="00D172C4"/>
    <w:rsid w:val="00D20973"/>
    <w:rsid w:val="00D21367"/>
    <w:rsid w:val="00D21FC5"/>
    <w:rsid w:val="00D22092"/>
    <w:rsid w:val="00D22BAB"/>
    <w:rsid w:val="00D26924"/>
    <w:rsid w:val="00D30350"/>
    <w:rsid w:val="00D34E2D"/>
    <w:rsid w:val="00D36063"/>
    <w:rsid w:val="00D441E5"/>
    <w:rsid w:val="00D449B7"/>
    <w:rsid w:val="00D51C50"/>
    <w:rsid w:val="00D56B69"/>
    <w:rsid w:val="00D81E55"/>
    <w:rsid w:val="00D84BDD"/>
    <w:rsid w:val="00D85323"/>
    <w:rsid w:val="00D861DF"/>
    <w:rsid w:val="00D86674"/>
    <w:rsid w:val="00D903C9"/>
    <w:rsid w:val="00D93816"/>
    <w:rsid w:val="00D94A54"/>
    <w:rsid w:val="00D956E9"/>
    <w:rsid w:val="00D96FCE"/>
    <w:rsid w:val="00DA1339"/>
    <w:rsid w:val="00DA3F75"/>
    <w:rsid w:val="00DA72F5"/>
    <w:rsid w:val="00DA7514"/>
    <w:rsid w:val="00DB02B0"/>
    <w:rsid w:val="00DC2FB9"/>
    <w:rsid w:val="00DC3B0F"/>
    <w:rsid w:val="00DC7959"/>
    <w:rsid w:val="00DD0270"/>
    <w:rsid w:val="00DD12E7"/>
    <w:rsid w:val="00DD1979"/>
    <w:rsid w:val="00DD36E1"/>
    <w:rsid w:val="00DE0204"/>
    <w:rsid w:val="00DE239D"/>
    <w:rsid w:val="00DE3BDF"/>
    <w:rsid w:val="00DE50D3"/>
    <w:rsid w:val="00DE7B2E"/>
    <w:rsid w:val="00DF120B"/>
    <w:rsid w:val="00DF26D3"/>
    <w:rsid w:val="00DF2E48"/>
    <w:rsid w:val="00E01A23"/>
    <w:rsid w:val="00E05445"/>
    <w:rsid w:val="00E05E82"/>
    <w:rsid w:val="00E070F6"/>
    <w:rsid w:val="00E12130"/>
    <w:rsid w:val="00E16A86"/>
    <w:rsid w:val="00E25FFA"/>
    <w:rsid w:val="00E3015F"/>
    <w:rsid w:val="00E31B58"/>
    <w:rsid w:val="00E36AEE"/>
    <w:rsid w:val="00E51BAF"/>
    <w:rsid w:val="00E56574"/>
    <w:rsid w:val="00E6782F"/>
    <w:rsid w:val="00E678C2"/>
    <w:rsid w:val="00E67DF7"/>
    <w:rsid w:val="00E70761"/>
    <w:rsid w:val="00E77328"/>
    <w:rsid w:val="00E77664"/>
    <w:rsid w:val="00E875EA"/>
    <w:rsid w:val="00EA2993"/>
    <w:rsid w:val="00EB3669"/>
    <w:rsid w:val="00EB3ADA"/>
    <w:rsid w:val="00EB600B"/>
    <w:rsid w:val="00EB61FC"/>
    <w:rsid w:val="00EB702E"/>
    <w:rsid w:val="00EC4507"/>
    <w:rsid w:val="00EC4C7B"/>
    <w:rsid w:val="00EC6F14"/>
    <w:rsid w:val="00ED0A5E"/>
    <w:rsid w:val="00ED0D30"/>
    <w:rsid w:val="00EE0633"/>
    <w:rsid w:val="00EE1273"/>
    <w:rsid w:val="00EE1F74"/>
    <w:rsid w:val="00EE561C"/>
    <w:rsid w:val="00EE5B29"/>
    <w:rsid w:val="00EE5F2F"/>
    <w:rsid w:val="00EE6710"/>
    <w:rsid w:val="00EE6F22"/>
    <w:rsid w:val="00EF08A2"/>
    <w:rsid w:val="00EF3A72"/>
    <w:rsid w:val="00EF5782"/>
    <w:rsid w:val="00F01FC9"/>
    <w:rsid w:val="00F14499"/>
    <w:rsid w:val="00F14920"/>
    <w:rsid w:val="00F1788A"/>
    <w:rsid w:val="00F200DE"/>
    <w:rsid w:val="00F23B83"/>
    <w:rsid w:val="00F24C4E"/>
    <w:rsid w:val="00F26409"/>
    <w:rsid w:val="00F274F9"/>
    <w:rsid w:val="00F301BF"/>
    <w:rsid w:val="00F352B9"/>
    <w:rsid w:val="00F37258"/>
    <w:rsid w:val="00F37C98"/>
    <w:rsid w:val="00F41CDC"/>
    <w:rsid w:val="00F62AC4"/>
    <w:rsid w:val="00F63426"/>
    <w:rsid w:val="00F74FC1"/>
    <w:rsid w:val="00F807B6"/>
    <w:rsid w:val="00F811B8"/>
    <w:rsid w:val="00F81F3C"/>
    <w:rsid w:val="00F947C1"/>
    <w:rsid w:val="00F95A04"/>
    <w:rsid w:val="00FA2CE1"/>
    <w:rsid w:val="00FA6D49"/>
    <w:rsid w:val="00FB1432"/>
    <w:rsid w:val="00FB4936"/>
    <w:rsid w:val="00FC13E4"/>
    <w:rsid w:val="00FC203E"/>
    <w:rsid w:val="00FC622A"/>
    <w:rsid w:val="00FD1170"/>
    <w:rsid w:val="00FD4AA8"/>
    <w:rsid w:val="00FD723D"/>
    <w:rsid w:val="00FE2B2E"/>
    <w:rsid w:val="00FF4A02"/>
    <w:rsid w:val="00FF73F8"/>
    <w:rsid w:val="03726617"/>
    <w:rsid w:val="041E7CD6"/>
    <w:rsid w:val="2EB1077C"/>
    <w:rsid w:val="2EEB6698"/>
    <w:rsid w:val="2F714433"/>
    <w:rsid w:val="308B3DB1"/>
    <w:rsid w:val="338E62A6"/>
    <w:rsid w:val="3EF5155C"/>
    <w:rsid w:val="47400F41"/>
    <w:rsid w:val="48EC5DE1"/>
    <w:rsid w:val="4B816D25"/>
    <w:rsid w:val="4E4430BE"/>
    <w:rsid w:val="50440C09"/>
    <w:rsid w:val="54892B8B"/>
    <w:rsid w:val="71DB20DB"/>
    <w:rsid w:val="79436AE5"/>
    <w:rsid w:val="7A61339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qFormat="1" w:uiPriority="99" w:name="Date"/>
    <w:lsdException w:uiPriority="99" w:name="Body Text First Indent"/>
    <w:lsdException w:qFormat="1"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中文正文)" w:cstheme="minorBidi"/>
      <w:kern w:val="2"/>
      <w:sz w:val="24"/>
      <w:szCs w:val="22"/>
      <w:lang w:val="en-US" w:eastAsia="zh-CN" w:bidi="ar-SA"/>
    </w:rPr>
  </w:style>
  <w:style w:type="paragraph" w:styleId="2">
    <w:name w:val="heading 1"/>
    <w:basedOn w:val="1"/>
    <w:next w:val="1"/>
    <w:link w:val="50"/>
    <w:qFormat/>
    <w:uiPriority w:val="0"/>
    <w:pPr>
      <w:keepNext/>
      <w:ind w:firstLine="0" w:firstLineChars="0"/>
      <w:jc w:val="center"/>
      <w:outlineLvl w:val="0"/>
    </w:pPr>
    <w:rPr>
      <w:rFonts w:ascii="微软雅黑" w:hAnsi="微软雅黑" w:eastAsia="黑体"/>
      <w:b/>
      <w:bCs/>
      <w:kern w:val="44"/>
      <w:sz w:val="32"/>
      <w:szCs w:val="44"/>
    </w:rPr>
  </w:style>
  <w:style w:type="paragraph" w:styleId="3">
    <w:name w:val="heading 2"/>
    <w:basedOn w:val="1"/>
    <w:next w:val="1"/>
    <w:link w:val="51"/>
    <w:autoRedefine/>
    <w:qFormat/>
    <w:uiPriority w:val="0"/>
    <w:pPr>
      <w:keepLines/>
      <w:spacing w:line="520" w:lineRule="exact"/>
      <w:ind w:firstLine="480" w:firstLineChars="0"/>
      <w:jc w:val="left"/>
      <w:outlineLvl w:val="1"/>
    </w:pPr>
    <w:rPr>
      <w:rFonts w:ascii="黑体" w:hAnsi="黑体" w:eastAsia="黑体" w:cs="黑体"/>
      <w:b/>
      <w:bCs/>
      <w:sz w:val="28"/>
      <w:szCs w:val="21"/>
    </w:rPr>
  </w:style>
  <w:style w:type="paragraph" w:styleId="4">
    <w:name w:val="heading 3"/>
    <w:basedOn w:val="1"/>
    <w:next w:val="1"/>
    <w:link w:val="49"/>
    <w:unhideWhenUsed/>
    <w:qFormat/>
    <w:uiPriority w:val="9"/>
    <w:pPr>
      <w:keepLines/>
      <w:spacing w:line="520" w:lineRule="exact"/>
      <w:outlineLvl w:val="2"/>
    </w:pPr>
    <w:rPr>
      <w:rFonts w:ascii="黑体" w:hAnsi="黑体" w:eastAsia="黑体" w:cs="黑体"/>
      <w:b/>
      <w:bCs/>
      <w:szCs w:val="24"/>
    </w:rPr>
  </w:style>
  <w:style w:type="paragraph" w:styleId="5">
    <w:name w:val="heading 4"/>
    <w:basedOn w:val="1"/>
    <w:next w:val="1"/>
    <w:link w:val="83"/>
    <w:unhideWhenUsed/>
    <w:qFormat/>
    <w:uiPriority w:val="0"/>
    <w:pPr>
      <w:keepNext/>
      <w:keepLines/>
      <w:numPr>
        <w:ilvl w:val="3"/>
        <w:numId w:val="1"/>
      </w:numPr>
      <w:spacing w:before="280" w:after="290" w:line="376" w:lineRule="auto"/>
      <w:ind w:firstLine="0" w:firstLineChars="0"/>
      <w:outlineLvl w:val="3"/>
    </w:pPr>
    <w:rPr>
      <w:rFonts w:asciiTheme="majorHAnsi" w:hAnsiTheme="majorHAnsi" w:eastAsiaTheme="majorEastAsia" w:cstheme="majorBidi"/>
      <w:b/>
      <w:bCs/>
      <w:sz w:val="28"/>
      <w:szCs w:val="28"/>
    </w:rPr>
  </w:style>
  <w:style w:type="paragraph" w:styleId="6">
    <w:name w:val="heading 5"/>
    <w:basedOn w:val="1"/>
    <w:next w:val="1"/>
    <w:link w:val="84"/>
    <w:unhideWhenUsed/>
    <w:qFormat/>
    <w:uiPriority w:val="0"/>
    <w:pPr>
      <w:keepNext/>
      <w:keepLines/>
      <w:numPr>
        <w:ilvl w:val="4"/>
        <w:numId w:val="1"/>
      </w:numPr>
      <w:spacing w:before="280" w:after="290" w:line="376" w:lineRule="auto"/>
      <w:ind w:firstLine="0" w:firstLineChars="0"/>
      <w:outlineLvl w:val="4"/>
    </w:pPr>
    <w:rPr>
      <w:b/>
      <w:bCs/>
      <w:sz w:val="28"/>
      <w:szCs w:val="28"/>
    </w:rPr>
  </w:style>
  <w:style w:type="paragraph" w:styleId="7">
    <w:name w:val="heading 6"/>
    <w:basedOn w:val="1"/>
    <w:next w:val="1"/>
    <w:link w:val="85"/>
    <w:unhideWhenUsed/>
    <w:qFormat/>
    <w:uiPriority w:val="0"/>
    <w:pPr>
      <w:keepNext/>
      <w:keepLines/>
      <w:numPr>
        <w:ilvl w:val="5"/>
        <w:numId w:val="1"/>
      </w:numPr>
      <w:spacing w:before="240" w:after="64" w:line="320" w:lineRule="auto"/>
      <w:ind w:firstLine="0" w:firstLineChars="0"/>
      <w:outlineLvl w:val="5"/>
    </w:pPr>
    <w:rPr>
      <w:rFonts w:asciiTheme="majorHAnsi" w:hAnsiTheme="majorHAnsi" w:eastAsiaTheme="majorEastAsia" w:cstheme="majorBidi"/>
      <w:b/>
      <w:bCs/>
      <w:szCs w:val="24"/>
    </w:rPr>
  </w:style>
  <w:style w:type="paragraph" w:styleId="8">
    <w:name w:val="heading 7"/>
    <w:basedOn w:val="1"/>
    <w:next w:val="1"/>
    <w:link w:val="86"/>
    <w:unhideWhenUsed/>
    <w:qFormat/>
    <w:uiPriority w:val="0"/>
    <w:pPr>
      <w:keepNext/>
      <w:keepLines/>
      <w:numPr>
        <w:ilvl w:val="6"/>
        <w:numId w:val="1"/>
      </w:numPr>
      <w:spacing w:before="240" w:after="64" w:line="320" w:lineRule="auto"/>
      <w:ind w:firstLine="0" w:firstLineChars="0"/>
      <w:outlineLvl w:val="6"/>
    </w:pPr>
    <w:rPr>
      <w:b/>
      <w:bCs/>
      <w:szCs w:val="24"/>
    </w:rPr>
  </w:style>
  <w:style w:type="paragraph" w:styleId="9">
    <w:name w:val="heading 8"/>
    <w:basedOn w:val="1"/>
    <w:next w:val="1"/>
    <w:link w:val="87"/>
    <w:unhideWhenUsed/>
    <w:qFormat/>
    <w:uiPriority w:val="0"/>
    <w:pPr>
      <w:keepNext/>
      <w:keepLines/>
      <w:numPr>
        <w:ilvl w:val="7"/>
        <w:numId w:val="1"/>
      </w:numPr>
      <w:spacing w:before="240" w:after="64" w:line="320" w:lineRule="auto"/>
      <w:ind w:firstLine="0" w:firstLineChars="0"/>
      <w:outlineLvl w:val="7"/>
    </w:pPr>
    <w:rPr>
      <w:rFonts w:asciiTheme="majorHAnsi" w:hAnsiTheme="majorHAnsi" w:eastAsiaTheme="majorEastAsia" w:cstheme="majorBidi"/>
      <w:szCs w:val="24"/>
    </w:rPr>
  </w:style>
  <w:style w:type="paragraph" w:styleId="10">
    <w:name w:val="heading 9"/>
    <w:basedOn w:val="1"/>
    <w:next w:val="1"/>
    <w:link w:val="88"/>
    <w:unhideWhenUsed/>
    <w:qFormat/>
    <w:uiPriority w:val="0"/>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spacing w:line="240" w:lineRule="auto"/>
      <w:ind w:left="2520" w:leftChars="1200" w:firstLine="0" w:firstLineChars="0"/>
    </w:pPr>
    <w:rPr>
      <w:sz w:val="21"/>
    </w:rPr>
  </w:style>
  <w:style w:type="paragraph" w:styleId="12">
    <w:name w:val="List Number 2"/>
    <w:basedOn w:val="1"/>
    <w:qFormat/>
    <w:uiPriority w:val="0"/>
    <w:pPr>
      <w:widowControl/>
      <w:numPr>
        <w:ilvl w:val="0"/>
        <w:numId w:val="2"/>
      </w:numPr>
      <w:spacing w:line="240" w:lineRule="auto"/>
      <w:ind w:firstLine="0" w:firstLineChars="0"/>
      <w:jc w:val="left"/>
    </w:pPr>
    <w:rPr>
      <w:rFonts w:ascii="宋体" w:hAnsi="宋体" w:eastAsia="宋体" w:cs="宋体"/>
      <w:kern w:val="0"/>
      <w:szCs w:val="24"/>
    </w:rPr>
  </w:style>
  <w:style w:type="paragraph" w:styleId="13">
    <w:name w:val="List Bullet 4"/>
    <w:basedOn w:val="1"/>
    <w:qFormat/>
    <w:uiPriority w:val="0"/>
    <w:pPr>
      <w:widowControl/>
      <w:numPr>
        <w:ilvl w:val="0"/>
        <w:numId w:val="3"/>
      </w:numPr>
      <w:spacing w:line="240" w:lineRule="auto"/>
      <w:ind w:firstLine="0" w:firstLineChars="0"/>
      <w:jc w:val="left"/>
    </w:pPr>
    <w:rPr>
      <w:rFonts w:ascii="宋体" w:hAnsi="宋体" w:eastAsia="宋体" w:cs="宋体"/>
      <w:kern w:val="0"/>
      <w:szCs w:val="24"/>
    </w:rPr>
  </w:style>
  <w:style w:type="paragraph" w:styleId="14">
    <w:name w:val="List Number"/>
    <w:basedOn w:val="1"/>
    <w:qFormat/>
    <w:uiPriority w:val="0"/>
    <w:pPr>
      <w:widowControl/>
      <w:numPr>
        <w:ilvl w:val="0"/>
        <w:numId w:val="4"/>
      </w:numPr>
      <w:spacing w:line="240" w:lineRule="auto"/>
      <w:ind w:firstLine="0" w:firstLineChars="0"/>
      <w:jc w:val="left"/>
    </w:pPr>
    <w:rPr>
      <w:rFonts w:ascii="宋体" w:hAnsi="宋体" w:eastAsia="宋体" w:cs="宋体"/>
      <w:kern w:val="0"/>
      <w:szCs w:val="24"/>
    </w:rPr>
  </w:style>
  <w:style w:type="paragraph" w:styleId="15">
    <w:name w:val="Normal Indent"/>
    <w:basedOn w:val="1"/>
    <w:unhideWhenUsed/>
    <w:qFormat/>
    <w:uiPriority w:val="0"/>
    <w:pPr>
      <w:widowControl/>
      <w:spacing w:line="240" w:lineRule="auto"/>
      <w:ind w:firstLine="420"/>
      <w:jc w:val="left"/>
    </w:pPr>
    <w:rPr>
      <w:rFonts w:ascii="宋体" w:hAnsi="宋体" w:eastAsia="宋体" w:cs="宋体"/>
      <w:kern w:val="0"/>
      <w:szCs w:val="24"/>
    </w:rPr>
  </w:style>
  <w:style w:type="paragraph" w:styleId="16">
    <w:name w:val="List Bullet"/>
    <w:basedOn w:val="1"/>
    <w:qFormat/>
    <w:uiPriority w:val="0"/>
    <w:pPr>
      <w:widowControl/>
      <w:numPr>
        <w:ilvl w:val="0"/>
        <w:numId w:val="5"/>
      </w:numPr>
      <w:spacing w:line="240" w:lineRule="auto"/>
      <w:ind w:firstLine="0" w:firstLineChars="0"/>
      <w:jc w:val="left"/>
    </w:pPr>
    <w:rPr>
      <w:rFonts w:ascii="宋体" w:hAnsi="宋体" w:eastAsia="宋体" w:cs="宋体"/>
      <w:kern w:val="0"/>
      <w:szCs w:val="24"/>
    </w:rPr>
  </w:style>
  <w:style w:type="paragraph" w:styleId="17">
    <w:name w:val="annotation text"/>
    <w:basedOn w:val="1"/>
    <w:link w:val="89"/>
    <w:semiHidden/>
    <w:unhideWhenUsed/>
    <w:qFormat/>
    <w:uiPriority w:val="99"/>
    <w:pPr>
      <w:jc w:val="left"/>
    </w:pPr>
    <w:rPr>
      <w:rFonts w:eastAsia="宋体" w:cs="Times New Roman"/>
      <w:szCs w:val="20"/>
    </w:rPr>
  </w:style>
  <w:style w:type="paragraph" w:styleId="18">
    <w:name w:val="Body Text"/>
    <w:basedOn w:val="1"/>
    <w:link w:val="93"/>
    <w:qFormat/>
    <w:uiPriority w:val="0"/>
    <w:pPr>
      <w:spacing w:after="120"/>
    </w:pPr>
    <w:rPr>
      <w:rFonts w:eastAsia="宋体" w:cs="Times New Roman"/>
      <w:szCs w:val="24"/>
    </w:rPr>
  </w:style>
  <w:style w:type="paragraph" w:styleId="19">
    <w:name w:val="Body Text Indent"/>
    <w:basedOn w:val="1"/>
    <w:link w:val="109"/>
    <w:semiHidden/>
    <w:unhideWhenUsed/>
    <w:qFormat/>
    <w:uiPriority w:val="99"/>
    <w:pPr>
      <w:spacing w:after="120"/>
      <w:ind w:left="420" w:leftChars="200"/>
    </w:pPr>
  </w:style>
  <w:style w:type="paragraph" w:styleId="20">
    <w:name w:val="List Bullet 2"/>
    <w:basedOn w:val="1"/>
    <w:qFormat/>
    <w:uiPriority w:val="0"/>
    <w:pPr>
      <w:widowControl/>
      <w:numPr>
        <w:ilvl w:val="0"/>
        <w:numId w:val="6"/>
      </w:numPr>
      <w:spacing w:line="240" w:lineRule="auto"/>
      <w:ind w:firstLine="0" w:firstLineChars="0"/>
      <w:jc w:val="left"/>
    </w:pPr>
    <w:rPr>
      <w:rFonts w:ascii="宋体" w:hAnsi="宋体" w:eastAsia="宋体" w:cs="宋体"/>
      <w:kern w:val="0"/>
      <w:szCs w:val="24"/>
    </w:rPr>
  </w:style>
  <w:style w:type="paragraph" w:styleId="21">
    <w:name w:val="toc 5"/>
    <w:basedOn w:val="1"/>
    <w:next w:val="1"/>
    <w:autoRedefine/>
    <w:unhideWhenUsed/>
    <w:qFormat/>
    <w:uiPriority w:val="39"/>
    <w:pPr>
      <w:spacing w:line="240" w:lineRule="auto"/>
      <w:ind w:left="1680" w:leftChars="800" w:firstLine="0" w:firstLineChars="0"/>
    </w:pPr>
    <w:rPr>
      <w:sz w:val="21"/>
    </w:rPr>
  </w:style>
  <w:style w:type="paragraph" w:styleId="22">
    <w:name w:val="toc 3"/>
    <w:basedOn w:val="1"/>
    <w:next w:val="1"/>
    <w:autoRedefine/>
    <w:unhideWhenUsed/>
    <w:qFormat/>
    <w:uiPriority w:val="39"/>
    <w:pPr>
      <w:ind w:left="840" w:leftChars="400"/>
    </w:pPr>
  </w:style>
  <w:style w:type="paragraph" w:styleId="23">
    <w:name w:val="Plain Text"/>
    <w:basedOn w:val="1"/>
    <w:link w:val="94"/>
    <w:qFormat/>
    <w:uiPriority w:val="0"/>
    <w:rPr>
      <w:rFonts w:ascii="宋体" w:hAnsi="Courier New" w:eastAsia="宋体"/>
    </w:rPr>
  </w:style>
  <w:style w:type="paragraph" w:styleId="24">
    <w:name w:val="List Bullet 5"/>
    <w:basedOn w:val="1"/>
    <w:qFormat/>
    <w:uiPriority w:val="0"/>
    <w:pPr>
      <w:widowControl/>
      <w:numPr>
        <w:ilvl w:val="0"/>
        <w:numId w:val="7"/>
      </w:numPr>
      <w:spacing w:line="240" w:lineRule="auto"/>
      <w:ind w:firstLine="0" w:firstLineChars="0"/>
      <w:jc w:val="left"/>
    </w:pPr>
    <w:rPr>
      <w:rFonts w:ascii="宋体" w:hAnsi="宋体" w:eastAsia="宋体" w:cs="宋体"/>
      <w:kern w:val="0"/>
      <w:szCs w:val="24"/>
    </w:rPr>
  </w:style>
  <w:style w:type="paragraph" w:styleId="25">
    <w:name w:val="List Number 4"/>
    <w:basedOn w:val="1"/>
    <w:qFormat/>
    <w:uiPriority w:val="0"/>
    <w:pPr>
      <w:widowControl/>
      <w:numPr>
        <w:ilvl w:val="0"/>
        <w:numId w:val="8"/>
      </w:numPr>
      <w:spacing w:line="240" w:lineRule="auto"/>
      <w:ind w:firstLine="0" w:firstLineChars="0"/>
      <w:jc w:val="left"/>
    </w:pPr>
    <w:rPr>
      <w:rFonts w:ascii="宋体" w:hAnsi="宋体" w:eastAsia="宋体" w:cs="宋体"/>
      <w:kern w:val="0"/>
      <w:szCs w:val="24"/>
    </w:rPr>
  </w:style>
  <w:style w:type="paragraph" w:styleId="26">
    <w:name w:val="toc 8"/>
    <w:basedOn w:val="1"/>
    <w:next w:val="1"/>
    <w:autoRedefine/>
    <w:unhideWhenUsed/>
    <w:qFormat/>
    <w:uiPriority w:val="39"/>
    <w:pPr>
      <w:spacing w:line="240" w:lineRule="auto"/>
      <w:ind w:left="2940" w:leftChars="1400" w:firstLine="0" w:firstLineChars="0"/>
    </w:pPr>
    <w:rPr>
      <w:sz w:val="21"/>
    </w:rPr>
  </w:style>
  <w:style w:type="paragraph" w:styleId="27">
    <w:name w:val="Date"/>
    <w:basedOn w:val="1"/>
    <w:next w:val="1"/>
    <w:link w:val="279"/>
    <w:semiHidden/>
    <w:unhideWhenUsed/>
    <w:qFormat/>
    <w:uiPriority w:val="99"/>
    <w:pPr>
      <w:ind w:left="100" w:leftChars="2500"/>
    </w:pPr>
  </w:style>
  <w:style w:type="paragraph" w:styleId="28">
    <w:name w:val="Balloon Text"/>
    <w:basedOn w:val="1"/>
    <w:link w:val="95"/>
    <w:semiHidden/>
    <w:unhideWhenUsed/>
    <w:qFormat/>
    <w:uiPriority w:val="99"/>
    <w:rPr>
      <w:sz w:val="18"/>
      <w:szCs w:val="18"/>
    </w:rPr>
  </w:style>
  <w:style w:type="paragraph" w:styleId="29">
    <w:name w:val="footer"/>
    <w:basedOn w:val="1"/>
    <w:link w:val="91"/>
    <w:unhideWhenUsed/>
    <w:qFormat/>
    <w:uiPriority w:val="99"/>
    <w:pPr>
      <w:tabs>
        <w:tab w:val="center" w:pos="4153"/>
        <w:tab w:val="right" w:pos="8306"/>
      </w:tabs>
      <w:snapToGrid w:val="0"/>
      <w:jc w:val="left"/>
    </w:pPr>
    <w:rPr>
      <w:sz w:val="18"/>
      <w:szCs w:val="18"/>
    </w:rPr>
  </w:style>
  <w:style w:type="paragraph" w:styleId="30">
    <w:name w:val="header"/>
    <w:basedOn w:val="1"/>
    <w:link w:val="90"/>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unhideWhenUsed/>
    <w:qFormat/>
    <w:uiPriority w:val="39"/>
    <w:pPr>
      <w:tabs>
        <w:tab w:val="right" w:leader="dot" w:pos="9736"/>
      </w:tabs>
      <w:ind w:firstLine="566" w:firstLineChars="202"/>
    </w:pPr>
    <w:rPr>
      <w:rFonts w:ascii="黑体" w:hAnsi="黑体" w:eastAsia="黑体" w:cs="黑体"/>
      <w:sz w:val="28"/>
      <w:szCs w:val="24"/>
    </w:rPr>
  </w:style>
  <w:style w:type="paragraph" w:styleId="32">
    <w:name w:val="toc 4"/>
    <w:basedOn w:val="1"/>
    <w:next w:val="1"/>
    <w:autoRedefine/>
    <w:unhideWhenUsed/>
    <w:qFormat/>
    <w:uiPriority w:val="39"/>
    <w:pPr>
      <w:spacing w:line="240" w:lineRule="auto"/>
      <w:ind w:left="1260" w:leftChars="600" w:firstLine="0" w:firstLineChars="0"/>
    </w:pPr>
    <w:rPr>
      <w:sz w:val="21"/>
    </w:rPr>
  </w:style>
  <w:style w:type="paragraph" w:styleId="33">
    <w:name w:val="List Number 5"/>
    <w:basedOn w:val="1"/>
    <w:qFormat/>
    <w:uiPriority w:val="0"/>
    <w:pPr>
      <w:widowControl/>
      <w:numPr>
        <w:ilvl w:val="0"/>
        <w:numId w:val="9"/>
      </w:numPr>
      <w:spacing w:line="240" w:lineRule="auto"/>
      <w:ind w:firstLine="0" w:firstLineChars="0"/>
      <w:jc w:val="left"/>
    </w:pPr>
    <w:rPr>
      <w:rFonts w:ascii="宋体" w:hAnsi="宋体" w:eastAsia="宋体" w:cs="宋体"/>
      <w:kern w:val="0"/>
      <w:szCs w:val="24"/>
    </w:rPr>
  </w:style>
  <w:style w:type="paragraph" w:styleId="34">
    <w:name w:val="toc 6"/>
    <w:basedOn w:val="1"/>
    <w:next w:val="1"/>
    <w:autoRedefine/>
    <w:unhideWhenUsed/>
    <w:qFormat/>
    <w:uiPriority w:val="39"/>
    <w:pPr>
      <w:spacing w:line="240" w:lineRule="auto"/>
      <w:ind w:left="2100" w:leftChars="1000" w:firstLine="0" w:firstLineChars="0"/>
    </w:pPr>
    <w:rPr>
      <w:sz w:val="21"/>
    </w:rPr>
  </w:style>
  <w:style w:type="paragraph" w:styleId="35">
    <w:name w:val="toc 2"/>
    <w:basedOn w:val="1"/>
    <w:next w:val="1"/>
    <w:autoRedefine/>
    <w:unhideWhenUsed/>
    <w:qFormat/>
    <w:uiPriority w:val="39"/>
    <w:pPr>
      <w:tabs>
        <w:tab w:val="right" w:leader="dot" w:pos="9736"/>
      </w:tabs>
      <w:spacing w:line="400" w:lineRule="exact"/>
      <w:ind w:left="480" w:leftChars="200" w:firstLine="480"/>
    </w:pPr>
  </w:style>
  <w:style w:type="paragraph" w:styleId="36">
    <w:name w:val="toc 9"/>
    <w:basedOn w:val="1"/>
    <w:next w:val="1"/>
    <w:autoRedefine/>
    <w:unhideWhenUsed/>
    <w:qFormat/>
    <w:uiPriority w:val="39"/>
    <w:pPr>
      <w:spacing w:line="240" w:lineRule="auto"/>
      <w:ind w:left="3360" w:leftChars="1600" w:firstLine="0" w:firstLineChars="0"/>
    </w:pPr>
    <w:rPr>
      <w:sz w:val="21"/>
    </w:rPr>
  </w:style>
  <w:style w:type="paragraph" w:styleId="37">
    <w:name w:val="Body Text 2"/>
    <w:link w:val="65"/>
    <w:qFormat/>
    <w:uiPriority w:val="0"/>
    <w:rPr>
      <w:rFonts w:ascii="Arial" w:hAnsi="Arial" w:eastAsia="宋体" w:cs="Arial"/>
      <w:snapToGrid w:val="0"/>
      <w:lang w:val="de-DE" w:eastAsia="de-DE" w:bidi="ar-SA"/>
    </w:rPr>
  </w:style>
  <w:style w:type="paragraph" w:styleId="38">
    <w:name w:val="Normal (Web)"/>
    <w:basedOn w:val="1"/>
    <w:unhideWhenUsed/>
    <w:qFormat/>
    <w:uiPriority w:val="99"/>
    <w:pPr>
      <w:widowControl/>
      <w:spacing w:before="100" w:beforeAutospacing="1" w:after="100" w:afterAutospacing="1"/>
      <w:jc w:val="left"/>
    </w:pPr>
    <w:rPr>
      <w:rFonts w:ascii="宋体" w:hAnsi="宋体" w:eastAsia="宋体" w:cs="宋体"/>
      <w:kern w:val="0"/>
      <w:szCs w:val="24"/>
    </w:rPr>
  </w:style>
  <w:style w:type="paragraph" w:styleId="39">
    <w:name w:val="Title"/>
    <w:basedOn w:val="1"/>
    <w:next w:val="1"/>
    <w:link w:val="92"/>
    <w:qFormat/>
    <w:uiPriority w:val="0"/>
    <w:pPr>
      <w:numPr>
        <w:ilvl w:val="0"/>
        <w:numId w:val="10"/>
      </w:numPr>
      <w:spacing w:line="480" w:lineRule="exact"/>
      <w:jc w:val="left"/>
      <w:outlineLvl w:val="2"/>
    </w:pPr>
    <w:rPr>
      <w:rFonts w:ascii="微软雅黑" w:hAnsi="微软雅黑" w:eastAsia="微软雅黑" w:cstheme="majorBidi"/>
      <w:bCs/>
      <w:sz w:val="22"/>
      <w:szCs w:val="32"/>
    </w:rPr>
  </w:style>
  <w:style w:type="paragraph" w:styleId="40">
    <w:name w:val="Body Text First Indent 2"/>
    <w:basedOn w:val="19"/>
    <w:link w:val="110"/>
    <w:semiHidden/>
    <w:unhideWhenUsed/>
    <w:qFormat/>
    <w:uiPriority w:val="99"/>
    <w:pPr>
      <w:ind w:firstLine="420"/>
    </w:pPr>
  </w:style>
  <w:style w:type="table" w:styleId="42">
    <w:name w:val="Table Grid"/>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qFormat/>
    <w:uiPriority w:val="22"/>
    <w:rPr>
      <w:rFonts w:eastAsia="黑体"/>
      <w:b/>
      <w:bCs/>
      <w:sz w:val="21"/>
    </w:rPr>
  </w:style>
  <w:style w:type="character" w:styleId="45">
    <w:name w:val="page number"/>
    <w:basedOn w:val="43"/>
    <w:qFormat/>
    <w:uiPriority w:val="0"/>
  </w:style>
  <w:style w:type="character" w:styleId="46">
    <w:name w:val="FollowedHyperlink"/>
    <w:basedOn w:val="43"/>
    <w:semiHidden/>
    <w:unhideWhenUsed/>
    <w:qFormat/>
    <w:uiPriority w:val="99"/>
    <w:rPr>
      <w:color w:val="954F72"/>
      <w:u w:val="single"/>
    </w:rPr>
  </w:style>
  <w:style w:type="character" w:styleId="47">
    <w:name w:val="Emphasis"/>
    <w:basedOn w:val="43"/>
    <w:qFormat/>
    <w:uiPriority w:val="0"/>
    <w:rPr>
      <w:i/>
      <w:iCs/>
    </w:rPr>
  </w:style>
  <w:style w:type="character" w:styleId="48">
    <w:name w:val="Hyperlink"/>
    <w:basedOn w:val="43"/>
    <w:qFormat/>
    <w:uiPriority w:val="99"/>
    <w:rPr>
      <w:color w:val="2200CC"/>
      <w:u w:val="single"/>
    </w:rPr>
  </w:style>
  <w:style w:type="character" w:customStyle="1" w:styleId="49">
    <w:name w:val="标题 3 字符"/>
    <w:basedOn w:val="43"/>
    <w:link w:val="4"/>
    <w:qFormat/>
    <w:uiPriority w:val="9"/>
    <w:rPr>
      <w:rFonts w:ascii="黑体" w:hAnsi="黑体" w:eastAsia="黑体" w:cs="黑体"/>
      <w:b/>
      <w:bCs/>
      <w:sz w:val="24"/>
      <w:szCs w:val="24"/>
    </w:rPr>
  </w:style>
  <w:style w:type="character" w:customStyle="1" w:styleId="50">
    <w:name w:val="标题 1 字符"/>
    <w:basedOn w:val="43"/>
    <w:link w:val="2"/>
    <w:qFormat/>
    <w:uiPriority w:val="0"/>
    <w:rPr>
      <w:rFonts w:ascii="微软雅黑" w:hAnsi="微软雅黑" w:eastAsia="黑体"/>
      <w:b/>
      <w:bCs/>
      <w:kern w:val="44"/>
      <w:sz w:val="32"/>
      <w:szCs w:val="44"/>
    </w:rPr>
  </w:style>
  <w:style w:type="character" w:customStyle="1" w:styleId="51">
    <w:name w:val="标题 2 字符"/>
    <w:basedOn w:val="43"/>
    <w:link w:val="3"/>
    <w:qFormat/>
    <w:uiPriority w:val="0"/>
    <w:rPr>
      <w:rFonts w:ascii="黑体" w:hAnsi="黑体" w:eastAsia="黑体" w:cs="黑体"/>
      <w:b/>
      <w:bCs/>
      <w:sz w:val="28"/>
    </w:rPr>
  </w:style>
  <w:style w:type="paragraph" w:customStyle="1" w:styleId="52">
    <w:name w:val="样式1"/>
    <w:basedOn w:val="1"/>
    <w:next w:val="1"/>
    <w:link w:val="53"/>
    <w:autoRedefine/>
    <w:qFormat/>
    <w:uiPriority w:val="0"/>
    <w:pPr>
      <w:keepNext/>
      <w:keepLines/>
      <w:spacing w:line="520" w:lineRule="exact"/>
      <w:ind w:firstLine="480"/>
      <w:outlineLvl w:val="2"/>
    </w:pPr>
    <w:rPr>
      <w:rFonts w:eastAsia="黑体"/>
      <w:b/>
    </w:rPr>
  </w:style>
  <w:style w:type="character" w:customStyle="1" w:styleId="53">
    <w:name w:val="样式1 字符"/>
    <w:basedOn w:val="43"/>
    <w:link w:val="52"/>
    <w:qFormat/>
    <w:uiPriority w:val="0"/>
    <w:rPr>
      <w:rFonts w:eastAsia="黑体"/>
      <w:b/>
      <w:sz w:val="24"/>
      <w:szCs w:val="22"/>
    </w:rPr>
  </w:style>
  <w:style w:type="table" w:customStyle="1" w:styleId="54">
    <w:name w:val="网格型1"/>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2"/>
    <w:basedOn w:val="4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数字编号列项（二级）"/>
    <w:qFormat/>
    <w:uiPriority w:val="0"/>
    <w:pPr>
      <w:jc w:val="both"/>
    </w:pPr>
    <w:rPr>
      <w:rFonts w:ascii="宋体" w:hAnsi="Times New Roman" w:eastAsia="宋体" w:cs="Times New Roman"/>
      <w:sz w:val="21"/>
      <w:lang w:val="en-US" w:eastAsia="zh-CN" w:bidi="ar-SA"/>
    </w:rPr>
  </w:style>
  <w:style w:type="paragraph" w:customStyle="1" w:styleId="57">
    <w:name w:val="字母编号列项（一级）"/>
    <w:qFormat/>
    <w:uiPriority w:val="0"/>
    <w:pPr>
      <w:jc w:val="both"/>
    </w:pPr>
    <w:rPr>
      <w:rFonts w:ascii="宋体" w:hAnsi="Times New Roman" w:eastAsia="宋体" w:cs="Times New Roman"/>
      <w:sz w:val="21"/>
      <w:lang w:val="en-US" w:eastAsia="zh-CN" w:bidi="ar-SA"/>
    </w:rPr>
  </w:style>
  <w:style w:type="paragraph" w:customStyle="1" w:styleId="58">
    <w:name w:val="编号列项（三级）"/>
    <w:qFormat/>
    <w:uiPriority w:val="0"/>
    <w:rPr>
      <w:rFonts w:ascii="宋体" w:hAnsi="Times New Roman" w:eastAsia="宋体" w:cs="Times New Roman"/>
      <w:sz w:val="21"/>
      <w:lang w:val="en-US" w:eastAsia="zh-CN" w:bidi="ar-SA"/>
    </w:rPr>
  </w:style>
  <w:style w:type="table" w:customStyle="1" w:styleId="59">
    <w:name w:val="网格型3"/>
    <w:basedOn w:val="41"/>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
    <w:name w:val="网格型4"/>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5"/>
    <w:basedOn w:val="41"/>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
    <w:name w:val="批注文字 字符1"/>
    <w:basedOn w:val="43"/>
    <w:semiHidden/>
    <w:qFormat/>
    <w:uiPriority w:val="99"/>
  </w:style>
  <w:style w:type="character" w:customStyle="1" w:styleId="63">
    <w:name w:val="纯文本 Char"/>
    <w:basedOn w:val="43"/>
    <w:qFormat/>
    <w:uiPriority w:val="0"/>
    <w:rPr>
      <w:rFonts w:ascii="宋体" w:hAnsi="Courier New" w:eastAsia="宋体" w:cs="Courier New"/>
      <w:szCs w:val="21"/>
    </w:rPr>
  </w:style>
  <w:style w:type="paragraph" w:customStyle="1" w:styleId="64">
    <w:name w:val="überschrift 11"/>
    <w:basedOn w:val="2"/>
    <w:next w:val="37"/>
    <w:qFormat/>
    <w:uiPriority w:val="0"/>
    <w:pPr>
      <w:spacing w:before="360" w:beforeLines="50" w:after="360" w:line="240" w:lineRule="auto"/>
      <w:ind w:left="432" w:right="-425" w:hanging="432"/>
    </w:pPr>
    <w:rPr>
      <w:rFonts w:ascii="Arial" w:hAnsi="Arial" w:eastAsia="宋体" w:cs="Arial"/>
      <w:bCs w:val="0"/>
      <w:kern w:val="28"/>
      <w:sz w:val="22"/>
      <w:szCs w:val="28"/>
      <w:lang w:val="en-GB" w:eastAsia="de-DE"/>
    </w:rPr>
  </w:style>
  <w:style w:type="character" w:customStyle="1" w:styleId="65">
    <w:name w:val="正文文本 2 字符"/>
    <w:basedOn w:val="43"/>
    <w:link w:val="37"/>
    <w:qFormat/>
    <w:uiPriority w:val="0"/>
    <w:rPr>
      <w:rFonts w:ascii="Arial" w:hAnsi="Arial" w:eastAsia="宋体" w:cs="Arial"/>
      <w:snapToGrid w:val="0"/>
      <w:kern w:val="0"/>
      <w:sz w:val="20"/>
      <w:szCs w:val="20"/>
      <w:lang w:val="de-DE" w:eastAsia="de-DE"/>
    </w:rPr>
  </w:style>
  <w:style w:type="paragraph" w:customStyle="1" w:styleId="66">
    <w:name w:val="Textkörper 2 fett"/>
    <w:basedOn w:val="37"/>
    <w:qFormat/>
    <w:uiPriority w:val="0"/>
    <w:rPr>
      <w:b/>
      <w:sz w:val="22"/>
    </w:rPr>
  </w:style>
  <w:style w:type="character" w:customStyle="1" w:styleId="67">
    <w:name w:val="std nobr"/>
    <w:basedOn w:val="43"/>
    <w:qFormat/>
    <w:uiPriority w:val="0"/>
  </w:style>
  <w:style w:type="paragraph" w:customStyle="1" w:styleId="68">
    <w:name w:val="Char Char Char Char"/>
    <w:basedOn w:val="1"/>
    <w:qFormat/>
    <w:uiPriority w:val="0"/>
    <w:rPr>
      <w:rFonts w:eastAsia="宋体" w:cs="Times New Roman"/>
      <w:szCs w:val="24"/>
    </w:rPr>
  </w:style>
  <w:style w:type="character" w:customStyle="1" w:styleId="69">
    <w:name w:val="font01"/>
    <w:basedOn w:val="43"/>
    <w:qFormat/>
    <w:uiPriority w:val="0"/>
    <w:rPr>
      <w:rFonts w:hint="eastAsia" w:ascii="宋体" w:hAnsi="宋体" w:eastAsia="宋体" w:cs="宋体"/>
      <w:color w:val="000000"/>
      <w:sz w:val="22"/>
      <w:szCs w:val="22"/>
      <w:u w:val="none"/>
    </w:rPr>
  </w:style>
  <w:style w:type="character" w:customStyle="1" w:styleId="70">
    <w:name w:val="font11"/>
    <w:basedOn w:val="43"/>
    <w:qFormat/>
    <w:uiPriority w:val="0"/>
    <w:rPr>
      <w:rFonts w:hint="default" w:ascii="Arial" w:hAnsi="Arial" w:cs="Arial"/>
      <w:color w:val="000000"/>
      <w:sz w:val="22"/>
      <w:szCs w:val="22"/>
      <w:u w:val="none"/>
    </w:rPr>
  </w:style>
  <w:style w:type="character" w:customStyle="1" w:styleId="71">
    <w:name w:val="font31"/>
    <w:basedOn w:val="43"/>
    <w:qFormat/>
    <w:uiPriority w:val="0"/>
    <w:rPr>
      <w:rFonts w:hint="eastAsia" w:ascii="宋体" w:hAnsi="宋体" w:eastAsia="宋体" w:cs="宋体"/>
      <w:color w:val="000000"/>
      <w:sz w:val="20"/>
      <w:szCs w:val="20"/>
      <w:u w:val="none"/>
    </w:rPr>
  </w:style>
  <w:style w:type="character" w:customStyle="1" w:styleId="72">
    <w:name w:val="font71"/>
    <w:basedOn w:val="43"/>
    <w:qFormat/>
    <w:uiPriority w:val="0"/>
    <w:rPr>
      <w:rFonts w:hint="default" w:ascii="Arial" w:hAnsi="Arial" w:cs="Arial"/>
      <w:color w:val="000000"/>
      <w:sz w:val="20"/>
      <w:szCs w:val="20"/>
      <w:u w:val="none"/>
    </w:rPr>
  </w:style>
  <w:style w:type="character" w:customStyle="1" w:styleId="73">
    <w:name w:val="font81"/>
    <w:basedOn w:val="43"/>
    <w:qFormat/>
    <w:uiPriority w:val="0"/>
    <w:rPr>
      <w:rFonts w:hint="eastAsia" w:ascii="宋体" w:hAnsi="宋体" w:eastAsia="宋体" w:cs="宋体"/>
      <w:color w:val="FF0000"/>
      <w:sz w:val="20"/>
      <w:szCs w:val="20"/>
      <w:u w:val="none"/>
    </w:rPr>
  </w:style>
  <w:style w:type="character" w:customStyle="1" w:styleId="74">
    <w:name w:val="font41"/>
    <w:basedOn w:val="43"/>
    <w:qFormat/>
    <w:uiPriority w:val="0"/>
    <w:rPr>
      <w:rFonts w:hint="default" w:ascii="Arial" w:hAnsi="Arial" w:cs="Arial"/>
      <w:color w:val="FF0000"/>
      <w:sz w:val="20"/>
      <w:szCs w:val="20"/>
      <w:u w:val="none"/>
    </w:rPr>
  </w:style>
  <w:style w:type="character" w:customStyle="1" w:styleId="75">
    <w:name w:val="font21"/>
    <w:basedOn w:val="43"/>
    <w:qFormat/>
    <w:uiPriority w:val="0"/>
    <w:rPr>
      <w:rFonts w:hint="eastAsia" w:ascii="宋体" w:hAnsi="宋体" w:eastAsia="宋体" w:cs="宋体"/>
      <w:color w:val="FF0000"/>
      <w:sz w:val="20"/>
      <w:szCs w:val="20"/>
      <w:u w:val="none"/>
    </w:rPr>
  </w:style>
  <w:style w:type="character" w:customStyle="1" w:styleId="76">
    <w:name w:val="font51"/>
    <w:basedOn w:val="43"/>
    <w:qFormat/>
    <w:uiPriority w:val="0"/>
    <w:rPr>
      <w:rFonts w:hint="eastAsia" w:ascii="宋体" w:hAnsi="宋体" w:eastAsia="宋体" w:cs="宋体"/>
      <w:color w:val="000000"/>
      <w:sz w:val="20"/>
      <w:szCs w:val="20"/>
      <w:u w:val="none"/>
    </w:rPr>
  </w:style>
  <w:style w:type="paragraph" w:customStyle="1" w:styleId="77">
    <w:name w:val="列出段落1"/>
    <w:basedOn w:val="1"/>
    <w:qFormat/>
    <w:uiPriority w:val="34"/>
    <w:pPr>
      <w:ind w:firstLine="420"/>
    </w:pPr>
    <w:rPr>
      <w:rFonts w:ascii="Calibri" w:hAnsi="Calibri"/>
    </w:rPr>
  </w:style>
  <w:style w:type="paragraph" w:customStyle="1" w:styleId="78">
    <w:name w:val="Listenabsatz2"/>
    <w:basedOn w:val="1"/>
    <w:qFormat/>
    <w:uiPriority w:val="0"/>
    <w:pPr>
      <w:ind w:firstLine="420"/>
    </w:pPr>
    <w:rPr>
      <w:rFonts w:eastAsia="宋体"/>
      <w:sz w:val="28"/>
    </w:rPr>
  </w:style>
  <w:style w:type="paragraph" w:customStyle="1" w:styleId="79">
    <w:name w:val="题号"/>
    <w:basedOn w:val="1"/>
    <w:next w:val="1"/>
    <w:link w:val="80"/>
    <w:autoRedefine/>
    <w:qFormat/>
    <w:uiPriority w:val="0"/>
    <w:pPr>
      <w:keepLines/>
      <w:spacing w:after="156" w:afterLines="50" w:line="240" w:lineRule="auto"/>
      <w:ind w:firstLine="0" w:firstLineChars="0"/>
      <w:jc w:val="center"/>
    </w:pPr>
    <w:rPr>
      <w:rFonts w:eastAsia="黑体"/>
      <w:b/>
    </w:rPr>
  </w:style>
  <w:style w:type="character" w:customStyle="1" w:styleId="80">
    <w:name w:val="题号 字符"/>
    <w:basedOn w:val="81"/>
    <w:link w:val="79"/>
    <w:qFormat/>
    <w:uiPriority w:val="0"/>
    <w:rPr>
      <w:rFonts w:ascii="Times New Roman" w:hAnsi="Times New Roman" w:eastAsia="黑体"/>
      <w:b/>
      <w:sz w:val="24"/>
      <w:szCs w:val="22"/>
    </w:rPr>
  </w:style>
  <w:style w:type="character" w:customStyle="1" w:styleId="81">
    <w:name w:val="无间隔 字符"/>
    <w:basedOn w:val="43"/>
    <w:link w:val="82"/>
    <w:qFormat/>
    <w:uiPriority w:val="1"/>
    <w:rPr>
      <w:rFonts w:ascii="Times New Roman" w:hAnsi="Times New Roman" w:eastAsia="宋体"/>
      <w:sz w:val="24"/>
      <w:szCs w:val="22"/>
    </w:rPr>
  </w:style>
  <w:style w:type="paragraph" w:styleId="82">
    <w:name w:val="No Spacing"/>
    <w:link w:val="81"/>
    <w:qFormat/>
    <w:uiPriority w:val="1"/>
    <w:pPr>
      <w:widowControl w:val="0"/>
      <w:jc w:val="center"/>
    </w:pPr>
    <w:rPr>
      <w:rFonts w:ascii="Times New Roman" w:hAnsi="Times New Roman" w:eastAsia="宋体" w:cstheme="minorBidi"/>
      <w:kern w:val="2"/>
      <w:sz w:val="24"/>
      <w:szCs w:val="22"/>
      <w:lang w:val="en-US" w:eastAsia="zh-CN" w:bidi="ar-SA"/>
    </w:rPr>
  </w:style>
  <w:style w:type="character" w:customStyle="1" w:styleId="83">
    <w:name w:val="标题 4 字符"/>
    <w:basedOn w:val="43"/>
    <w:link w:val="5"/>
    <w:qFormat/>
    <w:uiPriority w:val="0"/>
    <w:rPr>
      <w:rFonts w:asciiTheme="majorHAnsi" w:hAnsiTheme="majorHAnsi" w:eastAsiaTheme="majorEastAsia" w:cstheme="majorBidi"/>
      <w:b/>
      <w:bCs/>
      <w:sz w:val="28"/>
      <w:szCs w:val="28"/>
    </w:rPr>
  </w:style>
  <w:style w:type="character" w:customStyle="1" w:styleId="84">
    <w:name w:val="标题 5 字符"/>
    <w:basedOn w:val="43"/>
    <w:link w:val="6"/>
    <w:qFormat/>
    <w:uiPriority w:val="0"/>
    <w:rPr>
      <w:rFonts w:ascii="Times New Roman" w:hAnsi="Times New Roman" w:eastAsia="宋体(中文正文)"/>
      <w:b/>
      <w:bCs/>
      <w:sz w:val="28"/>
      <w:szCs w:val="28"/>
    </w:rPr>
  </w:style>
  <w:style w:type="character" w:customStyle="1" w:styleId="85">
    <w:name w:val="标题 6 字符"/>
    <w:basedOn w:val="43"/>
    <w:link w:val="7"/>
    <w:qFormat/>
    <w:uiPriority w:val="0"/>
    <w:rPr>
      <w:rFonts w:asciiTheme="majorHAnsi" w:hAnsiTheme="majorHAnsi" w:eastAsiaTheme="majorEastAsia" w:cstheme="majorBidi"/>
      <w:b/>
      <w:bCs/>
      <w:sz w:val="24"/>
      <w:szCs w:val="24"/>
    </w:rPr>
  </w:style>
  <w:style w:type="character" w:customStyle="1" w:styleId="86">
    <w:name w:val="标题 7 字符"/>
    <w:basedOn w:val="43"/>
    <w:link w:val="8"/>
    <w:qFormat/>
    <w:uiPriority w:val="0"/>
    <w:rPr>
      <w:rFonts w:ascii="Times New Roman" w:hAnsi="Times New Roman" w:eastAsia="宋体(中文正文)"/>
      <w:b/>
      <w:bCs/>
      <w:sz w:val="24"/>
      <w:szCs w:val="24"/>
    </w:rPr>
  </w:style>
  <w:style w:type="character" w:customStyle="1" w:styleId="87">
    <w:name w:val="标题 8 字符"/>
    <w:basedOn w:val="43"/>
    <w:link w:val="9"/>
    <w:qFormat/>
    <w:uiPriority w:val="0"/>
    <w:rPr>
      <w:rFonts w:asciiTheme="majorHAnsi" w:hAnsiTheme="majorHAnsi" w:eastAsiaTheme="majorEastAsia" w:cstheme="majorBidi"/>
      <w:sz w:val="24"/>
      <w:szCs w:val="24"/>
    </w:rPr>
  </w:style>
  <w:style w:type="character" w:customStyle="1" w:styleId="88">
    <w:name w:val="标题 9 字符"/>
    <w:basedOn w:val="43"/>
    <w:link w:val="10"/>
    <w:qFormat/>
    <w:uiPriority w:val="0"/>
    <w:rPr>
      <w:rFonts w:asciiTheme="majorHAnsi" w:hAnsiTheme="majorHAnsi" w:eastAsiaTheme="majorEastAsia" w:cstheme="majorBidi"/>
      <w:sz w:val="24"/>
    </w:rPr>
  </w:style>
  <w:style w:type="character" w:customStyle="1" w:styleId="89">
    <w:name w:val="批注文字 字符"/>
    <w:basedOn w:val="43"/>
    <w:link w:val="17"/>
    <w:semiHidden/>
    <w:qFormat/>
    <w:uiPriority w:val="99"/>
    <w:rPr>
      <w:rFonts w:ascii="Times New Roman" w:hAnsi="Times New Roman" w:eastAsia="宋体" w:cs="Times New Roman"/>
      <w:sz w:val="24"/>
      <w:szCs w:val="20"/>
    </w:rPr>
  </w:style>
  <w:style w:type="character" w:customStyle="1" w:styleId="90">
    <w:name w:val="页眉 字符"/>
    <w:basedOn w:val="43"/>
    <w:link w:val="30"/>
    <w:qFormat/>
    <w:uiPriority w:val="99"/>
    <w:rPr>
      <w:sz w:val="18"/>
      <w:szCs w:val="18"/>
    </w:rPr>
  </w:style>
  <w:style w:type="character" w:customStyle="1" w:styleId="91">
    <w:name w:val="页脚 字符"/>
    <w:basedOn w:val="43"/>
    <w:link w:val="29"/>
    <w:qFormat/>
    <w:uiPriority w:val="99"/>
    <w:rPr>
      <w:sz w:val="18"/>
      <w:szCs w:val="18"/>
    </w:rPr>
  </w:style>
  <w:style w:type="character" w:customStyle="1" w:styleId="92">
    <w:name w:val="标题 字符"/>
    <w:basedOn w:val="43"/>
    <w:link w:val="39"/>
    <w:qFormat/>
    <w:uiPriority w:val="0"/>
    <w:rPr>
      <w:rFonts w:ascii="微软雅黑" w:hAnsi="微软雅黑" w:eastAsia="微软雅黑" w:cstheme="majorBidi"/>
      <w:bCs/>
      <w:sz w:val="22"/>
      <w:szCs w:val="32"/>
    </w:rPr>
  </w:style>
  <w:style w:type="character" w:customStyle="1" w:styleId="93">
    <w:name w:val="正文文本 字符"/>
    <w:basedOn w:val="43"/>
    <w:link w:val="18"/>
    <w:qFormat/>
    <w:uiPriority w:val="99"/>
    <w:rPr>
      <w:rFonts w:ascii="Times New Roman" w:hAnsi="Times New Roman" w:eastAsia="宋体" w:cs="Times New Roman"/>
      <w:sz w:val="24"/>
      <w:szCs w:val="24"/>
    </w:rPr>
  </w:style>
  <w:style w:type="character" w:customStyle="1" w:styleId="94">
    <w:name w:val="纯文本 字符"/>
    <w:basedOn w:val="43"/>
    <w:link w:val="23"/>
    <w:qFormat/>
    <w:uiPriority w:val="0"/>
    <w:rPr>
      <w:rFonts w:ascii="宋体" w:hAnsi="Courier New" w:eastAsia="宋体"/>
      <w:sz w:val="24"/>
      <w:szCs w:val="22"/>
    </w:rPr>
  </w:style>
  <w:style w:type="character" w:customStyle="1" w:styleId="95">
    <w:name w:val="批注框文本 字符"/>
    <w:basedOn w:val="43"/>
    <w:link w:val="28"/>
    <w:semiHidden/>
    <w:qFormat/>
    <w:uiPriority w:val="99"/>
    <w:rPr>
      <w:sz w:val="18"/>
      <w:szCs w:val="18"/>
    </w:rPr>
  </w:style>
  <w:style w:type="paragraph" w:styleId="96">
    <w:name w:val="List Paragraph"/>
    <w:basedOn w:val="1"/>
    <w:link w:val="281"/>
    <w:qFormat/>
    <w:uiPriority w:val="99"/>
    <w:pPr>
      <w:ind w:firstLine="420"/>
    </w:pPr>
  </w:style>
  <w:style w:type="paragraph" w:customStyle="1" w:styleId="97">
    <w:name w:val="TOC 标题1"/>
    <w:basedOn w:val="2"/>
    <w:next w:val="1"/>
    <w:unhideWhenUsed/>
    <w:qFormat/>
    <w:uiPriority w:val="39"/>
    <w:pPr>
      <w:widowControl/>
      <w:spacing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character" w:customStyle="1" w:styleId="98">
    <w:name w:val="未处理的提及1"/>
    <w:basedOn w:val="43"/>
    <w:semiHidden/>
    <w:unhideWhenUsed/>
    <w:qFormat/>
    <w:uiPriority w:val="99"/>
    <w:rPr>
      <w:color w:val="605E5C"/>
      <w:shd w:val="clear" w:color="auto" w:fill="E1DFDD"/>
    </w:rPr>
  </w:style>
  <w:style w:type="character" w:customStyle="1" w:styleId="99">
    <w:name w:val="书籍标题1"/>
    <w:basedOn w:val="93"/>
    <w:qFormat/>
    <w:uiPriority w:val="33"/>
    <w:rPr>
      <w:rFonts w:ascii="Times New Roman" w:hAnsi="Times New Roman" w:eastAsia="华文中宋" w:cs="Times New Roman"/>
      <w:bCs/>
      <w:iCs/>
      <w:spacing w:val="5"/>
      <w:sz w:val="52"/>
      <w:szCs w:val="24"/>
    </w:rPr>
  </w:style>
  <w:style w:type="paragraph" w:customStyle="1" w:styleId="100">
    <w:name w:val="文章副标题"/>
    <w:basedOn w:val="1"/>
    <w:link w:val="102"/>
    <w:qFormat/>
    <w:uiPriority w:val="0"/>
    <w:pPr>
      <w:spacing w:before="100" w:beforeLines="100" w:line="1160" w:lineRule="exact"/>
      <w:ind w:firstLine="0" w:firstLineChars="0"/>
      <w:jc w:val="center"/>
    </w:pPr>
    <w:rPr>
      <w:rFonts w:eastAsia="华文中宋"/>
      <w:sz w:val="52"/>
    </w:rPr>
  </w:style>
  <w:style w:type="paragraph" w:customStyle="1" w:styleId="101">
    <w:name w:val="文章标题"/>
    <w:basedOn w:val="100"/>
    <w:link w:val="104"/>
    <w:qFormat/>
    <w:uiPriority w:val="0"/>
    <w:pPr>
      <w:spacing w:before="0" w:beforeLines="0"/>
    </w:pPr>
    <w:rPr>
      <w:w w:val="70"/>
      <w:sz w:val="72"/>
    </w:rPr>
  </w:style>
  <w:style w:type="character" w:customStyle="1" w:styleId="102">
    <w:name w:val="文章副标题 字符"/>
    <w:basedOn w:val="43"/>
    <w:link w:val="100"/>
    <w:qFormat/>
    <w:uiPriority w:val="0"/>
    <w:rPr>
      <w:rFonts w:eastAsia="华文中宋"/>
      <w:sz w:val="52"/>
      <w:szCs w:val="22"/>
    </w:rPr>
  </w:style>
  <w:style w:type="paragraph" w:customStyle="1" w:styleId="103">
    <w:name w:val="文章落款"/>
    <w:basedOn w:val="101"/>
    <w:link w:val="106"/>
    <w:qFormat/>
    <w:uiPriority w:val="0"/>
    <w:pPr>
      <w:spacing w:line="520" w:lineRule="exact"/>
    </w:pPr>
    <w:rPr>
      <w:sz w:val="36"/>
    </w:rPr>
  </w:style>
  <w:style w:type="character" w:customStyle="1" w:styleId="104">
    <w:name w:val="文章标题 字符"/>
    <w:basedOn w:val="102"/>
    <w:link w:val="101"/>
    <w:qFormat/>
    <w:uiPriority w:val="0"/>
    <w:rPr>
      <w:rFonts w:eastAsia="华文中宋"/>
      <w:w w:val="70"/>
      <w:sz w:val="72"/>
      <w:szCs w:val="22"/>
    </w:rPr>
  </w:style>
  <w:style w:type="paragraph" w:customStyle="1" w:styleId="105">
    <w:name w:val="落款"/>
    <w:basedOn w:val="1"/>
    <w:qFormat/>
    <w:uiPriority w:val="0"/>
    <w:pPr>
      <w:spacing w:line="520" w:lineRule="exact"/>
      <w:ind w:firstLine="0" w:firstLineChars="0"/>
      <w:jc w:val="center"/>
    </w:pPr>
    <w:rPr>
      <w:rFonts w:ascii="华文中宋" w:hAnsi="华文中宋" w:eastAsia="华文中宋" w:cs="Times New Roman"/>
      <w:spacing w:val="40"/>
      <w:w w:val="80"/>
      <w:sz w:val="36"/>
      <w:szCs w:val="36"/>
    </w:rPr>
  </w:style>
  <w:style w:type="character" w:customStyle="1" w:styleId="106">
    <w:name w:val="文章落款 字符"/>
    <w:basedOn w:val="104"/>
    <w:link w:val="103"/>
    <w:qFormat/>
    <w:uiPriority w:val="0"/>
    <w:rPr>
      <w:rFonts w:eastAsia="华文中宋"/>
      <w:w w:val="70"/>
      <w:sz w:val="36"/>
      <w:szCs w:val="22"/>
    </w:rPr>
  </w:style>
  <w:style w:type="paragraph" w:customStyle="1" w:styleId="107">
    <w:name w:val="文章主标题"/>
    <w:basedOn w:val="23"/>
    <w:link w:val="108"/>
    <w:qFormat/>
    <w:uiPriority w:val="0"/>
    <w:pPr>
      <w:spacing w:line="1160" w:lineRule="exact"/>
      <w:ind w:firstLine="0" w:firstLineChars="0"/>
      <w:jc w:val="center"/>
    </w:pPr>
    <w:rPr>
      <w:rFonts w:ascii="Times New Roman" w:hAnsi="Times New Roman" w:eastAsia="华文中宋" w:cs="Times New Roman"/>
      <w:w w:val="70"/>
      <w:sz w:val="72"/>
      <w:szCs w:val="52"/>
    </w:rPr>
  </w:style>
  <w:style w:type="character" w:customStyle="1" w:styleId="108">
    <w:name w:val="文章主标题 字符"/>
    <w:basedOn w:val="94"/>
    <w:link w:val="107"/>
    <w:qFormat/>
    <w:uiPriority w:val="0"/>
    <w:rPr>
      <w:rFonts w:ascii="Times New Roman" w:hAnsi="Times New Roman" w:eastAsia="华文中宋" w:cs="Times New Roman"/>
      <w:w w:val="70"/>
      <w:sz w:val="72"/>
      <w:szCs w:val="52"/>
    </w:rPr>
  </w:style>
  <w:style w:type="character" w:customStyle="1" w:styleId="109">
    <w:name w:val="正文文本缩进 字符"/>
    <w:basedOn w:val="43"/>
    <w:link w:val="19"/>
    <w:semiHidden/>
    <w:qFormat/>
    <w:uiPriority w:val="99"/>
    <w:rPr>
      <w:rFonts w:ascii="Times New Roman" w:hAnsi="Times New Roman" w:eastAsia="宋体(中文正文)"/>
      <w:sz w:val="24"/>
      <w:szCs w:val="22"/>
    </w:rPr>
  </w:style>
  <w:style w:type="character" w:customStyle="1" w:styleId="110">
    <w:name w:val="正文文本首行缩进 2 字符"/>
    <w:basedOn w:val="109"/>
    <w:link w:val="40"/>
    <w:semiHidden/>
    <w:qFormat/>
    <w:uiPriority w:val="99"/>
    <w:rPr>
      <w:rFonts w:ascii="Times New Roman" w:hAnsi="Times New Roman" w:eastAsia="宋体(中文正文)"/>
      <w:sz w:val="24"/>
      <w:szCs w:val="22"/>
    </w:rPr>
  </w:style>
  <w:style w:type="character" w:customStyle="1" w:styleId="111">
    <w:name w:val="NormalCharacter"/>
    <w:qFormat/>
    <w:uiPriority w:val="0"/>
  </w:style>
  <w:style w:type="paragraph" w:customStyle="1" w:styleId="112">
    <w:name w:val="Default"/>
    <w:qFormat/>
    <w:uiPriority w:val="0"/>
    <w:pPr>
      <w:widowControl w:val="0"/>
      <w:autoSpaceDE w:val="0"/>
      <w:autoSpaceDN w:val="0"/>
      <w:adjustRightInd w:val="0"/>
    </w:pPr>
    <w:rPr>
      <w:rFonts w:ascii="微软雅黑" w:eastAsia="微软雅黑" w:cs="微软雅黑" w:hAnsiTheme="minorHAnsi"/>
      <w:color w:val="000000"/>
      <w:sz w:val="24"/>
      <w:szCs w:val="24"/>
      <w:lang w:val="en-US" w:eastAsia="zh-CN" w:bidi="ar-SA"/>
    </w:rPr>
  </w:style>
  <w:style w:type="paragraph" w:customStyle="1" w:styleId="113">
    <w:name w:val="正文1"/>
    <w:qFormat/>
    <w:uiPriority w:val="0"/>
    <w:pPr>
      <w:widowControl w:val="0"/>
      <w:jc w:val="both"/>
    </w:pPr>
    <w:rPr>
      <w:rFonts w:ascii="宋体" w:hAnsi="宋体" w:eastAsia="宋体" w:cs="宋体"/>
      <w:kern w:val="2"/>
      <w:sz w:val="21"/>
      <w:szCs w:val="22"/>
      <w:lang w:val="en-US" w:eastAsia="zh-CN" w:bidi="ar-SA"/>
    </w:rPr>
  </w:style>
  <w:style w:type="paragraph" w:customStyle="1" w:styleId="114">
    <w:name w:val="初设工程名"/>
    <w:qFormat/>
    <w:uiPriority w:val="0"/>
    <w:pPr>
      <w:widowControl w:val="0"/>
      <w:jc w:val="center"/>
    </w:pPr>
    <w:rPr>
      <w:rFonts w:ascii="宋体" w:hAnsi="宋体" w:eastAsia="宋体" w:cs="宋体"/>
      <w:b/>
      <w:color w:val="000000"/>
      <w:kern w:val="2"/>
      <w:sz w:val="44"/>
      <w:szCs w:val="21"/>
      <w:lang w:val="en-US" w:eastAsia="zh-CN" w:bidi="ar-SA"/>
    </w:rPr>
  </w:style>
  <w:style w:type="character" w:customStyle="1" w:styleId="115">
    <w:name w:val="正文文本 字符1"/>
    <w:qFormat/>
    <w:uiPriority w:val="0"/>
    <w:rPr>
      <w:rFonts w:ascii="宋体" w:hAnsi="宋体" w:eastAsia="宋体" w:cs="宋体"/>
      <w:sz w:val="24"/>
      <w:szCs w:val="20"/>
    </w:rPr>
  </w:style>
  <w:style w:type="paragraph" w:customStyle="1" w:styleId="116">
    <w:name w:val="正文_0"/>
    <w:qFormat/>
    <w:uiPriority w:val="0"/>
    <w:pPr>
      <w:widowControl w:val="0"/>
      <w:jc w:val="both"/>
    </w:pPr>
    <w:rPr>
      <w:rFonts w:ascii="宋体" w:hAnsi="宋体" w:eastAsia="宋体" w:cs="宋体"/>
      <w:kern w:val="2"/>
      <w:sz w:val="21"/>
      <w:szCs w:val="22"/>
      <w:lang w:val="en-US" w:eastAsia="zh-CN" w:bidi="ar-SA"/>
    </w:rPr>
  </w:style>
  <w:style w:type="character" w:customStyle="1" w:styleId="117">
    <w:name w:val="标题 1 字符1"/>
    <w:qFormat/>
    <w:uiPriority w:val="0"/>
    <w:rPr>
      <w:rFonts w:ascii="宋体" w:hAnsi="宋体" w:eastAsia="宋体" w:cs="宋体"/>
      <w:b/>
      <w:bCs/>
      <w:kern w:val="44"/>
      <w:sz w:val="44"/>
      <w:szCs w:val="44"/>
    </w:rPr>
  </w:style>
  <w:style w:type="character" w:customStyle="1" w:styleId="118">
    <w:name w:val="标题 4 字符1"/>
    <w:qFormat/>
    <w:uiPriority w:val="0"/>
    <w:rPr>
      <w:rFonts w:ascii="宋体" w:hAnsi="宋体" w:eastAsia="宋体" w:cs="宋体"/>
      <w:b/>
      <w:sz w:val="28"/>
      <w:szCs w:val="20"/>
      <w:lang w:val="zh-CN" w:eastAsia="zh-CN"/>
    </w:rPr>
  </w:style>
  <w:style w:type="character" w:customStyle="1" w:styleId="119">
    <w:name w:val="标题 5 字符1"/>
    <w:qFormat/>
    <w:uiPriority w:val="0"/>
    <w:rPr>
      <w:rFonts w:ascii="宋体" w:hAnsi="宋体" w:eastAsia="宋体" w:cs="宋体"/>
      <w:b/>
      <w:sz w:val="28"/>
      <w:szCs w:val="20"/>
      <w:lang w:val="zh-CN" w:eastAsia="zh-CN"/>
    </w:rPr>
  </w:style>
  <w:style w:type="character" w:customStyle="1" w:styleId="120">
    <w:name w:val="标题 6 字符1"/>
    <w:qFormat/>
    <w:uiPriority w:val="0"/>
    <w:rPr>
      <w:rFonts w:ascii="宋体" w:hAnsi="宋体" w:eastAsia="宋体" w:cs="宋体"/>
      <w:b/>
      <w:sz w:val="24"/>
      <w:szCs w:val="20"/>
    </w:rPr>
  </w:style>
  <w:style w:type="character" w:customStyle="1" w:styleId="121">
    <w:name w:val="标题 7 字符1"/>
    <w:qFormat/>
    <w:uiPriority w:val="0"/>
    <w:rPr>
      <w:rFonts w:ascii="Wingdings" w:hAnsi="Wingdings" w:eastAsia="宋体" w:cs="Wingdings"/>
      <w:b/>
      <w:sz w:val="24"/>
      <w:szCs w:val="20"/>
    </w:rPr>
  </w:style>
  <w:style w:type="character" w:customStyle="1" w:styleId="122">
    <w:name w:val="标题 8 字符1"/>
    <w:qFormat/>
    <w:uiPriority w:val="0"/>
    <w:rPr>
      <w:rFonts w:ascii="Cambria Math" w:hAnsi="Cambria Math" w:eastAsia="ZWAdobeF" w:cs="Wingdings"/>
      <w:sz w:val="24"/>
      <w:szCs w:val="20"/>
    </w:rPr>
  </w:style>
  <w:style w:type="character" w:customStyle="1" w:styleId="123">
    <w:name w:val="标题 9 字符1"/>
    <w:qFormat/>
    <w:uiPriority w:val="0"/>
    <w:rPr>
      <w:rFonts w:ascii="Cambria Math" w:hAnsi="Cambria Math" w:eastAsia="ZWAdobeF" w:cs="Wingdings"/>
      <w:szCs w:val="20"/>
    </w:rPr>
  </w:style>
  <w:style w:type="character" w:customStyle="1" w:styleId="124">
    <w:name w:val="标题 2 字符1"/>
    <w:qFormat/>
    <w:uiPriority w:val="0"/>
    <w:rPr>
      <w:rFonts w:ascii="宋体" w:hAnsi="宋体" w:eastAsia="宋体" w:cs="宋体"/>
      <w:b/>
      <w:sz w:val="32"/>
      <w:szCs w:val="20"/>
      <w:lang w:val="zh-CN" w:eastAsia="zh-CN"/>
    </w:rPr>
  </w:style>
  <w:style w:type="character" w:customStyle="1" w:styleId="125">
    <w:name w:val="列出段落 Char"/>
    <w:qFormat/>
    <w:locked/>
    <w:uiPriority w:val="0"/>
    <w:rPr>
      <w:rFonts w:ascii="宋体" w:hAnsi="宋体" w:eastAsia="宋体" w:cs="宋体"/>
      <w:kern w:val="0"/>
      <w:sz w:val="24"/>
      <w:szCs w:val="24"/>
    </w:rPr>
  </w:style>
  <w:style w:type="paragraph" w:customStyle="1" w:styleId="126">
    <w:name w:val="标题 11"/>
    <w:basedOn w:val="127"/>
    <w:next w:val="127"/>
    <w:qFormat/>
    <w:uiPriority w:val="0"/>
    <w:pPr>
      <w:keepNext/>
      <w:spacing w:before="240" w:after="60"/>
      <w:outlineLvl w:val="0"/>
    </w:pPr>
    <w:rPr>
      <w:b/>
      <w:bCs/>
      <w:kern w:val="32"/>
      <w:sz w:val="32"/>
      <w:szCs w:val="32"/>
    </w:rPr>
  </w:style>
  <w:style w:type="paragraph" w:customStyle="1" w:styleId="127">
    <w:name w:val="Normal_0"/>
    <w:qFormat/>
    <w:uiPriority w:val="0"/>
    <w:rPr>
      <w:rFonts w:ascii="宋体" w:hAnsi="宋体" w:eastAsia="宋体" w:cs="宋体"/>
      <w:sz w:val="24"/>
      <w:szCs w:val="24"/>
      <w:lang w:val="en-US" w:eastAsia="zh-CN" w:bidi="ar-SA"/>
    </w:rPr>
  </w:style>
  <w:style w:type="paragraph" w:customStyle="1" w:styleId="128">
    <w:name w:val="Heading 1_0"/>
    <w:basedOn w:val="129"/>
    <w:next w:val="129"/>
    <w:qFormat/>
    <w:uiPriority w:val="9"/>
    <w:pPr>
      <w:keepNext/>
      <w:keepLines/>
      <w:spacing w:before="480"/>
      <w:outlineLvl w:val="0"/>
    </w:pPr>
    <w:rPr>
      <w:b/>
      <w:bCs/>
      <w:color w:val="2F75B5"/>
      <w:sz w:val="28"/>
      <w:szCs w:val="28"/>
    </w:rPr>
  </w:style>
  <w:style w:type="paragraph" w:customStyle="1" w:styleId="129">
    <w:name w:val="Normal_1"/>
    <w:qFormat/>
    <w:uiPriority w:val="0"/>
    <w:pPr>
      <w:widowControl w:val="0"/>
      <w:jc w:val="both"/>
    </w:pPr>
    <w:rPr>
      <w:rFonts w:ascii="宋体" w:hAnsi="宋体" w:eastAsia="宋体" w:cs="宋体"/>
      <w:lang w:val="en-US" w:eastAsia="zh-CN" w:bidi="ar-SA"/>
    </w:rPr>
  </w:style>
  <w:style w:type="paragraph" w:customStyle="1" w:styleId="130">
    <w:name w:val="标题 21"/>
    <w:basedOn w:val="129"/>
    <w:next w:val="131"/>
    <w:link w:val="144"/>
    <w:qFormat/>
    <w:uiPriority w:val="0"/>
    <w:pPr>
      <w:keepNext/>
      <w:keepLines/>
      <w:tabs>
        <w:tab w:val="left" w:pos="576"/>
      </w:tabs>
      <w:spacing w:before="260" w:after="260" w:line="416" w:lineRule="auto"/>
      <w:ind w:left="576" w:hanging="576"/>
      <w:outlineLvl w:val="1"/>
    </w:pPr>
    <w:rPr>
      <w:b/>
      <w:sz w:val="32"/>
      <w:lang w:val="zh-CN"/>
    </w:rPr>
  </w:style>
  <w:style w:type="paragraph" w:customStyle="1" w:styleId="131">
    <w:name w:val="正文缩进1"/>
    <w:basedOn w:val="129"/>
    <w:semiHidden/>
    <w:unhideWhenUsed/>
    <w:qFormat/>
    <w:uiPriority w:val="99"/>
    <w:pPr>
      <w:ind w:firstLine="420" w:firstLineChars="200"/>
    </w:pPr>
  </w:style>
  <w:style w:type="paragraph" w:customStyle="1" w:styleId="132">
    <w:name w:val="标题 41"/>
    <w:basedOn w:val="129"/>
    <w:next w:val="131"/>
    <w:link w:val="133"/>
    <w:qFormat/>
    <w:uiPriority w:val="0"/>
    <w:pPr>
      <w:keepNext/>
      <w:keepLines/>
      <w:tabs>
        <w:tab w:val="left" w:pos="864"/>
      </w:tabs>
      <w:spacing w:before="280" w:after="290" w:line="376" w:lineRule="auto"/>
      <w:ind w:left="864" w:hanging="864"/>
      <w:outlineLvl w:val="3"/>
    </w:pPr>
    <w:rPr>
      <w:rFonts w:ascii="Cambria Math" w:hAnsi="Cambria Math" w:eastAsia="ZWAdobeF"/>
      <w:b/>
      <w:sz w:val="28"/>
      <w:lang w:val="zh-CN"/>
    </w:rPr>
  </w:style>
  <w:style w:type="character" w:customStyle="1" w:styleId="133">
    <w:name w:val="标题 4 Char_0"/>
    <w:link w:val="132"/>
    <w:qFormat/>
    <w:uiPriority w:val="0"/>
    <w:rPr>
      <w:rFonts w:ascii="Cambria Math" w:hAnsi="Cambria Math" w:eastAsia="ZWAdobeF" w:cs="宋体"/>
      <w:b/>
      <w:kern w:val="0"/>
      <w:sz w:val="28"/>
      <w:szCs w:val="20"/>
      <w:lang w:val="zh-CN" w:eastAsia="zh-CN"/>
    </w:rPr>
  </w:style>
  <w:style w:type="paragraph" w:customStyle="1" w:styleId="134">
    <w:name w:val="标题 51"/>
    <w:basedOn w:val="129"/>
    <w:next w:val="131"/>
    <w:link w:val="135"/>
    <w:qFormat/>
    <w:uiPriority w:val="0"/>
    <w:pPr>
      <w:keepNext/>
      <w:keepLines/>
      <w:tabs>
        <w:tab w:val="left" w:pos="1008"/>
      </w:tabs>
      <w:spacing w:before="280" w:after="290" w:line="376" w:lineRule="auto"/>
      <w:ind w:left="1008" w:hanging="1008"/>
      <w:outlineLvl w:val="4"/>
    </w:pPr>
    <w:rPr>
      <w:rFonts w:ascii="Wingdings" w:hAnsi="Wingdings"/>
      <w:b/>
      <w:sz w:val="28"/>
      <w:lang w:val="zh-CN"/>
    </w:rPr>
  </w:style>
  <w:style w:type="character" w:customStyle="1" w:styleId="135">
    <w:name w:val="标题 5 Char_0"/>
    <w:link w:val="134"/>
    <w:qFormat/>
    <w:uiPriority w:val="0"/>
    <w:rPr>
      <w:rFonts w:ascii="Wingdings" w:hAnsi="Wingdings" w:eastAsia="宋体" w:cs="宋体"/>
      <w:b/>
      <w:kern w:val="0"/>
      <w:sz w:val="28"/>
      <w:szCs w:val="20"/>
      <w:lang w:val="zh-CN" w:eastAsia="zh-CN"/>
    </w:rPr>
  </w:style>
  <w:style w:type="paragraph" w:customStyle="1" w:styleId="136">
    <w:name w:val="标题 61"/>
    <w:basedOn w:val="129"/>
    <w:next w:val="131"/>
    <w:link w:val="137"/>
    <w:qFormat/>
    <w:uiPriority w:val="0"/>
    <w:pPr>
      <w:keepNext/>
      <w:keepLines/>
      <w:tabs>
        <w:tab w:val="left" w:pos="1152"/>
      </w:tabs>
      <w:spacing w:before="240" w:after="64" w:line="320" w:lineRule="auto"/>
      <w:ind w:left="1152" w:hanging="1152"/>
      <w:outlineLvl w:val="5"/>
    </w:pPr>
    <w:rPr>
      <w:b/>
      <w:sz w:val="24"/>
    </w:rPr>
  </w:style>
  <w:style w:type="character" w:customStyle="1" w:styleId="137">
    <w:name w:val="标题 6 Char_0"/>
    <w:link w:val="136"/>
    <w:qFormat/>
    <w:uiPriority w:val="0"/>
    <w:rPr>
      <w:rFonts w:ascii="宋体" w:hAnsi="宋体" w:eastAsia="宋体" w:cs="宋体"/>
      <w:b/>
      <w:kern w:val="0"/>
      <w:sz w:val="24"/>
      <w:szCs w:val="20"/>
    </w:rPr>
  </w:style>
  <w:style w:type="paragraph" w:customStyle="1" w:styleId="138">
    <w:name w:val="标题 71"/>
    <w:basedOn w:val="129"/>
    <w:next w:val="131"/>
    <w:link w:val="139"/>
    <w:qFormat/>
    <w:uiPriority w:val="0"/>
    <w:pPr>
      <w:keepNext/>
      <w:keepLines/>
      <w:tabs>
        <w:tab w:val="left" w:pos="1296"/>
      </w:tabs>
      <w:spacing w:before="240" w:after="64" w:line="320" w:lineRule="auto"/>
      <w:ind w:left="1296" w:hanging="1296"/>
      <w:outlineLvl w:val="6"/>
    </w:pPr>
    <w:rPr>
      <w:rFonts w:ascii="Wingdings" w:hAnsi="Wingdings" w:cs="Wingdings"/>
      <w:b/>
      <w:sz w:val="24"/>
    </w:rPr>
  </w:style>
  <w:style w:type="character" w:customStyle="1" w:styleId="139">
    <w:name w:val="标题 7 Char_0"/>
    <w:link w:val="138"/>
    <w:qFormat/>
    <w:uiPriority w:val="0"/>
    <w:rPr>
      <w:rFonts w:ascii="Wingdings" w:hAnsi="Wingdings" w:eastAsia="宋体" w:cs="Wingdings"/>
      <w:b/>
      <w:kern w:val="0"/>
      <w:sz w:val="24"/>
      <w:szCs w:val="20"/>
    </w:rPr>
  </w:style>
  <w:style w:type="paragraph" w:customStyle="1" w:styleId="140">
    <w:name w:val="标题 81"/>
    <w:basedOn w:val="129"/>
    <w:next w:val="131"/>
    <w:link w:val="141"/>
    <w:qFormat/>
    <w:uiPriority w:val="0"/>
    <w:pPr>
      <w:keepNext/>
      <w:keepLines/>
      <w:numPr>
        <w:ilvl w:val="7"/>
        <w:numId w:val="11"/>
      </w:numPr>
      <w:spacing w:before="240" w:after="64" w:line="320" w:lineRule="auto"/>
      <w:outlineLvl w:val="7"/>
    </w:pPr>
    <w:rPr>
      <w:rFonts w:ascii="Cambria Math" w:hAnsi="Cambria Math" w:eastAsia="ZWAdobeF" w:cs="Wingdings"/>
      <w:sz w:val="24"/>
    </w:rPr>
  </w:style>
  <w:style w:type="character" w:customStyle="1" w:styleId="141">
    <w:name w:val="标题 8 Char_0"/>
    <w:link w:val="140"/>
    <w:qFormat/>
    <w:uiPriority w:val="0"/>
    <w:rPr>
      <w:rFonts w:ascii="Cambria Math" w:hAnsi="Cambria Math" w:eastAsia="ZWAdobeF" w:cs="Wingdings"/>
      <w:kern w:val="0"/>
      <w:sz w:val="24"/>
      <w:szCs w:val="20"/>
    </w:rPr>
  </w:style>
  <w:style w:type="paragraph" w:customStyle="1" w:styleId="142">
    <w:name w:val="标题 91"/>
    <w:basedOn w:val="129"/>
    <w:next w:val="131"/>
    <w:link w:val="143"/>
    <w:qFormat/>
    <w:uiPriority w:val="0"/>
    <w:pPr>
      <w:keepNext/>
      <w:keepLines/>
      <w:numPr>
        <w:ilvl w:val="8"/>
        <w:numId w:val="11"/>
      </w:numPr>
      <w:spacing w:before="240" w:after="64" w:line="320" w:lineRule="auto"/>
      <w:outlineLvl w:val="8"/>
    </w:pPr>
    <w:rPr>
      <w:rFonts w:ascii="Cambria Math" w:hAnsi="Cambria Math" w:eastAsia="ZWAdobeF" w:cs="Wingdings"/>
    </w:rPr>
  </w:style>
  <w:style w:type="character" w:customStyle="1" w:styleId="143">
    <w:name w:val="标题 9 Char_0"/>
    <w:link w:val="142"/>
    <w:qFormat/>
    <w:uiPriority w:val="0"/>
    <w:rPr>
      <w:rFonts w:ascii="Cambria Math" w:hAnsi="Cambria Math" w:eastAsia="ZWAdobeF" w:cs="Wingdings"/>
      <w:kern w:val="0"/>
      <w:sz w:val="20"/>
      <w:szCs w:val="20"/>
    </w:rPr>
  </w:style>
  <w:style w:type="character" w:customStyle="1" w:styleId="144">
    <w:name w:val="标题 2 Char_0"/>
    <w:link w:val="130"/>
    <w:qFormat/>
    <w:uiPriority w:val="0"/>
    <w:rPr>
      <w:rFonts w:ascii="宋体" w:hAnsi="宋体" w:eastAsia="宋体" w:cs="宋体"/>
      <w:b/>
      <w:kern w:val="0"/>
      <w:sz w:val="32"/>
      <w:szCs w:val="20"/>
      <w:lang w:val="zh-CN" w:eastAsia="zh-CN"/>
    </w:rPr>
  </w:style>
  <w:style w:type="character" w:customStyle="1" w:styleId="145">
    <w:name w:val="标题 3 字符1"/>
    <w:qFormat/>
    <w:uiPriority w:val="9"/>
    <w:rPr>
      <w:rFonts w:ascii="宋体" w:hAnsi="宋体" w:eastAsia="宋体" w:cs="宋体"/>
      <w:b/>
      <w:bCs/>
      <w:kern w:val="0"/>
      <w:sz w:val="32"/>
      <w:szCs w:val="32"/>
    </w:rPr>
  </w:style>
  <w:style w:type="paragraph" w:customStyle="1" w:styleId="146">
    <w:name w:val="Normal_4"/>
    <w:qFormat/>
    <w:uiPriority w:val="0"/>
    <w:rPr>
      <w:rFonts w:ascii="Times New Roman" w:hAnsi="Times New Roman" w:eastAsia="Times New Roman" w:cs="Times New Roman"/>
      <w:sz w:val="24"/>
      <w:szCs w:val="24"/>
      <w:lang w:val="en-US" w:eastAsia="zh-CN" w:bidi="ar-SA"/>
    </w:rPr>
  </w:style>
  <w:style w:type="paragraph" w:customStyle="1" w:styleId="147">
    <w:name w:val="Heading 1_1"/>
    <w:basedOn w:val="148"/>
    <w:next w:val="148"/>
    <w:qFormat/>
    <w:uiPriority w:val="0"/>
    <w:pPr>
      <w:keepNext/>
      <w:spacing w:before="240" w:after="60"/>
      <w:outlineLvl w:val="0"/>
    </w:pPr>
    <w:rPr>
      <w:b/>
      <w:bCs/>
      <w:kern w:val="32"/>
      <w:sz w:val="32"/>
      <w:szCs w:val="32"/>
    </w:rPr>
  </w:style>
  <w:style w:type="paragraph" w:customStyle="1" w:styleId="148">
    <w:name w:val="Normal_2"/>
    <w:qFormat/>
    <w:uiPriority w:val="0"/>
    <w:rPr>
      <w:rFonts w:ascii="宋体" w:hAnsi="宋体" w:eastAsia="宋体" w:cs="宋体"/>
      <w:sz w:val="24"/>
      <w:szCs w:val="24"/>
      <w:lang w:val="en-US" w:eastAsia="zh-CN" w:bidi="ar-SA"/>
    </w:rPr>
  </w:style>
  <w:style w:type="paragraph" w:customStyle="1" w:styleId="149">
    <w:name w:val="Heading 1_2"/>
    <w:basedOn w:val="150"/>
    <w:next w:val="150"/>
    <w:qFormat/>
    <w:uiPriority w:val="0"/>
    <w:pPr>
      <w:keepNext/>
      <w:spacing w:before="240" w:after="60"/>
      <w:outlineLvl w:val="0"/>
    </w:pPr>
    <w:rPr>
      <w:b/>
      <w:bCs/>
      <w:kern w:val="32"/>
      <w:sz w:val="32"/>
      <w:szCs w:val="32"/>
    </w:rPr>
  </w:style>
  <w:style w:type="paragraph" w:customStyle="1" w:styleId="150">
    <w:name w:val="Normal_3"/>
    <w:qFormat/>
    <w:uiPriority w:val="0"/>
    <w:rPr>
      <w:rFonts w:ascii="宋体" w:hAnsi="宋体" w:eastAsia="宋体" w:cs="宋体"/>
      <w:sz w:val="24"/>
      <w:szCs w:val="24"/>
      <w:lang w:val="en-US" w:eastAsia="zh-CN" w:bidi="ar-SA"/>
    </w:rPr>
  </w:style>
  <w:style w:type="paragraph" w:customStyle="1" w:styleId="151">
    <w:name w:val="正文文本 31"/>
    <w:basedOn w:val="1"/>
    <w:qFormat/>
    <w:uiPriority w:val="0"/>
    <w:pPr>
      <w:widowControl/>
      <w:adjustRightInd w:val="0"/>
      <w:spacing w:line="240" w:lineRule="auto"/>
      <w:ind w:firstLine="0" w:firstLineChars="0"/>
      <w:jc w:val="center"/>
      <w:textAlignment w:val="baseline"/>
    </w:pPr>
    <w:rPr>
      <w:rFonts w:ascii="宋体" w:hAnsi="宋体" w:eastAsia="宋体" w:cs="宋体"/>
      <w:b/>
      <w:color w:val="FF0000"/>
      <w:kern w:val="0"/>
      <w:szCs w:val="20"/>
      <w:u w:val="single"/>
    </w:rPr>
  </w:style>
  <w:style w:type="paragraph" w:customStyle="1" w:styleId="152">
    <w:name w:val="样式 (1) +"/>
    <w:next w:val="1"/>
    <w:link w:val="153"/>
    <w:qFormat/>
    <w:uiPriority w:val="0"/>
    <w:pPr>
      <w:numPr>
        <w:ilvl w:val="1"/>
        <w:numId w:val="12"/>
      </w:numPr>
      <w:tabs>
        <w:tab w:val="left" w:pos="567"/>
        <w:tab w:val="left" w:pos="1050"/>
      </w:tabs>
      <w:spacing w:line="360" w:lineRule="auto"/>
      <w:ind w:hanging="273"/>
    </w:pPr>
    <w:rPr>
      <w:rFonts w:ascii="Times New Roman" w:hAnsi="Times New Roman" w:eastAsia="宋体" w:cs="Times New Roman"/>
      <w:sz w:val="24"/>
      <w:szCs w:val="21"/>
      <w:lang w:val="en-US" w:eastAsia="zh-CN" w:bidi="ar-SA"/>
    </w:rPr>
  </w:style>
  <w:style w:type="character" w:customStyle="1" w:styleId="153">
    <w:name w:val="样式 (1) + Char Char"/>
    <w:link w:val="152"/>
    <w:qFormat/>
    <w:uiPriority w:val="0"/>
    <w:rPr>
      <w:rFonts w:ascii="Times New Roman" w:hAnsi="Times New Roman" w:eastAsia="宋体" w:cs="Times New Roman"/>
      <w:kern w:val="0"/>
      <w:sz w:val="24"/>
    </w:rPr>
  </w:style>
  <w:style w:type="paragraph" w:customStyle="1" w:styleId="154">
    <w:name w:val="术语定义条标题"/>
    <w:basedOn w:val="155"/>
    <w:next w:val="156"/>
    <w:qFormat/>
    <w:uiPriority w:val="0"/>
    <w:pPr>
      <w:numPr>
        <w:ilvl w:val="0"/>
        <w:numId w:val="13"/>
      </w:numPr>
      <w:tabs>
        <w:tab w:val="left" w:pos="1260"/>
        <w:tab w:val="left" w:pos="1440"/>
      </w:tabs>
      <w:spacing w:beforeLines="0" w:afterLines="0"/>
      <w:jc w:val="left"/>
      <w:outlineLvl w:val="9"/>
    </w:pPr>
    <w:rPr>
      <w:b/>
    </w:rPr>
  </w:style>
  <w:style w:type="paragraph" w:customStyle="1" w:styleId="155">
    <w:name w:val="章标题"/>
    <w:next w:val="1"/>
    <w:qFormat/>
    <w:uiPriority w:val="0"/>
    <w:pPr>
      <w:tabs>
        <w:tab w:val="left" w:pos="1260"/>
      </w:tabs>
      <w:spacing w:beforeLines="50" w:afterLines="50"/>
      <w:ind w:left="1260" w:hanging="420"/>
      <w:jc w:val="both"/>
      <w:outlineLvl w:val="1"/>
    </w:pPr>
    <w:rPr>
      <w:rFonts w:ascii="黑体" w:hAnsi="Times New Roman" w:eastAsia="黑体" w:cs="Times New Roman"/>
      <w:lang w:val="en-US" w:eastAsia="zh-CN" w:bidi="ar-SA"/>
    </w:rPr>
  </w:style>
  <w:style w:type="paragraph" w:customStyle="1" w:styleId="156">
    <w:name w:val="段"/>
    <w:link w:val="157"/>
    <w:qFormat/>
    <w:uiPriority w:val="0"/>
    <w:pPr>
      <w:autoSpaceDE w:val="0"/>
      <w:autoSpaceDN w:val="0"/>
      <w:ind w:firstLine="200" w:firstLineChars="200"/>
      <w:jc w:val="both"/>
    </w:pPr>
    <w:rPr>
      <w:rFonts w:ascii="宋体" w:hAnsi="Times New Roman" w:eastAsia="宋体" w:cs="Times New Roman"/>
      <w:lang w:val="en-US" w:eastAsia="zh-CN" w:bidi="ar-SA"/>
    </w:rPr>
  </w:style>
  <w:style w:type="character" w:customStyle="1" w:styleId="157">
    <w:name w:val="段 Char"/>
    <w:link w:val="156"/>
    <w:qFormat/>
    <w:uiPriority w:val="0"/>
    <w:rPr>
      <w:rFonts w:ascii="宋体" w:hAnsi="Times New Roman" w:eastAsia="宋体" w:cs="Times New Roman"/>
      <w:kern w:val="0"/>
      <w:sz w:val="20"/>
      <w:szCs w:val="20"/>
    </w:rPr>
  </w:style>
  <w:style w:type="paragraph" w:customStyle="1" w:styleId="158">
    <w:name w:val="样式 标题 2标题 2－ch + 自动设置 段前: 1 行 行距: 单倍行距"/>
    <w:basedOn w:val="3"/>
    <w:qFormat/>
    <w:uiPriority w:val="0"/>
    <w:pPr>
      <w:tabs>
        <w:tab w:val="left" w:pos="992"/>
        <w:tab w:val="left" w:pos="1080"/>
      </w:tabs>
      <w:spacing w:before="312" w:beforeLines="100" w:after="260" w:line="416" w:lineRule="auto"/>
      <w:ind w:left="992" w:hanging="567"/>
      <w:jc w:val="both"/>
    </w:pPr>
    <w:rPr>
      <w:rFonts w:ascii="Times New Roman" w:hAnsi="宋体" w:eastAsia="宋体" w:cs="宋体"/>
      <w:sz w:val="30"/>
      <w:szCs w:val="20"/>
      <w:lang w:val="zh-CN"/>
    </w:rPr>
  </w:style>
  <w:style w:type="paragraph" w:customStyle="1" w:styleId="159">
    <w:name w:val="样式 标题 3 + 宋体 加粗 黑色"/>
    <w:basedOn w:val="4"/>
    <w:qFormat/>
    <w:uiPriority w:val="0"/>
    <w:pPr>
      <w:tabs>
        <w:tab w:val="left" w:pos="567"/>
        <w:tab w:val="left" w:pos="720"/>
      </w:tabs>
      <w:overflowPunct w:val="0"/>
      <w:spacing w:before="78" w:beforeLines="25" w:after="260" w:line="416" w:lineRule="auto"/>
      <w:ind w:left="1134" w:hanging="1134" w:firstLineChars="0"/>
    </w:pPr>
    <w:rPr>
      <w:rFonts w:ascii="宋体" w:hAnsi="宋体" w:eastAsia="宋体" w:cs="宋体"/>
    </w:rPr>
  </w:style>
  <w:style w:type="paragraph" w:customStyle="1" w:styleId="160">
    <w:name w:val="样式 标题 4 + 行距: 单倍行距"/>
    <w:basedOn w:val="5"/>
    <w:qFormat/>
    <w:uiPriority w:val="0"/>
    <w:pPr>
      <w:keepNext w:val="0"/>
      <w:numPr>
        <w:ilvl w:val="0"/>
        <w:numId w:val="0"/>
      </w:numPr>
      <w:tabs>
        <w:tab w:val="left" w:pos="864"/>
        <w:tab w:val="left" w:pos="1208"/>
      </w:tabs>
      <w:overflowPunct w:val="0"/>
      <w:ind w:left="1984" w:hanging="708"/>
    </w:pPr>
    <w:rPr>
      <w:rFonts w:ascii="宋体" w:hAnsi="宋体" w:eastAsia="宋体" w:cs="宋体"/>
      <w:b w:val="0"/>
      <w:bCs w:val="0"/>
      <w:szCs w:val="20"/>
      <w:lang w:val="zh-CN"/>
    </w:rPr>
  </w:style>
  <w:style w:type="paragraph" w:customStyle="1" w:styleId="161">
    <w:name w:val="样式 标题 5 + 行距: 单倍行距"/>
    <w:basedOn w:val="6"/>
    <w:qFormat/>
    <w:uiPriority w:val="0"/>
    <w:pPr>
      <w:numPr>
        <w:numId w:val="13"/>
      </w:numPr>
      <w:tabs>
        <w:tab w:val="left" w:pos="1008"/>
        <w:tab w:val="left" w:pos="1207"/>
        <w:tab w:val="left" w:pos="6608"/>
      </w:tabs>
      <w:overflowPunct w:val="0"/>
      <w:spacing w:before="78" w:beforeLines="25" w:line="360" w:lineRule="auto"/>
      <w:ind w:left="6608"/>
    </w:pPr>
    <w:rPr>
      <w:rFonts w:eastAsia="宋体" w:cs="宋体"/>
      <w:bCs w:val="0"/>
      <w:sz w:val="21"/>
      <w:szCs w:val="20"/>
      <w:lang w:val="zh-CN"/>
    </w:rPr>
  </w:style>
  <w:style w:type="paragraph" w:customStyle="1" w:styleId="162">
    <w:name w:val="无标题条"/>
    <w:next w:val="156"/>
    <w:qFormat/>
    <w:uiPriority w:val="0"/>
    <w:pPr>
      <w:numPr>
        <w:ilvl w:val="5"/>
        <w:numId w:val="13"/>
      </w:numPr>
      <w:tabs>
        <w:tab w:val="left" w:pos="1152"/>
      </w:tabs>
      <w:jc w:val="both"/>
    </w:pPr>
    <w:rPr>
      <w:rFonts w:ascii="Times New Roman" w:hAnsi="Times New Roman" w:eastAsia="宋体" w:cs="Times New Roman"/>
      <w:lang w:val="en-US" w:eastAsia="zh-CN" w:bidi="ar-SA"/>
    </w:rPr>
  </w:style>
  <w:style w:type="paragraph" w:customStyle="1" w:styleId="163">
    <w:name w:val="标书标题一"/>
    <w:basedOn w:val="2"/>
    <w:next w:val="1"/>
    <w:qFormat/>
    <w:uiPriority w:val="0"/>
    <w:pPr>
      <w:keepNext w:val="0"/>
      <w:keepLines/>
      <w:snapToGrid w:val="0"/>
      <w:spacing w:before="6400" w:after="6400" w:line="240" w:lineRule="auto"/>
      <w:ind w:left="1146" w:hanging="720"/>
    </w:pPr>
    <w:rPr>
      <w:rFonts w:ascii="宋体" w:hAnsi="宋体" w:eastAsia="宋体" w:cs="宋体"/>
      <w:szCs w:val="32"/>
    </w:rPr>
  </w:style>
  <w:style w:type="paragraph" w:customStyle="1" w:styleId="164">
    <w:name w:val="标书标题二"/>
    <w:basedOn w:val="3"/>
    <w:next w:val="1"/>
    <w:qFormat/>
    <w:uiPriority w:val="0"/>
    <w:pPr>
      <w:keepNext/>
      <w:snapToGrid w:val="0"/>
      <w:spacing w:before="260" w:after="260" w:line="416" w:lineRule="auto"/>
      <w:ind w:left="1387" w:hanging="420"/>
      <w:jc w:val="both"/>
    </w:pPr>
    <w:rPr>
      <w:rFonts w:ascii="宋体" w:hAnsi="宋体" w:eastAsia="宋体" w:cs="宋体"/>
      <w:sz w:val="30"/>
      <w:szCs w:val="30"/>
      <w:lang w:val="zh-CN"/>
    </w:rPr>
  </w:style>
  <w:style w:type="paragraph" w:customStyle="1" w:styleId="165">
    <w:name w:val="标书标题三"/>
    <w:basedOn w:val="4"/>
    <w:next w:val="1"/>
    <w:qFormat/>
    <w:uiPriority w:val="0"/>
    <w:pPr>
      <w:keepNext/>
      <w:snapToGrid w:val="0"/>
      <w:spacing w:before="260" w:after="260" w:line="416" w:lineRule="auto"/>
      <w:ind w:left="1146" w:hanging="720" w:firstLineChars="0"/>
    </w:pPr>
    <w:rPr>
      <w:rFonts w:ascii="宋体" w:hAnsi="宋体" w:eastAsia="宋体" w:cs="宋体"/>
      <w:sz w:val="32"/>
      <w:szCs w:val="28"/>
    </w:rPr>
  </w:style>
  <w:style w:type="paragraph" w:customStyle="1" w:styleId="166">
    <w:name w:val="标书标题四"/>
    <w:basedOn w:val="5"/>
    <w:next w:val="1"/>
    <w:qFormat/>
    <w:uiPriority w:val="0"/>
    <w:pPr>
      <w:numPr>
        <w:numId w:val="14"/>
      </w:numPr>
      <w:snapToGrid w:val="0"/>
    </w:pPr>
    <w:rPr>
      <w:rFonts w:ascii="宋体" w:hAnsi="宋体" w:eastAsia="宋体" w:cs="宋体"/>
      <w:sz w:val="24"/>
      <w:szCs w:val="24"/>
      <w:lang w:val="zh-CN"/>
    </w:rPr>
  </w:style>
  <w:style w:type="paragraph" w:customStyle="1" w:styleId="167">
    <w:name w:val="标书标题五"/>
    <w:basedOn w:val="6"/>
    <w:next w:val="1"/>
    <w:qFormat/>
    <w:uiPriority w:val="0"/>
    <w:pPr>
      <w:numPr>
        <w:numId w:val="14"/>
      </w:numPr>
    </w:pPr>
    <w:rPr>
      <w:rFonts w:ascii="宋体" w:hAnsi="宋体" w:eastAsia="宋体" w:cs="宋体"/>
      <w:i/>
      <w:szCs w:val="24"/>
      <w:lang w:val="zh-CN"/>
    </w:rPr>
  </w:style>
  <w:style w:type="paragraph" w:customStyle="1" w:styleId="168">
    <w:name w:val="样式1 样式 标题 4 + 段前: 0 行 + Times New Roman"/>
    <w:basedOn w:val="1"/>
    <w:next w:val="1"/>
    <w:qFormat/>
    <w:uiPriority w:val="0"/>
    <w:pPr>
      <w:widowControl/>
      <w:numPr>
        <w:ilvl w:val="2"/>
        <w:numId w:val="15"/>
      </w:numPr>
      <w:tabs>
        <w:tab w:val="left" w:pos="0"/>
      </w:tabs>
      <w:snapToGrid w:val="0"/>
      <w:spacing w:line="276" w:lineRule="auto"/>
      <w:ind w:firstLine="0" w:firstLineChars="0"/>
      <w:jc w:val="left"/>
      <w:outlineLvl w:val="3"/>
    </w:pPr>
    <w:rPr>
      <w:rFonts w:eastAsia="黑体" w:cs="Times New Roman"/>
      <w:bCs/>
      <w:kern w:val="0"/>
      <w:szCs w:val="21"/>
    </w:rPr>
  </w:style>
  <w:style w:type="paragraph" w:customStyle="1" w:styleId="169">
    <w:name w:val="工程建设条标题"/>
    <w:basedOn w:val="170"/>
    <w:next w:val="156"/>
    <w:qFormat/>
    <w:uiPriority w:val="0"/>
    <w:pPr>
      <w:numPr>
        <w:ilvl w:val="0"/>
        <w:numId w:val="16"/>
      </w:numPr>
      <w:tabs>
        <w:tab w:val="left" w:pos="1050"/>
        <w:tab w:val="left" w:pos="1611"/>
        <w:tab w:val="left" w:pos="1620"/>
      </w:tabs>
      <w:spacing w:before="0" w:after="0"/>
      <w:ind w:left="1611"/>
      <w:jc w:val="left"/>
      <w:outlineLvl w:val="3"/>
    </w:pPr>
    <w:rPr>
      <w:b w:val="0"/>
    </w:rPr>
  </w:style>
  <w:style w:type="paragraph" w:customStyle="1" w:styleId="170">
    <w:name w:val="工程建设节标题"/>
    <w:basedOn w:val="171"/>
    <w:next w:val="156"/>
    <w:qFormat/>
    <w:uiPriority w:val="0"/>
    <w:pPr>
      <w:tabs>
        <w:tab w:val="left" w:pos="1050"/>
        <w:tab w:val="left" w:pos="1620"/>
      </w:tabs>
      <w:spacing w:before="400" w:after="400" w:line="240" w:lineRule="auto"/>
      <w:ind w:left="1620" w:hanging="360"/>
      <w:outlineLvl w:val="2"/>
    </w:pPr>
    <w:rPr>
      <w:sz w:val="21"/>
    </w:rPr>
  </w:style>
  <w:style w:type="paragraph" w:customStyle="1" w:styleId="171">
    <w:name w:val="工程建设章标题"/>
    <w:next w:val="156"/>
    <w:qFormat/>
    <w:uiPriority w:val="0"/>
    <w:pPr>
      <w:tabs>
        <w:tab w:val="left" w:pos="1050"/>
      </w:tabs>
      <w:spacing w:before="640" w:after="560" w:line="480" w:lineRule="exact"/>
      <w:ind w:left="1050" w:hanging="420"/>
      <w:jc w:val="center"/>
      <w:outlineLvl w:val="1"/>
    </w:pPr>
    <w:rPr>
      <w:rFonts w:ascii="黑体" w:hAnsi="Times New Roman" w:eastAsia="黑体" w:cs="Times New Roman"/>
      <w:b/>
      <w:sz w:val="28"/>
      <w:lang w:val="en-US" w:eastAsia="zh-CN" w:bidi="ar-SA"/>
    </w:rPr>
  </w:style>
  <w:style w:type="paragraph" w:customStyle="1" w:styleId="172">
    <w:name w:val="示例"/>
    <w:next w:val="1"/>
    <w:qFormat/>
    <w:uiPriority w:val="0"/>
    <w:pPr>
      <w:numPr>
        <w:ilvl w:val="1"/>
        <w:numId w:val="16"/>
      </w:numPr>
      <w:tabs>
        <w:tab w:val="left" w:pos="360"/>
        <w:tab w:val="left" w:pos="840"/>
      </w:tabs>
      <w:jc w:val="both"/>
    </w:pPr>
    <w:rPr>
      <w:rFonts w:ascii="宋体" w:hAnsi="Times New Roman" w:eastAsia="宋体" w:cs="Times New Roman"/>
      <w:sz w:val="18"/>
      <w:lang w:val="en-US" w:eastAsia="zh-CN" w:bidi="ar-SA"/>
    </w:rPr>
  </w:style>
  <w:style w:type="paragraph" w:customStyle="1" w:styleId="173">
    <w:name w:val="四级无标题条"/>
    <w:basedOn w:val="1"/>
    <w:qFormat/>
    <w:uiPriority w:val="0"/>
    <w:pPr>
      <w:widowControl/>
      <w:numPr>
        <w:ilvl w:val="3"/>
        <w:numId w:val="16"/>
      </w:numPr>
      <w:tabs>
        <w:tab w:val="left" w:pos="1680"/>
      </w:tabs>
      <w:spacing w:line="240" w:lineRule="auto"/>
      <w:ind w:firstLine="0" w:firstLineChars="0"/>
      <w:jc w:val="left"/>
    </w:pPr>
    <w:rPr>
      <w:rFonts w:eastAsia="宋体" w:cs="Times New Roman"/>
      <w:kern w:val="0"/>
      <w:szCs w:val="24"/>
    </w:rPr>
  </w:style>
  <w:style w:type="character" w:customStyle="1" w:styleId="174">
    <w:name w:val="p0 Char"/>
    <w:link w:val="175"/>
    <w:qFormat/>
    <w:uiPriority w:val="0"/>
    <w:rPr>
      <w:rFonts w:ascii="Times New Roman" w:hAnsi="Times New Roman" w:eastAsia="宋体" w:cs="Times New Roman"/>
      <w:kern w:val="0"/>
    </w:rPr>
  </w:style>
  <w:style w:type="paragraph" w:customStyle="1" w:styleId="175">
    <w:name w:val="p0"/>
    <w:basedOn w:val="1"/>
    <w:link w:val="174"/>
    <w:qFormat/>
    <w:uiPriority w:val="0"/>
    <w:pPr>
      <w:widowControl/>
      <w:spacing w:line="240" w:lineRule="auto"/>
      <w:ind w:firstLine="0" w:firstLineChars="0"/>
      <w:jc w:val="left"/>
    </w:pPr>
    <w:rPr>
      <w:rFonts w:eastAsia="宋体" w:cs="Times New Roman"/>
      <w:kern w:val="0"/>
      <w:sz w:val="21"/>
      <w:szCs w:val="21"/>
    </w:rPr>
  </w:style>
  <w:style w:type="paragraph" w:customStyle="1" w:styleId="176">
    <w:name w:val="Letter List"/>
    <w:basedOn w:val="1"/>
    <w:qFormat/>
    <w:uiPriority w:val="0"/>
    <w:pPr>
      <w:widowControl/>
      <w:numPr>
        <w:ilvl w:val="0"/>
        <w:numId w:val="17"/>
      </w:numPr>
      <w:tabs>
        <w:tab w:val="left" w:pos="0"/>
      </w:tabs>
      <w:spacing w:line="240" w:lineRule="auto"/>
      <w:ind w:left="1080" w:firstLine="0" w:firstLineChars="0"/>
      <w:jc w:val="left"/>
    </w:pPr>
    <w:rPr>
      <w:rFonts w:eastAsia="宋体" w:cs="Times New Roman"/>
      <w:kern w:val="0"/>
      <w:sz w:val="22"/>
      <w:szCs w:val="20"/>
      <w:lang w:eastAsia="en-US"/>
    </w:rPr>
  </w:style>
  <w:style w:type="paragraph" w:customStyle="1" w:styleId="177">
    <w:name w:val="正文表标题"/>
    <w:next w:val="156"/>
    <w:qFormat/>
    <w:uiPriority w:val="0"/>
    <w:pPr>
      <w:numPr>
        <w:ilvl w:val="1"/>
        <w:numId w:val="18"/>
      </w:numPr>
      <w:tabs>
        <w:tab w:val="left" w:pos="420"/>
        <w:tab w:val="left" w:pos="567"/>
      </w:tabs>
      <w:jc w:val="center"/>
    </w:pPr>
    <w:rPr>
      <w:rFonts w:ascii="黑体" w:hAnsi="Times New Roman" w:eastAsia="黑体" w:cs="Times New Roman"/>
      <w:b/>
      <w:lang w:val="en-US" w:eastAsia="zh-CN" w:bidi="ar-SA"/>
    </w:rPr>
  </w:style>
  <w:style w:type="paragraph" w:customStyle="1" w:styleId="178">
    <w:name w:val="样式 表序号 + 两端对齐 行距: 1.5 倍行距5"/>
    <w:basedOn w:val="1"/>
    <w:qFormat/>
    <w:uiPriority w:val="0"/>
    <w:pPr>
      <w:widowControl/>
      <w:tabs>
        <w:tab w:val="left" w:pos="420"/>
        <w:tab w:val="left" w:pos="780"/>
        <w:tab w:val="left" w:pos="1200"/>
      </w:tabs>
      <w:ind w:left="500" w:leftChars="500" w:firstLine="0" w:firstLineChars="0"/>
      <w:jc w:val="left"/>
    </w:pPr>
    <w:rPr>
      <w:rFonts w:ascii="宋体" w:hAnsi="宋体" w:eastAsia="宋体" w:cs="宋体"/>
      <w:spacing w:val="14"/>
      <w:kern w:val="0"/>
      <w:szCs w:val="20"/>
    </w:rPr>
  </w:style>
  <w:style w:type="paragraph" w:customStyle="1" w:styleId="179">
    <w:name w:val="我的标题2"/>
    <w:qFormat/>
    <w:uiPriority w:val="0"/>
    <w:pPr>
      <w:tabs>
        <w:tab w:val="left" w:pos="840"/>
        <w:tab w:val="left" w:pos="1260"/>
      </w:tabs>
      <w:spacing w:line="360" w:lineRule="auto"/>
      <w:ind w:left="840" w:hanging="420"/>
      <w:outlineLvl w:val="1"/>
    </w:pPr>
    <w:rPr>
      <w:rFonts w:ascii="宋体" w:hAnsi="宋体" w:eastAsia="宋体" w:cs="Times New Roman"/>
      <w:color w:val="000000"/>
      <w:sz w:val="24"/>
      <w:szCs w:val="24"/>
      <w:lang w:val="en-US" w:eastAsia="zh-CN" w:bidi="ar-SA"/>
    </w:rPr>
  </w:style>
  <w:style w:type="paragraph" w:customStyle="1" w:styleId="180">
    <w:name w:val="一级无标题条"/>
    <w:basedOn w:val="1"/>
    <w:qFormat/>
    <w:uiPriority w:val="0"/>
    <w:pPr>
      <w:widowControl/>
      <w:numPr>
        <w:ilvl w:val="2"/>
        <w:numId w:val="19"/>
      </w:numPr>
      <w:tabs>
        <w:tab w:val="left" w:pos="1680"/>
      </w:tabs>
      <w:spacing w:line="240" w:lineRule="auto"/>
      <w:ind w:firstLine="0" w:firstLineChars="0"/>
      <w:jc w:val="left"/>
    </w:pPr>
    <w:rPr>
      <w:rFonts w:eastAsia="宋体" w:cs="Times New Roman"/>
      <w:kern w:val="0"/>
      <w:szCs w:val="24"/>
    </w:rPr>
  </w:style>
  <w:style w:type="paragraph" w:customStyle="1" w:styleId="181">
    <w:name w:val="(1)叙述"/>
    <w:basedOn w:val="182"/>
    <w:qFormat/>
    <w:uiPriority w:val="0"/>
    <w:pPr>
      <w:numPr>
        <w:ilvl w:val="4"/>
        <w:numId w:val="19"/>
      </w:numPr>
      <w:tabs>
        <w:tab w:val="left" w:pos="360"/>
        <w:tab w:val="left" w:pos="2520"/>
        <w:tab w:val="clear" w:pos="2100"/>
      </w:tabs>
      <w:ind w:left="0" w:firstLine="482"/>
    </w:pPr>
    <w:rPr>
      <w:rFonts w:ascii="Arial" w:hAnsi="Arial"/>
      <w:b w:val="0"/>
      <w:bCs w:val="0"/>
      <w:color w:val="auto"/>
      <w:szCs w:val="20"/>
    </w:rPr>
  </w:style>
  <w:style w:type="paragraph" w:customStyle="1" w:styleId="182">
    <w:name w:val="(1)"/>
    <w:basedOn w:val="1"/>
    <w:link w:val="183"/>
    <w:qFormat/>
    <w:uiPriority w:val="0"/>
    <w:pPr>
      <w:widowControl/>
      <w:ind w:firstLine="482" w:firstLineChars="0"/>
      <w:jc w:val="left"/>
    </w:pPr>
    <w:rPr>
      <w:rFonts w:ascii="宋体" w:hAnsi="宋体" w:eastAsia="宋体" w:cs="宋体"/>
      <w:b/>
      <w:bCs/>
      <w:color w:val="000000"/>
      <w:kern w:val="0"/>
      <w:szCs w:val="24"/>
    </w:rPr>
  </w:style>
  <w:style w:type="character" w:customStyle="1" w:styleId="183">
    <w:name w:val="(1) Char Char"/>
    <w:link w:val="182"/>
    <w:qFormat/>
    <w:uiPriority w:val="0"/>
    <w:rPr>
      <w:rFonts w:ascii="宋体" w:hAnsi="宋体" w:eastAsia="宋体" w:cs="宋体"/>
      <w:b/>
      <w:bCs/>
      <w:color w:val="000000"/>
      <w:kern w:val="0"/>
      <w:sz w:val="24"/>
      <w:szCs w:val="24"/>
    </w:rPr>
  </w:style>
  <w:style w:type="paragraph" w:customStyle="1" w:styleId="184">
    <w:name w:val="附录四级条标题"/>
    <w:basedOn w:val="185"/>
    <w:next w:val="156"/>
    <w:qFormat/>
    <w:uiPriority w:val="0"/>
    <w:pPr>
      <w:numPr>
        <w:ilvl w:val="5"/>
        <w:numId w:val="19"/>
      </w:numPr>
      <w:tabs>
        <w:tab w:val="left" w:pos="2940"/>
      </w:tabs>
      <w:outlineLvl w:val="5"/>
    </w:pPr>
  </w:style>
  <w:style w:type="paragraph" w:customStyle="1" w:styleId="185">
    <w:name w:val="附录三级条标题"/>
    <w:basedOn w:val="186"/>
    <w:next w:val="156"/>
    <w:qFormat/>
    <w:uiPriority w:val="0"/>
    <w:pPr>
      <w:numPr>
        <w:ilvl w:val="0"/>
        <w:numId w:val="20"/>
      </w:numPr>
      <w:outlineLvl w:val="4"/>
    </w:pPr>
  </w:style>
  <w:style w:type="paragraph" w:customStyle="1" w:styleId="186">
    <w:name w:val="附录二级条标题"/>
    <w:basedOn w:val="187"/>
    <w:next w:val="156"/>
    <w:qFormat/>
    <w:uiPriority w:val="0"/>
    <w:pPr>
      <w:outlineLvl w:val="3"/>
    </w:pPr>
  </w:style>
  <w:style w:type="paragraph" w:customStyle="1" w:styleId="187">
    <w:name w:val="附录一级条标题"/>
    <w:basedOn w:val="188"/>
    <w:next w:val="156"/>
    <w:qFormat/>
    <w:uiPriority w:val="0"/>
    <w:pPr>
      <w:autoSpaceDN w:val="0"/>
      <w:spacing w:before="0" w:beforeLines="0" w:after="0" w:afterLines="0"/>
      <w:outlineLvl w:val="2"/>
    </w:pPr>
  </w:style>
  <w:style w:type="paragraph" w:customStyle="1" w:styleId="188">
    <w:name w:val="附录章标题"/>
    <w:next w:val="156"/>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b/>
      <w:kern w:val="21"/>
      <w:lang w:val="en-US" w:eastAsia="zh-CN" w:bidi="ar-SA"/>
    </w:rPr>
  </w:style>
  <w:style w:type="paragraph" w:customStyle="1" w:styleId="189">
    <w:name w:val="五级无标题条"/>
    <w:basedOn w:val="1"/>
    <w:qFormat/>
    <w:uiPriority w:val="0"/>
    <w:pPr>
      <w:widowControl/>
      <w:numPr>
        <w:ilvl w:val="6"/>
        <w:numId w:val="19"/>
      </w:numPr>
      <w:tabs>
        <w:tab w:val="left" w:pos="3360"/>
      </w:tabs>
      <w:spacing w:line="240" w:lineRule="auto"/>
      <w:ind w:firstLine="0" w:firstLineChars="0"/>
      <w:jc w:val="left"/>
    </w:pPr>
    <w:rPr>
      <w:rFonts w:eastAsia="宋体" w:cs="Times New Roman"/>
      <w:kern w:val="0"/>
      <w:szCs w:val="24"/>
    </w:rPr>
  </w:style>
  <w:style w:type="paragraph" w:customStyle="1" w:styleId="190">
    <w:name w:val="样式 标题 1 + 居中1"/>
    <w:basedOn w:val="2"/>
    <w:qFormat/>
    <w:uiPriority w:val="0"/>
    <w:pPr>
      <w:keepLines/>
      <w:tabs>
        <w:tab w:val="left" w:pos="425"/>
        <w:tab w:val="left" w:pos="1800"/>
      </w:tabs>
      <w:spacing w:after="156" w:afterLines="50" w:line="578" w:lineRule="auto"/>
      <w:ind w:left="425" w:hanging="425"/>
      <w:jc w:val="both"/>
    </w:pPr>
    <w:rPr>
      <w:rFonts w:ascii="宋体" w:hAnsi="宋体" w:eastAsia="宋体" w:cs="Century"/>
      <w:sz w:val="36"/>
      <w:szCs w:val="20"/>
    </w:rPr>
  </w:style>
  <w:style w:type="paragraph" w:customStyle="1" w:styleId="191">
    <w:name w:val="样式 标题 2 + 字距调整四号"/>
    <w:basedOn w:val="3"/>
    <w:qFormat/>
    <w:uiPriority w:val="0"/>
    <w:pPr>
      <w:keepNext/>
      <w:widowControl/>
      <w:numPr>
        <w:ilvl w:val="1"/>
        <w:numId w:val="21"/>
      </w:numPr>
      <w:overflowPunct w:val="0"/>
      <w:autoSpaceDE w:val="0"/>
      <w:autoSpaceDN w:val="0"/>
      <w:spacing w:before="260" w:after="260" w:line="320" w:lineRule="exact"/>
      <w:ind w:left="0" w:firstLine="420"/>
      <w:jc w:val="both"/>
    </w:pPr>
    <w:rPr>
      <w:rFonts w:ascii="Times New Roman" w:hAnsi="宋体" w:cs="宋体"/>
      <w:bCs w:val="0"/>
      <w:kern w:val="28"/>
      <w:sz w:val="21"/>
      <w:lang w:val="zh-CN"/>
    </w:rPr>
  </w:style>
  <w:style w:type="paragraph" w:customStyle="1" w:styleId="192">
    <w:name w:val="样式 标题4 + 浅蓝"/>
    <w:basedOn w:val="15"/>
    <w:qFormat/>
    <w:uiPriority w:val="0"/>
    <w:pPr>
      <w:widowControl w:val="0"/>
      <w:numPr>
        <w:ilvl w:val="2"/>
        <w:numId w:val="21"/>
      </w:numPr>
      <w:tabs>
        <w:tab w:val="left" w:pos="1080"/>
        <w:tab w:val="left" w:pos="1140"/>
      </w:tabs>
      <w:spacing w:line="360" w:lineRule="auto"/>
      <w:ind w:left="1140" w:hanging="1140"/>
      <w:jc w:val="both"/>
    </w:pPr>
    <w:rPr>
      <w:rFonts w:ascii="Times New Roman"/>
      <w:color w:val="3366FF"/>
      <w:kern w:val="2"/>
      <w:sz w:val="21"/>
    </w:rPr>
  </w:style>
  <w:style w:type="paragraph" w:customStyle="1" w:styleId="193">
    <w:name w:val="样式1 样式 标题 3 + 段前: 0.1 行 + 段前: 0.1 行"/>
    <w:basedOn w:val="1"/>
    <w:qFormat/>
    <w:uiPriority w:val="0"/>
    <w:pPr>
      <w:widowControl/>
      <w:numPr>
        <w:ilvl w:val="0"/>
        <w:numId w:val="22"/>
      </w:numPr>
      <w:tabs>
        <w:tab w:val="left" w:pos="210"/>
        <w:tab w:val="left" w:pos="454"/>
        <w:tab w:val="left" w:pos="630"/>
      </w:tabs>
      <w:snapToGrid w:val="0"/>
      <w:spacing w:line="276" w:lineRule="auto"/>
      <w:ind w:firstLine="0" w:firstLineChars="0"/>
      <w:jc w:val="left"/>
      <w:outlineLvl w:val="2"/>
    </w:pPr>
    <w:rPr>
      <w:rFonts w:eastAsia="黑体" w:cs="宋体"/>
      <w:bCs/>
      <w:kern w:val="0"/>
      <w:szCs w:val="21"/>
    </w:rPr>
  </w:style>
  <w:style w:type="paragraph" w:customStyle="1" w:styleId="194">
    <w:name w:val="图表脚注"/>
    <w:next w:val="156"/>
    <w:qFormat/>
    <w:uiPriority w:val="0"/>
    <w:pPr>
      <w:numPr>
        <w:ilvl w:val="0"/>
        <w:numId w:val="23"/>
      </w:numPr>
      <w:tabs>
        <w:tab w:val="left" w:pos="425"/>
        <w:tab w:val="clear" w:pos="420"/>
      </w:tabs>
      <w:ind w:left="300" w:leftChars="200" w:hanging="100" w:hangingChars="100"/>
      <w:jc w:val="both"/>
    </w:pPr>
    <w:rPr>
      <w:rFonts w:ascii="宋体" w:hAnsi="Times New Roman" w:eastAsia="宋体" w:cs="Times New Roman"/>
      <w:sz w:val="18"/>
      <w:lang w:val="en-US" w:eastAsia="zh-CN" w:bidi="ar-SA"/>
    </w:rPr>
  </w:style>
  <w:style w:type="paragraph" w:customStyle="1" w:styleId="195">
    <w:name w:val="术语定义二级条标题"/>
    <w:basedOn w:val="154"/>
    <w:next w:val="156"/>
    <w:qFormat/>
    <w:uiPriority w:val="0"/>
    <w:pPr>
      <w:numPr>
        <w:ilvl w:val="1"/>
        <w:numId w:val="23"/>
      </w:numPr>
      <w:tabs>
        <w:tab w:val="left" w:pos="992"/>
      </w:tabs>
    </w:pPr>
  </w:style>
  <w:style w:type="paragraph" w:customStyle="1" w:styleId="196">
    <w:name w:val="翟峰－正文"/>
    <w:basedOn w:val="1"/>
    <w:qFormat/>
    <w:uiPriority w:val="0"/>
    <w:pPr>
      <w:widowControl/>
      <w:numPr>
        <w:ilvl w:val="0"/>
        <w:numId w:val="24"/>
      </w:numPr>
      <w:tabs>
        <w:tab w:val="left" w:pos="960"/>
      </w:tabs>
      <w:spacing w:before="60" w:after="60"/>
      <w:ind w:firstLine="0" w:firstLineChars="0"/>
      <w:jc w:val="left"/>
    </w:pPr>
    <w:rPr>
      <w:rFonts w:eastAsia="宋体" w:cs="Times New Roman"/>
      <w:kern w:val="0"/>
      <w:szCs w:val="24"/>
    </w:rPr>
  </w:style>
  <w:style w:type="paragraph" w:customStyle="1" w:styleId="197">
    <w:name w:val="Heading 2_0"/>
    <w:basedOn w:val="198"/>
    <w:next w:val="198"/>
    <w:qFormat/>
    <w:uiPriority w:val="0"/>
    <w:pPr>
      <w:keepNext/>
      <w:spacing w:before="240" w:after="60"/>
      <w:outlineLvl w:val="1"/>
    </w:pPr>
    <w:rPr>
      <w:rFonts w:ascii="Arial" w:hAnsi="Arial" w:cs="Arial"/>
      <w:b/>
      <w:bCs/>
      <w:i/>
      <w:iCs/>
      <w:sz w:val="28"/>
      <w:szCs w:val="28"/>
    </w:rPr>
  </w:style>
  <w:style w:type="paragraph" w:customStyle="1" w:styleId="198">
    <w:name w:val="Normal_5"/>
    <w:qFormat/>
    <w:uiPriority w:val="0"/>
    <w:rPr>
      <w:rFonts w:ascii="Times New Roman" w:hAnsi="Times New Roman" w:eastAsia="宋体" w:cs="Times New Roman"/>
      <w:sz w:val="24"/>
      <w:szCs w:val="24"/>
      <w:lang w:val="en-US" w:eastAsia="zh-CN" w:bidi="ar-SA"/>
    </w:rPr>
  </w:style>
  <w:style w:type="paragraph" w:customStyle="1" w:styleId="199">
    <w:name w:val="Normal_6"/>
    <w:qFormat/>
    <w:uiPriority w:val="0"/>
    <w:rPr>
      <w:rFonts w:ascii="Times New Roman" w:hAnsi="Times New Roman" w:eastAsia="宋体" w:cs="Times New Roman"/>
      <w:sz w:val="24"/>
      <w:szCs w:val="24"/>
      <w:lang w:val="en-US" w:eastAsia="zh-CN" w:bidi="ar-SA"/>
    </w:rPr>
  </w:style>
  <w:style w:type="paragraph" w:customStyle="1" w:styleId="200">
    <w:name w:val="Heading 2_1"/>
    <w:basedOn w:val="201"/>
    <w:next w:val="201"/>
    <w:qFormat/>
    <w:uiPriority w:val="0"/>
    <w:pPr>
      <w:keepNext/>
      <w:spacing w:before="240" w:after="60"/>
      <w:outlineLvl w:val="1"/>
    </w:pPr>
    <w:rPr>
      <w:rFonts w:ascii="Arial" w:hAnsi="Arial" w:cs="Arial"/>
      <w:b/>
      <w:bCs/>
      <w:i/>
      <w:iCs/>
      <w:sz w:val="28"/>
      <w:szCs w:val="28"/>
    </w:rPr>
  </w:style>
  <w:style w:type="paragraph" w:customStyle="1" w:styleId="201">
    <w:name w:val="Normal_7"/>
    <w:qFormat/>
    <w:uiPriority w:val="0"/>
    <w:rPr>
      <w:rFonts w:ascii="Times New Roman" w:hAnsi="Times New Roman" w:eastAsia="宋体" w:cs="Times New Roman"/>
      <w:sz w:val="24"/>
      <w:szCs w:val="24"/>
      <w:lang w:val="en-US" w:eastAsia="zh-CN" w:bidi="ar-SA"/>
    </w:rPr>
  </w:style>
  <w:style w:type="paragraph" w:customStyle="1" w:styleId="202">
    <w:name w:val="Normal_0_0"/>
    <w:qFormat/>
    <w:uiPriority w:val="0"/>
    <w:rPr>
      <w:rFonts w:ascii="黑体" w:hAnsi="黑体" w:eastAsia="黑体" w:cs="黑体"/>
      <w:b/>
      <w:sz w:val="32"/>
      <w:szCs w:val="24"/>
      <w:lang w:val="en-US" w:eastAsia="zh-CN" w:bidi="ar-SA"/>
    </w:rPr>
  </w:style>
  <w:style w:type="paragraph" w:customStyle="1" w:styleId="203">
    <w:name w:val="Normal_1_0"/>
    <w:qFormat/>
    <w:uiPriority w:val="0"/>
    <w:pPr>
      <w:widowControl w:val="0"/>
      <w:jc w:val="both"/>
    </w:pPr>
    <w:rPr>
      <w:rFonts w:ascii="宋体" w:hAnsi="宋体" w:eastAsia="宋体" w:cs="宋体"/>
      <w:lang w:val="en-US" w:eastAsia="zh-CN" w:bidi="ar-SA"/>
    </w:rPr>
  </w:style>
  <w:style w:type="paragraph" w:customStyle="1" w:styleId="204">
    <w:name w:val="正文_0_0"/>
    <w:qFormat/>
    <w:uiPriority w:val="0"/>
    <w:pPr>
      <w:widowControl w:val="0"/>
      <w:jc w:val="both"/>
    </w:pPr>
    <w:rPr>
      <w:rFonts w:ascii="Calibri" w:hAnsi="Calibri" w:eastAsia="宋体" w:cs="Times New Roman"/>
      <w:lang w:val="en-US" w:eastAsia="zh-CN" w:bidi="ar-SA"/>
    </w:rPr>
  </w:style>
  <w:style w:type="paragraph" w:customStyle="1" w:styleId="205">
    <w:name w:val="正文_0_0_0"/>
    <w:qFormat/>
    <w:uiPriority w:val="0"/>
    <w:pPr>
      <w:widowControl w:val="0"/>
      <w:jc w:val="both"/>
    </w:pPr>
    <w:rPr>
      <w:rFonts w:ascii="Calibri" w:hAnsi="Calibri" w:eastAsia="宋体" w:cs="Times New Roman"/>
      <w:lang w:val="en-US" w:eastAsia="zh-CN" w:bidi="ar-SA"/>
    </w:rPr>
  </w:style>
  <w:style w:type="paragraph" w:customStyle="1" w:styleId="206">
    <w:name w:val="Normal_2_0"/>
    <w:qFormat/>
    <w:uiPriority w:val="0"/>
    <w:rPr>
      <w:rFonts w:ascii="黑体" w:hAnsi="黑体" w:eastAsia="黑体" w:cs="黑体"/>
      <w:b/>
      <w:sz w:val="32"/>
      <w:szCs w:val="24"/>
      <w:lang w:val="en-US" w:eastAsia="zh-CN" w:bidi="ar-SA"/>
    </w:rPr>
  </w:style>
  <w:style w:type="paragraph" w:customStyle="1" w:styleId="207">
    <w:name w:val="Normal_3_0"/>
    <w:qFormat/>
    <w:uiPriority w:val="0"/>
    <w:pPr>
      <w:widowControl w:val="0"/>
      <w:jc w:val="both"/>
    </w:pPr>
    <w:rPr>
      <w:rFonts w:ascii="Times New Roman" w:hAnsi="Times New Roman" w:eastAsia="宋体" w:cs="Times New Roman"/>
      <w:lang w:val="en-US" w:eastAsia="zh-CN" w:bidi="ar-SA"/>
    </w:rPr>
  </w:style>
  <w:style w:type="paragraph" w:customStyle="1" w:styleId="208">
    <w:name w:val="Normal_4_0"/>
    <w:qFormat/>
    <w:uiPriority w:val="0"/>
    <w:rPr>
      <w:rFonts w:ascii="黑体" w:hAnsi="黑体" w:eastAsia="黑体" w:cs="黑体"/>
      <w:b/>
      <w:sz w:val="32"/>
      <w:szCs w:val="24"/>
      <w:lang w:val="en-US" w:eastAsia="zh-CN" w:bidi="ar-SA"/>
    </w:rPr>
  </w:style>
  <w:style w:type="paragraph" w:customStyle="1" w:styleId="209">
    <w:name w:val="正文_0_0_0_0"/>
    <w:qFormat/>
    <w:uiPriority w:val="0"/>
    <w:pPr>
      <w:widowControl w:val="0"/>
      <w:jc w:val="both"/>
    </w:pPr>
    <w:rPr>
      <w:rFonts w:ascii="Times New Roman" w:hAnsi="Times New Roman" w:eastAsia="宋体" w:cs="Times New Roman"/>
      <w:szCs w:val="24"/>
      <w:lang w:val="en-US" w:eastAsia="zh-CN" w:bidi="ar-SA"/>
    </w:rPr>
  </w:style>
  <w:style w:type="table" w:customStyle="1" w:styleId="210">
    <w:name w:val="Table Grid_0"/>
    <w:basedOn w:val="41"/>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
    <w:name w:val="Normal_5_0"/>
    <w:qFormat/>
    <w:uiPriority w:val="0"/>
    <w:pPr>
      <w:widowControl w:val="0"/>
      <w:jc w:val="both"/>
    </w:pPr>
    <w:rPr>
      <w:rFonts w:ascii="宋体" w:hAnsi="宋体" w:eastAsia="宋体" w:cs="宋体"/>
      <w:lang w:val="en-US" w:eastAsia="zh-CN" w:bidi="ar-SA"/>
    </w:rPr>
  </w:style>
  <w:style w:type="paragraph" w:customStyle="1" w:styleId="212">
    <w:name w:val="Normal_6_0"/>
    <w:qFormat/>
    <w:uiPriority w:val="0"/>
    <w:rPr>
      <w:rFonts w:ascii="黑体" w:hAnsi="黑体" w:eastAsia="黑体" w:cs="黑体"/>
      <w:b/>
      <w:sz w:val="32"/>
      <w:szCs w:val="24"/>
      <w:lang w:val="en-US" w:eastAsia="zh-CN" w:bidi="ar-SA"/>
    </w:rPr>
  </w:style>
  <w:style w:type="paragraph" w:customStyle="1" w:styleId="213">
    <w:name w:val="正文_2_0"/>
    <w:qFormat/>
    <w:uiPriority w:val="0"/>
    <w:pPr>
      <w:widowControl w:val="0"/>
      <w:jc w:val="both"/>
    </w:pPr>
    <w:rPr>
      <w:rFonts w:ascii="Times New Roman" w:hAnsi="Times New Roman" w:eastAsia="宋体" w:cs="Times New Roman"/>
      <w:szCs w:val="24"/>
      <w:lang w:val="en-US" w:eastAsia="zh-CN" w:bidi="ar-SA"/>
    </w:rPr>
  </w:style>
  <w:style w:type="paragraph" w:customStyle="1" w:styleId="214">
    <w:name w:val="Normal_8"/>
    <w:qFormat/>
    <w:uiPriority w:val="0"/>
    <w:rPr>
      <w:rFonts w:ascii="黑体" w:hAnsi="黑体" w:eastAsia="黑体" w:cs="黑体"/>
      <w:b/>
      <w:sz w:val="32"/>
      <w:szCs w:val="24"/>
      <w:lang w:val="en-US" w:eastAsia="zh-CN" w:bidi="ar-SA"/>
    </w:rPr>
  </w:style>
  <w:style w:type="paragraph" w:customStyle="1" w:styleId="215">
    <w:name w:val="Normal_9"/>
    <w:qFormat/>
    <w:uiPriority w:val="0"/>
    <w:pPr>
      <w:widowControl w:val="0"/>
      <w:jc w:val="both"/>
    </w:pPr>
    <w:rPr>
      <w:rFonts w:ascii="宋体" w:hAnsi="宋体" w:eastAsia="宋体" w:cs="宋体"/>
      <w:lang w:val="en-US" w:eastAsia="zh-CN" w:bidi="ar-SA"/>
    </w:rPr>
  </w:style>
  <w:style w:type="paragraph" w:customStyle="1" w:styleId="216">
    <w:name w:val="Normal_10"/>
    <w:qFormat/>
    <w:uiPriority w:val="0"/>
    <w:rPr>
      <w:rFonts w:ascii="黑体" w:hAnsi="黑体" w:eastAsia="黑体" w:cs="黑体"/>
      <w:b/>
      <w:sz w:val="32"/>
      <w:szCs w:val="24"/>
      <w:lang w:val="en-US" w:eastAsia="zh-CN" w:bidi="ar-SA"/>
    </w:rPr>
  </w:style>
  <w:style w:type="paragraph" w:customStyle="1" w:styleId="217">
    <w:name w:val="Normal_11"/>
    <w:qFormat/>
    <w:uiPriority w:val="0"/>
    <w:pPr>
      <w:widowControl w:val="0"/>
      <w:jc w:val="both"/>
    </w:pPr>
    <w:rPr>
      <w:rFonts w:ascii="宋体" w:hAnsi="宋体" w:eastAsia="宋体" w:cs="宋体"/>
      <w:lang w:val="en-US" w:eastAsia="zh-CN" w:bidi="ar-SA"/>
    </w:rPr>
  </w:style>
  <w:style w:type="paragraph" w:customStyle="1" w:styleId="218">
    <w:name w:val="Normal_12"/>
    <w:qFormat/>
    <w:uiPriority w:val="0"/>
    <w:rPr>
      <w:rFonts w:ascii="黑体" w:hAnsi="黑体" w:eastAsia="黑体" w:cs="黑体"/>
      <w:b/>
      <w:sz w:val="32"/>
      <w:szCs w:val="24"/>
      <w:lang w:val="en-US" w:eastAsia="zh-CN" w:bidi="ar-SA"/>
    </w:rPr>
  </w:style>
  <w:style w:type="paragraph" w:customStyle="1" w:styleId="219">
    <w:name w:val="正文_8"/>
    <w:qFormat/>
    <w:uiPriority w:val="0"/>
    <w:pPr>
      <w:widowControl w:val="0"/>
      <w:jc w:val="both"/>
    </w:pPr>
    <w:rPr>
      <w:rFonts w:ascii="Calibri" w:hAnsi="Calibri" w:eastAsia="宋体" w:cs="Times New Roman"/>
      <w:lang w:val="en-US" w:eastAsia="zh-CN" w:bidi="ar-SA"/>
    </w:rPr>
  </w:style>
  <w:style w:type="paragraph" w:customStyle="1" w:styleId="220">
    <w:name w:val="Normal_13"/>
    <w:qFormat/>
    <w:uiPriority w:val="0"/>
    <w:pPr>
      <w:widowControl w:val="0"/>
      <w:jc w:val="both"/>
    </w:pPr>
    <w:rPr>
      <w:rFonts w:ascii="宋体" w:hAnsi="宋体" w:eastAsia="宋体" w:cs="宋体"/>
      <w:lang w:val="en-US" w:eastAsia="zh-CN" w:bidi="ar-SA"/>
    </w:rPr>
  </w:style>
  <w:style w:type="paragraph" w:customStyle="1" w:styleId="221">
    <w:name w:val="Normal_14"/>
    <w:qFormat/>
    <w:uiPriority w:val="0"/>
    <w:pPr>
      <w:widowControl w:val="0"/>
      <w:jc w:val="both"/>
    </w:pPr>
    <w:rPr>
      <w:rFonts w:ascii="Times New Roman" w:hAnsi="Times New Roman" w:eastAsia="宋体" w:cs="Times New Roman"/>
      <w:lang w:val="en-US" w:eastAsia="zh-CN" w:bidi="ar-SA"/>
    </w:rPr>
  </w:style>
  <w:style w:type="paragraph" w:customStyle="1" w:styleId="222">
    <w:name w:val="正文_13_0"/>
    <w:qFormat/>
    <w:uiPriority w:val="0"/>
    <w:pPr>
      <w:widowControl w:val="0"/>
      <w:jc w:val="both"/>
    </w:pPr>
    <w:rPr>
      <w:rFonts w:ascii="Calibri" w:hAnsi="Calibri" w:eastAsia="宋体" w:cs="Times New Roman"/>
      <w:lang w:val="en-US" w:eastAsia="zh-CN" w:bidi="ar-SA"/>
    </w:rPr>
  </w:style>
  <w:style w:type="paragraph" w:customStyle="1" w:styleId="223">
    <w:name w:val="正文_14"/>
    <w:qFormat/>
    <w:uiPriority w:val="0"/>
    <w:pPr>
      <w:widowControl w:val="0"/>
      <w:jc w:val="both"/>
    </w:pPr>
    <w:rPr>
      <w:rFonts w:ascii="Calibri" w:hAnsi="Calibri" w:eastAsia="宋体" w:cs="Times New Roman"/>
      <w:lang w:val="en-US" w:eastAsia="zh-CN" w:bidi="ar-SA"/>
    </w:rPr>
  </w:style>
  <w:style w:type="paragraph" w:customStyle="1" w:styleId="224">
    <w:name w:val="Normal_15"/>
    <w:qFormat/>
    <w:uiPriority w:val="0"/>
    <w:pPr>
      <w:widowControl w:val="0"/>
      <w:jc w:val="both"/>
    </w:pPr>
    <w:rPr>
      <w:rFonts w:ascii="宋体" w:hAnsi="宋体" w:eastAsia="宋体" w:cs="宋体"/>
      <w:lang w:val="en-US" w:eastAsia="zh-CN" w:bidi="ar-SA"/>
    </w:rPr>
  </w:style>
  <w:style w:type="paragraph" w:customStyle="1" w:styleId="225">
    <w:name w:val="Normal_16"/>
    <w:qFormat/>
    <w:uiPriority w:val="0"/>
    <w:rPr>
      <w:rFonts w:ascii="黑体" w:hAnsi="黑体" w:eastAsia="黑体" w:cs="黑体"/>
      <w:b/>
      <w:sz w:val="32"/>
      <w:szCs w:val="24"/>
      <w:lang w:val="en-US" w:eastAsia="zh-CN" w:bidi="ar-SA"/>
    </w:rPr>
  </w:style>
  <w:style w:type="paragraph" w:customStyle="1" w:styleId="226">
    <w:name w:val="正文_5_0"/>
    <w:qFormat/>
    <w:uiPriority w:val="0"/>
    <w:pPr>
      <w:widowControl w:val="0"/>
      <w:jc w:val="both"/>
    </w:pPr>
    <w:rPr>
      <w:rFonts w:ascii="Calibri" w:hAnsi="Calibri" w:eastAsia="宋体" w:cs="Times New Roman"/>
      <w:lang w:val="en-US" w:eastAsia="zh-CN" w:bidi="ar-SA"/>
    </w:rPr>
  </w:style>
  <w:style w:type="paragraph" w:customStyle="1" w:styleId="227">
    <w:name w:val="Normal_17"/>
    <w:qFormat/>
    <w:uiPriority w:val="0"/>
    <w:rPr>
      <w:rFonts w:ascii="黑体" w:hAnsi="黑体" w:eastAsia="黑体" w:cs="黑体"/>
      <w:b/>
      <w:sz w:val="32"/>
      <w:szCs w:val="24"/>
      <w:lang w:val="en-US" w:eastAsia="zh-CN" w:bidi="ar-SA"/>
    </w:rPr>
  </w:style>
  <w:style w:type="paragraph" w:customStyle="1" w:styleId="228">
    <w:name w:val="正文_4_3"/>
    <w:qFormat/>
    <w:uiPriority w:val="0"/>
    <w:pPr>
      <w:widowControl w:val="0"/>
      <w:jc w:val="both"/>
    </w:pPr>
    <w:rPr>
      <w:rFonts w:ascii="Calibri" w:hAnsi="Calibri" w:eastAsia="宋体" w:cs="Times New Roman"/>
      <w:lang w:val="en-US" w:eastAsia="zh-CN" w:bidi="ar-SA"/>
    </w:rPr>
  </w:style>
  <w:style w:type="paragraph" w:customStyle="1" w:styleId="229">
    <w:name w:val="Normal_18"/>
    <w:qFormat/>
    <w:uiPriority w:val="0"/>
    <w:pPr>
      <w:widowControl w:val="0"/>
      <w:jc w:val="both"/>
    </w:pPr>
    <w:rPr>
      <w:rFonts w:ascii="宋体" w:hAnsi="宋体" w:eastAsia="宋体" w:cs="宋体"/>
      <w:lang w:val="en-US" w:eastAsia="zh-CN" w:bidi="ar-SA"/>
    </w:rPr>
  </w:style>
  <w:style w:type="paragraph" w:customStyle="1" w:styleId="230">
    <w:name w:val="Normal_19"/>
    <w:qFormat/>
    <w:uiPriority w:val="0"/>
    <w:rPr>
      <w:rFonts w:ascii="黑体" w:hAnsi="黑体" w:eastAsia="黑体" w:cs="黑体"/>
      <w:b/>
      <w:sz w:val="32"/>
      <w:szCs w:val="24"/>
      <w:lang w:val="en-US" w:eastAsia="zh-CN" w:bidi="ar-SA"/>
    </w:rPr>
  </w:style>
  <w:style w:type="paragraph" w:customStyle="1" w:styleId="231">
    <w:name w:val="正文_4_4"/>
    <w:qFormat/>
    <w:uiPriority w:val="0"/>
    <w:pPr>
      <w:widowControl w:val="0"/>
      <w:jc w:val="both"/>
    </w:pPr>
    <w:rPr>
      <w:rFonts w:ascii="Calibri" w:hAnsi="Calibri" w:eastAsia="宋体" w:cs="Times New Roman"/>
      <w:lang w:val="en-US" w:eastAsia="zh-CN" w:bidi="ar-SA"/>
    </w:rPr>
  </w:style>
  <w:style w:type="paragraph" w:customStyle="1" w:styleId="232">
    <w:name w:val="Normal_20"/>
    <w:qFormat/>
    <w:uiPriority w:val="0"/>
    <w:pPr>
      <w:widowControl w:val="0"/>
      <w:jc w:val="both"/>
    </w:pPr>
    <w:rPr>
      <w:rFonts w:ascii="Times New Roman" w:hAnsi="Times New Roman" w:eastAsia="宋体" w:cs="Times New Roman"/>
      <w:lang w:val="en-US" w:eastAsia="zh-CN" w:bidi="ar-SA"/>
    </w:rPr>
  </w:style>
  <w:style w:type="paragraph" w:customStyle="1" w:styleId="233">
    <w:name w:val="Normal_21"/>
    <w:qFormat/>
    <w:uiPriority w:val="0"/>
    <w:rPr>
      <w:rFonts w:ascii="黑体" w:hAnsi="黑体" w:eastAsia="黑体" w:cs="黑体"/>
      <w:b/>
      <w:sz w:val="32"/>
      <w:szCs w:val="24"/>
      <w:lang w:val="en-US" w:eastAsia="zh-CN" w:bidi="ar-SA"/>
    </w:rPr>
  </w:style>
  <w:style w:type="paragraph" w:customStyle="1" w:styleId="234">
    <w:name w:val="正文_14_0"/>
    <w:qFormat/>
    <w:uiPriority w:val="0"/>
    <w:pPr>
      <w:widowControl w:val="0"/>
      <w:jc w:val="both"/>
    </w:pPr>
    <w:rPr>
      <w:rFonts w:ascii="Calibri" w:hAnsi="Calibri" w:eastAsia="宋体" w:cs="Times New Roman"/>
      <w:lang w:val="en-US" w:eastAsia="zh-CN" w:bidi="ar-SA"/>
    </w:rPr>
  </w:style>
  <w:style w:type="paragraph" w:customStyle="1" w:styleId="235">
    <w:name w:val="Normal_22"/>
    <w:qFormat/>
    <w:uiPriority w:val="0"/>
    <w:pPr>
      <w:widowControl w:val="0"/>
      <w:jc w:val="both"/>
    </w:pPr>
    <w:rPr>
      <w:rFonts w:ascii="宋体" w:hAnsi="宋体" w:eastAsia="宋体" w:cs="宋体"/>
      <w:lang w:val="en-US" w:eastAsia="zh-CN" w:bidi="ar-SA"/>
    </w:rPr>
  </w:style>
  <w:style w:type="paragraph" w:customStyle="1" w:styleId="236">
    <w:name w:val="Normal_23"/>
    <w:qFormat/>
    <w:uiPriority w:val="0"/>
    <w:rPr>
      <w:rFonts w:ascii="黑体" w:hAnsi="黑体" w:eastAsia="黑体" w:cs="黑体"/>
      <w:b/>
      <w:sz w:val="32"/>
      <w:szCs w:val="24"/>
      <w:lang w:val="en-US" w:eastAsia="zh-CN" w:bidi="ar-SA"/>
    </w:rPr>
  </w:style>
  <w:style w:type="paragraph" w:customStyle="1" w:styleId="237">
    <w:name w:val="正文_4_5"/>
    <w:qFormat/>
    <w:uiPriority w:val="0"/>
    <w:pPr>
      <w:widowControl w:val="0"/>
      <w:jc w:val="both"/>
    </w:pPr>
    <w:rPr>
      <w:rFonts w:ascii="Calibri" w:hAnsi="Calibri" w:eastAsia="宋体" w:cs="Times New Roman"/>
      <w:lang w:val="en-US" w:eastAsia="zh-CN" w:bidi="ar-SA"/>
    </w:rPr>
  </w:style>
  <w:style w:type="paragraph" w:customStyle="1" w:styleId="238">
    <w:name w:val="列出段落_0_0"/>
    <w:basedOn w:val="239"/>
    <w:link w:val="240"/>
    <w:qFormat/>
    <w:uiPriority w:val="34"/>
    <w:pPr>
      <w:ind w:firstLine="420" w:firstLineChars="200"/>
    </w:pPr>
    <w:rPr>
      <w:rFonts w:ascii="Calibri" w:hAnsi="Calibri"/>
    </w:rPr>
  </w:style>
  <w:style w:type="paragraph" w:customStyle="1" w:styleId="239">
    <w:name w:val="Normal_24"/>
    <w:qFormat/>
    <w:uiPriority w:val="0"/>
    <w:pPr>
      <w:widowControl w:val="0"/>
      <w:jc w:val="both"/>
    </w:pPr>
    <w:rPr>
      <w:rFonts w:ascii="Times New Roman" w:hAnsi="Times New Roman" w:eastAsia="宋体" w:cs="Times New Roman"/>
      <w:lang w:val="en-US" w:eastAsia="zh-CN" w:bidi="ar-SA"/>
    </w:rPr>
  </w:style>
  <w:style w:type="character" w:customStyle="1" w:styleId="240">
    <w:name w:val="列出段落 Char_0_0"/>
    <w:link w:val="238"/>
    <w:qFormat/>
    <w:locked/>
    <w:uiPriority w:val="34"/>
    <w:rPr>
      <w:rFonts w:ascii="Calibri" w:hAnsi="Calibri" w:eastAsia="宋体" w:cs="Times New Roman"/>
      <w:kern w:val="0"/>
      <w:sz w:val="20"/>
      <w:szCs w:val="20"/>
    </w:rPr>
  </w:style>
  <w:style w:type="paragraph" w:customStyle="1" w:styleId="241">
    <w:name w:val="Normal_25"/>
    <w:qFormat/>
    <w:uiPriority w:val="0"/>
    <w:rPr>
      <w:rFonts w:ascii="黑体" w:hAnsi="黑体" w:eastAsia="黑体" w:cs="黑体"/>
      <w:b/>
      <w:sz w:val="32"/>
      <w:szCs w:val="24"/>
      <w:lang w:val="en-US" w:eastAsia="zh-CN" w:bidi="ar-SA"/>
    </w:rPr>
  </w:style>
  <w:style w:type="paragraph" w:customStyle="1" w:styleId="242">
    <w:name w:val="Normal_26"/>
    <w:qFormat/>
    <w:uiPriority w:val="0"/>
    <w:rPr>
      <w:rFonts w:ascii="黑体" w:hAnsi="黑体" w:eastAsia="黑体" w:cs="黑体"/>
      <w:b/>
      <w:sz w:val="32"/>
      <w:szCs w:val="24"/>
      <w:lang w:val="en-US" w:eastAsia="zh-CN" w:bidi="ar-SA"/>
    </w:rPr>
  </w:style>
  <w:style w:type="paragraph" w:customStyle="1" w:styleId="243">
    <w:name w:val="正文_14_1"/>
    <w:qFormat/>
    <w:uiPriority w:val="0"/>
    <w:pPr>
      <w:widowControl w:val="0"/>
      <w:jc w:val="both"/>
    </w:pPr>
    <w:rPr>
      <w:rFonts w:ascii="Calibri" w:hAnsi="Calibri" w:eastAsia="宋体" w:cs="Times New Roman"/>
      <w:lang w:val="en-US" w:eastAsia="zh-CN" w:bidi="ar-SA"/>
    </w:rPr>
  </w:style>
  <w:style w:type="paragraph" w:customStyle="1" w:styleId="244">
    <w:name w:val="Normal_27"/>
    <w:qFormat/>
    <w:uiPriority w:val="0"/>
    <w:pPr>
      <w:widowControl w:val="0"/>
      <w:jc w:val="both"/>
    </w:pPr>
    <w:rPr>
      <w:rFonts w:ascii="Times New Roman" w:hAnsi="Times New Roman" w:eastAsia="宋体" w:cs="Times New Roman"/>
      <w:lang w:val="en-US" w:eastAsia="zh-CN" w:bidi="ar-SA"/>
    </w:rPr>
  </w:style>
  <w:style w:type="paragraph" w:customStyle="1" w:styleId="245">
    <w:name w:val="Normal_28"/>
    <w:qFormat/>
    <w:uiPriority w:val="0"/>
    <w:rPr>
      <w:rFonts w:ascii="黑体" w:hAnsi="黑体" w:eastAsia="黑体" w:cs="黑体"/>
      <w:b/>
      <w:sz w:val="32"/>
      <w:szCs w:val="24"/>
      <w:lang w:val="en-US" w:eastAsia="zh-CN" w:bidi="ar-SA"/>
    </w:rPr>
  </w:style>
  <w:style w:type="paragraph" w:customStyle="1" w:styleId="246">
    <w:name w:val="正文_17_3"/>
    <w:qFormat/>
    <w:uiPriority w:val="0"/>
    <w:pPr>
      <w:widowControl w:val="0"/>
      <w:jc w:val="both"/>
    </w:pPr>
    <w:rPr>
      <w:rFonts w:ascii="Calibri" w:hAnsi="Calibri" w:eastAsia="宋体" w:cs="Times New Roman"/>
      <w:lang w:val="en-US" w:eastAsia="zh-CN" w:bidi="ar-SA"/>
    </w:rPr>
  </w:style>
  <w:style w:type="paragraph" w:customStyle="1" w:styleId="247">
    <w:name w:val="正文_15_0"/>
    <w:qFormat/>
    <w:uiPriority w:val="0"/>
    <w:pPr>
      <w:widowControl w:val="0"/>
      <w:jc w:val="both"/>
    </w:pPr>
    <w:rPr>
      <w:rFonts w:ascii="Calibri" w:hAnsi="Calibri" w:eastAsia="宋体" w:cs="Times New Roman"/>
      <w:lang w:val="en-US" w:eastAsia="zh-CN" w:bidi="ar-SA"/>
    </w:rPr>
  </w:style>
  <w:style w:type="paragraph" w:customStyle="1" w:styleId="248">
    <w:name w:val="Normal_29"/>
    <w:qFormat/>
    <w:uiPriority w:val="0"/>
    <w:pPr>
      <w:widowControl w:val="0"/>
      <w:jc w:val="both"/>
    </w:pPr>
    <w:rPr>
      <w:rFonts w:ascii="Calibri" w:hAnsi="Calibri" w:eastAsia="宋体" w:cs="Times New Roman"/>
      <w:lang w:val="en-US" w:eastAsia="zh-CN" w:bidi="ar-SA"/>
    </w:rPr>
  </w:style>
  <w:style w:type="paragraph" w:customStyle="1" w:styleId="249">
    <w:name w:val="Normal_30"/>
    <w:qFormat/>
    <w:uiPriority w:val="0"/>
    <w:rPr>
      <w:rFonts w:ascii="黑体" w:hAnsi="黑体" w:eastAsia="黑体" w:cs="黑体"/>
      <w:b/>
      <w:sz w:val="32"/>
      <w:szCs w:val="24"/>
      <w:lang w:val="en-US" w:eastAsia="zh-CN" w:bidi="ar-SA"/>
    </w:rPr>
  </w:style>
  <w:style w:type="paragraph" w:customStyle="1" w:styleId="250">
    <w:name w:val="正文_17_4"/>
    <w:qFormat/>
    <w:uiPriority w:val="0"/>
    <w:pPr>
      <w:widowControl w:val="0"/>
      <w:jc w:val="both"/>
    </w:pPr>
    <w:rPr>
      <w:rFonts w:ascii="Calibri" w:hAnsi="Calibri" w:eastAsia="宋体" w:cs="Times New Roman"/>
      <w:lang w:val="en-US" w:eastAsia="zh-CN" w:bidi="ar-SA"/>
    </w:rPr>
  </w:style>
  <w:style w:type="paragraph" w:customStyle="1" w:styleId="251">
    <w:name w:val="正文_18"/>
    <w:qFormat/>
    <w:uiPriority w:val="0"/>
    <w:pPr>
      <w:widowControl w:val="0"/>
      <w:jc w:val="both"/>
    </w:pPr>
    <w:rPr>
      <w:rFonts w:ascii="Calibri" w:hAnsi="Calibri" w:eastAsia="宋体" w:cs="Times New Roman"/>
      <w:lang w:val="en-US" w:eastAsia="zh-CN" w:bidi="ar-SA"/>
    </w:rPr>
  </w:style>
  <w:style w:type="paragraph" w:customStyle="1" w:styleId="252">
    <w:name w:val="正文_8_1"/>
    <w:qFormat/>
    <w:uiPriority w:val="0"/>
    <w:pPr>
      <w:widowControl w:val="0"/>
      <w:jc w:val="both"/>
    </w:pPr>
    <w:rPr>
      <w:rFonts w:ascii="Calibri" w:hAnsi="Calibri" w:eastAsia="宋体" w:cs="Times New Roman"/>
      <w:lang w:val="en-US" w:eastAsia="zh-CN" w:bidi="ar-SA"/>
    </w:rPr>
  </w:style>
  <w:style w:type="paragraph" w:customStyle="1" w:styleId="253">
    <w:name w:val="Normal_31"/>
    <w:qFormat/>
    <w:uiPriority w:val="0"/>
    <w:pPr>
      <w:widowControl w:val="0"/>
      <w:jc w:val="both"/>
    </w:pPr>
    <w:rPr>
      <w:rFonts w:ascii="宋体" w:hAnsi="宋体" w:eastAsia="宋体" w:cs="宋体"/>
      <w:lang w:val="en-US" w:eastAsia="zh-CN" w:bidi="ar-SA"/>
    </w:rPr>
  </w:style>
  <w:style w:type="paragraph" w:customStyle="1" w:styleId="254">
    <w:name w:val="Normal_32"/>
    <w:qFormat/>
    <w:uiPriority w:val="0"/>
    <w:rPr>
      <w:rFonts w:ascii="黑体" w:hAnsi="黑体" w:eastAsia="黑体" w:cs="黑体"/>
      <w:b/>
      <w:sz w:val="32"/>
      <w:szCs w:val="24"/>
      <w:lang w:val="en-US" w:eastAsia="zh-CN" w:bidi="ar-SA"/>
    </w:rPr>
  </w:style>
  <w:style w:type="paragraph" w:customStyle="1" w:styleId="255">
    <w:name w:val="正文_18_0"/>
    <w:qFormat/>
    <w:uiPriority w:val="0"/>
    <w:pPr>
      <w:widowControl w:val="0"/>
      <w:jc w:val="both"/>
    </w:pPr>
    <w:rPr>
      <w:rFonts w:ascii="Calibri" w:hAnsi="Calibri" w:eastAsia="宋体" w:cs="Times New Roman"/>
      <w:lang w:val="en-US" w:eastAsia="zh-CN" w:bidi="ar-SA"/>
    </w:rPr>
  </w:style>
  <w:style w:type="paragraph" w:customStyle="1" w:styleId="256">
    <w:name w:val="Normal_33"/>
    <w:qFormat/>
    <w:uiPriority w:val="0"/>
    <w:pPr>
      <w:widowControl w:val="0"/>
      <w:jc w:val="both"/>
    </w:pPr>
    <w:rPr>
      <w:rFonts w:ascii="宋体" w:hAnsi="宋体" w:eastAsia="宋体" w:cs="宋体"/>
      <w:lang w:val="en-US" w:eastAsia="zh-CN" w:bidi="ar-SA"/>
    </w:rPr>
  </w:style>
  <w:style w:type="paragraph" w:customStyle="1" w:styleId="257">
    <w:name w:val="Normal_34"/>
    <w:qFormat/>
    <w:uiPriority w:val="0"/>
    <w:rPr>
      <w:rFonts w:ascii="黑体" w:hAnsi="黑体" w:eastAsia="黑体" w:cs="黑体"/>
      <w:b/>
      <w:sz w:val="32"/>
      <w:szCs w:val="24"/>
      <w:lang w:val="en-US" w:eastAsia="zh-CN" w:bidi="ar-SA"/>
    </w:rPr>
  </w:style>
  <w:style w:type="paragraph" w:customStyle="1" w:styleId="258">
    <w:name w:val="Normal_7_0"/>
    <w:qFormat/>
    <w:uiPriority w:val="0"/>
    <w:rPr>
      <w:rFonts w:ascii="黑体" w:hAnsi="黑体" w:eastAsia="黑体" w:cs="Times New Roman"/>
      <w:b/>
      <w:sz w:val="32"/>
      <w:szCs w:val="24"/>
      <w:lang w:val="en-US" w:eastAsia="zh-CN" w:bidi="ar-SA"/>
    </w:rPr>
  </w:style>
  <w:style w:type="paragraph" w:customStyle="1" w:styleId="259">
    <w:name w:val="正文_13_0_0"/>
    <w:qFormat/>
    <w:uiPriority w:val="0"/>
    <w:pPr>
      <w:widowControl w:val="0"/>
      <w:jc w:val="both"/>
    </w:pPr>
    <w:rPr>
      <w:rFonts w:ascii="Calibri" w:hAnsi="Calibri" w:eastAsia="宋体" w:cs="Times New Roman"/>
      <w:lang w:val="en-US" w:eastAsia="zh-CN" w:bidi="ar-SA"/>
    </w:rPr>
  </w:style>
  <w:style w:type="paragraph" w:customStyle="1" w:styleId="260">
    <w:name w:val="Normal_36"/>
    <w:qFormat/>
    <w:uiPriority w:val="0"/>
    <w:rPr>
      <w:rFonts w:ascii="黑体" w:hAnsi="黑体" w:eastAsia="黑体" w:cs="黑体"/>
      <w:b/>
      <w:sz w:val="32"/>
      <w:szCs w:val="24"/>
      <w:lang w:val="en-US" w:eastAsia="zh-CN" w:bidi="ar-SA"/>
    </w:rPr>
  </w:style>
  <w:style w:type="paragraph" w:customStyle="1" w:styleId="261">
    <w:name w:val="正文_18_1"/>
    <w:qFormat/>
    <w:uiPriority w:val="0"/>
    <w:pPr>
      <w:widowControl w:val="0"/>
      <w:jc w:val="both"/>
    </w:pPr>
    <w:rPr>
      <w:rFonts w:ascii="Times New Roman" w:hAnsi="Times New Roman" w:eastAsia="宋体" w:cs="Times New Roman"/>
      <w:szCs w:val="24"/>
      <w:lang w:val="en-US" w:eastAsia="zh-CN" w:bidi="ar-SA"/>
    </w:rPr>
  </w:style>
  <w:style w:type="paragraph" w:customStyle="1" w:styleId="262">
    <w:name w:val="段_0"/>
    <w:link w:val="263"/>
    <w:qFormat/>
    <w:uiPriority w:val="99"/>
    <w:pPr>
      <w:tabs>
        <w:tab w:val="center" w:pos="4201"/>
        <w:tab w:val="right" w:leader="dot" w:pos="9298"/>
      </w:tabs>
      <w:autoSpaceDE w:val="0"/>
      <w:autoSpaceDN w:val="0"/>
      <w:ind w:firstLine="420" w:firstLineChars="200"/>
      <w:jc w:val="both"/>
    </w:pPr>
    <w:rPr>
      <w:rFonts w:ascii="宋体" w:hAnsi="宋体" w:eastAsia="宋体" w:cs="Times New Roman"/>
      <w:b/>
      <w:bCs/>
      <w:sz w:val="32"/>
      <w:szCs w:val="32"/>
      <w:lang w:val="en-US" w:eastAsia="zh-CN" w:bidi="ar-SA"/>
    </w:rPr>
  </w:style>
  <w:style w:type="character" w:customStyle="1" w:styleId="263">
    <w:name w:val="标题 3 Char Char Char Char Char Char Char Char"/>
    <w:link w:val="262"/>
    <w:qFormat/>
    <w:uiPriority w:val="99"/>
    <w:rPr>
      <w:rFonts w:ascii="宋体" w:hAnsi="宋体" w:eastAsia="宋体" w:cs="Times New Roman"/>
      <w:b/>
      <w:bCs/>
      <w:kern w:val="0"/>
      <w:sz w:val="32"/>
      <w:szCs w:val="32"/>
    </w:rPr>
  </w:style>
  <w:style w:type="paragraph" w:customStyle="1" w:styleId="264">
    <w:name w:val="正文文本_0"/>
    <w:basedOn w:val="261"/>
    <w:link w:val="265"/>
    <w:qFormat/>
    <w:uiPriority w:val="0"/>
    <w:pPr>
      <w:spacing w:after="120"/>
    </w:pPr>
    <w:rPr>
      <w:rFonts w:ascii="Calibri" w:hAnsi="Calibri"/>
    </w:rPr>
  </w:style>
  <w:style w:type="character" w:customStyle="1" w:styleId="265">
    <w:name w:val="正文文本 Char_0"/>
    <w:link w:val="264"/>
    <w:qFormat/>
    <w:uiPriority w:val="0"/>
    <w:rPr>
      <w:rFonts w:ascii="Calibri" w:hAnsi="Calibri" w:eastAsia="宋体" w:cs="Times New Roman"/>
      <w:kern w:val="0"/>
      <w:sz w:val="20"/>
      <w:szCs w:val="24"/>
    </w:rPr>
  </w:style>
  <w:style w:type="paragraph" w:customStyle="1" w:styleId="266">
    <w:name w:val="Normal_37"/>
    <w:qFormat/>
    <w:uiPriority w:val="0"/>
    <w:pPr>
      <w:widowControl w:val="0"/>
      <w:jc w:val="both"/>
    </w:pPr>
    <w:rPr>
      <w:rFonts w:ascii="宋体" w:hAnsi="宋体" w:eastAsia="宋体" w:cs="宋体"/>
      <w:lang w:val="en-US" w:eastAsia="zh-CN" w:bidi="ar-SA"/>
    </w:rPr>
  </w:style>
  <w:style w:type="paragraph" w:customStyle="1" w:styleId="267">
    <w:name w:val="Normal_38"/>
    <w:qFormat/>
    <w:uiPriority w:val="0"/>
    <w:rPr>
      <w:rFonts w:ascii="黑体" w:hAnsi="黑体" w:eastAsia="黑体" w:cs="黑体"/>
      <w:b/>
      <w:sz w:val="32"/>
      <w:szCs w:val="24"/>
      <w:lang w:val="en-US" w:eastAsia="zh-CN" w:bidi="ar-SA"/>
    </w:rPr>
  </w:style>
  <w:style w:type="paragraph" w:customStyle="1" w:styleId="268">
    <w:name w:val="Normal_39"/>
    <w:qFormat/>
    <w:uiPriority w:val="0"/>
    <w:pPr>
      <w:widowControl w:val="0"/>
      <w:jc w:val="both"/>
    </w:pPr>
    <w:rPr>
      <w:rFonts w:ascii="宋体" w:hAnsi="宋体" w:eastAsia="宋体" w:cs="宋体"/>
      <w:lang w:val="en-US" w:eastAsia="zh-CN" w:bidi="ar-SA"/>
    </w:rPr>
  </w:style>
  <w:style w:type="paragraph" w:customStyle="1" w:styleId="269">
    <w:name w:val="Normal_40"/>
    <w:qFormat/>
    <w:uiPriority w:val="0"/>
    <w:rPr>
      <w:rFonts w:ascii="黑体" w:hAnsi="黑体" w:eastAsia="黑体" w:cs="黑体"/>
      <w:b/>
      <w:sz w:val="32"/>
      <w:szCs w:val="24"/>
      <w:lang w:val="en-US" w:eastAsia="zh-CN" w:bidi="ar-SA"/>
    </w:rPr>
  </w:style>
  <w:style w:type="paragraph" w:customStyle="1" w:styleId="270">
    <w:name w:val="段_0_0"/>
    <w:link w:val="271"/>
    <w:qFormat/>
    <w:uiPriority w:val="99"/>
    <w:pPr>
      <w:tabs>
        <w:tab w:val="center" w:pos="4201"/>
        <w:tab w:val="right" w:leader="dot" w:pos="9298"/>
      </w:tabs>
      <w:autoSpaceDE w:val="0"/>
      <w:autoSpaceDN w:val="0"/>
      <w:ind w:firstLine="420" w:firstLineChars="200"/>
      <w:jc w:val="both"/>
    </w:pPr>
    <w:rPr>
      <w:rFonts w:ascii="宋体" w:hAnsi="宋体" w:eastAsia="宋体" w:cs="Times New Roman"/>
      <w:b/>
      <w:bCs/>
      <w:sz w:val="32"/>
      <w:szCs w:val="32"/>
      <w:lang w:val="en-US" w:eastAsia="zh-CN" w:bidi="ar-SA"/>
    </w:rPr>
  </w:style>
  <w:style w:type="character" w:customStyle="1" w:styleId="271">
    <w:name w:val="标题 3 Char Char Char Char Char Char Char Char_0"/>
    <w:link w:val="270"/>
    <w:qFormat/>
    <w:uiPriority w:val="99"/>
    <w:rPr>
      <w:rFonts w:ascii="宋体" w:hAnsi="宋体" w:eastAsia="宋体" w:cs="Times New Roman"/>
      <w:b/>
      <w:bCs/>
      <w:kern w:val="0"/>
      <w:sz w:val="32"/>
      <w:szCs w:val="32"/>
    </w:rPr>
  </w:style>
  <w:style w:type="paragraph" w:customStyle="1" w:styleId="272">
    <w:name w:val="正文_18_2"/>
    <w:qFormat/>
    <w:uiPriority w:val="0"/>
    <w:pPr>
      <w:widowControl w:val="0"/>
      <w:jc w:val="both"/>
    </w:pPr>
    <w:rPr>
      <w:rFonts w:ascii="Times New Roman" w:hAnsi="Times New Roman" w:eastAsia="宋体" w:cs="Times New Roman"/>
      <w:szCs w:val="24"/>
      <w:lang w:val="en-US" w:eastAsia="zh-CN" w:bidi="ar-SA"/>
    </w:rPr>
  </w:style>
  <w:style w:type="paragraph" w:customStyle="1" w:styleId="273">
    <w:name w:val="Normal_42"/>
    <w:qFormat/>
    <w:uiPriority w:val="0"/>
    <w:rPr>
      <w:rFonts w:ascii="黑体" w:hAnsi="黑体" w:eastAsia="黑体" w:cs="黑体"/>
      <w:b/>
      <w:sz w:val="32"/>
      <w:szCs w:val="24"/>
      <w:lang w:val="en-US" w:eastAsia="zh-CN" w:bidi="ar-SA"/>
    </w:rPr>
  </w:style>
  <w:style w:type="paragraph" w:customStyle="1" w:styleId="274">
    <w:name w:val="正文_22"/>
    <w:qFormat/>
    <w:uiPriority w:val="0"/>
    <w:pPr>
      <w:widowControl w:val="0"/>
      <w:jc w:val="both"/>
    </w:pPr>
    <w:rPr>
      <w:rFonts w:ascii="Calibri" w:hAnsi="Calibri" w:eastAsia="宋体" w:cs="Times New Roman"/>
      <w:lang w:val="en-US" w:eastAsia="zh-CN" w:bidi="ar-SA"/>
    </w:rPr>
  </w:style>
  <w:style w:type="paragraph" w:customStyle="1" w:styleId="275">
    <w:name w:val="正文缩进_0_0"/>
    <w:basedOn w:val="274"/>
    <w:unhideWhenUsed/>
    <w:qFormat/>
    <w:uiPriority w:val="99"/>
    <w:pPr>
      <w:ind w:firstLine="420" w:firstLineChars="200"/>
    </w:pPr>
  </w:style>
  <w:style w:type="paragraph" w:customStyle="1" w:styleId="276">
    <w:name w:val="Normal_43"/>
    <w:qFormat/>
    <w:uiPriority w:val="0"/>
    <w:pPr>
      <w:widowControl w:val="0"/>
      <w:jc w:val="both"/>
    </w:pPr>
    <w:rPr>
      <w:rFonts w:ascii="宋体" w:hAnsi="宋体" w:eastAsia="宋体" w:cs="宋体"/>
      <w:lang w:val="en-US" w:eastAsia="zh-CN" w:bidi="ar-SA"/>
    </w:rPr>
  </w:style>
  <w:style w:type="paragraph" w:customStyle="1" w:styleId="277">
    <w:name w:val="Normal_35"/>
    <w:qFormat/>
    <w:uiPriority w:val="0"/>
    <w:rPr>
      <w:rFonts w:ascii="Times New Roman" w:hAnsi="Times New Roman" w:eastAsia="宋体" w:cs="Times New Roman"/>
      <w:sz w:val="24"/>
      <w:szCs w:val="24"/>
      <w:lang w:val="en-US" w:eastAsia="zh-CN" w:bidi="ar-SA"/>
    </w:rPr>
  </w:style>
  <w:style w:type="character" w:customStyle="1" w:styleId="278">
    <w:name w:val="页脚 字符1"/>
    <w:qFormat/>
    <w:uiPriority w:val="0"/>
    <w:rPr>
      <w:rFonts w:ascii="宋体" w:hAnsi="宋体" w:eastAsia="宋体" w:cs="宋体"/>
      <w:kern w:val="0"/>
      <w:sz w:val="18"/>
      <w:szCs w:val="18"/>
    </w:rPr>
  </w:style>
  <w:style w:type="character" w:customStyle="1" w:styleId="279">
    <w:name w:val="日期 字符"/>
    <w:basedOn w:val="43"/>
    <w:link w:val="27"/>
    <w:semiHidden/>
    <w:qFormat/>
    <w:uiPriority w:val="99"/>
    <w:rPr>
      <w:rFonts w:ascii="Times New Roman" w:hAnsi="Times New Roman" w:eastAsia="宋体(中文正文)"/>
      <w:sz w:val="24"/>
      <w:szCs w:val="22"/>
    </w:rPr>
  </w:style>
  <w:style w:type="paragraph" w:customStyle="1" w:styleId="280">
    <w:name w:val="表格"/>
    <w:basedOn w:val="1"/>
    <w:autoRedefine/>
    <w:qFormat/>
    <w:uiPriority w:val="0"/>
    <w:pPr>
      <w:spacing w:line="240" w:lineRule="auto"/>
      <w:ind w:firstLine="0" w:firstLineChars="0"/>
      <w:jc w:val="center"/>
    </w:pPr>
    <w:rPr>
      <w:rFonts w:ascii="仿宋_GB2312" w:eastAsia="仿宋_GB2312" w:hAnsiTheme="minorHAnsi"/>
      <w:sz w:val="21"/>
      <w:szCs w:val="20"/>
    </w:rPr>
  </w:style>
  <w:style w:type="character" w:customStyle="1" w:styleId="281">
    <w:name w:val="列表段落 字符"/>
    <w:link w:val="96"/>
    <w:autoRedefine/>
    <w:qFormat/>
    <w:locked/>
    <w:uiPriority w:val="34"/>
    <w:rPr>
      <w:rFonts w:ascii="Times New Roman" w:hAnsi="Times New Roman" w:eastAsia="宋体(中文正文)"/>
      <w:sz w:val="24"/>
      <w:szCs w:val="22"/>
    </w:rPr>
  </w:style>
  <w:style w:type="table" w:customStyle="1" w:styleId="282">
    <w:name w:val="网格型6"/>
    <w:basedOn w:val="41"/>
    <w:qFormat/>
    <w:uiPriority w:val="39"/>
    <w:rPr>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3">
    <w:name w:val="msonormal"/>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Cs w:val="24"/>
    </w:rPr>
  </w:style>
  <w:style w:type="paragraph" w:customStyle="1" w:styleId="284">
    <w:name w:val="font5"/>
    <w:basedOn w:val="1"/>
    <w:qFormat/>
    <w:uiPriority w:val="0"/>
    <w:pPr>
      <w:widowControl/>
      <w:spacing w:before="100" w:beforeAutospacing="1" w:after="100" w:afterAutospacing="1" w:line="240" w:lineRule="auto"/>
      <w:ind w:firstLine="0" w:firstLineChars="0"/>
      <w:jc w:val="left"/>
    </w:pPr>
    <w:rPr>
      <w:rFonts w:ascii="等线" w:hAnsi="等线" w:eastAsia="等线" w:cs="宋体"/>
      <w:kern w:val="0"/>
      <w:sz w:val="18"/>
      <w:szCs w:val="18"/>
    </w:rPr>
  </w:style>
  <w:style w:type="paragraph" w:customStyle="1" w:styleId="285">
    <w:name w:val="font6"/>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Cs w:val="24"/>
    </w:rPr>
  </w:style>
  <w:style w:type="paragraph" w:customStyle="1" w:styleId="286">
    <w:name w:val="font7"/>
    <w:basedOn w:val="1"/>
    <w:qFormat/>
    <w:uiPriority w:val="0"/>
    <w:pPr>
      <w:widowControl/>
      <w:spacing w:before="100" w:beforeAutospacing="1" w:after="100" w:afterAutospacing="1" w:line="240" w:lineRule="auto"/>
      <w:ind w:firstLine="0" w:firstLineChars="0"/>
      <w:jc w:val="left"/>
    </w:pPr>
    <w:rPr>
      <w:rFonts w:ascii="等线" w:hAnsi="等线" w:eastAsia="等线" w:cs="宋体"/>
      <w:kern w:val="0"/>
      <w:sz w:val="18"/>
      <w:szCs w:val="18"/>
    </w:rPr>
  </w:style>
  <w:style w:type="paragraph" w:customStyle="1" w:styleId="287">
    <w:name w:val="font8"/>
    <w:basedOn w:val="1"/>
    <w:qFormat/>
    <w:uiPriority w:val="0"/>
    <w:pPr>
      <w:widowControl/>
      <w:spacing w:before="100" w:beforeAutospacing="1" w:after="100" w:afterAutospacing="1" w:line="240" w:lineRule="auto"/>
      <w:ind w:firstLine="0" w:firstLineChars="0"/>
      <w:jc w:val="left"/>
    </w:pPr>
    <w:rPr>
      <w:rFonts w:eastAsia="宋体" w:cs="Times New Roman"/>
      <w:color w:val="000000"/>
      <w:kern w:val="0"/>
      <w:szCs w:val="24"/>
    </w:rPr>
  </w:style>
  <w:style w:type="paragraph" w:customStyle="1" w:styleId="288">
    <w:name w:val="font9"/>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Cs w:val="24"/>
    </w:rPr>
  </w:style>
  <w:style w:type="paragraph" w:customStyle="1" w:styleId="289">
    <w:name w:val="font10"/>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3"/>
      <w:szCs w:val="23"/>
    </w:rPr>
  </w:style>
  <w:style w:type="paragraph" w:customStyle="1" w:styleId="290">
    <w:name w:val="font12"/>
    <w:basedOn w:val="1"/>
    <w:qFormat/>
    <w:uiPriority w:val="0"/>
    <w:pPr>
      <w:widowControl/>
      <w:spacing w:before="100" w:beforeAutospacing="1" w:after="100" w:afterAutospacing="1" w:line="240" w:lineRule="auto"/>
      <w:ind w:firstLine="0" w:firstLineChars="0"/>
      <w:jc w:val="left"/>
    </w:pPr>
    <w:rPr>
      <w:rFonts w:ascii="Arial" w:hAnsi="Arial" w:eastAsia="宋体" w:cs="Arial"/>
      <w:color w:val="000000"/>
      <w:kern w:val="0"/>
      <w:sz w:val="20"/>
      <w:szCs w:val="20"/>
    </w:rPr>
  </w:style>
  <w:style w:type="paragraph" w:customStyle="1" w:styleId="291">
    <w:name w:val="font13"/>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0"/>
      <w:szCs w:val="20"/>
    </w:rPr>
  </w:style>
  <w:style w:type="paragraph" w:customStyle="1" w:styleId="292">
    <w:name w:val="font14"/>
    <w:basedOn w:val="1"/>
    <w:qFormat/>
    <w:uiPriority w:val="0"/>
    <w:pPr>
      <w:widowControl/>
      <w:spacing w:before="100" w:beforeAutospacing="1" w:after="100" w:afterAutospacing="1" w:line="240" w:lineRule="auto"/>
      <w:ind w:firstLine="0" w:firstLineChars="0"/>
      <w:jc w:val="left"/>
    </w:pPr>
    <w:rPr>
      <w:rFonts w:ascii="宋体" w:hAnsi="宋体" w:eastAsia="宋体" w:cs="宋体"/>
      <w:color w:val="000000"/>
      <w:kern w:val="0"/>
      <w:sz w:val="20"/>
      <w:szCs w:val="20"/>
    </w:rPr>
  </w:style>
  <w:style w:type="paragraph" w:customStyle="1" w:styleId="29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b/>
      <w:bCs/>
      <w:kern w:val="0"/>
      <w:szCs w:val="24"/>
    </w:rPr>
  </w:style>
  <w:style w:type="paragraph" w:customStyle="1" w:styleId="29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Cs w:val="24"/>
    </w:rPr>
  </w:style>
  <w:style w:type="paragraph" w:customStyle="1" w:styleId="29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pPr>
    <w:rPr>
      <w:rFonts w:ascii="宋体" w:hAnsi="宋体" w:eastAsia="宋体" w:cs="宋体"/>
      <w:kern w:val="0"/>
      <w:szCs w:val="24"/>
    </w:rPr>
  </w:style>
  <w:style w:type="paragraph" w:customStyle="1" w:styleId="29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right"/>
    </w:pPr>
    <w:rPr>
      <w:rFonts w:ascii="宋体" w:hAnsi="宋体" w:eastAsia="宋体" w:cs="宋体"/>
      <w:kern w:val="0"/>
      <w:szCs w:val="24"/>
    </w:rPr>
  </w:style>
  <w:style w:type="paragraph" w:customStyle="1" w:styleId="29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Cs w:val="24"/>
    </w:rPr>
  </w:style>
  <w:style w:type="paragraph" w:customStyle="1" w:styleId="29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eastAsia="宋体" w:cs="Times New Roman"/>
      <w:kern w:val="0"/>
      <w:szCs w:val="24"/>
    </w:rPr>
  </w:style>
  <w:style w:type="paragraph" w:customStyle="1" w:styleId="299">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ind w:firstLine="0" w:firstLineChars="0"/>
      <w:jc w:val="center"/>
    </w:pPr>
    <w:rPr>
      <w:rFonts w:ascii="宋体" w:hAnsi="宋体" w:eastAsia="宋体" w:cs="宋体"/>
      <w:kern w:val="0"/>
      <w:szCs w:val="24"/>
    </w:rPr>
  </w:style>
  <w:style w:type="paragraph" w:customStyle="1" w:styleId="30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Arial" w:hAnsi="Arial" w:eastAsia="宋体" w:cs="Arial"/>
      <w:color w:val="000000"/>
      <w:kern w:val="0"/>
      <w:sz w:val="20"/>
      <w:szCs w:val="20"/>
    </w:rPr>
  </w:style>
  <w:style w:type="paragraph" w:customStyle="1" w:styleId="30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 w:val="20"/>
      <w:szCs w:val="20"/>
    </w:rPr>
  </w:style>
  <w:style w:type="paragraph" w:customStyle="1" w:styleId="30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Arial" w:hAnsi="Arial" w:eastAsia="宋体" w:cs="Arial"/>
      <w:color w:val="000000"/>
      <w:kern w:val="0"/>
      <w:sz w:val="20"/>
      <w:szCs w:val="20"/>
    </w:rPr>
  </w:style>
  <w:style w:type="paragraph" w:customStyle="1" w:styleId="30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b/>
      <w:bCs/>
      <w:color w:val="000000"/>
      <w:kern w:val="0"/>
      <w:szCs w:val="24"/>
    </w:rPr>
  </w:style>
  <w:style w:type="paragraph" w:customStyle="1" w:styleId="30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color w:val="000000"/>
      <w:kern w:val="0"/>
      <w:szCs w:val="24"/>
    </w:rPr>
  </w:style>
  <w:style w:type="paragraph" w:customStyle="1" w:styleId="30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eastAsia="宋体" w:cs="宋体"/>
      <w:kern w:val="0"/>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Gongwb\Documents\&#33258;&#23450;&#20041;%20Office%20&#27169;&#26495;\&#38485;&#35199;&#36890;&#20026;&#25968;&#23383;&#31185;&#25216;&#26377;&#38480;&#20844;&#21496;&#25216;&#26415;&#25991;&#20214;&#27169;&#26495;-2023020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C95B2-5238-4387-833D-74E7D0B5D514}">
  <ds:schemaRefs/>
</ds:datastoreItem>
</file>

<file path=docProps/app.xml><?xml version="1.0" encoding="utf-8"?>
<Properties xmlns="http://schemas.openxmlformats.org/officeDocument/2006/extended-properties" xmlns:vt="http://schemas.openxmlformats.org/officeDocument/2006/docPropsVTypes">
  <Template>陕西通为数字科技有限公司技术文件模板-20230209</Template>
  <Pages>15</Pages>
  <Words>8546</Words>
  <Characters>9156</Characters>
  <Lines>72</Lines>
  <Paragraphs>20</Paragraphs>
  <TotalTime>4</TotalTime>
  <ScaleCrop>false</ScaleCrop>
  <LinksUpToDate>false</LinksUpToDate>
  <CharactersWithSpaces>9215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2025-07-22T01:04:00Z</dcterms:created>
  <dc:creator>wb gong</dc:creator>
  <cp:lastModifiedBy>芒果</cp:lastModifiedBy>
  <cp:lastPrinted>2025-10-03T09:04:00Z</cp:lastPrinted>
  <dcterms:modified xsi:type="dcterms:W3CDTF">2026-06-24T07:05:46Z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eyJoZGlkIjoiYTNjZDgxNzUzM2RlYjY3ZTQwODcxMDdlZjljNDc3NzUiLCJ1c2VySWQiOiIyNDM0NTk5NjMifQ==</vt:lpwstr>
  </property>
  <property fmtid="{D5CDD505-2E9C-101B-9397-08002B2CF9AE}" pid="3" name="KSOProductBuildVer">
    <vt:lpwstr>2052-12.1.0.26895</vt:lpwstr>
  </property>
  <property fmtid="{D5CDD505-2E9C-101B-9397-08002B2CF9AE}" pid="4" name="ICV">
    <vt:lpwstr>C8349B8FE2044CC89568B2B99C74023C_13</vt:lpwstr>
  </property>
</Properties>
</file>