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版本号：SCIT-ZC-SX2026050002。20260528001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2026年残疾人托养和照护服务采购项目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SCIT-ZC-SX2026050002。</w:t>
      </w:r>
      <w:r>
        <w:br/>
      </w:r>
      <w:r>
        <w:br/>
      </w:r>
      <w:r>
        <w:br/>
      </w:r>
    </w:p>
    <w:p>
      <w:pPr>
        <w:pStyle w:val="null3"/>
        <w:jc w:val="center"/>
        <w:outlineLvl w:val="2"/>
      </w:pPr>
      <w:r>
        <w:rPr>
          <w:rFonts w:ascii="仿宋_GB2312" w:hAnsi="仿宋_GB2312" w:cs="仿宋_GB2312" w:eastAsia="仿宋_GB2312"/>
          <w:sz w:val="28"/>
          <w:b/>
        </w:rPr>
        <w:t>渭南市临渭区残疾人联合会</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渭南市临渭区残疾人联合会</w:t>
      </w:r>
      <w:r>
        <w:rPr>
          <w:rFonts w:ascii="仿宋_GB2312" w:hAnsi="仿宋_GB2312" w:cs="仿宋_GB2312" w:eastAsia="仿宋_GB2312"/>
        </w:rPr>
        <w:t>委托，拟对</w:t>
      </w:r>
      <w:r>
        <w:rPr>
          <w:rFonts w:ascii="仿宋_GB2312" w:hAnsi="仿宋_GB2312" w:cs="仿宋_GB2312" w:eastAsia="仿宋_GB2312"/>
        </w:rPr>
        <w:t>2026年残疾人托养和照护服务采购项目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SCIT-ZC-SX2026050002。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2026年残疾人托养和照护服务采购项目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本项目为我区122名符合条件的残疾人提供托养服务，分为3个包，01包寄宿制托养服务12.6万元，21人次;02包日间照料服务13.2万元，33人次;03包居家服务17万元，68人次;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磋商只须提交其身份证明）：法定代表人授权书及被授权人身份证明（法定代表人直接参与磋商只须提交其身份证明），供应商须根据磋商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供应商未被列入失信被执行人、重大税收违法案件当事人名单、政府采购严重违法失信行为记录：供应商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及被授权人身份证明（法定代表人直接参与磋商只须提交其身份证明）：法定代表人授权书及被授权人身份证明（法定代表人直接参与磋商只须提交其身份证明），供应商须根据磋商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供应商未被列入失信被执行人、重大税收违法案件当事人名单、政府采购严重违法失信行为记录：供应商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书及被授权人身份证明（法定代表人直接参与磋商只须提交其身份证明）：法定代表人授权书及被授权人身份证明（法定代表人直接参与磋商只须提交其身份证明），供应商须根据磋商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供应商未被列入失信被执行人、重大税收违法案件当事人名单、政府采购严重违法失信行为记录：供应商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一青里区政府1号楼101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王宏超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0913-3039103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谭逸哲、龙杰、张祎多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采购包1：126,000.00元</w:t>
            </w:r>
          </w:p>
          <w:p>
            <w:pPr>
              <w:pStyle w:val="null3"/>
            </w:pPr>
            <w:r>
              <w:rPr>
                <w:rFonts w:ascii="仿宋_GB2312" w:hAnsi="仿宋_GB2312" w:cs="仿宋_GB2312" w:eastAsia="仿宋_GB2312"/>
              </w:rPr>
              <w:t>采购包2：132,000.00元</w:t>
            </w:r>
          </w:p>
          <w:p>
            <w:pPr>
              <w:pStyle w:val="null3"/>
            </w:pPr>
            <w:r>
              <w:rPr>
                <w:rFonts w:ascii="仿宋_GB2312" w:hAnsi="仿宋_GB2312" w:cs="仿宋_GB2312" w:eastAsia="仿宋_GB2312"/>
              </w:rPr>
              <w:t>采购包3：170,000.00元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代理服务费收费标准：以成交金额作为计算基数,参照国家计委计价[2002]1980号及发改办价格[2003]857号通知规定标准下浮20％计取支付，由成交供应商在领取成交通知书前向招标代理机构交纳招标服务费。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渭南市临渭区残疾人联合会</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详见磋商文件、响应文件、合同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详见磋商文件、响应文件、合同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详见磋商文件、响应文件、合同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联系人：谭逸哲、龙杰、张祎多</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本项目为我区122名符合条件的残疾人提供托养服务，分为3个包，01包寄宿制托养服务12.6万元，21人次;02包日间照料服务13.2万元，33人次;03包居家服务17万元，68人次;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126,000.00</w:t>
      </w:r>
    </w:p>
    <w:p>
      <w:pPr>
        <w:pStyle w:val="null3"/>
      </w:pPr>
      <w:r>
        <w:rPr>
          <w:rFonts w:ascii="仿宋_GB2312" w:hAnsi="仿宋_GB2312" w:cs="仿宋_GB2312" w:eastAsia="仿宋_GB2312"/>
        </w:rPr>
        <w:t>采购包最高限价（元）: 126,000.00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残疾人托养服务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132,000.00</w:t>
      </w:r>
    </w:p>
    <w:p>
      <w:pPr>
        <w:pStyle w:val="null3"/>
      </w:pPr>
      <w:r>
        <w:rPr>
          <w:rFonts w:ascii="仿宋_GB2312" w:hAnsi="仿宋_GB2312" w:cs="仿宋_GB2312" w:eastAsia="仿宋_GB2312"/>
        </w:rPr>
        <w:t>采购包最高限价（元）: 132,000.00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残疾人托养服务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170,000.00</w:t>
      </w:r>
    </w:p>
    <w:p>
      <w:pPr>
        <w:pStyle w:val="null3"/>
      </w:pPr>
      <w:r>
        <w:rPr>
          <w:rFonts w:ascii="仿宋_GB2312" w:hAnsi="仿宋_GB2312" w:cs="仿宋_GB2312" w:eastAsia="仿宋_GB2312"/>
        </w:rPr>
        <w:t>采购包最高限价（元）: 170,000.00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残疾人托养服务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标的名称：残疾人托养服务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right="-195" w:firstLine="640"/>
              <w:jc w:val="left"/>
            </w:pPr>
            <w:r>
              <w:rPr>
                <w:rFonts w:ascii="仿宋_GB2312" w:hAnsi="仿宋_GB2312" w:cs="仿宋_GB2312" w:eastAsia="仿宋_GB2312"/>
                <w:sz w:val="32"/>
              </w:rPr>
              <w:t>1、寄宿制托养服务内容包括：生活照料和护理、生活自理能力训练、社会适应能力辅导、运动功能训练、职业康复和劳动技能训练等方面的社会服务。具体如下：</w:t>
            </w:r>
          </w:p>
          <w:tbl>
            <w:tblPr>
              <w:tblInd w:type="dxa" w:w="120"/>
              <w:tblBorders>
                <w:top w:val="none" w:color="000000" w:sz="4"/>
                <w:left w:val="none" w:color="000000" w:sz="4"/>
                <w:bottom w:val="none" w:color="000000" w:sz="4"/>
                <w:right w:val="none" w:color="000000" w:sz="4"/>
                <w:insideH w:val="none"/>
                <w:insideV w:val="none"/>
              </w:tblBorders>
            </w:tblPr>
            <w:tblGrid>
              <w:gridCol w:w="199"/>
              <w:gridCol w:w="581"/>
              <w:gridCol w:w="1055"/>
              <w:gridCol w:w="413"/>
              <w:gridCol w:w="306"/>
            </w:tblGrid>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w:t>
                  </w:r>
                </w:p>
              </w:tc>
              <w:tc>
                <w:tcPr>
                  <w:tcW w:type="dxa" w:w="10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服务项目</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服务时间</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生活照料和护理</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洗漱</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可根据实际情况进行调整</w:t>
                  </w: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理发</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1次/月</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测量体温</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测血压</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测血糖</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洗澡</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1次/月</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剪指甲</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2次/月</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进餐</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3次/天</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房间消毒</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2次/周</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剃胡须</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衣物清洗</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随脏随洗</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打扫卫生</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p>
                  <w:pPr>
                    <w:pStyle w:val="null3"/>
                    <w:ind w:firstLine="420"/>
                    <w:jc w:val="center"/>
                  </w:pPr>
                </w:p>
              </w:tc>
              <w:tc>
                <w:tcPr>
                  <w:tcW w:type="dxa" w:w="5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生活自理能力训练</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上肢屈伸、持物训练</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双下肢屈伸、行走训练</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大小便自理能力训练</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料理家务技能训练</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起居训练</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社会适应能力辅导</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心理疏导让残疾人增强自信</w:t>
                  </w:r>
                </w:p>
              </w:tc>
              <w:tc>
                <w:tcPr>
                  <w:tcW w:type="dxa" w:w="4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1次/周</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辅导残疾人适应托养机构的集体生活、与他人友好交往</w:t>
                  </w:r>
                </w:p>
              </w:tc>
              <w:tc>
                <w:tcPr>
                  <w:tcW w:type="dxa" w:w="413"/>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辅导残疾人参与集体活动、提高身体技能灵活性</w:t>
                  </w:r>
                </w:p>
              </w:tc>
              <w:tc>
                <w:tcPr>
                  <w:tcW w:type="dxa" w:w="413"/>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r>
            <w:tr>
              <w:tc>
                <w:tcPr>
                  <w:tcW w:type="dxa" w:w="1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运动功能训练</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平衡训练</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稳定性训练</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vMerge/>
                  <w:tcBorders>
                    <w:top w:val="none" w:color="000000" w:sz="4"/>
                    <w:left w:val="single" w:color="000000" w:sz="4"/>
                    <w:bottom w:val="single" w:color="000000" w:sz="4"/>
                    <w:right w:val="single" w:color="000000" w:sz="4"/>
                  </w:tcBorders>
                </w:tcPr>
                <w:p/>
              </w:tc>
              <w:tc>
                <w:tcPr>
                  <w:tcW w:type="dxa" w:w="581"/>
                  <w:vMerge/>
                  <w:tcBorders>
                    <w:top w:val="none" w:color="000000" w:sz="4"/>
                    <w:left w:val="none" w:color="000000" w:sz="4"/>
                    <w:bottom w:val="single" w:color="000000" w:sz="4"/>
                    <w:right w:val="single" w:color="000000" w:sz="4"/>
                  </w:tcBorders>
                </w:tcP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能量再生训练</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06"/>
                  <w:vMerge/>
                  <w:tcBorders>
                    <w:top w:val="none" w:color="000000" w:sz="4"/>
                    <w:left w:val="none" w:color="000000" w:sz="4"/>
                    <w:bottom w:val="single" w:color="000000" w:sz="4"/>
                    <w:right w:val="single" w:color="000000" w:sz="4"/>
                  </w:tcBorders>
                </w:tc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职业康复和劳动技能训练</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训练服务、技能培训（工疗、农疗）</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1次/月</w:t>
                  </w:r>
                </w:p>
              </w:tc>
              <w:tc>
                <w:tcPr>
                  <w:tcW w:type="dxa" w:w="306"/>
                  <w:vMerge/>
                  <w:tcBorders>
                    <w:top w:val="none" w:color="000000" w:sz="4"/>
                    <w:left w:val="none" w:color="000000" w:sz="4"/>
                    <w:bottom w:val="single" w:color="000000" w:sz="4"/>
                    <w:right w:val="single" w:color="000000" w:sz="4"/>
                  </w:tcBorders>
                </w:tcPr>
                <w:p/>
              </w:tc>
            </w:tr>
          </w:tbl>
          <w:p>
            <w:pPr>
              <w:pStyle w:val="null3"/>
              <w:ind w:firstLine="643"/>
              <w:jc w:val="both"/>
            </w:pPr>
            <w:r>
              <w:rPr>
                <w:rFonts w:ascii="仿宋_GB2312" w:hAnsi="仿宋_GB2312" w:cs="仿宋_GB2312" w:eastAsia="仿宋_GB2312"/>
                <w:sz w:val="32"/>
              </w:rPr>
              <w:t>2、服务对象</w:t>
            </w:r>
          </w:p>
          <w:p>
            <w:pPr>
              <w:pStyle w:val="null3"/>
              <w:ind w:right="-195" w:firstLine="640"/>
              <w:jc w:val="left"/>
            </w:pPr>
            <w:r>
              <w:rPr>
                <w:rFonts w:ascii="仿宋_GB2312" w:hAnsi="仿宋_GB2312" w:cs="仿宋_GB2312" w:eastAsia="仿宋_GB2312"/>
                <w:sz w:val="32"/>
              </w:rPr>
              <w:t>(一)残疾人托养服务</w:t>
            </w:r>
          </w:p>
          <w:p>
            <w:pPr>
              <w:pStyle w:val="null3"/>
              <w:ind w:right="-195" w:firstLine="640"/>
              <w:jc w:val="left"/>
            </w:pPr>
            <w:r>
              <w:rPr>
                <w:rFonts w:ascii="仿宋_GB2312" w:hAnsi="仿宋_GB2312" w:cs="仿宋_GB2312" w:eastAsia="仿宋_GB2312"/>
                <w:sz w:val="32"/>
              </w:rPr>
              <w:t>具有临渭区户籍、处于就业年龄段、持有《中华人民共和国残疾人证》，有托养服务需求的智力残疾人、稳定期的精神残疾人</w:t>
            </w:r>
            <w:r>
              <w:rPr>
                <w:rFonts w:ascii="仿宋_GB2312" w:hAnsi="仿宋_GB2312" w:cs="仿宋_GB2312" w:eastAsia="仿宋_GB2312"/>
                <w:sz w:val="32"/>
              </w:rPr>
              <w:t>(指精神障碍已经在精神专科确诊并得到治疗急性期症状已被控制，目前处于较稳定的状态，并经精神科医师风险评估可以转介托养的精神残疾人)、重度肢体残疾人以及同时存在智力残疾或精神残疾的多重残疾人。</w:t>
            </w:r>
          </w:p>
          <w:p>
            <w:pPr>
              <w:pStyle w:val="null3"/>
              <w:ind w:right="-195" w:firstLine="640"/>
              <w:jc w:val="left"/>
            </w:pPr>
            <w:r>
              <w:rPr>
                <w:rFonts w:ascii="仿宋_GB2312" w:hAnsi="仿宋_GB2312" w:cs="仿宋_GB2312" w:eastAsia="仿宋_GB2312"/>
                <w:sz w:val="32"/>
              </w:rPr>
              <w:t>(二)社会救助家庭中生活不能自理残疾人照护服务</w:t>
            </w:r>
          </w:p>
          <w:p>
            <w:pPr>
              <w:pStyle w:val="null3"/>
            </w:pPr>
            <w:r>
              <w:rPr>
                <w:rFonts w:ascii="仿宋_GB2312" w:hAnsi="仿宋_GB2312" w:cs="仿宋_GB2312" w:eastAsia="仿宋_GB2312"/>
                <w:sz w:val="32"/>
              </w:rPr>
              <w:t>具有临渭区户籍、</w:t>
            </w:r>
            <w:r>
              <w:rPr>
                <w:rFonts w:ascii="仿宋_GB2312" w:hAnsi="仿宋_GB2312" w:cs="仿宋_GB2312" w:eastAsia="仿宋_GB2312"/>
                <w:sz w:val="32"/>
              </w:rPr>
              <w:t>16周岁以上、持有《中华人民共和国残疾人证》、属低保或低保边缘家庭、生活不能自理、有照护需求和意愿的残疾人。已经纳入特困救助供养、服务类救助、失能老年人照护服务、长期护理保险、残疾人托养服务:精神卫生社区康复服务等相关照护政策或项目覆盖范围的不作为服务对象。优先保障符合以上条件的重度残疾人。</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标的名称：残疾人托养服务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right="-195" w:firstLine="640"/>
              <w:jc w:val="left"/>
            </w:pPr>
            <w:r>
              <w:rPr>
                <w:rFonts w:ascii="仿宋_GB2312" w:hAnsi="仿宋_GB2312" w:cs="仿宋_GB2312" w:eastAsia="仿宋_GB2312"/>
                <w:sz w:val="32"/>
              </w:rPr>
              <w:t>1、日间照料服务内容包括：生活照料和护理、生活自理能力训练、社会适应能力辅导、运动功能训练、职业康复和劳动技能训练等方面的社会服务。具体如下：</w:t>
            </w:r>
          </w:p>
          <w:tbl>
            <w:tblPr>
              <w:tblInd w:type="dxa" w:w="120"/>
              <w:tblBorders>
                <w:top w:val="none" w:color="000000" w:sz="4"/>
                <w:left w:val="none" w:color="000000" w:sz="4"/>
                <w:bottom w:val="none" w:color="000000" w:sz="4"/>
                <w:right w:val="none" w:color="000000" w:sz="4"/>
                <w:insideH w:val="none"/>
                <w:insideV w:val="none"/>
              </w:tblBorders>
            </w:tblPr>
            <w:tblGrid>
              <w:gridCol w:w="200"/>
              <w:gridCol w:w="584"/>
              <w:gridCol w:w="1046"/>
              <w:gridCol w:w="400"/>
              <w:gridCol w:w="323"/>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w:t>
                  </w:r>
                </w:p>
              </w:tc>
              <w:tc>
                <w:tcPr>
                  <w:tcW w:type="dxa" w:w="1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服务项目</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服务时间</w:t>
                  </w:r>
                </w:p>
              </w:tc>
              <w:tc>
                <w:tcPr>
                  <w:tcW w:type="dxa" w:w="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生活照料和护理</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测量体温</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可根据实际情况进行调整</w:t>
                  </w: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测血压</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测血糖</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洗漱</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理发</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1次/月</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洗澡</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1次/月</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剪指甲</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2次/月</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进餐</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3次/天</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房间消毒</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2次/周</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剃胡须</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衣物清洗</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随脏随洗</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打扫卫生</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tcBorders>
                    <w:top w:val="none" w:color="000000" w:sz="4"/>
                    <w:left w:val="none" w:color="000000" w:sz="4"/>
                    <w:bottom w:val="single" w:color="000000" w:sz="4"/>
                    <w:right w:val="single" w:color="000000" w:sz="4"/>
                  </w:tcBorders>
                </w:tcPr>
                <w:p/>
              </w:tc>
            </w:tr>
            <w:tr>
              <w:tc>
                <w:tcPr>
                  <w:tcW w:type="dxa" w:w="2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p>
                  <w:pPr>
                    <w:pStyle w:val="null3"/>
                    <w:ind w:firstLine="420"/>
                    <w:jc w:val="center"/>
                  </w:pP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生活自理能力训练</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上肢屈伸、持物训练</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双下肢屈伸、行走训练</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大小便自理能力训练</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料理家务技能训练</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1次/周</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智力、精神残疾人起居训练</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tcBorders>
                    <w:top w:val="none" w:color="000000" w:sz="4"/>
                    <w:left w:val="none" w:color="000000" w:sz="4"/>
                    <w:bottom w:val="single" w:color="000000" w:sz="4"/>
                    <w:right w:val="single" w:color="000000" w:sz="4"/>
                  </w:tcBorders>
                </w:tcPr>
                <w:p/>
              </w:tc>
            </w:tr>
            <w:tr>
              <w:tc>
                <w:tcPr>
                  <w:tcW w:type="dxa" w:w="2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社会适应能力辅导</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心理疏导让残疾人增强自信</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1次/周</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辅导残疾人适应托养机构的集体生活、与他人友好交往</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1次/周</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辅导残疾人参与集体活动、提高身体技能灵活性</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1次/周</w:t>
                  </w:r>
                </w:p>
              </w:tc>
              <w:tc>
                <w:tcPr>
                  <w:tcW w:type="dxa" w:w="323"/>
                  <w:vMerge/>
                  <w:tcBorders>
                    <w:top w:val="none" w:color="000000" w:sz="4"/>
                    <w:left w:val="none" w:color="000000" w:sz="4"/>
                    <w:bottom w:val="single" w:color="000000" w:sz="4"/>
                    <w:right w:val="single" w:color="000000" w:sz="4"/>
                  </w:tcBorders>
                </w:tcPr>
                <w:p/>
              </w:tc>
            </w:tr>
            <w:tr>
              <w:tc>
                <w:tcPr>
                  <w:tcW w:type="dxa" w:w="2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运动功能训练</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平衡训练</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稳定性训练</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能量再生训练</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1次/天</w:t>
                  </w:r>
                </w:p>
              </w:tc>
              <w:tc>
                <w:tcPr>
                  <w:tcW w:type="dxa" w:w="323"/>
                  <w:vMerge/>
                  <w:tcBorders>
                    <w:top w:val="none" w:color="000000" w:sz="4"/>
                    <w:left w:val="none" w:color="000000" w:sz="4"/>
                    <w:bottom w:val="single" w:color="000000" w:sz="4"/>
                    <w:right w:val="single" w:color="000000" w:sz="4"/>
                  </w:tcBorders>
                </w:tc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职业康复和劳动技能训练</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训练服务、技能培训（工疗、农疗）</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1次/月</w:t>
                  </w:r>
                </w:p>
              </w:tc>
              <w:tc>
                <w:tcPr>
                  <w:tcW w:type="dxa" w:w="323"/>
                  <w:vMerge/>
                  <w:tcBorders>
                    <w:top w:val="none" w:color="000000" w:sz="4"/>
                    <w:left w:val="none" w:color="000000" w:sz="4"/>
                    <w:bottom w:val="single" w:color="000000" w:sz="4"/>
                    <w:right w:val="single" w:color="000000" w:sz="4"/>
                  </w:tcBorders>
                </w:tcPr>
                <w:p/>
              </w:tc>
            </w:tr>
          </w:tbl>
          <w:p>
            <w:pPr>
              <w:pStyle w:val="null3"/>
              <w:jc w:val="both"/>
            </w:pPr>
            <w:r>
              <w:rPr>
                <w:rFonts w:ascii="仿宋_GB2312" w:hAnsi="仿宋_GB2312" w:cs="仿宋_GB2312" w:eastAsia="仿宋_GB2312"/>
                <w:sz w:val="32"/>
              </w:rPr>
              <w:t>2、服务对象</w:t>
            </w:r>
          </w:p>
          <w:p>
            <w:pPr>
              <w:pStyle w:val="null3"/>
              <w:ind w:right="-195" w:firstLine="640"/>
              <w:jc w:val="left"/>
            </w:pPr>
            <w:r>
              <w:rPr>
                <w:rFonts w:ascii="仿宋_GB2312" w:hAnsi="仿宋_GB2312" w:cs="仿宋_GB2312" w:eastAsia="仿宋_GB2312"/>
                <w:sz w:val="32"/>
              </w:rPr>
              <w:t>(一)残疾人托养服务</w:t>
            </w:r>
          </w:p>
          <w:p>
            <w:pPr>
              <w:pStyle w:val="null3"/>
              <w:ind w:right="-195" w:firstLine="640"/>
              <w:jc w:val="left"/>
            </w:pPr>
            <w:r>
              <w:rPr>
                <w:rFonts w:ascii="仿宋_GB2312" w:hAnsi="仿宋_GB2312" w:cs="仿宋_GB2312" w:eastAsia="仿宋_GB2312"/>
                <w:sz w:val="32"/>
              </w:rPr>
              <w:t>具有临渭区户籍、处于就业年龄段、持有《中华人民共和国残疾人证》，有托养服务需求的智力残疾人、稳定期的精神残疾人</w:t>
            </w:r>
            <w:r>
              <w:rPr>
                <w:rFonts w:ascii="仿宋_GB2312" w:hAnsi="仿宋_GB2312" w:cs="仿宋_GB2312" w:eastAsia="仿宋_GB2312"/>
                <w:sz w:val="32"/>
              </w:rPr>
              <w:t>(指精神障碍已经在精神专科确诊并得到治疗急性期症状已被控制，目前处于较稳定的状态，并经精神科医师风险评估可以转介托养的精神残疾人)、重度肢体残疾人以及同时存在智力残疾或精神残疾的多重残疾人。</w:t>
            </w:r>
          </w:p>
          <w:p>
            <w:pPr>
              <w:pStyle w:val="null3"/>
              <w:ind w:right="-195" w:firstLine="640"/>
              <w:jc w:val="left"/>
            </w:pPr>
            <w:r>
              <w:rPr>
                <w:rFonts w:ascii="仿宋_GB2312" w:hAnsi="仿宋_GB2312" w:cs="仿宋_GB2312" w:eastAsia="仿宋_GB2312"/>
                <w:sz w:val="32"/>
              </w:rPr>
              <w:t>(二)社会救助家庭中生活不能自理残疾人照护服务</w:t>
            </w:r>
          </w:p>
          <w:p>
            <w:pPr>
              <w:pStyle w:val="null3"/>
              <w:ind w:right="-195" w:firstLine="640"/>
              <w:jc w:val="left"/>
            </w:pPr>
            <w:r>
              <w:rPr>
                <w:rFonts w:ascii="仿宋_GB2312" w:hAnsi="仿宋_GB2312" w:cs="仿宋_GB2312" w:eastAsia="仿宋_GB2312"/>
                <w:sz w:val="32"/>
              </w:rPr>
              <w:t>具有临渭区户籍、</w:t>
            </w:r>
            <w:r>
              <w:rPr>
                <w:rFonts w:ascii="仿宋_GB2312" w:hAnsi="仿宋_GB2312" w:cs="仿宋_GB2312" w:eastAsia="仿宋_GB2312"/>
                <w:sz w:val="32"/>
              </w:rPr>
              <w:t>16周岁以上、持有《中华人民共和国残疾人证》、属低保或低保边缘家庭、生活不能自理、有照护需求和意愿的残疾人。已经纳入特困救助供养、服务类救助、失能老年人照护服务、长期护理保险、残疾人托养服务:精神卫生社区康复服务等相关照护政策或项目覆盖范围的不作为服务对象。优先保障符合以上条件的重度残疾人。</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标的名称：残疾人托养服务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right="-195" w:firstLine="640"/>
              <w:jc w:val="left"/>
            </w:pPr>
            <w:r>
              <w:rPr>
                <w:rFonts w:ascii="仿宋_GB2312" w:hAnsi="仿宋_GB2312" w:cs="仿宋_GB2312" w:eastAsia="仿宋_GB2312"/>
                <w:sz w:val="32"/>
              </w:rPr>
              <w:t>1、居家服务内容包括：生活照料和护理、社会适应能力辅导、运动功能训练等方面的社会服务。具体如下：</w:t>
            </w:r>
          </w:p>
          <w:tbl>
            <w:tblPr>
              <w:tblInd w:type="dxa" w:w="120"/>
              <w:tblBorders>
                <w:top w:val="none" w:color="000000" w:sz="4"/>
                <w:left w:val="none" w:color="000000" w:sz="4"/>
                <w:bottom w:val="none" w:color="000000" w:sz="4"/>
                <w:right w:val="none" w:color="000000" w:sz="4"/>
                <w:insideH w:val="none"/>
                <w:insideV w:val="none"/>
              </w:tblBorders>
            </w:tblPr>
            <w:tblGrid>
              <w:gridCol w:w="200"/>
              <w:gridCol w:w="584"/>
              <w:gridCol w:w="1046"/>
              <w:gridCol w:w="400"/>
              <w:gridCol w:w="323"/>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w:t>
                  </w:r>
                </w:p>
              </w:tc>
              <w:tc>
                <w:tcPr>
                  <w:tcW w:type="dxa" w:w="1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服务项目</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服务时间</w:t>
                  </w:r>
                </w:p>
              </w:tc>
              <w:tc>
                <w:tcPr>
                  <w:tcW w:type="dxa" w:w="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生活照料和护理</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理发</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1次/月</w:t>
                  </w:r>
                </w:p>
              </w:tc>
              <w:tc>
                <w:tcPr>
                  <w:tcW w:type="dxa" w:w="3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可根据实际情况进行调整</w:t>
                  </w: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测量体温</w:t>
                  </w: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每次</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测血压</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测血糖</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剪指甲</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膳食服务</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衣物整理</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剃胡须</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衣物清洗</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打扫卫生</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整理床铺</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衣物换洗</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护理指导</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社会适应能力辅导</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心理疏导让残疾人增强自信</w:t>
                  </w: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每次</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辅导残疾人适应托养机构的集体生活、与他人友好交往</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辅导残疾人参与集体活动、提高身体技能灵活性</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运动功能训练</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指导平衡训练</w:t>
                  </w: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每次</w:t>
                  </w: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指导稳定性训练</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r>
              <w:tc>
                <w:tcPr>
                  <w:tcW w:type="dxa" w:w="20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指导能量再生训练</w:t>
                  </w:r>
                </w:p>
              </w:tc>
              <w:tc>
                <w:tcPr>
                  <w:tcW w:type="dxa" w:w="400"/>
                  <w:vMerge/>
                  <w:tcBorders>
                    <w:top w:val="none" w:color="000000" w:sz="4"/>
                    <w:left w:val="non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r>
          </w:tbl>
          <w:p>
            <w:pPr>
              <w:pStyle w:val="null3"/>
              <w:ind w:firstLine="643"/>
              <w:jc w:val="both"/>
            </w:pPr>
            <w:r>
              <w:rPr>
                <w:rFonts w:ascii="仿宋_GB2312" w:hAnsi="仿宋_GB2312" w:cs="仿宋_GB2312" w:eastAsia="仿宋_GB2312"/>
                <w:sz w:val="32"/>
              </w:rPr>
              <w:t>2、服务对象</w:t>
            </w:r>
          </w:p>
          <w:p>
            <w:pPr>
              <w:pStyle w:val="null3"/>
              <w:ind w:right="-195" w:firstLine="640"/>
              <w:jc w:val="left"/>
            </w:pPr>
            <w:r>
              <w:rPr>
                <w:rFonts w:ascii="仿宋_GB2312" w:hAnsi="仿宋_GB2312" w:cs="仿宋_GB2312" w:eastAsia="仿宋_GB2312"/>
                <w:sz w:val="32"/>
              </w:rPr>
              <w:t>(一)残疾人托养服务</w:t>
            </w:r>
          </w:p>
          <w:p>
            <w:pPr>
              <w:pStyle w:val="null3"/>
              <w:ind w:right="-195" w:firstLine="640"/>
              <w:jc w:val="left"/>
            </w:pPr>
            <w:r>
              <w:rPr>
                <w:rFonts w:ascii="仿宋_GB2312" w:hAnsi="仿宋_GB2312" w:cs="仿宋_GB2312" w:eastAsia="仿宋_GB2312"/>
                <w:sz w:val="32"/>
              </w:rPr>
              <w:t>具有临渭区户籍、处于就业年龄段、持有《中华人民共和国残疾人证》，有托养服务需求的智力残疾人、稳定期的精神残疾人</w:t>
            </w:r>
            <w:r>
              <w:rPr>
                <w:rFonts w:ascii="仿宋_GB2312" w:hAnsi="仿宋_GB2312" w:cs="仿宋_GB2312" w:eastAsia="仿宋_GB2312"/>
                <w:sz w:val="32"/>
              </w:rPr>
              <w:t>(指精神障碍已经在精神专科确诊并得到治疗急性期症状已被控制，目前处于较稳定的状态，并经精神科医师风险评估可以转介托养的精神残疾人)、重度肢体残疾人以及同时存在智力残疾或精神残疾的多重残疾人。</w:t>
            </w:r>
          </w:p>
          <w:p>
            <w:pPr>
              <w:pStyle w:val="null3"/>
              <w:ind w:right="-195" w:firstLine="640"/>
              <w:jc w:val="left"/>
            </w:pPr>
            <w:r>
              <w:rPr>
                <w:rFonts w:ascii="仿宋_GB2312" w:hAnsi="仿宋_GB2312" w:cs="仿宋_GB2312" w:eastAsia="仿宋_GB2312"/>
                <w:sz w:val="32"/>
              </w:rPr>
              <w:t>(二)社会救助家庭中生活不能自理残疾人照护服务</w:t>
            </w:r>
          </w:p>
          <w:p>
            <w:pPr>
              <w:pStyle w:val="null3"/>
            </w:pPr>
            <w:r>
              <w:rPr>
                <w:rFonts w:ascii="仿宋_GB2312" w:hAnsi="仿宋_GB2312" w:cs="仿宋_GB2312" w:eastAsia="仿宋_GB2312"/>
                <w:sz w:val="32"/>
              </w:rPr>
              <w:t>具有临渭区户籍、</w:t>
            </w:r>
            <w:r>
              <w:rPr>
                <w:rFonts w:ascii="仿宋_GB2312" w:hAnsi="仿宋_GB2312" w:cs="仿宋_GB2312" w:eastAsia="仿宋_GB2312"/>
                <w:sz w:val="32"/>
              </w:rPr>
              <w:t>16周岁以上、持有《中华人民共和国残疾人证》、属低保或低保边缘家庭、生活不能自理、有照护需求和意愿的残疾人。已经纳入特困救助供养、服务类救助、失能老年人照护服务、长期护理保险、残疾人托养服务:精神卫生社区康复服务等相关照护政策或项目覆盖范围的不作为服务对象。优先保障符合以上条件的重度残疾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3个月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渭南市临渭区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渭南市临渭区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1、供应商要严格按照《就业年龄段智力、精神及重度肢体残疾人托养服务规范》（GB_T 37516-2019）规定的服务标准和流程为服务对象提供服务。 2、服务质量分为良好、合格、差三个等次。采购人定期对供应商服务质量进行抽查。满意度大于等于85%的，视为服务质量良好；满意度低于85%大于80%的，服务质量为合格；满意度低于80%的，质量为差。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1、供应商要严格按照《就业年龄段智力、精神及重度肢体残疾人托养服务规范》（GB_T 37516-2019）规定的服务标准和流程为服务对象提供服务。 2、服务质量分为良好、合格、差三个等次。采购人定期对供应商服务质量进行抽查。满意度大于等于85%的，视为服务质量良好；满意度低于85%大于80%的，服务质量为合格；满意度低于80%的，质量为差。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1、供应商要严格按照《就业年龄段智力、精神及重度肢体残疾人托养服务规范》（GB_T 37516-2019）规定的服务标准和流程为服务对象提供服务。 2、服务质量分为良好、合格、差三个等次。采购人定期对供应商服务质量进行抽查。满意度大于等于85%的，视为服务质量良好；满意度低于85%大于80%的，服务质量为合格；满意度低于80%的，质量为差。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进度款，项目实施结束后，供应商向采购人提出书面验收报告，采购人在30个工作日内对供应商项目实施情况进行绩效评估验收，评估验收合格后，供应商向采购人出具全额发票，采购人向供应商拨付资金 ，达到付款条件起30个工作日内，支付合同总金额的100.0%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进度款，项目实施结束后，供应商向采购人提出书面验收报告，采购人在30个工作日内对供应商项目实施情况进行绩效评估验收，评估验收合格后，供应商向采购人出具全额发票，采购人向供应商拨付资金 ，达到付款条件起30个工作日内，支付合同总金额的100.0%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进度款，项目实施结束后，供应商向采购人提出书面验收报告，采购人在30个工作日内对供应商项目实施情况进行绩效评估验收，评估验收合格后，供应商向采购人出具全额发票，采购人向供应商拨付资金 ，达到付款条件起30个工作日内，支付合同总金额的100.0%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详见磋商文件、响应文件、合同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详见磋商文件、响应文件、合同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详见磋商文件、响应文件、合同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3.3商务要求不允许负偏离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供应商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(①社会保障资金缴纳证明：提供2025年4月1日至今已缴存的任一月份的社会保障资金缴存单据或社保机构开具的社会保险参保缴费情况证明，依法不需要缴纳社会保障资金的投标人应提供相关文件证明； ）；②提供2025年4月1日至今已缴纳的至少一个月的纳税证明或完税证明，依法免税的单位应提供相关证明材料）；5.具 备履行合同所必需的设备和专业技术能力的证 明材料（按照磋商文件格式提供承诺函）；6. 参加政府采购活动前3年内在经营活动中没有重 大违法记录的承诺函（按照磋商文件格式提供 承诺函）；7.具备法律、行政法规规定的其他条件的证明材料（按照磋商文件格式提供承诺函）；供应商需在项目电子化交易系统中按要求填写《投标函》完成承诺并进行电子签章。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二十二条承诺函.docx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财务报告复印件(包含审计报告和审计报告中所涉及的财务报表和报表附注），②也可提供截至响应文件递交截止日6个月内银行出具的资信证明（复印件），③供应商注册时间截至响应文件递交截止日不足一年的, 也可提供加盖工商备案主管部门印章的公司章程复印件，④也可提供政府采购信用担保机构出具的《政府采购投标担保函》｝，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供应商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(①社会保障资金缴纳证明：提供2025年4月1日至今已缴存的任一月份的社会保障资金缴存单据或社保机构开具的社会保险参保缴费情况证明，依法不需要缴纳社会保障资金的投标人应提供相关文件证明； ）；②提供2025年4月1日至今已缴纳的至少一个月的纳税证明或完税证明，依法免税的单位应提供相关证明材料）；5.具 备履行合同所必需的设备和专业技术能力的证 明材料（按照磋商文件格式提供承诺函）；6. 参加政府采购活动前3年内在经营活动中没有重 大违法记录的承诺函（按照磋商文件格式提供 承诺函）；7.具备法律、行政法规规定的其他条件的证明材料（按照磋商文件格式提供承诺函）；供应商需在项目电子化交易系统中按要求填写《投标函》完成承诺并进行电子签章。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二十二条承诺函.docx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财务报告复印件(包含审计报告和审计报告中所涉及的财务报表和报表附注），②也可提供截至响应文件递交截止日6个月内银行出具的资信证明（复印件），③供应商注册时间截至响应文件递交截止日不足一年的, 也可提供加盖工商备案主管部门印章的公司章程复印件，④也可提供政府采购信用担保机构出具的《政府采购投标担保函》｝，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供应商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(①社会保障资金缴纳证明：提供2025年4月1日至今已缴存的任一月份的社会保障资金缴存单据或社保机构开具的社会保险参保缴费情况证明，依法不需要缴纳社会保障资金的投标人应提供相关文件证明； ）；②提供2025年4月1日至今已缴纳的至少一个月的纳税证明或完税证明，依法免税的单位应提供相关证明材料）；5.具 备履行合同所必需的设备和专业技术能力的证 明材料（按照磋商文件格式提供承诺函）；6. 参加政府采购活动前3年内在经营活动中没有重 大违法记录的承诺函（按照磋商文件格式提供 承诺函）；7.具备法律、行政法规规定的其他条件的证明材料（按照磋商文件格式提供承诺函）；供应商需在项目电子化交易系统中按要求填写《投标函》完成承诺并进行电子签章。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二十二条承诺函.docx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财务报告复印件(包含审计报告和审计报告中所涉及的财务报表和报表附注），②也可提供截至响应文件递交截止日6个月内银行出具的资信证明（复印件），③供应商注册时间截至响应文件递交截止日不足一年的, 也可提供加盖工商备案主管部门印章的公司章程复印件，④也可提供政府采购信用担保机构出具的《政府采购投标担保函》｝，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法定代表人授权书及被授权人身份证明（法定代表人直接参与磋商只须提交其身份证明）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磋商只须提交其身份证明），供应商须根据磋商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法定代表人授权书及被授权人身份证明（法定代表人直接参与磋商只须提交其身份证明）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磋商只须提交其身份证明），供应商须根据磋商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法定代表人授权书及被授权人身份证明（法定代表人直接参与磋商只须提交其身份证明）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磋商只须提交其身份证明），供应商须根据磋商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1.响应文件组成明显不符合采购文件的规定要求，影响磋商小组评判的；2.响应文件的语言、计量单位、知识产权、响应有效期等不符合采购文件的规定，影响磋商小组评判的；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3322"/>
          </w:tcPr>
          <w:p>
            <w:pPr>
              <w:pStyle w:val="null3"/>
            </w:pPr>
            <w:r>
              <w:rPr>
                <w:rFonts w:ascii="仿宋_GB2312" w:hAnsi="仿宋_GB2312" w:cs="仿宋_GB2312" w:eastAsia="仿宋_GB2312"/>
              </w:rPr>
              <w:t>1.响应文件组成明显不符合采购文件的规定要求，影响磋商小组评判的；2.响应文件的语言、计量单位、知识产权、响应有效期等不符合采购文件的规定，影响磋商小组评判的；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1.响应文件组成明显不符合采购文件的规定要求，影响磋商小组评判的；2.响应文件的语言、计量单位、知识产权、响应有效期等不符合采购文件的规定，影响磋商小组评判的；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3322"/>
          </w:tcPr>
          <w:p>
            <w:pPr>
              <w:pStyle w:val="null3"/>
            </w:pPr>
            <w:r>
              <w:rPr>
                <w:rFonts w:ascii="仿宋_GB2312" w:hAnsi="仿宋_GB2312" w:cs="仿宋_GB2312" w:eastAsia="仿宋_GB2312"/>
              </w:rPr>
              <w:t>1.响应文件组成明显不符合采购文件的规定要求，影响磋商小组评判的；2.响应文件的语言、计量单位、知识产权、响应有效期等不符合采购文件的规定，影响磋商小组评判的；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1.响应文件组成明显不符合采购文件的规定要求，影响磋商小组评判的；2.响应文件的语言、计量单位、知识产权、响应有效期等不符合采购文件的规定，影响磋商小组评判的；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3322"/>
          </w:tcPr>
          <w:p>
            <w:pPr>
              <w:pStyle w:val="null3"/>
            </w:pPr>
            <w:r>
              <w:rPr>
                <w:rFonts w:ascii="仿宋_GB2312" w:hAnsi="仿宋_GB2312" w:cs="仿宋_GB2312" w:eastAsia="仿宋_GB2312"/>
              </w:rPr>
              <w:t>1.响应文件组成明显不符合采购文件的规定要求，影响磋商小组评判的；2.响应文件的语言、计量单位、知识产权、响应有效期等不符合采购文件的规定，影响磋商小组评判的；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供项目服务方案包含但不限于①服务总体规划；②生活照料和护理服务；③生活自理能力训练；④社会适应能力辅导和运动功能训练；⑤职业康复与劳动技能训练；⑥岗位培训方案。方案内容完全响应磋商文件要求的得24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机构管理体系及保障措施</w:t>
            </w:r>
          </w:p>
        </w:tc>
        <w:tc>
          <w:tcPr>
            <w:tcW w:type="dxa" w:w="2492"/>
          </w:tcPr>
          <w:p>
            <w:pPr>
              <w:pStyle w:val="null3"/>
            </w:pPr>
            <w:r>
              <w:rPr>
                <w:rFonts w:ascii="仿宋_GB2312" w:hAnsi="仿宋_GB2312" w:cs="仿宋_GB2312" w:eastAsia="仿宋_GB2312"/>
              </w:rPr>
              <w:t>提供机构管理体系及保障措施包含但不限于①服务管理及质量保证；②服务反馈、检查监督；③投诉处理、服务改进；④出入机构管理制度措施。方案内容完全响应磋商文件要求的得16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提供工作部署及进度安排包含但不限于①工作进度计划安排；②工作进度计划保障措施；③进度与服务质量同步管控措施。方案内容完全响应磋商文件要求的得9分；方案中每有一项内容缺失扣3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提供突发应急预案包含但不限于①服务对象身体健康方面；②服务对象生活环境方面；③服务人员技术以及设备方面可能发生的应急情况；④与应急部门的沟通协作预案；⑤应急管理制度及应急措施。方案内容完全响应磋商文件要求的得20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提供合理化建议及承诺包含但不限于①服务内容优化建议；②人员与管理提升建议；③服务质量保障承诺；④责任履行承诺。方案内容完全响应招标文件要求的得10分；方案中每有一项内容缺失扣2.5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提供项目实施方案包含但不限于①重难点分析；②重难点应对措施。方案内容完全响应磋商文件要求的得6分；方案中每有一项内容缺失扣3分，方案内容要素中每存在一处缺陷扣1分，该分项分值扣完为止。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供应商提供自2023年1月1日以来类似项目业绩（供应商自己实施的，业绩证明以合同的复印件或中标通知书复印件加盖公章为准）。每提供一份得1分，满分5分。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以最终最低有效磋商报价为基准价，报价得分=（磋商基准价/最终磋商报价）×价格权值×100；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供项目服务方案包含但不限于①服务总体规划；②生活照料和护理服务；③生活自理能力训练；④社会适应能力辅导和运动功能训练；⑤职业康复与劳动技能训练；⑥岗位培训方案。方案内容完全响应磋商文件要求的得24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机构管理体系及保障措施</w:t>
            </w:r>
          </w:p>
        </w:tc>
        <w:tc>
          <w:tcPr>
            <w:tcW w:type="dxa" w:w="2492"/>
          </w:tcPr>
          <w:p>
            <w:pPr>
              <w:pStyle w:val="null3"/>
            </w:pPr>
            <w:r>
              <w:rPr>
                <w:rFonts w:ascii="仿宋_GB2312" w:hAnsi="仿宋_GB2312" w:cs="仿宋_GB2312" w:eastAsia="仿宋_GB2312"/>
              </w:rPr>
              <w:t>提供机构管理体系及保障措施包含但不限于①服务管理及质量保证；②服务反馈、检查监督；③投诉处理、服务改进；④出入机构管理制度措施。方案内容完全响应磋商文件要求的得16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提供工作部署及进度安排包含但不限于①工作进度计划安排；②工作进度计划保障措施；③进度与服务质量同步管控措施。方案内容完全响应磋商文件要求的得9分；方案中每有一项内容缺失扣3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提供突发应急预案包含但不限于①服务对象身体健康方面；②服务对象生活环境方面；③服务人员技术以及设备方面可能发生的应急情况；④与应急部门的沟通协作预案；⑤应急管理制度及应急措施。方案内容完全响应磋商文件要求的得20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提供合理化建议及承诺包含但不限于①服务内容优化建议；②人员与管理提升建议；③服务质量保障承诺；④责任履行承诺。方案内容完全响应招标文件要求的得10分；方案中每有一项内容缺失扣2.5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提供项目实施方案包含但不限于①重难点分析；②重难点应对措施。方案内容完全响应磋商文件要求的得6分；方案中每有一项内容缺失扣3分，方案内容要素中每存在一处缺陷扣1分，该分项分值扣完为止。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供应商提供自2023年1月1日以来类似项目业绩（供应商自己实施的，业绩证明以合同的复印件或中标通知书复印件加盖公章为准）。每提供一份得1分，满分5分。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以最终最低有效磋商报价为基准价，报价得分=（磋商基准价/最终磋商报价）×价格权值×100；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供项目服务方案包含但不限于①服务总体规划；②生活照料和护理服务；③生活自理能力训练；④社会适应能力辅导和运动功能训练；⑤职业康复与劳动技能训练；⑥岗位培训方案。方案内容完全响应磋商文件要求的得24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机构管理体系及保障措施</w:t>
            </w:r>
          </w:p>
        </w:tc>
        <w:tc>
          <w:tcPr>
            <w:tcW w:type="dxa" w:w="2492"/>
          </w:tcPr>
          <w:p>
            <w:pPr>
              <w:pStyle w:val="null3"/>
            </w:pPr>
            <w:r>
              <w:rPr>
                <w:rFonts w:ascii="仿宋_GB2312" w:hAnsi="仿宋_GB2312" w:cs="仿宋_GB2312" w:eastAsia="仿宋_GB2312"/>
              </w:rPr>
              <w:t>提供机构管理体系及保障措施包含但不限于①服务管理及质量保证；②服务反馈、检查监督；③投诉处理、服务改进；④出入机构管理制度措施。方案内容完全响应磋商文件要求的得16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提供工作部署及进度安排包含但不限于①工作进度计划安排；②工作进度计划保障措施；③进度与服务质量同步管控措施。方案内容完全响应磋商文件要求的得9分；方案中每有一项内容缺失扣3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提供突发应急预案包含但不限于①服务对象身体健康方面；②服务对象生活环境方面；③服务人员技术以及设备方面可能发生的应急情况；④与应急部门的沟通协作预案；⑤应急管理制度及应急措施。方案内容完全响应磋商文件要求的得20分；方案中每有一项内容缺失扣4分，方案内容要素中每存在一处缺陷扣2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提供合理化建议及承诺包含但不限于①服务内容优化建议；②人员与管理提升建议；③服务质量保障承诺；④责任履行承诺。方案内容完全响应招标文件要求的得10分；方案中每有一项内容缺失扣2.5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提供项目实施方案包含但不限于①重难点分析；②重难点应对措施。方案内容完全响应磋商文件要求的得6分；方案中每有一项内容缺失扣3分，方案内容要素中每存在一处缺陷扣1分，该分项分值扣完为止。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供应商提供自2023年1月1日以来类似项目业绩（供应商自己实施的，业绩证明以合同的复印件或中标通知书复印件加盖公章为准）。每提供一份得1分，满分5分。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以最终最低有效磋商报价为基准价，报价得分=（磋商基准价/最终磋商报价）×价格权值×100；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详见附件：二十二条承诺函.docx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详见附件：二十二条承诺函.docx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详见附件：二十二条承诺函.docx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