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E0EC35">
      <w:pPr>
        <w:rPr>
          <w:rFonts w:hint="default" w:cs="仿宋" w:asciiTheme="minorEastAsia" w:hAnsiTheme="minorEastAsia" w:eastAsiaTheme="minorEastAsia"/>
          <w:b/>
          <w:color w:val="auto"/>
          <w:sz w:val="36"/>
          <w:highlight w:val="none"/>
          <w:lang w:val="en-US"/>
        </w:rPr>
      </w:pPr>
      <w:r>
        <w:rPr>
          <w:rFonts w:hint="eastAsia" w:cs="仿宋" w:asciiTheme="minorEastAsia" w:hAnsiTheme="minorEastAsia" w:eastAsiaTheme="minorEastAsia"/>
          <w:b/>
          <w:bCs/>
          <w:color w:val="auto"/>
          <w:sz w:val="32"/>
          <w:szCs w:val="32"/>
          <w:highlight w:val="none"/>
        </w:rPr>
        <w:t>项目编号：</w:t>
      </w:r>
      <w:r>
        <w:rPr>
          <w:rFonts w:hint="eastAsia" w:cs="仿宋" w:asciiTheme="minorEastAsia" w:hAnsiTheme="minorEastAsia" w:eastAsiaTheme="minorEastAsia"/>
          <w:b/>
          <w:bCs/>
          <w:color w:val="auto"/>
          <w:sz w:val="32"/>
          <w:szCs w:val="32"/>
          <w:highlight w:val="none"/>
          <w:lang w:eastAsia="zh-CN"/>
        </w:rPr>
        <w:t>ZJZB-2026-035</w:t>
      </w:r>
    </w:p>
    <w:p w14:paraId="38D2B64C">
      <w:pPr>
        <w:rPr>
          <w:rFonts w:hint="eastAsia" w:cs="仿宋" w:asciiTheme="minorEastAsia" w:hAnsiTheme="minorEastAsia" w:eastAsiaTheme="minorEastAsia"/>
          <w:b/>
          <w:color w:val="auto"/>
          <w:sz w:val="36"/>
          <w:szCs w:val="36"/>
          <w:highlight w:val="none"/>
        </w:rPr>
      </w:pPr>
    </w:p>
    <w:p w14:paraId="06A863FE">
      <w:pPr>
        <w:rPr>
          <w:rFonts w:hint="eastAsia" w:cs="仿宋" w:asciiTheme="minorEastAsia" w:hAnsiTheme="minorEastAsia" w:eastAsiaTheme="minorEastAsia"/>
          <w:b/>
          <w:color w:val="auto"/>
          <w:sz w:val="52"/>
          <w:szCs w:val="52"/>
          <w:highlight w:val="none"/>
        </w:rPr>
      </w:pPr>
    </w:p>
    <w:p w14:paraId="531E5134">
      <w:pPr>
        <w:jc w:val="center"/>
        <w:rPr>
          <w:rFonts w:hint="eastAsia" w:cs="仿宋" w:asciiTheme="minorEastAsia" w:hAnsiTheme="minorEastAsia" w:eastAsiaTheme="minorEastAsia"/>
          <w:b/>
          <w:color w:val="auto"/>
          <w:sz w:val="48"/>
          <w:szCs w:val="48"/>
          <w:highlight w:val="none"/>
          <w:lang w:val="en-US" w:eastAsia="zh-CN"/>
        </w:rPr>
      </w:pPr>
      <w:bookmarkStart w:id="0" w:name="OLE_LINK1"/>
    </w:p>
    <w:bookmarkEnd w:id="0"/>
    <w:p w14:paraId="301224CD">
      <w:pPr>
        <w:pStyle w:val="5"/>
        <w:ind w:firstLine="0" w:firstLineChars="0"/>
        <w:jc w:val="center"/>
        <w:rPr>
          <w:b/>
          <w:bCs/>
          <w:color w:val="auto"/>
          <w:sz w:val="20"/>
          <w:szCs w:val="22"/>
          <w:highlight w:val="none"/>
        </w:rPr>
      </w:pPr>
      <w:bookmarkStart w:id="1" w:name="OLE_LINK8"/>
      <w:r>
        <w:rPr>
          <w:rFonts w:hint="eastAsia" w:cs="仿宋" w:asciiTheme="minorEastAsia" w:hAnsiTheme="minorEastAsia" w:eastAsiaTheme="minorEastAsia"/>
          <w:b/>
          <w:bCs/>
          <w:color w:val="auto"/>
          <w:sz w:val="48"/>
          <w:szCs w:val="48"/>
          <w:highlight w:val="none"/>
          <w:lang w:val="en-US" w:eastAsia="zh-CN"/>
        </w:rPr>
        <w:t>2026年度蓝田县政府大院机关食堂服务项目</w:t>
      </w:r>
    </w:p>
    <w:bookmarkEnd w:id="1"/>
    <w:p w14:paraId="4AF7EDF2">
      <w:pPr>
        <w:spacing w:line="780" w:lineRule="auto"/>
        <w:jc w:val="center"/>
        <w:rPr>
          <w:rFonts w:hint="eastAsia" w:cs="仿宋" w:asciiTheme="minorEastAsia" w:hAnsiTheme="minorEastAsia" w:eastAsiaTheme="minorEastAsia"/>
          <w:b/>
          <w:color w:val="auto"/>
          <w:sz w:val="52"/>
          <w:szCs w:val="52"/>
          <w:highlight w:val="none"/>
        </w:rPr>
      </w:pPr>
    </w:p>
    <w:p w14:paraId="25473886">
      <w:pPr>
        <w:spacing w:line="780" w:lineRule="auto"/>
        <w:jc w:val="center"/>
        <w:rPr>
          <w:rFonts w:hint="eastAsia" w:cs="仿宋" w:asciiTheme="minorEastAsia" w:hAnsiTheme="minorEastAsia" w:eastAsiaTheme="minorEastAsia"/>
          <w:b/>
          <w:color w:val="auto"/>
          <w:sz w:val="52"/>
          <w:szCs w:val="52"/>
          <w:highlight w:val="none"/>
        </w:rPr>
      </w:pPr>
    </w:p>
    <w:p w14:paraId="268117C6">
      <w:pPr>
        <w:spacing w:line="780" w:lineRule="auto"/>
        <w:jc w:val="center"/>
        <w:rPr>
          <w:rFonts w:hint="eastAsia" w:cs="仿宋" w:asciiTheme="minorEastAsia" w:hAnsiTheme="minorEastAsia" w:eastAsiaTheme="minorEastAsia"/>
          <w:b/>
          <w:color w:val="auto"/>
          <w:sz w:val="52"/>
          <w:szCs w:val="52"/>
          <w:highlight w:val="none"/>
        </w:rPr>
      </w:pPr>
    </w:p>
    <w:p w14:paraId="431A9D8C">
      <w:pPr>
        <w:spacing w:line="780" w:lineRule="auto"/>
        <w:jc w:val="center"/>
        <w:rPr>
          <w:rFonts w:hint="eastAsia" w:cs="仿宋" w:asciiTheme="minorEastAsia" w:hAnsiTheme="minorEastAsia" w:eastAsiaTheme="minorEastAsia"/>
          <w:b/>
          <w:color w:val="auto"/>
          <w:sz w:val="72"/>
          <w:szCs w:val="72"/>
          <w:highlight w:val="none"/>
        </w:rPr>
      </w:pPr>
      <w:r>
        <w:rPr>
          <w:rFonts w:hint="eastAsia" w:cs="仿宋" w:asciiTheme="minorEastAsia" w:hAnsiTheme="minorEastAsia" w:eastAsiaTheme="minorEastAsia"/>
          <w:b/>
          <w:color w:val="auto"/>
          <w:sz w:val="52"/>
          <w:szCs w:val="52"/>
          <w:highlight w:val="none"/>
        </w:rPr>
        <w:t>竞争性磋商文件</w:t>
      </w:r>
    </w:p>
    <w:p w14:paraId="6F1ACBDD">
      <w:pPr>
        <w:rPr>
          <w:rFonts w:hint="eastAsia" w:cs="仿宋" w:asciiTheme="minorEastAsia" w:hAnsiTheme="minorEastAsia" w:eastAsiaTheme="minorEastAsia"/>
          <w:color w:val="auto"/>
          <w:highlight w:val="none"/>
        </w:rPr>
      </w:pPr>
      <w:bookmarkStart w:id="2" w:name="_Toc363463325"/>
      <w:bookmarkEnd w:id="2"/>
    </w:p>
    <w:p w14:paraId="720BCC7A">
      <w:pPr>
        <w:rPr>
          <w:rFonts w:hint="eastAsia" w:cs="仿宋" w:asciiTheme="minorEastAsia" w:hAnsiTheme="minorEastAsia" w:eastAsiaTheme="minorEastAsia"/>
          <w:color w:val="auto"/>
          <w:highlight w:val="none"/>
        </w:rPr>
      </w:pPr>
    </w:p>
    <w:p w14:paraId="49B05370">
      <w:pPr>
        <w:rPr>
          <w:rFonts w:hint="eastAsia" w:cs="仿宋" w:asciiTheme="minorEastAsia" w:hAnsiTheme="minorEastAsia" w:eastAsiaTheme="minorEastAsia"/>
          <w:b/>
          <w:color w:val="auto"/>
          <w:sz w:val="36"/>
          <w:szCs w:val="36"/>
          <w:highlight w:val="none"/>
        </w:rPr>
      </w:pPr>
    </w:p>
    <w:p w14:paraId="0C7DD7EB">
      <w:pPr>
        <w:rPr>
          <w:rFonts w:hint="eastAsia" w:cs="仿宋" w:asciiTheme="minorEastAsia" w:hAnsiTheme="minorEastAsia" w:eastAsiaTheme="minorEastAsia"/>
          <w:b/>
          <w:color w:val="auto"/>
          <w:sz w:val="36"/>
          <w:szCs w:val="36"/>
          <w:highlight w:val="none"/>
        </w:rPr>
      </w:pPr>
    </w:p>
    <w:p w14:paraId="52D0F8E2">
      <w:pPr>
        <w:pStyle w:val="2"/>
        <w:rPr>
          <w:color w:val="auto"/>
          <w:highlight w:val="none"/>
        </w:rPr>
      </w:pPr>
    </w:p>
    <w:p w14:paraId="35E8DDE1">
      <w:pPr>
        <w:pStyle w:val="24"/>
        <w:rPr>
          <w:color w:val="auto"/>
          <w:highlight w:val="none"/>
        </w:rPr>
      </w:pPr>
    </w:p>
    <w:p w14:paraId="4194CA2B">
      <w:pPr>
        <w:rPr>
          <w:rFonts w:hint="eastAsia" w:cs="仿宋" w:asciiTheme="minorEastAsia" w:hAnsiTheme="minorEastAsia" w:eastAsiaTheme="minorEastAsia"/>
          <w:b/>
          <w:bCs/>
          <w:color w:val="auto"/>
          <w:sz w:val="32"/>
          <w:szCs w:val="32"/>
          <w:highlight w:val="none"/>
        </w:rPr>
      </w:pPr>
    </w:p>
    <w:p w14:paraId="041CADC4">
      <w:pPr>
        <w:pStyle w:val="29"/>
        <w:rPr>
          <w:color w:val="auto"/>
          <w:highlight w:val="none"/>
        </w:rPr>
      </w:pPr>
    </w:p>
    <w:p w14:paraId="5B42D905">
      <w:pPr>
        <w:ind w:firstLine="1807" w:firstLineChars="600"/>
        <w:jc w:val="both"/>
        <w:rPr>
          <w:rFonts w:hint="eastAsia" w:cs="仿宋" w:asciiTheme="minorEastAsia" w:hAnsiTheme="minorEastAsia" w:eastAsiaTheme="minorEastAsia"/>
          <w:b/>
          <w:bCs/>
          <w:color w:val="auto"/>
          <w:sz w:val="30"/>
          <w:szCs w:val="30"/>
          <w:highlight w:val="none"/>
          <w:lang w:eastAsia="zh-CN"/>
        </w:rPr>
      </w:pPr>
      <w:r>
        <w:rPr>
          <w:rFonts w:hint="eastAsia" w:cs="仿宋" w:asciiTheme="minorEastAsia" w:hAnsiTheme="minorEastAsia" w:eastAsiaTheme="minorEastAsia"/>
          <w:b/>
          <w:bCs/>
          <w:color w:val="auto"/>
          <w:sz w:val="30"/>
          <w:szCs w:val="30"/>
          <w:highlight w:val="none"/>
        </w:rPr>
        <w:t>采   购   人：</w:t>
      </w:r>
      <w:r>
        <w:rPr>
          <w:rFonts w:hint="eastAsia" w:cs="仿宋" w:asciiTheme="minorEastAsia" w:hAnsiTheme="minorEastAsia" w:eastAsiaTheme="minorEastAsia"/>
          <w:b/>
          <w:bCs/>
          <w:color w:val="auto"/>
          <w:sz w:val="30"/>
          <w:szCs w:val="30"/>
          <w:highlight w:val="none"/>
          <w:lang w:eastAsia="zh-CN"/>
        </w:rPr>
        <w:t>蓝田县机关事务服务中心</w:t>
      </w:r>
    </w:p>
    <w:p w14:paraId="2E8C8416">
      <w:pPr>
        <w:ind w:firstLine="1807" w:firstLineChars="600"/>
        <w:jc w:val="both"/>
        <w:rPr>
          <w:rFonts w:hint="eastAsia" w:cs="仿宋" w:asciiTheme="minorEastAsia" w:hAnsiTheme="minorEastAsia" w:eastAsiaTheme="minorEastAsia"/>
          <w:b/>
          <w:bCs/>
          <w:color w:val="auto"/>
          <w:sz w:val="30"/>
          <w:szCs w:val="30"/>
          <w:highlight w:val="none"/>
          <w:lang w:eastAsia="zh-CN"/>
        </w:rPr>
      </w:pPr>
      <w:r>
        <w:rPr>
          <w:rFonts w:hint="eastAsia" w:cs="仿宋" w:asciiTheme="minorEastAsia" w:hAnsiTheme="minorEastAsia" w:eastAsiaTheme="minorEastAsia"/>
          <w:b/>
          <w:bCs/>
          <w:color w:val="auto"/>
          <w:sz w:val="30"/>
          <w:szCs w:val="30"/>
          <w:highlight w:val="none"/>
        </w:rPr>
        <w:t>采购代理机构：</w:t>
      </w:r>
      <w:r>
        <w:rPr>
          <w:rFonts w:hint="eastAsia" w:cs="仿宋" w:asciiTheme="minorEastAsia" w:hAnsiTheme="minorEastAsia" w:eastAsiaTheme="minorEastAsia"/>
          <w:b/>
          <w:bCs/>
          <w:color w:val="auto"/>
          <w:sz w:val="30"/>
          <w:szCs w:val="30"/>
          <w:highlight w:val="none"/>
          <w:lang w:eastAsia="zh-CN"/>
        </w:rPr>
        <w:t>致君项目管理有限公司</w:t>
      </w:r>
    </w:p>
    <w:p w14:paraId="5FB40FB7">
      <w:pPr>
        <w:spacing w:after="156" w:afterLines="50"/>
        <w:ind w:firstLine="1807" w:firstLineChars="600"/>
        <w:jc w:val="both"/>
        <w:rPr>
          <w:rFonts w:hint="eastAsia" w:cs="仿宋" w:asciiTheme="minorEastAsia" w:hAnsiTheme="minorEastAsia" w:eastAsiaTheme="minorEastAsia"/>
          <w:b/>
          <w:bCs/>
          <w:color w:val="auto"/>
          <w:sz w:val="30"/>
          <w:szCs w:val="30"/>
          <w:highlight w:val="none"/>
        </w:rPr>
      </w:pPr>
      <w:r>
        <w:rPr>
          <w:rFonts w:hint="eastAsia" w:cs="仿宋" w:asciiTheme="minorEastAsia" w:hAnsiTheme="minorEastAsia" w:eastAsiaTheme="minorEastAsia"/>
          <w:b/>
          <w:bCs/>
          <w:color w:val="auto"/>
          <w:sz w:val="30"/>
          <w:szCs w:val="30"/>
          <w:highlight w:val="none"/>
        </w:rPr>
        <w:t>日        期：二零二</w:t>
      </w:r>
      <w:r>
        <w:rPr>
          <w:rFonts w:hint="eastAsia" w:cs="仿宋" w:asciiTheme="minorEastAsia" w:hAnsiTheme="minorEastAsia" w:eastAsiaTheme="minorEastAsia"/>
          <w:b/>
          <w:bCs/>
          <w:color w:val="auto"/>
          <w:sz w:val="30"/>
          <w:szCs w:val="30"/>
          <w:highlight w:val="none"/>
          <w:lang w:val="en-US" w:eastAsia="zh-CN"/>
        </w:rPr>
        <w:t>六</w:t>
      </w:r>
      <w:r>
        <w:rPr>
          <w:rFonts w:hint="eastAsia" w:cs="仿宋" w:asciiTheme="minorEastAsia" w:hAnsiTheme="minorEastAsia" w:eastAsiaTheme="minorEastAsia"/>
          <w:b/>
          <w:bCs/>
          <w:color w:val="auto"/>
          <w:sz w:val="30"/>
          <w:szCs w:val="30"/>
          <w:highlight w:val="none"/>
        </w:rPr>
        <w:t>年</w:t>
      </w:r>
      <w:r>
        <w:rPr>
          <w:rFonts w:hint="eastAsia" w:cs="仿宋" w:asciiTheme="minorEastAsia" w:hAnsiTheme="minorEastAsia" w:eastAsiaTheme="minorEastAsia"/>
          <w:b/>
          <w:bCs/>
          <w:color w:val="auto"/>
          <w:sz w:val="30"/>
          <w:szCs w:val="30"/>
          <w:highlight w:val="none"/>
          <w:lang w:eastAsia="zh-CN"/>
        </w:rPr>
        <w:t>七</w:t>
      </w:r>
      <w:r>
        <w:rPr>
          <w:rFonts w:hint="eastAsia" w:cs="仿宋" w:asciiTheme="minorEastAsia" w:hAnsiTheme="minorEastAsia" w:eastAsiaTheme="minorEastAsia"/>
          <w:b/>
          <w:bCs/>
          <w:color w:val="auto"/>
          <w:sz w:val="30"/>
          <w:szCs w:val="30"/>
          <w:highlight w:val="none"/>
        </w:rPr>
        <w:t>月</w:t>
      </w:r>
    </w:p>
    <w:p w14:paraId="7B515CDE">
      <w:pPr>
        <w:widowControl/>
        <w:jc w:val="both"/>
        <w:rPr>
          <w:rFonts w:hint="eastAsia" w:cs="仿宋" w:asciiTheme="minorEastAsia" w:hAnsiTheme="minorEastAsia" w:eastAsiaTheme="minorEastAsia"/>
          <w:b/>
          <w:bCs/>
          <w:color w:val="auto"/>
          <w:sz w:val="30"/>
          <w:szCs w:val="30"/>
          <w:highlight w:val="none"/>
        </w:rPr>
      </w:pPr>
      <w:r>
        <w:rPr>
          <w:rFonts w:hint="eastAsia" w:cs="仿宋" w:asciiTheme="minorEastAsia" w:hAnsiTheme="minorEastAsia" w:eastAsiaTheme="minorEastAsia"/>
          <w:b/>
          <w:bCs/>
          <w:color w:val="auto"/>
          <w:sz w:val="30"/>
          <w:szCs w:val="30"/>
          <w:highlight w:val="none"/>
        </w:rPr>
        <w:br w:type="page"/>
      </w:r>
    </w:p>
    <w:p w14:paraId="19CBC383">
      <w:pPr>
        <w:pStyle w:val="4"/>
        <w:jc w:val="center"/>
        <w:rPr>
          <w:rFonts w:hint="eastAsia" w:cs="仿宋" w:asciiTheme="minorEastAsia" w:hAnsiTheme="minorEastAsia" w:eastAsiaTheme="minorEastAsia"/>
          <w:color w:val="auto"/>
          <w:highlight w:val="none"/>
        </w:rPr>
      </w:pPr>
      <w:r>
        <w:rPr>
          <w:rFonts w:hint="eastAsia" w:cs="仿宋" w:asciiTheme="minorEastAsia" w:hAnsiTheme="minorEastAsia" w:eastAsiaTheme="minorEastAsia"/>
          <w:bCs w:val="0"/>
          <w:color w:val="auto"/>
          <w:sz w:val="36"/>
          <w:szCs w:val="36"/>
          <w:highlight w:val="none"/>
        </w:rPr>
        <w:t>特别提示</w:t>
      </w:r>
    </w:p>
    <w:p w14:paraId="39183EE0">
      <w:pPr>
        <w:spacing w:line="520" w:lineRule="exact"/>
        <w:rPr>
          <w:rFonts w:hint="eastAsia" w:cs="仿宋" w:asciiTheme="minorEastAsia" w:hAnsiTheme="minorEastAsia" w:eastAsiaTheme="minorEastAsia"/>
          <w:color w:val="auto"/>
          <w:szCs w:val="24"/>
          <w:highlight w:val="none"/>
        </w:rPr>
      </w:pPr>
      <w:r>
        <w:rPr>
          <w:rFonts w:hint="eastAsia" w:cs="仿宋" w:asciiTheme="minorEastAsia" w:hAnsiTheme="minorEastAsia" w:eastAsiaTheme="minorEastAsia"/>
          <w:color w:val="auto"/>
          <w:szCs w:val="24"/>
          <w:highlight w:val="none"/>
        </w:rPr>
        <w:t>各供应商，在此我们特别提醒您注意以下事项：</w:t>
      </w:r>
    </w:p>
    <w:p w14:paraId="7230D962">
      <w:pPr>
        <w:spacing w:line="520" w:lineRule="exact"/>
        <w:rPr>
          <w:rFonts w:hint="eastAsia" w:cs="仿宋" w:asciiTheme="minorEastAsia" w:hAnsiTheme="minorEastAsia" w:eastAsiaTheme="minorEastAsia"/>
          <w:b/>
          <w:bCs/>
          <w:color w:val="auto"/>
          <w:szCs w:val="24"/>
          <w:highlight w:val="none"/>
        </w:rPr>
      </w:pPr>
      <w:r>
        <w:rPr>
          <w:rFonts w:hint="eastAsia" w:cs="仿宋" w:asciiTheme="minorEastAsia" w:hAnsiTheme="minorEastAsia" w:eastAsiaTheme="minorEastAsia"/>
          <w:b/>
          <w:bCs/>
          <w:color w:val="auto"/>
          <w:szCs w:val="24"/>
          <w:highlight w:val="none"/>
        </w:rPr>
        <w:t>一、有关磋商响应文件：</w:t>
      </w:r>
    </w:p>
    <w:p w14:paraId="571085C7">
      <w:pPr>
        <w:spacing w:line="520" w:lineRule="exact"/>
        <w:ind w:firstLine="480" w:firstLineChars="200"/>
        <w:rPr>
          <w:rFonts w:hint="eastAsia" w:hAnsi="宋体" w:cs="宋体"/>
          <w:color w:val="auto"/>
          <w:szCs w:val="24"/>
          <w:highlight w:val="none"/>
        </w:rPr>
      </w:pPr>
      <w:r>
        <w:rPr>
          <w:rFonts w:hint="eastAsia" w:hAnsi="宋体" w:cs="宋体"/>
          <w:color w:val="auto"/>
          <w:szCs w:val="24"/>
          <w:highlight w:val="none"/>
        </w:rPr>
        <w:t>1.请仔细阅读磋商文件并正确理解磋商文件中各项具体要求。如对磋商文件有疑问，请在磋商文件规定的时间内以书面形式提出，逾期将被拒绝受理。</w:t>
      </w:r>
    </w:p>
    <w:p w14:paraId="2FE902D4">
      <w:pPr>
        <w:spacing w:line="520" w:lineRule="exact"/>
        <w:ind w:firstLine="480" w:firstLineChars="200"/>
        <w:rPr>
          <w:rFonts w:hint="eastAsia" w:hAnsi="宋体" w:cs="宋体"/>
          <w:color w:val="auto"/>
          <w:szCs w:val="24"/>
          <w:highlight w:val="none"/>
        </w:rPr>
      </w:pPr>
      <w:r>
        <w:rPr>
          <w:rFonts w:hint="eastAsia" w:hAnsi="宋体" w:cs="宋体"/>
          <w:color w:val="auto"/>
          <w:szCs w:val="24"/>
          <w:highlight w:val="none"/>
        </w:rPr>
        <w:t>2.请严格按照磋商文件载明的磋商响应文件的格式要求编制磋商响应文件，磋商响应文件须胶装成册。</w:t>
      </w:r>
    </w:p>
    <w:p w14:paraId="191E4933">
      <w:pPr>
        <w:spacing w:line="520" w:lineRule="exact"/>
        <w:ind w:firstLine="480" w:firstLineChars="200"/>
        <w:rPr>
          <w:rFonts w:hint="eastAsia" w:hAnsi="宋体" w:cs="宋体"/>
          <w:color w:val="auto"/>
          <w:szCs w:val="24"/>
          <w:highlight w:val="none"/>
        </w:rPr>
      </w:pPr>
      <w:r>
        <w:rPr>
          <w:rFonts w:hint="eastAsia" w:hAnsi="宋体" w:cs="宋体"/>
          <w:color w:val="auto"/>
          <w:szCs w:val="24"/>
          <w:highlight w:val="none"/>
        </w:rPr>
        <w:t>3.请仔细核对磋商响应文件是否已按照磋商文件的要求签字、签章和加盖单位公章，实质性条款是否满足磋商文件要求，磋商响应文件中所附资格证明等资料是否齐全、有效且是否满足磋商文件要求。</w:t>
      </w:r>
    </w:p>
    <w:p w14:paraId="39EAD643">
      <w:pPr>
        <w:spacing w:line="520" w:lineRule="exact"/>
        <w:ind w:firstLine="480" w:firstLineChars="200"/>
        <w:rPr>
          <w:rFonts w:hint="eastAsia" w:hAnsi="宋体" w:cs="宋体"/>
          <w:color w:val="auto"/>
          <w:szCs w:val="24"/>
          <w:highlight w:val="none"/>
        </w:rPr>
      </w:pPr>
      <w:r>
        <w:rPr>
          <w:rFonts w:hint="eastAsia" w:hAnsi="宋体" w:cs="宋体"/>
          <w:color w:val="auto"/>
          <w:szCs w:val="24"/>
          <w:highlight w:val="none"/>
        </w:rPr>
        <w:t>4.请您按照磋商文件要求密封磋商响应文件，并正确标记。</w:t>
      </w:r>
    </w:p>
    <w:p w14:paraId="012A8CAE">
      <w:pPr>
        <w:spacing w:line="520" w:lineRule="exact"/>
        <w:ind w:firstLine="480" w:firstLineChars="200"/>
        <w:rPr>
          <w:rFonts w:hint="eastAsia" w:cs="仿宋" w:asciiTheme="minorEastAsia" w:hAnsiTheme="minorEastAsia" w:eastAsiaTheme="minorEastAsia"/>
          <w:color w:val="auto"/>
          <w:szCs w:val="24"/>
          <w:highlight w:val="none"/>
        </w:rPr>
      </w:pPr>
      <w:r>
        <w:rPr>
          <w:rFonts w:hint="eastAsia" w:hAnsi="宋体" w:cs="宋体"/>
          <w:color w:val="auto"/>
          <w:szCs w:val="24"/>
          <w:highlight w:val="none"/>
        </w:rPr>
        <w:t>提示：磋商响应文件若不满足以上条件将有被否决的风险。</w:t>
      </w:r>
    </w:p>
    <w:p w14:paraId="58639580">
      <w:pPr>
        <w:spacing w:line="520" w:lineRule="exact"/>
        <w:rPr>
          <w:rFonts w:hint="eastAsia" w:cs="仿宋" w:asciiTheme="minorEastAsia" w:hAnsiTheme="minorEastAsia" w:eastAsiaTheme="minorEastAsia"/>
          <w:b/>
          <w:bCs/>
          <w:color w:val="auto"/>
          <w:szCs w:val="24"/>
          <w:highlight w:val="none"/>
        </w:rPr>
      </w:pPr>
      <w:r>
        <w:rPr>
          <w:rFonts w:hint="eastAsia" w:cs="仿宋" w:asciiTheme="minorEastAsia" w:hAnsiTheme="minorEastAsia" w:eastAsiaTheme="minorEastAsia"/>
          <w:b/>
          <w:bCs/>
          <w:color w:val="auto"/>
          <w:szCs w:val="24"/>
          <w:highlight w:val="none"/>
        </w:rPr>
        <w:t>二、有关磋商：</w:t>
      </w:r>
    </w:p>
    <w:p w14:paraId="7F6B225E">
      <w:pPr>
        <w:spacing w:line="520" w:lineRule="exact"/>
        <w:ind w:firstLine="480" w:firstLineChars="200"/>
        <w:rPr>
          <w:rFonts w:hint="eastAsia" w:cs="仿宋" w:asciiTheme="minorEastAsia" w:hAnsiTheme="minorEastAsia" w:eastAsiaTheme="minorEastAsia"/>
          <w:color w:val="auto"/>
          <w:szCs w:val="24"/>
          <w:highlight w:val="none"/>
        </w:rPr>
      </w:pPr>
      <w:r>
        <w:rPr>
          <w:rFonts w:hint="eastAsia" w:cs="仿宋" w:asciiTheme="minorEastAsia" w:hAnsiTheme="minorEastAsia" w:eastAsiaTheme="minorEastAsia"/>
          <w:color w:val="auto"/>
          <w:szCs w:val="24"/>
          <w:highlight w:val="none"/>
        </w:rPr>
        <w:t>1.除磋商文件要求递交的文件和资料外，请您随身携带磋商文件要求提供的其他备查文件原件。</w:t>
      </w:r>
    </w:p>
    <w:p w14:paraId="4C1277C5">
      <w:pPr>
        <w:spacing w:line="520" w:lineRule="exact"/>
        <w:ind w:firstLine="480" w:firstLineChars="200"/>
        <w:rPr>
          <w:rFonts w:hint="eastAsia" w:cs="仿宋" w:asciiTheme="minorEastAsia" w:hAnsiTheme="minorEastAsia" w:eastAsiaTheme="minorEastAsia"/>
          <w:color w:val="auto"/>
          <w:szCs w:val="24"/>
          <w:highlight w:val="none"/>
        </w:rPr>
      </w:pPr>
      <w:r>
        <w:rPr>
          <w:rFonts w:hint="eastAsia" w:cs="仿宋" w:asciiTheme="minorEastAsia" w:hAnsiTheme="minorEastAsia" w:eastAsiaTheme="minorEastAsia"/>
          <w:color w:val="auto"/>
          <w:szCs w:val="24"/>
          <w:highlight w:val="none"/>
        </w:rPr>
        <w:t>2.请您务必考虑天气情况、交通情况以及您对磋商地址的路线熟悉等情况于</w:t>
      </w:r>
      <w:r>
        <w:rPr>
          <w:rFonts w:hint="eastAsia" w:hAnsi="宋体" w:cs="宋体"/>
          <w:color w:val="auto"/>
          <w:szCs w:val="24"/>
          <w:highlight w:val="none"/>
        </w:rPr>
        <w:t>磋商公告规定的时间及地点递交磋商响应文件，磋商响应文件逾期到达，将被拒绝接收。</w:t>
      </w:r>
    </w:p>
    <w:p w14:paraId="7B8991B6">
      <w:pPr>
        <w:spacing w:line="520" w:lineRule="exact"/>
        <w:ind w:firstLine="480" w:firstLineChars="200"/>
        <w:rPr>
          <w:rFonts w:hint="eastAsia" w:cs="仿宋" w:asciiTheme="minorEastAsia" w:hAnsiTheme="minorEastAsia" w:eastAsiaTheme="minorEastAsia"/>
          <w:color w:val="auto"/>
          <w:szCs w:val="24"/>
          <w:highlight w:val="none"/>
        </w:rPr>
      </w:pPr>
      <w:r>
        <w:rPr>
          <w:rFonts w:hint="eastAsia" w:cs="仿宋" w:asciiTheme="minorEastAsia" w:hAnsiTheme="minorEastAsia" w:eastAsiaTheme="minorEastAsia"/>
          <w:color w:val="auto"/>
          <w:szCs w:val="24"/>
          <w:highlight w:val="none"/>
        </w:rPr>
        <w:t>3.请您到达文件递交地点后及时到磋商响应文件接收处签字登记。</w:t>
      </w:r>
    </w:p>
    <w:p w14:paraId="67A7E874">
      <w:pPr>
        <w:spacing w:line="520" w:lineRule="exact"/>
        <w:rPr>
          <w:rFonts w:hint="eastAsia" w:cs="仿宋" w:asciiTheme="minorEastAsia" w:hAnsiTheme="minorEastAsia" w:eastAsiaTheme="minorEastAsia"/>
          <w:b/>
          <w:bCs/>
          <w:color w:val="auto"/>
          <w:szCs w:val="24"/>
          <w:highlight w:val="none"/>
        </w:rPr>
      </w:pPr>
      <w:r>
        <w:rPr>
          <w:rFonts w:hint="eastAsia" w:cs="仿宋" w:asciiTheme="minorEastAsia" w:hAnsiTheme="minorEastAsia" w:eastAsiaTheme="minorEastAsia"/>
          <w:b/>
          <w:bCs/>
          <w:color w:val="auto"/>
          <w:szCs w:val="24"/>
          <w:highlight w:val="none"/>
        </w:rPr>
        <w:t>三、关于弃标的说明</w:t>
      </w:r>
    </w:p>
    <w:p w14:paraId="2F8D955D">
      <w:pPr>
        <w:spacing w:line="520" w:lineRule="exact"/>
        <w:ind w:firstLine="482" w:firstLineChars="200"/>
        <w:rPr>
          <w:rFonts w:hint="eastAsia" w:cs="宋体" w:asciiTheme="minorEastAsia" w:hAnsiTheme="minorEastAsia" w:eastAsiaTheme="minorEastAsia"/>
          <w:b/>
          <w:bCs/>
          <w:color w:val="auto"/>
          <w:szCs w:val="24"/>
          <w:highlight w:val="none"/>
        </w:rPr>
      </w:pPr>
      <w:r>
        <w:rPr>
          <w:rFonts w:hint="eastAsia" w:cs="宋体" w:asciiTheme="minorEastAsia" w:hAnsiTheme="minorEastAsia" w:eastAsiaTheme="minorEastAsia"/>
          <w:b/>
          <w:bCs/>
          <w:color w:val="auto"/>
          <w:szCs w:val="24"/>
          <w:highlight w:val="none"/>
        </w:rPr>
        <w:t>按照《西安市财政局关于促进政府采购公平竞争优化营商环境的通知》（市财函〔2021</w:t>
      </w:r>
      <w:r>
        <w:rPr>
          <w:rFonts w:cs="宋体" w:asciiTheme="minorEastAsia" w:hAnsiTheme="minorEastAsia" w:eastAsiaTheme="minorEastAsia"/>
          <w:b/>
          <w:bCs/>
          <w:color w:val="auto"/>
          <w:szCs w:val="24"/>
          <w:highlight w:val="none"/>
        </w:rPr>
        <w:t>〕</w:t>
      </w:r>
      <w:r>
        <w:rPr>
          <w:rFonts w:hint="eastAsia" w:cs="宋体" w:asciiTheme="minorEastAsia" w:hAnsiTheme="minorEastAsia" w:eastAsiaTheme="minorEastAsia"/>
          <w:b/>
          <w:bCs/>
          <w:color w:val="auto"/>
          <w:szCs w:val="24"/>
          <w:highlight w:val="none"/>
        </w:rPr>
        <w:t>431号）规定：供应商登记免费领取磋商文件的，如不参与项目磋商，应在递交磋商响应文件截止时间前一日以书面形式告知采购代理机构。否则，采购代理机构可以向财政部门反映情况并提供相应的佐证。供应商一年内累计出现三次该情形，将被监管部门记录为失信行为</w:t>
      </w:r>
      <w:r>
        <w:rPr>
          <w:rFonts w:hint="eastAsia" w:hAnsi="宋体" w:cs="宋体"/>
          <w:b/>
          <w:bCs/>
          <w:color w:val="auto"/>
          <w:szCs w:val="24"/>
          <w:highlight w:val="none"/>
        </w:rPr>
        <w:t>(采购代理机构电子邮箱：</w:t>
      </w:r>
      <w:r>
        <w:rPr>
          <w:rFonts w:hint="eastAsia" w:hAnsi="宋体" w:cs="宋体"/>
          <w:b/>
          <w:bCs/>
          <w:color w:val="auto"/>
          <w:szCs w:val="24"/>
          <w:highlight w:val="none"/>
          <w:lang w:eastAsia="zh-CN"/>
        </w:rPr>
        <w:t>1561277514@qq.com</w:t>
      </w:r>
      <w:r>
        <w:rPr>
          <w:rFonts w:hint="eastAsia" w:hAnsi="宋体" w:cs="宋体"/>
          <w:b/>
          <w:bCs/>
          <w:color w:val="auto"/>
          <w:szCs w:val="24"/>
          <w:highlight w:val="none"/>
        </w:rPr>
        <w:t>)</w:t>
      </w:r>
      <w:r>
        <w:rPr>
          <w:rFonts w:hint="eastAsia" w:cs="宋体" w:asciiTheme="minorEastAsia" w:hAnsiTheme="minorEastAsia" w:eastAsiaTheme="minorEastAsia"/>
          <w:b/>
          <w:bCs/>
          <w:color w:val="auto"/>
          <w:szCs w:val="24"/>
          <w:highlight w:val="none"/>
        </w:rPr>
        <w:t>。</w:t>
      </w:r>
    </w:p>
    <w:p w14:paraId="65A7E7DA">
      <w:pPr>
        <w:spacing w:line="520" w:lineRule="exact"/>
        <w:rPr>
          <w:rFonts w:hint="eastAsia" w:cs="仿宋" w:asciiTheme="minorEastAsia" w:hAnsiTheme="minorEastAsia" w:eastAsiaTheme="minorEastAsia"/>
          <w:b/>
          <w:bCs/>
          <w:color w:val="auto"/>
          <w:szCs w:val="24"/>
          <w:highlight w:val="none"/>
        </w:rPr>
      </w:pPr>
      <w:r>
        <w:rPr>
          <w:rFonts w:hint="eastAsia" w:cs="仿宋" w:asciiTheme="minorEastAsia" w:hAnsiTheme="minorEastAsia" w:eastAsiaTheme="minorEastAsia"/>
          <w:b/>
          <w:bCs/>
          <w:color w:val="auto"/>
          <w:szCs w:val="24"/>
          <w:highlight w:val="none"/>
        </w:rPr>
        <w:t>四、关于供应商注册登记提醒：</w:t>
      </w:r>
    </w:p>
    <w:p w14:paraId="75767294">
      <w:pPr>
        <w:spacing w:line="520" w:lineRule="exact"/>
        <w:ind w:firstLine="482" w:firstLineChars="200"/>
        <w:rPr>
          <w:rFonts w:hint="eastAsia" w:cs="仿宋" w:asciiTheme="minorEastAsia" w:hAnsiTheme="minorEastAsia" w:eastAsiaTheme="minorEastAsia"/>
          <w:b/>
          <w:bCs/>
          <w:color w:val="auto"/>
          <w:szCs w:val="24"/>
          <w:highlight w:val="none"/>
        </w:rPr>
      </w:pPr>
      <w:r>
        <w:rPr>
          <w:rFonts w:hint="eastAsia" w:cs="仿宋" w:asciiTheme="minorEastAsia" w:hAnsiTheme="minorEastAsia" w:eastAsiaTheme="minorEastAsia"/>
          <w:b/>
          <w:bCs/>
          <w:color w:val="auto"/>
          <w:szCs w:val="24"/>
          <w:highlight w:val="none"/>
        </w:rPr>
        <w:t>根据陕西省财政厅关于政府采购供应商注册登记有关事项的通知，如所投本项目的供应商未在陕西省政府采购网（http://www.ccgp-shaanxi.gov.cn/）注册登记加入陕西省政府采购供应商库的，应按要求及时办理注册登记，并接受财政部门监督管理。</w:t>
      </w:r>
    </w:p>
    <w:p w14:paraId="5C16968B">
      <w:pPr>
        <w:spacing w:line="520" w:lineRule="exact"/>
        <w:ind w:firstLine="482" w:firstLineChars="200"/>
        <w:rPr>
          <w:rFonts w:hint="eastAsia" w:hAnsi="宋体" w:cs="宋体"/>
          <w:b/>
          <w:bCs/>
          <w:color w:val="auto"/>
          <w:szCs w:val="24"/>
          <w:highlight w:val="none"/>
        </w:rPr>
      </w:pPr>
      <w:r>
        <w:rPr>
          <w:rFonts w:hint="eastAsia" w:hAnsi="宋体" w:cs="宋体"/>
          <w:b/>
          <w:bCs/>
          <w:color w:val="auto"/>
          <w:szCs w:val="24"/>
          <w:highlight w:val="none"/>
        </w:rPr>
        <w:t>请各供应商仔细阅读上述提示。如需帮助，请您与我们的工作人员联系，我们将非常高兴地为您服务。</w:t>
      </w:r>
    </w:p>
    <w:p w14:paraId="699A3938">
      <w:pPr>
        <w:spacing w:line="450" w:lineRule="exact"/>
        <w:ind w:firstLine="480" w:firstLineChars="200"/>
        <w:rPr>
          <w:rFonts w:hint="eastAsia" w:cs="仿宋" w:asciiTheme="minorEastAsia" w:hAnsiTheme="minorEastAsia" w:eastAsiaTheme="minorEastAsia"/>
          <w:color w:val="auto"/>
          <w:szCs w:val="24"/>
          <w:highlight w:val="none"/>
        </w:rPr>
      </w:pPr>
    </w:p>
    <w:p w14:paraId="117117A6">
      <w:pPr>
        <w:jc w:val="center"/>
        <w:rPr>
          <w:rFonts w:hint="eastAsia" w:cs="仿宋" w:asciiTheme="minorEastAsia" w:hAnsiTheme="minorEastAsia" w:eastAsiaTheme="minorEastAsia"/>
          <w:b/>
          <w:color w:val="auto"/>
          <w:sz w:val="44"/>
          <w:szCs w:val="44"/>
          <w:highlight w:val="none"/>
        </w:rPr>
        <w:sectPr>
          <w:headerReference r:id="rId3" w:type="default"/>
          <w:footerReference r:id="rId4" w:type="default"/>
          <w:pgSz w:w="11906" w:h="16838"/>
          <w:pgMar w:top="1131" w:right="1134" w:bottom="1418" w:left="1418" w:header="851" w:footer="851" w:gutter="0"/>
          <w:pgNumType w:fmt="numberInDash"/>
          <w:cols w:space="0" w:num="1"/>
          <w:titlePg/>
          <w:docGrid w:type="lines" w:linePitch="312" w:charSpace="0"/>
        </w:sectPr>
      </w:pPr>
    </w:p>
    <w:p w14:paraId="6C15FF97">
      <w:pPr>
        <w:jc w:val="center"/>
        <w:rPr>
          <w:rFonts w:hint="eastAsia" w:cs="仿宋" w:asciiTheme="minorEastAsia" w:hAnsiTheme="minorEastAsia" w:eastAsiaTheme="minorEastAsia"/>
          <w:b/>
          <w:color w:val="auto"/>
          <w:sz w:val="48"/>
          <w:szCs w:val="48"/>
          <w:highlight w:val="none"/>
        </w:rPr>
      </w:pPr>
      <w:r>
        <w:rPr>
          <w:rFonts w:hint="eastAsia" w:cs="仿宋" w:asciiTheme="minorEastAsia" w:hAnsiTheme="minorEastAsia" w:eastAsiaTheme="minorEastAsia"/>
          <w:b/>
          <w:color w:val="auto"/>
          <w:sz w:val="48"/>
          <w:szCs w:val="48"/>
          <w:highlight w:val="none"/>
        </w:rPr>
        <w:t>目  录</w:t>
      </w:r>
    </w:p>
    <w:p w14:paraId="22FB2C28">
      <w:pPr>
        <w:pStyle w:val="31"/>
        <w:tabs>
          <w:tab w:val="right" w:leader="dot" w:pos="9071"/>
        </w:tabs>
        <w:spacing w:line="1100" w:lineRule="exact"/>
        <w:rPr>
          <w:rFonts w:hint="eastAsia" w:cs="仿宋" w:asciiTheme="minorEastAsia" w:hAnsiTheme="minorEastAsia" w:eastAsiaTheme="minorEastAsia"/>
          <w:color w:val="auto"/>
          <w:sz w:val="30"/>
          <w:szCs w:val="30"/>
          <w:highlight w:val="none"/>
        </w:rPr>
      </w:pPr>
      <w:bookmarkStart w:id="3" w:name="_Toc20652"/>
      <w:bookmarkStart w:id="4" w:name="_Toc20858"/>
      <w:bookmarkStart w:id="5" w:name="_Toc16218"/>
      <w:bookmarkStart w:id="6" w:name="_Toc21518"/>
      <w:bookmarkStart w:id="7" w:name="_Toc5293"/>
      <w:bookmarkStart w:id="8" w:name="_Toc389582033"/>
      <w:bookmarkStart w:id="9" w:name="_Toc27420"/>
      <w:bookmarkStart w:id="10" w:name="_Toc19886"/>
      <w:bookmarkStart w:id="11" w:name="_Toc363473971"/>
      <w:bookmarkStart w:id="12" w:name="_Toc403077638"/>
      <w:bookmarkStart w:id="13" w:name="_Toc363474016"/>
      <w:r>
        <w:rPr>
          <w:rFonts w:hint="eastAsia" w:cs="仿宋" w:asciiTheme="minorEastAsia" w:hAnsiTheme="minorEastAsia" w:eastAsiaTheme="minorEastAsia"/>
          <w:bCs/>
          <w:color w:val="auto"/>
          <w:sz w:val="30"/>
          <w:szCs w:val="30"/>
          <w:highlight w:val="none"/>
        </w:rPr>
        <w:fldChar w:fldCharType="begin"/>
      </w:r>
      <w:r>
        <w:rPr>
          <w:rFonts w:hint="eastAsia" w:cs="仿宋" w:asciiTheme="minorEastAsia" w:hAnsiTheme="minorEastAsia" w:eastAsiaTheme="minorEastAsia"/>
          <w:bCs/>
          <w:color w:val="auto"/>
          <w:sz w:val="30"/>
          <w:szCs w:val="30"/>
          <w:highlight w:val="none"/>
        </w:rPr>
        <w:instrText xml:space="preserve">TOC \o "1-2" \h \u </w:instrText>
      </w:r>
      <w:r>
        <w:rPr>
          <w:rFonts w:hint="eastAsia" w:cs="仿宋" w:asciiTheme="minorEastAsia" w:hAnsiTheme="minorEastAsia" w:eastAsiaTheme="minorEastAsia"/>
          <w:bCs/>
          <w:color w:val="auto"/>
          <w:sz w:val="30"/>
          <w:szCs w:val="30"/>
          <w:highlight w:val="none"/>
        </w:rPr>
        <w:fldChar w:fldCharType="separate"/>
      </w:r>
      <w:r>
        <w:rPr>
          <w:color w:val="auto"/>
          <w:highlight w:val="none"/>
        </w:rPr>
        <w:fldChar w:fldCharType="begin"/>
      </w:r>
      <w:r>
        <w:rPr>
          <w:color w:val="auto"/>
          <w:highlight w:val="none"/>
        </w:rPr>
        <w:instrText xml:space="preserve"> HYPERLINK \l "_Toc7310" </w:instrText>
      </w:r>
      <w:r>
        <w:rPr>
          <w:color w:val="auto"/>
          <w:highlight w:val="none"/>
        </w:rPr>
        <w:fldChar w:fldCharType="separate"/>
      </w:r>
      <w:r>
        <w:rPr>
          <w:rFonts w:hint="eastAsia" w:cs="仿宋" w:asciiTheme="minorEastAsia" w:hAnsiTheme="minorEastAsia" w:eastAsiaTheme="minorEastAsia"/>
          <w:bCs/>
          <w:color w:val="auto"/>
          <w:sz w:val="30"/>
          <w:szCs w:val="30"/>
          <w:highlight w:val="none"/>
        </w:rPr>
        <w:t>第一章 竞争性磋商公告</w:t>
      </w:r>
      <w:r>
        <w:rPr>
          <w:rFonts w:hint="eastAsia" w:cs="仿宋" w:asciiTheme="minorEastAsia" w:hAnsiTheme="minorEastAsia" w:eastAsiaTheme="minorEastAsia"/>
          <w:color w:val="auto"/>
          <w:sz w:val="30"/>
          <w:szCs w:val="30"/>
          <w:highlight w:val="none"/>
        </w:rPr>
        <w:tab/>
      </w:r>
      <w:r>
        <w:rPr>
          <w:rFonts w:hint="eastAsia" w:cs="仿宋" w:asciiTheme="minorEastAsia" w:hAnsiTheme="minorEastAsia" w:eastAsiaTheme="minorEastAsia"/>
          <w:color w:val="auto"/>
          <w:sz w:val="30"/>
          <w:szCs w:val="30"/>
          <w:highlight w:val="none"/>
        </w:rPr>
        <w:fldChar w:fldCharType="begin"/>
      </w:r>
      <w:r>
        <w:rPr>
          <w:rFonts w:hint="eastAsia" w:cs="仿宋" w:asciiTheme="minorEastAsia" w:hAnsiTheme="minorEastAsia" w:eastAsiaTheme="minorEastAsia"/>
          <w:color w:val="auto"/>
          <w:sz w:val="30"/>
          <w:szCs w:val="30"/>
          <w:highlight w:val="none"/>
        </w:rPr>
        <w:instrText xml:space="preserve"> PAGEREF _Toc7310 </w:instrText>
      </w:r>
      <w:r>
        <w:rPr>
          <w:rFonts w:hint="eastAsia" w:cs="仿宋" w:asciiTheme="minorEastAsia" w:hAnsiTheme="minorEastAsia" w:eastAsiaTheme="minorEastAsia"/>
          <w:color w:val="auto"/>
          <w:sz w:val="30"/>
          <w:szCs w:val="30"/>
          <w:highlight w:val="none"/>
        </w:rPr>
        <w:fldChar w:fldCharType="separate"/>
      </w:r>
      <w:r>
        <w:rPr>
          <w:rFonts w:hint="eastAsia" w:cs="仿宋" w:asciiTheme="minorEastAsia" w:hAnsiTheme="minorEastAsia" w:eastAsiaTheme="minorEastAsia"/>
          <w:color w:val="auto"/>
          <w:sz w:val="30"/>
          <w:szCs w:val="30"/>
          <w:highlight w:val="none"/>
        </w:rPr>
        <w:t>- 1 -</w:t>
      </w:r>
      <w:r>
        <w:rPr>
          <w:rFonts w:hint="eastAsia" w:cs="仿宋" w:asciiTheme="minorEastAsia" w:hAnsiTheme="minorEastAsia" w:eastAsiaTheme="minorEastAsia"/>
          <w:color w:val="auto"/>
          <w:sz w:val="30"/>
          <w:szCs w:val="30"/>
          <w:highlight w:val="none"/>
        </w:rPr>
        <w:fldChar w:fldCharType="end"/>
      </w:r>
      <w:r>
        <w:rPr>
          <w:rFonts w:hint="eastAsia" w:cs="仿宋" w:asciiTheme="minorEastAsia" w:hAnsiTheme="minorEastAsia" w:eastAsiaTheme="minorEastAsia"/>
          <w:color w:val="auto"/>
          <w:sz w:val="30"/>
          <w:szCs w:val="30"/>
          <w:highlight w:val="none"/>
        </w:rPr>
        <w:fldChar w:fldCharType="end"/>
      </w:r>
    </w:p>
    <w:p w14:paraId="18D9CE61">
      <w:pPr>
        <w:pStyle w:val="31"/>
        <w:tabs>
          <w:tab w:val="right" w:leader="dot" w:pos="9071"/>
        </w:tabs>
        <w:spacing w:line="1100" w:lineRule="exact"/>
        <w:rPr>
          <w:rFonts w:hint="eastAsia" w:cs="仿宋" w:asciiTheme="minorEastAsia" w:hAnsiTheme="minorEastAsia" w:eastAsiaTheme="minorEastAsia"/>
          <w:color w:val="auto"/>
          <w:sz w:val="30"/>
          <w:szCs w:val="30"/>
          <w:highlight w:val="none"/>
        </w:rPr>
      </w:pPr>
      <w:r>
        <w:rPr>
          <w:color w:val="auto"/>
          <w:highlight w:val="none"/>
        </w:rPr>
        <w:fldChar w:fldCharType="begin"/>
      </w:r>
      <w:r>
        <w:rPr>
          <w:color w:val="auto"/>
          <w:highlight w:val="none"/>
        </w:rPr>
        <w:instrText xml:space="preserve"> HYPERLINK \l "_Toc26080" </w:instrText>
      </w:r>
      <w:r>
        <w:rPr>
          <w:color w:val="auto"/>
          <w:highlight w:val="none"/>
        </w:rPr>
        <w:fldChar w:fldCharType="separate"/>
      </w:r>
      <w:r>
        <w:rPr>
          <w:rFonts w:hint="eastAsia" w:cs="仿宋" w:asciiTheme="minorEastAsia" w:hAnsiTheme="minorEastAsia" w:eastAsiaTheme="minorEastAsia"/>
          <w:color w:val="auto"/>
          <w:sz w:val="30"/>
          <w:szCs w:val="30"/>
          <w:highlight w:val="none"/>
        </w:rPr>
        <w:t>第二章 供应商须知</w:t>
      </w:r>
      <w:r>
        <w:rPr>
          <w:rFonts w:hint="eastAsia" w:cs="仿宋" w:asciiTheme="minorEastAsia" w:hAnsiTheme="minorEastAsia" w:eastAsiaTheme="minorEastAsia"/>
          <w:color w:val="auto"/>
          <w:sz w:val="30"/>
          <w:szCs w:val="30"/>
          <w:highlight w:val="none"/>
        </w:rPr>
        <w:tab/>
      </w:r>
      <w:r>
        <w:rPr>
          <w:rFonts w:hint="eastAsia" w:cs="仿宋" w:asciiTheme="minorEastAsia" w:hAnsiTheme="minorEastAsia" w:eastAsiaTheme="minorEastAsia"/>
          <w:color w:val="auto"/>
          <w:sz w:val="30"/>
          <w:szCs w:val="30"/>
          <w:highlight w:val="none"/>
        </w:rPr>
        <w:fldChar w:fldCharType="begin"/>
      </w:r>
      <w:r>
        <w:rPr>
          <w:rFonts w:hint="eastAsia" w:cs="仿宋" w:asciiTheme="minorEastAsia" w:hAnsiTheme="minorEastAsia" w:eastAsiaTheme="minorEastAsia"/>
          <w:color w:val="auto"/>
          <w:sz w:val="30"/>
          <w:szCs w:val="30"/>
          <w:highlight w:val="none"/>
        </w:rPr>
        <w:instrText xml:space="preserve"> PAGEREF _Toc26080 </w:instrText>
      </w:r>
      <w:r>
        <w:rPr>
          <w:rFonts w:hint="eastAsia" w:cs="仿宋" w:asciiTheme="minorEastAsia" w:hAnsiTheme="minorEastAsia" w:eastAsiaTheme="minorEastAsia"/>
          <w:color w:val="auto"/>
          <w:sz w:val="30"/>
          <w:szCs w:val="30"/>
          <w:highlight w:val="none"/>
        </w:rPr>
        <w:fldChar w:fldCharType="separate"/>
      </w:r>
      <w:r>
        <w:rPr>
          <w:rFonts w:hint="eastAsia" w:cs="仿宋" w:asciiTheme="minorEastAsia" w:hAnsiTheme="minorEastAsia" w:eastAsiaTheme="minorEastAsia"/>
          <w:color w:val="auto"/>
          <w:sz w:val="30"/>
          <w:szCs w:val="30"/>
          <w:highlight w:val="none"/>
        </w:rPr>
        <w:t>- 1 -</w:t>
      </w:r>
      <w:r>
        <w:rPr>
          <w:rFonts w:hint="eastAsia" w:cs="仿宋" w:asciiTheme="minorEastAsia" w:hAnsiTheme="minorEastAsia" w:eastAsiaTheme="minorEastAsia"/>
          <w:color w:val="auto"/>
          <w:sz w:val="30"/>
          <w:szCs w:val="30"/>
          <w:highlight w:val="none"/>
        </w:rPr>
        <w:fldChar w:fldCharType="end"/>
      </w:r>
      <w:r>
        <w:rPr>
          <w:rFonts w:hint="eastAsia" w:cs="仿宋" w:asciiTheme="minorEastAsia" w:hAnsiTheme="minorEastAsia" w:eastAsiaTheme="minorEastAsia"/>
          <w:color w:val="auto"/>
          <w:sz w:val="30"/>
          <w:szCs w:val="30"/>
          <w:highlight w:val="none"/>
        </w:rPr>
        <w:fldChar w:fldCharType="end"/>
      </w:r>
    </w:p>
    <w:p w14:paraId="76CF1C87">
      <w:pPr>
        <w:pStyle w:val="31"/>
        <w:tabs>
          <w:tab w:val="right" w:leader="dot" w:pos="9071"/>
        </w:tabs>
        <w:spacing w:line="1100" w:lineRule="exact"/>
        <w:rPr>
          <w:rFonts w:hint="eastAsia" w:cs="仿宋" w:asciiTheme="minorEastAsia" w:hAnsiTheme="minorEastAsia" w:eastAsiaTheme="minorEastAsia"/>
          <w:color w:val="auto"/>
          <w:sz w:val="30"/>
          <w:szCs w:val="30"/>
          <w:highlight w:val="none"/>
        </w:rPr>
      </w:pPr>
      <w:r>
        <w:rPr>
          <w:color w:val="auto"/>
          <w:highlight w:val="none"/>
        </w:rPr>
        <w:fldChar w:fldCharType="begin"/>
      </w:r>
      <w:r>
        <w:rPr>
          <w:color w:val="auto"/>
          <w:highlight w:val="none"/>
        </w:rPr>
        <w:instrText xml:space="preserve"> HYPERLINK \l "_Toc1085" </w:instrText>
      </w:r>
      <w:r>
        <w:rPr>
          <w:color w:val="auto"/>
          <w:highlight w:val="none"/>
        </w:rPr>
        <w:fldChar w:fldCharType="separate"/>
      </w:r>
      <w:r>
        <w:rPr>
          <w:rFonts w:hint="eastAsia" w:cs="仿宋" w:asciiTheme="minorEastAsia" w:hAnsiTheme="minorEastAsia" w:eastAsiaTheme="minorEastAsia"/>
          <w:bCs/>
          <w:color w:val="auto"/>
          <w:sz w:val="30"/>
          <w:szCs w:val="30"/>
          <w:highlight w:val="none"/>
        </w:rPr>
        <w:t>第三章 合同条款及格式</w:t>
      </w:r>
      <w:r>
        <w:rPr>
          <w:rFonts w:hint="eastAsia" w:cs="仿宋" w:asciiTheme="minorEastAsia" w:hAnsiTheme="minorEastAsia" w:eastAsiaTheme="minorEastAsia"/>
          <w:color w:val="auto"/>
          <w:sz w:val="30"/>
          <w:szCs w:val="30"/>
          <w:highlight w:val="none"/>
        </w:rPr>
        <w:tab/>
      </w:r>
      <w:r>
        <w:rPr>
          <w:rFonts w:hint="eastAsia" w:cs="仿宋" w:asciiTheme="minorEastAsia" w:hAnsiTheme="minorEastAsia" w:eastAsiaTheme="minorEastAsia"/>
          <w:color w:val="auto"/>
          <w:sz w:val="30"/>
          <w:szCs w:val="30"/>
          <w:highlight w:val="none"/>
        </w:rPr>
        <w:fldChar w:fldCharType="begin"/>
      </w:r>
      <w:r>
        <w:rPr>
          <w:rFonts w:hint="eastAsia" w:cs="仿宋" w:asciiTheme="minorEastAsia" w:hAnsiTheme="minorEastAsia" w:eastAsiaTheme="minorEastAsia"/>
          <w:color w:val="auto"/>
          <w:sz w:val="30"/>
          <w:szCs w:val="30"/>
          <w:highlight w:val="none"/>
        </w:rPr>
        <w:instrText xml:space="preserve"> PAGEREF _Toc1085 </w:instrText>
      </w:r>
      <w:r>
        <w:rPr>
          <w:rFonts w:hint="eastAsia" w:cs="仿宋" w:asciiTheme="minorEastAsia" w:hAnsiTheme="minorEastAsia" w:eastAsiaTheme="minorEastAsia"/>
          <w:color w:val="auto"/>
          <w:sz w:val="30"/>
          <w:szCs w:val="30"/>
          <w:highlight w:val="none"/>
        </w:rPr>
        <w:fldChar w:fldCharType="separate"/>
      </w:r>
      <w:r>
        <w:rPr>
          <w:rFonts w:hint="eastAsia" w:cs="仿宋" w:asciiTheme="minorEastAsia" w:hAnsiTheme="minorEastAsia" w:eastAsiaTheme="minorEastAsia"/>
          <w:color w:val="auto"/>
          <w:sz w:val="30"/>
          <w:szCs w:val="30"/>
          <w:highlight w:val="none"/>
        </w:rPr>
        <w:t>- 20 -</w:t>
      </w:r>
      <w:r>
        <w:rPr>
          <w:rFonts w:hint="eastAsia" w:cs="仿宋" w:asciiTheme="minorEastAsia" w:hAnsiTheme="minorEastAsia" w:eastAsiaTheme="minorEastAsia"/>
          <w:color w:val="auto"/>
          <w:sz w:val="30"/>
          <w:szCs w:val="30"/>
          <w:highlight w:val="none"/>
        </w:rPr>
        <w:fldChar w:fldCharType="end"/>
      </w:r>
      <w:r>
        <w:rPr>
          <w:rFonts w:hint="eastAsia" w:cs="仿宋" w:asciiTheme="minorEastAsia" w:hAnsiTheme="minorEastAsia" w:eastAsiaTheme="minorEastAsia"/>
          <w:color w:val="auto"/>
          <w:sz w:val="30"/>
          <w:szCs w:val="30"/>
          <w:highlight w:val="none"/>
        </w:rPr>
        <w:fldChar w:fldCharType="end"/>
      </w:r>
    </w:p>
    <w:p w14:paraId="02865737">
      <w:pPr>
        <w:pStyle w:val="31"/>
        <w:tabs>
          <w:tab w:val="right" w:leader="dot" w:pos="9071"/>
        </w:tabs>
        <w:spacing w:line="1100" w:lineRule="exact"/>
        <w:rPr>
          <w:rFonts w:hint="eastAsia" w:cs="仿宋" w:asciiTheme="minorEastAsia" w:hAnsiTheme="minorEastAsia" w:eastAsiaTheme="minorEastAsia"/>
          <w:color w:val="auto"/>
          <w:sz w:val="30"/>
          <w:szCs w:val="30"/>
          <w:highlight w:val="none"/>
        </w:rPr>
      </w:pPr>
      <w:r>
        <w:rPr>
          <w:color w:val="auto"/>
          <w:highlight w:val="none"/>
        </w:rPr>
        <w:fldChar w:fldCharType="begin"/>
      </w:r>
      <w:r>
        <w:rPr>
          <w:color w:val="auto"/>
          <w:highlight w:val="none"/>
        </w:rPr>
        <w:instrText xml:space="preserve"> HYPERLINK \l "_Toc12205" </w:instrText>
      </w:r>
      <w:r>
        <w:rPr>
          <w:color w:val="auto"/>
          <w:highlight w:val="none"/>
        </w:rPr>
        <w:fldChar w:fldCharType="separate"/>
      </w:r>
      <w:r>
        <w:rPr>
          <w:rFonts w:hint="eastAsia" w:cs="仿宋" w:asciiTheme="minorEastAsia" w:hAnsiTheme="minorEastAsia" w:eastAsiaTheme="minorEastAsia"/>
          <w:bCs/>
          <w:color w:val="auto"/>
          <w:sz w:val="30"/>
          <w:szCs w:val="30"/>
          <w:highlight w:val="none"/>
        </w:rPr>
        <w:t>第四章 竞争性磋商内容及服务要求</w:t>
      </w:r>
      <w:r>
        <w:rPr>
          <w:rFonts w:hint="eastAsia" w:cs="仿宋" w:asciiTheme="minorEastAsia" w:hAnsiTheme="minorEastAsia" w:eastAsiaTheme="minorEastAsia"/>
          <w:color w:val="auto"/>
          <w:sz w:val="30"/>
          <w:szCs w:val="30"/>
          <w:highlight w:val="none"/>
        </w:rPr>
        <w:tab/>
      </w:r>
      <w:r>
        <w:rPr>
          <w:rFonts w:hint="eastAsia" w:cs="仿宋" w:asciiTheme="minorEastAsia" w:hAnsiTheme="minorEastAsia" w:eastAsiaTheme="minorEastAsia"/>
          <w:color w:val="auto"/>
          <w:sz w:val="30"/>
          <w:szCs w:val="30"/>
          <w:highlight w:val="none"/>
        </w:rPr>
        <w:fldChar w:fldCharType="begin"/>
      </w:r>
      <w:r>
        <w:rPr>
          <w:rFonts w:hint="eastAsia" w:cs="仿宋" w:asciiTheme="minorEastAsia" w:hAnsiTheme="minorEastAsia" w:eastAsiaTheme="minorEastAsia"/>
          <w:color w:val="auto"/>
          <w:sz w:val="30"/>
          <w:szCs w:val="30"/>
          <w:highlight w:val="none"/>
        </w:rPr>
        <w:instrText xml:space="preserve"> PAGEREF _Toc12205 </w:instrText>
      </w:r>
      <w:r>
        <w:rPr>
          <w:rFonts w:hint="eastAsia" w:cs="仿宋" w:asciiTheme="minorEastAsia" w:hAnsiTheme="minorEastAsia" w:eastAsiaTheme="minorEastAsia"/>
          <w:color w:val="auto"/>
          <w:sz w:val="30"/>
          <w:szCs w:val="30"/>
          <w:highlight w:val="none"/>
        </w:rPr>
        <w:fldChar w:fldCharType="separate"/>
      </w:r>
      <w:r>
        <w:rPr>
          <w:rFonts w:hint="eastAsia" w:cs="仿宋" w:asciiTheme="minorEastAsia" w:hAnsiTheme="minorEastAsia" w:eastAsiaTheme="minorEastAsia"/>
          <w:color w:val="auto"/>
          <w:sz w:val="30"/>
          <w:szCs w:val="30"/>
          <w:highlight w:val="none"/>
        </w:rPr>
        <w:t>- 20 -</w:t>
      </w:r>
      <w:r>
        <w:rPr>
          <w:rFonts w:hint="eastAsia" w:cs="仿宋" w:asciiTheme="minorEastAsia" w:hAnsiTheme="minorEastAsia" w:eastAsiaTheme="minorEastAsia"/>
          <w:color w:val="auto"/>
          <w:sz w:val="30"/>
          <w:szCs w:val="30"/>
          <w:highlight w:val="none"/>
        </w:rPr>
        <w:fldChar w:fldCharType="end"/>
      </w:r>
      <w:r>
        <w:rPr>
          <w:rFonts w:hint="eastAsia" w:cs="仿宋" w:asciiTheme="minorEastAsia" w:hAnsiTheme="minorEastAsia" w:eastAsiaTheme="minorEastAsia"/>
          <w:color w:val="auto"/>
          <w:sz w:val="30"/>
          <w:szCs w:val="30"/>
          <w:highlight w:val="none"/>
        </w:rPr>
        <w:fldChar w:fldCharType="end"/>
      </w:r>
    </w:p>
    <w:p w14:paraId="76CC894E">
      <w:pPr>
        <w:pStyle w:val="31"/>
        <w:tabs>
          <w:tab w:val="right" w:leader="dot" w:pos="9071"/>
        </w:tabs>
        <w:spacing w:line="1100" w:lineRule="exact"/>
        <w:rPr>
          <w:rFonts w:hint="eastAsia" w:cs="仿宋" w:asciiTheme="minorEastAsia" w:hAnsiTheme="minorEastAsia" w:eastAsiaTheme="minorEastAsia"/>
          <w:color w:val="auto"/>
          <w:sz w:val="30"/>
          <w:szCs w:val="30"/>
          <w:highlight w:val="none"/>
        </w:rPr>
      </w:pPr>
      <w:r>
        <w:rPr>
          <w:color w:val="auto"/>
          <w:highlight w:val="none"/>
        </w:rPr>
        <w:fldChar w:fldCharType="begin"/>
      </w:r>
      <w:r>
        <w:rPr>
          <w:color w:val="auto"/>
          <w:highlight w:val="none"/>
        </w:rPr>
        <w:instrText xml:space="preserve"> HYPERLINK \l "_Toc27356" </w:instrText>
      </w:r>
      <w:r>
        <w:rPr>
          <w:color w:val="auto"/>
          <w:highlight w:val="none"/>
        </w:rPr>
        <w:fldChar w:fldCharType="separate"/>
      </w:r>
      <w:r>
        <w:rPr>
          <w:rFonts w:hint="eastAsia" w:cs="仿宋" w:asciiTheme="minorEastAsia" w:hAnsiTheme="minorEastAsia" w:eastAsiaTheme="minorEastAsia"/>
          <w:bCs/>
          <w:color w:val="auto"/>
          <w:sz w:val="30"/>
          <w:szCs w:val="30"/>
          <w:highlight w:val="none"/>
        </w:rPr>
        <w:t>第五章 评审方法</w:t>
      </w:r>
      <w:r>
        <w:rPr>
          <w:rFonts w:hint="eastAsia" w:cs="仿宋" w:asciiTheme="minorEastAsia" w:hAnsiTheme="minorEastAsia" w:eastAsiaTheme="minorEastAsia"/>
          <w:color w:val="auto"/>
          <w:sz w:val="30"/>
          <w:szCs w:val="30"/>
          <w:highlight w:val="none"/>
        </w:rPr>
        <w:tab/>
      </w:r>
      <w:r>
        <w:rPr>
          <w:rFonts w:hint="eastAsia" w:cs="仿宋" w:asciiTheme="minorEastAsia" w:hAnsiTheme="minorEastAsia" w:eastAsiaTheme="minorEastAsia"/>
          <w:color w:val="auto"/>
          <w:sz w:val="30"/>
          <w:szCs w:val="30"/>
          <w:highlight w:val="none"/>
        </w:rPr>
        <w:fldChar w:fldCharType="begin"/>
      </w:r>
      <w:r>
        <w:rPr>
          <w:rFonts w:hint="eastAsia" w:cs="仿宋" w:asciiTheme="minorEastAsia" w:hAnsiTheme="minorEastAsia" w:eastAsiaTheme="minorEastAsia"/>
          <w:color w:val="auto"/>
          <w:sz w:val="30"/>
          <w:szCs w:val="30"/>
          <w:highlight w:val="none"/>
        </w:rPr>
        <w:instrText xml:space="preserve"> PAGEREF _Toc27356 </w:instrText>
      </w:r>
      <w:r>
        <w:rPr>
          <w:rFonts w:hint="eastAsia" w:cs="仿宋" w:asciiTheme="minorEastAsia" w:hAnsiTheme="minorEastAsia" w:eastAsiaTheme="minorEastAsia"/>
          <w:color w:val="auto"/>
          <w:sz w:val="30"/>
          <w:szCs w:val="30"/>
          <w:highlight w:val="none"/>
        </w:rPr>
        <w:fldChar w:fldCharType="separate"/>
      </w:r>
      <w:r>
        <w:rPr>
          <w:rFonts w:hint="eastAsia" w:cs="仿宋" w:asciiTheme="minorEastAsia" w:hAnsiTheme="minorEastAsia" w:eastAsiaTheme="minorEastAsia"/>
          <w:color w:val="auto"/>
          <w:sz w:val="30"/>
          <w:szCs w:val="30"/>
          <w:highlight w:val="none"/>
        </w:rPr>
        <w:t>- 28 -</w:t>
      </w:r>
      <w:r>
        <w:rPr>
          <w:rFonts w:hint="eastAsia" w:cs="仿宋" w:asciiTheme="minorEastAsia" w:hAnsiTheme="minorEastAsia" w:eastAsiaTheme="minorEastAsia"/>
          <w:color w:val="auto"/>
          <w:sz w:val="30"/>
          <w:szCs w:val="30"/>
          <w:highlight w:val="none"/>
        </w:rPr>
        <w:fldChar w:fldCharType="end"/>
      </w:r>
      <w:r>
        <w:rPr>
          <w:rFonts w:hint="eastAsia" w:cs="仿宋" w:asciiTheme="minorEastAsia" w:hAnsiTheme="minorEastAsia" w:eastAsiaTheme="minorEastAsia"/>
          <w:color w:val="auto"/>
          <w:sz w:val="30"/>
          <w:szCs w:val="30"/>
          <w:highlight w:val="none"/>
        </w:rPr>
        <w:fldChar w:fldCharType="end"/>
      </w:r>
    </w:p>
    <w:p w14:paraId="1FBC7B9D">
      <w:pPr>
        <w:pStyle w:val="31"/>
        <w:tabs>
          <w:tab w:val="right" w:leader="dot" w:pos="9071"/>
        </w:tabs>
        <w:spacing w:line="1100" w:lineRule="exact"/>
        <w:rPr>
          <w:rFonts w:hint="eastAsia" w:cs="仿宋" w:asciiTheme="minorEastAsia" w:hAnsiTheme="minorEastAsia" w:eastAsiaTheme="minorEastAsia"/>
          <w:color w:val="auto"/>
          <w:sz w:val="30"/>
          <w:szCs w:val="30"/>
          <w:highlight w:val="none"/>
        </w:rPr>
      </w:pPr>
      <w:r>
        <w:rPr>
          <w:color w:val="auto"/>
          <w:highlight w:val="none"/>
        </w:rPr>
        <w:fldChar w:fldCharType="begin"/>
      </w:r>
      <w:r>
        <w:rPr>
          <w:color w:val="auto"/>
          <w:highlight w:val="none"/>
        </w:rPr>
        <w:instrText xml:space="preserve"> HYPERLINK \l "_Toc31796" </w:instrText>
      </w:r>
      <w:r>
        <w:rPr>
          <w:color w:val="auto"/>
          <w:highlight w:val="none"/>
        </w:rPr>
        <w:fldChar w:fldCharType="separate"/>
      </w:r>
      <w:r>
        <w:rPr>
          <w:rFonts w:hint="eastAsia" w:cs="仿宋" w:asciiTheme="minorEastAsia" w:hAnsiTheme="minorEastAsia" w:eastAsiaTheme="minorEastAsia"/>
          <w:bCs/>
          <w:color w:val="auto"/>
          <w:sz w:val="30"/>
          <w:szCs w:val="30"/>
          <w:highlight w:val="none"/>
        </w:rPr>
        <w:t>第六章 竞争性磋商响应文件格式</w:t>
      </w:r>
      <w:r>
        <w:rPr>
          <w:rFonts w:hint="eastAsia" w:cs="仿宋" w:asciiTheme="minorEastAsia" w:hAnsiTheme="minorEastAsia" w:eastAsiaTheme="minorEastAsia"/>
          <w:color w:val="auto"/>
          <w:sz w:val="30"/>
          <w:szCs w:val="30"/>
          <w:highlight w:val="none"/>
        </w:rPr>
        <w:tab/>
      </w:r>
      <w:r>
        <w:rPr>
          <w:rFonts w:hint="eastAsia" w:cs="仿宋" w:asciiTheme="minorEastAsia" w:hAnsiTheme="minorEastAsia" w:eastAsiaTheme="minorEastAsia"/>
          <w:color w:val="auto"/>
          <w:sz w:val="30"/>
          <w:szCs w:val="30"/>
          <w:highlight w:val="none"/>
        </w:rPr>
        <w:fldChar w:fldCharType="begin"/>
      </w:r>
      <w:r>
        <w:rPr>
          <w:rFonts w:hint="eastAsia" w:cs="仿宋" w:asciiTheme="minorEastAsia" w:hAnsiTheme="minorEastAsia" w:eastAsiaTheme="minorEastAsia"/>
          <w:color w:val="auto"/>
          <w:sz w:val="30"/>
          <w:szCs w:val="30"/>
          <w:highlight w:val="none"/>
        </w:rPr>
        <w:instrText xml:space="preserve"> PAGEREF _Toc31796 </w:instrText>
      </w:r>
      <w:r>
        <w:rPr>
          <w:rFonts w:hint="eastAsia" w:cs="仿宋" w:asciiTheme="minorEastAsia" w:hAnsiTheme="minorEastAsia" w:eastAsiaTheme="minorEastAsia"/>
          <w:color w:val="auto"/>
          <w:sz w:val="30"/>
          <w:szCs w:val="30"/>
          <w:highlight w:val="none"/>
        </w:rPr>
        <w:fldChar w:fldCharType="separate"/>
      </w:r>
      <w:r>
        <w:rPr>
          <w:rFonts w:hint="eastAsia" w:cs="仿宋" w:asciiTheme="minorEastAsia" w:hAnsiTheme="minorEastAsia" w:eastAsiaTheme="minorEastAsia"/>
          <w:color w:val="auto"/>
          <w:sz w:val="30"/>
          <w:szCs w:val="30"/>
          <w:highlight w:val="none"/>
        </w:rPr>
        <w:t>- 38 -</w:t>
      </w:r>
      <w:r>
        <w:rPr>
          <w:rFonts w:hint="eastAsia" w:cs="仿宋" w:asciiTheme="minorEastAsia" w:hAnsiTheme="minorEastAsia" w:eastAsiaTheme="minorEastAsia"/>
          <w:color w:val="auto"/>
          <w:sz w:val="30"/>
          <w:szCs w:val="30"/>
          <w:highlight w:val="none"/>
        </w:rPr>
        <w:fldChar w:fldCharType="end"/>
      </w:r>
      <w:r>
        <w:rPr>
          <w:rFonts w:hint="eastAsia" w:cs="仿宋" w:asciiTheme="minorEastAsia" w:hAnsiTheme="minorEastAsia" w:eastAsiaTheme="minorEastAsia"/>
          <w:color w:val="auto"/>
          <w:sz w:val="30"/>
          <w:szCs w:val="30"/>
          <w:highlight w:val="none"/>
        </w:rPr>
        <w:fldChar w:fldCharType="end"/>
      </w:r>
    </w:p>
    <w:p w14:paraId="04C69566">
      <w:pPr>
        <w:pStyle w:val="31"/>
        <w:tabs>
          <w:tab w:val="right" w:leader="dot" w:pos="8302"/>
        </w:tabs>
        <w:spacing w:line="900" w:lineRule="exact"/>
        <w:rPr>
          <w:rFonts w:hint="eastAsia" w:cs="仿宋" w:asciiTheme="minorEastAsia" w:hAnsiTheme="minorEastAsia" w:eastAsiaTheme="minorEastAsia"/>
          <w:color w:val="auto"/>
          <w:highlight w:val="none"/>
        </w:rPr>
        <w:sectPr>
          <w:footerReference r:id="rId5" w:type="default"/>
          <w:pgSz w:w="11906" w:h="16838"/>
          <w:pgMar w:top="1418" w:right="1134" w:bottom="1418" w:left="1418" w:header="851" w:footer="851" w:gutter="0"/>
          <w:pgNumType w:fmt="numberInDash"/>
          <w:cols w:space="720" w:num="1"/>
          <w:docGrid w:type="lines" w:linePitch="312" w:charSpace="0"/>
        </w:sectPr>
      </w:pPr>
      <w:r>
        <w:rPr>
          <w:rFonts w:hint="eastAsia" w:cs="仿宋" w:asciiTheme="minorEastAsia" w:hAnsiTheme="minorEastAsia" w:eastAsiaTheme="minorEastAsia"/>
          <w:bCs/>
          <w:color w:val="auto"/>
          <w:sz w:val="30"/>
          <w:szCs w:val="30"/>
          <w:highlight w:val="none"/>
        </w:rPr>
        <w:fldChar w:fldCharType="end"/>
      </w:r>
    </w:p>
    <w:bookmarkEnd w:id="3"/>
    <w:bookmarkEnd w:id="4"/>
    <w:bookmarkEnd w:id="5"/>
    <w:bookmarkEnd w:id="6"/>
    <w:bookmarkEnd w:id="7"/>
    <w:bookmarkEnd w:id="8"/>
    <w:bookmarkEnd w:id="9"/>
    <w:bookmarkEnd w:id="10"/>
    <w:p w14:paraId="2F46918A">
      <w:pPr>
        <w:pStyle w:val="3"/>
        <w:keepNext w:val="0"/>
        <w:keepLines/>
        <w:pageBreakBefore/>
        <w:spacing w:before="120" w:beforeLines="50" w:after="120" w:afterLines="50" w:line="360" w:lineRule="auto"/>
        <w:jc w:val="center"/>
        <w:rPr>
          <w:rFonts w:hint="eastAsia" w:cs="仿宋" w:asciiTheme="minorEastAsia" w:hAnsiTheme="minorEastAsia" w:eastAsiaTheme="minorEastAsia"/>
          <w:bCs/>
          <w:color w:val="auto"/>
          <w:sz w:val="36"/>
          <w:szCs w:val="36"/>
          <w:highlight w:val="none"/>
        </w:rPr>
      </w:pPr>
      <w:bookmarkStart w:id="14" w:name="_Toc7310"/>
      <w:bookmarkStart w:id="15" w:name="_Toc423973071"/>
      <w:bookmarkStart w:id="16" w:name="_Toc4757"/>
      <w:bookmarkStart w:id="17" w:name="_Toc2929"/>
      <w:bookmarkStart w:id="18" w:name="_Toc389582035"/>
      <w:bookmarkStart w:id="19" w:name="_Toc29249"/>
      <w:bookmarkStart w:id="20" w:name="_Toc3564"/>
      <w:bookmarkStart w:id="21" w:name="_Toc423973072"/>
      <w:r>
        <w:rPr>
          <w:rFonts w:hint="eastAsia" w:cs="仿宋" w:asciiTheme="minorEastAsia" w:hAnsiTheme="minorEastAsia" w:eastAsiaTheme="minorEastAsia"/>
          <w:bCs/>
          <w:color w:val="auto"/>
          <w:sz w:val="36"/>
          <w:szCs w:val="36"/>
          <w:highlight w:val="none"/>
        </w:rPr>
        <w:t>第一章  竞争性磋商公告</w:t>
      </w:r>
      <w:bookmarkEnd w:id="14"/>
      <w:bookmarkEnd w:id="15"/>
      <w:bookmarkEnd w:id="16"/>
    </w:p>
    <w:tbl>
      <w:tblPr>
        <w:tblStyle w:val="48"/>
        <w:tblW w:w="503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02"/>
      </w:tblGrid>
      <w:tr w14:paraId="5815D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0" w:hRule="atLeast"/>
        </w:trPr>
        <w:tc>
          <w:tcPr>
            <w:tcW w:w="5000" w:type="pct"/>
            <w:tcBorders>
              <w:top w:val="single" w:color="auto" w:sz="4" w:space="0"/>
              <w:left w:val="single" w:color="auto" w:sz="4" w:space="0"/>
              <w:bottom w:val="single" w:color="auto" w:sz="4" w:space="0"/>
              <w:right w:val="single" w:color="auto" w:sz="4" w:space="0"/>
            </w:tcBorders>
          </w:tcPr>
          <w:p w14:paraId="10784751">
            <w:pPr>
              <w:widowControl/>
              <w:shd w:val="clear" w:color="auto" w:fill="FFFFFF"/>
              <w:spacing w:line="520" w:lineRule="exact"/>
              <w:textAlignment w:val="baseline"/>
              <w:rPr>
                <w:rFonts w:hint="eastAsia" w:hAnsi="宋体" w:cs="宋体"/>
                <w:color w:val="auto"/>
                <w:szCs w:val="24"/>
                <w:highlight w:val="none"/>
                <w:shd w:val="clear" w:color="auto" w:fill="FFFFFF"/>
              </w:rPr>
            </w:pPr>
            <w:bookmarkStart w:id="22" w:name="_Toc26080"/>
            <w:r>
              <w:rPr>
                <w:rFonts w:hint="eastAsia" w:hAnsi="宋体" w:cs="宋体"/>
                <w:b/>
                <w:bCs/>
                <w:color w:val="auto"/>
                <w:szCs w:val="24"/>
                <w:highlight w:val="none"/>
                <w:shd w:val="clear" w:color="auto" w:fill="FFFFFF"/>
                <w:lang w:bidi="ar"/>
              </w:rPr>
              <w:t>项目概况</w:t>
            </w:r>
          </w:p>
          <w:p w14:paraId="7154AA4A">
            <w:pPr>
              <w:widowControl/>
              <w:spacing w:line="520" w:lineRule="exact"/>
              <w:ind w:firstLine="480" w:firstLineChars="200"/>
              <w:textAlignment w:val="baseline"/>
              <w:rPr>
                <w:rFonts w:hint="eastAsia" w:hAnsi="宋体" w:cs="宋体"/>
                <w:color w:val="auto"/>
                <w:szCs w:val="24"/>
                <w:highlight w:val="none"/>
              </w:rPr>
            </w:pPr>
            <w:r>
              <w:rPr>
                <w:rFonts w:hint="eastAsia" w:hAnsi="宋体" w:cs="宋体"/>
                <w:color w:val="auto"/>
                <w:szCs w:val="24"/>
                <w:highlight w:val="none"/>
                <w:lang w:val="en-US" w:eastAsia="zh-CN" w:bidi="ar"/>
              </w:rPr>
              <w:t>2026年度蓝田县政府大院机关食堂服务项目</w:t>
            </w:r>
            <w:r>
              <w:rPr>
                <w:rFonts w:hint="eastAsia" w:hAnsi="宋体" w:cs="宋体"/>
                <w:color w:val="auto"/>
                <w:szCs w:val="24"/>
                <w:highlight w:val="none"/>
                <w:lang w:bidi="ar"/>
              </w:rPr>
              <w:t>的潜在供应商应在</w:t>
            </w:r>
            <w:r>
              <w:rPr>
                <w:rFonts w:hint="eastAsia" w:hAnsi="宋体" w:cs="宋体"/>
                <w:color w:val="auto"/>
                <w:szCs w:val="24"/>
                <w:highlight w:val="none"/>
                <w:lang w:eastAsia="zh-CN" w:bidi="ar"/>
              </w:rPr>
              <w:t>申领时间范围内获取磋商文件</w:t>
            </w:r>
            <w:r>
              <w:rPr>
                <w:rFonts w:hint="eastAsia" w:hAnsi="宋体" w:cs="宋体"/>
                <w:color w:val="auto"/>
                <w:szCs w:val="24"/>
                <w:highlight w:val="none"/>
                <w:lang w:bidi="ar"/>
              </w:rPr>
              <w:t>。并于202</w:t>
            </w:r>
            <w:r>
              <w:rPr>
                <w:rFonts w:hint="eastAsia" w:hAnsi="宋体" w:cs="宋体"/>
                <w:color w:val="auto"/>
                <w:szCs w:val="24"/>
                <w:highlight w:val="none"/>
                <w:lang w:val="en-US" w:eastAsia="zh-CN" w:bidi="ar"/>
              </w:rPr>
              <w:t>6</w:t>
            </w:r>
            <w:r>
              <w:rPr>
                <w:rFonts w:hint="eastAsia" w:hAnsi="宋体" w:cs="宋体"/>
                <w:color w:val="auto"/>
                <w:szCs w:val="24"/>
                <w:highlight w:val="none"/>
                <w:lang w:bidi="ar"/>
              </w:rPr>
              <w:t>年</w:t>
            </w:r>
            <w:r>
              <w:rPr>
                <w:rFonts w:hint="eastAsia" w:hAnsi="宋体" w:cs="宋体"/>
                <w:color w:val="auto"/>
                <w:szCs w:val="24"/>
                <w:highlight w:val="none"/>
                <w:lang w:val="en-US" w:eastAsia="zh-CN" w:bidi="ar"/>
              </w:rPr>
              <w:t>09</w:t>
            </w:r>
            <w:r>
              <w:rPr>
                <w:rFonts w:hint="eastAsia" w:hAnsi="宋体" w:cs="宋体"/>
                <w:color w:val="auto"/>
                <w:szCs w:val="24"/>
                <w:highlight w:val="none"/>
                <w:lang w:bidi="ar"/>
              </w:rPr>
              <w:t>月</w:t>
            </w:r>
            <w:r>
              <w:rPr>
                <w:rFonts w:hint="eastAsia" w:hAnsi="宋体" w:cs="宋体"/>
                <w:color w:val="auto"/>
                <w:szCs w:val="24"/>
                <w:highlight w:val="none"/>
                <w:lang w:val="en-US" w:eastAsia="zh-CN" w:bidi="ar"/>
              </w:rPr>
              <w:t>16</w:t>
            </w:r>
            <w:r>
              <w:rPr>
                <w:rFonts w:hint="eastAsia" w:hAnsi="宋体" w:cs="宋体"/>
                <w:color w:val="auto"/>
                <w:szCs w:val="24"/>
                <w:highlight w:val="none"/>
                <w:lang w:bidi="ar"/>
              </w:rPr>
              <w:t>日</w:t>
            </w:r>
            <w:r>
              <w:rPr>
                <w:rFonts w:hint="eastAsia" w:hAnsi="宋体" w:cs="宋体"/>
                <w:color w:val="auto"/>
                <w:szCs w:val="24"/>
                <w:highlight w:val="none"/>
                <w:lang w:val="en-US" w:eastAsia="zh-CN" w:bidi="ar"/>
              </w:rPr>
              <w:t>14</w:t>
            </w:r>
            <w:r>
              <w:rPr>
                <w:rFonts w:hint="eastAsia" w:hAnsi="宋体" w:cs="宋体"/>
                <w:color w:val="auto"/>
                <w:szCs w:val="24"/>
                <w:highlight w:val="none"/>
                <w:lang w:bidi="ar"/>
              </w:rPr>
              <w:t>时</w:t>
            </w:r>
            <w:r>
              <w:rPr>
                <w:rFonts w:hint="eastAsia" w:hAnsi="宋体" w:cs="宋体"/>
                <w:color w:val="auto"/>
                <w:szCs w:val="24"/>
                <w:highlight w:val="none"/>
                <w:lang w:val="en-US" w:eastAsia="zh-CN" w:bidi="ar"/>
              </w:rPr>
              <w:t>3</w:t>
            </w:r>
            <w:r>
              <w:rPr>
                <w:rFonts w:hint="eastAsia" w:hAnsi="宋体" w:cs="宋体"/>
                <w:color w:val="auto"/>
                <w:szCs w:val="24"/>
                <w:highlight w:val="none"/>
                <w:lang w:bidi="ar"/>
              </w:rPr>
              <w:t>0分（北京时间）前提交响应文件。</w:t>
            </w:r>
          </w:p>
        </w:tc>
      </w:tr>
    </w:tbl>
    <w:p w14:paraId="59F68A26">
      <w:pPr>
        <w:keepNext w:val="0"/>
        <w:keepLines w:val="0"/>
        <w:pageBreakBefore w:val="0"/>
        <w:widowControl/>
        <w:shd w:val="clear" w:color="auto" w:fill="FFFFFF"/>
        <w:kinsoku/>
        <w:wordWrap/>
        <w:overflowPunct/>
        <w:topLinePunct w:val="0"/>
        <w:autoSpaceDE/>
        <w:autoSpaceDN/>
        <w:bidi w:val="0"/>
        <w:adjustRightInd/>
        <w:snapToGrid w:val="0"/>
        <w:spacing w:before="157" w:beforeLines="50" w:line="360" w:lineRule="auto"/>
        <w:textAlignment w:val="baseline"/>
        <w:rPr>
          <w:rFonts w:hint="eastAsia" w:hAnsi="宋体" w:cs="宋体"/>
          <w:color w:val="auto"/>
          <w:szCs w:val="24"/>
          <w:highlight w:val="none"/>
          <w:shd w:val="clear" w:color="auto" w:fill="FFFFFF"/>
        </w:rPr>
      </w:pPr>
      <w:r>
        <w:rPr>
          <w:rFonts w:hint="eastAsia" w:hAnsi="宋体" w:cs="宋体"/>
          <w:b/>
          <w:bCs/>
          <w:color w:val="auto"/>
          <w:szCs w:val="24"/>
          <w:highlight w:val="none"/>
          <w:shd w:val="clear" w:color="auto" w:fill="FFFFFF"/>
          <w:lang w:bidi="ar"/>
        </w:rPr>
        <w:t>一、项目基本情况</w:t>
      </w:r>
    </w:p>
    <w:p w14:paraId="621EB390">
      <w:pPr>
        <w:keepNext w:val="0"/>
        <w:keepLines w:val="0"/>
        <w:pageBreakBefore w:val="0"/>
        <w:widowControl/>
        <w:shd w:val="clear" w:color="auto" w:fill="FFFFFF"/>
        <w:kinsoku/>
        <w:wordWrap/>
        <w:overflowPunct/>
        <w:topLinePunct w:val="0"/>
        <w:autoSpaceDE/>
        <w:autoSpaceDN/>
        <w:bidi w:val="0"/>
        <w:adjustRightInd/>
        <w:snapToGrid w:val="0"/>
        <w:spacing w:line="360" w:lineRule="auto"/>
        <w:ind w:firstLine="480" w:firstLineChars="200"/>
        <w:textAlignment w:val="baseline"/>
        <w:rPr>
          <w:rFonts w:hint="eastAsia" w:hAnsi="宋体" w:eastAsia="宋体" w:cs="宋体"/>
          <w:color w:val="auto"/>
          <w:szCs w:val="24"/>
          <w:highlight w:val="none"/>
          <w:u w:val="none"/>
          <w:shd w:val="clear" w:color="auto" w:fill="FFFFFF"/>
          <w:lang w:eastAsia="zh-CN"/>
        </w:rPr>
      </w:pPr>
      <w:r>
        <w:rPr>
          <w:rFonts w:hint="eastAsia" w:hAnsi="宋体" w:cs="宋体"/>
          <w:color w:val="auto"/>
          <w:szCs w:val="24"/>
          <w:highlight w:val="none"/>
          <w:shd w:val="clear" w:color="auto" w:fill="FFFFFF"/>
          <w:lang w:bidi="ar"/>
        </w:rPr>
        <w:t>项目编号</w:t>
      </w:r>
      <w:r>
        <w:rPr>
          <w:rFonts w:hint="eastAsia" w:hAnsi="宋体" w:cs="宋体"/>
          <w:color w:val="auto"/>
          <w:szCs w:val="24"/>
          <w:highlight w:val="none"/>
          <w:u w:val="none"/>
          <w:shd w:val="clear" w:color="auto" w:fill="FFFFFF"/>
          <w:lang w:bidi="ar"/>
        </w:rPr>
        <w:t>：</w:t>
      </w:r>
      <w:bookmarkStart w:id="23" w:name="OLE_LINK5"/>
      <w:r>
        <w:rPr>
          <w:rFonts w:hint="eastAsia" w:hAnsi="宋体" w:cs="宋体"/>
          <w:color w:val="auto"/>
          <w:szCs w:val="24"/>
          <w:highlight w:val="none"/>
          <w:u w:val="none"/>
          <w:shd w:val="clear" w:color="auto" w:fill="FFFFFF"/>
          <w:lang w:eastAsia="zh-CN" w:bidi="ar"/>
        </w:rPr>
        <w:t>ZJZB-2026-035</w:t>
      </w:r>
      <w:bookmarkEnd w:id="23"/>
    </w:p>
    <w:p w14:paraId="24EE7860">
      <w:pPr>
        <w:keepNext w:val="0"/>
        <w:keepLines w:val="0"/>
        <w:pageBreakBefore w:val="0"/>
        <w:widowControl/>
        <w:shd w:val="clear" w:color="auto" w:fill="FFFFFF"/>
        <w:kinsoku/>
        <w:wordWrap/>
        <w:overflowPunct/>
        <w:topLinePunct w:val="0"/>
        <w:autoSpaceDE/>
        <w:autoSpaceDN/>
        <w:bidi w:val="0"/>
        <w:adjustRightInd/>
        <w:snapToGrid w:val="0"/>
        <w:spacing w:line="360" w:lineRule="auto"/>
        <w:ind w:firstLine="480" w:firstLineChars="200"/>
        <w:textAlignment w:val="baseline"/>
        <w:rPr>
          <w:rFonts w:hint="eastAsia" w:hAnsi="宋体" w:cs="仿宋"/>
          <w:color w:val="auto"/>
          <w:szCs w:val="24"/>
          <w:highlight w:val="none"/>
          <w:u w:val="none"/>
          <w:shd w:val="clear" w:color="auto" w:fill="FFFFFF"/>
          <w:lang w:eastAsia="zh-CN" w:bidi="ar"/>
        </w:rPr>
      </w:pPr>
      <w:r>
        <w:rPr>
          <w:rFonts w:hint="eastAsia" w:hAnsi="宋体" w:cs="宋体"/>
          <w:color w:val="auto"/>
          <w:szCs w:val="24"/>
          <w:highlight w:val="none"/>
          <w:u w:val="none"/>
          <w:shd w:val="clear" w:color="auto" w:fill="FFFFFF"/>
          <w:lang w:bidi="ar"/>
        </w:rPr>
        <w:t>项目名称：</w:t>
      </w:r>
      <w:r>
        <w:rPr>
          <w:rFonts w:hint="eastAsia" w:hAnsi="宋体" w:cs="仿宋"/>
          <w:color w:val="auto"/>
          <w:szCs w:val="24"/>
          <w:highlight w:val="none"/>
          <w:u w:val="none"/>
          <w:shd w:val="clear" w:color="auto" w:fill="FFFFFF"/>
          <w:lang w:eastAsia="zh-CN" w:bidi="ar"/>
        </w:rPr>
        <w:t>2026年度蓝田县政府大院机关食堂服务项目</w:t>
      </w:r>
    </w:p>
    <w:p w14:paraId="54F361C9">
      <w:pPr>
        <w:keepNext w:val="0"/>
        <w:keepLines w:val="0"/>
        <w:pageBreakBefore w:val="0"/>
        <w:widowControl/>
        <w:shd w:val="clear" w:color="auto" w:fill="FFFFFF"/>
        <w:kinsoku/>
        <w:wordWrap/>
        <w:overflowPunct/>
        <w:topLinePunct w:val="0"/>
        <w:autoSpaceDE/>
        <w:autoSpaceDN/>
        <w:bidi w:val="0"/>
        <w:adjustRightInd/>
        <w:snapToGrid w:val="0"/>
        <w:spacing w:line="360" w:lineRule="auto"/>
        <w:ind w:firstLine="480" w:firstLineChars="200"/>
        <w:textAlignment w:val="baseline"/>
        <w:rPr>
          <w:rFonts w:hint="eastAsia" w:hAnsi="宋体" w:cs="宋体"/>
          <w:color w:val="auto"/>
          <w:szCs w:val="24"/>
          <w:highlight w:val="none"/>
          <w:shd w:val="clear" w:color="auto" w:fill="FFFFFF"/>
        </w:rPr>
      </w:pPr>
      <w:r>
        <w:rPr>
          <w:rFonts w:hint="eastAsia" w:hAnsi="宋体" w:cs="宋体"/>
          <w:color w:val="auto"/>
          <w:szCs w:val="24"/>
          <w:highlight w:val="none"/>
          <w:shd w:val="clear" w:color="auto" w:fill="FFFFFF"/>
          <w:lang w:bidi="ar"/>
        </w:rPr>
        <w:t>采购方式：竞争性磋商</w:t>
      </w:r>
    </w:p>
    <w:p w14:paraId="17FB47D8">
      <w:pPr>
        <w:keepNext w:val="0"/>
        <w:keepLines w:val="0"/>
        <w:pageBreakBefore w:val="0"/>
        <w:widowControl/>
        <w:shd w:val="clear" w:color="auto" w:fill="FFFFFF"/>
        <w:kinsoku/>
        <w:wordWrap/>
        <w:overflowPunct/>
        <w:topLinePunct w:val="0"/>
        <w:autoSpaceDE/>
        <w:autoSpaceDN/>
        <w:bidi w:val="0"/>
        <w:adjustRightInd/>
        <w:snapToGrid w:val="0"/>
        <w:spacing w:line="360" w:lineRule="auto"/>
        <w:ind w:firstLine="480" w:firstLineChars="200"/>
        <w:textAlignment w:val="baseline"/>
        <w:rPr>
          <w:rFonts w:hint="eastAsia" w:hAnsi="宋体" w:cs="宋体"/>
          <w:color w:val="auto"/>
          <w:szCs w:val="24"/>
          <w:highlight w:val="none"/>
          <w:shd w:val="clear" w:color="auto" w:fill="FFFFFF"/>
        </w:rPr>
      </w:pPr>
      <w:r>
        <w:rPr>
          <w:rFonts w:hint="eastAsia" w:hAnsi="宋体" w:cs="宋体"/>
          <w:color w:val="auto"/>
          <w:szCs w:val="24"/>
          <w:highlight w:val="none"/>
          <w:shd w:val="clear" w:color="auto" w:fill="FFFFFF"/>
          <w:lang w:bidi="ar"/>
        </w:rPr>
        <w:t>预算金额：</w:t>
      </w:r>
      <w:bookmarkStart w:id="24" w:name="OLE_LINK6"/>
      <w:r>
        <w:rPr>
          <w:rFonts w:hint="eastAsia" w:hAnsi="宋体" w:cs="宋体"/>
          <w:color w:val="auto"/>
          <w:szCs w:val="24"/>
          <w:highlight w:val="none"/>
          <w:shd w:val="clear" w:color="auto" w:fill="FFFFFF"/>
          <w:lang w:val="en-US" w:eastAsia="zh-CN" w:bidi="ar"/>
        </w:rPr>
        <w:t>162,600.00</w:t>
      </w:r>
      <w:bookmarkEnd w:id="24"/>
      <w:r>
        <w:rPr>
          <w:rFonts w:hint="eastAsia" w:hAnsi="宋体" w:cs="宋体"/>
          <w:color w:val="auto"/>
          <w:szCs w:val="24"/>
          <w:highlight w:val="none"/>
          <w:shd w:val="clear" w:color="auto" w:fill="FFFFFF"/>
          <w:lang w:bidi="ar"/>
        </w:rPr>
        <w:t>元</w:t>
      </w:r>
    </w:p>
    <w:p w14:paraId="1DFFEB8F">
      <w:pPr>
        <w:keepNext w:val="0"/>
        <w:keepLines w:val="0"/>
        <w:pageBreakBefore w:val="0"/>
        <w:widowControl/>
        <w:shd w:val="clear" w:color="auto" w:fill="FFFFFF"/>
        <w:kinsoku/>
        <w:wordWrap/>
        <w:overflowPunct/>
        <w:topLinePunct w:val="0"/>
        <w:autoSpaceDE/>
        <w:autoSpaceDN/>
        <w:bidi w:val="0"/>
        <w:adjustRightInd/>
        <w:snapToGrid w:val="0"/>
        <w:spacing w:line="360" w:lineRule="auto"/>
        <w:ind w:firstLine="480" w:firstLineChars="200"/>
        <w:textAlignment w:val="baseline"/>
        <w:rPr>
          <w:rFonts w:hint="eastAsia" w:hAnsi="宋体" w:cs="宋体"/>
          <w:color w:val="auto"/>
          <w:szCs w:val="24"/>
          <w:highlight w:val="none"/>
          <w:shd w:val="clear" w:color="auto" w:fill="FFFFFF"/>
        </w:rPr>
      </w:pPr>
      <w:r>
        <w:rPr>
          <w:rFonts w:hint="eastAsia" w:hAnsi="宋体" w:cs="宋体"/>
          <w:color w:val="auto"/>
          <w:szCs w:val="24"/>
          <w:highlight w:val="none"/>
          <w:shd w:val="clear" w:color="auto" w:fill="FFFFFF"/>
          <w:lang w:bidi="ar"/>
        </w:rPr>
        <w:t>采购需求：</w:t>
      </w:r>
    </w:p>
    <w:p w14:paraId="7DFC885D">
      <w:pPr>
        <w:keepNext w:val="0"/>
        <w:keepLines w:val="0"/>
        <w:pageBreakBefore w:val="0"/>
        <w:widowControl/>
        <w:shd w:val="clear" w:color="auto" w:fill="FFFFFF"/>
        <w:kinsoku/>
        <w:wordWrap/>
        <w:overflowPunct/>
        <w:topLinePunct w:val="0"/>
        <w:autoSpaceDE/>
        <w:autoSpaceDN/>
        <w:bidi w:val="0"/>
        <w:adjustRightInd/>
        <w:snapToGrid w:val="0"/>
        <w:spacing w:line="360" w:lineRule="auto"/>
        <w:ind w:firstLine="720" w:firstLineChars="300"/>
        <w:textAlignment w:val="baseline"/>
        <w:rPr>
          <w:rFonts w:hint="eastAsia" w:hAnsi="宋体" w:cs="宋体"/>
          <w:color w:val="auto"/>
          <w:szCs w:val="24"/>
          <w:highlight w:val="none"/>
          <w:shd w:val="clear" w:color="auto" w:fill="FFFFFF"/>
        </w:rPr>
      </w:pPr>
      <w:r>
        <w:rPr>
          <w:rFonts w:hint="eastAsia" w:hAnsi="宋体" w:cs="宋体"/>
          <w:color w:val="auto"/>
          <w:szCs w:val="24"/>
          <w:highlight w:val="none"/>
          <w:shd w:val="clear" w:color="auto" w:fill="FFFFFF"/>
          <w:lang w:bidi="ar"/>
        </w:rPr>
        <w:t>合同包1：（</w:t>
      </w:r>
      <w:r>
        <w:rPr>
          <w:rFonts w:hint="eastAsia" w:hAnsi="宋体" w:cs="宋体"/>
          <w:color w:val="auto"/>
          <w:szCs w:val="24"/>
          <w:highlight w:val="none"/>
          <w:shd w:val="clear" w:color="auto" w:fill="FFFFFF"/>
          <w:lang w:eastAsia="zh-CN" w:bidi="ar"/>
        </w:rPr>
        <w:t>2026年度蓝田县政府大院机关食堂服务项目</w:t>
      </w:r>
      <w:r>
        <w:rPr>
          <w:rFonts w:hint="eastAsia" w:hAnsi="宋体" w:cs="宋体"/>
          <w:color w:val="auto"/>
          <w:szCs w:val="24"/>
          <w:highlight w:val="none"/>
          <w:shd w:val="clear" w:color="auto" w:fill="FFFFFF"/>
          <w:lang w:bidi="ar"/>
        </w:rPr>
        <w:t>）</w:t>
      </w:r>
    </w:p>
    <w:p w14:paraId="5C08598F">
      <w:pPr>
        <w:keepNext w:val="0"/>
        <w:keepLines w:val="0"/>
        <w:pageBreakBefore w:val="0"/>
        <w:widowControl/>
        <w:shd w:val="clear" w:color="auto" w:fill="FFFFFF"/>
        <w:kinsoku/>
        <w:wordWrap/>
        <w:overflowPunct/>
        <w:topLinePunct w:val="0"/>
        <w:autoSpaceDE/>
        <w:autoSpaceDN/>
        <w:bidi w:val="0"/>
        <w:adjustRightInd/>
        <w:snapToGrid w:val="0"/>
        <w:spacing w:line="360" w:lineRule="auto"/>
        <w:ind w:firstLine="960" w:firstLineChars="400"/>
        <w:textAlignment w:val="baseline"/>
        <w:rPr>
          <w:rFonts w:hint="eastAsia" w:hAnsi="宋体" w:cs="宋体"/>
          <w:color w:val="auto"/>
          <w:szCs w:val="24"/>
          <w:highlight w:val="none"/>
          <w:shd w:val="clear" w:color="auto" w:fill="FFFFFF"/>
        </w:rPr>
      </w:pPr>
      <w:r>
        <w:rPr>
          <w:rFonts w:hint="eastAsia" w:hAnsi="宋体" w:cs="宋体"/>
          <w:color w:val="auto"/>
          <w:szCs w:val="24"/>
          <w:highlight w:val="none"/>
          <w:shd w:val="clear" w:color="auto" w:fill="FFFFFF"/>
          <w:lang w:bidi="ar"/>
        </w:rPr>
        <w:t>合同包预算金额：</w:t>
      </w:r>
      <w:r>
        <w:rPr>
          <w:rFonts w:hint="eastAsia" w:hAnsi="宋体" w:cs="宋体"/>
          <w:color w:val="auto"/>
          <w:szCs w:val="24"/>
          <w:highlight w:val="none"/>
          <w:shd w:val="clear" w:color="auto" w:fill="FFFFFF"/>
          <w:lang w:val="en-US" w:eastAsia="zh-CN" w:bidi="ar"/>
        </w:rPr>
        <w:t>162,600.00</w:t>
      </w:r>
      <w:r>
        <w:rPr>
          <w:rFonts w:hint="eastAsia" w:hAnsi="宋体" w:cs="宋体"/>
          <w:color w:val="auto"/>
          <w:szCs w:val="24"/>
          <w:highlight w:val="none"/>
          <w:shd w:val="clear" w:color="auto" w:fill="FFFFFF"/>
          <w:lang w:bidi="ar"/>
        </w:rPr>
        <w:t>元</w:t>
      </w:r>
    </w:p>
    <w:tbl>
      <w:tblPr>
        <w:tblStyle w:val="48"/>
        <w:tblW w:w="5000" w:type="pct"/>
        <w:tblInd w:w="0" w:type="dxa"/>
        <w:tblLayout w:type="fixed"/>
        <w:tblCellMar>
          <w:top w:w="0" w:type="dxa"/>
          <w:left w:w="0" w:type="dxa"/>
          <w:bottom w:w="0" w:type="dxa"/>
          <w:right w:w="0" w:type="dxa"/>
        </w:tblCellMar>
      </w:tblPr>
      <w:tblGrid>
        <w:gridCol w:w="1001"/>
        <w:gridCol w:w="751"/>
        <w:gridCol w:w="2050"/>
        <w:gridCol w:w="1242"/>
        <w:gridCol w:w="1702"/>
        <w:gridCol w:w="1593"/>
        <w:gridCol w:w="1525"/>
      </w:tblGrid>
      <w:tr w14:paraId="5802D5BC">
        <w:tblPrEx>
          <w:tblCellMar>
            <w:top w:w="0" w:type="dxa"/>
            <w:left w:w="0" w:type="dxa"/>
            <w:bottom w:w="0" w:type="dxa"/>
            <w:right w:w="0" w:type="dxa"/>
          </w:tblCellMar>
        </w:tblPrEx>
        <w:trPr>
          <w:trHeight w:val="728" w:hRule="atLeast"/>
          <w:tblHeader/>
        </w:trPr>
        <w:tc>
          <w:tcPr>
            <w:tcW w:w="507"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4760B3DE">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hAnsi="宋体" w:cs="宋体"/>
                <w:b/>
                <w:bCs/>
                <w:color w:val="auto"/>
                <w:szCs w:val="24"/>
                <w:highlight w:val="none"/>
              </w:rPr>
            </w:pPr>
            <w:r>
              <w:rPr>
                <w:rFonts w:hint="eastAsia" w:hAnsi="宋体" w:cs="宋体"/>
                <w:b/>
                <w:bCs/>
                <w:color w:val="auto"/>
                <w:szCs w:val="24"/>
                <w:highlight w:val="none"/>
                <w:lang w:bidi="ar"/>
              </w:rPr>
              <w:t>品目号</w:t>
            </w:r>
          </w:p>
        </w:tc>
        <w:tc>
          <w:tcPr>
            <w:tcW w:w="380"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63E11B38">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hAnsi="宋体" w:cs="宋体"/>
                <w:b/>
                <w:bCs/>
                <w:color w:val="auto"/>
                <w:szCs w:val="24"/>
                <w:highlight w:val="none"/>
              </w:rPr>
            </w:pPr>
            <w:r>
              <w:rPr>
                <w:rFonts w:hint="eastAsia" w:hAnsi="宋体" w:cs="宋体"/>
                <w:b/>
                <w:bCs/>
                <w:color w:val="auto"/>
                <w:szCs w:val="24"/>
                <w:highlight w:val="none"/>
                <w:lang w:bidi="ar"/>
              </w:rPr>
              <w:t>品目名称</w:t>
            </w:r>
          </w:p>
        </w:tc>
        <w:tc>
          <w:tcPr>
            <w:tcW w:w="1038"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4DDE2FCD">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hAnsi="宋体" w:cs="宋体"/>
                <w:b/>
                <w:bCs/>
                <w:color w:val="auto"/>
                <w:szCs w:val="24"/>
                <w:highlight w:val="none"/>
              </w:rPr>
            </w:pPr>
            <w:r>
              <w:rPr>
                <w:rFonts w:hint="eastAsia" w:hAnsi="宋体" w:cs="宋体"/>
                <w:b/>
                <w:bCs/>
                <w:color w:val="auto"/>
                <w:szCs w:val="24"/>
                <w:highlight w:val="none"/>
                <w:lang w:bidi="ar"/>
              </w:rPr>
              <w:t>采购标的</w:t>
            </w:r>
          </w:p>
        </w:tc>
        <w:tc>
          <w:tcPr>
            <w:tcW w:w="629"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5FDC99FF">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hAnsi="宋体" w:cs="宋体"/>
                <w:b/>
                <w:bCs/>
                <w:color w:val="auto"/>
                <w:szCs w:val="24"/>
                <w:highlight w:val="none"/>
              </w:rPr>
            </w:pPr>
            <w:r>
              <w:rPr>
                <w:rFonts w:hint="eastAsia" w:hAnsi="宋体" w:cs="宋体"/>
                <w:b/>
                <w:bCs/>
                <w:color w:val="auto"/>
                <w:szCs w:val="24"/>
                <w:highlight w:val="none"/>
                <w:lang w:bidi="ar"/>
              </w:rPr>
              <w:t>数量</w:t>
            </w:r>
          </w:p>
          <w:p w14:paraId="2D0CB344">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hAnsi="宋体" w:cs="宋体"/>
                <w:b/>
                <w:bCs/>
                <w:color w:val="auto"/>
                <w:szCs w:val="24"/>
                <w:highlight w:val="none"/>
              </w:rPr>
            </w:pPr>
            <w:r>
              <w:rPr>
                <w:rFonts w:hint="eastAsia" w:hAnsi="宋体" w:cs="宋体"/>
                <w:b/>
                <w:bCs/>
                <w:color w:val="auto"/>
                <w:szCs w:val="24"/>
                <w:highlight w:val="none"/>
                <w:lang w:bidi="ar"/>
              </w:rPr>
              <w:t>（单位）</w:t>
            </w:r>
          </w:p>
        </w:tc>
        <w:tc>
          <w:tcPr>
            <w:tcW w:w="862"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5B45F332">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hAnsi="宋体" w:cs="宋体"/>
                <w:b/>
                <w:bCs/>
                <w:color w:val="auto"/>
                <w:szCs w:val="24"/>
                <w:highlight w:val="none"/>
              </w:rPr>
            </w:pPr>
            <w:r>
              <w:rPr>
                <w:rFonts w:hint="eastAsia" w:hAnsi="宋体" w:cs="宋体"/>
                <w:b/>
                <w:bCs/>
                <w:color w:val="auto"/>
                <w:szCs w:val="24"/>
                <w:highlight w:val="none"/>
                <w:lang w:bidi="ar"/>
              </w:rPr>
              <w:t>技术规格、参数及要求</w:t>
            </w:r>
          </w:p>
        </w:tc>
        <w:tc>
          <w:tcPr>
            <w:tcW w:w="807"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258FA78C">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hAnsi="宋体" w:cs="宋体"/>
                <w:b/>
                <w:bCs/>
                <w:color w:val="auto"/>
                <w:szCs w:val="24"/>
                <w:highlight w:val="none"/>
              </w:rPr>
            </w:pPr>
            <w:r>
              <w:rPr>
                <w:rFonts w:hint="eastAsia" w:hAnsi="宋体" w:cs="宋体"/>
                <w:b/>
                <w:bCs/>
                <w:color w:val="auto"/>
                <w:szCs w:val="24"/>
                <w:highlight w:val="none"/>
                <w:lang w:bidi="ar"/>
              </w:rPr>
              <w:t>品目预算</w:t>
            </w:r>
          </w:p>
          <w:p w14:paraId="131B6C4C">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hAnsi="宋体" w:cs="宋体"/>
                <w:b/>
                <w:bCs/>
                <w:color w:val="auto"/>
                <w:szCs w:val="24"/>
                <w:highlight w:val="none"/>
              </w:rPr>
            </w:pPr>
            <w:r>
              <w:rPr>
                <w:rFonts w:hint="eastAsia" w:hAnsi="宋体" w:cs="宋体"/>
                <w:b/>
                <w:bCs/>
                <w:color w:val="auto"/>
                <w:szCs w:val="24"/>
                <w:highlight w:val="none"/>
                <w:lang w:bidi="ar"/>
              </w:rPr>
              <w:t>(元)</w:t>
            </w:r>
          </w:p>
        </w:tc>
        <w:tc>
          <w:tcPr>
            <w:tcW w:w="772"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1E164932">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hAnsi="宋体" w:cs="宋体"/>
                <w:b/>
                <w:bCs/>
                <w:color w:val="auto"/>
                <w:szCs w:val="24"/>
                <w:highlight w:val="none"/>
              </w:rPr>
            </w:pPr>
            <w:r>
              <w:rPr>
                <w:rFonts w:hint="eastAsia" w:hAnsi="宋体" w:cs="宋体"/>
                <w:b/>
                <w:bCs/>
                <w:color w:val="auto"/>
                <w:szCs w:val="24"/>
                <w:highlight w:val="none"/>
                <w:lang w:bidi="ar"/>
              </w:rPr>
              <w:t>最高限价(元)</w:t>
            </w:r>
          </w:p>
        </w:tc>
      </w:tr>
      <w:tr w14:paraId="6B7687A9">
        <w:tblPrEx>
          <w:tblCellMar>
            <w:top w:w="0" w:type="dxa"/>
            <w:left w:w="0" w:type="dxa"/>
            <w:bottom w:w="0" w:type="dxa"/>
            <w:right w:w="0" w:type="dxa"/>
          </w:tblCellMar>
        </w:tblPrEx>
        <w:trPr>
          <w:trHeight w:val="480" w:hRule="atLeast"/>
        </w:trPr>
        <w:tc>
          <w:tcPr>
            <w:tcW w:w="507"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7FCE6D93">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hAnsi="宋体" w:cs="宋体"/>
                <w:color w:val="auto"/>
                <w:szCs w:val="24"/>
                <w:highlight w:val="none"/>
              </w:rPr>
            </w:pPr>
            <w:r>
              <w:rPr>
                <w:rFonts w:hint="eastAsia" w:hAnsi="宋体" w:cs="宋体"/>
                <w:color w:val="auto"/>
                <w:szCs w:val="24"/>
                <w:highlight w:val="none"/>
                <w:lang w:bidi="ar"/>
              </w:rPr>
              <w:t>1-1</w:t>
            </w:r>
          </w:p>
        </w:tc>
        <w:tc>
          <w:tcPr>
            <w:tcW w:w="380"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2D4EB044">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hAnsi="宋体" w:cs="宋体"/>
                <w:color w:val="auto"/>
                <w:szCs w:val="24"/>
                <w:highlight w:val="none"/>
                <w:lang w:val="en-US" w:eastAsia="zh-CN"/>
              </w:rPr>
            </w:pPr>
            <w:r>
              <w:rPr>
                <w:rFonts w:hint="eastAsia" w:hAnsi="宋体" w:cs="宋体"/>
                <w:color w:val="auto"/>
                <w:szCs w:val="24"/>
                <w:highlight w:val="none"/>
                <w:lang w:val="en-US" w:eastAsia="zh-CN"/>
              </w:rPr>
              <w:t>餐饮服务</w:t>
            </w:r>
          </w:p>
        </w:tc>
        <w:tc>
          <w:tcPr>
            <w:tcW w:w="1038"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3ECCF0F4">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hAnsi="宋体" w:cs="宋体"/>
                <w:color w:val="auto"/>
                <w:szCs w:val="24"/>
                <w:highlight w:val="none"/>
                <w:lang w:val="en-US" w:eastAsia="zh-CN"/>
              </w:rPr>
            </w:pPr>
            <w:r>
              <w:rPr>
                <w:rFonts w:hint="default" w:hAnsi="宋体" w:cs="宋体"/>
                <w:color w:val="auto"/>
                <w:szCs w:val="24"/>
                <w:highlight w:val="none"/>
                <w:lang w:val="en-US" w:eastAsia="zh-CN"/>
              </w:rPr>
              <w:t>2026年度蓝田县政府大院机关食堂服务项目</w:t>
            </w:r>
          </w:p>
        </w:tc>
        <w:tc>
          <w:tcPr>
            <w:tcW w:w="629"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574488B8">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hAnsi="宋体" w:eastAsia="宋体" w:cs="宋体"/>
                <w:color w:val="auto"/>
                <w:szCs w:val="24"/>
                <w:highlight w:val="none"/>
                <w:lang w:val="en-US" w:eastAsia="zh-CN"/>
              </w:rPr>
            </w:pPr>
            <w:r>
              <w:rPr>
                <w:rFonts w:hint="eastAsia" w:hAnsi="宋体" w:cs="宋体"/>
                <w:color w:val="auto"/>
                <w:szCs w:val="24"/>
                <w:highlight w:val="none"/>
                <w:lang w:val="en-US" w:eastAsia="zh-CN"/>
              </w:rPr>
              <w:t>12（自然月）</w:t>
            </w:r>
          </w:p>
        </w:tc>
        <w:tc>
          <w:tcPr>
            <w:tcW w:w="862"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7B3DF101">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hAnsi="宋体" w:cs="宋体"/>
                <w:color w:val="auto"/>
                <w:szCs w:val="24"/>
                <w:highlight w:val="none"/>
              </w:rPr>
            </w:pPr>
            <w:r>
              <w:rPr>
                <w:rFonts w:hint="eastAsia" w:hAnsi="宋体" w:cs="宋体"/>
                <w:color w:val="auto"/>
                <w:szCs w:val="24"/>
                <w:highlight w:val="none"/>
                <w:lang w:bidi="ar"/>
              </w:rPr>
              <w:t>详见采购文件</w:t>
            </w:r>
          </w:p>
        </w:tc>
        <w:tc>
          <w:tcPr>
            <w:tcW w:w="807"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458F748A">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hAnsi="宋体" w:cs="宋体"/>
                <w:color w:val="auto"/>
                <w:szCs w:val="24"/>
                <w:highlight w:val="none"/>
              </w:rPr>
            </w:pPr>
            <w:r>
              <w:rPr>
                <w:rFonts w:hint="eastAsia" w:hAnsi="宋体" w:cs="宋体"/>
                <w:color w:val="auto"/>
                <w:szCs w:val="24"/>
                <w:highlight w:val="none"/>
                <w:lang w:val="en-US" w:eastAsia="zh-CN"/>
              </w:rPr>
              <w:t>162,600.00</w:t>
            </w:r>
          </w:p>
        </w:tc>
        <w:tc>
          <w:tcPr>
            <w:tcW w:w="772"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2CEF17F3">
            <w:pPr>
              <w:keepNext w:val="0"/>
              <w:keepLines w:val="0"/>
              <w:pageBreakBefore w:val="0"/>
              <w:widowControl/>
              <w:kinsoku/>
              <w:wordWrap/>
              <w:overflowPunct/>
              <w:topLinePunct w:val="0"/>
              <w:autoSpaceDE/>
              <w:autoSpaceDN/>
              <w:bidi w:val="0"/>
              <w:adjustRightInd/>
              <w:snapToGrid/>
              <w:spacing w:line="240" w:lineRule="auto"/>
              <w:jc w:val="right"/>
              <w:textAlignment w:val="auto"/>
              <w:rPr>
                <w:rFonts w:hint="eastAsia" w:hAnsi="宋体" w:cs="宋体"/>
                <w:color w:val="auto"/>
                <w:szCs w:val="24"/>
                <w:highlight w:val="none"/>
              </w:rPr>
            </w:pPr>
            <w:r>
              <w:rPr>
                <w:rFonts w:hint="eastAsia" w:hAnsi="宋体" w:cs="宋体"/>
                <w:color w:val="auto"/>
                <w:szCs w:val="24"/>
                <w:highlight w:val="none"/>
                <w:lang w:val="en-US" w:eastAsia="zh-CN"/>
              </w:rPr>
              <w:t>162,600.00</w:t>
            </w:r>
          </w:p>
        </w:tc>
      </w:tr>
    </w:tbl>
    <w:p w14:paraId="3D3F5C0D">
      <w:pPr>
        <w:keepNext w:val="0"/>
        <w:keepLines w:val="0"/>
        <w:pageBreakBefore w:val="0"/>
        <w:widowControl/>
        <w:shd w:val="clear" w:color="auto" w:fill="FFFFFF"/>
        <w:kinsoku/>
        <w:wordWrap/>
        <w:overflowPunct/>
        <w:topLinePunct w:val="0"/>
        <w:autoSpaceDE/>
        <w:autoSpaceDN/>
        <w:bidi w:val="0"/>
        <w:adjustRightInd/>
        <w:snapToGrid w:val="0"/>
        <w:spacing w:before="157" w:beforeLines="50" w:line="360" w:lineRule="auto"/>
        <w:ind w:firstLine="720" w:firstLineChars="300"/>
        <w:textAlignment w:val="baseline"/>
        <w:rPr>
          <w:rFonts w:hint="eastAsia" w:hAnsi="宋体" w:eastAsia="宋体" w:cs="宋体"/>
          <w:color w:val="auto"/>
          <w:szCs w:val="24"/>
          <w:highlight w:val="none"/>
          <w:shd w:val="clear" w:color="auto" w:fill="FFFFFF"/>
          <w:lang w:eastAsia="zh-CN"/>
        </w:rPr>
      </w:pPr>
      <w:r>
        <w:rPr>
          <w:rFonts w:hint="eastAsia" w:hAnsi="宋体" w:cs="宋体"/>
          <w:color w:val="auto"/>
          <w:szCs w:val="24"/>
          <w:highlight w:val="none"/>
          <w:shd w:val="clear" w:color="auto" w:fill="FFFFFF"/>
          <w:lang w:bidi="ar"/>
        </w:rPr>
        <w:t>本合同包不接受联合体</w:t>
      </w:r>
      <w:r>
        <w:rPr>
          <w:rFonts w:hint="eastAsia" w:hAnsi="宋体" w:cs="宋体"/>
          <w:color w:val="auto"/>
          <w:szCs w:val="24"/>
          <w:highlight w:val="none"/>
          <w:shd w:val="clear" w:color="auto" w:fill="FFFFFF"/>
          <w:lang w:eastAsia="zh-CN" w:bidi="ar"/>
        </w:rPr>
        <w:t>磋商</w:t>
      </w:r>
    </w:p>
    <w:p w14:paraId="42BB29BA">
      <w:pPr>
        <w:keepNext w:val="0"/>
        <w:keepLines w:val="0"/>
        <w:pageBreakBefore w:val="0"/>
        <w:widowControl/>
        <w:shd w:val="clear" w:color="auto" w:fill="FFFFFF"/>
        <w:kinsoku/>
        <w:wordWrap/>
        <w:overflowPunct/>
        <w:topLinePunct w:val="0"/>
        <w:autoSpaceDE/>
        <w:autoSpaceDN/>
        <w:bidi w:val="0"/>
        <w:adjustRightInd/>
        <w:snapToGrid w:val="0"/>
        <w:spacing w:line="360" w:lineRule="auto"/>
        <w:ind w:firstLine="720" w:firstLineChars="300"/>
        <w:textAlignment w:val="baseline"/>
        <w:rPr>
          <w:rFonts w:hint="default" w:hAnsi="宋体" w:eastAsia="宋体" w:cs="宋体"/>
          <w:color w:val="auto"/>
          <w:szCs w:val="24"/>
          <w:highlight w:val="none"/>
          <w:shd w:val="clear" w:color="auto" w:fill="FFFFFF"/>
          <w:lang w:val="en-US" w:eastAsia="zh-CN" w:bidi="ar"/>
        </w:rPr>
      </w:pPr>
      <w:r>
        <w:rPr>
          <w:rFonts w:hint="eastAsia" w:hAnsi="宋体" w:cs="宋体"/>
          <w:color w:val="auto"/>
          <w:szCs w:val="24"/>
          <w:highlight w:val="none"/>
          <w:shd w:val="clear" w:color="auto" w:fill="FFFFFF"/>
          <w:lang w:bidi="ar"/>
        </w:rPr>
        <w:t>合同履行期限：</w:t>
      </w:r>
      <w:bookmarkStart w:id="25" w:name="OLE_LINK7"/>
      <w:r>
        <w:rPr>
          <w:rFonts w:hint="eastAsia" w:ascii="宋体" w:hAnsi="宋体" w:eastAsia="宋体" w:cs="宋体"/>
          <w:sz w:val="24"/>
          <w:szCs w:val="24"/>
          <w:highlight w:val="none"/>
          <w:lang w:val="en-US" w:eastAsia="zh-CN"/>
        </w:rPr>
        <w:t>合同签订后12个自然月，工作日正常提供早、</w:t>
      </w:r>
      <w:r>
        <w:rPr>
          <w:rFonts w:hint="eastAsia" w:hAnsi="宋体" w:cs="宋体"/>
          <w:sz w:val="24"/>
          <w:szCs w:val="24"/>
          <w:highlight w:val="none"/>
          <w:lang w:val="en-US" w:eastAsia="zh-CN"/>
        </w:rPr>
        <w:t>中、晚</w:t>
      </w:r>
      <w:r>
        <w:rPr>
          <w:rFonts w:hint="eastAsia" w:ascii="宋体" w:hAnsi="宋体" w:eastAsia="宋体" w:cs="宋体"/>
          <w:sz w:val="24"/>
          <w:szCs w:val="24"/>
          <w:highlight w:val="none"/>
          <w:lang w:val="en-US" w:eastAsia="zh-CN"/>
        </w:rPr>
        <w:t>餐餐饮服务，按需保障节假日、会议供餐。</w:t>
      </w:r>
      <w:bookmarkEnd w:id="25"/>
    </w:p>
    <w:p w14:paraId="213C9798">
      <w:pPr>
        <w:keepNext w:val="0"/>
        <w:keepLines w:val="0"/>
        <w:pageBreakBefore w:val="0"/>
        <w:widowControl/>
        <w:shd w:val="clear" w:color="auto" w:fill="FFFFFF"/>
        <w:kinsoku/>
        <w:wordWrap/>
        <w:overflowPunct/>
        <w:topLinePunct w:val="0"/>
        <w:autoSpaceDE/>
        <w:autoSpaceDN/>
        <w:bidi w:val="0"/>
        <w:adjustRightInd/>
        <w:snapToGrid w:val="0"/>
        <w:spacing w:line="360" w:lineRule="auto"/>
        <w:textAlignment w:val="baseline"/>
        <w:rPr>
          <w:rFonts w:hint="eastAsia" w:hAnsi="宋体" w:cs="宋体"/>
          <w:color w:val="auto"/>
          <w:szCs w:val="24"/>
          <w:highlight w:val="none"/>
          <w:shd w:val="clear" w:color="auto" w:fill="FFFFFF"/>
        </w:rPr>
      </w:pPr>
      <w:r>
        <w:rPr>
          <w:rFonts w:hint="eastAsia" w:hAnsi="宋体" w:cs="宋体"/>
          <w:b/>
          <w:bCs/>
          <w:color w:val="auto"/>
          <w:szCs w:val="24"/>
          <w:highlight w:val="none"/>
          <w:shd w:val="clear" w:color="auto" w:fill="FFFFFF"/>
          <w:lang w:bidi="ar"/>
        </w:rPr>
        <w:t>二、申请人的资格要求：</w:t>
      </w:r>
    </w:p>
    <w:p w14:paraId="2C905F96">
      <w:pPr>
        <w:keepNext w:val="0"/>
        <w:keepLines w:val="0"/>
        <w:pageBreakBefore w:val="0"/>
        <w:widowControl/>
        <w:shd w:val="clear" w:color="auto" w:fill="FFFFFF"/>
        <w:kinsoku/>
        <w:wordWrap/>
        <w:overflowPunct/>
        <w:topLinePunct w:val="0"/>
        <w:autoSpaceDE/>
        <w:autoSpaceDN/>
        <w:bidi w:val="0"/>
        <w:adjustRightInd/>
        <w:snapToGrid w:val="0"/>
        <w:spacing w:line="360" w:lineRule="auto"/>
        <w:ind w:firstLine="480" w:firstLineChars="200"/>
        <w:textAlignment w:val="baseline"/>
        <w:rPr>
          <w:rFonts w:hint="eastAsia" w:hAnsi="宋体" w:cs="宋体"/>
          <w:color w:val="auto"/>
          <w:szCs w:val="24"/>
          <w:highlight w:val="none"/>
          <w:shd w:val="clear" w:color="auto" w:fill="FFFFFF"/>
        </w:rPr>
      </w:pPr>
      <w:r>
        <w:rPr>
          <w:rFonts w:hint="eastAsia" w:hAnsi="宋体" w:cs="宋体"/>
          <w:color w:val="auto"/>
          <w:szCs w:val="24"/>
          <w:highlight w:val="none"/>
          <w:shd w:val="clear" w:color="auto" w:fill="FFFFFF"/>
          <w:lang w:bidi="ar"/>
        </w:rPr>
        <w:t>1.满足《中华人民共和国政府采购法》第二十二条规定；</w:t>
      </w:r>
    </w:p>
    <w:p w14:paraId="39AFCE44">
      <w:pPr>
        <w:keepNext w:val="0"/>
        <w:keepLines w:val="0"/>
        <w:pageBreakBefore w:val="0"/>
        <w:widowControl/>
        <w:shd w:val="clear" w:color="auto" w:fill="FFFFFF"/>
        <w:kinsoku/>
        <w:wordWrap/>
        <w:overflowPunct/>
        <w:topLinePunct w:val="0"/>
        <w:autoSpaceDE/>
        <w:autoSpaceDN/>
        <w:bidi w:val="0"/>
        <w:adjustRightInd/>
        <w:snapToGrid w:val="0"/>
        <w:spacing w:line="360" w:lineRule="auto"/>
        <w:ind w:firstLine="480" w:firstLineChars="200"/>
        <w:textAlignment w:val="baseline"/>
        <w:rPr>
          <w:rFonts w:hint="eastAsia" w:hAnsi="宋体" w:cs="宋体"/>
          <w:color w:val="auto"/>
          <w:szCs w:val="24"/>
          <w:highlight w:val="none"/>
          <w:shd w:val="clear" w:color="auto" w:fill="FFFFFF"/>
        </w:rPr>
      </w:pPr>
      <w:r>
        <w:rPr>
          <w:rFonts w:hint="eastAsia" w:hAnsi="宋体" w:cs="宋体"/>
          <w:color w:val="auto"/>
          <w:szCs w:val="24"/>
          <w:highlight w:val="none"/>
          <w:shd w:val="clear" w:color="auto" w:fill="FFFFFF"/>
          <w:lang w:bidi="ar"/>
        </w:rPr>
        <w:t>2.落实政府采购政策需满足的资格要求：</w:t>
      </w:r>
    </w:p>
    <w:p w14:paraId="434F9B58">
      <w:pPr>
        <w:keepNext w:val="0"/>
        <w:keepLines w:val="0"/>
        <w:pageBreakBefore w:val="0"/>
        <w:widowControl/>
        <w:shd w:val="clear" w:color="auto" w:fill="FFFFFF"/>
        <w:kinsoku/>
        <w:wordWrap/>
        <w:overflowPunct/>
        <w:topLinePunct w:val="0"/>
        <w:autoSpaceDE/>
        <w:autoSpaceDN/>
        <w:bidi w:val="0"/>
        <w:adjustRightInd/>
        <w:snapToGrid w:val="0"/>
        <w:spacing w:line="360" w:lineRule="auto"/>
        <w:ind w:firstLine="480" w:firstLineChars="200"/>
        <w:textAlignment w:val="baseline"/>
        <w:rPr>
          <w:rFonts w:hint="eastAsia" w:hAnsi="宋体" w:eastAsia="宋体" w:cs="宋体"/>
          <w:color w:val="auto"/>
          <w:szCs w:val="24"/>
          <w:highlight w:val="none"/>
          <w:shd w:val="clear" w:color="auto" w:fill="FFFFFF"/>
          <w:lang w:eastAsia="zh-CN" w:bidi="ar"/>
        </w:rPr>
      </w:pPr>
      <w:r>
        <w:rPr>
          <w:rFonts w:hint="eastAsia" w:hAnsi="宋体" w:cs="宋体"/>
          <w:color w:val="auto"/>
          <w:szCs w:val="24"/>
          <w:highlight w:val="none"/>
          <w:shd w:val="clear" w:color="auto" w:fill="FFFFFF"/>
          <w:lang w:eastAsia="zh-CN" w:bidi="ar"/>
        </w:rPr>
        <w:t>本项目专门面向中小企业采购。</w:t>
      </w:r>
    </w:p>
    <w:p w14:paraId="7FDDDB0D">
      <w:pPr>
        <w:keepNext w:val="0"/>
        <w:keepLines w:val="0"/>
        <w:pageBreakBefore w:val="0"/>
        <w:widowControl/>
        <w:shd w:val="clear" w:color="auto" w:fill="FFFFFF"/>
        <w:kinsoku/>
        <w:wordWrap/>
        <w:overflowPunct/>
        <w:topLinePunct w:val="0"/>
        <w:autoSpaceDE/>
        <w:autoSpaceDN/>
        <w:bidi w:val="0"/>
        <w:adjustRightInd/>
        <w:snapToGrid w:val="0"/>
        <w:spacing w:line="360" w:lineRule="auto"/>
        <w:ind w:firstLine="480" w:firstLineChars="200"/>
        <w:textAlignment w:val="baseline"/>
        <w:rPr>
          <w:rFonts w:hint="eastAsia" w:hAnsi="宋体" w:cs="宋体"/>
          <w:color w:val="auto"/>
          <w:szCs w:val="24"/>
          <w:highlight w:val="none"/>
          <w:shd w:val="clear" w:color="auto" w:fill="FFFFFF"/>
          <w:lang w:bidi="ar"/>
        </w:rPr>
      </w:pPr>
      <w:r>
        <w:rPr>
          <w:rFonts w:hint="eastAsia" w:hAnsi="宋体" w:cs="宋体"/>
          <w:color w:val="auto"/>
          <w:szCs w:val="24"/>
          <w:highlight w:val="none"/>
          <w:shd w:val="clear" w:color="auto" w:fill="FFFFFF"/>
          <w:lang w:bidi="ar"/>
        </w:rPr>
        <w:t>3.本项目的特定资格要求：</w:t>
      </w:r>
    </w:p>
    <w:p w14:paraId="7D2987C4">
      <w:pPr>
        <w:keepNext w:val="0"/>
        <w:keepLines w:val="0"/>
        <w:pageBreakBefore w:val="0"/>
        <w:widowControl/>
        <w:shd w:val="clear" w:color="auto" w:fill="FFFFFF"/>
        <w:kinsoku/>
        <w:wordWrap/>
        <w:overflowPunct/>
        <w:topLinePunct w:val="0"/>
        <w:autoSpaceDE/>
        <w:autoSpaceDN/>
        <w:bidi w:val="0"/>
        <w:adjustRightInd/>
        <w:snapToGrid w:val="0"/>
        <w:spacing w:line="360" w:lineRule="auto"/>
        <w:ind w:firstLine="480" w:firstLineChars="200"/>
        <w:textAlignment w:val="baseline"/>
        <w:rPr>
          <w:rFonts w:hint="eastAsia" w:hAnsi="宋体" w:cs="宋体"/>
          <w:color w:val="auto"/>
          <w:szCs w:val="24"/>
          <w:highlight w:val="none"/>
          <w:shd w:val="clear" w:color="auto" w:fill="FFFFFF"/>
          <w:lang w:bidi="ar"/>
        </w:rPr>
      </w:pPr>
      <w:r>
        <w:rPr>
          <w:rFonts w:hint="eastAsia" w:hAnsi="宋体" w:cs="宋体"/>
          <w:color w:val="auto"/>
          <w:szCs w:val="24"/>
          <w:highlight w:val="none"/>
          <w:shd w:val="clear" w:color="auto" w:fill="FFFFFF"/>
          <w:lang w:bidi="ar"/>
        </w:rPr>
        <w:t>合同包1(</w:t>
      </w:r>
      <w:r>
        <w:rPr>
          <w:rFonts w:hint="eastAsia" w:hAnsi="宋体" w:cs="宋体"/>
          <w:color w:val="auto"/>
          <w:szCs w:val="24"/>
          <w:highlight w:val="none"/>
          <w:shd w:val="clear" w:color="auto" w:fill="FFFFFF"/>
          <w:lang w:eastAsia="zh-CN" w:bidi="ar"/>
        </w:rPr>
        <w:t>2026年度蓝田县政府大院机关食堂服务项目</w:t>
      </w:r>
      <w:r>
        <w:rPr>
          <w:rFonts w:hint="eastAsia" w:hAnsi="宋体" w:cs="宋体"/>
          <w:color w:val="auto"/>
          <w:szCs w:val="24"/>
          <w:highlight w:val="none"/>
          <w:shd w:val="clear" w:color="auto" w:fill="FFFFFF"/>
          <w:lang w:bidi="ar"/>
        </w:rPr>
        <w:t>)特定资格要求如下：</w:t>
      </w:r>
    </w:p>
    <w:p w14:paraId="60CFA3F8">
      <w:pPr>
        <w:keepNext w:val="0"/>
        <w:keepLines w:val="0"/>
        <w:pageBreakBefore w:val="0"/>
        <w:widowControl/>
        <w:kinsoku/>
        <w:wordWrap/>
        <w:overflowPunct/>
        <w:topLinePunct w:val="0"/>
        <w:autoSpaceDE/>
        <w:autoSpaceDN/>
        <w:bidi w:val="0"/>
        <w:adjustRightInd/>
        <w:snapToGrid w:val="0"/>
        <w:spacing w:line="360" w:lineRule="auto"/>
        <w:ind w:firstLine="480" w:firstLineChars="200"/>
        <w:rPr>
          <w:rFonts w:hint="eastAsia" w:cs="宋体" w:asciiTheme="minorEastAsia" w:hAnsiTheme="minorEastAsia" w:eastAsiaTheme="minorEastAsia"/>
          <w:color w:val="auto"/>
          <w:sz w:val="24"/>
          <w:highlight w:val="none"/>
          <w:lang w:val="en-US" w:eastAsia="zh-CN"/>
        </w:rPr>
      </w:pPr>
      <w:r>
        <w:rPr>
          <w:rFonts w:hint="eastAsia" w:cs="宋体" w:asciiTheme="minorEastAsia" w:hAnsiTheme="minorEastAsia" w:eastAsiaTheme="minorEastAsia"/>
          <w:color w:val="auto"/>
          <w:sz w:val="24"/>
          <w:highlight w:val="none"/>
        </w:rPr>
        <w:t>（1）具有独立承担民事责任的法人、其他组织或自然人，并出具合法有效的营业执照或事业单位法人证书等国家规定的相关证明，自然人参与的提供其身份证明</w:t>
      </w:r>
      <w:r>
        <w:rPr>
          <w:rFonts w:hint="eastAsia" w:cs="宋体" w:asciiTheme="minorEastAsia" w:hAnsiTheme="minorEastAsia" w:eastAsiaTheme="minorEastAsia"/>
          <w:color w:val="auto"/>
          <w:sz w:val="24"/>
          <w:highlight w:val="none"/>
          <w:lang w:val="en-US" w:eastAsia="zh-CN"/>
        </w:rPr>
        <w:t>；</w:t>
      </w:r>
    </w:p>
    <w:p w14:paraId="787DB17A">
      <w:pPr>
        <w:keepNext w:val="0"/>
        <w:keepLines w:val="0"/>
        <w:pageBreakBefore w:val="0"/>
        <w:widowControl/>
        <w:kinsoku/>
        <w:wordWrap/>
        <w:overflowPunct/>
        <w:topLinePunct w:val="0"/>
        <w:autoSpaceDE/>
        <w:autoSpaceDN/>
        <w:bidi w:val="0"/>
        <w:adjustRightInd/>
        <w:snapToGrid w:val="0"/>
        <w:spacing w:line="360" w:lineRule="auto"/>
        <w:ind w:firstLine="480" w:firstLineChars="200"/>
        <w:rPr>
          <w:rFonts w:hint="default" w:cs="宋体" w:asciiTheme="minorEastAsia" w:hAnsiTheme="minorEastAsia" w:eastAsiaTheme="minorEastAsia"/>
          <w:color w:val="auto"/>
          <w:sz w:val="24"/>
          <w:highlight w:val="none"/>
          <w:lang w:val="en-US"/>
        </w:rPr>
      </w:pPr>
      <w:r>
        <w:rPr>
          <w:rFonts w:hint="eastAsia" w:cs="宋体" w:asciiTheme="minorEastAsia" w:hAnsiTheme="minorEastAsia" w:eastAsiaTheme="minorEastAsia"/>
          <w:color w:val="auto"/>
          <w:sz w:val="24"/>
          <w:highlight w:val="none"/>
        </w:rPr>
        <w:t>（2）</w:t>
      </w:r>
      <w:r>
        <w:rPr>
          <w:rFonts w:hint="eastAsia" w:hAnsi="宋体"/>
          <w:color w:val="auto"/>
          <w:szCs w:val="24"/>
          <w:highlight w:val="none"/>
          <w:lang w:eastAsia="zh-CN"/>
        </w:rPr>
        <w:t>法定代表人授权书（附法定代表人、被授权人身份证复印件），法定代表人直接参加磋商，须提供法定代表人身份证明及身份证复印件</w:t>
      </w:r>
      <w:r>
        <w:rPr>
          <w:rFonts w:hint="eastAsia" w:hAnsi="宋体"/>
          <w:color w:val="auto"/>
          <w:szCs w:val="24"/>
          <w:highlight w:val="none"/>
          <w:lang w:val="en-US" w:eastAsia="zh-CN"/>
        </w:rPr>
        <w:t>；</w:t>
      </w:r>
    </w:p>
    <w:p w14:paraId="49128B23">
      <w:pPr>
        <w:keepNext w:val="0"/>
        <w:keepLines w:val="0"/>
        <w:pageBreakBefore w:val="0"/>
        <w:widowControl/>
        <w:kinsoku/>
        <w:wordWrap/>
        <w:overflowPunct/>
        <w:topLinePunct w:val="0"/>
        <w:autoSpaceDE/>
        <w:autoSpaceDN/>
        <w:bidi w:val="0"/>
        <w:adjustRightInd/>
        <w:snapToGrid w:val="0"/>
        <w:spacing w:line="360" w:lineRule="auto"/>
        <w:ind w:firstLine="480" w:firstLineChars="200"/>
        <w:rPr>
          <w:rFonts w:hint="eastAsia" w:cs="宋体" w:asciiTheme="minorEastAsia" w:hAnsiTheme="minorEastAsia" w:eastAsiaTheme="minorEastAsia"/>
          <w:color w:val="auto"/>
          <w:sz w:val="24"/>
          <w:highlight w:val="none"/>
          <w:lang w:eastAsia="zh-CN"/>
        </w:rPr>
      </w:pPr>
      <w:r>
        <w:rPr>
          <w:rFonts w:hint="eastAsia" w:cs="宋体" w:asciiTheme="minorEastAsia" w:hAnsiTheme="minorEastAsia" w:eastAsiaTheme="minorEastAsia"/>
          <w:color w:val="auto"/>
          <w:sz w:val="24"/>
          <w:highlight w:val="none"/>
        </w:rPr>
        <w:t>（3）</w:t>
      </w:r>
      <w:r>
        <w:rPr>
          <w:rFonts w:hint="eastAsia" w:cs="宋体" w:asciiTheme="minorEastAsia" w:hAnsiTheme="minorEastAsia" w:eastAsiaTheme="minorEastAsia"/>
          <w:color w:val="auto"/>
          <w:sz w:val="24"/>
          <w:highlight w:val="none"/>
          <w:lang w:eastAsia="zh-CN"/>
        </w:rPr>
        <w:t>财务状况报告：提供</w:t>
      </w:r>
      <w:r>
        <w:rPr>
          <w:rFonts w:hint="eastAsia" w:cs="宋体" w:asciiTheme="minorEastAsia" w:hAnsiTheme="minorEastAsia" w:eastAsiaTheme="minorEastAsia"/>
          <w:color w:val="auto"/>
          <w:sz w:val="24"/>
          <w:highlight w:val="none"/>
          <w:lang w:val="en-US" w:eastAsia="zh-CN"/>
        </w:rPr>
        <w:t>2024年度或</w:t>
      </w:r>
      <w:r>
        <w:rPr>
          <w:rFonts w:hint="eastAsia" w:cs="宋体" w:asciiTheme="minorEastAsia" w:hAnsiTheme="minorEastAsia" w:eastAsiaTheme="minorEastAsia"/>
          <w:color w:val="auto"/>
          <w:sz w:val="24"/>
          <w:highlight w:val="none"/>
          <w:lang w:eastAsia="zh-CN"/>
        </w:rPr>
        <w:t>2025年度的经审计的完整财务会计报告（成立时间至提交磋商文件截止时间不足一年的可提供成立后任意时段的资产负债表），或其基本存款账户开户银行出具的资信证明及基本存款账户开户许可证（基本账户信息表）(注:依据财政部、国务院国资委、金融监管总局印发&lt;&lt;关于加强审计报告查验工作的通知&gt;&gt;(财会(2023]15号)报告须在注册会计师行业统一监管平台备案并由该平台赋予二维码)。</w:t>
      </w:r>
    </w:p>
    <w:p w14:paraId="106F5B68">
      <w:pPr>
        <w:keepNext w:val="0"/>
        <w:keepLines w:val="0"/>
        <w:pageBreakBefore w:val="0"/>
        <w:widowControl/>
        <w:kinsoku/>
        <w:wordWrap/>
        <w:overflowPunct/>
        <w:topLinePunct w:val="0"/>
        <w:autoSpaceDE/>
        <w:autoSpaceDN/>
        <w:bidi w:val="0"/>
        <w:adjustRightInd/>
        <w:snapToGrid w:val="0"/>
        <w:spacing w:line="360" w:lineRule="auto"/>
        <w:ind w:firstLine="480" w:firstLineChars="200"/>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（4）社会保障资金缴纳证明：</w:t>
      </w:r>
      <w:r>
        <w:rPr>
          <w:rFonts w:hint="eastAsia" w:asciiTheme="minorEastAsia" w:hAnsiTheme="minorEastAsia"/>
          <w:color w:val="auto"/>
          <w:sz w:val="24"/>
          <w:szCs w:val="24"/>
          <w:highlight w:val="none"/>
        </w:rPr>
        <w:t>提供磋商截止日前六个月内任意一个月的社保资金交纳证明，依法不需要缴纳社保资金的单位提供相关证明材料</w:t>
      </w:r>
      <w:r>
        <w:rPr>
          <w:rFonts w:hint="eastAsia" w:cs="宋体" w:asciiTheme="minorEastAsia" w:hAnsiTheme="minorEastAsia" w:eastAsiaTheme="minorEastAsia"/>
          <w:color w:val="auto"/>
          <w:sz w:val="24"/>
          <w:highlight w:val="none"/>
        </w:rPr>
        <w:t>；</w:t>
      </w:r>
    </w:p>
    <w:p w14:paraId="592C2BD2">
      <w:pPr>
        <w:keepNext w:val="0"/>
        <w:keepLines w:val="0"/>
        <w:pageBreakBefore w:val="0"/>
        <w:widowControl/>
        <w:kinsoku/>
        <w:wordWrap/>
        <w:overflowPunct/>
        <w:topLinePunct w:val="0"/>
        <w:autoSpaceDE/>
        <w:autoSpaceDN/>
        <w:bidi w:val="0"/>
        <w:adjustRightInd/>
        <w:snapToGrid w:val="0"/>
        <w:spacing w:line="360" w:lineRule="auto"/>
        <w:ind w:firstLine="480" w:firstLineChars="200"/>
        <w:rPr>
          <w:rFonts w:hint="eastAsia" w:eastAsia="宋体" w:cs="宋体" w:asciiTheme="minorEastAsia" w:hAnsiTheme="minorEastAsia"/>
          <w:color w:val="auto"/>
          <w:sz w:val="24"/>
          <w:highlight w:val="none"/>
          <w:lang w:val="en-US" w:eastAsia="zh-CN"/>
        </w:rPr>
      </w:pPr>
      <w:r>
        <w:rPr>
          <w:rFonts w:hint="eastAsia" w:cs="宋体" w:asciiTheme="minorEastAsia" w:hAnsiTheme="minorEastAsia" w:eastAsiaTheme="minorEastAsia"/>
          <w:color w:val="auto"/>
          <w:sz w:val="24"/>
          <w:highlight w:val="none"/>
        </w:rPr>
        <w:t>（5）税收缴纳证明：</w:t>
      </w:r>
      <w:r>
        <w:rPr>
          <w:rFonts w:hint="eastAsia" w:asciiTheme="minorEastAsia" w:hAnsiTheme="minorEastAsia"/>
          <w:color w:val="auto"/>
          <w:sz w:val="24"/>
          <w:szCs w:val="24"/>
          <w:highlight w:val="none"/>
        </w:rPr>
        <w:t>提供磋商截止日前六个月内任意一个月的纳税证明或完税证明（增值税、印花税、城市维护建设费、企业所得税等一种或多种税种），依法免税的单位提供相关证明材料</w:t>
      </w:r>
      <w:r>
        <w:rPr>
          <w:rFonts w:hint="eastAsia" w:asciiTheme="minorEastAsia" w:hAnsiTheme="minorEastAsia"/>
          <w:color w:val="auto"/>
          <w:sz w:val="24"/>
          <w:szCs w:val="24"/>
          <w:highlight w:val="none"/>
          <w:lang w:val="en-US" w:eastAsia="zh-CN"/>
        </w:rPr>
        <w:t>；</w:t>
      </w:r>
    </w:p>
    <w:p w14:paraId="521D0BB1">
      <w:pPr>
        <w:keepNext w:val="0"/>
        <w:keepLines w:val="0"/>
        <w:pageBreakBefore w:val="0"/>
        <w:widowControl/>
        <w:shd w:val="clear"/>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Times New Roman"/>
          <w:sz w:val="24"/>
          <w:highlight w:val="none"/>
        </w:rPr>
      </w:pPr>
      <w:r>
        <w:rPr>
          <w:rFonts w:hint="eastAsia" w:cs="宋体" w:asciiTheme="minorEastAsia" w:hAnsiTheme="minorEastAsia" w:eastAsiaTheme="minorEastAsia"/>
          <w:color w:val="auto"/>
          <w:sz w:val="24"/>
          <w:highlight w:val="none"/>
        </w:rPr>
        <w:t>（6）</w:t>
      </w:r>
      <w:r>
        <w:rPr>
          <w:rFonts w:hint="eastAsia" w:ascii="宋体" w:hAnsi="宋体" w:eastAsia="宋体" w:cs="Times New Roman"/>
          <w:sz w:val="24"/>
          <w:highlight w:val="none"/>
        </w:rPr>
        <w:t>信用记录：供应商不得为“信用中国”网站(http://www.creditchina.gov.cn)列入“失信被执行人或重大税收违法失信主体或政府采购严重违法失信行为记录名单”的供应商；不得为中国政府采购网(http://www.ccgp.gov.cn) “政府采购严重违法失信行为记录名单”中的供应商；</w:t>
      </w:r>
      <w:r>
        <w:rPr>
          <w:rFonts w:hint="eastAsia" w:ascii="宋体" w:hAnsi="宋体" w:cs="Times New Roman"/>
          <w:sz w:val="24"/>
          <w:highlight w:val="none"/>
          <w:lang w:eastAsia="zh-CN"/>
        </w:rPr>
        <w:t>（</w:t>
      </w:r>
      <w:r>
        <w:rPr>
          <w:rFonts w:hint="eastAsia" w:hAnsi="宋体" w:cs="Times New Roman"/>
          <w:sz w:val="24"/>
          <w:highlight w:val="none"/>
          <w:lang w:eastAsia="zh-CN"/>
        </w:rPr>
        <w:t>提供查询截图或承诺书</w:t>
      </w:r>
      <w:r>
        <w:rPr>
          <w:rFonts w:hint="eastAsia" w:ascii="宋体" w:hAnsi="宋体" w:cs="Times New Roman"/>
          <w:sz w:val="24"/>
          <w:highlight w:val="none"/>
          <w:lang w:eastAsia="zh-CN"/>
        </w:rPr>
        <w:t>）</w:t>
      </w:r>
    </w:p>
    <w:p w14:paraId="5A7F6BA9">
      <w:pPr>
        <w:keepNext w:val="0"/>
        <w:keepLines w:val="0"/>
        <w:pageBreakBefore w:val="0"/>
        <w:widowControl/>
        <w:kinsoku/>
        <w:wordWrap/>
        <w:overflowPunct/>
        <w:topLinePunct w:val="0"/>
        <w:autoSpaceDE/>
        <w:autoSpaceDN/>
        <w:bidi w:val="0"/>
        <w:adjustRightInd/>
        <w:snapToGrid w:val="0"/>
        <w:spacing w:line="360" w:lineRule="auto"/>
        <w:ind w:firstLine="480" w:firstLineChars="200"/>
        <w:rPr>
          <w:rFonts w:hint="default" w:cs="宋体" w:asciiTheme="minorEastAsia" w:hAnsiTheme="minorEastAsia" w:eastAsiaTheme="minorEastAsia"/>
          <w:color w:val="auto"/>
          <w:sz w:val="24"/>
          <w:highlight w:val="none"/>
          <w:lang w:val="en-US"/>
        </w:rPr>
      </w:pPr>
      <w:r>
        <w:rPr>
          <w:rFonts w:hint="eastAsia" w:cs="宋体" w:asciiTheme="minorEastAsia" w:hAnsiTheme="minorEastAsia" w:eastAsiaTheme="minorEastAsia"/>
          <w:color w:val="auto"/>
          <w:sz w:val="24"/>
          <w:highlight w:val="none"/>
        </w:rPr>
        <w:t>（</w:t>
      </w:r>
      <w:r>
        <w:rPr>
          <w:rFonts w:hint="eastAsia" w:cs="宋体" w:asciiTheme="minorEastAsia" w:hAnsiTheme="minorEastAsia" w:eastAsiaTheme="minorEastAsia"/>
          <w:color w:val="auto"/>
          <w:sz w:val="24"/>
          <w:highlight w:val="none"/>
          <w:lang w:val="en-US" w:eastAsia="zh-CN"/>
        </w:rPr>
        <w:t>7</w:t>
      </w:r>
      <w:r>
        <w:rPr>
          <w:rFonts w:hint="eastAsia" w:cs="宋体" w:asciiTheme="minorEastAsia" w:hAnsiTheme="minorEastAsia" w:eastAsiaTheme="minorEastAsia"/>
          <w:color w:val="auto"/>
          <w:sz w:val="24"/>
          <w:highlight w:val="none"/>
        </w:rPr>
        <w:t>）</w:t>
      </w:r>
      <w:r>
        <w:rPr>
          <w:rFonts w:hint="eastAsia" w:cs="宋体" w:asciiTheme="minorEastAsia" w:hAnsiTheme="minorEastAsia" w:eastAsiaTheme="minorEastAsia"/>
          <w:color w:val="auto"/>
          <w:sz w:val="24"/>
          <w:highlight w:val="none"/>
          <w:lang w:eastAsia="zh-CN"/>
        </w:rPr>
        <w:t>供应商应具备良好的商业信誉，提供参加政府采购活动前3年内在经营活动中没有重大违法记录的书面声明</w:t>
      </w:r>
      <w:r>
        <w:rPr>
          <w:rFonts w:hint="eastAsia" w:cs="宋体" w:asciiTheme="minorEastAsia" w:hAnsiTheme="minorEastAsia" w:eastAsiaTheme="minorEastAsia"/>
          <w:color w:val="auto"/>
          <w:sz w:val="24"/>
          <w:highlight w:val="none"/>
          <w:lang w:val="en-US" w:eastAsia="zh-CN"/>
        </w:rPr>
        <w:t>；</w:t>
      </w:r>
    </w:p>
    <w:p w14:paraId="24FC9D94">
      <w:pPr>
        <w:keepNext w:val="0"/>
        <w:keepLines w:val="0"/>
        <w:pageBreakBefore w:val="0"/>
        <w:widowControl/>
        <w:kinsoku/>
        <w:wordWrap/>
        <w:overflowPunct/>
        <w:topLinePunct w:val="0"/>
        <w:autoSpaceDE/>
        <w:autoSpaceDN/>
        <w:bidi w:val="0"/>
        <w:adjustRightInd/>
        <w:snapToGrid w:val="0"/>
        <w:spacing w:line="360" w:lineRule="auto"/>
        <w:ind w:firstLine="480" w:firstLineChars="200"/>
        <w:rPr>
          <w:rFonts w:hint="default" w:cs="宋体" w:asciiTheme="minorEastAsia" w:hAnsiTheme="minorEastAsia" w:eastAsiaTheme="minorEastAsia"/>
          <w:color w:val="auto"/>
          <w:sz w:val="24"/>
          <w:highlight w:val="none"/>
          <w:lang w:val="en-US" w:eastAsia="zh-CN"/>
        </w:rPr>
      </w:pPr>
      <w:r>
        <w:rPr>
          <w:rFonts w:hint="eastAsia" w:cs="宋体" w:asciiTheme="minorEastAsia" w:hAnsiTheme="minorEastAsia" w:eastAsiaTheme="minorEastAsia"/>
          <w:color w:val="auto"/>
          <w:sz w:val="24"/>
          <w:highlight w:val="none"/>
        </w:rPr>
        <w:t>（</w:t>
      </w:r>
      <w:r>
        <w:rPr>
          <w:rFonts w:hint="eastAsia" w:cs="宋体" w:asciiTheme="minorEastAsia" w:hAnsiTheme="minorEastAsia" w:eastAsiaTheme="minorEastAsia"/>
          <w:color w:val="auto"/>
          <w:sz w:val="24"/>
          <w:highlight w:val="none"/>
          <w:lang w:val="en-US" w:eastAsia="zh-CN"/>
        </w:rPr>
        <w:t>8</w:t>
      </w:r>
      <w:r>
        <w:rPr>
          <w:rFonts w:hint="eastAsia" w:cs="宋体" w:asciiTheme="minorEastAsia" w:hAnsiTheme="minorEastAsia" w:eastAsiaTheme="minorEastAsia"/>
          <w:color w:val="auto"/>
          <w:sz w:val="24"/>
          <w:highlight w:val="none"/>
        </w:rPr>
        <w:t>）具备履行合同所必需的设备和专业技术能力的</w:t>
      </w:r>
      <w:r>
        <w:rPr>
          <w:rFonts w:hint="eastAsia" w:cs="宋体" w:asciiTheme="minorEastAsia" w:hAnsiTheme="minorEastAsia" w:eastAsiaTheme="minorEastAsia"/>
          <w:color w:val="auto"/>
          <w:sz w:val="24"/>
          <w:highlight w:val="none"/>
          <w:lang w:eastAsia="zh-CN"/>
        </w:rPr>
        <w:t>声明</w:t>
      </w:r>
      <w:r>
        <w:rPr>
          <w:rFonts w:hint="eastAsia" w:cs="宋体" w:asciiTheme="minorEastAsia" w:hAnsiTheme="minorEastAsia" w:eastAsiaTheme="minorEastAsia"/>
          <w:color w:val="auto"/>
          <w:sz w:val="24"/>
          <w:highlight w:val="none"/>
          <w:lang w:val="en-US" w:eastAsia="zh-CN"/>
        </w:rPr>
        <w:t>；</w:t>
      </w:r>
    </w:p>
    <w:p w14:paraId="159333FB">
      <w:pPr>
        <w:keepNext w:val="0"/>
        <w:keepLines w:val="0"/>
        <w:pageBreakBefore w:val="0"/>
        <w:widowControl/>
        <w:shd w:val="clear" w:color="auto" w:fill="FFFFFF"/>
        <w:kinsoku/>
        <w:wordWrap/>
        <w:overflowPunct/>
        <w:topLinePunct w:val="0"/>
        <w:autoSpaceDE/>
        <w:autoSpaceDN/>
        <w:bidi w:val="0"/>
        <w:adjustRightInd/>
        <w:snapToGrid w:val="0"/>
        <w:spacing w:line="360" w:lineRule="auto"/>
        <w:ind w:firstLine="480" w:firstLineChars="200"/>
        <w:textAlignment w:val="baseline"/>
        <w:rPr>
          <w:rFonts w:hint="eastAsia" w:ascii="宋体" w:hAnsi="宋体" w:eastAsia="宋体" w:cs="Times New Roman"/>
          <w:sz w:val="24"/>
          <w:highlight w:val="none"/>
          <w:lang w:val="en-US" w:eastAsia="zh-CN"/>
        </w:rPr>
      </w:pPr>
      <w:r>
        <w:rPr>
          <w:rFonts w:hint="eastAsia" w:cs="宋体" w:asciiTheme="minorEastAsia" w:hAnsiTheme="minorEastAsia" w:eastAsiaTheme="minorEastAsia"/>
          <w:color w:val="000000" w:themeColor="text1"/>
          <w:sz w:val="24"/>
          <w:highlight w:val="none"/>
          <w:lang w:eastAsia="zh-CN"/>
          <w14:textFill>
            <w14:solidFill>
              <w14:schemeClr w14:val="tx1"/>
            </w14:solidFill>
          </w14:textFill>
        </w:rPr>
        <w:t>（</w:t>
      </w:r>
      <w:r>
        <w:rPr>
          <w:rFonts w:hint="eastAsia" w:cs="宋体" w:asciiTheme="minorEastAsia" w:hAnsiTheme="minorEastAsia" w:eastAsiaTheme="minorEastAsia"/>
          <w:color w:val="000000" w:themeColor="text1"/>
          <w:sz w:val="24"/>
          <w:highlight w:val="none"/>
          <w:lang w:val="en-US" w:eastAsia="zh-CN"/>
          <w14:textFill>
            <w14:solidFill>
              <w14:schemeClr w14:val="tx1"/>
            </w14:solidFill>
          </w14:textFill>
        </w:rPr>
        <w:t>9</w:t>
      </w:r>
      <w:r>
        <w:rPr>
          <w:rFonts w:hint="eastAsia" w:cs="宋体" w:asciiTheme="minorEastAsia" w:hAnsiTheme="minorEastAsia" w:eastAsiaTheme="minorEastAsia"/>
          <w:color w:val="000000" w:themeColor="text1"/>
          <w:sz w:val="24"/>
          <w:highlight w:val="none"/>
          <w:lang w:eastAsia="zh-CN"/>
          <w14:textFill>
            <w14:solidFill>
              <w14:schemeClr w14:val="tx1"/>
            </w14:solidFill>
          </w14:textFill>
        </w:rPr>
        <w:t>）</w:t>
      </w:r>
      <w:r>
        <w:rPr>
          <w:rFonts w:hint="eastAsia" w:ascii="宋体" w:hAnsi="宋体" w:eastAsia="宋体" w:cs="Times New Roman"/>
          <w:sz w:val="24"/>
          <w:highlight w:val="none"/>
          <w:lang w:val="en-US" w:eastAsia="zh-CN"/>
        </w:rPr>
        <w:t>关联关系：单位负责人为同一人或者存在控股、管理关系的不同单位，不得同时参加同一项目的磋商；（提供承诺书）</w:t>
      </w:r>
    </w:p>
    <w:p w14:paraId="30245F82">
      <w:pPr>
        <w:keepNext w:val="0"/>
        <w:keepLines w:val="0"/>
        <w:pageBreakBefore w:val="0"/>
        <w:widowControl/>
        <w:kinsoku/>
        <w:wordWrap/>
        <w:overflowPunct/>
        <w:topLinePunct w:val="0"/>
        <w:autoSpaceDE/>
        <w:autoSpaceDN/>
        <w:bidi w:val="0"/>
        <w:adjustRightInd/>
        <w:snapToGrid w:val="0"/>
        <w:spacing w:line="360" w:lineRule="auto"/>
        <w:ind w:firstLine="480" w:firstLineChars="200"/>
        <w:rPr>
          <w:rFonts w:hint="eastAsia" w:cs="宋体" w:asciiTheme="minorEastAsia" w:hAnsiTheme="minorEastAsia" w:eastAsiaTheme="minorEastAsia"/>
          <w:color w:val="auto"/>
          <w:sz w:val="24"/>
          <w:highlight w:val="none"/>
          <w:lang w:val="en-US" w:eastAsia="zh-CN"/>
        </w:rPr>
      </w:pPr>
      <w:r>
        <w:rPr>
          <w:rFonts w:hint="eastAsia" w:cs="宋体" w:asciiTheme="minorEastAsia" w:hAnsiTheme="minorEastAsia" w:eastAsiaTheme="minorEastAsia"/>
          <w:color w:val="auto"/>
          <w:sz w:val="24"/>
          <w:highlight w:val="none"/>
          <w:lang w:val="en-US" w:eastAsia="zh-CN"/>
        </w:rPr>
        <w:t>（10）供应商</w:t>
      </w:r>
      <w:r>
        <w:rPr>
          <w:rFonts w:hint="eastAsia" w:cs="宋体" w:asciiTheme="minorEastAsia" w:hAnsiTheme="minorEastAsia" w:eastAsiaTheme="minorEastAsia"/>
          <w:color w:val="auto"/>
          <w:sz w:val="24"/>
          <w:highlight w:val="none"/>
        </w:rPr>
        <w:t>须具备有效的《食品经营许可证》</w:t>
      </w:r>
      <w:r>
        <w:rPr>
          <w:rFonts w:hint="eastAsia" w:cs="宋体" w:asciiTheme="minorEastAsia" w:hAnsiTheme="minorEastAsia" w:eastAsiaTheme="minorEastAsia"/>
          <w:color w:val="auto"/>
          <w:sz w:val="24"/>
          <w:highlight w:val="none"/>
          <w:lang w:eastAsia="zh-CN"/>
        </w:rPr>
        <w:t>；</w:t>
      </w:r>
    </w:p>
    <w:p w14:paraId="774585B6">
      <w:pPr>
        <w:keepNext w:val="0"/>
        <w:keepLines w:val="0"/>
        <w:pageBreakBefore w:val="0"/>
        <w:widowControl/>
        <w:shd w:val="clear" w:color="auto" w:fill="FFFFFF"/>
        <w:kinsoku/>
        <w:wordWrap/>
        <w:overflowPunct/>
        <w:topLinePunct w:val="0"/>
        <w:autoSpaceDE/>
        <w:autoSpaceDN/>
        <w:bidi w:val="0"/>
        <w:adjustRightInd/>
        <w:snapToGrid w:val="0"/>
        <w:spacing w:line="360" w:lineRule="auto"/>
        <w:ind w:firstLine="480" w:firstLineChars="200"/>
        <w:textAlignment w:val="baseline"/>
        <w:rPr>
          <w:rFonts w:hint="eastAsia" w:hAnsi="宋体" w:cs="宋体"/>
          <w:color w:val="auto"/>
          <w:szCs w:val="24"/>
          <w:highlight w:val="none"/>
          <w:shd w:val="clear" w:color="auto" w:fill="FFFFFF"/>
        </w:rPr>
      </w:pPr>
      <w:r>
        <w:rPr>
          <w:rFonts w:hint="eastAsia" w:cs="宋体" w:asciiTheme="minorEastAsia" w:hAnsiTheme="minorEastAsia" w:eastAsiaTheme="minorEastAsia"/>
          <w:color w:val="auto"/>
          <w:sz w:val="24"/>
          <w:highlight w:val="none"/>
          <w:lang w:eastAsia="zh-CN"/>
        </w:rPr>
        <w:t>（</w:t>
      </w:r>
      <w:r>
        <w:rPr>
          <w:rFonts w:hint="eastAsia" w:cs="宋体" w:asciiTheme="minorEastAsia" w:hAnsiTheme="minorEastAsia" w:eastAsiaTheme="minorEastAsia"/>
          <w:color w:val="auto"/>
          <w:sz w:val="24"/>
          <w:highlight w:val="none"/>
          <w:lang w:val="en-US" w:eastAsia="zh-CN"/>
        </w:rPr>
        <w:t>11</w:t>
      </w:r>
      <w:r>
        <w:rPr>
          <w:rFonts w:hint="eastAsia" w:cs="宋体" w:asciiTheme="minorEastAsia" w:hAnsiTheme="minorEastAsia" w:eastAsiaTheme="minorEastAsia"/>
          <w:color w:val="auto"/>
          <w:sz w:val="24"/>
          <w:highlight w:val="none"/>
          <w:lang w:eastAsia="zh-CN"/>
        </w:rPr>
        <w:t>）</w:t>
      </w:r>
      <w:r>
        <w:rPr>
          <w:rFonts w:hint="eastAsia" w:cs="宋体" w:asciiTheme="minorEastAsia" w:hAnsiTheme="minorEastAsia" w:eastAsiaTheme="minorEastAsia"/>
          <w:color w:val="auto"/>
          <w:sz w:val="24"/>
          <w:highlight w:val="none"/>
        </w:rPr>
        <w:t>本项目不接受联合体磋商。</w:t>
      </w:r>
    </w:p>
    <w:p w14:paraId="03BDB097">
      <w:pPr>
        <w:keepNext w:val="0"/>
        <w:keepLines w:val="0"/>
        <w:pageBreakBefore w:val="0"/>
        <w:widowControl/>
        <w:shd w:val="clear" w:color="auto" w:fill="FFFFFF"/>
        <w:kinsoku/>
        <w:wordWrap/>
        <w:overflowPunct/>
        <w:topLinePunct w:val="0"/>
        <w:autoSpaceDE/>
        <w:autoSpaceDN/>
        <w:bidi w:val="0"/>
        <w:adjustRightInd/>
        <w:snapToGrid w:val="0"/>
        <w:spacing w:line="360" w:lineRule="auto"/>
        <w:textAlignment w:val="baseline"/>
        <w:rPr>
          <w:rFonts w:hint="eastAsia" w:hAnsi="宋体" w:cs="宋体"/>
          <w:color w:val="auto"/>
          <w:szCs w:val="24"/>
          <w:highlight w:val="none"/>
          <w:shd w:val="clear" w:color="auto" w:fill="FFFFFF"/>
        </w:rPr>
      </w:pPr>
      <w:r>
        <w:rPr>
          <w:rFonts w:hint="eastAsia" w:hAnsi="宋体" w:cs="宋体"/>
          <w:b/>
          <w:bCs/>
          <w:color w:val="auto"/>
          <w:szCs w:val="24"/>
          <w:highlight w:val="none"/>
          <w:shd w:val="clear" w:color="auto" w:fill="FFFFFF"/>
          <w:lang w:bidi="ar"/>
        </w:rPr>
        <w:t>三、获取采购文件</w:t>
      </w:r>
    </w:p>
    <w:p w14:paraId="1F2C5378">
      <w:pPr>
        <w:keepNext w:val="0"/>
        <w:keepLines w:val="0"/>
        <w:pageBreakBefore w:val="0"/>
        <w:widowControl/>
        <w:shd w:val="clear" w:color="auto" w:fill="FFFFFF"/>
        <w:kinsoku/>
        <w:wordWrap/>
        <w:overflowPunct/>
        <w:topLinePunct w:val="0"/>
        <w:autoSpaceDE/>
        <w:autoSpaceDN/>
        <w:bidi w:val="0"/>
        <w:adjustRightInd/>
        <w:snapToGrid w:val="0"/>
        <w:spacing w:line="360" w:lineRule="auto"/>
        <w:ind w:firstLine="480" w:firstLineChars="200"/>
        <w:textAlignment w:val="baseline"/>
        <w:rPr>
          <w:rFonts w:hint="eastAsia" w:hAnsi="宋体" w:cs="宋体"/>
          <w:color w:val="auto"/>
          <w:szCs w:val="24"/>
          <w:highlight w:val="none"/>
          <w:shd w:val="clear" w:color="auto" w:fill="FFFFFF"/>
          <w:lang w:bidi="ar"/>
        </w:rPr>
      </w:pPr>
      <w:r>
        <w:rPr>
          <w:rFonts w:hint="eastAsia" w:hAnsi="宋体" w:cs="宋体"/>
          <w:color w:val="auto"/>
          <w:szCs w:val="24"/>
          <w:highlight w:val="none"/>
          <w:shd w:val="clear" w:color="auto" w:fill="FFFFFF"/>
          <w:lang w:val="en-US" w:eastAsia="zh-CN" w:bidi="ar"/>
        </w:rPr>
        <w:t>1.</w:t>
      </w:r>
      <w:r>
        <w:rPr>
          <w:rFonts w:hint="eastAsia" w:hAnsi="宋体" w:cs="宋体"/>
          <w:color w:val="auto"/>
          <w:szCs w:val="24"/>
          <w:highlight w:val="none"/>
          <w:shd w:val="clear" w:color="auto" w:fill="FFFFFF"/>
          <w:lang w:bidi="ar"/>
        </w:rPr>
        <w:t>时间：</w:t>
      </w:r>
      <w:bookmarkStart w:id="26" w:name="OLE_LINK9"/>
      <w:r>
        <w:rPr>
          <w:rFonts w:hint="eastAsia" w:hAnsi="宋体" w:cs="宋体"/>
          <w:color w:val="auto"/>
          <w:szCs w:val="24"/>
          <w:highlight w:val="none"/>
          <w:shd w:val="clear" w:color="auto" w:fill="FFFFFF"/>
          <w:lang w:bidi="ar"/>
        </w:rPr>
        <w:t>202</w:t>
      </w:r>
      <w:r>
        <w:rPr>
          <w:rFonts w:hint="eastAsia" w:hAnsi="宋体" w:cs="宋体"/>
          <w:color w:val="auto"/>
          <w:szCs w:val="24"/>
          <w:highlight w:val="none"/>
          <w:shd w:val="clear" w:color="auto" w:fill="FFFFFF"/>
          <w:lang w:val="en-US" w:eastAsia="zh-CN" w:bidi="ar"/>
        </w:rPr>
        <w:t>6</w:t>
      </w:r>
      <w:r>
        <w:rPr>
          <w:rFonts w:hint="eastAsia" w:hAnsi="宋体" w:cs="宋体"/>
          <w:color w:val="auto"/>
          <w:szCs w:val="24"/>
          <w:highlight w:val="none"/>
          <w:shd w:val="clear" w:color="auto" w:fill="FFFFFF"/>
          <w:lang w:bidi="ar"/>
        </w:rPr>
        <w:t>年</w:t>
      </w:r>
      <w:r>
        <w:rPr>
          <w:rFonts w:hint="eastAsia" w:hAnsi="宋体" w:cs="宋体"/>
          <w:color w:val="auto"/>
          <w:szCs w:val="24"/>
          <w:highlight w:val="none"/>
          <w:shd w:val="clear" w:color="auto" w:fill="FFFFFF"/>
          <w:lang w:val="en-US" w:eastAsia="zh-CN" w:bidi="ar"/>
        </w:rPr>
        <w:t>09</w:t>
      </w:r>
      <w:r>
        <w:rPr>
          <w:rFonts w:hint="eastAsia" w:hAnsi="宋体" w:cs="宋体"/>
          <w:color w:val="auto"/>
          <w:szCs w:val="24"/>
          <w:highlight w:val="none"/>
          <w:shd w:val="clear" w:color="auto" w:fill="FFFFFF"/>
          <w:lang w:bidi="ar"/>
        </w:rPr>
        <w:t>月</w:t>
      </w:r>
      <w:r>
        <w:rPr>
          <w:rFonts w:hint="eastAsia" w:hAnsi="宋体" w:cs="宋体"/>
          <w:color w:val="auto"/>
          <w:szCs w:val="24"/>
          <w:highlight w:val="none"/>
          <w:shd w:val="clear" w:color="auto" w:fill="FFFFFF"/>
          <w:lang w:val="en-US" w:eastAsia="zh-CN" w:bidi="ar"/>
        </w:rPr>
        <w:t>04</w:t>
      </w:r>
      <w:r>
        <w:rPr>
          <w:rFonts w:hint="eastAsia" w:hAnsi="宋体" w:cs="宋体"/>
          <w:color w:val="auto"/>
          <w:szCs w:val="24"/>
          <w:highlight w:val="none"/>
          <w:shd w:val="clear" w:color="auto" w:fill="FFFFFF"/>
          <w:lang w:bidi="ar"/>
        </w:rPr>
        <w:t>日至202</w:t>
      </w:r>
      <w:r>
        <w:rPr>
          <w:rFonts w:hint="eastAsia" w:hAnsi="宋体" w:cs="宋体"/>
          <w:color w:val="auto"/>
          <w:szCs w:val="24"/>
          <w:highlight w:val="none"/>
          <w:shd w:val="clear" w:color="auto" w:fill="FFFFFF"/>
          <w:lang w:val="en-US" w:eastAsia="zh-CN" w:bidi="ar"/>
        </w:rPr>
        <w:t>6</w:t>
      </w:r>
      <w:r>
        <w:rPr>
          <w:rFonts w:hint="eastAsia" w:hAnsi="宋体" w:cs="宋体"/>
          <w:color w:val="auto"/>
          <w:szCs w:val="24"/>
          <w:highlight w:val="none"/>
          <w:shd w:val="clear" w:color="auto" w:fill="FFFFFF"/>
          <w:lang w:bidi="ar"/>
        </w:rPr>
        <w:t>年</w:t>
      </w:r>
      <w:r>
        <w:rPr>
          <w:rFonts w:hint="eastAsia" w:hAnsi="宋体" w:cs="宋体"/>
          <w:color w:val="auto"/>
          <w:szCs w:val="24"/>
          <w:highlight w:val="none"/>
          <w:shd w:val="clear" w:color="auto" w:fill="FFFFFF"/>
          <w:lang w:val="en-US" w:eastAsia="zh-CN" w:bidi="ar"/>
        </w:rPr>
        <w:t>09</w:t>
      </w:r>
      <w:r>
        <w:rPr>
          <w:rFonts w:hint="eastAsia" w:hAnsi="宋体" w:cs="宋体"/>
          <w:color w:val="auto"/>
          <w:szCs w:val="24"/>
          <w:highlight w:val="none"/>
          <w:shd w:val="clear" w:color="auto" w:fill="FFFFFF"/>
          <w:lang w:bidi="ar"/>
        </w:rPr>
        <w:t>月</w:t>
      </w:r>
      <w:r>
        <w:rPr>
          <w:rFonts w:hint="eastAsia" w:hAnsi="宋体" w:cs="宋体"/>
          <w:color w:val="auto"/>
          <w:szCs w:val="24"/>
          <w:highlight w:val="none"/>
          <w:shd w:val="clear" w:color="auto" w:fill="FFFFFF"/>
          <w:lang w:val="en-US" w:eastAsia="zh-CN" w:bidi="ar"/>
        </w:rPr>
        <w:t>10</w:t>
      </w:r>
      <w:r>
        <w:rPr>
          <w:rFonts w:hint="eastAsia" w:hAnsi="宋体" w:cs="宋体"/>
          <w:color w:val="auto"/>
          <w:szCs w:val="24"/>
          <w:highlight w:val="none"/>
          <w:shd w:val="clear" w:color="auto" w:fill="FFFFFF"/>
          <w:lang w:bidi="ar"/>
        </w:rPr>
        <w:t>日</w:t>
      </w:r>
      <w:bookmarkEnd w:id="26"/>
      <w:r>
        <w:rPr>
          <w:rFonts w:hint="eastAsia" w:hAnsi="宋体" w:cs="宋体"/>
          <w:color w:val="auto"/>
          <w:szCs w:val="24"/>
          <w:highlight w:val="none"/>
          <w:shd w:val="clear" w:color="auto" w:fill="FFFFFF"/>
          <w:lang w:bidi="ar"/>
        </w:rPr>
        <w:t>，每天上午09:00:00至12:00:00，下午14:00:00至17:00:00（北京时间）</w:t>
      </w:r>
    </w:p>
    <w:p w14:paraId="38CE8391">
      <w:pPr>
        <w:keepNext w:val="0"/>
        <w:keepLines w:val="0"/>
        <w:pageBreakBefore w:val="0"/>
        <w:widowControl/>
        <w:shd w:val="clear" w:color="auto" w:fill="FFFFFF"/>
        <w:kinsoku/>
        <w:wordWrap/>
        <w:overflowPunct/>
        <w:topLinePunct w:val="0"/>
        <w:autoSpaceDE/>
        <w:autoSpaceDN/>
        <w:bidi w:val="0"/>
        <w:adjustRightInd/>
        <w:snapToGrid w:val="0"/>
        <w:spacing w:line="360" w:lineRule="auto"/>
        <w:ind w:firstLine="480" w:firstLineChars="200"/>
        <w:textAlignment w:val="baseline"/>
        <w:rPr>
          <w:rFonts w:hint="eastAsia" w:hAnsi="宋体" w:cs="宋体"/>
          <w:color w:val="auto"/>
          <w:szCs w:val="24"/>
          <w:highlight w:val="none"/>
          <w:shd w:val="clear" w:color="auto" w:fill="FFFFFF"/>
          <w:lang w:eastAsia="zh-CN" w:bidi="ar"/>
        </w:rPr>
      </w:pPr>
      <w:r>
        <w:rPr>
          <w:rFonts w:hint="eastAsia" w:hAnsi="宋体" w:cs="宋体"/>
          <w:color w:val="auto"/>
          <w:szCs w:val="24"/>
          <w:highlight w:val="none"/>
          <w:shd w:val="clear" w:color="auto" w:fill="FFFFFF"/>
          <w:lang w:val="en-US" w:eastAsia="zh-CN" w:bidi="ar"/>
        </w:rPr>
        <w:t>2.</w:t>
      </w:r>
      <w:r>
        <w:rPr>
          <w:rFonts w:hint="eastAsia" w:hAnsi="宋体" w:cs="宋体"/>
          <w:color w:val="auto"/>
          <w:szCs w:val="24"/>
          <w:highlight w:val="none"/>
          <w:shd w:val="clear" w:color="auto" w:fill="FFFFFF"/>
          <w:lang w:bidi="ar"/>
        </w:rPr>
        <w:t>申领方式</w:t>
      </w:r>
      <w:r>
        <w:rPr>
          <w:rFonts w:hint="eastAsia" w:hAnsi="宋体" w:cs="宋体"/>
          <w:color w:val="auto"/>
          <w:szCs w:val="24"/>
          <w:highlight w:val="none"/>
          <w:shd w:val="clear" w:color="auto" w:fill="FFFFFF"/>
          <w:lang w:eastAsia="zh-CN" w:bidi="ar"/>
        </w:rPr>
        <w:t>：</w:t>
      </w:r>
    </w:p>
    <w:p w14:paraId="60A9DCF0">
      <w:pPr>
        <w:keepNext w:val="0"/>
        <w:keepLines w:val="0"/>
        <w:pageBreakBefore w:val="0"/>
        <w:widowControl/>
        <w:shd w:val="clear" w:color="auto" w:fill="FFFFFF"/>
        <w:kinsoku/>
        <w:wordWrap/>
        <w:overflowPunct/>
        <w:topLinePunct w:val="0"/>
        <w:autoSpaceDE/>
        <w:autoSpaceDN/>
        <w:bidi w:val="0"/>
        <w:adjustRightInd/>
        <w:snapToGrid w:val="0"/>
        <w:spacing w:line="360" w:lineRule="auto"/>
        <w:ind w:firstLine="480" w:firstLineChars="200"/>
        <w:textAlignment w:val="baseline"/>
        <w:rPr>
          <w:rFonts w:hint="eastAsia" w:hAnsi="宋体" w:cs="宋体"/>
          <w:color w:val="auto"/>
          <w:szCs w:val="24"/>
          <w:highlight w:val="none"/>
          <w:shd w:val="clear" w:color="auto" w:fill="FFFFFF"/>
          <w:lang w:bidi="ar"/>
        </w:rPr>
      </w:pPr>
      <w:r>
        <w:rPr>
          <w:rFonts w:hint="eastAsia" w:hAnsi="宋体" w:cs="宋体"/>
          <w:color w:val="auto"/>
          <w:szCs w:val="24"/>
          <w:highlight w:val="none"/>
          <w:shd w:val="clear" w:color="auto" w:fill="FFFFFF"/>
          <w:lang w:bidi="ar"/>
        </w:rPr>
        <w:t>申领时间范围内采取发送电子邮件的方式提交报名材料，邮件主题：项目名称+公司名称；邮件内容：列明公司名称、法定代表人或授权代表人姓名及联系方式；邮件附件：将</w:t>
      </w:r>
      <w:bookmarkStart w:id="27" w:name="OLE_LINK10"/>
      <w:r>
        <w:rPr>
          <w:rFonts w:hint="eastAsia" w:hAnsi="宋体" w:cs="宋体"/>
          <w:color w:val="auto"/>
          <w:szCs w:val="24"/>
          <w:highlight w:val="none"/>
          <w:shd w:val="clear" w:color="auto" w:fill="FFFFFF"/>
          <w:lang w:bidi="ar"/>
        </w:rPr>
        <w:t>单位介绍信</w:t>
      </w:r>
      <w:bookmarkEnd w:id="27"/>
      <w:r>
        <w:rPr>
          <w:rFonts w:hint="eastAsia" w:hAnsi="宋体" w:cs="宋体"/>
          <w:color w:val="auto"/>
          <w:szCs w:val="24"/>
          <w:highlight w:val="none"/>
          <w:shd w:val="clear" w:color="auto" w:fill="FFFFFF"/>
          <w:lang w:bidi="ar"/>
        </w:rPr>
        <w:t>及本人身份证复印件加盖公章扫描发送至邮箱1561277514@qq.com。</w:t>
      </w:r>
    </w:p>
    <w:p w14:paraId="2CC3E0F1">
      <w:pPr>
        <w:keepNext w:val="0"/>
        <w:keepLines w:val="0"/>
        <w:pageBreakBefore w:val="0"/>
        <w:widowControl/>
        <w:shd w:val="clear" w:color="auto" w:fill="FFFFFF"/>
        <w:kinsoku/>
        <w:wordWrap/>
        <w:overflowPunct/>
        <w:topLinePunct w:val="0"/>
        <w:autoSpaceDE/>
        <w:autoSpaceDN/>
        <w:bidi w:val="0"/>
        <w:adjustRightInd/>
        <w:snapToGrid w:val="0"/>
        <w:spacing w:line="360" w:lineRule="auto"/>
        <w:ind w:firstLine="480" w:firstLineChars="200"/>
        <w:textAlignment w:val="baseline"/>
        <w:rPr>
          <w:rFonts w:hint="eastAsia" w:hAnsi="宋体" w:cs="宋体"/>
          <w:color w:val="auto"/>
          <w:szCs w:val="24"/>
          <w:highlight w:val="none"/>
          <w:shd w:val="clear" w:color="auto" w:fill="FFFFFF"/>
          <w:lang w:bidi="ar"/>
        </w:rPr>
      </w:pPr>
      <w:r>
        <w:rPr>
          <w:rFonts w:hint="eastAsia" w:hAnsi="宋体" w:cs="宋体"/>
          <w:color w:val="auto"/>
          <w:szCs w:val="24"/>
          <w:highlight w:val="none"/>
          <w:shd w:val="clear" w:color="auto" w:fill="FFFFFF"/>
          <w:lang w:val="en-US" w:eastAsia="zh-CN" w:bidi="ar"/>
        </w:rPr>
        <w:t>3.</w:t>
      </w:r>
      <w:r>
        <w:rPr>
          <w:rFonts w:hint="eastAsia" w:hAnsi="宋体" w:cs="宋体"/>
          <w:color w:val="auto"/>
          <w:szCs w:val="24"/>
          <w:highlight w:val="none"/>
          <w:shd w:val="clear" w:color="auto" w:fill="FFFFFF"/>
          <w:lang w:bidi="ar"/>
        </w:rPr>
        <w:t>申领磋商文件时需提供以下材料并加盖公章：</w:t>
      </w:r>
    </w:p>
    <w:p w14:paraId="5A27FF2B">
      <w:pPr>
        <w:keepNext w:val="0"/>
        <w:keepLines w:val="0"/>
        <w:pageBreakBefore w:val="0"/>
        <w:widowControl/>
        <w:shd w:val="clear" w:color="auto" w:fill="FFFFFF"/>
        <w:kinsoku/>
        <w:wordWrap/>
        <w:overflowPunct/>
        <w:topLinePunct w:val="0"/>
        <w:autoSpaceDE/>
        <w:autoSpaceDN/>
        <w:bidi w:val="0"/>
        <w:adjustRightInd/>
        <w:snapToGrid w:val="0"/>
        <w:spacing w:line="360" w:lineRule="auto"/>
        <w:ind w:firstLine="480" w:firstLineChars="200"/>
        <w:textAlignment w:val="baseline"/>
        <w:rPr>
          <w:rFonts w:hint="eastAsia" w:hAnsi="宋体" w:cs="宋体"/>
          <w:color w:val="auto"/>
          <w:szCs w:val="24"/>
          <w:highlight w:val="none"/>
          <w:shd w:val="clear" w:color="auto" w:fill="FFFFFF"/>
          <w:lang w:val="en-US" w:eastAsia="zh-CN" w:bidi="ar"/>
        </w:rPr>
      </w:pPr>
      <w:r>
        <w:rPr>
          <w:rFonts w:hint="eastAsia" w:hAnsi="宋体" w:cs="宋体"/>
          <w:color w:val="auto"/>
          <w:szCs w:val="24"/>
          <w:highlight w:val="none"/>
          <w:shd w:val="clear" w:color="auto" w:fill="FFFFFF"/>
          <w:lang w:val="en-US" w:eastAsia="zh-CN" w:bidi="ar"/>
        </w:rPr>
        <w:t>(</w:t>
      </w:r>
      <w:r>
        <w:rPr>
          <w:rFonts w:hint="eastAsia" w:hAnsi="宋体" w:cs="宋体"/>
          <w:color w:val="auto"/>
          <w:szCs w:val="24"/>
          <w:highlight w:val="none"/>
          <w:shd w:val="clear" w:color="auto" w:fill="FFFFFF"/>
          <w:lang w:bidi="ar"/>
        </w:rPr>
        <w:t>1）本人身份证复印件加盖公章</w:t>
      </w:r>
      <w:r>
        <w:rPr>
          <w:rFonts w:hint="eastAsia" w:hAnsi="宋体" w:cs="宋体"/>
          <w:color w:val="auto"/>
          <w:szCs w:val="24"/>
          <w:highlight w:val="none"/>
          <w:shd w:val="clear" w:color="auto" w:fill="FFFFFF"/>
          <w:lang w:eastAsia="zh-CN" w:bidi="ar"/>
        </w:rPr>
        <w:t>；</w:t>
      </w:r>
    </w:p>
    <w:p w14:paraId="366A8330">
      <w:pPr>
        <w:keepNext w:val="0"/>
        <w:keepLines w:val="0"/>
        <w:pageBreakBefore w:val="0"/>
        <w:widowControl/>
        <w:shd w:val="clear" w:color="auto" w:fill="FFFFFF"/>
        <w:kinsoku/>
        <w:wordWrap/>
        <w:overflowPunct/>
        <w:topLinePunct w:val="0"/>
        <w:autoSpaceDE/>
        <w:autoSpaceDN/>
        <w:bidi w:val="0"/>
        <w:adjustRightInd/>
        <w:snapToGrid w:val="0"/>
        <w:spacing w:line="360" w:lineRule="auto"/>
        <w:ind w:firstLine="480" w:firstLineChars="200"/>
        <w:textAlignment w:val="baseline"/>
        <w:rPr>
          <w:rFonts w:hint="eastAsia" w:hAnsi="宋体" w:cs="宋体"/>
          <w:color w:val="auto"/>
          <w:szCs w:val="24"/>
          <w:highlight w:val="none"/>
          <w:shd w:val="clear" w:color="auto" w:fill="FFFFFF"/>
          <w:lang w:val="en-US" w:eastAsia="zh-CN" w:bidi="ar"/>
        </w:rPr>
      </w:pPr>
      <w:r>
        <w:rPr>
          <w:rFonts w:hint="eastAsia" w:hAnsi="宋体" w:cs="宋体"/>
          <w:color w:val="auto"/>
          <w:szCs w:val="24"/>
          <w:highlight w:val="none"/>
          <w:shd w:val="clear" w:color="auto" w:fill="FFFFFF"/>
          <w:lang w:val="en-US" w:eastAsia="zh-CN" w:bidi="ar"/>
        </w:rPr>
        <w:t>(</w:t>
      </w:r>
      <w:r>
        <w:rPr>
          <w:rFonts w:hint="eastAsia" w:hAnsi="宋体" w:cs="宋体"/>
          <w:color w:val="auto"/>
          <w:szCs w:val="24"/>
          <w:highlight w:val="none"/>
          <w:shd w:val="clear" w:color="auto" w:fill="FFFFFF"/>
          <w:lang w:bidi="ar"/>
        </w:rPr>
        <w:t>2）介绍信</w:t>
      </w:r>
      <w:r>
        <w:rPr>
          <w:rFonts w:hint="eastAsia" w:hAnsi="宋体" w:cs="宋体"/>
          <w:color w:val="auto"/>
          <w:szCs w:val="24"/>
          <w:highlight w:val="none"/>
          <w:shd w:val="clear" w:color="auto" w:fill="FFFFFF"/>
          <w:lang w:eastAsia="zh-CN" w:bidi="ar"/>
        </w:rPr>
        <w:t>。</w:t>
      </w:r>
    </w:p>
    <w:p w14:paraId="758131A5">
      <w:pPr>
        <w:keepNext w:val="0"/>
        <w:keepLines w:val="0"/>
        <w:pageBreakBefore w:val="0"/>
        <w:widowControl/>
        <w:shd w:val="clear" w:color="auto" w:fill="FFFFFF"/>
        <w:kinsoku/>
        <w:wordWrap/>
        <w:overflowPunct/>
        <w:topLinePunct w:val="0"/>
        <w:autoSpaceDE/>
        <w:autoSpaceDN/>
        <w:bidi w:val="0"/>
        <w:adjustRightInd/>
        <w:snapToGrid w:val="0"/>
        <w:spacing w:line="360" w:lineRule="auto"/>
        <w:ind w:firstLine="480" w:firstLineChars="200"/>
        <w:textAlignment w:val="baseline"/>
        <w:rPr>
          <w:rFonts w:hint="eastAsia" w:hAnsi="宋体" w:cs="宋体"/>
          <w:color w:val="auto"/>
          <w:szCs w:val="24"/>
          <w:highlight w:val="none"/>
          <w:shd w:val="clear" w:color="auto" w:fill="FFFFFF"/>
          <w:lang w:eastAsia="zh-CN" w:bidi="ar"/>
        </w:rPr>
      </w:pPr>
      <w:r>
        <w:rPr>
          <w:rFonts w:hint="eastAsia" w:hAnsi="宋体" w:cs="宋体"/>
          <w:color w:val="auto"/>
          <w:szCs w:val="24"/>
          <w:highlight w:val="none"/>
          <w:shd w:val="clear" w:color="auto" w:fill="FFFFFF"/>
          <w:lang w:val="en-US" w:eastAsia="zh-CN" w:bidi="ar"/>
        </w:rPr>
        <w:t>4.</w:t>
      </w:r>
      <w:r>
        <w:rPr>
          <w:rFonts w:hint="eastAsia" w:hAnsi="宋体" w:cs="宋体"/>
          <w:color w:val="auto"/>
          <w:szCs w:val="24"/>
          <w:highlight w:val="none"/>
          <w:shd w:val="clear" w:color="auto" w:fill="FFFFFF"/>
          <w:lang w:bidi="ar"/>
        </w:rPr>
        <w:t>售价：免费获取</w:t>
      </w:r>
      <w:r>
        <w:rPr>
          <w:rFonts w:hint="eastAsia" w:hAnsi="宋体" w:cs="宋体"/>
          <w:color w:val="auto"/>
          <w:szCs w:val="24"/>
          <w:highlight w:val="none"/>
          <w:shd w:val="clear" w:color="auto" w:fill="FFFFFF"/>
          <w:lang w:eastAsia="zh-CN" w:bidi="ar"/>
        </w:rPr>
        <w:t>。</w:t>
      </w:r>
    </w:p>
    <w:p w14:paraId="4B0052A2">
      <w:pPr>
        <w:keepNext w:val="0"/>
        <w:keepLines w:val="0"/>
        <w:pageBreakBefore w:val="0"/>
        <w:widowControl/>
        <w:shd w:val="clear" w:color="auto" w:fill="FFFFFF"/>
        <w:kinsoku/>
        <w:wordWrap/>
        <w:overflowPunct/>
        <w:topLinePunct w:val="0"/>
        <w:autoSpaceDE/>
        <w:autoSpaceDN/>
        <w:bidi w:val="0"/>
        <w:adjustRightInd/>
        <w:snapToGrid w:val="0"/>
        <w:spacing w:line="360" w:lineRule="auto"/>
        <w:textAlignment w:val="baseline"/>
        <w:rPr>
          <w:rFonts w:hint="eastAsia" w:hAnsi="宋体" w:cs="宋体"/>
          <w:color w:val="auto"/>
          <w:szCs w:val="24"/>
          <w:highlight w:val="none"/>
          <w:shd w:val="clear" w:color="auto" w:fill="FFFFFF"/>
        </w:rPr>
      </w:pPr>
      <w:r>
        <w:rPr>
          <w:rFonts w:hint="eastAsia" w:hAnsi="宋体" w:cs="宋体"/>
          <w:b/>
          <w:bCs/>
          <w:color w:val="auto"/>
          <w:szCs w:val="24"/>
          <w:highlight w:val="none"/>
          <w:shd w:val="clear" w:color="auto" w:fill="FFFFFF"/>
          <w:lang w:bidi="ar"/>
        </w:rPr>
        <w:t>四、</w:t>
      </w:r>
      <w:r>
        <w:rPr>
          <w:rFonts w:hint="eastAsia" w:cs="宋体"/>
          <w:b/>
          <w:color w:val="auto"/>
          <w:highlight w:val="none"/>
          <w:shd w:val="clear" w:color="auto" w:fill="FFFFFF"/>
          <w:lang w:bidi="ar"/>
        </w:rPr>
        <w:t>响应文件提交</w:t>
      </w:r>
    </w:p>
    <w:p w14:paraId="666EE718">
      <w:pPr>
        <w:keepNext w:val="0"/>
        <w:keepLines w:val="0"/>
        <w:pageBreakBefore w:val="0"/>
        <w:widowControl/>
        <w:shd w:val="clear" w:color="auto" w:fill="FFFFFF"/>
        <w:kinsoku/>
        <w:wordWrap/>
        <w:overflowPunct/>
        <w:topLinePunct w:val="0"/>
        <w:autoSpaceDE/>
        <w:autoSpaceDN/>
        <w:bidi w:val="0"/>
        <w:adjustRightInd/>
        <w:snapToGrid w:val="0"/>
        <w:spacing w:line="360" w:lineRule="auto"/>
        <w:ind w:firstLine="480" w:firstLineChars="200"/>
        <w:textAlignment w:val="baseline"/>
        <w:rPr>
          <w:rFonts w:hint="eastAsia" w:hAnsi="宋体" w:cs="宋体"/>
          <w:color w:val="auto"/>
          <w:szCs w:val="24"/>
          <w:highlight w:val="none"/>
          <w:shd w:val="clear" w:color="auto" w:fill="FFFFFF"/>
        </w:rPr>
      </w:pPr>
      <w:r>
        <w:rPr>
          <w:rFonts w:hint="eastAsia" w:hAnsi="宋体" w:cs="宋体"/>
          <w:color w:val="auto"/>
          <w:szCs w:val="24"/>
          <w:highlight w:val="none"/>
          <w:shd w:val="clear" w:color="auto" w:fill="FFFFFF"/>
          <w:lang w:bidi="ar"/>
        </w:rPr>
        <w:t>截止时间：</w:t>
      </w:r>
      <w:r>
        <w:rPr>
          <w:rFonts w:hint="eastAsia" w:hAnsi="宋体" w:cs="宋体"/>
          <w:color w:val="auto"/>
          <w:szCs w:val="24"/>
          <w:highlight w:val="none"/>
          <w:lang w:eastAsia="zh-CN" w:bidi="ar"/>
        </w:rPr>
        <w:t>2026年09月16日14时30分00秒</w:t>
      </w:r>
      <w:r>
        <w:rPr>
          <w:rFonts w:hint="eastAsia" w:hAnsi="宋体" w:cs="宋体"/>
          <w:color w:val="auto"/>
          <w:szCs w:val="24"/>
          <w:highlight w:val="none"/>
          <w:shd w:val="clear" w:color="auto" w:fill="FFFFFF"/>
          <w:lang w:bidi="ar"/>
        </w:rPr>
        <w:t>（北京时间）</w:t>
      </w:r>
    </w:p>
    <w:p w14:paraId="47A4602E">
      <w:pPr>
        <w:keepNext w:val="0"/>
        <w:keepLines w:val="0"/>
        <w:pageBreakBefore w:val="0"/>
        <w:widowControl/>
        <w:shd w:val="clear" w:color="auto" w:fill="FFFFFF"/>
        <w:kinsoku/>
        <w:wordWrap/>
        <w:overflowPunct/>
        <w:topLinePunct w:val="0"/>
        <w:autoSpaceDE/>
        <w:autoSpaceDN/>
        <w:bidi w:val="0"/>
        <w:adjustRightInd/>
        <w:snapToGrid w:val="0"/>
        <w:spacing w:line="360" w:lineRule="auto"/>
        <w:ind w:firstLine="480" w:firstLineChars="200"/>
        <w:textAlignment w:val="baseline"/>
        <w:rPr>
          <w:rFonts w:hint="eastAsia" w:hAnsi="宋体" w:eastAsia="宋体" w:cs="宋体"/>
          <w:color w:val="auto"/>
          <w:szCs w:val="24"/>
          <w:highlight w:val="none"/>
          <w:shd w:val="clear" w:color="auto" w:fill="FFFFFF"/>
          <w:lang w:eastAsia="zh-CN"/>
        </w:rPr>
      </w:pPr>
      <w:r>
        <w:rPr>
          <w:rFonts w:hint="eastAsia" w:hAnsi="宋体" w:cs="宋体"/>
          <w:color w:val="auto"/>
          <w:szCs w:val="24"/>
          <w:highlight w:val="none"/>
          <w:shd w:val="clear" w:color="auto" w:fill="FFFFFF"/>
          <w:lang w:bidi="ar"/>
        </w:rPr>
        <w:t>地点：</w:t>
      </w:r>
      <w:r>
        <w:rPr>
          <w:rFonts w:hint="eastAsia" w:hAnsi="宋体" w:cs="宋体"/>
          <w:color w:val="auto"/>
          <w:szCs w:val="24"/>
          <w:highlight w:val="none"/>
          <w:shd w:val="clear" w:color="auto" w:fill="FFFFFF"/>
          <w:lang w:eastAsia="zh-CN" w:bidi="ar"/>
        </w:rPr>
        <w:t>致君项目管理有限公司（西安经济技术开发区文景广场C座18层）会议室</w:t>
      </w:r>
    </w:p>
    <w:p w14:paraId="080AA419">
      <w:pPr>
        <w:keepNext w:val="0"/>
        <w:keepLines w:val="0"/>
        <w:pageBreakBefore w:val="0"/>
        <w:widowControl/>
        <w:shd w:val="clear" w:color="auto" w:fill="FFFFFF"/>
        <w:kinsoku/>
        <w:wordWrap/>
        <w:overflowPunct/>
        <w:topLinePunct w:val="0"/>
        <w:autoSpaceDE/>
        <w:autoSpaceDN/>
        <w:bidi w:val="0"/>
        <w:adjustRightInd/>
        <w:snapToGrid w:val="0"/>
        <w:spacing w:line="360" w:lineRule="auto"/>
        <w:textAlignment w:val="baseline"/>
        <w:rPr>
          <w:rFonts w:hint="eastAsia" w:hAnsi="宋体" w:cs="宋体"/>
          <w:color w:val="auto"/>
          <w:szCs w:val="24"/>
          <w:highlight w:val="none"/>
          <w:shd w:val="clear" w:color="auto" w:fill="FFFFFF"/>
        </w:rPr>
      </w:pPr>
      <w:r>
        <w:rPr>
          <w:rFonts w:hint="eastAsia" w:hAnsi="宋体" w:cs="宋体"/>
          <w:b/>
          <w:bCs/>
          <w:color w:val="auto"/>
          <w:szCs w:val="24"/>
          <w:highlight w:val="none"/>
          <w:shd w:val="clear" w:color="auto" w:fill="FFFFFF"/>
          <w:lang w:bidi="ar"/>
        </w:rPr>
        <w:t>五、开启</w:t>
      </w:r>
    </w:p>
    <w:p w14:paraId="1B460F54">
      <w:pPr>
        <w:keepNext w:val="0"/>
        <w:keepLines w:val="0"/>
        <w:pageBreakBefore w:val="0"/>
        <w:widowControl/>
        <w:shd w:val="clear" w:color="auto" w:fill="FFFFFF"/>
        <w:kinsoku/>
        <w:wordWrap/>
        <w:overflowPunct/>
        <w:topLinePunct w:val="0"/>
        <w:autoSpaceDE/>
        <w:autoSpaceDN/>
        <w:bidi w:val="0"/>
        <w:adjustRightInd/>
        <w:snapToGrid w:val="0"/>
        <w:spacing w:line="360" w:lineRule="auto"/>
        <w:ind w:firstLine="480" w:firstLineChars="200"/>
        <w:textAlignment w:val="baseline"/>
        <w:rPr>
          <w:rFonts w:hint="eastAsia" w:hAnsi="宋体" w:cs="宋体"/>
          <w:color w:val="auto"/>
          <w:szCs w:val="24"/>
          <w:highlight w:val="none"/>
          <w:shd w:val="clear" w:color="auto" w:fill="FFFFFF"/>
        </w:rPr>
      </w:pPr>
      <w:r>
        <w:rPr>
          <w:rFonts w:hint="eastAsia" w:hAnsi="宋体" w:cs="宋体"/>
          <w:color w:val="auto"/>
          <w:szCs w:val="24"/>
          <w:highlight w:val="none"/>
          <w:shd w:val="clear" w:color="auto" w:fill="FFFFFF"/>
          <w:lang w:bidi="ar"/>
        </w:rPr>
        <w:t>时间：</w:t>
      </w:r>
      <w:r>
        <w:rPr>
          <w:rFonts w:hint="eastAsia" w:hAnsi="宋体" w:cs="宋体"/>
          <w:color w:val="auto"/>
          <w:szCs w:val="24"/>
          <w:highlight w:val="none"/>
          <w:lang w:eastAsia="zh-CN" w:bidi="ar"/>
        </w:rPr>
        <w:t>2026年09月16日14时30分00秒</w:t>
      </w:r>
      <w:r>
        <w:rPr>
          <w:rFonts w:hint="eastAsia" w:hAnsi="宋体" w:cs="宋体"/>
          <w:color w:val="auto"/>
          <w:szCs w:val="24"/>
          <w:highlight w:val="none"/>
          <w:shd w:val="clear" w:color="auto" w:fill="FFFFFF"/>
          <w:lang w:bidi="ar"/>
        </w:rPr>
        <w:t>（北京时间）</w:t>
      </w:r>
    </w:p>
    <w:p w14:paraId="69C6BE7D">
      <w:pPr>
        <w:keepNext w:val="0"/>
        <w:keepLines w:val="0"/>
        <w:pageBreakBefore w:val="0"/>
        <w:widowControl/>
        <w:shd w:val="clear" w:color="auto" w:fill="FFFFFF"/>
        <w:kinsoku/>
        <w:wordWrap/>
        <w:overflowPunct/>
        <w:topLinePunct w:val="0"/>
        <w:autoSpaceDE/>
        <w:autoSpaceDN/>
        <w:bidi w:val="0"/>
        <w:adjustRightInd/>
        <w:snapToGrid w:val="0"/>
        <w:spacing w:line="360" w:lineRule="auto"/>
        <w:ind w:firstLine="480" w:firstLineChars="200"/>
        <w:textAlignment w:val="baseline"/>
        <w:rPr>
          <w:rFonts w:hint="eastAsia" w:hAnsi="宋体" w:eastAsia="宋体" w:cs="宋体"/>
          <w:color w:val="auto"/>
          <w:szCs w:val="24"/>
          <w:highlight w:val="none"/>
          <w:shd w:val="clear" w:color="auto" w:fill="FFFFFF"/>
          <w:lang w:eastAsia="zh-CN"/>
        </w:rPr>
      </w:pPr>
      <w:r>
        <w:rPr>
          <w:rFonts w:hint="eastAsia" w:hAnsi="宋体" w:cs="宋体"/>
          <w:color w:val="auto"/>
          <w:szCs w:val="24"/>
          <w:highlight w:val="none"/>
          <w:shd w:val="clear" w:color="auto" w:fill="FFFFFF"/>
          <w:lang w:bidi="ar"/>
        </w:rPr>
        <w:t>地点：</w:t>
      </w:r>
      <w:r>
        <w:rPr>
          <w:rFonts w:hint="eastAsia" w:hAnsi="宋体" w:cs="宋体"/>
          <w:color w:val="auto"/>
          <w:szCs w:val="24"/>
          <w:highlight w:val="none"/>
          <w:shd w:val="clear" w:color="auto" w:fill="FFFFFF"/>
          <w:lang w:eastAsia="zh-CN" w:bidi="ar"/>
        </w:rPr>
        <w:t>致君项目管理有限公司（西安经济技术开发区文景广场C座18层）会议室</w:t>
      </w:r>
    </w:p>
    <w:p w14:paraId="0886AB5D">
      <w:pPr>
        <w:keepNext w:val="0"/>
        <w:keepLines w:val="0"/>
        <w:pageBreakBefore w:val="0"/>
        <w:widowControl/>
        <w:shd w:val="clear" w:color="auto" w:fill="FFFFFF"/>
        <w:kinsoku/>
        <w:wordWrap/>
        <w:overflowPunct/>
        <w:topLinePunct w:val="0"/>
        <w:autoSpaceDE/>
        <w:autoSpaceDN/>
        <w:bidi w:val="0"/>
        <w:adjustRightInd/>
        <w:snapToGrid w:val="0"/>
        <w:spacing w:line="360" w:lineRule="auto"/>
        <w:textAlignment w:val="baseline"/>
        <w:rPr>
          <w:rFonts w:hint="eastAsia" w:hAnsi="宋体" w:cs="宋体"/>
          <w:color w:val="auto"/>
          <w:szCs w:val="24"/>
          <w:highlight w:val="none"/>
          <w:shd w:val="clear" w:color="auto" w:fill="FFFFFF"/>
        </w:rPr>
      </w:pPr>
      <w:r>
        <w:rPr>
          <w:rFonts w:hint="eastAsia" w:hAnsi="宋体" w:cs="宋体"/>
          <w:b/>
          <w:bCs/>
          <w:color w:val="auto"/>
          <w:szCs w:val="24"/>
          <w:highlight w:val="none"/>
          <w:shd w:val="clear" w:color="auto" w:fill="FFFFFF"/>
          <w:lang w:bidi="ar"/>
        </w:rPr>
        <w:t>六、公告期限</w:t>
      </w:r>
    </w:p>
    <w:p w14:paraId="3168BC1E">
      <w:pPr>
        <w:keepNext w:val="0"/>
        <w:keepLines w:val="0"/>
        <w:pageBreakBefore w:val="0"/>
        <w:widowControl/>
        <w:shd w:val="clear" w:color="auto" w:fill="FFFFFF"/>
        <w:kinsoku/>
        <w:wordWrap/>
        <w:overflowPunct/>
        <w:topLinePunct w:val="0"/>
        <w:autoSpaceDE/>
        <w:autoSpaceDN/>
        <w:bidi w:val="0"/>
        <w:adjustRightInd/>
        <w:snapToGrid w:val="0"/>
        <w:spacing w:line="360" w:lineRule="auto"/>
        <w:ind w:firstLine="480" w:firstLineChars="200"/>
        <w:textAlignment w:val="baseline"/>
        <w:rPr>
          <w:rFonts w:hint="eastAsia" w:hAnsi="宋体" w:cs="宋体"/>
          <w:color w:val="auto"/>
          <w:szCs w:val="24"/>
          <w:highlight w:val="none"/>
          <w:shd w:val="clear" w:color="auto" w:fill="FFFFFF"/>
        </w:rPr>
      </w:pPr>
      <w:r>
        <w:rPr>
          <w:rFonts w:hint="eastAsia" w:hAnsi="宋体" w:cs="宋体"/>
          <w:color w:val="auto"/>
          <w:szCs w:val="24"/>
          <w:highlight w:val="none"/>
          <w:shd w:val="clear" w:color="auto" w:fill="FFFFFF"/>
          <w:lang w:bidi="ar"/>
        </w:rPr>
        <w:t>自本公告发布之日起3个工作日。</w:t>
      </w:r>
    </w:p>
    <w:p w14:paraId="1A05A09E">
      <w:pPr>
        <w:keepNext w:val="0"/>
        <w:keepLines w:val="0"/>
        <w:pageBreakBefore w:val="0"/>
        <w:widowControl/>
        <w:shd w:val="clear" w:color="auto" w:fill="FFFFFF"/>
        <w:kinsoku/>
        <w:wordWrap/>
        <w:overflowPunct/>
        <w:topLinePunct w:val="0"/>
        <w:autoSpaceDE/>
        <w:autoSpaceDN/>
        <w:bidi w:val="0"/>
        <w:adjustRightInd/>
        <w:snapToGrid w:val="0"/>
        <w:spacing w:line="360" w:lineRule="auto"/>
        <w:textAlignment w:val="baseline"/>
        <w:rPr>
          <w:rFonts w:hint="eastAsia" w:hAnsi="宋体" w:cs="宋体"/>
          <w:color w:val="auto"/>
          <w:szCs w:val="24"/>
          <w:highlight w:val="none"/>
          <w:shd w:val="clear" w:color="auto" w:fill="FFFFFF"/>
        </w:rPr>
      </w:pPr>
      <w:r>
        <w:rPr>
          <w:rFonts w:hint="eastAsia" w:hAnsi="宋体" w:cs="宋体"/>
          <w:b/>
          <w:bCs/>
          <w:color w:val="auto"/>
          <w:szCs w:val="24"/>
          <w:highlight w:val="none"/>
          <w:shd w:val="clear" w:color="auto" w:fill="FFFFFF"/>
          <w:lang w:bidi="ar"/>
        </w:rPr>
        <w:t>七、其他补充事宜</w:t>
      </w:r>
    </w:p>
    <w:p w14:paraId="14204CF8">
      <w:pPr>
        <w:keepNext w:val="0"/>
        <w:keepLines w:val="0"/>
        <w:pageBreakBefore w:val="0"/>
        <w:widowControl/>
        <w:shd w:val="clear" w:color="auto" w:fill="FFFFFF"/>
        <w:kinsoku/>
        <w:wordWrap/>
        <w:overflowPunct/>
        <w:topLinePunct w:val="0"/>
        <w:autoSpaceDE/>
        <w:autoSpaceDN/>
        <w:bidi w:val="0"/>
        <w:adjustRightInd/>
        <w:snapToGrid w:val="0"/>
        <w:spacing w:line="360" w:lineRule="auto"/>
        <w:ind w:firstLine="480" w:firstLineChars="200"/>
        <w:textAlignment w:val="baseline"/>
        <w:rPr>
          <w:rFonts w:hint="eastAsia" w:ascii="宋体" w:hAnsi="宋体" w:eastAsia="宋体" w:cs="宋体"/>
          <w:color w:val="auto"/>
          <w:szCs w:val="24"/>
          <w:highlight w:val="none"/>
          <w:shd w:val="clear" w:color="auto" w:fill="FFFFFF"/>
          <w:lang w:val="en-US" w:eastAsia="zh-CN" w:bidi="ar"/>
        </w:rPr>
      </w:pPr>
      <w:r>
        <w:rPr>
          <w:rFonts w:hint="eastAsia" w:ascii="宋体" w:hAnsi="宋体" w:eastAsia="宋体" w:cs="宋体"/>
          <w:color w:val="auto"/>
          <w:szCs w:val="24"/>
          <w:highlight w:val="none"/>
          <w:shd w:val="clear" w:color="auto" w:fill="FFFFFF"/>
          <w:lang w:val="en-US" w:eastAsia="zh-CN" w:bidi="ar"/>
        </w:rPr>
        <w:t>1.本项目相关信息在陕西省政府采购网（www.ccgp-shaanxi.gov.cn）发布。</w:t>
      </w:r>
    </w:p>
    <w:p w14:paraId="762E51F8">
      <w:pPr>
        <w:keepNext w:val="0"/>
        <w:keepLines w:val="0"/>
        <w:pageBreakBefore w:val="0"/>
        <w:widowControl/>
        <w:shd w:val="clear" w:color="auto" w:fill="FFFFFF"/>
        <w:kinsoku/>
        <w:wordWrap/>
        <w:overflowPunct/>
        <w:topLinePunct w:val="0"/>
        <w:autoSpaceDE/>
        <w:autoSpaceDN/>
        <w:bidi w:val="0"/>
        <w:adjustRightInd/>
        <w:snapToGrid w:val="0"/>
        <w:spacing w:line="360" w:lineRule="auto"/>
        <w:ind w:firstLine="480" w:firstLineChars="200"/>
        <w:textAlignment w:val="baseline"/>
        <w:rPr>
          <w:rFonts w:hint="eastAsia" w:hAnsi="宋体" w:cs="宋体"/>
          <w:color w:val="auto"/>
          <w:szCs w:val="24"/>
          <w:highlight w:val="none"/>
          <w:shd w:val="clear" w:color="auto" w:fill="FFFFFF"/>
          <w:lang w:val="en-US" w:eastAsia="zh-CN" w:bidi="ar"/>
        </w:rPr>
      </w:pPr>
      <w:r>
        <w:rPr>
          <w:rFonts w:hint="eastAsia" w:hAnsi="宋体" w:cs="宋体"/>
          <w:color w:val="auto"/>
          <w:szCs w:val="24"/>
          <w:highlight w:val="none"/>
          <w:shd w:val="clear" w:color="auto" w:fill="FFFFFF"/>
          <w:lang w:val="en-US" w:eastAsia="zh-CN" w:bidi="ar"/>
        </w:rPr>
        <w:t>2.落实政府采购政策如下：</w:t>
      </w:r>
    </w:p>
    <w:p w14:paraId="1A6B468D">
      <w:pPr>
        <w:keepNext w:val="0"/>
        <w:keepLines w:val="0"/>
        <w:pageBreakBefore w:val="0"/>
        <w:widowControl/>
        <w:shd w:val="clear" w:color="auto" w:fill="FFFFFF"/>
        <w:kinsoku/>
        <w:wordWrap/>
        <w:overflowPunct/>
        <w:topLinePunct w:val="0"/>
        <w:autoSpaceDE/>
        <w:autoSpaceDN/>
        <w:bidi w:val="0"/>
        <w:adjustRightInd/>
        <w:snapToGrid w:val="0"/>
        <w:spacing w:line="360" w:lineRule="auto"/>
        <w:ind w:firstLine="480" w:firstLineChars="200"/>
        <w:textAlignment w:val="baseline"/>
        <w:rPr>
          <w:rFonts w:hint="eastAsia" w:hAnsi="宋体" w:cs="宋体"/>
          <w:color w:val="auto"/>
          <w:szCs w:val="24"/>
          <w:highlight w:val="none"/>
          <w:shd w:val="clear" w:color="auto" w:fill="FFFFFF"/>
          <w:lang w:val="en-US" w:eastAsia="zh-CN" w:bidi="ar"/>
        </w:rPr>
      </w:pPr>
      <w:r>
        <w:rPr>
          <w:rFonts w:hint="eastAsia" w:hAnsi="宋体" w:cs="宋体"/>
          <w:color w:val="auto"/>
          <w:szCs w:val="24"/>
          <w:highlight w:val="none"/>
          <w:shd w:val="clear" w:color="auto" w:fill="FFFFFF"/>
          <w:lang w:val="en-US" w:eastAsia="zh-CN" w:bidi="ar"/>
        </w:rPr>
        <w:t>（1）《政府采购促进中小企业发展管理办法》（财库〔2020〕46号）；</w:t>
      </w:r>
    </w:p>
    <w:p w14:paraId="54674C89">
      <w:pPr>
        <w:keepNext w:val="0"/>
        <w:keepLines w:val="0"/>
        <w:pageBreakBefore w:val="0"/>
        <w:widowControl/>
        <w:shd w:val="clear" w:color="auto" w:fill="FFFFFF"/>
        <w:kinsoku/>
        <w:wordWrap/>
        <w:overflowPunct/>
        <w:topLinePunct w:val="0"/>
        <w:autoSpaceDE/>
        <w:autoSpaceDN/>
        <w:bidi w:val="0"/>
        <w:adjustRightInd/>
        <w:snapToGrid w:val="0"/>
        <w:spacing w:line="360" w:lineRule="auto"/>
        <w:ind w:firstLine="480" w:firstLineChars="200"/>
        <w:textAlignment w:val="baseline"/>
        <w:rPr>
          <w:rFonts w:hint="eastAsia" w:hAnsi="宋体" w:cs="宋体"/>
          <w:color w:val="auto"/>
          <w:szCs w:val="24"/>
          <w:highlight w:val="none"/>
          <w:shd w:val="clear" w:color="auto" w:fill="FFFFFF"/>
          <w:lang w:val="en-US" w:eastAsia="zh-CN" w:bidi="ar"/>
        </w:rPr>
      </w:pPr>
      <w:r>
        <w:rPr>
          <w:rFonts w:hint="eastAsia" w:hAnsi="宋体" w:cs="宋体"/>
          <w:color w:val="auto"/>
          <w:szCs w:val="24"/>
          <w:highlight w:val="none"/>
          <w:shd w:val="clear" w:color="auto" w:fill="FFFFFF"/>
          <w:lang w:val="en-US" w:eastAsia="zh-CN" w:bidi="ar"/>
        </w:rPr>
        <w:t>（2）《财政部司法部关于政府采购支持监狱企业发展有关问题的通知》（财库〔2014〕68号）；</w:t>
      </w:r>
    </w:p>
    <w:p w14:paraId="64B0B102">
      <w:pPr>
        <w:keepNext w:val="0"/>
        <w:keepLines w:val="0"/>
        <w:pageBreakBefore w:val="0"/>
        <w:widowControl/>
        <w:shd w:val="clear" w:color="auto" w:fill="FFFFFF"/>
        <w:kinsoku/>
        <w:wordWrap/>
        <w:overflowPunct/>
        <w:topLinePunct w:val="0"/>
        <w:autoSpaceDE/>
        <w:autoSpaceDN/>
        <w:bidi w:val="0"/>
        <w:adjustRightInd/>
        <w:snapToGrid w:val="0"/>
        <w:spacing w:line="360" w:lineRule="auto"/>
        <w:ind w:firstLine="480" w:firstLineChars="200"/>
        <w:textAlignment w:val="baseline"/>
        <w:rPr>
          <w:rFonts w:hint="eastAsia" w:hAnsi="宋体" w:cs="宋体"/>
          <w:color w:val="auto"/>
          <w:szCs w:val="24"/>
          <w:highlight w:val="none"/>
          <w:shd w:val="clear" w:color="auto" w:fill="FFFFFF"/>
          <w:lang w:val="en-US" w:eastAsia="zh-CN" w:bidi="ar"/>
        </w:rPr>
      </w:pPr>
      <w:r>
        <w:rPr>
          <w:rFonts w:hint="eastAsia" w:hAnsi="宋体" w:cs="宋体"/>
          <w:color w:val="auto"/>
          <w:szCs w:val="24"/>
          <w:highlight w:val="none"/>
          <w:shd w:val="clear" w:color="auto" w:fill="FFFFFF"/>
          <w:lang w:val="en-US" w:eastAsia="zh-CN" w:bidi="ar"/>
        </w:rPr>
        <w:t>（3）《国务院办公厅关于建立政府强制采购节能产品制度的通知》（国办发〔2007〕51号）；</w:t>
      </w:r>
    </w:p>
    <w:p w14:paraId="481E67D5">
      <w:pPr>
        <w:keepNext w:val="0"/>
        <w:keepLines w:val="0"/>
        <w:pageBreakBefore w:val="0"/>
        <w:widowControl/>
        <w:shd w:val="clear" w:color="auto" w:fill="FFFFFF"/>
        <w:kinsoku/>
        <w:wordWrap/>
        <w:overflowPunct/>
        <w:topLinePunct w:val="0"/>
        <w:autoSpaceDE/>
        <w:autoSpaceDN/>
        <w:bidi w:val="0"/>
        <w:adjustRightInd/>
        <w:snapToGrid w:val="0"/>
        <w:spacing w:line="360" w:lineRule="auto"/>
        <w:ind w:firstLine="480" w:firstLineChars="200"/>
        <w:textAlignment w:val="baseline"/>
        <w:rPr>
          <w:rFonts w:hint="eastAsia" w:hAnsi="宋体" w:cs="宋体"/>
          <w:color w:val="auto"/>
          <w:szCs w:val="24"/>
          <w:highlight w:val="none"/>
          <w:shd w:val="clear" w:color="auto" w:fill="FFFFFF"/>
          <w:lang w:val="en-US" w:eastAsia="zh-CN" w:bidi="ar"/>
        </w:rPr>
      </w:pPr>
      <w:r>
        <w:rPr>
          <w:rFonts w:hint="eastAsia" w:hAnsi="宋体" w:cs="宋体"/>
          <w:color w:val="auto"/>
          <w:szCs w:val="24"/>
          <w:highlight w:val="none"/>
          <w:shd w:val="clear" w:color="auto" w:fill="FFFFFF"/>
          <w:lang w:val="en-US" w:eastAsia="zh-CN" w:bidi="ar"/>
        </w:rPr>
        <w:t>（4）《三部门联合发布关于促进残疾人就业政府采购政策的通知》（财库〔2017〕141号）；</w:t>
      </w:r>
    </w:p>
    <w:p w14:paraId="6AEFF086">
      <w:pPr>
        <w:keepNext w:val="0"/>
        <w:keepLines w:val="0"/>
        <w:pageBreakBefore w:val="0"/>
        <w:widowControl/>
        <w:shd w:val="clear" w:color="auto" w:fill="FFFFFF"/>
        <w:kinsoku/>
        <w:wordWrap/>
        <w:overflowPunct/>
        <w:topLinePunct w:val="0"/>
        <w:autoSpaceDE/>
        <w:autoSpaceDN/>
        <w:bidi w:val="0"/>
        <w:adjustRightInd/>
        <w:snapToGrid w:val="0"/>
        <w:spacing w:line="360" w:lineRule="auto"/>
        <w:ind w:firstLine="480" w:firstLineChars="200"/>
        <w:textAlignment w:val="baseline"/>
        <w:rPr>
          <w:rFonts w:hint="eastAsia" w:hAnsi="宋体" w:cs="宋体"/>
          <w:color w:val="auto"/>
          <w:szCs w:val="24"/>
          <w:highlight w:val="none"/>
          <w:shd w:val="clear" w:color="auto" w:fill="FFFFFF"/>
          <w:lang w:val="en-US" w:eastAsia="zh-CN" w:bidi="ar"/>
        </w:rPr>
      </w:pPr>
      <w:r>
        <w:rPr>
          <w:rFonts w:hint="eastAsia" w:hAnsi="宋体" w:cs="宋体"/>
          <w:color w:val="auto"/>
          <w:szCs w:val="24"/>
          <w:highlight w:val="none"/>
          <w:shd w:val="clear" w:color="auto" w:fill="FFFFFF"/>
          <w:lang w:val="en-US" w:eastAsia="zh-CN" w:bidi="ar"/>
        </w:rPr>
        <w:t>（5）《财政部发展改革委生态环境部市场监管总局关于调整优化节能产品、环境标志产品政府采购执行机制的通知》（财库〔2019〕9号）；</w:t>
      </w:r>
    </w:p>
    <w:p w14:paraId="48828C36">
      <w:pPr>
        <w:keepNext w:val="0"/>
        <w:keepLines w:val="0"/>
        <w:pageBreakBefore w:val="0"/>
        <w:widowControl/>
        <w:shd w:val="clear" w:color="auto" w:fill="FFFFFF"/>
        <w:kinsoku/>
        <w:wordWrap/>
        <w:overflowPunct/>
        <w:topLinePunct w:val="0"/>
        <w:autoSpaceDE/>
        <w:autoSpaceDN/>
        <w:bidi w:val="0"/>
        <w:adjustRightInd/>
        <w:snapToGrid w:val="0"/>
        <w:spacing w:line="360" w:lineRule="auto"/>
        <w:ind w:firstLine="480" w:firstLineChars="200"/>
        <w:textAlignment w:val="baseline"/>
        <w:rPr>
          <w:rFonts w:hint="eastAsia" w:hAnsi="宋体" w:cs="宋体"/>
          <w:color w:val="auto"/>
          <w:szCs w:val="24"/>
          <w:highlight w:val="none"/>
          <w:shd w:val="clear" w:color="auto" w:fill="FFFFFF"/>
          <w:lang w:val="en-US" w:eastAsia="zh-CN" w:bidi="ar"/>
        </w:rPr>
      </w:pPr>
      <w:r>
        <w:rPr>
          <w:rFonts w:hint="eastAsia" w:hAnsi="宋体" w:cs="宋体"/>
          <w:color w:val="auto"/>
          <w:szCs w:val="24"/>
          <w:highlight w:val="none"/>
          <w:shd w:val="clear" w:color="auto" w:fill="FFFFFF"/>
          <w:lang w:val="en-US" w:eastAsia="zh-CN" w:bidi="ar"/>
        </w:rPr>
        <w:t>（6）陕西省财政厅关于印发《陕西省中小企业政府采购信用融资办法》（陕财办采〔2018〕23号）；</w:t>
      </w:r>
    </w:p>
    <w:p w14:paraId="1050F40E">
      <w:pPr>
        <w:keepNext w:val="0"/>
        <w:keepLines w:val="0"/>
        <w:pageBreakBefore w:val="0"/>
        <w:widowControl/>
        <w:shd w:val="clear" w:color="auto" w:fill="FFFFFF"/>
        <w:kinsoku/>
        <w:wordWrap/>
        <w:overflowPunct/>
        <w:topLinePunct w:val="0"/>
        <w:autoSpaceDE/>
        <w:autoSpaceDN/>
        <w:bidi w:val="0"/>
        <w:adjustRightInd/>
        <w:snapToGrid w:val="0"/>
        <w:spacing w:line="360" w:lineRule="auto"/>
        <w:ind w:firstLine="480" w:firstLineChars="200"/>
        <w:textAlignment w:val="baseline"/>
        <w:rPr>
          <w:rFonts w:hint="eastAsia" w:hAnsi="宋体" w:cs="宋体"/>
          <w:color w:val="auto"/>
          <w:szCs w:val="24"/>
          <w:highlight w:val="none"/>
          <w:shd w:val="clear" w:color="auto" w:fill="FFFFFF"/>
          <w:lang w:val="en-US" w:eastAsia="zh-CN" w:bidi="ar"/>
        </w:rPr>
      </w:pPr>
      <w:r>
        <w:rPr>
          <w:rFonts w:hint="eastAsia" w:hAnsi="宋体" w:cs="宋体"/>
          <w:color w:val="auto"/>
          <w:szCs w:val="24"/>
          <w:highlight w:val="none"/>
          <w:shd w:val="clear" w:color="auto" w:fill="FFFFFF"/>
          <w:lang w:val="en-US" w:eastAsia="zh-CN" w:bidi="ar"/>
        </w:rPr>
        <w:t>（7）《财政部农业农村部国家乡村振兴局关于运用政府采购政策支持乡村产业振兴的通知》（财库〔2021〕19号）；</w:t>
      </w:r>
    </w:p>
    <w:p w14:paraId="4A2520EE">
      <w:pPr>
        <w:keepNext w:val="0"/>
        <w:keepLines w:val="0"/>
        <w:pageBreakBefore w:val="0"/>
        <w:widowControl/>
        <w:shd w:val="clear" w:color="auto" w:fill="FFFFFF"/>
        <w:kinsoku/>
        <w:wordWrap/>
        <w:overflowPunct/>
        <w:topLinePunct w:val="0"/>
        <w:autoSpaceDE/>
        <w:autoSpaceDN/>
        <w:bidi w:val="0"/>
        <w:adjustRightInd/>
        <w:snapToGrid w:val="0"/>
        <w:spacing w:line="360" w:lineRule="auto"/>
        <w:ind w:firstLine="480" w:firstLineChars="200"/>
        <w:textAlignment w:val="baseline"/>
        <w:rPr>
          <w:rFonts w:hint="eastAsia" w:hAnsi="宋体" w:cs="宋体"/>
          <w:color w:val="auto"/>
          <w:szCs w:val="24"/>
          <w:highlight w:val="none"/>
          <w:shd w:val="clear" w:color="auto" w:fill="FFFFFF"/>
          <w:lang w:val="en-US" w:eastAsia="zh-CN" w:bidi="ar"/>
        </w:rPr>
      </w:pPr>
      <w:r>
        <w:rPr>
          <w:rFonts w:hint="eastAsia" w:hAnsi="宋体" w:cs="宋体"/>
          <w:color w:val="auto"/>
          <w:szCs w:val="24"/>
          <w:highlight w:val="none"/>
          <w:shd w:val="clear" w:color="auto" w:fill="FFFFFF"/>
          <w:lang w:val="en-US" w:eastAsia="zh-CN" w:bidi="ar"/>
        </w:rPr>
        <w:t>（8）《财政部农业农村部国家乡村振兴局中华全国供销合作总社关于印发&lt;关于深入开展政府采购脱贫地区农副产品工作推进乡村产业振兴的实施意见&gt;的通知》（财库〔2021〕20号）；</w:t>
      </w:r>
    </w:p>
    <w:p w14:paraId="3C8DD37B">
      <w:pPr>
        <w:keepNext w:val="0"/>
        <w:keepLines w:val="0"/>
        <w:pageBreakBefore w:val="0"/>
        <w:widowControl/>
        <w:shd w:val="clear" w:color="auto" w:fill="FFFFFF"/>
        <w:kinsoku/>
        <w:wordWrap/>
        <w:overflowPunct/>
        <w:topLinePunct w:val="0"/>
        <w:autoSpaceDE/>
        <w:autoSpaceDN/>
        <w:bidi w:val="0"/>
        <w:adjustRightInd/>
        <w:snapToGrid w:val="0"/>
        <w:spacing w:line="360" w:lineRule="auto"/>
        <w:ind w:firstLine="480" w:firstLineChars="200"/>
        <w:textAlignment w:val="baseline"/>
        <w:rPr>
          <w:rFonts w:hint="eastAsia" w:hAnsi="宋体" w:cs="宋体"/>
          <w:color w:val="auto"/>
          <w:szCs w:val="24"/>
          <w:highlight w:val="none"/>
          <w:shd w:val="clear" w:color="auto" w:fill="FFFFFF"/>
          <w:lang w:val="en-US" w:eastAsia="zh-CN" w:bidi="ar"/>
        </w:rPr>
      </w:pPr>
      <w:r>
        <w:rPr>
          <w:rFonts w:hint="eastAsia" w:hAnsi="宋体" w:cs="宋体"/>
          <w:color w:val="auto"/>
          <w:szCs w:val="24"/>
          <w:highlight w:val="none"/>
          <w:shd w:val="clear" w:color="auto" w:fill="FFFFFF"/>
          <w:lang w:val="en-US" w:eastAsia="zh-CN" w:bidi="ar"/>
        </w:rPr>
        <w:t>（9）《陕西省财政厅关于进一步加强政府绿色采购有关问题的通知》（陕财办采〔2021〕29号）；</w:t>
      </w:r>
    </w:p>
    <w:p w14:paraId="5B399E69">
      <w:pPr>
        <w:keepNext w:val="0"/>
        <w:keepLines w:val="0"/>
        <w:pageBreakBefore w:val="0"/>
        <w:widowControl/>
        <w:shd w:val="clear" w:color="auto" w:fill="FFFFFF"/>
        <w:kinsoku/>
        <w:wordWrap/>
        <w:overflowPunct/>
        <w:topLinePunct w:val="0"/>
        <w:autoSpaceDE/>
        <w:autoSpaceDN/>
        <w:bidi w:val="0"/>
        <w:adjustRightInd/>
        <w:snapToGrid w:val="0"/>
        <w:spacing w:line="360" w:lineRule="auto"/>
        <w:ind w:firstLine="480" w:firstLineChars="200"/>
        <w:textAlignment w:val="baseline"/>
        <w:rPr>
          <w:rFonts w:hint="eastAsia" w:hAnsi="宋体" w:cs="宋体"/>
          <w:color w:val="auto"/>
          <w:szCs w:val="24"/>
          <w:highlight w:val="none"/>
          <w:shd w:val="clear" w:color="auto" w:fill="FFFFFF"/>
          <w:lang w:val="en-US" w:eastAsia="zh-CN" w:bidi="ar"/>
        </w:rPr>
      </w:pPr>
      <w:r>
        <w:rPr>
          <w:rFonts w:hint="eastAsia" w:hAnsi="宋体" w:cs="宋体"/>
          <w:color w:val="auto"/>
          <w:szCs w:val="24"/>
          <w:highlight w:val="none"/>
          <w:shd w:val="clear" w:color="auto" w:fill="FFFFFF"/>
          <w:lang w:val="en-US" w:eastAsia="zh-CN" w:bidi="ar"/>
        </w:rPr>
        <w:t>（10）《财政部住房城乡建设部工业和信息化部关于扩大政府采购绿色建材促进建筑品质提升政策实施范围的通知》（财库〔2022〕35号）；</w:t>
      </w:r>
    </w:p>
    <w:p w14:paraId="52B62C7F">
      <w:pPr>
        <w:keepNext w:val="0"/>
        <w:keepLines w:val="0"/>
        <w:pageBreakBefore w:val="0"/>
        <w:widowControl/>
        <w:shd w:val="clear" w:color="auto" w:fill="FFFFFF"/>
        <w:kinsoku/>
        <w:wordWrap/>
        <w:overflowPunct/>
        <w:topLinePunct w:val="0"/>
        <w:autoSpaceDE/>
        <w:autoSpaceDN/>
        <w:bidi w:val="0"/>
        <w:adjustRightInd/>
        <w:snapToGrid w:val="0"/>
        <w:spacing w:line="360" w:lineRule="auto"/>
        <w:ind w:firstLine="480" w:firstLineChars="200"/>
        <w:textAlignment w:val="baseline"/>
        <w:rPr>
          <w:rFonts w:hint="eastAsia" w:hAnsi="宋体" w:cs="宋体"/>
          <w:color w:val="auto"/>
          <w:szCs w:val="24"/>
          <w:highlight w:val="none"/>
          <w:shd w:val="clear" w:color="auto" w:fill="FFFFFF"/>
          <w:lang w:val="en-US" w:eastAsia="zh-CN" w:bidi="ar"/>
        </w:rPr>
      </w:pPr>
      <w:r>
        <w:rPr>
          <w:rFonts w:hint="eastAsia" w:hAnsi="宋体" w:cs="宋体"/>
          <w:color w:val="auto"/>
          <w:szCs w:val="24"/>
          <w:highlight w:val="none"/>
          <w:shd w:val="clear" w:color="auto" w:fill="FFFFFF"/>
          <w:lang w:val="en-US" w:eastAsia="zh-CN" w:bidi="ar"/>
        </w:rPr>
        <w:t>（11）《财政部关于在政府采购活动中落实平等对待内外资企业有关政策的通知》（财库〔2021〕35号）；</w:t>
      </w:r>
    </w:p>
    <w:p w14:paraId="2DA7C317">
      <w:pPr>
        <w:keepNext w:val="0"/>
        <w:keepLines w:val="0"/>
        <w:pageBreakBefore w:val="0"/>
        <w:widowControl/>
        <w:shd w:val="clear" w:color="auto" w:fill="FFFFFF"/>
        <w:kinsoku/>
        <w:wordWrap/>
        <w:overflowPunct/>
        <w:topLinePunct w:val="0"/>
        <w:autoSpaceDE/>
        <w:autoSpaceDN/>
        <w:bidi w:val="0"/>
        <w:adjustRightInd/>
        <w:snapToGrid w:val="0"/>
        <w:spacing w:line="360" w:lineRule="auto"/>
        <w:ind w:firstLine="480" w:firstLineChars="200"/>
        <w:textAlignment w:val="baseline"/>
        <w:rPr>
          <w:rFonts w:hint="eastAsia" w:hAnsi="宋体" w:cs="宋体"/>
          <w:color w:val="auto"/>
          <w:szCs w:val="24"/>
          <w:highlight w:val="none"/>
          <w:shd w:val="clear" w:color="auto" w:fill="FFFFFF"/>
          <w:lang w:val="en-US" w:eastAsia="zh-CN" w:bidi="ar"/>
        </w:rPr>
      </w:pPr>
      <w:r>
        <w:rPr>
          <w:rFonts w:hint="eastAsia" w:hAnsi="宋体" w:cs="宋体"/>
          <w:color w:val="auto"/>
          <w:szCs w:val="24"/>
          <w:highlight w:val="none"/>
          <w:shd w:val="clear" w:color="auto" w:fill="FFFFFF"/>
          <w:lang w:val="en-US" w:eastAsia="zh-CN" w:bidi="ar"/>
        </w:rPr>
        <w:t>（12）陕西省财政厅《关于加快推进我省中小企业政府采购信用融资工作的通知》（陕财办采〔2020〕15号）；</w:t>
      </w:r>
    </w:p>
    <w:p w14:paraId="693979FD">
      <w:pPr>
        <w:keepNext w:val="0"/>
        <w:keepLines w:val="0"/>
        <w:pageBreakBefore w:val="0"/>
        <w:widowControl/>
        <w:shd w:val="clear" w:color="auto" w:fill="FFFFFF"/>
        <w:kinsoku/>
        <w:wordWrap/>
        <w:overflowPunct/>
        <w:topLinePunct w:val="0"/>
        <w:autoSpaceDE/>
        <w:autoSpaceDN/>
        <w:bidi w:val="0"/>
        <w:adjustRightInd/>
        <w:snapToGrid w:val="0"/>
        <w:spacing w:line="360" w:lineRule="auto"/>
        <w:ind w:firstLine="480" w:firstLineChars="200"/>
        <w:textAlignment w:val="baseline"/>
        <w:rPr>
          <w:rFonts w:hint="eastAsia" w:hAnsi="宋体" w:cs="宋体"/>
          <w:color w:val="auto"/>
          <w:szCs w:val="24"/>
          <w:highlight w:val="none"/>
          <w:shd w:val="clear" w:color="auto" w:fill="FFFFFF"/>
          <w:lang w:val="en-US" w:eastAsia="zh-CN" w:bidi="ar"/>
        </w:rPr>
      </w:pPr>
      <w:r>
        <w:rPr>
          <w:rFonts w:hint="eastAsia" w:hAnsi="宋体" w:cs="宋体"/>
          <w:color w:val="auto"/>
          <w:szCs w:val="24"/>
          <w:highlight w:val="none"/>
          <w:shd w:val="clear" w:color="auto" w:fill="FFFFFF"/>
          <w:lang w:val="en-US" w:eastAsia="zh-CN" w:bidi="ar"/>
        </w:rPr>
        <w:t>（13）《关于进一步加大政府采购支持中小企业力度的通知》（财库〔2022〕19号）；</w:t>
      </w:r>
    </w:p>
    <w:p w14:paraId="040E0FAB">
      <w:pPr>
        <w:keepNext w:val="0"/>
        <w:keepLines w:val="0"/>
        <w:pageBreakBefore w:val="0"/>
        <w:widowControl/>
        <w:shd w:val="clear" w:color="auto" w:fill="FFFFFF"/>
        <w:kinsoku/>
        <w:wordWrap/>
        <w:overflowPunct/>
        <w:topLinePunct w:val="0"/>
        <w:autoSpaceDE/>
        <w:autoSpaceDN/>
        <w:bidi w:val="0"/>
        <w:adjustRightInd/>
        <w:snapToGrid w:val="0"/>
        <w:spacing w:line="360" w:lineRule="auto"/>
        <w:ind w:firstLine="480" w:firstLineChars="200"/>
        <w:textAlignment w:val="baseline"/>
        <w:rPr>
          <w:rFonts w:hint="eastAsia" w:hAnsi="宋体" w:cs="宋体"/>
          <w:color w:val="auto"/>
          <w:szCs w:val="24"/>
          <w:highlight w:val="none"/>
          <w:shd w:val="clear" w:color="auto" w:fill="FFFFFF"/>
          <w:lang w:val="en-US" w:eastAsia="zh-CN" w:bidi="ar"/>
        </w:rPr>
      </w:pPr>
      <w:r>
        <w:rPr>
          <w:rFonts w:hint="eastAsia" w:hAnsi="宋体" w:cs="宋体"/>
          <w:color w:val="auto"/>
          <w:szCs w:val="24"/>
          <w:highlight w:val="none"/>
          <w:shd w:val="clear" w:color="auto" w:fill="FFFFFF"/>
          <w:lang w:val="en-US" w:eastAsia="zh-CN" w:bidi="ar"/>
        </w:rPr>
        <w:t>（14）《国务院办公厅关于在政府采购中实施本国产品标准及相关政策的通知》（国办发〔2025〕34号）；</w:t>
      </w:r>
    </w:p>
    <w:p w14:paraId="0D40146C">
      <w:pPr>
        <w:keepNext w:val="0"/>
        <w:keepLines w:val="0"/>
        <w:pageBreakBefore w:val="0"/>
        <w:widowControl/>
        <w:shd w:val="clear" w:color="auto" w:fill="FFFFFF"/>
        <w:kinsoku/>
        <w:wordWrap/>
        <w:overflowPunct/>
        <w:topLinePunct w:val="0"/>
        <w:autoSpaceDE/>
        <w:autoSpaceDN/>
        <w:bidi w:val="0"/>
        <w:adjustRightInd/>
        <w:snapToGrid w:val="0"/>
        <w:spacing w:line="360" w:lineRule="auto"/>
        <w:ind w:firstLine="480" w:firstLineChars="200"/>
        <w:textAlignment w:val="baseline"/>
        <w:rPr>
          <w:rFonts w:hint="default" w:ascii="宋体" w:hAnsi="宋体" w:eastAsia="宋体" w:cs="宋体"/>
          <w:color w:val="auto"/>
          <w:szCs w:val="24"/>
          <w:highlight w:val="none"/>
          <w:shd w:val="clear" w:color="auto" w:fill="FFFFFF"/>
          <w:lang w:val="en-US" w:bidi="ar"/>
        </w:rPr>
      </w:pPr>
      <w:r>
        <w:rPr>
          <w:rFonts w:hint="eastAsia" w:hAnsi="宋体" w:cs="宋体"/>
          <w:color w:val="auto"/>
          <w:szCs w:val="24"/>
          <w:highlight w:val="none"/>
          <w:shd w:val="clear" w:color="auto" w:fill="FFFFFF"/>
          <w:lang w:val="en-US" w:eastAsia="zh-CN" w:bidi="ar"/>
        </w:rPr>
        <w:t>（15）其他需要落实的政府采购政策，详见竞争性磋商文件。</w:t>
      </w:r>
    </w:p>
    <w:p w14:paraId="2F5EE024">
      <w:pPr>
        <w:keepNext w:val="0"/>
        <w:keepLines w:val="0"/>
        <w:pageBreakBefore w:val="0"/>
        <w:widowControl/>
        <w:shd w:val="clear" w:color="auto" w:fill="FFFFFF"/>
        <w:kinsoku/>
        <w:wordWrap/>
        <w:overflowPunct/>
        <w:topLinePunct w:val="0"/>
        <w:autoSpaceDE/>
        <w:autoSpaceDN/>
        <w:bidi w:val="0"/>
        <w:adjustRightInd/>
        <w:snapToGrid w:val="0"/>
        <w:spacing w:line="360" w:lineRule="auto"/>
        <w:textAlignment w:val="baseline"/>
        <w:rPr>
          <w:rFonts w:hint="eastAsia" w:hAnsi="宋体" w:cs="宋体"/>
          <w:color w:val="auto"/>
          <w:szCs w:val="24"/>
          <w:highlight w:val="none"/>
          <w:shd w:val="clear" w:color="auto" w:fill="FFFFFF"/>
        </w:rPr>
      </w:pPr>
      <w:r>
        <w:rPr>
          <w:rFonts w:hint="eastAsia" w:hAnsi="宋体" w:cs="宋体"/>
          <w:b/>
          <w:bCs/>
          <w:color w:val="auto"/>
          <w:szCs w:val="24"/>
          <w:highlight w:val="none"/>
          <w:shd w:val="clear" w:color="auto" w:fill="FFFFFF"/>
          <w:lang w:bidi="ar"/>
        </w:rPr>
        <w:t>八、凡对本次招标提出询问，请按以下方式联系。</w:t>
      </w:r>
    </w:p>
    <w:p w14:paraId="65C992B4">
      <w:pPr>
        <w:keepNext w:val="0"/>
        <w:keepLines w:val="0"/>
        <w:pageBreakBefore w:val="0"/>
        <w:widowControl/>
        <w:shd w:val="clear" w:color="auto" w:fill="FFFFFF"/>
        <w:kinsoku/>
        <w:wordWrap/>
        <w:overflowPunct/>
        <w:topLinePunct w:val="0"/>
        <w:autoSpaceDE/>
        <w:autoSpaceDN/>
        <w:bidi w:val="0"/>
        <w:adjustRightInd/>
        <w:snapToGrid w:val="0"/>
        <w:spacing w:line="360" w:lineRule="auto"/>
        <w:ind w:firstLine="480" w:firstLineChars="200"/>
        <w:textAlignment w:val="baseline"/>
        <w:rPr>
          <w:rFonts w:hint="eastAsia" w:hAnsi="宋体" w:cs="宋体"/>
          <w:color w:val="auto"/>
          <w:szCs w:val="24"/>
          <w:highlight w:val="none"/>
          <w:shd w:val="clear" w:color="auto" w:fill="FFFFFF"/>
        </w:rPr>
      </w:pPr>
      <w:r>
        <w:rPr>
          <w:rFonts w:hint="eastAsia" w:hAnsi="宋体" w:cs="宋体"/>
          <w:color w:val="auto"/>
          <w:szCs w:val="24"/>
          <w:highlight w:val="none"/>
          <w:shd w:val="clear" w:color="auto" w:fill="FFFFFF"/>
          <w:lang w:bidi="ar"/>
        </w:rPr>
        <w:t>1.采购人信息</w:t>
      </w:r>
    </w:p>
    <w:p w14:paraId="010DE421">
      <w:pPr>
        <w:keepNext w:val="0"/>
        <w:keepLines w:val="0"/>
        <w:pageBreakBefore w:val="0"/>
        <w:widowControl/>
        <w:shd w:val="clear" w:color="auto" w:fill="FFFFFF"/>
        <w:kinsoku/>
        <w:wordWrap/>
        <w:overflowPunct/>
        <w:topLinePunct w:val="0"/>
        <w:autoSpaceDE/>
        <w:autoSpaceDN/>
        <w:bidi w:val="0"/>
        <w:adjustRightInd/>
        <w:snapToGrid w:val="0"/>
        <w:spacing w:line="360" w:lineRule="auto"/>
        <w:ind w:firstLine="960" w:firstLineChars="400"/>
        <w:textAlignment w:val="baseline"/>
        <w:rPr>
          <w:rFonts w:hint="eastAsia" w:hAnsi="宋体" w:eastAsia="宋体" w:cs="宋体"/>
          <w:color w:val="auto"/>
          <w:szCs w:val="24"/>
          <w:highlight w:val="none"/>
          <w:shd w:val="clear" w:color="auto" w:fill="FFFFFF"/>
          <w:lang w:eastAsia="zh-CN"/>
        </w:rPr>
      </w:pPr>
      <w:r>
        <w:rPr>
          <w:rFonts w:hint="eastAsia" w:hAnsi="宋体" w:cs="宋体"/>
          <w:color w:val="auto"/>
          <w:szCs w:val="24"/>
          <w:highlight w:val="none"/>
          <w:shd w:val="clear" w:color="auto" w:fill="FFFFFF"/>
          <w:lang w:bidi="ar"/>
        </w:rPr>
        <w:t>名称：</w:t>
      </w:r>
      <w:bookmarkStart w:id="28" w:name="OLE_LINK11"/>
      <w:r>
        <w:rPr>
          <w:rFonts w:hint="eastAsia" w:hAnsi="宋体"/>
          <w:color w:val="auto"/>
          <w:szCs w:val="24"/>
          <w:highlight w:val="none"/>
          <w:lang w:eastAsia="zh-CN" w:bidi="ar"/>
        </w:rPr>
        <w:t>蓝田县机关事务服务中心</w:t>
      </w:r>
      <w:bookmarkEnd w:id="28"/>
    </w:p>
    <w:p w14:paraId="4B2A971D">
      <w:pPr>
        <w:keepNext w:val="0"/>
        <w:keepLines w:val="0"/>
        <w:pageBreakBefore w:val="0"/>
        <w:widowControl/>
        <w:kinsoku/>
        <w:wordWrap/>
        <w:overflowPunct/>
        <w:topLinePunct w:val="0"/>
        <w:autoSpaceDE/>
        <w:autoSpaceDN/>
        <w:bidi w:val="0"/>
        <w:adjustRightInd/>
        <w:snapToGrid w:val="0"/>
        <w:spacing w:line="360" w:lineRule="auto"/>
        <w:ind w:firstLine="960" w:firstLineChars="400"/>
        <w:rPr>
          <w:rFonts w:hint="eastAsia" w:hAnsi="宋体" w:cs="仿宋"/>
          <w:bCs/>
          <w:color w:val="auto"/>
          <w:szCs w:val="24"/>
          <w:highlight w:val="none"/>
          <w:shd w:val="clear" w:color="auto" w:fill="FFFFFF"/>
          <w:lang w:bidi="ar"/>
        </w:rPr>
      </w:pPr>
      <w:r>
        <w:rPr>
          <w:rFonts w:hint="eastAsia" w:hAnsi="宋体" w:cs="仿宋"/>
          <w:bCs/>
          <w:color w:val="auto"/>
          <w:szCs w:val="24"/>
          <w:highlight w:val="none"/>
          <w:shd w:val="clear" w:color="auto" w:fill="FFFFFF"/>
          <w:lang w:bidi="ar"/>
        </w:rPr>
        <w:t>地址：蓝田县县门街6号</w:t>
      </w:r>
    </w:p>
    <w:p w14:paraId="3D5EDD24">
      <w:pPr>
        <w:keepNext w:val="0"/>
        <w:keepLines w:val="0"/>
        <w:pageBreakBefore w:val="0"/>
        <w:widowControl/>
        <w:kinsoku/>
        <w:wordWrap/>
        <w:overflowPunct/>
        <w:topLinePunct w:val="0"/>
        <w:autoSpaceDE/>
        <w:autoSpaceDN/>
        <w:bidi w:val="0"/>
        <w:adjustRightInd/>
        <w:snapToGrid w:val="0"/>
        <w:spacing w:line="360" w:lineRule="auto"/>
        <w:ind w:firstLine="960" w:firstLineChars="400"/>
        <w:rPr>
          <w:rFonts w:hint="default" w:hAnsi="宋体" w:cs="宋体"/>
          <w:color w:val="auto"/>
          <w:szCs w:val="24"/>
          <w:highlight w:val="none"/>
          <w:shd w:val="clear" w:color="auto" w:fill="FFFFFF"/>
          <w:lang w:val="en-US"/>
        </w:rPr>
      </w:pPr>
      <w:r>
        <w:rPr>
          <w:rFonts w:hint="eastAsia" w:hAnsi="宋体" w:cs="宋体"/>
          <w:color w:val="auto"/>
          <w:szCs w:val="24"/>
          <w:highlight w:val="none"/>
          <w:shd w:val="clear" w:color="auto" w:fill="FFFFFF"/>
          <w:lang w:bidi="ar"/>
        </w:rPr>
        <w:t>联系方式：15339069940</w:t>
      </w:r>
    </w:p>
    <w:p w14:paraId="7B5683E8">
      <w:pPr>
        <w:keepNext w:val="0"/>
        <w:keepLines w:val="0"/>
        <w:pageBreakBefore w:val="0"/>
        <w:widowControl/>
        <w:shd w:val="clear" w:color="auto" w:fill="FFFFFF"/>
        <w:kinsoku/>
        <w:wordWrap/>
        <w:overflowPunct/>
        <w:topLinePunct w:val="0"/>
        <w:autoSpaceDE/>
        <w:autoSpaceDN/>
        <w:bidi w:val="0"/>
        <w:adjustRightInd/>
        <w:snapToGrid w:val="0"/>
        <w:spacing w:line="360" w:lineRule="auto"/>
        <w:ind w:firstLine="480" w:firstLineChars="200"/>
        <w:textAlignment w:val="baseline"/>
        <w:rPr>
          <w:rFonts w:hint="eastAsia" w:hAnsi="宋体" w:cs="宋体"/>
          <w:color w:val="auto"/>
          <w:szCs w:val="24"/>
          <w:highlight w:val="none"/>
          <w:shd w:val="clear" w:color="auto" w:fill="FFFFFF"/>
        </w:rPr>
      </w:pPr>
      <w:r>
        <w:rPr>
          <w:rFonts w:hint="eastAsia" w:hAnsi="宋体" w:cs="宋体"/>
          <w:color w:val="auto"/>
          <w:szCs w:val="24"/>
          <w:highlight w:val="none"/>
          <w:shd w:val="clear" w:color="auto" w:fill="FFFFFF"/>
          <w:lang w:bidi="ar"/>
        </w:rPr>
        <w:t>2.采购代理机构信息</w:t>
      </w:r>
    </w:p>
    <w:p w14:paraId="410F4AED">
      <w:pPr>
        <w:keepNext w:val="0"/>
        <w:keepLines w:val="0"/>
        <w:pageBreakBefore w:val="0"/>
        <w:widowControl/>
        <w:shd w:val="clear" w:color="auto" w:fill="FFFFFF"/>
        <w:kinsoku/>
        <w:wordWrap/>
        <w:overflowPunct/>
        <w:topLinePunct w:val="0"/>
        <w:autoSpaceDE/>
        <w:autoSpaceDN/>
        <w:bidi w:val="0"/>
        <w:adjustRightInd/>
        <w:snapToGrid w:val="0"/>
        <w:spacing w:line="360" w:lineRule="auto"/>
        <w:ind w:firstLine="960" w:firstLineChars="400"/>
        <w:textAlignment w:val="baseline"/>
        <w:rPr>
          <w:rFonts w:hint="eastAsia" w:hAnsi="宋体" w:eastAsia="宋体" w:cs="宋体"/>
          <w:color w:val="auto"/>
          <w:szCs w:val="24"/>
          <w:highlight w:val="none"/>
          <w:shd w:val="clear" w:color="auto" w:fill="FFFFFF"/>
          <w:lang w:eastAsia="zh-CN"/>
        </w:rPr>
      </w:pPr>
      <w:r>
        <w:rPr>
          <w:rFonts w:hint="eastAsia" w:hAnsi="宋体" w:cs="宋体"/>
          <w:color w:val="auto"/>
          <w:szCs w:val="24"/>
          <w:highlight w:val="none"/>
          <w:shd w:val="clear" w:color="auto" w:fill="FFFFFF"/>
          <w:lang w:bidi="ar"/>
        </w:rPr>
        <w:t>名称：</w:t>
      </w:r>
      <w:bookmarkStart w:id="29" w:name="OLE_LINK12"/>
      <w:r>
        <w:rPr>
          <w:rFonts w:hint="eastAsia" w:hAnsi="宋体" w:cs="宋体"/>
          <w:color w:val="auto"/>
          <w:szCs w:val="24"/>
          <w:highlight w:val="none"/>
          <w:shd w:val="clear" w:color="auto" w:fill="FFFFFF"/>
          <w:lang w:eastAsia="zh-CN" w:bidi="ar"/>
        </w:rPr>
        <w:t>致君项目管理有限公司</w:t>
      </w:r>
      <w:bookmarkEnd w:id="29"/>
    </w:p>
    <w:p w14:paraId="447A3877">
      <w:pPr>
        <w:keepNext w:val="0"/>
        <w:keepLines w:val="0"/>
        <w:pageBreakBefore w:val="0"/>
        <w:widowControl/>
        <w:shd w:val="clear" w:color="auto" w:fill="FFFFFF"/>
        <w:kinsoku/>
        <w:wordWrap/>
        <w:overflowPunct/>
        <w:topLinePunct w:val="0"/>
        <w:autoSpaceDE/>
        <w:autoSpaceDN/>
        <w:bidi w:val="0"/>
        <w:adjustRightInd/>
        <w:snapToGrid w:val="0"/>
        <w:spacing w:line="360" w:lineRule="auto"/>
        <w:ind w:firstLine="960" w:firstLineChars="400"/>
        <w:textAlignment w:val="baseline"/>
        <w:rPr>
          <w:rFonts w:hint="eastAsia" w:hAnsi="宋体" w:cs="宋体"/>
          <w:color w:val="auto"/>
          <w:szCs w:val="24"/>
          <w:highlight w:val="none"/>
          <w:shd w:val="clear" w:color="auto" w:fill="FFFFFF"/>
          <w:lang w:eastAsia="zh-CN" w:bidi="ar"/>
        </w:rPr>
      </w:pPr>
      <w:r>
        <w:rPr>
          <w:rFonts w:hint="eastAsia" w:hAnsi="宋体" w:cs="宋体"/>
          <w:color w:val="auto"/>
          <w:szCs w:val="24"/>
          <w:highlight w:val="none"/>
          <w:shd w:val="clear" w:color="auto" w:fill="FFFFFF"/>
          <w:lang w:bidi="ar"/>
        </w:rPr>
        <w:t>地址：</w:t>
      </w:r>
      <w:r>
        <w:rPr>
          <w:rFonts w:hint="eastAsia" w:hAnsi="宋体" w:cs="宋体"/>
          <w:color w:val="auto"/>
          <w:szCs w:val="24"/>
          <w:highlight w:val="none"/>
          <w:shd w:val="clear" w:color="auto" w:fill="FFFFFF"/>
          <w:lang w:eastAsia="zh-CN" w:bidi="ar"/>
        </w:rPr>
        <w:t>西安经济技术开发区文景广场C座18层</w:t>
      </w:r>
    </w:p>
    <w:p w14:paraId="49449D32">
      <w:pPr>
        <w:keepNext w:val="0"/>
        <w:keepLines w:val="0"/>
        <w:pageBreakBefore w:val="0"/>
        <w:widowControl/>
        <w:shd w:val="clear" w:color="auto" w:fill="FFFFFF"/>
        <w:kinsoku/>
        <w:wordWrap/>
        <w:overflowPunct/>
        <w:topLinePunct w:val="0"/>
        <w:autoSpaceDE/>
        <w:autoSpaceDN/>
        <w:bidi w:val="0"/>
        <w:adjustRightInd/>
        <w:snapToGrid w:val="0"/>
        <w:spacing w:line="360" w:lineRule="auto"/>
        <w:ind w:firstLine="960" w:firstLineChars="400"/>
        <w:textAlignment w:val="baseline"/>
        <w:rPr>
          <w:rFonts w:hint="eastAsia" w:hAnsi="宋体" w:cs="宋体"/>
          <w:color w:val="auto"/>
          <w:szCs w:val="24"/>
          <w:highlight w:val="none"/>
          <w:shd w:val="clear" w:color="auto" w:fill="FFFFFF"/>
          <w:lang w:eastAsia="zh-CN" w:bidi="ar"/>
        </w:rPr>
      </w:pPr>
      <w:r>
        <w:rPr>
          <w:rFonts w:hint="eastAsia" w:hAnsi="宋体" w:cs="宋体"/>
          <w:color w:val="auto"/>
          <w:szCs w:val="24"/>
          <w:highlight w:val="none"/>
          <w:shd w:val="clear" w:color="auto" w:fill="FFFFFF"/>
          <w:lang w:bidi="ar"/>
        </w:rPr>
        <w:t>联系方式：</w:t>
      </w:r>
      <w:r>
        <w:rPr>
          <w:rFonts w:hint="eastAsia" w:hAnsi="宋体" w:cs="宋体"/>
          <w:color w:val="auto"/>
          <w:szCs w:val="24"/>
          <w:highlight w:val="none"/>
          <w:shd w:val="clear" w:color="auto" w:fill="FFFFFF"/>
          <w:lang w:val="en-US" w:eastAsia="zh-CN" w:bidi="ar"/>
        </w:rPr>
        <w:t>19829795986</w:t>
      </w:r>
    </w:p>
    <w:p w14:paraId="55D27BFE">
      <w:pPr>
        <w:keepNext w:val="0"/>
        <w:keepLines w:val="0"/>
        <w:pageBreakBefore w:val="0"/>
        <w:widowControl/>
        <w:shd w:val="clear" w:color="auto" w:fill="FFFFFF"/>
        <w:kinsoku/>
        <w:wordWrap/>
        <w:overflowPunct/>
        <w:topLinePunct w:val="0"/>
        <w:autoSpaceDE/>
        <w:autoSpaceDN/>
        <w:bidi w:val="0"/>
        <w:adjustRightInd/>
        <w:snapToGrid w:val="0"/>
        <w:spacing w:line="360" w:lineRule="auto"/>
        <w:ind w:firstLine="480" w:firstLineChars="200"/>
        <w:textAlignment w:val="baseline"/>
        <w:rPr>
          <w:rFonts w:hint="eastAsia" w:hAnsi="宋体" w:cs="宋体"/>
          <w:color w:val="auto"/>
          <w:szCs w:val="24"/>
          <w:highlight w:val="none"/>
          <w:shd w:val="clear" w:color="auto" w:fill="FFFFFF"/>
        </w:rPr>
      </w:pPr>
      <w:r>
        <w:rPr>
          <w:rFonts w:hint="eastAsia" w:hAnsi="宋体" w:cs="宋体"/>
          <w:color w:val="auto"/>
          <w:szCs w:val="24"/>
          <w:highlight w:val="none"/>
          <w:shd w:val="clear" w:color="auto" w:fill="FFFFFF"/>
          <w:lang w:bidi="ar"/>
        </w:rPr>
        <w:t>3.项目联系方式</w:t>
      </w:r>
    </w:p>
    <w:p w14:paraId="06EBADCC">
      <w:pPr>
        <w:keepNext w:val="0"/>
        <w:keepLines w:val="0"/>
        <w:pageBreakBefore w:val="0"/>
        <w:widowControl/>
        <w:shd w:val="clear" w:color="auto" w:fill="FFFFFF"/>
        <w:kinsoku/>
        <w:wordWrap/>
        <w:overflowPunct/>
        <w:topLinePunct w:val="0"/>
        <w:autoSpaceDE/>
        <w:autoSpaceDN/>
        <w:bidi w:val="0"/>
        <w:adjustRightInd/>
        <w:snapToGrid w:val="0"/>
        <w:spacing w:line="360" w:lineRule="auto"/>
        <w:ind w:firstLine="960" w:firstLineChars="400"/>
        <w:textAlignment w:val="baseline"/>
        <w:rPr>
          <w:rFonts w:hint="eastAsia" w:hAnsi="宋体" w:cs="宋体"/>
          <w:color w:val="auto"/>
          <w:szCs w:val="24"/>
          <w:highlight w:val="none"/>
          <w:shd w:val="clear" w:color="auto" w:fill="FFFFFF"/>
        </w:rPr>
      </w:pPr>
      <w:r>
        <w:rPr>
          <w:rFonts w:hint="eastAsia" w:hAnsi="宋体" w:cs="宋体"/>
          <w:color w:val="auto"/>
          <w:szCs w:val="24"/>
          <w:highlight w:val="none"/>
          <w:shd w:val="clear" w:color="auto" w:fill="FFFFFF"/>
          <w:lang w:bidi="ar"/>
        </w:rPr>
        <w:t>项目联系人：</w:t>
      </w:r>
      <w:r>
        <w:rPr>
          <w:rFonts w:hint="eastAsia" w:hAnsi="宋体"/>
          <w:sz w:val="24"/>
          <w:highlight w:val="none"/>
          <w:lang w:val="en-US" w:eastAsia="zh-CN"/>
        </w:rPr>
        <w:t>李工</w:t>
      </w:r>
    </w:p>
    <w:p w14:paraId="1AD5C716">
      <w:pPr>
        <w:keepNext w:val="0"/>
        <w:keepLines w:val="0"/>
        <w:pageBreakBefore w:val="0"/>
        <w:widowControl/>
        <w:shd w:val="clear" w:color="auto" w:fill="FFFFFF"/>
        <w:kinsoku/>
        <w:wordWrap/>
        <w:overflowPunct/>
        <w:topLinePunct w:val="0"/>
        <w:autoSpaceDE/>
        <w:autoSpaceDN/>
        <w:bidi w:val="0"/>
        <w:adjustRightInd/>
        <w:snapToGrid w:val="0"/>
        <w:spacing w:line="360" w:lineRule="auto"/>
        <w:ind w:firstLine="960" w:firstLineChars="400"/>
        <w:jc w:val="both"/>
        <w:textAlignment w:val="baseline"/>
        <w:rPr>
          <w:rFonts w:hint="eastAsia" w:hAnsi="宋体" w:cs="宋体"/>
          <w:color w:val="auto"/>
          <w:szCs w:val="24"/>
          <w:highlight w:val="none"/>
          <w:shd w:val="clear" w:color="auto" w:fill="FFFFFF"/>
          <w:lang w:eastAsia="zh-CN" w:bidi="ar"/>
        </w:rPr>
      </w:pPr>
      <w:r>
        <w:rPr>
          <w:rFonts w:hint="eastAsia" w:hAnsi="宋体" w:cs="宋体"/>
          <w:color w:val="auto"/>
          <w:szCs w:val="24"/>
          <w:highlight w:val="none"/>
          <w:shd w:val="clear" w:color="auto" w:fill="FFFFFF"/>
          <w:lang w:bidi="ar"/>
        </w:rPr>
        <w:t>电话：</w:t>
      </w:r>
      <w:r>
        <w:rPr>
          <w:rFonts w:hint="eastAsia" w:hAnsi="宋体" w:cs="宋体"/>
          <w:color w:val="auto"/>
          <w:szCs w:val="24"/>
          <w:highlight w:val="none"/>
          <w:shd w:val="clear" w:color="auto" w:fill="FFFFFF"/>
          <w:lang w:val="en-US" w:eastAsia="zh-CN" w:bidi="ar"/>
        </w:rPr>
        <w:t>19829795986</w:t>
      </w:r>
    </w:p>
    <w:p w14:paraId="6094D373">
      <w:pPr>
        <w:keepNext w:val="0"/>
        <w:keepLines w:val="0"/>
        <w:pageBreakBefore w:val="0"/>
        <w:widowControl/>
        <w:shd w:val="clear" w:color="auto" w:fill="FFFFFF"/>
        <w:kinsoku/>
        <w:wordWrap/>
        <w:overflowPunct/>
        <w:topLinePunct w:val="0"/>
        <w:autoSpaceDE/>
        <w:autoSpaceDN/>
        <w:bidi w:val="0"/>
        <w:adjustRightInd/>
        <w:snapToGrid/>
        <w:spacing w:line="480" w:lineRule="exact"/>
        <w:jc w:val="right"/>
        <w:textAlignment w:val="baseline"/>
        <w:rPr>
          <w:rFonts w:hint="eastAsia" w:hAnsi="宋体" w:cs="宋体"/>
          <w:color w:val="auto"/>
          <w:szCs w:val="24"/>
          <w:highlight w:val="none"/>
          <w:shd w:val="clear" w:color="auto" w:fill="FFFFFF"/>
        </w:rPr>
      </w:pPr>
    </w:p>
    <w:p w14:paraId="09528804">
      <w:pPr>
        <w:rPr>
          <w:rFonts w:ascii="Calibri" w:hAnsi="Calibri"/>
          <w:color w:val="auto"/>
          <w:highlight w:val="none"/>
        </w:rPr>
      </w:pPr>
    </w:p>
    <w:p w14:paraId="45C2F8B4">
      <w:pPr>
        <w:pStyle w:val="3"/>
        <w:keepNext w:val="0"/>
        <w:keepLines/>
        <w:pageBreakBefore/>
        <w:spacing w:before="120" w:beforeLines="50" w:after="120" w:afterLines="50" w:line="360" w:lineRule="auto"/>
        <w:jc w:val="center"/>
        <w:rPr>
          <w:rFonts w:hint="eastAsia" w:cs="仿宋" w:asciiTheme="minorEastAsia" w:hAnsiTheme="minorEastAsia" w:eastAsiaTheme="minorEastAsia"/>
          <w:bCs/>
          <w:color w:val="auto"/>
          <w:sz w:val="36"/>
          <w:szCs w:val="36"/>
          <w:highlight w:val="none"/>
        </w:rPr>
      </w:pPr>
      <w:r>
        <w:rPr>
          <w:rFonts w:hint="eastAsia" w:cs="仿宋" w:asciiTheme="minorEastAsia" w:hAnsiTheme="minorEastAsia" w:eastAsiaTheme="minorEastAsia"/>
          <w:bCs/>
          <w:color w:val="auto"/>
          <w:sz w:val="36"/>
          <w:szCs w:val="36"/>
          <w:highlight w:val="none"/>
        </w:rPr>
        <w:t xml:space="preserve">第二章  </w:t>
      </w:r>
      <w:bookmarkEnd w:id="17"/>
      <w:bookmarkEnd w:id="18"/>
      <w:bookmarkStart w:id="30" w:name="OLE_LINK3"/>
      <w:r>
        <w:rPr>
          <w:rFonts w:hint="eastAsia" w:cs="仿宋" w:asciiTheme="minorEastAsia" w:hAnsiTheme="minorEastAsia" w:eastAsiaTheme="minorEastAsia"/>
          <w:bCs/>
          <w:color w:val="auto"/>
          <w:sz w:val="36"/>
          <w:szCs w:val="36"/>
          <w:highlight w:val="none"/>
        </w:rPr>
        <w:t>供应商须知</w:t>
      </w:r>
      <w:bookmarkEnd w:id="19"/>
      <w:bookmarkEnd w:id="20"/>
      <w:bookmarkEnd w:id="21"/>
      <w:bookmarkEnd w:id="22"/>
      <w:bookmarkEnd w:id="30"/>
    </w:p>
    <w:p w14:paraId="63CBDC2B">
      <w:pPr>
        <w:pStyle w:val="4"/>
        <w:widowControl w:val="0"/>
        <w:spacing w:before="120" w:after="120" w:line="360" w:lineRule="auto"/>
        <w:ind w:left="0"/>
        <w:jc w:val="center"/>
        <w:rPr>
          <w:rFonts w:hint="eastAsia" w:cs="仿宋" w:asciiTheme="minorEastAsia" w:hAnsiTheme="minorEastAsia" w:eastAsiaTheme="minorEastAsia"/>
          <w:color w:val="auto"/>
          <w:sz w:val="32"/>
          <w:highlight w:val="none"/>
        </w:rPr>
      </w:pPr>
      <w:bookmarkStart w:id="31" w:name="OLE_LINK2"/>
      <w:bookmarkStart w:id="32" w:name="_Toc31462"/>
      <w:bookmarkStart w:id="33" w:name="_Toc11844"/>
      <w:bookmarkStart w:id="34" w:name="_Toc423973073"/>
      <w:bookmarkStart w:id="35" w:name="_Toc19364"/>
      <w:r>
        <w:rPr>
          <w:rFonts w:hint="eastAsia" w:cs="仿宋" w:asciiTheme="minorEastAsia" w:hAnsiTheme="minorEastAsia" w:eastAsiaTheme="minorEastAsia"/>
          <w:color w:val="auto"/>
          <w:sz w:val="32"/>
          <w:highlight w:val="none"/>
        </w:rPr>
        <w:t>供应商须知前附表</w:t>
      </w:r>
      <w:bookmarkEnd w:id="31"/>
      <w:bookmarkEnd w:id="32"/>
      <w:bookmarkEnd w:id="33"/>
      <w:bookmarkEnd w:id="34"/>
      <w:bookmarkEnd w:id="35"/>
    </w:p>
    <w:p w14:paraId="1ECA421A">
      <w:pPr>
        <w:spacing w:line="440" w:lineRule="exact"/>
        <w:ind w:firstLine="480" w:firstLineChars="200"/>
        <w:rPr>
          <w:rFonts w:hint="eastAsia" w:cs="仿宋" w:asciiTheme="minorEastAsia" w:hAnsiTheme="minorEastAsia" w:eastAsiaTheme="minorEastAsia"/>
          <w:color w:val="auto"/>
          <w:szCs w:val="24"/>
          <w:highlight w:val="none"/>
        </w:rPr>
      </w:pPr>
      <w:r>
        <w:rPr>
          <w:rFonts w:hint="eastAsia" w:cs="仿宋" w:asciiTheme="minorEastAsia" w:hAnsiTheme="minorEastAsia" w:eastAsiaTheme="minorEastAsia"/>
          <w:color w:val="auto"/>
          <w:szCs w:val="24"/>
          <w:highlight w:val="none"/>
        </w:rPr>
        <w:t>本表是对供应商须知的具体补充和修改，如有矛盾，应以本资料表为准。</w:t>
      </w:r>
    </w:p>
    <w:tbl>
      <w:tblPr>
        <w:tblStyle w:val="48"/>
        <w:tblW w:w="4963"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28" w:type="dxa"/>
          <w:bottom w:w="0" w:type="dxa"/>
          <w:right w:w="28" w:type="dxa"/>
        </w:tblCellMar>
      </w:tblPr>
      <w:tblGrid>
        <w:gridCol w:w="1055"/>
        <w:gridCol w:w="1905"/>
        <w:gridCol w:w="6649"/>
      </w:tblGrid>
      <w:tr w14:paraId="06B386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54" w:hRule="atLeast"/>
          <w:tblHeader/>
          <w:jc w:val="center"/>
        </w:trPr>
        <w:tc>
          <w:tcPr>
            <w:tcW w:w="549" w:type="pct"/>
            <w:vAlign w:val="center"/>
          </w:tcPr>
          <w:p w14:paraId="5056A92D">
            <w:pPr>
              <w:keepNext w:val="0"/>
              <w:keepLines w:val="0"/>
              <w:pageBreakBefore w:val="0"/>
              <w:kinsoku/>
              <w:wordWrap/>
              <w:overflowPunct/>
              <w:topLinePunct w:val="0"/>
              <w:autoSpaceDE/>
              <w:autoSpaceDN/>
              <w:bidi w:val="0"/>
              <w:snapToGrid w:val="0"/>
              <w:spacing w:line="240" w:lineRule="auto"/>
              <w:ind w:left="0" w:leftChars="0"/>
              <w:jc w:val="center"/>
              <w:rPr>
                <w:b/>
                <w:color w:val="auto"/>
                <w:szCs w:val="24"/>
                <w:highlight w:val="none"/>
              </w:rPr>
            </w:pPr>
            <w:r>
              <w:rPr>
                <w:rFonts w:hint="eastAsia"/>
                <w:b/>
                <w:color w:val="auto"/>
                <w:szCs w:val="24"/>
                <w:highlight w:val="none"/>
              </w:rPr>
              <w:t>条款号</w:t>
            </w:r>
          </w:p>
        </w:tc>
        <w:tc>
          <w:tcPr>
            <w:tcW w:w="991" w:type="pct"/>
            <w:vAlign w:val="center"/>
          </w:tcPr>
          <w:p w14:paraId="27A4F300">
            <w:pPr>
              <w:keepNext w:val="0"/>
              <w:keepLines w:val="0"/>
              <w:pageBreakBefore w:val="0"/>
              <w:kinsoku/>
              <w:wordWrap/>
              <w:overflowPunct/>
              <w:topLinePunct w:val="0"/>
              <w:autoSpaceDE/>
              <w:autoSpaceDN/>
              <w:bidi w:val="0"/>
              <w:snapToGrid w:val="0"/>
              <w:spacing w:line="240" w:lineRule="auto"/>
              <w:ind w:left="0" w:leftChars="0"/>
              <w:jc w:val="center"/>
              <w:rPr>
                <w:b/>
                <w:color w:val="auto"/>
                <w:szCs w:val="24"/>
                <w:highlight w:val="none"/>
              </w:rPr>
            </w:pPr>
            <w:r>
              <w:rPr>
                <w:rFonts w:hint="eastAsia"/>
                <w:b/>
                <w:color w:val="auto"/>
                <w:szCs w:val="24"/>
                <w:highlight w:val="none"/>
              </w:rPr>
              <w:t>条款内容提示</w:t>
            </w:r>
          </w:p>
        </w:tc>
        <w:tc>
          <w:tcPr>
            <w:tcW w:w="3459" w:type="pct"/>
            <w:vAlign w:val="center"/>
          </w:tcPr>
          <w:p w14:paraId="7E0AFDB2">
            <w:pPr>
              <w:keepNext w:val="0"/>
              <w:keepLines w:val="0"/>
              <w:pageBreakBefore w:val="0"/>
              <w:kinsoku/>
              <w:wordWrap/>
              <w:overflowPunct/>
              <w:topLinePunct w:val="0"/>
              <w:autoSpaceDE/>
              <w:autoSpaceDN/>
              <w:bidi w:val="0"/>
              <w:snapToGrid w:val="0"/>
              <w:spacing w:line="240" w:lineRule="auto"/>
              <w:ind w:left="0" w:leftChars="0"/>
              <w:jc w:val="center"/>
              <w:rPr>
                <w:b/>
                <w:color w:val="auto"/>
                <w:szCs w:val="24"/>
                <w:highlight w:val="none"/>
              </w:rPr>
            </w:pPr>
            <w:r>
              <w:rPr>
                <w:rFonts w:hint="eastAsia"/>
                <w:b/>
                <w:color w:val="auto"/>
                <w:szCs w:val="24"/>
                <w:highlight w:val="none"/>
              </w:rPr>
              <w:t>编</w:t>
            </w:r>
            <w:r>
              <w:rPr>
                <w:b/>
                <w:color w:val="auto"/>
                <w:szCs w:val="24"/>
                <w:highlight w:val="none"/>
              </w:rPr>
              <w:t xml:space="preserve"> </w:t>
            </w:r>
            <w:r>
              <w:rPr>
                <w:rFonts w:hint="eastAsia"/>
                <w:b/>
                <w:color w:val="auto"/>
                <w:szCs w:val="24"/>
                <w:highlight w:val="none"/>
              </w:rPr>
              <w:t>列</w:t>
            </w:r>
            <w:r>
              <w:rPr>
                <w:b/>
                <w:color w:val="auto"/>
                <w:szCs w:val="24"/>
                <w:highlight w:val="none"/>
              </w:rPr>
              <w:t xml:space="preserve"> </w:t>
            </w:r>
            <w:r>
              <w:rPr>
                <w:rFonts w:hint="eastAsia"/>
                <w:b/>
                <w:color w:val="auto"/>
                <w:szCs w:val="24"/>
                <w:highlight w:val="none"/>
              </w:rPr>
              <w:t>内</w:t>
            </w:r>
            <w:r>
              <w:rPr>
                <w:b/>
                <w:color w:val="auto"/>
                <w:szCs w:val="24"/>
                <w:highlight w:val="none"/>
              </w:rPr>
              <w:t xml:space="preserve"> </w:t>
            </w:r>
            <w:r>
              <w:rPr>
                <w:rFonts w:hint="eastAsia"/>
                <w:b/>
                <w:color w:val="auto"/>
                <w:szCs w:val="24"/>
                <w:highlight w:val="none"/>
              </w:rPr>
              <w:t>容</w:t>
            </w:r>
          </w:p>
        </w:tc>
      </w:tr>
      <w:tr w14:paraId="3FEF7F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417" w:hRule="atLeast"/>
          <w:jc w:val="center"/>
        </w:trPr>
        <w:tc>
          <w:tcPr>
            <w:tcW w:w="549" w:type="pct"/>
            <w:vAlign w:val="center"/>
          </w:tcPr>
          <w:p w14:paraId="3039120A">
            <w:pPr>
              <w:keepNext w:val="0"/>
              <w:keepLines w:val="0"/>
              <w:pageBreakBefore w:val="0"/>
              <w:kinsoku/>
              <w:wordWrap/>
              <w:overflowPunct/>
              <w:topLinePunct w:val="0"/>
              <w:autoSpaceDE/>
              <w:autoSpaceDN/>
              <w:bidi w:val="0"/>
              <w:snapToGrid w:val="0"/>
              <w:spacing w:line="240" w:lineRule="auto"/>
              <w:ind w:left="0" w:leftChars="0"/>
              <w:jc w:val="center"/>
              <w:rPr>
                <w:b/>
                <w:color w:val="auto"/>
                <w:szCs w:val="24"/>
                <w:highlight w:val="none"/>
              </w:rPr>
            </w:pPr>
            <w:r>
              <w:rPr>
                <w:rFonts w:hint="eastAsia" w:hAnsi="宋体" w:cs="宋体"/>
                <w:color w:val="auto"/>
                <w:szCs w:val="24"/>
                <w:highlight w:val="none"/>
              </w:rPr>
              <w:t>2.1</w:t>
            </w:r>
          </w:p>
        </w:tc>
        <w:tc>
          <w:tcPr>
            <w:tcW w:w="991" w:type="pct"/>
            <w:vAlign w:val="center"/>
          </w:tcPr>
          <w:p w14:paraId="1875C893">
            <w:pPr>
              <w:keepNext w:val="0"/>
              <w:keepLines w:val="0"/>
              <w:pageBreakBefore w:val="0"/>
              <w:kinsoku/>
              <w:wordWrap/>
              <w:overflowPunct/>
              <w:topLinePunct w:val="0"/>
              <w:autoSpaceDE/>
              <w:autoSpaceDN/>
              <w:bidi w:val="0"/>
              <w:snapToGrid w:val="0"/>
              <w:spacing w:line="240" w:lineRule="auto"/>
              <w:ind w:left="0" w:leftChars="0"/>
              <w:jc w:val="center"/>
              <w:rPr>
                <w:rFonts w:hint="eastAsia" w:hAnsi="宋体"/>
                <w:color w:val="auto"/>
                <w:szCs w:val="21"/>
                <w:highlight w:val="none"/>
              </w:rPr>
            </w:pPr>
            <w:r>
              <w:rPr>
                <w:rFonts w:hint="eastAsia" w:hAnsi="宋体"/>
                <w:color w:val="auto"/>
                <w:szCs w:val="21"/>
                <w:highlight w:val="none"/>
              </w:rPr>
              <w:t>采购人</w:t>
            </w:r>
          </w:p>
        </w:tc>
        <w:tc>
          <w:tcPr>
            <w:tcW w:w="3459" w:type="pct"/>
            <w:vAlign w:val="center"/>
          </w:tcPr>
          <w:p w14:paraId="7370B0C4">
            <w:pPr>
              <w:keepNext w:val="0"/>
              <w:keepLines w:val="0"/>
              <w:pageBreakBefore w:val="0"/>
              <w:kinsoku/>
              <w:wordWrap/>
              <w:overflowPunct/>
              <w:topLinePunct w:val="0"/>
              <w:autoSpaceDE/>
              <w:autoSpaceDN/>
              <w:bidi w:val="0"/>
              <w:snapToGrid w:val="0"/>
              <w:spacing w:line="240" w:lineRule="auto"/>
              <w:ind w:left="0" w:leftChars="0"/>
              <w:jc w:val="both"/>
              <w:rPr>
                <w:rFonts w:hint="eastAsia" w:hAnsi="宋体" w:eastAsia="宋体" w:cs="宋体"/>
                <w:color w:val="auto"/>
                <w:szCs w:val="24"/>
                <w:highlight w:val="none"/>
                <w:lang w:eastAsia="zh-CN"/>
              </w:rPr>
            </w:pPr>
            <w:r>
              <w:rPr>
                <w:rFonts w:hint="eastAsia" w:hAnsi="宋体"/>
                <w:color w:val="auto"/>
                <w:szCs w:val="21"/>
                <w:highlight w:val="none"/>
              </w:rPr>
              <w:t>名  称：</w:t>
            </w:r>
            <w:r>
              <w:rPr>
                <w:rFonts w:hint="eastAsia" w:hAnsi="宋体" w:cs="宋体"/>
                <w:color w:val="auto"/>
                <w:szCs w:val="24"/>
                <w:highlight w:val="none"/>
                <w:lang w:eastAsia="zh-CN"/>
              </w:rPr>
              <w:t>蓝田县机关事务服务中心</w:t>
            </w:r>
          </w:p>
          <w:p w14:paraId="278D9F03">
            <w:pPr>
              <w:keepNext w:val="0"/>
              <w:keepLines w:val="0"/>
              <w:pageBreakBefore w:val="0"/>
              <w:kinsoku/>
              <w:wordWrap/>
              <w:overflowPunct/>
              <w:topLinePunct w:val="0"/>
              <w:autoSpaceDE/>
              <w:autoSpaceDN/>
              <w:bidi w:val="0"/>
              <w:snapToGrid w:val="0"/>
              <w:spacing w:line="240" w:lineRule="auto"/>
              <w:ind w:left="0" w:leftChars="0"/>
              <w:jc w:val="both"/>
              <w:rPr>
                <w:rFonts w:hint="eastAsia" w:hAnsi="宋体" w:cs="仿宋"/>
                <w:bCs/>
                <w:color w:val="auto"/>
                <w:szCs w:val="24"/>
                <w:highlight w:val="none"/>
                <w:shd w:val="clear" w:color="auto" w:fill="FFFFFF"/>
                <w:lang w:eastAsia="zh-CN" w:bidi="ar"/>
              </w:rPr>
            </w:pPr>
            <w:r>
              <w:rPr>
                <w:rFonts w:hint="eastAsia" w:hAnsi="宋体"/>
                <w:color w:val="auto"/>
                <w:szCs w:val="21"/>
                <w:highlight w:val="none"/>
              </w:rPr>
              <w:t>地  址：蓝田县县门街6号</w:t>
            </w:r>
          </w:p>
          <w:p w14:paraId="66C152EB">
            <w:pPr>
              <w:keepNext w:val="0"/>
              <w:keepLines w:val="0"/>
              <w:pageBreakBefore w:val="0"/>
              <w:kinsoku/>
              <w:wordWrap/>
              <w:overflowPunct/>
              <w:topLinePunct w:val="0"/>
              <w:autoSpaceDE/>
              <w:autoSpaceDN/>
              <w:bidi w:val="0"/>
              <w:snapToGrid w:val="0"/>
              <w:spacing w:line="240" w:lineRule="auto"/>
              <w:ind w:left="0" w:leftChars="0"/>
              <w:jc w:val="both"/>
              <w:rPr>
                <w:rFonts w:hint="default" w:hAnsi="宋体" w:cs="仿宋"/>
                <w:bCs/>
                <w:color w:val="auto"/>
                <w:szCs w:val="24"/>
                <w:highlight w:val="none"/>
                <w:shd w:val="clear" w:color="auto" w:fill="FFFFFF"/>
                <w:lang w:val="en-US" w:eastAsia="zh-CN" w:bidi="ar"/>
              </w:rPr>
            </w:pPr>
            <w:r>
              <w:rPr>
                <w:rFonts w:hint="eastAsia" w:hAnsi="宋体" w:cs="仿宋"/>
                <w:bCs/>
                <w:color w:val="auto"/>
                <w:szCs w:val="24"/>
                <w:highlight w:val="none"/>
                <w:shd w:val="clear" w:color="auto" w:fill="FFFFFF"/>
                <w:lang w:val="en-US" w:eastAsia="zh-CN" w:bidi="ar"/>
              </w:rPr>
              <w:t>联系人：任老师</w:t>
            </w:r>
          </w:p>
          <w:p w14:paraId="45871150">
            <w:pPr>
              <w:keepNext w:val="0"/>
              <w:keepLines w:val="0"/>
              <w:pageBreakBefore w:val="0"/>
              <w:kinsoku/>
              <w:wordWrap/>
              <w:overflowPunct/>
              <w:topLinePunct w:val="0"/>
              <w:autoSpaceDE/>
              <w:autoSpaceDN/>
              <w:bidi w:val="0"/>
              <w:snapToGrid w:val="0"/>
              <w:spacing w:line="240" w:lineRule="auto"/>
              <w:ind w:left="0" w:leftChars="0"/>
              <w:jc w:val="both"/>
              <w:rPr>
                <w:rFonts w:hint="default" w:eastAsia="宋体"/>
                <w:b/>
                <w:color w:val="auto"/>
                <w:szCs w:val="24"/>
                <w:highlight w:val="none"/>
                <w:lang w:val="en-US" w:eastAsia="zh-CN"/>
              </w:rPr>
            </w:pPr>
            <w:r>
              <w:rPr>
                <w:rFonts w:hint="eastAsia"/>
                <w:bCs/>
                <w:color w:val="auto"/>
                <w:szCs w:val="24"/>
                <w:highlight w:val="none"/>
              </w:rPr>
              <w:t xml:space="preserve">电 </w:t>
            </w:r>
            <w:r>
              <w:rPr>
                <w:bCs/>
                <w:color w:val="auto"/>
                <w:szCs w:val="24"/>
                <w:highlight w:val="none"/>
              </w:rPr>
              <w:t xml:space="preserve"> </w:t>
            </w:r>
            <w:r>
              <w:rPr>
                <w:rFonts w:hint="eastAsia"/>
                <w:bCs/>
                <w:color w:val="auto"/>
                <w:szCs w:val="24"/>
                <w:highlight w:val="none"/>
              </w:rPr>
              <w:t>话：15339069940</w:t>
            </w:r>
          </w:p>
        </w:tc>
      </w:tr>
      <w:tr w14:paraId="7804F0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417" w:hRule="atLeast"/>
          <w:jc w:val="center"/>
        </w:trPr>
        <w:tc>
          <w:tcPr>
            <w:tcW w:w="549" w:type="pct"/>
            <w:vAlign w:val="center"/>
          </w:tcPr>
          <w:p w14:paraId="61FA102F">
            <w:pPr>
              <w:keepNext w:val="0"/>
              <w:keepLines w:val="0"/>
              <w:pageBreakBefore w:val="0"/>
              <w:kinsoku/>
              <w:wordWrap/>
              <w:overflowPunct/>
              <w:topLinePunct w:val="0"/>
              <w:autoSpaceDE/>
              <w:autoSpaceDN/>
              <w:bidi w:val="0"/>
              <w:snapToGrid w:val="0"/>
              <w:spacing w:line="240" w:lineRule="auto"/>
              <w:ind w:left="0" w:leftChars="0"/>
              <w:jc w:val="center"/>
              <w:rPr>
                <w:color w:val="auto"/>
                <w:szCs w:val="24"/>
                <w:highlight w:val="none"/>
              </w:rPr>
            </w:pPr>
            <w:r>
              <w:rPr>
                <w:rFonts w:hint="eastAsia"/>
                <w:color w:val="auto"/>
                <w:szCs w:val="24"/>
                <w:highlight w:val="none"/>
              </w:rPr>
              <w:t>2</w:t>
            </w:r>
            <w:r>
              <w:rPr>
                <w:color w:val="auto"/>
                <w:szCs w:val="24"/>
                <w:highlight w:val="none"/>
              </w:rPr>
              <w:t>.</w:t>
            </w:r>
            <w:r>
              <w:rPr>
                <w:rFonts w:hint="eastAsia"/>
                <w:color w:val="auto"/>
                <w:szCs w:val="24"/>
                <w:highlight w:val="none"/>
              </w:rPr>
              <w:t>2</w:t>
            </w:r>
          </w:p>
        </w:tc>
        <w:tc>
          <w:tcPr>
            <w:tcW w:w="991" w:type="pct"/>
            <w:vAlign w:val="center"/>
          </w:tcPr>
          <w:p w14:paraId="514BC300">
            <w:pPr>
              <w:keepNext w:val="0"/>
              <w:keepLines w:val="0"/>
              <w:pageBreakBefore w:val="0"/>
              <w:kinsoku/>
              <w:wordWrap/>
              <w:overflowPunct/>
              <w:topLinePunct w:val="0"/>
              <w:autoSpaceDE/>
              <w:autoSpaceDN/>
              <w:bidi w:val="0"/>
              <w:snapToGrid w:val="0"/>
              <w:spacing w:line="240" w:lineRule="auto"/>
              <w:ind w:left="0" w:leftChars="0"/>
              <w:jc w:val="center"/>
              <w:rPr>
                <w:rFonts w:hint="eastAsia" w:hAnsi="宋体"/>
                <w:color w:val="auto"/>
                <w:szCs w:val="21"/>
                <w:highlight w:val="none"/>
              </w:rPr>
            </w:pPr>
            <w:r>
              <w:rPr>
                <w:rFonts w:hint="eastAsia" w:hAnsi="宋体"/>
                <w:color w:val="auto"/>
                <w:szCs w:val="21"/>
                <w:highlight w:val="none"/>
              </w:rPr>
              <w:t>采购代理机构</w:t>
            </w:r>
          </w:p>
        </w:tc>
        <w:tc>
          <w:tcPr>
            <w:tcW w:w="3459" w:type="pct"/>
            <w:vAlign w:val="center"/>
          </w:tcPr>
          <w:p w14:paraId="4A3B2D45">
            <w:pPr>
              <w:keepNext w:val="0"/>
              <w:keepLines w:val="0"/>
              <w:pageBreakBefore w:val="0"/>
              <w:kinsoku/>
              <w:wordWrap/>
              <w:overflowPunct/>
              <w:topLinePunct w:val="0"/>
              <w:autoSpaceDE/>
              <w:autoSpaceDN/>
              <w:bidi w:val="0"/>
              <w:snapToGrid w:val="0"/>
              <w:spacing w:line="240" w:lineRule="auto"/>
              <w:ind w:left="0" w:leftChars="0"/>
              <w:jc w:val="both"/>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rPr>
              <w:t>名称：</w:t>
            </w:r>
            <w:r>
              <w:rPr>
                <w:rFonts w:hint="eastAsia" w:ascii="宋体" w:hAnsi="宋体" w:eastAsia="宋体" w:cs="Times New Roman"/>
                <w:color w:val="auto"/>
                <w:szCs w:val="21"/>
                <w:highlight w:val="none"/>
                <w:lang w:eastAsia="zh-CN"/>
              </w:rPr>
              <w:t>致君项目管理有限公司</w:t>
            </w:r>
          </w:p>
          <w:p w14:paraId="2530B53A">
            <w:pPr>
              <w:keepNext w:val="0"/>
              <w:keepLines w:val="0"/>
              <w:pageBreakBefore w:val="0"/>
              <w:kinsoku/>
              <w:wordWrap/>
              <w:overflowPunct/>
              <w:topLinePunct w:val="0"/>
              <w:autoSpaceDE/>
              <w:autoSpaceDN/>
              <w:bidi w:val="0"/>
              <w:snapToGrid w:val="0"/>
              <w:spacing w:line="240" w:lineRule="auto"/>
              <w:ind w:left="0" w:leftChars="0"/>
              <w:jc w:val="both"/>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rPr>
              <w:t>地址：</w:t>
            </w:r>
            <w:r>
              <w:rPr>
                <w:rFonts w:hint="eastAsia" w:ascii="宋体" w:hAnsi="宋体" w:eastAsia="宋体" w:cs="Times New Roman"/>
                <w:color w:val="auto"/>
                <w:szCs w:val="21"/>
                <w:highlight w:val="none"/>
                <w:lang w:eastAsia="zh-CN"/>
              </w:rPr>
              <w:t>西安经济技术开发区文景广场C座18层</w:t>
            </w:r>
          </w:p>
          <w:p w14:paraId="1C406A90">
            <w:pPr>
              <w:keepNext w:val="0"/>
              <w:keepLines w:val="0"/>
              <w:pageBreakBefore w:val="0"/>
              <w:kinsoku/>
              <w:wordWrap/>
              <w:overflowPunct/>
              <w:topLinePunct w:val="0"/>
              <w:autoSpaceDE/>
              <w:autoSpaceDN/>
              <w:bidi w:val="0"/>
              <w:snapToGrid w:val="0"/>
              <w:spacing w:line="240" w:lineRule="auto"/>
              <w:ind w:left="0" w:leftChars="0"/>
              <w:jc w:val="both"/>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项目联系人：</w:t>
            </w:r>
            <w:r>
              <w:rPr>
                <w:rFonts w:hint="eastAsia" w:hAnsi="宋体" w:cs="Times New Roman"/>
                <w:color w:val="auto"/>
                <w:szCs w:val="21"/>
                <w:highlight w:val="none"/>
                <w:lang w:val="en-US" w:eastAsia="zh-CN"/>
              </w:rPr>
              <w:t>李工</w:t>
            </w:r>
          </w:p>
          <w:p w14:paraId="26F444E6">
            <w:pPr>
              <w:keepNext w:val="0"/>
              <w:keepLines w:val="0"/>
              <w:pageBreakBefore w:val="0"/>
              <w:kinsoku/>
              <w:wordWrap/>
              <w:overflowPunct/>
              <w:topLinePunct w:val="0"/>
              <w:autoSpaceDE/>
              <w:autoSpaceDN/>
              <w:bidi w:val="0"/>
              <w:snapToGrid w:val="0"/>
              <w:spacing w:line="240" w:lineRule="auto"/>
              <w:ind w:left="0" w:leftChars="0"/>
              <w:jc w:val="both"/>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联系方式：</w:t>
            </w:r>
            <w:r>
              <w:rPr>
                <w:rFonts w:hint="eastAsia" w:hAnsi="宋体" w:cs="Times New Roman"/>
                <w:color w:val="auto"/>
                <w:szCs w:val="21"/>
                <w:highlight w:val="none"/>
                <w:lang w:val="en-US" w:eastAsia="zh-CN"/>
              </w:rPr>
              <w:t>19829795986</w:t>
            </w:r>
          </w:p>
        </w:tc>
      </w:tr>
      <w:tr w14:paraId="15F1A0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147" w:hRule="atLeast"/>
          <w:jc w:val="center"/>
        </w:trPr>
        <w:tc>
          <w:tcPr>
            <w:tcW w:w="549" w:type="pct"/>
            <w:vAlign w:val="center"/>
          </w:tcPr>
          <w:p w14:paraId="56A1F517">
            <w:pPr>
              <w:keepNext w:val="0"/>
              <w:keepLines w:val="0"/>
              <w:pageBreakBefore w:val="0"/>
              <w:kinsoku/>
              <w:wordWrap/>
              <w:overflowPunct/>
              <w:topLinePunct w:val="0"/>
              <w:autoSpaceDE/>
              <w:autoSpaceDN/>
              <w:bidi w:val="0"/>
              <w:snapToGrid w:val="0"/>
              <w:spacing w:line="240" w:lineRule="auto"/>
              <w:ind w:left="0" w:leftChars="0"/>
              <w:jc w:val="center"/>
              <w:rPr>
                <w:rFonts w:hint="default" w:eastAsia="宋体"/>
                <w:color w:val="auto"/>
                <w:szCs w:val="24"/>
                <w:highlight w:val="none"/>
                <w:lang w:val="en-US" w:eastAsia="zh-CN"/>
              </w:rPr>
            </w:pPr>
            <w:r>
              <w:rPr>
                <w:rFonts w:hint="eastAsia"/>
                <w:color w:val="auto"/>
                <w:szCs w:val="24"/>
                <w:highlight w:val="none"/>
                <w:lang w:val="en-US" w:eastAsia="zh-CN"/>
              </w:rPr>
              <w:t>2.8</w:t>
            </w:r>
          </w:p>
        </w:tc>
        <w:tc>
          <w:tcPr>
            <w:tcW w:w="991" w:type="pct"/>
            <w:vAlign w:val="center"/>
          </w:tcPr>
          <w:p w14:paraId="51F20367">
            <w:pPr>
              <w:keepNext w:val="0"/>
              <w:keepLines w:val="0"/>
              <w:pageBreakBefore w:val="0"/>
              <w:kinsoku/>
              <w:wordWrap/>
              <w:overflowPunct/>
              <w:topLinePunct w:val="0"/>
              <w:autoSpaceDE/>
              <w:autoSpaceDN/>
              <w:bidi w:val="0"/>
              <w:snapToGrid w:val="0"/>
              <w:spacing w:line="240" w:lineRule="auto"/>
              <w:ind w:left="0" w:leftChars="0"/>
              <w:jc w:val="center"/>
              <w:rPr>
                <w:rFonts w:hint="eastAsia" w:hAnsi="宋体"/>
                <w:color w:val="auto"/>
                <w:szCs w:val="21"/>
                <w:highlight w:val="none"/>
              </w:rPr>
            </w:pPr>
            <w:r>
              <w:rPr>
                <w:rFonts w:hint="eastAsia" w:hAnsi="宋体"/>
                <w:color w:val="auto"/>
                <w:szCs w:val="21"/>
                <w:highlight w:val="none"/>
              </w:rPr>
              <w:t>进口产品</w:t>
            </w:r>
          </w:p>
        </w:tc>
        <w:tc>
          <w:tcPr>
            <w:tcW w:w="3459" w:type="pct"/>
            <w:vAlign w:val="center"/>
          </w:tcPr>
          <w:p w14:paraId="422D5732">
            <w:pPr>
              <w:keepNext w:val="0"/>
              <w:keepLines w:val="0"/>
              <w:pageBreakBefore w:val="0"/>
              <w:kinsoku/>
              <w:wordWrap/>
              <w:overflowPunct/>
              <w:topLinePunct w:val="0"/>
              <w:autoSpaceDE/>
              <w:autoSpaceDN/>
              <w:bidi w:val="0"/>
              <w:snapToGrid w:val="0"/>
              <w:spacing w:line="240" w:lineRule="auto"/>
              <w:ind w:left="0" w:leftChars="0"/>
              <w:jc w:val="both"/>
              <w:rPr>
                <w:rFonts w:hint="eastAsia" w:ascii="宋体" w:hAnsi="宋体" w:eastAsia="宋体" w:cs="Times New Roman"/>
                <w:color w:val="auto"/>
                <w:szCs w:val="21"/>
                <w:highlight w:val="none"/>
              </w:rPr>
            </w:pPr>
            <w:r>
              <w:rPr>
                <w:rFonts w:hint="eastAsia" w:hAnsi="宋体" w:cs="宋体"/>
                <w:color w:val="auto"/>
                <w:szCs w:val="24"/>
                <w:highlight w:val="none"/>
              </w:rPr>
              <w:sym w:font="Wingdings" w:char="00A8"/>
            </w:r>
            <w:r>
              <w:rPr>
                <w:rFonts w:hint="eastAsia" w:hAnsi="宋体" w:cs="宋体"/>
                <w:color w:val="auto"/>
                <w:szCs w:val="24"/>
                <w:highlight w:val="none"/>
              </w:rPr>
              <w:t>允许</w:t>
            </w:r>
          </w:p>
          <w:p w14:paraId="7EFF01C3">
            <w:pPr>
              <w:keepNext w:val="0"/>
              <w:keepLines w:val="0"/>
              <w:pageBreakBefore w:val="0"/>
              <w:kinsoku/>
              <w:wordWrap/>
              <w:overflowPunct/>
              <w:topLinePunct w:val="0"/>
              <w:autoSpaceDE/>
              <w:autoSpaceDN/>
              <w:bidi w:val="0"/>
              <w:snapToGrid w:val="0"/>
              <w:spacing w:line="240" w:lineRule="auto"/>
              <w:ind w:left="0" w:leftChars="0"/>
              <w:jc w:val="both"/>
              <w:rPr>
                <w:rFonts w:hint="eastAsia" w:ascii="宋体" w:hAnsi="宋体" w:eastAsia="宋体" w:cs="Times New Roman"/>
                <w:color w:val="auto"/>
                <w:szCs w:val="21"/>
                <w:highlight w:val="none"/>
              </w:rPr>
            </w:pPr>
            <w:r>
              <w:rPr>
                <w:rFonts w:hint="eastAsia" w:hAnsi="宋体"/>
                <w:color w:val="auto"/>
                <w:highlight w:val="none"/>
                <w:lang w:eastAsia="zh-CN"/>
              </w:rPr>
              <w:t>☑</w:t>
            </w:r>
            <w:r>
              <w:rPr>
                <w:rFonts w:ascii="Times New Roman"/>
                <w:b/>
                <w:color w:val="auto"/>
                <w:highlight w:val="none"/>
              </w:rPr>
              <w:t xml:space="preserve"> </w:t>
            </w:r>
            <w:r>
              <w:rPr>
                <w:rFonts w:hint="eastAsia" w:ascii="宋体" w:hAnsi="宋体" w:eastAsia="宋体" w:cs="Times New Roman"/>
                <w:color w:val="auto"/>
                <w:szCs w:val="21"/>
                <w:highlight w:val="none"/>
              </w:rPr>
              <w:t>不允许:厨房设备、餐具、食品原料、消杀耗材全部采用进口产品视为无效投标。</w:t>
            </w:r>
          </w:p>
        </w:tc>
      </w:tr>
      <w:tr w14:paraId="4A3BD8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17" w:hRule="atLeast"/>
          <w:jc w:val="center"/>
        </w:trPr>
        <w:tc>
          <w:tcPr>
            <w:tcW w:w="549" w:type="pct"/>
            <w:vAlign w:val="center"/>
          </w:tcPr>
          <w:p w14:paraId="707D3824">
            <w:pPr>
              <w:keepNext w:val="0"/>
              <w:keepLines w:val="0"/>
              <w:pageBreakBefore w:val="0"/>
              <w:kinsoku/>
              <w:wordWrap/>
              <w:overflowPunct/>
              <w:topLinePunct w:val="0"/>
              <w:autoSpaceDE/>
              <w:autoSpaceDN/>
              <w:bidi w:val="0"/>
              <w:snapToGrid w:val="0"/>
              <w:spacing w:line="240" w:lineRule="auto"/>
              <w:ind w:left="0" w:leftChars="0"/>
              <w:jc w:val="center"/>
              <w:rPr>
                <w:color w:val="auto"/>
                <w:szCs w:val="24"/>
                <w:highlight w:val="none"/>
              </w:rPr>
            </w:pPr>
            <w:r>
              <w:rPr>
                <w:rFonts w:hint="eastAsia"/>
                <w:color w:val="auto"/>
                <w:szCs w:val="24"/>
                <w:highlight w:val="none"/>
              </w:rPr>
              <w:t>3.5</w:t>
            </w:r>
          </w:p>
        </w:tc>
        <w:tc>
          <w:tcPr>
            <w:tcW w:w="991" w:type="pct"/>
            <w:vAlign w:val="center"/>
          </w:tcPr>
          <w:p w14:paraId="0EDFBD95">
            <w:pPr>
              <w:keepNext w:val="0"/>
              <w:keepLines w:val="0"/>
              <w:pageBreakBefore w:val="0"/>
              <w:kinsoku/>
              <w:wordWrap/>
              <w:overflowPunct/>
              <w:topLinePunct w:val="0"/>
              <w:autoSpaceDE/>
              <w:autoSpaceDN/>
              <w:bidi w:val="0"/>
              <w:snapToGrid w:val="0"/>
              <w:spacing w:line="240" w:lineRule="auto"/>
              <w:ind w:left="0" w:leftChars="0"/>
              <w:jc w:val="center"/>
              <w:rPr>
                <w:rFonts w:hint="eastAsia" w:hAnsi="宋体"/>
                <w:color w:val="auto"/>
                <w:szCs w:val="24"/>
                <w:highlight w:val="none"/>
              </w:rPr>
            </w:pPr>
            <w:r>
              <w:rPr>
                <w:rFonts w:hint="eastAsia" w:hAnsi="宋体"/>
                <w:color w:val="auto"/>
                <w:szCs w:val="24"/>
                <w:highlight w:val="none"/>
              </w:rPr>
              <w:t>联合体磋商</w:t>
            </w:r>
          </w:p>
        </w:tc>
        <w:tc>
          <w:tcPr>
            <w:tcW w:w="3459" w:type="pct"/>
            <w:vAlign w:val="center"/>
          </w:tcPr>
          <w:p w14:paraId="3878C463">
            <w:pPr>
              <w:pStyle w:val="24"/>
              <w:keepNext w:val="0"/>
              <w:keepLines w:val="0"/>
              <w:pageBreakBefore w:val="0"/>
              <w:kinsoku/>
              <w:wordWrap/>
              <w:overflowPunct/>
              <w:topLinePunct w:val="0"/>
              <w:autoSpaceDE/>
              <w:autoSpaceDN/>
              <w:bidi w:val="0"/>
              <w:snapToGrid w:val="0"/>
              <w:spacing w:line="240" w:lineRule="auto"/>
              <w:ind w:left="0" w:leftChars="0"/>
              <w:jc w:val="both"/>
              <w:rPr>
                <w:rFonts w:hint="eastAsia" w:hAnsi="宋体"/>
                <w:color w:val="auto"/>
                <w:kern w:val="0"/>
                <w:sz w:val="24"/>
                <w:szCs w:val="22"/>
                <w:highlight w:val="none"/>
              </w:rPr>
            </w:pPr>
            <w:r>
              <w:rPr>
                <w:rFonts w:hint="eastAsia" w:hAnsi="宋体"/>
                <w:color w:val="auto"/>
                <w:kern w:val="0"/>
                <w:sz w:val="24"/>
                <w:szCs w:val="22"/>
                <w:highlight w:val="none"/>
              </w:rPr>
              <w:t>□ 接受</w:t>
            </w:r>
          </w:p>
          <w:p w14:paraId="0C12D9D8">
            <w:pPr>
              <w:keepNext w:val="0"/>
              <w:keepLines w:val="0"/>
              <w:pageBreakBefore w:val="0"/>
              <w:kinsoku/>
              <w:wordWrap/>
              <w:overflowPunct/>
              <w:topLinePunct w:val="0"/>
              <w:autoSpaceDE/>
              <w:autoSpaceDN/>
              <w:bidi w:val="0"/>
              <w:snapToGrid w:val="0"/>
              <w:spacing w:line="240" w:lineRule="auto"/>
              <w:ind w:left="0" w:leftChars="0"/>
              <w:jc w:val="both"/>
              <w:rPr>
                <w:color w:val="auto"/>
                <w:szCs w:val="24"/>
                <w:highlight w:val="none"/>
              </w:rPr>
            </w:pPr>
            <w:r>
              <w:rPr>
                <w:rFonts w:hint="eastAsia" w:hAnsi="宋体"/>
                <w:color w:val="auto"/>
                <w:highlight w:val="none"/>
              </w:rPr>
              <w:t>☑</w:t>
            </w:r>
            <w:r>
              <w:rPr>
                <w:rFonts w:ascii="Times New Roman"/>
                <w:b/>
                <w:color w:val="auto"/>
                <w:highlight w:val="none"/>
              </w:rPr>
              <w:t xml:space="preserve"> </w:t>
            </w:r>
            <w:r>
              <w:rPr>
                <w:rFonts w:hint="eastAsia" w:ascii="Times New Roman"/>
                <w:color w:val="auto"/>
                <w:highlight w:val="none"/>
              </w:rPr>
              <w:t>不接受</w:t>
            </w:r>
          </w:p>
        </w:tc>
      </w:tr>
      <w:tr w14:paraId="31473C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17" w:hRule="atLeast"/>
          <w:jc w:val="center"/>
        </w:trPr>
        <w:tc>
          <w:tcPr>
            <w:tcW w:w="549" w:type="pct"/>
            <w:vAlign w:val="center"/>
          </w:tcPr>
          <w:p w14:paraId="74F57C28">
            <w:pPr>
              <w:keepNext w:val="0"/>
              <w:keepLines w:val="0"/>
              <w:pageBreakBefore w:val="0"/>
              <w:kinsoku/>
              <w:wordWrap/>
              <w:overflowPunct/>
              <w:topLinePunct w:val="0"/>
              <w:autoSpaceDE/>
              <w:autoSpaceDN/>
              <w:bidi w:val="0"/>
              <w:snapToGrid w:val="0"/>
              <w:spacing w:line="240" w:lineRule="auto"/>
              <w:ind w:left="0" w:leftChars="0"/>
              <w:jc w:val="center"/>
              <w:rPr>
                <w:color w:val="auto"/>
                <w:szCs w:val="24"/>
                <w:highlight w:val="none"/>
              </w:rPr>
            </w:pPr>
            <w:r>
              <w:rPr>
                <w:rFonts w:hint="eastAsia"/>
                <w:color w:val="auto"/>
                <w:szCs w:val="24"/>
                <w:highlight w:val="none"/>
              </w:rPr>
              <w:t>10.2</w:t>
            </w:r>
          </w:p>
        </w:tc>
        <w:tc>
          <w:tcPr>
            <w:tcW w:w="991" w:type="pct"/>
            <w:vAlign w:val="center"/>
          </w:tcPr>
          <w:p w14:paraId="08A8F3A9">
            <w:pPr>
              <w:keepNext w:val="0"/>
              <w:keepLines w:val="0"/>
              <w:pageBreakBefore w:val="0"/>
              <w:kinsoku/>
              <w:wordWrap/>
              <w:overflowPunct/>
              <w:topLinePunct w:val="0"/>
              <w:autoSpaceDE/>
              <w:autoSpaceDN/>
              <w:bidi w:val="0"/>
              <w:snapToGrid w:val="0"/>
              <w:spacing w:line="240" w:lineRule="auto"/>
              <w:ind w:left="0" w:leftChars="0"/>
              <w:jc w:val="center"/>
              <w:rPr>
                <w:rFonts w:hint="eastAsia" w:hAnsi="宋体"/>
                <w:color w:val="auto"/>
                <w:szCs w:val="24"/>
                <w:highlight w:val="none"/>
              </w:rPr>
            </w:pPr>
            <w:r>
              <w:rPr>
                <w:rFonts w:hint="eastAsia"/>
                <w:color w:val="auto"/>
                <w:szCs w:val="24"/>
                <w:highlight w:val="none"/>
              </w:rPr>
              <w:t>是否允许递交备选磋商方案</w:t>
            </w:r>
          </w:p>
        </w:tc>
        <w:tc>
          <w:tcPr>
            <w:tcW w:w="3459" w:type="pct"/>
            <w:vAlign w:val="center"/>
          </w:tcPr>
          <w:p w14:paraId="549847E0">
            <w:pPr>
              <w:keepNext w:val="0"/>
              <w:keepLines w:val="0"/>
              <w:pageBreakBefore w:val="0"/>
              <w:kinsoku/>
              <w:wordWrap/>
              <w:overflowPunct/>
              <w:topLinePunct w:val="0"/>
              <w:autoSpaceDE/>
              <w:autoSpaceDN/>
              <w:bidi w:val="0"/>
              <w:snapToGrid w:val="0"/>
              <w:spacing w:line="240" w:lineRule="auto"/>
              <w:ind w:left="0" w:leftChars="0"/>
              <w:jc w:val="both"/>
              <w:rPr>
                <w:rFonts w:hint="eastAsia" w:hAnsi="宋体" w:cs="宋体"/>
                <w:color w:val="auto"/>
                <w:szCs w:val="24"/>
                <w:highlight w:val="none"/>
              </w:rPr>
            </w:pPr>
            <w:r>
              <w:rPr>
                <w:rFonts w:hint="eastAsia" w:hAnsi="宋体" w:cs="宋体"/>
                <w:color w:val="auto"/>
                <w:szCs w:val="24"/>
                <w:highlight w:val="none"/>
              </w:rPr>
              <w:sym w:font="Wingdings" w:char="00A8"/>
            </w:r>
            <w:r>
              <w:rPr>
                <w:rFonts w:hint="eastAsia" w:hAnsi="宋体" w:cs="宋体"/>
                <w:color w:val="auto"/>
                <w:szCs w:val="24"/>
                <w:highlight w:val="none"/>
              </w:rPr>
              <w:t>允许</w:t>
            </w:r>
          </w:p>
          <w:p w14:paraId="710A4007">
            <w:pPr>
              <w:keepNext w:val="0"/>
              <w:keepLines w:val="0"/>
              <w:pageBreakBefore w:val="0"/>
              <w:kinsoku/>
              <w:wordWrap/>
              <w:overflowPunct/>
              <w:topLinePunct w:val="0"/>
              <w:autoSpaceDE/>
              <w:autoSpaceDN/>
              <w:bidi w:val="0"/>
              <w:snapToGrid w:val="0"/>
              <w:spacing w:line="240" w:lineRule="auto"/>
              <w:ind w:left="0" w:leftChars="0"/>
              <w:jc w:val="both"/>
              <w:rPr>
                <w:color w:val="auto"/>
                <w:szCs w:val="24"/>
                <w:highlight w:val="none"/>
              </w:rPr>
            </w:pPr>
            <w:r>
              <w:rPr>
                <w:rFonts w:hint="eastAsia" w:hAnsi="宋体" w:cs="宋体"/>
                <w:color w:val="auto"/>
                <w:szCs w:val="24"/>
                <w:highlight w:val="none"/>
              </w:rPr>
              <w:sym w:font="Wingdings" w:char="00FE"/>
            </w:r>
            <w:r>
              <w:rPr>
                <w:rFonts w:hint="eastAsia" w:hAnsi="宋体" w:cs="宋体"/>
                <w:color w:val="auto"/>
                <w:szCs w:val="24"/>
                <w:highlight w:val="none"/>
              </w:rPr>
              <w:t>不允许</w:t>
            </w:r>
          </w:p>
        </w:tc>
      </w:tr>
      <w:tr w14:paraId="02B40F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701" w:hRule="atLeast"/>
          <w:jc w:val="center"/>
        </w:trPr>
        <w:tc>
          <w:tcPr>
            <w:tcW w:w="549" w:type="pct"/>
            <w:vAlign w:val="center"/>
          </w:tcPr>
          <w:p w14:paraId="14F0E8D0">
            <w:pPr>
              <w:keepNext w:val="0"/>
              <w:keepLines w:val="0"/>
              <w:pageBreakBefore w:val="0"/>
              <w:kinsoku/>
              <w:wordWrap/>
              <w:overflowPunct/>
              <w:topLinePunct w:val="0"/>
              <w:autoSpaceDE/>
              <w:autoSpaceDN/>
              <w:bidi w:val="0"/>
              <w:snapToGrid w:val="0"/>
              <w:spacing w:line="240" w:lineRule="auto"/>
              <w:ind w:left="0" w:leftChars="0"/>
              <w:jc w:val="center"/>
              <w:rPr>
                <w:color w:val="auto"/>
                <w:szCs w:val="24"/>
                <w:highlight w:val="none"/>
              </w:rPr>
            </w:pPr>
            <w:r>
              <w:rPr>
                <w:rFonts w:hint="eastAsia" w:hAnsi="宋体" w:cs="宋体"/>
                <w:color w:val="auto"/>
                <w:szCs w:val="24"/>
                <w:highlight w:val="none"/>
              </w:rPr>
              <w:t>10.3</w:t>
            </w:r>
          </w:p>
        </w:tc>
        <w:tc>
          <w:tcPr>
            <w:tcW w:w="991" w:type="pct"/>
            <w:vAlign w:val="center"/>
          </w:tcPr>
          <w:p w14:paraId="79202D1B">
            <w:pPr>
              <w:keepNext w:val="0"/>
              <w:keepLines w:val="0"/>
              <w:pageBreakBefore w:val="0"/>
              <w:kinsoku/>
              <w:wordWrap/>
              <w:overflowPunct/>
              <w:topLinePunct w:val="0"/>
              <w:autoSpaceDE/>
              <w:autoSpaceDN/>
              <w:bidi w:val="0"/>
              <w:snapToGrid w:val="0"/>
              <w:spacing w:line="240" w:lineRule="auto"/>
              <w:ind w:left="0" w:leftChars="0"/>
              <w:jc w:val="center"/>
              <w:rPr>
                <w:rFonts w:hint="eastAsia" w:hAnsi="宋体"/>
                <w:color w:val="auto"/>
                <w:szCs w:val="24"/>
                <w:highlight w:val="none"/>
              </w:rPr>
            </w:pPr>
            <w:r>
              <w:rPr>
                <w:rFonts w:hint="eastAsia" w:hAnsi="宋体"/>
                <w:color w:val="auto"/>
                <w:szCs w:val="21"/>
                <w:highlight w:val="none"/>
              </w:rPr>
              <w:t>本次磋商的最小单元</w:t>
            </w:r>
          </w:p>
        </w:tc>
        <w:tc>
          <w:tcPr>
            <w:tcW w:w="3459" w:type="pct"/>
            <w:vAlign w:val="center"/>
          </w:tcPr>
          <w:p w14:paraId="626F51D4">
            <w:pPr>
              <w:keepNext w:val="0"/>
              <w:keepLines w:val="0"/>
              <w:pageBreakBefore w:val="0"/>
              <w:kinsoku/>
              <w:wordWrap/>
              <w:overflowPunct/>
              <w:topLinePunct w:val="0"/>
              <w:autoSpaceDE/>
              <w:autoSpaceDN/>
              <w:bidi w:val="0"/>
              <w:snapToGrid w:val="0"/>
              <w:spacing w:line="240" w:lineRule="auto"/>
              <w:ind w:left="0" w:leftChars="0"/>
              <w:jc w:val="both"/>
              <w:rPr>
                <w:rFonts w:hint="eastAsia" w:hAnsi="宋体"/>
                <w:color w:val="auto"/>
                <w:szCs w:val="24"/>
                <w:highlight w:val="none"/>
              </w:rPr>
            </w:pPr>
            <w:r>
              <w:rPr>
                <w:rFonts w:hint="eastAsia" w:hAnsi="宋体"/>
                <w:color w:val="auto"/>
                <w:szCs w:val="24"/>
                <w:highlight w:val="none"/>
              </w:rPr>
              <w:sym w:font="Wingdings" w:char="00FE"/>
            </w:r>
            <w:r>
              <w:rPr>
                <w:rFonts w:hint="eastAsia" w:hAnsi="宋体"/>
                <w:color w:val="auto"/>
                <w:szCs w:val="24"/>
                <w:highlight w:val="none"/>
              </w:rPr>
              <w:t>本次磋商的最小单元为“项目全部内容”。任何不完全的磋商将按照无效磋商处理。</w:t>
            </w:r>
          </w:p>
          <w:p w14:paraId="63A316F1">
            <w:pPr>
              <w:keepNext w:val="0"/>
              <w:keepLines w:val="0"/>
              <w:pageBreakBefore w:val="0"/>
              <w:kinsoku/>
              <w:wordWrap/>
              <w:overflowPunct/>
              <w:topLinePunct w:val="0"/>
              <w:autoSpaceDE/>
              <w:autoSpaceDN/>
              <w:bidi w:val="0"/>
              <w:snapToGrid w:val="0"/>
              <w:spacing w:line="240" w:lineRule="auto"/>
              <w:ind w:left="0" w:leftChars="0"/>
              <w:jc w:val="both"/>
              <w:rPr>
                <w:color w:val="auto"/>
                <w:szCs w:val="24"/>
                <w:highlight w:val="none"/>
              </w:rPr>
            </w:pPr>
            <w:r>
              <w:rPr>
                <w:rFonts w:hint="eastAsia" w:hAnsi="宋体"/>
                <w:color w:val="auto"/>
                <w:szCs w:val="24"/>
                <w:highlight w:val="none"/>
              </w:rPr>
              <w:sym w:font="Wingdings" w:char="00A8"/>
            </w:r>
            <w:r>
              <w:rPr>
                <w:rFonts w:hint="eastAsia" w:hAnsi="宋体"/>
                <w:color w:val="auto"/>
                <w:szCs w:val="24"/>
                <w:highlight w:val="none"/>
              </w:rPr>
              <w:t>本次磋商的最小单元为“包”，供应商可对任一包进行磋商，但不能对各包中的内容或者分项内容进行不完全磋商。任何不完全的磋商将按照无效磋商处理。</w:t>
            </w:r>
          </w:p>
        </w:tc>
      </w:tr>
      <w:tr w14:paraId="606DE9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984" w:hRule="atLeast"/>
          <w:jc w:val="center"/>
        </w:trPr>
        <w:tc>
          <w:tcPr>
            <w:tcW w:w="549" w:type="pct"/>
            <w:vAlign w:val="center"/>
          </w:tcPr>
          <w:p w14:paraId="50B3C2A4">
            <w:pPr>
              <w:keepNext w:val="0"/>
              <w:keepLines w:val="0"/>
              <w:pageBreakBefore w:val="0"/>
              <w:kinsoku/>
              <w:wordWrap/>
              <w:overflowPunct/>
              <w:topLinePunct w:val="0"/>
              <w:autoSpaceDE/>
              <w:autoSpaceDN/>
              <w:bidi w:val="0"/>
              <w:snapToGrid w:val="0"/>
              <w:spacing w:line="240" w:lineRule="auto"/>
              <w:ind w:left="0" w:leftChars="0"/>
              <w:jc w:val="center"/>
              <w:rPr>
                <w:color w:val="auto"/>
                <w:szCs w:val="24"/>
                <w:highlight w:val="none"/>
              </w:rPr>
            </w:pPr>
            <w:r>
              <w:rPr>
                <w:rFonts w:hint="eastAsia"/>
                <w:color w:val="auto"/>
                <w:szCs w:val="24"/>
                <w:highlight w:val="none"/>
              </w:rPr>
              <w:t>12.1</w:t>
            </w:r>
          </w:p>
        </w:tc>
        <w:tc>
          <w:tcPr>
            <w:tcW w:w="991" w:type="pct"/>
            <w:vAlign w:val="center"/>
          </w:tcPr>
          <w:p w14:paraId="1B3EECE4">
            <w:pPr>
              <w:keepNext w:val="0"/>
              <w:keepLines w:val="0"/>
              <w:pageBreakBefore w:val="0"/>
              <w:kinsoku/>
              <w:wordWrap/>
              <w:overflowPunct/>
              <w:topLinePunct w:val="0"/>
              <w:autoSpaceDE/>
              <w:autoSpaceDN/>
              <w:bidi w:val="0"/>
              <w:snapToGrid w:val="0"/>
              <w:spacing w:line="240" w:lineRule="auto"/>
              <w:ind w:left="0" w:leftChars="0"/>
              <w:jc w:val="center"/>
              <w:rPr>
                <w:rFonts w:hint="eastAsia" w:hAnsi="宋体" w:cs="宋体"/>
                <w:color w:val="auto"/>
                <w:szCs w:val="24"/>
                <w:highlight w:val="none"/>
              </w:rPr>
            </w:pPr>
            <w:r>
              <w:rPr>
                <w:rFonts w:hint="eastAsia" w:hAnsi="宋体" w:cs="宋体"/>
                <w:color w:val="auto"/>
                <w:szCs w:val="24"/>
                <w:highlight w:val="none"/>
              </w:rPr>
              <w:t>磋商报价</w:t>
            </w:r>
          </w:p>
        </w:tc>
        <w:tc>
          <w:tcPr>
            <w:tcW w:w="3459" w:type="pct"/>
            <w:vAlign w:val="center"/>
          </w:tcPr>
          <w:p w14:paraId="3098AF96">
            <w:pPr>
              <w:keepNext w:val="0"/>
              <w:keepLines w:val="0"/>
              <w:pageBreakBefore w:val="0"/>
              <w:kinsoku/>
              <w:wordWrap/>
              <w:overflowPunct/>
              <w:topLinePunct w:val="0"/>
              <w:autoSpaceDE/>
              <w:autoSpaceDN/>
              <w:bidi w:val="0"/>
              <w:snapToGrid w:val="0"/>
              <w:spacing w:line="240" w:lineRule="auto"/>
              <w:ind w:left="0" w:leftChars="0"/>
              <w:jc w:val="both"/>
              <w:rPr>
                <w:rFonts w:hint="eastAsia"/>
                <w:highlight w:val="none"/>
              </w:rPr>
            </w:pPr>
            <w:r>
              <w:rPr>
                <w:rFonts w:hint="eastAsia" w:hAnsi="宋体" w:cs="宋体"/>
                <w:color w:val="auto"/>
                <w:szCs w:val="24"/>
                <w:highlight w:val="none"/>
              </w:rPr>
              <w:t>磋商报价：</w:t>
            </w:r>
            <w:r>
              <w:rPr>
                <w:rFonts w:hint="eastAsia" w:ascii="宋体" w:hAnsi="宋体" w:eastAsia="宋体"/>
                <w:sz w:val="24"/>
                <w:szCs w:val="24"/>
                <w:highlight w:val="none"/>
                <w:lang w:val="en-US" w:eastAsia="zh-CN"/>
              </w:rPr>
              <w:t>自主填报，但不得超出本项目的磋商最高限价及采购预算。如超出（或高于），将按照无效磋商处理，不得进入后续评审环节。本项目签订固定总价，磋商报价应是完成采购内容所需服务的全部费用，包括但不限于：项目所需的人工费、间接费用、运输费</w:t>
            </w:r>
            <w:r>
              <w:rPr>
                <w:rFonts w:hint="eastAsia" w:hAnsi="宋体"/>
                <w:sz w:val="24"/>
                <w:szCs w:val="24"/>
                <w:highlight w:val="none"/>
                <w:lang w:val="en-US" w:eastAsia="zh-CN"/>
              </w:rPr>
              <w:t>（含保险）</w:t>
            </w:r>
            <w:r>
              <w:rPr>
                <w:rFonts w:hint="eastAsia" w:ascii="宋体" w:hAnsi="宋体" w:eastAsia="宋体"/>
                <w:sz w:val="24"/>
                <w:szCs w:val="24"/>
                <w:highlight w:val="none"/>
                <w:lang w:val="en-US" w:eastAsia="zh-CN"/>
              </w:rPr>
              <w:t>、搬运费、员工工资、耗材、利润及增值税、后续服务费用等相关一切费用。</w:t>
            </w:r>
          </w:p>
        </w:tc>
      </w:tr>
      <w:tr w14:paraId="4E935D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79" w:hRule="atLeast"/>
          <w:jc w:val="center"/>
        </w:trPr>
        <w:tc>
          <w:tcPr>
            <w:tcW w:w="549" w:type="pct"/>
            <w:vAlign w:val="center"/>
          </w:tcPr>
          <w:p w14:paraId="739833EC">
            <w:pPr>
              <w:keepNext w:val="0"/>
              <w:keepLines w:val="0"/>
              <w:pageBreakBefore w:val="0"/>
              <w:kinsoku/>
              <w:wordWrap/>
              <w:overflowPunct/>
              <w:topLinePunct w:val="0"/>
              <w:autoSpaceDE/>
              <w:autoSpaceDN/>
              <w:bidi w:val="0"/>
              <w:snapToGrid w:val="0"/>
              <w:spacing w:line="240" w:lineRule="auto"/>
              <w:ind w:left="0" w:leftChars="0"/>
              <w:jc w:val="center"/>
              <w:rPr>
                <w:color w:val="auto"/>
                <w:szCs w:val="24"/>
                <w:highlight w:val="none"/>
              </w:rPr>
            </w:pPr>
            <w:r>
              <w:rPr>
                <w:rFonts w:hint="eastAsia"/>
                <w:color w:val="auto"/>
                <w:szCs w:val="24"/>
                <w:highlight w:val="none"/>
              </w:rPr>
              <w:t>13.1</w:t>
            </w:r>
          </w:p>
        </w:tc>
        <w:tc>
          <w:tcPr>
            <w:tcW w:w="991" w:type="pct"/>
            <w:vAlign w:val="center"/>
          </w:tcPr>
          <w:p w14:paraId="310CE23E">
            <w:pPr>
              <w:keepNext w:val="0"/>
              <w:keepLines w:val="0"/>
              <w:pageBreakBefore w:val="0"/>
              <w:kinsoku/>
              <w:wordWrap/>
              <w:overflowPunct/>
              <w:topLinePunct w:val="0"/>
              <w:autoSpaceDE/>
              <w:autoSpaceDN/>
              <w:bidi w:val="0"/>
              <w:snapToGrid w:val="0"/>
              <w:spacing w:line="240" w:lineRule="auto"/>
              <w:ind w:left="0" w:leftChars="0"/>
              <w:jc w:val="center"/>
              <w:rPr>
                <w:color w:val="auto"/>
                <w:szCs w:val="24"/>
                <w:highlight w:val="none"/>
              </w:rPr>
            </w:pPr>
            <w:r>
              <w:rPr>
                <w:rFonts w:hint="eastAsia"/>
                <w:color w:val="auto"/>
                <w:szCs w:val="24"/>
                <w:highlight w:val="none"/>
              </w:rPr>
              <w:t>资格证明文件</w:t>
            </w:r>
          </w:p>
        </w:tc>
        <w:tc>
          <w:tcPr>
            <w:tcW w:w="3459" w:type="pct"/>
            <w:vAlign w:val="center"/>
          </w:tcPr>
          <w:p w14:paraId="5B25791E">
            <w:pPr>
              <w:keepNext w:val="0"/>
              <w:keepLines w:val="0"/>
              <w:pageBreakBefore w:val="0"/>
              <w:kinsoku/>
              <w:wordWrap/>
              <w:overflowPunct/>
              <w:topLinePunct w:val="0"/>
              <w:autoSpaceDE/>
              <w:autoSpaceDN/>
              <w:bidi w:val="0"/>
              <w:adjustRightInd/>
              <w:snapToGrid w:val="0"/>
              <w:spacing w:line="240" w:lineRule="auto"/>
              <w:ind w:left="0" w:leftChars="0"/>
              <w:jc w:val="both"/>
              <w:rPr>
                <w:b/>
                <w:bCs/>
                <w:color w:val="auto"/>
                <w:highlight w:val="none"/>
              </w:rPr>
            </w:pPr>
            <w:r>
              <w:rPr>
                <w:rFonts w:hint="eastAsia"/>
                <w:b/>
                <w:bCs/>
                <w:color w:val="auto"/>
                <w:highlight w:val="none"/>
              </w:rPr>
              <w:t>1.基本资格条件：符合《中华人民共和国政府采购法》第二十二条的规定，并提供以下资料：</w:t>
            </w:r>
          </w:p>
          <w:p w14:paraId="592E3E3B">
            <w:pPr>
              <w:keepNext w:val="0"/>
              <w:keepLines w:val="0"/>
              <w:pageBreakBefore w:val="0"/>
              <w:kinsoku/>
              <w:wordWrap/>
              <w:overflowPunct/>
              <w:topLinePunct w:val="0"/>
              <w:autoSpaceDE/>
              <w:autoSpaceDN/>
              <w:bidi w:val="0"/>
              <w:adjustRightInd/>
              <w:snapToGrid w:val="0"/>
              <w:spacing w:line="240" w:lineRule="auto"/>
              <w:ind w:left="0" w:leftChars="0" w:firstLine="480" w:firstLineChars="200"/>
              <w:jc w:val="both"/>
              <w:rPr>
                <w:rFonts w:hint="eastAsia" w:cs="宋体" w:asciiTheme="minorEastAsia" w:hAnsiTheme="minorEastAsia" w:eastAsiaTheme="minorEastAsia"/>
                <w:color w:val="auto"/>
                <w:sz w:val="24"/>
                <w:highlight w:val="none"/>
                <w:lang w:val="en-US" w:eastAsia="zh-CN"/>
              </w:rPr>
            </w:pPr>
            <w:r>
              <w:rPr>
                <w:rFonts w:hint="eastAsia" w:cs="宋体" w:asciiTheme="minorEastAsia" w:hAnsiTheme="minorEastAsia" w:eastAsiaTheme="minorEastAsia"/>
                <w:color w:val="auto"/>
                <w:sz w:val="24"/>
                <w:highlight w:val="none"/>
              </w:rPr>
              <w:t>（1）具有独立承担民事责任的法人、其他组织或自然人，并出具合法有效的营业执照或事业单位法人证书等国家规定的相关证明，自然人参与的提供其身份证明</w:t>
            </w:r>
            <w:r>
              <w:rPr>
                <w:rFonts w:hint="eastAsia" w:cs="宋体" w:asciiTheme="minorEastAsia" w:hAnsiTheme="minorEastAsia" w:eastAsiaTheme="minorEastAsia"/>
                <w:color w:val="auto"/>
                <w:sz w:val="24"/>
                <w:highlight w:val="none"/>
                <w:lang w:val="en-US" w:eastAsia="zh-CN"/>
              </w:rPr>
              <w:t>；</w:t>
            </w:r>
          </w:p>
          <w:p w14:paraId="6750C900">
            <w:pPr>
              <w:keepNext w:val="0"/>
              <w:keepLines w:val="0"/>
              <w:pageBreakBefore w:val="0"/>
              <w:kinsoku/>
              <w:wordWrap/>
              <w:overflowPunct/>
              <w:topLinePunct w:val="0"/>
              <w:autoSpaceDE/>
              <w:autoSpaceDN/>
              <w:bidi w:val="0"/>
              <w:adjustRightInd/>
              <w:snapToGrid w:val="0"/>
              <w:spacing w:line="240" w:lineRule="auto"/>
              <w:ind w:left="0" w:leftChars="0" w:firstLine="480" w:firstLineChars="200"/>
              <w:jc w:val="both"/>
              <w:rPr>
                <w:rFonts w:hint="default" w:cs="宋体" w:asciiTheme="minorEastAsia" w:hAnsiTheme="minorEastAsia" w:eastAsiaTheme="minorEastAsia"/>
                <w:color w:val="auto"/>
                <w:sz w:val="24"/>
                <w:highlight w:val="none"/>
                <w:lang w:val="en-US"/>
              </w:rPr>
            </w:pPr>
            <w:r>
              <w:rPr>
                <w:rFonts w:hint="eastAsia" w:cs="宋体" w:asciiTheme="minorEastAsia" w:hAnsiTheme="minorEastAsia" w:eastAsiaTheme="minorEastAsia"/>
                <w:color w:val="auto"/>
                <w:sz w:val="24"/>
                <w:highlight w:val="none"/>
              </w:rPr>
              <w:t>（2）</w:t>
            </w:r>
            <w:r>
              <w:rPr>
                <w:rFonts w:hint="eastAsia" w:hAnsi="宋体"/>
                <w:color w:val="auto"/>
                <w:szCs w:val="24"/>
                <w:highlight w:val="none"/>
                <w:lang w:eastAsia="zh-CN"/>
              </w:rPr>
              <w:t>法定代表人授权书（附法定代表人、被授权人身份证复印件），法定代表人直接参加磋商，须提供法定代表人身份证明及身份证复印件</w:t>
            </w:r>
            <w:r>
              <w:rPr>
                <w:rFonts w:hint="eastAsia" w:hAnsi="宋体"/>
                <w:color w:val="auto"/>
                <w:szCs w:val="24"/>
                <w:highlight w:val="none"/>
                <w:lang w:val="en-US" w:eastAsia="zh-CN"/>
              </w:rPr>
              <w:t>；</w:t>
            </w:r>
          </w:p>
          <w:p w14:paraId="2112721A">
            <w:pPr>
              <w:keepNext w:val="0"/>
              <w:keepLines w:val="0"/>
              <w:pageBreakBefore w:val="0"/>
              <w:kinsoku/>
              <w:wordWrap/>
              <w:overflowPunct/>
              <w:topLinePunct w:val="0"/>
              <w:autoSpaceDE/>
              <w:autoSpaceDN/>
              <w:bidi w:val="0"/>
              <w:adjustRightInd/>
              <w:snapToGrid w:val="0"/>
              <w:spacing w:line="240" w:lineRule="auto"/>
              <w:ind w:left="0" w:leftChars="0" w:firstLine="480" w:firstLineChars="200"/>
              <w:jc w:val="both"/>
              <w:rPr>
                <w:rFonts w:hint="eastAsia" w:cs="宋体" w:asciiTheme="minorEastAsia" w:hAnsiTheme="minorEastAsia" w:eastAsiaTheme="minorEastAsia"/>
                <w:color w:val="auto"/>
                <w:sz w:val="24"/>
                <w:highlight w:val="none"/>
                <w:lang w:eastAsia="zh-CN"/>
              </w:rPr>
            </w:pPr>
            <w:r>
              <w:rPr>
                <w:rFonts w:hint="eastAsia" w:cs="宋体" w:asciiTheme="minorEastAsia" w:hAnsiTheme="minorEastAsia" w:eastAsiaTheme="minorEastAsia"/>
                <w:color w:val="auto"/>
                <w:sz w:val="24"/>
                <w:highlight w:val="none"/>
              </w:rPr>
              <w:t>（3）</w:t>
            </w:r>
            <w:r>
              <w:rPr>
                <w:rFonts w:hint="eastAsia" w:cs="宋体" w:asciiTheme="minorEastAsia" w:hAnsiTheme="minorEastAsia" w:eastAsiaTheme="minorEastAsia"/>
                <w:color w:val="auto"/>
                <w:sz w:val="24"/>
                <w:highlight w:val="none"/>
                <w:lang w:eastAsia="zh-CN"/>
              </w:rPr>
              <w:t>财务状况报告：提供</w:t>
            </w:r>
            <w:r>
              <w:rPr>
                <w:rFonts w:hint="eastAsia" w:cs="宋体" w:asciiTheme="minorEastAsia" w:hAnsiTheme="minorEastAsia" w:eastAsiaTheme="minorEastAsia"/>
                <w:color w:val="auto"/>
                <w:sz w:val="24"/>
                <w:highlight w:val="none"/>
                <w:lang w:val="en-US" w:eastAsia="zh-CN"/>
              </w:rPr>
              <w:t>2024年度或</w:t>
            </w:r>
            <w:r>
              <w:rPr>
                <w:rFonts w:hint="eastAsia" w:cs="宋体" w:asciiTheme="minorEastAsia" w:hAnsiTheme="minorEastAsia" w:eastAsiaTheme="minorEastAsia"/>
                <w:color w:val="auto"/>
                <w:sz w:val="24"/>
                <w:highlight w:val="none"/>
                <w:lang w:eastAsia="zh-CN"/>
              </w:rPr>
              <w:t>2025年度的经审计的完整财务会计报告（成立时间至提交磋商文件截止时间不足一年的可提供成立后任意时段的资产负债表），或其基本存款账户开户银行出具的资信证明及基本存款账户开户许可证（基本账户信息表）(注:依据财政部、国务院国资委、金融监管总局印发&lt;&lt;关于加强审计报告查验工作的通知&gt;&gt;(财会(2023]15号)报告须在注册会计师行业统一监管平台备案并由该平台赋予二维码)。</w:t>
            </w:r>
          </w:p>
          <w:p w14:paraId="78D37D24">
            <w:pPr>
              <w:keepNext w:val="0"/>
              <w:keepLines w:val="0"/>
              <w:pageBreakBefore w:val="0"/>
              <w:kinsoku/>
              <w:wordWrap/>
              <w:overflowPunct/>
              <w:topLinePunct w:val="0"/>
              <w:autoSpaceDE/>
              <w:autoSpaceDN/>
              <w:bidi w:val="0"/>
              <w:adjustRightInd/>
              <w:snapToGrid w:val="0"/>
              <w:spacing w:line="240" w:lineRule="auto"/>
              <w:ind w:left="0" w:leftChars="0" w:firstLine="480" w:firstLineChars="200"/>
              <w:jc w:val="both"/>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（4）社会保障资金缴纳证明：</w:t>
            </w:r>
            <w:r>
              <w:rPr>
                <w:rFonts w:hint="eastAsia" w:asciiTheme="minorEastAsia" w:hAnsiTheme="minorEastAsia"/>
                <w:color w:val="auto"/>
                <w:sz w:val="24"/>
                <w:szCs w:val="24"/>
                <w:highlight w:val="none"/>
              </w:rPr>
              <w:t>提供磋商截止日前六个月内任意一个月的社保资金交纳证明，依法不需要缴纳社保资金的单位提供相关证明材料</w:t>
            </w:r>
            <w:r>
              <w:rPr>
                <w:rFonts w:hint="eastAsia" w:cs="宋体" w:asciiTheme="minorEastAsia" w:hAnsiTheme="minorEastAsia" w:eastAsiaTheme="minorEastAsia"/>
                <w:color w:val="auto"/>
                <w:sz w:val="24"/>
                <w:highlight w:val="none"/>
              </w:rPr>
              <w:t>；</w:t>
            </w:r>
          </w:p>
          <w:p w14:paraId="702BBF71">
            <w:pPr>
              <w:keepNext w:val="0"/>
              <w:keepLines w:val="0"/>
              <w:pageBreakBefore w:val="0"/>
              <w:kinsoku/>
              <w:wordWrap/>
              <w:overflowPunct/>
              <w:topLinePunct w:val="0"/>
              <w:autoSpaceDE/>
              <w:autoSpaceDN/>
              <w:bidi w:val="0"/>
              <w:adjustRightInd/>
              <w:snapToGrid w:val="0"/>
              <w:spacing w:line="240" w:lineRule="auto"/>
              <w:ind w:left="0" w:leftChars="0" w:firstLine="480" w:firstLineChars="200"/>
              <w:jc w:val="both"/>
              <w:rPr>
                <w:rFonts w:hint="eastAsia" w:eastAsia="宋体" w:cs="宋体" w:asciiTheme="minorEastAsia" w:hAnsiTheme="minorEastAsia"/>
                <w:color w:val="auto"/>
                <w:sz w:val="24"/>
                <w:highlight w:val="none"/>
                <w:lang w:val="en-US" w:eastAsia="zh-CN"/>
              </w:rPr>
            </w:pPr>
            <w:r>
              <w:rPr>
                <w:rFonts w:hint="eastAsia" w:cs="宋体" w:asciiTheme="minorEastAsia" w:hAnsiTheme="minorEastAsia" w:eastAsiaTheme="minorEastAsia"/>
                <w:color w:val="auto"/>
                <w:sz w:val="24"/>
                <w:highlight w:val="none"/>
              </w:rPr>
              <w:t>（5）税收缴纳证明：</w:t>
            </w:r>
            <w:r>
              <w:rPr>
                <w:rFonts w:hint="eastAsia" w:asciiTheme="minorEastAsia" w:hAnsiTheme="minorEastAsia"/>
                <w:color w:val="auto"/>
                <w:sz w:val="24"/>
                <w:szCs w:val="24"/>
                <w:highlight w:val="none"/>
              </w:rPr>
              <w:t>提供磋商截止日前六个月内任意一个月的纳税证明或完税证明（增值税、印花税、城市维护建设费、企业所得税等一种或多种税种），依法免税的单位提供相关证明材料</w:t>
            </w:r>
            <w:r>
              <w:rPr>
                <w:rFonts w:hint="eastAsia" w:asciiTheme="minorEastAsia" w:hAnsiTheme="minorEastAsia"/>
                <w:color w:val="auto"/>
                <w:sz w:val="24"/>
                <w:szCs w:val="24"/>
                <w:highlight w:val="none"/>
                <w:lang w:val="en-US" w:eastAsia="zh-CN"/>
              </w:rPr>
              <w:t>；</w:t>
            </w:r>
          </w:p>
          <w:p w14:paraId="213CA1E3">
            <w:pPr>
              <w:keepNext w:val="0"/>
              <w:keepLines w:val="0"/>
              <w:pageBreakBefore w:val="0"/>
              <w:widowControl w:val="0"/>
              <w:shd w:val="clear"/>
              <w:kinsoku/>
              <w:wordWrap w:val="0"/>
              <w:overflowPunct/>
              <w:topLinePunct w:val="0"/>
              <w:autoSpaceDE/>
              <w:autoSpaceDN/>
              <w:bidi w:val="0"/>
              <w:adjustRightInd w:val="0"/>
              <w:snapToGrid w:val="0"/>
              <w:spacing w:line="240" w:lineRule="auto"/>
              <w:ind w:left="0" w:leftChars="0" w:firstLine="480" w:firstLineChars="200"/>
              <w:jc w:val="both"/>
              <w:textAlignment w:val="auto"/>
              <w:rPr>
                <w:rFonts w:hint="eastAsia" w:ascii="宋体" w:hAnsi="宋体" w:eastAsia="宋体" w:cs="Times New Roman"/>
                <w:sz w:val="24"/>
                <w:highlight w:val="none"/>
              </w:rPr>
            </w:pPr>
            <w:r>
              <w:rPr>
                <w:rFonts w:hint="eastAsia" w:cs="宋体" w:asciiTheme="minorEastAsia" w:hAnsiTheme="minorEastAsia" w:eastAsiaTheme="minorEastAsia"/>
                <w:color w:val="auto"/>
                <w:sz w:val="24"/>
                <w:highlight w:val="none"/>
              </w:rPr>
              <w:t>（6）</w:t>
            </w:r>
            <w:r>
              <w:rPr>
                <w:rFonts w:hint="eastAsia" w:ascii="宋体" w:hAnsi="宋体" w:eastAsia="宋体" w:cs="Times New Roman"/>
                <w:sz w:val="24"/>
                <w:highlight w:val="none"/>
              </w:rPr>
              <w:t>信用记录：供应商不得为“信用中国”网站(http://www.creditchina.gov.cn)列入“失信被执行人或重大税收违法失信主体或政府采购严重违法失信行为记录名单”的供应商；不得为中国政府采购网(http://www.ccgp.gov.cn) “政府采购严重违法失信行为记录名单”中的供应商；</w:t>
            </w:r>
            <w:r>
              <w:rPr>
                <w:rFonts w:hint="eastAsia" w:ascii="宋体" w:hAnsi="宋体" w:cs="Times New Roman"/>
                <w:sz w:val="24"/>
                <w:highlight w:val="none"/>
                <w:lang w:eastAsia="zh-CN"/>
              </w:rPr>
              <w:t>（</w:t>
            </w:r>
            <w:r>
              <w:rPr>
                <w:rFonts w:hint="eastAsia" w:hAnsi="宋体" w:cs="Times New Roman"/>
                <w:sz w:val="24"/>
                <w:highlight w:val="none"/>
                <w:lang w:eastAsia="zh-CN"/>
              </w:rPr>
              <w:t>提供查询截图或承诺书</w:t>
            </w:r>
            <w:r>
              <w:rPr>
                <w:rFonts w:hint="eastAsia" w:ascii="宋体" w:hAnsi="宋体" w:cs="Times New Roman"/>
                <w:sz w:val="24"/>
                <w:highlight w:val="none"/>
                <w:lang w:eastAsia="zh-CN"/>
              </w:rPr>
              <w:t>）</w:t>
            </w:r>
          </w:p>
          <w:p w14:paraId="3DC491EC">
            <w:pPr>
              <w:keepNext w:val="0"/>
              <w:keepLines w:val="0"/>
              <w:pageBreakBefore w:val="0"/>
              <w:kinsoku/>
              <w:wordWrap/>
              <w:overflowPunct/>
              <w:topLinePunct w:val="0"/>
              <w:autoSpaceDE/>
              <w:autoSpaceDN/>
              <w:bidi w:val="0"/>
              <w:adjustRightInd/>
              <w:snapToGrid w:val="0"/>
              <w:spacing w:line="240" w:lineRule="auto"/>
              <w:ind w:left="0" w:leftChars="0" w:firstLine="480" w:firstLineChars="200"/>
              <w:jc w:val="both"/>
              <w:rPr>
                <w:rFonts w:hint="default" w:cs="宋体" w:asciiTheme="minorEastAsia" w:hAnsiTheme="minorEastAsia" w:eastAsiaTheme="minorEastAsia"/>
                <w:color w:val="auto"/>
                <w:sz w:val="24"/>
                <w:highlight w:val="none"/>
                <w:lang w:val="en-US"/>
              </w:rPr>
            </w:pPr>
            <w:r>
              <w:rPr>
                <w:rFonts w:hint="eastAsia" w:cs="宋体" w:asciiTheme="minorEastAsia" w:hAnsiTheme="minorEastAsia" w:eastAsiaTheme="minorEastAsia"/>
                <w:color w:val="auto"/>
                <w:sz w:val="24"/>
                <w:highlight w:val="none"/>
              </w:rPr>
              <w:t>（</w:t>
            </w:r>
            <w:r>
              <w:rPr>
                <w:rFonts w:hint="eastAsia" w:cs="宋体" w:asciiTheme="minorEastAsia" w:hAnsiTheme="minorEastAsia" w:eastAsiaTheme="minorEastAsia"/>
                <w:color w:val="auto"/>
                <w:sz w:val="24"/>
                <w:highlight w:val="none"/>
                <w:lang w:val="en-US" w:eastAsia="zh-CN"/>
              </w:rPr>
              <w:t>7</w:t>
            </w:r>
            <w:r>
              <w:rPr>
                <w:rFonts w:hint="eastAsia" w:cs="宋体" w:asciiTheme="minorEastAsia" w:hAnsiTheme="minorEastAsia" w:eastAsiaTheme="minorEastAsia"/>
                <w:color w:val="auto"/>
                <w:sz w:val="24"/>
                <w:highlight w:val="none"/>
              </w:rPr>
              <w:t>）</w:t>
            </w:r>
            <w:r>
              <w:rPr>
                <w:rFonts w:hint="eastAsia" w:cs="宋体" w:asciiTheme="minorEastAsia" w:hAnsiTheme="minorEastAsia" w:eastAsiaTheme="minorEastAsia"/>
                <w:color w:val="auto"/>
                <w:sz w:val="24"/>
                <w:highlight w:val="none"/>
                <w:lang w:eastAsia="zh-CN"/>
              </w:rPr>
              <w:t>供应商应具备良好的商业信誉，提供参加政府采购活动前3年内在经营活动中没有重大违法记录的书面声明</w:t>
            </w:r>
            <w:r>
              <w:rPr>
                <w:rFonts w:hint="eastAsia" w:cs="宋体" w:asciiTheme="minorEastAsia" w:hAnsiTheme="minorEastAsia" w:eastAsiaTheme="minorEastAsia"/>
                <w:color w:val="auto"/>
                <w:sz w:val="24"/>
                <w:highlight w:val="none"/>
                <w:lang w:val="en-US" w:eastAsia="zh-CN"/>
              </w:rPr>
              <w:t>；</w:t>
            </w:r>
          </w:p>
          <w:p w14:paraId="3F69E441">
            <w:pPr>
              <w:keepNext w:val="0"/>
              <w:keepLines w:val="0"/>
              <w:pageBreakBefore w:val="0"/>
              <w:kinsoku/>
              <w:wordWrap/>
              <w:overflowPunct/>
              <w:topLinePunct w:val="0"/>
              <w:autoSpaceDE/>
              <w:autoSpaceDN/>
              <w:bidi w:val="0"/>
              <w:adjustRightInd/>
              <w:snapToGrid w:val="0"/>
              <w:spacing w:line="240" w:lineRule="auto"/>
              <w:ind w:left="0" w:leftChars="0" w:firstLine="480" w:firstLineChars="200"/>
              <w:jc w:val="both"/>
              <w:rPr>
                <w:rFonts w:hint="default" w:cs="宋体" w:asciiTheme="minorEastAsia" w:hAnsiTheme="minorEastAsia" w:eastAsiaTheme="minorEastAsia"/>
                <w:color w:val="auto"/>
                <w:sz w:val="24"/>
                <w:highlight w:val="none"/>
                <w:lang w:val="en-US" w:eastAsia="zh-CN"/>
              </w:rPr>
            </w:pPr>
            <w:r>
              <w:rPr>
                <w:rFonts w:hint="eastAsia" w:cs="宋体" w:asciiTheme="minorEastAsia" w:hAnsiTheme="minorEastAsia" w:eastAsiaTheme="minorEastAsia"/>
                <w:color w:val="auto"/>
                <w:sz w:val="24"/>
                <w:highlight w:val="none"/>
              </w:rPr>
              <w:t>（</w:t>
            </w:r>
            <w:r>
              <w:rPr>
                <w:rFonts w:hint="eastAsia" w:cs="宋体" w:asciiTheme="minorEastAsia" w:hAnsiTheme="minorEastAsia" w:eastAsiaTheme="minorEastAsia"/>
                <w:color w:val="auto"/>
                <w:sz w:val="24"/>
                <w:highlight w:val="none"/>
                <w:lang w:val="en-US" w:eastAsia="zh-CN"/>
              </w:rPr>
              <w:t>8</w:t>
            </w:r>
            <w:r>
              <w:rPr>
                <w:rFonts w:hint="eastAsia" w:cs="宋体" w:asciiTheme="minorEastAsia" w:hAnsiTheme="minorEastAsia" w:eastAsiaTheme="minorEastAsia"/>
                <w:color w:val="auto"/>
                <w:sz w:val="24"/>
                <w:highlight w:val="none"/>
              </w:rPr>
              <w:t>）具备履行合同所必需的设备和专业技术能力的</w:t>
            </w:r>
            <w:r>
              <w:rPr>
                <w:rFonts w:hint="eastAsia" w:cs="宋体" w:asciiTheme="minorEastAsia" w:hAnsiTheme="minorEastAsia" w:eastAsiaTheme="minorEastAsia"/>
                <w:color w:val="auto"/>
                <w:sz w:val="24"/>
                <w:highlight w:val="none"/>
                <w:lang w:eastAsia="zh-CN"/>
              </w:rPr>
              <w:t>声明</w:t>
            </w:r>
            <w:r>
              <w:rPr>
                <w:rFonts w:hint="eastAsia" w:cs="宋体" w:asciiTheme="minorEastAsia" w:hAnsiTheme="minorEastAsia" w:eastAsiaTheme="minorEastAsia"/>
                <w:color w:val="auto"/>
                <w:sz w:val="24"/>
                <w:highlight w:val="none"/>
                <w:lang w:val="en-US" w:eastAsia="zh-CN"/>
              </w:rPr>
              <w:t>；</w:t>
            </w:r>
          </w:p>
          <w:p w14:paraId="08D400B8">
            <w:pPr>
              <w:keepNext w:val="0"/>
              <w:keepLines w:val="0"/>
              <w:pageBreakBefore w:val="0"/>
              <w:widowControl/>
              <w:shd w:val="clear" w:color="auto" w:fill="FFFFFF"/>
              <w:kinsoku/>
              <w:wordWrap/>
              <w:overflowPunct/>
              <w:topLinePunct w:val="0"/>
              <w:autoSpaceDE/>
              <w:autoSpaceDN/>
              <w:bidi w:val="0"/>
              <w:adjustRightInd/>
              <w:snapToGrid w:val="0"/>
              <w:spacing w:line="240" w:lineRule="auto"/>
              <w:ind w:left="0" w:leftChars="0" w:firstLine="480" w:firstLineChars="200"/>
              <w:jc w:val="both"/>
              <w:textAlignment w:val="baseline"/>
              <w:rPr>
                <w:rFonts w:hint="eastAsia" w:ascii="宋体" w:hAnsi="宋体" w:eastAsia="宋体" w:cs="Times New Roman"/>
                <w:sz w:val="24"/>
                <w:highlight w:val="none"/>
                <w:lang w:val="en-US" w:eastAsia="zh-CN"/>
              </w:rPr>
            </w:pPr>
            <w:r>
              <w:rPr>
                <w:rFonts w:hint="eastAsia" w:cs="宋体" w:asciiTheme="minorEastAsia" w:hAnsiTheme="minorEastAsia" w:eastAsiaTheme="minorEastAsia"/>
                <w:color w:val="000000" w:themeColor="text1"/>
                <w:sz w:val="24"/>
                <w:highlight w:val="none"/>
                <w:lang w:eastAsia="zh-CN"/>
                <w14:textFill>
                  <w14:solidFill>
                    <w14:schemeClr w14:val="tx1"/>
                  </w14:solidFill>
                </w14:textFill>
              </w:rPr>
              <w:t>（</w:t>
            </w:r>
            <w:r>
              <w:rPr>
                <w:rFonts w:hint="eastAsia" w:cs="宋体" w:asciiTheme="minorEastAsia" w:hAnsiTheme="minorEastAsia" w:eastAsiaTheme="minorEastAsia"/>
                <w:color w:val="000000" w:themeColor="text1"/>
                <w:sz w:val="24"/>
                <w:highlight w:val="none"/>
                <w:lang w:val="en-US" w:eastAsia="zh-CN"/>
                <w14:textFill>
                  <w14:solidFill>
                    <w14:schemeClr w14:val="tx1"/>
                  </w14:solidFill>
                </w14:textFill>
              </w:rPr>
              <w:t>9</w:t>
            </w:r>
            <w:r>
              <w:rPr>
                <w:rFonts w:hint="eastAsia" w:cs="宋体" w:asciiTheme="minorEastAsia" w:hAnsiTheme="minorEastAsia" w:eastAsiaTheme="minorEastAsia"/>
                <w:color w:val="000000" w:themeColor="text1"/>
                <w:sz w:val="24"/>
                <w:highlight w:val="none"/>
                <w:lang w:eastAsia="zh-CN"/>
                <w14:textFill>
                  <w14:solidFill>
                    <w14:schemeClr w14:val="tx1"/>
                  </w14:solidFill>
                </w14:textFill>
              </w:rPr>
              <w:t>）</w:t>
            </w:r>
            <w:r>
              <w:rPr>
                <w:rFonts w:hint="eastAsia" w:ascii="宋体" w:hAnsi="宋体" w:eastAsia="宋体" w:cs="Times New Roman"/>
                <w:sz w:val="24"/>
                <w:highlight w:val="none"/>
                <w:lang w:val="en-US" w:eastAsia="zh-CN"/>
              </w:rPr>
              <w:t>关联关系：单位负责人为同一人或者存在控股、管理关系的不同单位，不得同时参加同一项目的磋商；（提供承诺书）</w:t>
            </w:r>
          </w:p>
          <w:p w14:paraId="2A9756DF">
            <w:pPr>
              <w:keepNext w:val="0"/>
              <w:keepLines w:val="0"/>
              <w:pageBreakBefore w:val="0"/>
              <w:kinsoku/>
              <w:wordWrap/>
              <w:overflowPunct/>
              <w:topLinePunct w:val="0"/>
              <w:autoSpaceDE/>
              <w:autoSpaceDN/>
              <w:bidi w:val="0"/>
              <w:adjustRightInd/>
              <w:snapToGrid w:val="0"/>
              <w:spacing w:line="240" w:lineRule="auto"/>
              <w:ind w:left="0" w:leftChars="0" w:firstLine="480" w:firstLineChars="200"/>
              <w:jc w:val="both"/>
              <w:rPr>
                <w:rFonts w:hint="eastAsia" w:cs="宋体" w:asciiTheme="minorEastAsia" w:hAnsiTheme="minorEastAsia" w:eastAsiaTheme="minorEastAsia"/>
                <w:color w:val="auto"/>
                <w:sz w:val="24"/>
                <w:highlight w:val="none"/>
                <w:lang w:val="en-US" w:eastAsia="zh-CN"/>
              </w:rPr>
            </w:pPr>
            <w:r>
              <w:rPr>
                <w:rFonts w:hint="eastAsia" w:cs="宋体" w:asciiTheme="minorEastAsia" w:hAnsiTheme="minorEastAsia" w:eastAsiaTheme="minorEastAsia"/>
                <w:color w:val="auto"/>
                <w:sz w:val="24"/>
                <w:highlight w:val="none"/>
                <w:lang w:val="en-US" w:eastAsia="zh-CN"/>
              </w:rPr>
              <w:t>（10）供应商</w:t>
            </w:r>
            <w:r>
              <w:rPr>
                <w:rFonts w:hint="eastAsia" w:cs="宋体" w:asciiTheme="minorEastAsia" w:hAnsiTheme="minorEastAsia" w:eastAsiaTheme="minorEastAsia"/>
                <w:color w:val="auto"/>
                <w:sz w:val="24"/>
                <w:highlight w:val="none"/>
              </w:rPr>
              <w:t>须具备有效的《食品经营许可证》</w:t>
            </w:r>
            <w:r>
              <w:rPr>
                <w:rFonts w:hint="eastAsia" w:cs="宋体" w:asciiTheme="minorEastAsia" w:hAnsiTheme="minorEastAsia" w:eastAsiaTheme="minorEastAsia"/>
                <w:color w:val="auto"/>
                <w:sz w:val="24"/>
                <w:highlight w:val="none"/>
                <w:lang w:eastAsia="zh-CN"/>
              </w:rPr>
              <w:t>；</w:t>
            </w:r>
          </w:p>
          <w:p w14:paraId="4BC57757">
            <w:pPr>
              <w:keepNext w:val="0"/>
              <w:keepLines w:val="0"/>
              <w:pageBreakBefore w:val="0"/>
              <w:widowControl/>
              <w:shd w:val="clear" w:color="auto" w:fill="FFFFFF"/>
              <w:kinsoku/>
              <w:wordWrap/>
              <w:overflowPunct/>
              <w:topLinePunct w:val="0"/>
              <w:autoSpaceDE/>
              <w:autoSpaceDN/>
              <w:bidi w:val="0"/>
              <w:adjustRightInd/>
              <w:snapToGrid w:val="0"/>
              <w:spacing w:line="240" w:lineRule="auto"/>
              <w:ind w:left="0" w:leftChars="0" w:firstLine="480" w:firstLineChars="200"/>
              <w:jc w:val="both"/>
              <w:textAlignment w:val="baseline"/>
              <w:rPr>
                <w:rFonts w:hint="eastAsia" w:hAnsi="宋体" w:cs="宋体"/>
                <w:color w:val="auto"/>
                <w:szCs w:val="24"/>
                <w:highlight w:val="none"/>
                <w:shd w:val="clear" w:color="auto" w:fill="FFFFFF"/>
              </w:rPr>
            </w:pPr>
            <w:r>
              <w:rPr>
                <w:rFonts w:hint="eastAsia" w:cs="宋体" w:asciiTheme="minorEastAsia" w:hAnsiTheme="minorEastAsia" w:eastAsiaTheme="minorEastAsia"/>
                <w:color w:val="auto"/>
                <w:sz w:val="24"/>
                <w:highlight w:val="none"/>
                <w:lang w:eastAsia="zh-CN"/>
              </w:rPr>
              <w:t>（</w:t>
            </w:r>
            <w:r>
              <w:rPr>
                <w:rFonts w:hint="eastAsia" w:cs="宋体" w:asciiTheme="minorEastAsia" w:hAnsiTheme="minorEastAsia" w:eastAsiaTheme="minorEastAsia"/>
                <w:color w:val="auto"/>
                <w:sz w:val="24"/>
                <w:highlight w:val="none"/>
                <w:lang w:val="en-US" w:eastAsia="zh-CN"/>
              </w:rPr>
              <w:t>11</w:t>
            </w:r>
            <w:r>
              <w:rPr>
                <w:rFonts w:hint="eastAsia" w:cs="宋体" w:asciiTheme="minorEastAsia" w:hAnsiTheme="minorEastAsia" w:eastAsiaTheme="minorEastAsia"/>
                <w:color w:val="auto"/>
                <w:sz w:val="24"/>
                <w:highlight w:val="none"/>
                <w:lang w:eastAsia="zh-CN"/>
              </w:rPr>
              <w:t>）</w:t>
            </w:r>
            <w:r>
              <w:rPr>
                <w:rFonts w:hint="eastAsia" w:cs="宋体" w:asciiTheme="minorEastAsia" w:hAnsiTheme="minorEastAsia" w:eastAsiaTheme="minorEastAsia"/>
                <w:color w:val="auto"/>
                <w:sz w:val="24"/>
                <w:highlight w:val="none"/>
              </w:rPr>
              <w:t>本项目不接受联合体磋商。</w:t>
            </w:r>
          </w:p>
          <w:p w14:paraId="686A3C2C">
            <w:pPr>
              <w:keepNext w:val="0"/>
              <w:keepLines w:val="0"/>
              <w:pageBreakBefore w:val="0"/>
              <w:kinsoku/>
              <w:wordWrap/>
              <w:overflowPunct/>
              <w:topLinePunct w:val="0"/>
              <w:autoSpaceDE/>
              <w:autoSpaceDN/>
              <w:bidi w:val="0"/>
              <w:adjustRightInd/>
              <w:snapToGrid w:val="0"/>
              <w:spacing w:line="240" w:lineRule="auto"/>
              <w:ind w:left="0" w:leftChars="0" w:firstLine="482" w:firstLineChars="200"/>
              <w:jc w:val="both"/>
              <w:rPr>
                <w:rFonts w:hint="eastAsia" w:hAnsi="宋体"/>
                <w:color w:val="auto"/>
                <w:szCs w:val="24"/>
                <w:highlight w:val="none"/>
              </w:rPr>
            </w:pPr>
            <w:r>
              <w:rPr>
                <w:rFonts w:hint="eastAsia" w:hAnsi="宋体" w:cs="宋体"/>
                <w:b/>
                <w:bCs/>
                <w:color w:val="auto"/>
                <w:szCs w:val="24"/>
                <w:highlight w:val="none"/>
              </w:rPr>
              <w:t>以上为必备资格要求，缺一项或某项达不到要求，按无效磋商处理。</w:t>
            </w:r>
          </w:p>
        </w:tc>
      </w:tr>
      <w:tr w14:paraId="3C487D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49" w:type="pct"/>
            <w:vAlign w:val="center"/>
          </w:tcPr>
          <w:p w14:paraId="06664366">
            <w:pPr>
              <w:keepNext w:val="0"/>
              <w:keepLines w:val="0"/>
              <w:pageBreakBefore w:val="0"/>
              <w:kinsoku/>
              <w:wordWrap/>
              <w:overflowPunct/>
              <w:topLinePunct w:val="0"/>
              <w:autoSpaceDE/>
              <w:autoSpaceDN/>
              <w:bidi w:val="0"/>
              <w:snapToGrid w:val="0"/>
              <w:spacing w:line="240" w:lineRule="auto"/>
              <w:ind w:left="0" w:leftChars="0"/>
              <w:jc w:val="center"/>
              <w:rPr>
                <w:color w:val="auto"/>
                <w:szCs w:val="24"/>
                <w:highlight w:val="none"/>
              </w:rPr>
            </w:pPr>
            <w:r>
              <w:rPr>
                <w:rFonts w:hint="eastAsia"/>
                <w:color w:val="auto"/>
                <w:szCs w:val="24"/>
                <w:highlight w:val="none"/>
              </w:rPr>
              <w:t>15.1</w:t>
            </w:r>
          </w:p>
        </w:tc>
        <w:tc>
          <w:tcPr>
            <w:tcW w:w="991" w:type="pct"/>
            <w:vAlign w:val="center"/>
          </w:tcPr>
          <w:p w14:paraId="1C345AF3">
            <w:pPr>
              <w:keepNext w:val="0"/>
              <w:keepLines w:val="0"/>
              <w:pageBreakBefore w:val="0"/>
              <w:kinsoku/>
              <w:wordWrap/>
              <w:overflowPunct/>
              <w:topLinePunct w:val="0"/>
              <w:autoSpaceDE/>
              <w:autoSpaceDN/>
              <w:bidi w:val="0"/>
              <w:snapToGrid w:val="0"/>
              <w:spacing w:line="240" w:lineRule="auto"/>
              <w:ind w:left="0" w:leftChars="0"/>
              <w:jc w:val="center"/>
              <w:rPr>
                <w:color w:val="auto"/>
                <w:szCs w:val="24"/>
                <w:highlight w:val="none"/>
              </w:rPr>
            </w:pPr>
            <w:r>
              <w:rPr>
                <w:rFonts w:hint="eastAsia" w:hAnsi="宋体"/>
                <w:color w:val="auto"/>
                <w:szCs w:val="24"/>
                <w:highlight w:val="none"/>
              </w:rPr>
              <w:t>磋商保证金</w:t>
            </w:r>
          </w:p>
        </w:tc>
        <w:tc>
          <w:tcPr>
            <w:tcW w:w="3459" w:type="pct"/>
            <w:vAlign w:val="center"/>
          </w:tcPr>
          <w:p w14:paraId="1F91ED47">
            <w:pPr>
              <w:keepNext w:val="0"/>
              <w:keepLines w:val="0"/>
              <w:pageBreakBefore w:val="0"/>
              <w:kinsoku/>
              <w:wordWrap/>
              <w:overflowPunct/>
              <w:topLinePunct w:val="0"/>
              <w:autoSpaceDE/>
              <w:autoSpaceDN/>
              <w:bidi w:val="0"/>
              <w:snapToGrid w:val="0"/>
              <w:spacing w:line="240" w:lineRule="auto"/>
              <w:ind w:left="0" w:leftChars="0"/>
              <w:jc w:val="both"/>
              <w:rPr>
                <w:color w:val="auto"/>
                <w:szCs w:val="24"/>
                <w:highlight w:val="none"/>
              </w:rPr>
            </w:pPr>
            <w:r>
              <w:rPr>
                <w:rFonts w:hint="eastAsia" w:hAnsi="宋体"/>
                <w:color w:val="auto"/>
                <w:szCs w:val="24"/>
                <w:highlight w:val="none"/>
              </w:rPr>
              <w:t>本项目不要求提交磋商保证金</w:t>
            </w:r>
          </w:p>
        </w:tc>
      </w:tr>
      <w:tr w14:paraId="4F7BFF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49" w:type="pct"/>
            <w:vAlign w:val="center"/>
          </w:tcPr>
          <w:p w14:paraId="44102155">
            <w:pPr>
              <w:keepNext w:val="0"/>
              <w:keepLines w:val="0"/>
              <w:pageBreakBefore w:val="0"/>
              <w:kinsoku/>
              <w:wordWrap/>
              <w:overflowPunct/>
              <w:topLinePunct w:val="0"/>
              <w:autoSpaceDE/>
              <w:autoSpaceDN/>
              <w:bidi w:val="0"/>
              <w:snapToGrid w:val="0"/>
              <w:spacing w:line="240" w:lineRule="auto"/>
              <w:ind w:left="0" w:leftChars="0"/>
              <w:jc w:val="center"/>
              <w:rPr>
                <w:color w:val="auto"/>
                <w:szCs w:val="24"/>
                <w:highlight w:val="none"/>
              </w:rPr>
            </w:pPr>
            <w:r>
              <w:rPr>
                <w:color w:val="auto"/>
                <w:szCs w:val="24"/>
                <w:highlight w:val="none"/>
              </w:rPr>
              <w:t>1</w:t>
            </w:r>
            <w:r>
              <w:rPr>
                <w:rFonts w:hint="eastAsia"/>
                <w:color w:val="auto"/>
                <w:szCs w:val="24"/>
                <w:highlight w:val="none"/>
              </w:rPr>
              <w:t>6</w:t>
            </w:r>
            <w:r>
              <w:rPr>
                <w:color w:val="auto"/>
                <w:szCs w:val="24"/>
                <w:highlight w:val="none"/>
              </w:rPr>
              <w:t>.1</w:t>
            </w:r>
          </w:p>
        </w:tc>
        <w:tc>
          <w:tcPr>
            <w:tcW w:w="991" w:type="pct"/>
            <w:vAlign w:val="center"/>
          </w:tcPr>
          <w:p w14:paraId="39DB8243">
            <w:pPr>
              <w:keepNext w:val="0"/>
              <w:keepLines w:val="0"/>
              <w:pageBreakBefore w:val="0"/>
              <w:kinsoku/>
              <w:wordWrap/>
              <w:overflowPunct/>
              <w:topLinePunct w:val="0"/>
              <w:autoSpaceDE/>
              <w:autoSpaceDN/>
              <w:bidi w:val="0"/>
              <w:snapToGrid w:val="0"/>
              <w:spacing w:line="240" w:lineRule="auto"/>
              <w:ind w:left="0" w:leftChars="0"/>
              <w:jc w:val="center"/>
              <w:rPr>
                <w:color w:val="auto"/>
                <w:szCs w:val="24"/>
                <w:highlight w:val="none"/>
              </w:rPr>
            </w:pPr>
            <w:r>
              <w:rPr>
                <w:rFonts w:hint="eastAsia"/>
                <w:color w:val="auto"/>
                <w:szCs w:val="24"/>
                <w:highlight w:val="none"/>
              </w:rPr>
              <w:t>磋商有效期</w:t>
            </w:r>
          </w:p>
        </w:tc>
        <w:tc>
          <w:tcPr>
            <w:tcW w:w="3459" w:type="pct"/>
            <w:vAlign w:val="center"/>
          </w:tcPr>
          <w:p w14:paraId="352109A6">
            <w:pPr>
              <w:keepNext w:val="0"/>
              <w:keepLines w:val="0"/>
              <w:pageBreakBefore w:val="0"/>
              <w:kinsoku/>
              <w:wordWrap/>
              <w:overflowPunct/>
              <w:topLinePunct w:val="0"/>
              <w:autoSpaceDE/>
              <w:autoSpaceDN/>
              <w:bidi w:val="0"/>
              <w:snapToGrid w:val="0"/>
              <w:spacing w:line="240" w:lineRule="auto"/>
              <w:ind w:left="0" w:leftChars="0"/>
              <w:jc w:val="both"/>
              <w:rPr>
                <w:color w:val="auto"/>
                <w:highlight w:val="none"/>
              </w:rPr>
            </w:pPr>
            <w:r>
              <w:rPr>
                <w:rFonts w:hint="eastAsia"/>
                <w:color w:val="auto"/>
                <w:szCs w:val="24"/>
                <w:highlight w:val="none"/>
              </w:rPr>
              <w:t>自</w:t>
            </w:r>
            <w:r>
              <w:rPr>
                <w:color w:val="auto"/>
                <w:szCs w:val="24"/>
                <w:highlight w:val="none"/>
              </w:rPr>
              <w:t>竞争性</w:t>
            </w:r>
            <w:r>
              <w:rPr>
                <w:rFonts w:hint="eastAsia"/>
                <w:color w:val="auto"/>
                <w:szCs w:val="24"/>
                <w:highlight w:val="none"/>
              </w:rPr>
              <w:t>磋商响应文件递交截止之日起90日历天</w:t>
            </w:r>
          </w:p>
        </w:tc>
      </w:tr>
      <w:tr w14:paraId="7B7531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760" w:hRule="atLeast"/>
          <w:jc w:val="center"/>
        </w:trPr>
        <w:tc>
          <w:tcPr>
            <w:tcW w:w="549" w:type="pct"/>
            <w:vAlign w:val="center"/>
          </w:tcPr>
          <w:p w14:paraId="6311DEF3">
            <w:pPr>
              <w:keepNext w:val="0"/>
              <w:keepLines w:val="0"/>
              <w:pageBreakBefore w:val="0"/>
              <w:kinsoku/>
              <w:wordWrap/>
              <w:overflowPunct/>
              <w:topLinePunct w:val="0"/>
              <w:autoSpaceDE/>
              <w:autoSpaceDN/>
              <w:bidi w:val="0"/>
              <w:snapToGrid w:val="0"/>
              <w:spacing w:line="240" w:lineRule="auto"/>
              <w:ind w:left="0" w:leftChars="0"/>
              <w:jc w:val="center"/>
              <w:rPr>
                <w:color w:val="auto"/>
                <w:szCs w:val="24"/>
                <w:highlight w:val="none"/>
              </w:rPr>
            </w:pPr>
            <w:r>
              <w:rPr>
                <w:rFonts w:hint="eastAsia"/>
                <w:color w:val="auto"/>
                <w:szCs w:val="24"/>
                <w:highlight w:val="none"/>
              </w:rPr>
              <w:t>17.1</w:t>
            </w:r>
          </w:p>
        </w:tc>
        <w:tc>
          <w:tcPr>
            <w:tcW w:w="991" w:type="pct"/>
            <w:vAlign w:val="center"/>
          </w:tcPr>
          <w:p w14:paraId="3FA2EAF1">
            <w:pPr>
              <w:keepNext w:val="0"/>
              <w:keepLines w:val="0"/>
              <w:pageBreakBefore w:val="0"/>
              <w:kinsoku/>
              <w:wordWrap/>
              <w:overflowPunct/>
              <w:topLinePunct w:val="0"/>
              <w:autoSpaceDE/>
              <w:autoSpaceDN/>
              <w:bidi w:val="0"/>
              <w:snapToGrid w:val="0"/>
              <w:spacing w:line="240" w:lineRule="auto"/>
              <w:ind w:left="0" w:leftChars="0"/>
              <w:jc w:val="center"/>
              <w:rPr>
                <w:color w:val="auto"/>
                <w:szCs w:val="24"/>
                <w:highlight w:val="none"/>
              </w:rPr>
            </w:pPr>
            <w:r>
              <w:rPr>
                <w:rFonts w:hint="eastAsia"/>
                <w:color w:val="auto"/>
                <w:szCs w:val="24"/>
                <w:highlight w:val="none"/>
              </w:rPr>
              <w:t>磋商响应文件的份数及要求</w:t>
            </w:r>
          </w:p>
        </w:tc>
        <w:tc>
          <w:tcPr>
            <w:tcW w:w="3459" w:type="pct"/>
            <w:vAlign w:val="center"/>
          </w:tcPr>
          <w:p w14:paraId="681BF125">
            <w:pPr>
              <w:keepNext w:val="0"/>
              <w:keepLines w:val="0"/>
              <w:pageBreakBefore w:val="0"/>
              <w:kinsoku/>
              <w:wordWrap/>
              <w:overflowPunct/>
              <w:topLinePunct w:val="0"/>
              <w:autoSpaceDE/>
              <w:autoSpaceDN/>
              <w:bidi w:val="0"/>
              <w:snapToGrid w:val="0"/>
              <w:spacing w:line="240" w:lineRule="auto"/>
              <w:ind w:left="0" w:leftChars="0"/>
              <w:jc w:val="both"/>
              <w:rPr>
                <w:rFonts w:hint="eastAsia" w:hAnsi="宋体" w:cs="宋体"/>
                <w:color w:val="auto"/>
                <w:szCs w:val="24"/>
                <w:highlight w:val="none"/>
              </w:rPr>
            </w:pPr>
            <w:r>
              <w:rPr>
                <w:rFonts w:hint="eastAsia" w:hAnsi="宋体" w:cs="宋体"/>
                <w:color w:val="auto"/>
                <w:szCs w:val="24"/>
                <w:highlight w:val="none"/>
              </w:rPr>
              <w:t>正本的份数：壹份；</w:t>
            </w:r>
          </w:p>
          <w:p w14:paraId="12FF113B">
            <w:pPr>
              <w:keepNext w:val="0"/>
              <w:keepLines w:val="0"/>
              <w:pageBreakBefore w:val="0"/>
              <w:kinsoku/>
              <w:wordWrap/>
              <w:overflowPunct/>
              <w:topLinePunct w:val="0"/>
              <w:autoSpaceDE/>
              <w:autoSpaceDN/>
              <w:bidi w:val="0"/>
              <w:snapToGrid w:val="0"/>
              <w:spacing w:line="240" w:lineRule="auto"/>
              <w:ind w:left="0" w:leftChars="0"/>
              <w:jc w:val="both"/>
              <w:rPr>
                <w:rFonts w:hint="eastAsia" w:hAnsi="宋体" w:cs="宋体"/>
                <w:color w:val="auto"/>
                <w:szCs w:val="24"/>
                <w:highlight w:val="none"/>
              </w:rPr>
            </w:pPr>
            <w:r>
              <w:rPr>
                <w:rFonts w:hint="eastAsia" w:hAnsi="宋体" w:cs="宋体"/>
                <w:color w:val="auto"/>
                <w:szCs w:val="24"/>
                <w:highlight w:val="none"/>
              </w:rPr>
              <w:t>副本的份数：贰份；</w:t>
            </w:r>
          </w:p>
          <w:p w14:paraId="0C30C441">
            <w:pPr>
              <w:keepNext w:val="0"/>
              <w:keepLines w:val="0"/>
              <w:pageBreakBefore w:val="0"/>
              <w:kinsoku/>
              <w:wordWrap/>
              <w:overflowPunct/>
              <w:topLinePunct w:val="0"/>
              <w:autoSpaceDE/>
              <w:autoSpaceDN/>
              <w:bidi w:val="0"/>
              <w:snapToGrid w:val="0"/>
              <w:spacing w:line="240" w:lineRule="auto"/>
              <w:ind w:left="0" w:leftChars="0"/>
              <w:jc w:val="both"/>
              <w:rPr>
                <w:rFonts w:hint="eastAsia" w:hAnsi="宋体" w:cs="宋体"/>
                <w:color w:val="auto"/>
                <w:szCs w:val="24"/>
                <w:highlight w:val="none"/>
              </w:rPr>
            </w:pPr>
            <w:r>
              <w:rPr>
                <w:rFonts w:hint="eastAsia" w:hAnsi="宋体" w:cs="宋体"/>
                <w:color w:val="auto"/>
                <w:szCs w:val="24"/>
                <w:highlight w:val="none"/>
              </w:rPr>
              <w:t>电子版（U盘）：</w:t>
            </w:r>
            <w:r>
              <w:rPr>
                <w:rFonts w:hint="eastAsia" w:hAnsi="宋体" w:cs="宋体"/>
                <w:color w:val="auto"/>
                <w:szCs w:val="24"/>
                <w:highlight w:val="none"/>
                <w:lang w:eastAsia="zh-CN"/>
              </w:rPr>
              <w:t>贰</w:t>
            </w:r>
            <w:r>
              <w:rPr>
                <w:rFonts w:hint="eastAsia" w:hAnsi="宋体" w:cs="宋体"/>
                <w:color w:val="auto"/>
                <w:szCs w:val="24"/>
                <w:highlight w:val="none"/>
              </w:rPr>
              <w:t>份（需在盘面上标注供应商全称、项目名称、编号）。</w:t>
            </w:r>
          </w:p>
          <w:p w14:paraId="45E59AC0">
            <w:pPr>
              <w:keepNext w:val="0"/>
              <w:keepLines w:val="0"/>
              <w:pageBreakBefore w:val="0"/>
              <w:kinsoku/>
              <w:wordWrap/>
              <w:overflowPunct/>
              <w:topLinePunct w:val="0"/>
              <w:autoSpaceDE/>
              <w:autoSpaceDN/>
              <w:bidi w:val="0"/>
              <w:snapToGrid w:val="0"/>
              <w:spacing w:line="240" w:lineRule="auto"/>
              <w:ind w:left="0" w:leftChars="0"/>
              <w:jc w:val="both"/>
              <w:rPr>
                <w:rFonts w:hint="eastAsia" w:hAnsi="宋体" w:cs="宋体"/>
                <w:color w:val="auto"/>
                <w:szCs w:val="24"/>
                <w:highlight w:val="none"/>
              </w:rPr>
            </w:pPr>
            <w:r>
              <w:rPr>
                <w:rFonts w:hint="eastAsia" w:hAnsi="宋体" w:cs="宋体"/>
                <w:color w:val="auto"/>
                <w:szCs w:val="24"/>
                <w:highlight w:val="none"/>
              </w:rPr>
              <w:t>电子版</w:t>
            </w:r>
            <w:r>
              <w:rPr>
                <w:rFonts w:hint="eastAsia" w:hAnsi="宋体" w:cs="宋体"/>
                <w:color w:val="auto"/>
                <w:szCs w:val="24"/>
                <w:highlight w:val="none"/>
                <w:lang w:val="en-US" w:eastAsia="zh-CN"/>
              </w:rPr>
              <w:t>每份应</w:t>
            </w:r>
            <w:r>
              <w:rPr>
                <w:rFonts w:hint="eastAsia" w:hAnsi="宋体" w:cs="宋体"/>
                <w:color w:val="auto"/>
                <w:szCs w:val="24"/>
                <w:highlight w:val="none"/>
              </w:rPr>
              <w:t>包括：</w:t>
            </w:r>
          </w:p>
          <w:p w14:paraId="146E86E1">
            <w:pPr>
              <w:keepNext w:val="0"/>
              <w:keepLines w:val="0"/>
              <w:pageBreakBefore w:val="0"/>
              <w:kinsoku/>
              <w:wordWrap/>
              <w:overflowPunct/>
              <w:topLinePunct w:val="0"/>
              <w:autoSpaceDE/>
              <w:autoSpaceDN/>
              <w:bidi w:val="0"/>
              <w:snapToGrid w:val="0"/>
              <w:spacing w:line="240" w:lineRule="auto"/>
              <w:ind w:left="0" w:leftChars="0"/>
              <w:jc w:val="both"/>
              <w:rPr>
                <w:rFonts w:hint="eastAsia" w:hAnsi="宋体" w:cs="宋体"/>
                <w:color w:val="auto"/>
                <w:szCs w:val="24"/>
                <w:highlight w:val="none"/>
              </w:rPr>
            </w:pPr>
            <w:r>
              <w:rPr>
                <w:rFonts w:hint="eastAsia" w:hAnsi="宋体" w:cs="宋体"/>
                <w:color w:val="auto"/>
                <w:szCs w:val="24"/>
                <w:highlight w:val="none"/>
              </w:rPr>
              <w:t>（1）word版磋商响应文件；</w:t>
            </w:r>
          </w:p>
          <w:p w14:paraId="6F391205">
            <w:pPr>
              <w:keepNext w:val="0"/>
              <w:keepLines w:val="0"/>
              <w:pageBreakBefore w:val="0"/>
              <w:kinsoku/>
              <w:wordWrap/>
              <w:overflowPunct/>
              <w:topLinePunct w:val="0"/>
              <w:autoSpaceDE/>
              <w:autoSpaceDN/>
              <w:bidi w:val="0"/>
              <w:snapToGrid w:val="0"/>
              <w:spacing w:line="240" w:lineRule="auto"/>
              <w:ind w:left="0" w:leftChars="0"/>
              <w:jc w:val="both"/>
              <w:rPr>
                <w:color w:val="auto"/>
                <w:szCs w:val="24"/>
                <w:highlight w:val="none"/>
              </w:rPr>
            </w:pPr>
            <w:r>
              <w:rPr>
                <w:rFonts w:hint="eastAsia" w:hAnsi="宋体" w:cs="宋体"/>
                <w:color w:val="auto"/>
                <w:szCs w:val="24"/>
                <w:highlight w:val="none"/>
              </w:rPr>
              <w:t>（2）磋商响应文件正本签字盖章后的PDF格式扫描件，与正本具有同等法律效力。</w:t>
            </w:r>
          </w:p>
        </w:tc>
      </w:tr>
      <w:tr w14:paraId="4033AF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966" w:hRule="atLeast"/>
          <w:jc w:val="center"/>
        </w:trPr>
        <w:tc>
          <w:tcPr>
            <w:tcW w:w="549" w:type="pct"/>
            <w:vAlign w:val="center"/>
          </w:tcPr>
          <w:p w14:paraId="59E83EB4">
            <w:pPr>
              <w:keepNext w:val="0"/>
              <w:keepLines w:val="0"/>
              <w:pageBreakBefore w:val="0"/>
              <w:kinsoku/>
              <w:wordWrap/>
              <w:overflowPunct/>
              <w:topLinePunct w:val="0"/>
              <w:autoSpaceDE/>
              <w:autoSpaceDN/>
              <w:bidi w:val="0"/>
              <w:snapToGrid w:val="0"/>
              <w:spacing w:line="240" w:lineRule="auto"/>
              <w:ind w:left="0" w:leftChars="0"/>
              <w:jc w:val="center"/>
              <w:rPr>
                <w:color w:val="auto"/>
                <w:szCs w:val="24"/>
                <w:highlight w:val="none"/>
              </w:rPr>
            </w:pPr>
            <w:r>
              <w:rPr>
                <w:rFonts w:hint="eastAsia"/>
                <w:color w:val="auto"/>
                <w:szCs w:val="24"/>
                <w:highlight w:val="none"/>
              </w:rPr>
              <w:t>18.2</w:t>
            </w:r>
          </w:p>
        </w:tc>
        <w:tc>
          <w:tcPr>
            <w:tcW w:w="991" w:type="pct"/>
            <w:vAlign w:val="center"/>
          </w:tcPr>
          <w:p w14:paraId="3DBA5E07">
            <w:pPr>
              <w:keepNext w:val="0"/>
              <w:keepLines w:val="0"/>
              <w:pageBreakBefore w:val="0"/>
              <w:kinsoku/>
              <w:wordWrap/>
              <w:overflowPunct/>
              <w:topLinePunct w:val="0"/>
              <w:autoSpaceDE/>
              <w:autoSpaceDN/>
              <w:bidi w:val="0"/>
              <w:snapToGrid w:val="0"/>
              <w:spacing w:line="240" w:lineRule="auto"/>
              <w:ind w:left="0" w:leftChars="0"/>
              <w:jc w:val="center"/>
              <w:rPr>
                <w:color w:val="auto"/>
                <w:szCs w:val="24"/>
                <w:highlight w:val="none"/>
              </w:rPr>
            </w:pPr>
            <w:r>
              <w:rPr>
                <w:rFonts w:hint="eastAsia" w:hAnsi="宋体"/>
                <w:color w:val="auto"/>
                <w:szCs w:val="21"/>
                <w:highlight w:val="none"/>
              </w:rPr>
              <w:t>磋商响应文件的密封和标记</w:t>
            </w:r>
          </w:p>
        </w:tc>
        <w:tc>
          <w:tcPr>
            <w:tcW w:w="3459" w:type="pct"/>
            <w:vAlign w:val="center"/>
          </w:tcPr>
          <w:p w14:paraId="31B5F5D4">
            <w:pPr>
              <w:keepNext w:val="0"/>
              <w:keepLines w:val="0"/>
              <w:pageBreakBefore w:val="0"/>
              <w:kinsoku/>
              <w:wordWrap/>
              <w:overflowPunct/>
              <w:topLinePunct w:val="0"/>
              <w:autoSpaceDE/>
              <w:autoSpaceDN/>
              <w:bidi w:val="0"/>
              <w:snapToGrid w:val="0"/>
              <w:spacing w:line="240" w:lineRule="auto"/>
              <w:ind w:left="0" w:leftChars="0"/>
              <w:jc w:val="both"/>
              <w:rPr>
                <w:rFonts w:hint="eastAsia" w:hAnsi="宋体"/>
                <w:color w:val="auto"/>
                <w:szCs w:val="21"/>
                <w:highlight w:val="none"/>
              </w:rPr>
            </w:pPr>
            <w:r>
              <w:rPr>
                <w:rFonts w:hint="eastAsia" w:hAnsi="宋体"/>
                <w:color w:val="auto"/>
                <w:szCs w:val="21"/>
                <w:highlight w:val="none"/>
              </w:rPr>
              <w:t>1.密封包装方式：</w:t>
            </w:r>
          </w:p>
          <w:p w14:paraId="2CA4A434">
            <w:pPr>
              <w:keepNext w:val="0"/>
              <w:keepLines w:val="0"/>
              <w:pageBreakBefore w:val="0"/>
              <w:kinsoku/>
              <w:wordWrap/>
              <w:overflowPunct/>
              <w:topLinePunct w:val="0"/>
              <w:autoSpaceDE/>
              <w:autoSpaceDN/>
              <w:bidi w:val="0"/>
              <w:snapToGrid w:val="0"/>
              <w:spacing w:line="240" w:lineRule="auto"/>
              <w:ind w:left="0" w:leftChars="0"/>
              <w:jc w:val="both"/>
              <w:rPr>
                <w:rFonts w:hint="eastAsia" w:hAnsi="宋体"/>
                <w:color w:val="auto"/>
                <w:szCs w:val="21"/>
                <w:highlight w:val="none"/>
              </w:rPr>
            </w:pPr>
            <w:r>
              <w:rPr>
                <w:rFonts w:hint="eastAsia"/>
                <w:color w:val="auto"/>
                <w:highlight w:val="none"/>
              </w:rPr>
              <w:t>竞争性磋商响应文件正本、所有的副本、电子版本、分开密封装在单独的封袋中（封袋不得有破损）。封袋应加贴封条，并在封线处加盖供应商公章。</w:t>
            </w:r>
          </w:p>
          <w:p w14:paraId="433C1EBB">
            <w:pPr>
              <w:keepNext w:val="0"/>
              <w:keepLines w:val="0"/>
              <w:pageBreakBefore w:val="0"/>
              <w:kinsoku/>
              <w:wordWrap/>
              <w:overflowPunct/>
              <w:topLinePunct w:val="0"/>
              <w:autoSpaceDE/>
              <w:autoSpaceDN/>
              <w:bidi w:val="0"/>
              <w:snapToGrid w:val="0"/>
              <w:spacing w:line="240" w:lineRule="auto"/>
              <w:ind w:left="0" w:leftChars="0"/>
              <w:jc w:val="both"/>
              <w:rPr>
                <w:color w:val="auto"/>
                <w:highlight w:val="none"/>
              </w:rPr>
            </w:pPr>
            <w:r>
              <w:rPr>
                <w:rFonts w:hint="eastAsia"/>
                <w:color w:val="auto"/>
                <w:highlight w:val="none"/>
              </w:rPr>
              <w:t>2.外层包装请按以下要求标记：</w:t>
            </w:r>
          </w:p>
          <w:p w14:paraId="7473BC7B">
            <w:pPr>
              <w:keepNext w:val="0"/>
              <w:keepLines w:val="0"/>
              <w:pageBreakBefore w:val="0"/>
              <w:kinsoku/>
              <w:wordWrap/>
              <w:overflowPunct/>
              <w:topLinePunct w:val="0"/>
              <w:autoSpaceDE/>
              <w:autoSpaceDN/>
              <w:bidi w:val="0"/>
              <w:snapToGrid w:val="0"/>
              <w:spacing w:line="240" w:lineRule="auto"/>
              <w:ind w:left="0" w:leftChars="0"/>
              <w:jc w:val="both"/>
              <w:rPr>
                <w:color w:val="auto"/>
                <w:highlight w:val="none"/>
              </w:rPr>
            </w:pPr>
            <w:r>
              <w:rPr>
                <w:rFonts w:hint="eastAsia"/>
                <w:color w:val="auto"/>
                <w:highlight w:val="none"/>
              </w:rPr>
              <w:t>（1）磋商响应供应商的全称；</w:t>
            </w:r>
          </w:p>
          <w:p w14:paraId="17129EA4">
            <w:pPr>
              <w:keepNext w:val="0"/>
              <w:keepLines w:val="0"/>
              <w:pageBreakBefore w:val="0"/>
              <w:kinsoku/>
              <w:wordWrap/>
              <w:overflowPunct/>
              <w:topLinePunct w:val="0"/>
              <w:autoSpaceDE/>
              <w:autoSpaceDN/>
              <w:bidi w:val="0"/>
              <w:snapToGrid w:val="0"/>
              <w:spacing w:line="240" w:lineRule="auto"/>
              <w:ind w:left="0" w:leftChars="0"/>
              <w:jc w:val="both"/>
              <w:rPr>
                <w:color w:val="auto"/>
                <w:highlight w:val="none"/>
              </w:rPr>
            </w:pPr>
            <w:r>
              <w:rPr>
                <w:rFonts w:hint="eastAsia"/>
                <w:color w:val="auto"/>
                <w:highlight w:val="none"/>
              </w:rPr>
              <w:t>（2）磋商项目名称、项目编号</w:t>
            </w:r>
          </w:p>
          <w:p w14:paraId="405CB90B">
            <w:pPr>
              <w:keepNext w:val="0"/>
              <w:keepLines w:val="0"/>
              <w:pageBreakBefore w:val="0"/>
              <w:kinsoku/>
              <w:wordWrap/>
              <w:overflowPunct/>
              <w:topLinePunct w:val="0"/>
              <w:autoSpaceDE/>
              <w:autoSpaceDN/>
              <w:bidi w:val="0"/>
              <w:snapToGrid w:val="0"/>
              <w:spacing w:line="240" w:lineRule="auto"/>
              <w:ind w:left="0" w:leftChars="0"/>
              <w:jc w:val="both"/>
              <w:rPr>
                <w:color w:val="auto"/>
                <w:szCs w:val="24"/>
                <w:highlight w:val="none"/>
              </w:rPr>
            </w:pPr>
            <w:r>
              <w:rPr>
                <w:rFonts w:hint="eastAsia"/>
                <w:color w:val="auto"/>
                <w:highlight w:val="none"/>
              </w:rPr>
              <w:t>（3）</w:t>
            </w:r>
            <w:r>
              <w:rPr>
                <w:rFonts w:hint="eastAsia" w:hAnsi="宋体" w:cs="宋体"/>
                <w:color w:val="auto"/>
                <w:szCs w:val="24"/>
                <w:highlight w:val="none"/>
              </w:rPr>
              <w:t>“正本”、“副本”、</w:t>
            </w:r>
            <w:r>
              <w:rPr>
                <w:rFonts w:hint="eastAsia"/>
                <w:color w:val="auto"/>
                <w:highlight w:val="none"/>
              </w:rPr>
              <w:t>“电子版本”及“请勿在</w:t>
            </w:r>
            <w:r>
              <w:rPr>
                <w:rFonts w:hint="eastAsia"/>
                <w:color w:val="auto"/>
                <w:highlight w:val="none"/>
                <w:u w:val="single"/>
              </w:rPr>
              <w:t xml:space="preserve">           </w:t>
            </w:r>
            <w:r>
              <w:rPr>
                <w:rFonts w:hint="eastAsia" w:hAnsi="宋体" w:cs="宋体"/>
                <w:color w:val="auto"/>
                <w:highlight w:val="none"/>
              </w:rPr>
              <w:t xml:space="preserve"> </w:t>
            </w:r>
            <w:r>
              <w:rPr>
                <w:rFonts w:hint="eastAsia"/>
                <w:color w:val="auto"/>
                <w:highlight w:val="none"/>
              </w:rPr>
              <w:t>(磋商时间)之前启封”。</w:t>
            </w:r>
          </w:p>
        </w:tc>
      </w:tr>
      <w:tr w14:paraId="69BDC5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098" w:hRule="atLeast"/>
          <w:jc w:val="center"/>
        </w:trPr>
        <w:tc>
          <w:tcPr>
            <w:tcW w:w="549" w:type="pct"/>
            <w:vAlign w:val="center"/>
          </w:tcPr>
          <w:p w14:paraId="19CFF160">
            <w:pPr>
              <w:keepNext w:val="0"/>
              <w:keepLines w:val="0"/>
              <w:pageBreakBefore w:val="0"/>
              <w:kinsoku/>
              <w:wordWrap/>
              <w:overflowPunct/>
              <w:topLinePunct w:val="0"/>
              <w:autoSpaceDE/>
              <w:autoSpaceDN/>
              <w:bidi w:val="0"/>
              <w:snapToGrid w:val="0"/>
              <w:spacing w:line="240" w:lineRule="auto"/>
              <w:ind w:left="0" w:leftChars="0"/>
              <w:jc w:val="center"/>
              <w:rPr>
                <w:color w:val="auto"/>
                <w:szCs w:val="24"/>
                <w:highlight w:val="none"/>
              </w:rPr>
            </w:pPr>
            <w:r>
              <w:rPr>
                <w:rFonts w:hint="eastAsia"/>
                <w:color w:val="auto"/>
                <w:szCs w:val="24"/>
                <w:highlight w:val="none"/>
              </w:rPr>
              <w:t>19.1</w:t>
            </w:r>
          </w:p>
        </w:tc>
        <w:tc>
          <w:tcPr>
            <w:tcW w:w="991" w:type="pct"/>
            <w:vAlign w:val="center"/>
          </w:tcPr>
          <w:p w14:paraId="596BAD51">
            <w:pPr>
              <w:keepNext w:val="0"/>
              <w:keepLines w:val="0"/>
              <w:pageBreakBefore w:val="0"/>
              <w:kinsoku/>
              <w:wordWrap/>
              <w:overflowPunct/>
              <w:topLinePunct w:val="0"/>
              <w:autoSpaceDE/>
              <w:autoSpaceDN/>
              <w:bidi w:val="0"/>
              <w:snapToGrid w:val="0"/>
              <w:spacing w:line="240" w:lineRule="auto"/>
              <w:ind w:left="0" w:leftChars="0"/>
              <w:jc w:val="center"/>
              <w:rPr>
                <w:color w:val="auto"/>
                <w:szCs w:val="24"/>
                <w:highlight w:val="none"/>
              </w:rPr>
            </w:pPr>
            <w:r>
              <w:rPr>
                <w:rFonts w:hint="eastAsia"/>
                <w:color w:val="auto"/>
                <w:szCs w:val="24"/>
                <w:highlight w:val="none"/>
              </w:rPr>
              <w:t>磋商响应文件的递交</w:t>
            </w:r>
          </w:p>
        </w:tc>
        <w:tc>
          <w:tcPr>
            <w:tcW w:w="3459" w:type="pct"/>
            <w:vAlign w:val="center"/>
          </w:tcPr>
          <w:p w14:paraId="12E4D42B">
            <w:pPr>
              <w:keepNext w:val="0"/>
              <w:keepLines w:val="0"/>
              <w:pageBreakBefore w:val="0"/>
              <w:kinsoku/>
              <w:wordWrap/>
              <w:overflowPunct/>
              <w:topLinePunct w:val="0"/>
              <w:autoSpaceDE/>
              <w:autoSpaceDN/>
              <w:bidi w:val="0"/>
              <w:snapToGrid w:val="0"/>
              <w:spacing w:line="240" w:lineRule="auto"/>
              <w:ind w:left="0" w:leftChars="0"/>
              <w:jc w:val="both"/>
              <w:rPr>
                <w:rFonts w:hint="eastAsia" w:hAnsi="宋体" w:cs="宋体"/>
                <w:color w:val="auto"/>
                <w:szCs w:val="24"/>
                <w:highlight w:val="none"/>
              </w:rPr>
            </w:pPr>
            <w:r>
              <w:rPr>
                <w:rFonts w:hint="eastAsia" w:hAnsi="宋体"/>
                <w:color w:val="auto"/>
                <w:szCs w:val="24"/>
                <w:highlight w:val="none"/>
              </w:rPr>
              <w:t>磋商响应文件递交截止时间：</w:t>
            </w:r>
            <w:r>
              <w:rPr>
                <w:rFonts w:hint="eastAsia" w:hAnsi="宋体" w:cs="宋体"/>
                <w:color w:val="auto"/>
                <w:szCs w:val="24"/>
                <w:highlight w:val="none"/>
              </w:rPr>
              <w:t>详见竞争性磋商公告</w:t>
            </w:r>
          </w:p>
          <w:p w14:paraId="6FAC43FE">
            <w:pPr>
              <w:keepNext w:val="0"/>
              <w:keepLines w:val="0"/>
              <w:pageBreakBefore w:val="0"/>
              <w:kinsoku/>
              <w:wordWrap/>
              <w:overflowPunct/>
              <w:topLinePunct w:val="0"/>
              <w:autoSpaceDE/>
              <w:autoSpaceDN/>
              <w:bidi w:val="0"/>
              <w:snapToGrid w:val="0"/>
              <w:spacing w:line="240" w:lineRule="auto"/>
              <w:ind w:left="0" w:leftChars="0"/>
              <w:jc w:val="both"/>
              <w:rPr>
                <w:rFonts w:hint="eastAsia" w:hAnsi="宋体" w:cs="宋体"/>
                <w:color w:val="auto"/>
                <w:szCs w:val="24"/>
                <w:highlight w:val="none"/>
              </w:rPr>
            </w:pPr>
            <w:r>
              <w:rPr>
                <w:rFonts w:hint="eastAsia" w:hAnsi="宋体"/>
                <w:color w:val="auto"/>
                <w:szCs w:val="24"/>
                <w:highlight w:val="none"/>
              </w:rPr>
              <w:t>磋商响应文件递交地址：</w:t>
            </w:r>
            <w:r>
              <w:rPr>
                <w:rFonts w:hint="eastAsia" w:hAnsi="宋体" w:cs="宋体"/>
                <w:color w:val="auto"/>
                <w:szCs w:val="24"/>
                <w:highlight w:val="none"/>
              </w:rPr>
              <w:t>详见竞争性磋商公告</w:t>
            </w:r>
          </w:p>
          <w:p w14:paraId="3EB96754">
            <w:pPr>
              <w:keepNext w:val="0"/>
              <w:keepLines w:val="0"/>
              <w:pageBreakBefore w:val="0"/>
              <w:kinsoku/>
              <w:wordWrap/>
              <w:overflowPunct/>
              <w:topLinePunct w:val="0"/>
              <w:autoSpaceDE/>
              <w:autoSpaceDN/>
              <w:bidi w:val="0"/>
              <w:snapToGrid w:val="0"/>
              <w:spacing w:line="240" w:lineRule="auto"/>
              <w:ind w:left="0" w:leftChars="0"/>
              <w:jc w:val="both"/>
              <w:rPr>
                <w:rFonts w:hint="eastAsia" w:hAnsi="宋体" w:eastAsia="宋体"/>
                <w:color w:val="auto"/>
                <w:szCs w:val="24"/>
                <w:highlight w:val="none"/>
                <w:lang w:eastAsia="zh-CN"/>
              </w:rPr>
            </w:pPr>
            <w:r>
              <w:rPr>
                <w:rFonts w:hint="eastAsia" w:hAnsi="宋体"/>
                <w:color w:val="auto"/>
                <w:szCs w:val="24"/>
                <w:highlight w:val="none"/>
              </w:rPr>
              <w:t>磋商响应文件接收人：</w:t>
            </w:r>
            <w:r>
              <w:rPr>
                <w:rFonts w:hint="eastAsia" w:hAnsi="宋体"/>
                <w:color w:val="auto"/>
                <w:szCs w:val="24"/>
                <w:highlight w:val="none"/>
                <w:lang w:eastAsia="zh-CN"/>
              </w:rPr>
              <w:t>致君项目管理有限公司</w:t>
            </w:r>
          </w:p>
        </w:tc>
      </w:tr>
      <w:tr w14:paraId="3CA005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87" w:hRule="atLeast"/>
          <w:jc w:val="center"/>
        </w:trPr>
        <w:tc>
          <w:tcPr>
            <w:tcW w:w="549" w:type="pct"/>
            <w:vAlign w:val="center"/>
          </w:tcPr>
          <w:p w14:paraId="3047E9C1">
            <w:pPr>
              <w:keepNext w:val="0"/>
              <w:keepLines w:val="0"/>
              <w:pageBreakBefore w:val="0"/>
              <w:kinsoku/>
              <w:wordWrap/>
              <w:overflowPunct/>
              <w:topLinePunct w:val="0"/>
              <w:autoSpaceDE/>
              <w:autoSpaceDN/>
              <w:bidi w:val="0"/>
              <w:snapToGrid w:val="0"/>
              <w:spacing w:line="240" w:lineRule="auto"/>
              <w:ind w:left="0" w:leftChars="0"/>
              <w:jc w:val="center"/>
              <w:rPr>
                <w:color w:val="auto"/>
                <w:szCs w:val="24"/>
                <w:highlight w:val="none"/>
              </w:rPr>
            </w:pPr>
            <w:r>
              <w:rPr>
                <w:color w:val="auto"/>
                <w:szCs w:val="24"/>
                <w:highlight w:val="none"/>
              </w:rPr>
              <w:t>2</w:t>
            </w:r>
            <w:r>
              <w:rPr>
                <w:rFonts w:hint="eastAsia"/>
                <w:color w:val="auto"/>
                <w:szCs w:val="24"/>
                <w:highlight w:val="none"/>
              </w:rPr>
              <w:t>2</w:t>
            </w:r>
            <w:r>
              <w:rPr>
                <w:color w:val="auto"/>
                <w:szCs w:val="24"/>
                <w:highlight w:val="none"/>
              </w:rPr>
              <w:t>.1</w:t>
            </w:r>
          </w:p>
        </w:tc>
        <w:tc>
          <w:tcPr>
            <w:tcW w:w="991" w:type="pct"/>
            <w:vAlign w:val="center"/>
          </w:tcPr>
          <w:p w14:paraId="51DF5A78">
            <w:pPr>
              <w:keepNext w:val="0"/>
              <w:keepLines w:val="0"/>
              <w:pageBreakBefore w:val="0"/>
              <w:kinsoku/>
              <w:wordWrap/>
              <w:overflowPunct/>
              <w:topLinePunct w:val="0"/>
              <w:autoSpaceDE/>
              <w:autoSpaceDN/>
              <w:bidi w:val="0"/>
              <w:snapToGrid w:val="0"/>
              <w:spacing w:line="240" w:lineRule="auto"/>
              <w:ind w:left="0" w:leftChars="0"/>
              <w:jc w:val="center"/>
              <w:rPr>
                <w:color w:val="auto"/>
                <w:szCs w:val="24"/>
                <w:highlight w:val="none"/>
              </w:rPr>
            </w:pPr>
            <w:r>
              <w:rPr>
                <w:rFonts w:hint="eastAsia"/>
                <w:color w:val="auto"/>
                <w:szCs w:val="24"/>
                <w:highlight w:val="none"/>
              </w:rPr>
              <w:t>磋商时间及地点</w:t>
            </w:r>
          </w:p>
        </w:tc>
        <w:tc>
          <w:tcPr>
            <w:tcW w:w="3459" w:type="pct"/>
            <w:vAlign w:val="center"/>
          </w:tcPr>
          <w:p w14:paraId="009E80C5">
            <w:pPr>
              <w:keepNext w:val="0"/>
              <w:keepLines w:val="0"/>
              <w:pageBreakBefore w:val="0"/>
              <w:kinsoku/>
              <w:wordWrap/>
              <w:overflowPunct/>
              <w:topLinePunct w:val="0"/>
              <w:autoSpaceDE/>
              <w:autoSpaceDN/>
              <w:bidi w:val="0"/>
              <w:snapToGrid w:val="0"/>
              <w:spacing w:line="240" w:lineRule="auto"/>
              <w:ind w:left="0" w:leftChars="0"/>
              <w:jc w:val="both"/>
              <w:rPr>
                <w:rFonts w:hint="eastAsia" w:hAnsi="宋体"/>
                <w:color w:val="auto"/>
                <w:szCs w:val="24"/>
                <w:highlight w:val="none"/>
              </w:rPr>
            </w:pPr>
            <w:r>
              <w:rPr>
                <w:rFonts w:hint="eastAsia" w:hAnsi="宋体"/>
                <w:color w:val="auto"/>
                <w:szCs w:val="24"/>
                <w:highlight w:val="none"/>
              </w:rPr>
              <w:t>磋商时间：</w:t>
            </w:r>
            <w:r>
              <w:rPr>
                <w:rFonts w:hint="eastAsia" w:hAnsi="宋体" w:cs="宋体"/>
                <w:color w:val="auto"/>
                <w:szCs w:val="24"/>
                <w:highlight w:val="none"/>
              </w:rPr>
              <w:t>详见竞争性磋商公告</w:t>
            </w:r>
          </w:p>
          <w:p w14:paraId="5BBEAA81">
            <w:pPr>
              <w:keepNext w:val="0"/>
              <w:keepLines w:val="0"/>
              <w:pageBreakBefore w:val="0"/>
              <w:kinsoku/>
              <w:wordWrap/>
              <w:overflowPunct/>
              <w:topLinePunct w:val="0"/>
              <w:autoSpaceDE/>
              <w:autoSpaceDN/>
              <w:bidi w:val="0"/>
              <w:snapToGrid w:val="0"/>
              <w:spacing w:line="240" w:lineRule="auto"/>
              <w:ind w:left="0" w:leftChars="0"/>
              <w:jc w:val="both"/>
              <w:rPr>
                <w:rFonts w:hint="eastAsia" w:hAnsi="宋体" w:cs="宋体"/>
                <w:color w:val="auto"/>
                <w:szCs w:val="24"/>
                <w:highlight w:val="none"/>
              </w:rPr>
            </w:pPr>
            <w:r>
              <w:rPr>
                <w:rFonts w:hint="eastAsia" w:hAnsi="宋体"/>
                <w:color w:val="auto"/>
                <w:szCs w:val="24"/>
                <w:highlight w:val="none"/>
              </w:rPr>
              <w:t>磋商地点：</w:t>
            </w:r>
            <w:r>
              <w:rPr>
                <w:rFonts w:hint="eastAsia" w:hAnsi="宋体" w:cs="宋体"/>
                <w:color w:val="auto"/>
                <w:szCs w:val="24"/>
                <w:highlight w:val="none"/>
              </w:rPr>
              <w:t>详见竞争性磋商公告</w:t>
            </w:r>
          </w:p>
        </w:tc>
      </w:tr>
      <w:tr w14:paraId="086893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49" w:type="pct"/>
            <w:vAlign w:val="center"/>
          </w:tcPr>
          <w:p w14:paraId="6209C22F">
            <w:pPr>
              <w:keepNext w:val="0"/>
              <w:keepLines w:val="0"/>
              <w:pageBreakBefore w:val="0"/>
              <w:kinsoku/>
              <w:wordWrap/>
              <w:overflowPunct/>
              <w:topLinePunct w:val="0"/>
              <w:autoSpaceDE/>
              <w:autoSpaceDN/>
              <w:bidi w:val="0"/>
              <w:snapToGrid w:val="0"/>
              <w:spacing w:line="240" w:lineRule="auto"/>
              <w:ind w:left="0" w:leftChars="0"/>
              <w:jc w:val="center"/>
              <w:rPr>
                <w:color w:val="auto"/>
                <w:szCs w:val="24"/>
                <w:highlight w:val="none"/>
              </w:rPr>
            </w:pPr>
            <w:r>
              <w:rPr>
                <w:rFonts w:hint="eastAsia"/>
                <w:color w:val="auto"/>
                <w:szCs w:val="24"/>
                <w:highlight w:val="none"/>
              </w:rPr>
              <w:t>25.1</w:t>
            </w:r>
          </w:p>
        </w:tc>
        <w:tc>
          <w:tcPr>
            <w:tcW w:w="991" w:type="pct"/>
            <w:vAlign w:val="center"/>
          </w:tcPr>
          <w:p w14:paraId="2B6B75B1">
            <w:pPr>
              <w:keepNext w:val="0"/>
              <w:keepLines w:val="0"/>
              <w:pageBreakBefore w:val="0"/>
              <w:kinsoku/>
              <w:wordWrap/>
              <w:overflowPunct/>
              <w:topLinePunct w:val="0"/>
              <w:autoSpaceDE/>
              <w:autoSpaceDN/>
              <w:bidi w:val="0"/>
              <w:snapToGrid w:val="0"/>
              <w:spacing w:line="240" w:lineRule="auto"/>
              <w:ind w:left="0" w:leftChars="0"/>
              <w:jc w:val="center"/>
              <w:rPr>
                <w:color w:val="auto"/>
                <w:szCs w:val="24"/>
                <w:highlight w:val="none"/>
              </w:rPr>
            </w:pPr>
            <w:r>
              <w:rPr>
                <w:rFonts w:hint="eastAsia"/>
                <w:color w:val="auto"/>
                <w:szCs w:val="24"/>
                <w:highlight w:val="none"/>
              </w:rPr>
              <w:t>评审方法</w:t>
            </w:r>
          </w:p>
        </w:tc>
        <w:tc>
          <w:tcPr>
            <w:tcW w:w="3459" w:type="pct"/>
            <w:vAlign w:val="center"/>
          </w:tcPr>
          <w:p w14:paraId="548EE15D">
            <w:pPr>
              <w:keepNext w:val="0"/>
              <w:keepLines w:val="0"/>
              <w:pageBreakBefore w:val="0"/>
              <w:kinsoku/>
              <w:wordWrap/>
              <w:overflowPunct/>
              <w:topLinePunct w:val="0"/>
              <w:autoSpaceDE/>
              <w:autoSpaceDN/>
              <w:bidi w:val="0"/>
              <w:snapToGrid w:val="0"/>
              <w:spacing w:line="240" w:lineRule="auto"/>
              <w:ind w:left="0" w:leftChars="0"/>
              <w:jc w:val="both"/>
              <w:rPr>
                <w:color w:val="auto"/>
                <w:szCs w:val="24"/>
                <w:highlight w:val="none"/>
              </w:rPr>
            </w:pPr>
            <w:r>
              <w:rPr>
                <w:rFonts w:hint="eastAsia"/>
                <w:color w:val="auto"/>
                <w:szCs w:val="24"/>
                <w:highlight w:val="none"/>
              </w:rPr>
              <w:t>综合评分法（详见第五章）</w:t>
            </w:r>
          </w:p>
        </w:tc>
      </w:tr>
      <w:tr w14:paraId="1DA685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134" w:hRule="atLeast"/>
          <w:jc w:val="center"/>
        </w:trPr>
        <w:tc>
          <w:tcPr>
            <w:tcW w:w="549" w:type="pct"/>
            <w:vAlign w:val="center"/>
          </w:tcPr>
          <w:p w14:paraId="2EEA23D0">
            <w:pPr>
              <w:keepNext w:val="0"/>
              <w:keepLines w:val="0"/>
              <w:pageBreakBefore w:val="0"/>
              <w:kinsoku/>
              <w:wordWrap/>
              <w:overflowPunct/>
              <w:topLinePunct w:val="0"/>
              <w:autoSpaceDE/>
              <w:autoSpaceDN/>
              <w:bidi w:val="0"/>
              <w:snapToGrid w:val="0"/>
              <w:spacing w:line="240" w:lineRule="auto"/>
              <w:ind w:left="0" w:leftChars="0"/>
              <w:jc w:val="center"/>
              <w:rPr>
                <w:color w:val="auto"/>
                <w:szCs w:val="24"/>
                <w:highlight w:val="none"/>
              </w:rPr>
            </w:pPr>
            <w:r>
              <w:rPr>
                <w:rFonts w:hint="eastAsia"/>
                <w:color w:val="auto"/>
                <w:szCs w:val="24"/>
                <w:highlight w:val="none"/>
              </w:rPr>
              <w:t>30</w:t>
            </w:r>
          </w:p>
        </w:tc>
        <w:tc>
          <w:tcPr>
            <w:tcW w:w="991" w:type="pct"/>
            <w:vAlign w:val="center"/>
          </w:tcPr>
          <w:p w14:paraId="676CB1E9">
            <w:pPr>
              <w:keepNext w:val="0"/>
              <w:keepLines w:val="0"/>
              <w:pageBreakBefore w:val="0"/>
              <w:kinsoku/>
              <w:wordWrap/>
              <w:overflowPunct/>
              <w:topLinePunct w:val="0"/>
              <w:autoSpaceDE/>
              <w:autoSpaceDN/>
              <w:bidi w:val="0"/>
              <w:snapToGrid w:val="0"/>
              <w:spacing w:line="240" w:lineRule="auto"/>
              <w:ind w:left="0" w:leftChars="0"/>
              <w:jc w:val="center"/>
              <w:rPr>
                <w:color w:val="auto"/>
                <w:szCs w:val="24"/>
                <w:highlight w:val="none"/>
              </w:rPr>
            </w:pPr>
            <w:r>
              <w:rPr>
                <w:rFonts w:hint="eastAsia"/>
                <w:color w:val="auto"/>
                <w:szCs w:val="24"/>
                <w:highlight w:val="none"/>
              </w:rPr>
              <w:t>招标代理服务费</w:t>
            </w:r>
          </w:p>
        </w:tc>
        <w:tc>
          <w:tcPr>
            <w:tcW w:w="3459" w:type="pct"/>
            <w:vAlign w:val="center"/>
          </w:tcPr>
          <w:p w14:paraId="2B7B748E">
            <w:pPr>
              <w:keepNext w:val="0"/>
              <w:keepLines w:val="0"/>
              <w:pageBreakBefore w:val="0"/>
              <w:widowControl w:val="0"/>
              <w:kinsoku/>
              <w:wordWrap/>
              <w:overflowPunct/>
              <w:topLinePunct w:val="0"/>
              <w:autoSpaceDE/>
              <w:autoSpaceDN/>
              <w:bidi w:val="0"/>
              <w:adjustRightInd w:val="0"/>
              <w:snapToGrid w:val="0"/>
              <w:spacing w:line="240" w:lineRule="auto"/>
              <w:ind w:left="0" w:leftChars="0"/>
              <w:jc w:val="both"/>
              <w:textAlignment w:val="auto"/>
              <w:rPr>
                <w:rFonts w:hint="eastAsia" w:hAnsi="宋体" w:cs="宋体"/>
                <w:color w:val="auto"/>
                <w:szCs w:val="24"/>
                <w:highlight w:val="none"/>
              </w:rPr>
            </w:pPr>
            <w:r>
              <w:rPr>
                <w:rFonts w:hint="eastAsia" w:hAnsi="宋体" w:cs="宋体"/>
                <w:color w:val="auto"/>
                <w:szCs w:val="24"/>
                <w:highlight w:val="none"/>
              </w:rPr>
              <w:t>招标代理服务费标准：</w:t>
            </w:r>
          </w:p>
          <w:p w14:paraId="68E86D70">
            <w:pPr>
              <w:pStyle w:val="2"/>
              <w:keepNext w:val="0"/>
              <w:keepLines w:val="0"/>
              <w:pageBreakBefore w:val="0"/>
              <w:widowControl w:val="0"/>
              <w:kinsoku/>
              <w:wordWrap/>
              <w:overflowPunct/>
              <w:topLinePunct w:val="0"/>
              <w:autoSpaceDE/>
              <w:autoSpaceDN/>
              <w:bidi w:val="0"/>
              <w:adjustRightInd w:val="0"/>
              <w:snapToGrid w:val="0"/>
              <w:spacing w:after="0" w:line="240" w:lineRule="auto"/>
              <w:textAlignment w:val="auto"/>
              <w:rPr>
                <w:rFonts w:hint="default"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本项目由采购人支付招标代理服务费。</w:t>
            </w:r>
          </w:p>
          <w:p w14:paraId="16A39C0E">
            <w:pPr>
              <w:keepNext w:val="0"/>
              <w:keepLines w:val="0"/>
              <w:pageBreakBefore w:val="0"/>
              <w:widowControl w:val="0"/>
              <w:kinsoku/>
              <w:wordWrap/>
              <w:overflowPunct/>
              <w:topLinePunct w:val="0"/>
              <w:autoSpaceDE/>
              <w:autoSpaceDN/>
              <w:bidi w:val="0"/>
              <w:adjustRightInd w:val="0"/>
              <w:snapToGrid w:val="0"/>
              <w:spacing w:line="240" w:lineRule="auto"/>
              <w:ind w:left="0" w:leftChars="0"/>
              <w:jc w:val="both"/>
              <w:textAlignment w:val="auto"/>
              <w:rPr>
                <w:color w:val="auto"/>
                <w:szCs w:val="24"/>
                <w:highlight w:val="none"/>
              </w:rPr>
            </w:pPr>
            <w:r>
              <w:rPr>
                <w:rFonts w:hint="eastAsia" w:hAnsi="宋体" w:cs="宋体"/>
                <w:color w:val="auto"/>
                <w:szCs w:val="24"/>
                <w:highlight w:val="none"/>
                <w:lang w:val="en-US" w:eastAsia="zh-CN"/>
              </w:rPr>
              <w:t>收费方式：本项目采购招标代理服务费按计价格〔2002〕1980号及发改价格〔2011〕534</w:t>
            </w:r>
            <w:bookmarkStart w:id="135" w:name="_GoBack"/>
            <w:bookmarkEnd w:id="135"/>
            <w:r>
              <w:rPr>
                <w:rFonts w:hint="eastAsia" w:hAnsi="宋体" w:cs="宋体"/>
                <w:color w:val="auto"/>
                <w:szCs w:val="24"/>
                <w:highlight w:val="none"/>
                <w:lang w:val="en-US" w:eastAsia="zh-CN"/>
              </w:rPr>
              <w:t>号文件规定标准计取，不足4000.00元，按4000.00元收取。</w:t>
            </w:r>
          </w:p>
        </w:tc>
      </w:tr>
      <w:tr w14:paraId="768CA8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134" w:hRule="atLeast"/>
          <w:jc w:val="center"/>
        </w:trPr>
        <w:tc>
          <w:tcPr>
            <w:tcW w:w="549" w:type="pct"/>
            <w:vAlign w:val="center"/>
          </w:tcPr>
          <w:p w14:paraId="1851C822">
            <w:pPr>
              <w:keepNext w:val="0"/>
              <w:keepLines w:val="0"/>
              <w:pageBreakBefore w:val="0"/>
              <w:kinsoku/>
              <w:wordWrap/>
              <w:overflowPunct/>
              <w:topLinePunct w:val="0"/>
              <w:autoSpaceDE/>
              <w:autoSpaceDN/>
              <w:bidi w:val="0"/>
              <w:snapToGrid w:val="0"/>
              <w:spacing w:line="240" w:lineRule="auto"/>
              <w:ind w:left="0" w:leftChars="0"/>
              <w:jc w:val="center"/>
              <w:rPr>
                <w:color w:val="auto"/>
                <w:szCs w:val="24"/>
                <w:highlight w:val="none"/>
              </w:rPr>
            </w:pPr>
            <w:r>
              <w:rPr>
                <w:rFonts w:hint="eastAsia" w:hAnsi="宋体" w:cs="宋体"/>
                <w:color w:val="auto"/>
                <w:szCs w:val="24"/>
                <w:highlight w:val="none"/>
              </w:rPr>
              <w:t>32.1</w:t>
            </w:r>
          </w:p>
        </w:tc>
        <w:tc>
          <w:tcPr>
            <w:tcW w:w="991" w:type="pct"/>
            <w:vAlign w:val="center"/>
          </w:tcPr>
          <w:p w14:paraId="14776D76">
            <w:pPr>
              <w:keepNext w:val="0"/>
              <w:keepLines w:val="0"/>
              <w:pageBreakBefore w:val="0"/>
              <w:kinsoku/>
              <w:wordWrap/>
              <w:overflowPunct/>
              <w:topLinePunct w:val="0"/>
              <w:autoSpaceDE/>
              <w:autoSpaceDN/>
              <w:bidi w:val="0"/>
              <w:snapToGrid w:val="0"/>
              <w:spacing w:line="240" w:lineRule="auto"/>
              <w:ind w:left="0" w:leftChars="0"/>
              <w:jc w:val="center"/>
              <w:rPr>
                <w:color w:val="auto"/>
                <w:szCs w:val="24"/>
                <w:highlight w:val="none"/>
              </w:rPr>
            </w:pPr>
            <w:r>
              <w:rPr>
                <w:rFonts w:hint="eastAsia" w:hAnsi="宋体" w:cs="宋体"/>
                <w:color w:val="auto"/>
                <w:szCs w:val="24"/>
                <w:highlight w:val="none"/>
              </w:rPr>
              <w:t>履约验收</w:t>
            </w:r>
          </w:p>
        </w:tc>
        <w:tc>
          <w:tcPr>
            <w:tcW w:w="3459" w:type="pct"/>
            <w:vAlign w:val="center"/>
          </w:tcPr>
          <w:p w14:paraId="44AF08AE">
            <w:pPr>
              <w:keepNext w:val="0"/>
              <w:keepLines w:val="0"/>
              <w:pageBreakBefore w:val="0"/>
              <w:kinsoku/>
              <w:wordWrap/>
              <w:overflowPunct/>
              <w:topLinePunct w:val="0"/>
              <w:autoSpaceDE/>
              <w:autoSpaceDN/>
              <w:bidi w:val="0"/>
              <w:snapToGrid w:val="0"/>
              <w:spacing w:line="240" w:lineRule="auto"/>
              <w:ind w:left="0" w:leftChars="0"/>
              <w:jc w:val="both"/>
              <w:rPr>
                <w:color w:val="auto"/>
                <w:szCs w:val="24"/>
                <w:highlight w:val="none"/>
              </w:rPr>
            </w:pPr>
            <w:r>
              <w:rPr>
                <w:rFonts w:hint="eastAsia"/>
                <w:color w:val="auto"/>
                <w:szCs w:val="24"/>
                <w:highlight w:val="none"/>
              </w:rPr>
              <w:t>是否委托采购代理机构组织履约验收：</w:t>
            </w:r>
          </w:p>
          <w:p w14:paraId="09ECD9A0">
            <w:pPr>
              <w:keepNext w:val="0"/>
              <w:keepLines w:val="0"/>
              <w:pageBreakBefore w:val="0"/>
              <w:kinsoku/>
              <w:wordWrap/>
              <w:overflowPunct/>
              <w:topLinePunct w:val="0"/>
              <w:autoSpaceDE/>
              <w:autoSpaceDN/>
              <w:bidi w:val="0"/>
              <w:snapToGrid w:val="0"/>
              <w:spacing w:line="240" w:lineRule="auto"/>
              <w:ind w:left="0" w:leftChars="0"/>
              <w:jc w:val="both"/>
              <w:rPr>
                <w:color w:val="auto"/>
                <w:szCs w:val="24"/>
                <w:highlight w:val="none"/>
              </w:rPr>
            </w:pPr>
            <w:r>
              <w:rPr>
                <w:rFonts w:hint="eastAsia" w:ascii="Segoe UI Symbol" w:hAnsi="Segoe UI Symbol" w:cs="Segoe UI Symbol"/>
                <w:color w:val="auto"/>
                <w:szCs w:val="24"/>
                <w:highlight w:val="none"/>
              </w:rPr>
              <w:t>□</w:t>
            </w:r>
            <w:r>
              <w:rPr>
                <w:rFonts w:hint="eastAsia"/>
                <w:color w:val="auto"/>
                <w:szCs w:val="24"/>
                <w:highlight w:val="none"/>
              </w:rPr>
              <w:t>是，验收费用含在代理服务费中。</w:t>
            </w:r>
          </w:p>
          <w:p w14:paraId="5E657D81">
            <w:pPr>
              <w:keepNext w:val="0"/>
              <w:keepLines w:val="0"/>
              <w:pageBreakBefore w:val="0"/>
              <w:kinsoku/>
              <w:wordWrap/>
              <w:overflowPunct/>
              <w:topLinePunct w:val="0"/>
              <w:autoSpaceDE/>
              <w:autoSpaceDN/>
              <w:bidi w:val="0"/>
              <w:snapToGrid w:val="0"/>
              <w:spacing w:line="240" w:lineRule="auto"/>
              <w:ind w:left="0" w:leftChars="0"/>
              <w:jc w:val="both"/>
              <w:rPr>
                <w:color w:val="auto"/>
                <w:szCs w:val="24"/>
                <w:highlight w:val="none"/>
              </w:rPr>
            </w:pPr>
            <w:r>
              <w:rPr>
                <w:rFonts w:ascii="Segoe UI Symbol" w:hAnsi="Segoe UI Symbol" w:cs="Segoe UI Symbol"/>
                <w:color w:val="auto"/>
                <w:szCs w:val="24"/>
                <w:highlight w:val="none"/>
              </w:rPr>
              <w:t>☑</w:t>
            </w:r>
            <w:r>
              <w:rPr>
                <w:rFonts w:hint="eastAsia"/>
                <w:color w:val="auto"/>
                <w:szCs w:val="24"/>
                <w:highlight w:val="none"/>
              </w:rPr>
              <w:t>否。</w:t>
            </w:r>
          </w:p>
        </w:tc>
      </w:tr>
      <w:tr w14:paraId="2905FB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134" w:hRule="atLeast"/>
          <w:jc w:val="center"/>
        </w:trPr>
        <w:tc>
          <w:tcPr>
            <w:tcW w:w="549" w:type="pct"/>
            <w:vAlign w:val="center"/>
          </w:tcPr>
          <w:p w14:paraId="5A0AF9B2">
            <w:pPr>
              <w:keepNext w:val="0"/>
              <w:keepLines w:val="0"/>
              <w:pageBreakBefore w:val="0"/>
              <w:kinsoku/>
              <w:wordWrap/>
              <w:overflowPunct/>
              <w:topLinePunct w:val="0"/>
              <w:autoSpaceDE/>
              <w:autoSpaceDN/>
              <w:bidi w:val="0"/>
              <w:snapToGrid w:val="0"/>
              <w:spacing w:line="240" w:lineRule="auto"/>
              <w:ind w:left="0" w:leftChars="0"/>
              <w:jc w:val="center"/>
              <w:rPr>
                <w:rFonts w:hint="eastAsia" w:hAnsi="宋体"/>
                <w:color w:val="auto"/>
                <w:szCs w:val="24"/>
                <w:highlight w:val="none"/>
              </w:rPr>
            </w:pPr>
            <w:r>
              <w:rPr>
                <w:rFonts w:hint="eastAsia" w:hAnsi="宋体" w:cs="宋体"/>
                <w:color w:val="auto"/>
                <w:szCs w:val="24"/>
                <w:highlight w:val="none"/>
              </w:rPr>
              <w:t>/</w:t>
            </w:r>
          </w:p>
        </w:tc>
        <w:tc>
          <w:tcPr>
            <w:tcW w:w="991" w:type="pct"/>
            <w:vAlign w:val="center"/>
          </w:tcPr>
          <w:p w14:paraId="721A1281">
            <w:pPr>
              <w:keepNext w:val="0"/>
              <w:keepLines w:val="0"/>
              <w:pageBreakBefore w:val="0"/>
              <w:kinsoku/>
              <w:wordWrap/>
              <w:overflowPunct/>
              <w:topLinePunct w:val="0"/>
              <w:autoSpaceDE/>
              <w:autoSpaceDN/>
              <w:bidi w:val="0"/>
              <w:snapToGrid w:val="0"/>
              <w:spacing w:line="240" w:lineRule="auto"/>
              <w:ind w:left="0" w:leftChars="0"/>
              <w:jc w:val="center"/>
              <w:rPr>
                <w:rFonts w:hint="eastAsia" w:hAnsi="宋体" w:cs="宋体"/>
                <w:color w:val="auto"/>
                <w:szCs w:val="24"/>
                <w:highlight w:val="none"/>
              </w:rPr>
            </w:pPr>
            <w:r>
              <w:rPr>
                <w:rFonts w:hint="eastAsia" w:hAnsi="宋体" w:cs="宋体"/>
                <w:color w:val="auto"/>
                <w:szCs w:val="24"/>
                <w:highlight w:val="none"/>
              </w:rPr>
              <w:t>履约担保</w:t>
            </w:r>
          </w:p>
        </w:tc>
        <w:tc>
          <w:tcPr>
            <w:tcW w:w="3459" w:type="pct"/>
            <w:vAlign w:val="center"/>
          </w:tcPr>
          <w:p w14:paraId="6D44CDD4">
            <w:pPr>
              <w:keepNext w:val="0"/>
              <w:keepLines w:val="0"/>
              <w:pageBreakBefore w:val="0"/>
              <w:kinsoku/>
              <w:wordWrap/>
              <w:overflowPunct/>
              <w:topLinePunct w:val="0"/>
              <w:autoSpaceDE/>
              <w:autoSpaceDN/>
              <w:bidi w:val="0"/>
              <w:snapToGrid w:val="0"/>
              <w:spacing w:line="240" w:lineRule="auto"/>
              <w:ind w:left="0" w:leftChars="0"/>
              <w:jc w:val="both"/>
              <w:rPr>
                <w:rFonts w:hint="eastAsia" w:hAnsi="宋体" w:cs="宋体"/>
                <w:color w:val="auto"/>
                <w:szCs w:val="24"/>
                <w:highlight w:val="none"/>
              </w:rPr>
            </w:pPr>
            <w:r>
              <w:rPr>
                <w:rFonts w:ascii="Segoe UI Symbol" w:hAnsi="Segoe UI Symbol" w:cs="Segoe UI Symbol"/>
                <w:color w:val="auto"/>
                <w:szCs w:val="24"/>
                <w:highlight w:val="none"/>
              </w:rPr>
              <w:t>☑</w:t>
            </w:r>
            <w:r>
              <w:rPr>
                <w:rFonts w:hint="eastAsia" w:hAnsi="宋体" w:cs="宋体"/>
                <w:color w:val="auto"/>
                <w:szCs w:val="24"/>
                <w:highlight w:val="none"/>
              </w:rPr>
              <w:t>不要求提供</w:t>
            </w:r>
          </w:p>
          <w:p w14:paraId="03993EAC">
            <w:pPr>
              <w:keepNext w:val="0"/>
              <w:keepLines w:val="0"/>
              <w:pageBreakBefore w:val="0"/>
              <w:kinsoku/>
              <w:wordWrap/>
              <w:overflowPunct/>
              <w:topLinePunct w:val="0"/>
              <w:autoSpaceDE/>
              <w:autoSpaceDN/>
              <w:bidi w:val="0"/>
              <w:snapToGrid w:val="0"/>
              <w:spacing w:line="240" w:lineRule="auto"/>
              <w:ind w:left="0" w:leftChars="0"/>
              <w:jc w:val="both"/>
              <w:rPr>
                <w:rFonts w:hint="eastAsia" w:hAnsi="宋体"/>
                <w:b/>
                <w:bCs/>
                <w:color w:val="auto"/>
                <w:szCs w:val="24"/>
                <w:highlight w:val="none"/>
              </w:rPr>
            </w:pPr>
            <w:r>
              <w:rPr>
                <w:rFonts w:hint="eastAsia" w:hAnsi="宋体" w:cs="宋体"/>
                <w:color w:val="auto"/>
                <w:szCs w:val="24"/>
                <w:highlight w:val="none"/>
              </w:rPr>
              <w:t>□要求提供，本采购项目履约保证金为合同金额的5%，提交方式为：转账、电汇、担保机构保函。</w:t>
            </w:r>
          </w:p>
        </w:tc>
      </w:tr>
      <w:tr w14:paraId="770217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49" w:type="pct"/>
            <w:vAlign w:val="center"/>
          </w:tcPr>
          <w:p w14:paraId="65871A0E">
            <w:pPr>
              <w:keepNext w:val="0"/>
              <w:keepLines w:val="0"/>
              <w:pageBreakBefore w:val="0"/>
              <w:kinsoku/>
              <w:wordWrap/>
              <w:overflowPunct/>
              <w:topLinePunct w:val="0"/>
              <w:autoSpaceDE/>
              <w:autoSpaceDN/>
              <w:bidi w:val="0"/>
              <w:snapToGrid w:val="0"/>
              <w:spacing w:line="240" w:lineRule="auto"/>
              <w:ind w:left="0" w:leftChars="0"/>
              <w:jc w:val="center"/>
              <w:rPr>
                <w:rFonts w:hint="eastAsia" w:hAnsi="宋体"/>
                <w:color w:val="auto"/>
                <w:szCs w:val="24"/>
                <w:highlight w:val="none"/>
              </w:rPr>
            </w:pPr>
            <w:r>
              <w:rPr>
                <w:rFonts w:hint="eastAsia" w:hAnsi="宋体" w:cs="宋体"/>
                <w:color w:val="auto"/>
                <w:szCs w:val="24"/>
                <w:highlight w:val="none"/>
              </w:rPr>
              <w:t>/</w:t>
            </w:r>
          </w:p>
        </w:tc>
        <w:tc>
          <w:tcPr>
            <w:tcW w:w="991" w:type="pct"/>
            <w:vAlign w:val="center"/>
          </w:tcPr>
          <w:p w14:paraId="0AFF7DCE">
            <w:pPr>
              <w:keepNext w:val="0"/>
              <w:keepLines w:val="0"/>
              <w:pageBreakBefore w:val="0"/>
              <w:kinsoku/>
              <w:wordWrap/>
              <w:overflowPunct/>
              <w:topLinePunct w:val="0"/>
              <w:autoSpaceDE/>
              <w:autoSpaceDN/>
              <w:bidi w:val="0"/>
              <w:snapToGrid w:val="0"/>
              <w:spacing w:line="240" w:lineRule="auto"/>
              <w:ind w:left="0" w:leftChars="0"/>
              <w:jc w:val="center"/>
              <w:rPr>
                <w:rFonts w:hint="eastAsia" w:hAnsi="宋体" w:cs="宋体"/>
                <w:color w:val="auto"/>
                <w:szCs w:val="24"/>
                <w:highlight w:val="none"/>
              </w:rPr>
            </w:pPr>
            <w:r>
              <w:rPr>
                <w:rFonts w:hint="eastAsia" w:hAnsi="宋体" w:cs="宋体"/>
                <w:color w:val="auto"/>
                <w:szCs w:val="24"/>
                <w:highlight w:val="none"/>
              </w:rPr>
              <w:t>踏勘现场</w:t>
            </w:r>
          </w:p>
        </w:tc>
        <w:tc>
          <w:tcPr>
            <w:tcW w:w="3459" w:type="pct"/>
            <w:vAlign w:val="center"/>
          </w:tcPr>
          <w:p w14:paraId="0689FED6">
            <w:pPr>
              <w:keepNext w:val="0"/>
              <w:keepLines w:val="0"/>
              <w:pageBreakBefore w:val="0"/>
              <w:kinsoku/>
              <w:wordWrap/>
              <w:overflowPunct/>
              <w:topLinePunct w:val="0"/>
              <w:autoSpaceDE/>
              <w:autoSpaceDN/>
              <w:bidi w:val="0"/>
              <w:snapToGrid w:val="0"/>
              <w:spacing w:line="240" w:lineRule="auto"/>
              <w:ind w:left="0" w:leftChars="0"/>
              <w:jc w:val="both"/>
              <w:rPr>
                <w:rFonts w:hint="eastAsia" w:hAnsi="宋体" w:eastAsia="宋体"/>
                <w:color w:val="auto"/>
                <w:szCs w:val="24"/>
                <w:highlight w:val="none"/>
                <w:lang w:eastAsia="zh-CN"/>
              </w:rPr>
            </w:pPr>
            <w:r>
              <w:rPr>
                <w:rFonts w:hint="eastAsia" w:hAnsi="宋体" w:cs="宋体"/>
                <w:color w:val="auto"/>
                <w:szCs w:val="24"/>
                <w:highlight w:val="none"/>
              </w:rPr>
              <w:t>不</w:t>
            </w:r>
            <w:r>
              <w:rPr>
                <w:rFonts w:hint="eastAsia" w:hAnsi="宋体" w:cs="宋体"/>
                <w:color w:val="auto"/>
                <w:szCs w:val="24"/>
                <w:highlight w:val="none"/>
                <w:lang w:eastAsia="zh-CN"/>
              </w:rPr>
              <w:t>组织：供应商自行踏勘食堂场地、后厨设备，费用自理。</w:t>
            </w:r>
          </w:p>
        </w:tc>
      </w:tr>
      <w:tr w14:paraId="2ACEA6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49" w:type="pct"/>
            <w:vAlign w:val="center"/>
          </w:tcPr>
          <w:p w14:paraId="26525F8D">
            <w:pPr>
              <w:keepNext w:val="0"/>
              <w:keepLines w:val="0"/>
              <w:pageBreakBefore w:val="0"/>
              <w:kinsoku/>
              <w:wordWrap/>
              <w:overflowPunct/>
              <w:topLinePunct w:val="0"/>
              <w:autoSpaceDE/>
              <w:autoSpaceDN/>
              <w:bidi w:val="0"/>
              <w:snapToGrid w:val="0"/>
              <w:spacing w:line="240" w:lineRule="auto"/>
              <w:ind w:left="0" w:leftChars="0"/>
              <w:jc w:val="center"/>
              <w:rPr>
                <w:rFonts w:hint="eastAsia" w:hAnsi="宋体"/>
                <w:color w:val="auto"/>
                <w:szCs w:val="24"/>
                <w:highlight w:val="none"/>
              </w:rPr>
            </w:pPr>
            <w:r>
              <w:rPr>
                <w:rFonts w:hint="eastAsia" w:hAnsi="宋体" w:cs="宋体"/>
                <w:color w:val="auto"/>
                <w:szCs w:val="24"/>
                <w:highlight w:val="none"/>
              </w:rPr>
              <w:t>/</w:t>
            </w:r>
          </w:p>
        </w:tc>
        <w:tc>
          <w:tcPr>
            <w:tcW w:w="991" w:type="pct"/>
            <w:vAlign w:val="center"/>
          </w:tcPr>
          <w:p w14:paraId="41285DB1">
            <w:pPr>
              <w:keepNext w:val="0"/>
              <w:keepLines w:val="0"/>
              <w:pageBreakBefore w:val="0"/>
              <w:kinsoku/>
              <w:wordWrap/>
              <w:overflowPunct/>
              <w:topLinePunct w:val="0"/>
              <w:autoSpaceDE/>
              <w:autoSpaceDN/>
              <w:bidi w:val="0"/>
              <w:snapToGrid w:val="0"/>
              <w:spacing w:line="240" w:lineRule="auto"/>
              <w:ind w:left="0" w:leftChars="0"/>
              <w:jc w:val="center"/>
              <w:rPr>
                <w:rFonts w:hint="eastAsia" w:hAnsi="宋体"/>
                <w:color w:val="auto"/>
                <w:szCs w:val="24"/>
                <w:highlight w:val="none"/>
              </w:rPr>
            </w:pPr>
            <w:r>
              <w:rPr>
                <w:rFonts w:hint="eastAsia" w:hAnsi="宋体" w:cs="宋体"/>
                <w:color w:val="auto"/>
                <w:szCs w:val="24"/>
                <w:highlight w:val="none"/>
              </w:rPr>
              <w:t>一致性</w:t>
            </w:r>
          </w:p>
        </w:tc>
        <w:tc>
          <w:tcPr>
            <w:tcW w:w="3459" w:type="pct"/>
            <w:vAlign w:val="center"/>
          </w:tcPr>
          <w:p w14:paraId="449F355A">
            <w:pPr>
              <w:keepNext w:val="0"/>
              <w:keepLines w:val="0"/>
              <w:pageBreakBefore w:val="0"/>
              <w:kinsoku/>
              <w:wordWrap/>
              <w:overflowPunct/>
              <w:topLinePunct w:val="0"/>
              <w:autoSpaceDE/>
              <w:autoSpaceDN/>
              <w:bidi w:val="0"/>
              <w:snapToGrid w:val="0"/>
              <w:spacing w:line="240" w:lineRule="auto"/>
              <w:ind w:left="0" w:leftChars="0"/>
              <w:jc w:val="both"/>
              <w:rPr>
                <w:rFonts w:hint="eastAsia" w:hAnsi="宋体"/>
                <w:color w:val="auto"/>
                <w:szCs w:val="24"/>
                <w:highlight w:val="none"/>
              </w:rPr>
            </w:pPr>
            <w:r>
              <w:rPr>
                <w:rFonts w:hint="eastAsia" w:hAnsi="宋体" w:cs="宋体"/>
                <w:color w:val="auto"/>
                <w:szCs w:val="24"/>
                <w:highlight w:val="none"/>
              </w:rPr>
              <w:t>供应商须知前附表和供应商须知不一致的地方，以供应商须知前附表为准。</w:t>
            </w:r>
          </w:p>
        </w:tc>
      </w:tr>
      <w:tr w14:paraId="7A8015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083" w:hRule="atLeast"/>
          <w:jc w:val="center"/>
        </w:trPr>
        <w:tc>
          <w:tcPr>
            <w:tcW w:w="549" w:type="pct"/>
            <w:vAlign w:val="center"/>
          </w:tcPr>
          <w:p w14:paraId="54DCDA51">
            <w:pPr>
              <w:keepNext w:val="0"/>
              <w:keepLines w:val="0"/>
              <w:pageBreakBefore w:val="0"/>
              <w:kinsoku/>
              <w:wordWrap/>
              <w:overflowPunct/>
              <w:topLinePunct w:val="0"/>
              <w:autoSpaceDE/>
              <w:autoSpaceDN/>
              <w:bidi w:val="0"/>
              <w:snapToGrid w:val="0"/>
              <w:spacing w:line="240" w:lineRule="auto"/>
              <w:ind w:left="0" w:leftChars="0"/>
              <w:jc w:val="center"/>
              <w:rPr>
                <w:rFonts w:hint="eastAsia" w:hAnsi="宋体" w:cs="宋体"/>
                <w:color w:val="auto"/>
                <w:szCs w:val="24"/>
                <w:highlight w:val="none"/>
              </w:rPr>
            </w:pPr>
            <w:r>
              <w:rPr>
                <w:rFonts w:hint="eastAsia" w:hAnsi="宋体" w:cs="宋体"/>
                <w:color w:val="auto"/>
                <w:szCs w:val="24"/>
                <w:highlight w:val="none"/>
              </w:rPr>
              <w:t>/</w:t>
            </w:r>
          </w:p>
        </w:tc>
        <w:tc>
          <w:tcPr>
            <w:tcW w:w="991" w:type="pct"/>
            <w:vAlign w:val="center"/>
          </w:tcPr>
          <w:p w14:paraId="37B03A5B">
            <w:pPr>
              <w:keepNext w:val="0"/>
              <w:keepLines w:val="0"/>
              <w:pageBreakBefore w:val="0"/>
              <w:kinsoku/>
              <w:wordWrap/>
              <w:overflowPunct/>
              <w:topLinePunct w:val="0"/>
              <w:autoSpaceDE/>
              <w:autoSpaceDN/>
              <w:bidi w:val="0"/>
              <w:snapToGrid w:val="0"/>
              <w:spacing w:line="240" w:lineRule="auto"/>
              <w:ind w:left="0" w:leftChars="0"/>
              <w:jc w:val="center"/>
              <w:rPr>
                <w:rFonts w:hint="eastAsia" w:hAnsi="宋体" w:cs="宋体"/>
                <w:color w:val="auto"/>
                <w:szCs w:val="24"/>
                <w:highlight w:val="none"/>
              </w:rPr>
            </w:pPr>
            <w:r>
              <w:rPr>
                <w:rFonts w:hint="eastAsia" w:hAnsi="宋体" w:cs="宋体"/>
                <w:color w:val="auto"/>
                <w:szCs w:val="24"/>
                <w:highlight w:val="none"/>
              </w:rPr>
              <w:t>所属行业</w:t>
            </w:r>
          </w:p>
        </w:tc>
        <w:tc>
          <w:tcPr>
            <w:tcW w:w="3459" w:type="pct"/>
            <w:vAlign w:val="center"/>
          </w:tcPr>
          <w:p w14:paraId="7EBB823B">
            <w:pPr>
              <w:keepNext w:val="0"/>
              <w:keepLines w:val="0"/>
              <w:pageBreakBefore w:val="0"/>
              <w:kinsoku/>
              <w:wordWrap/>
              <w:overflowPunct/>
              <w:topLinePunct w:val="0"/>
              <w:autoSpaceDE/>
              <w:autoSpaceDN/>
              <w:bidi w:val="0"/>
              <w:snapToGrid w:val="0"/>
              <w:spacing w:line="240" w:lineRule="auto"/>
              <w:ind w:left="0" w:leftChars="0"/>
              <w:jc w:val="both"/>
              <w:rPr>
                <w:rFonts w:hint="eastAsia" w:hAnsi="宋体" w:cs="宋体"/>
                <w:color w:val="auto"/>
                <w:szCs w:val="24"/>
                <w:highlight w:val="none"/>
              </w:rPr>
            </w:pPr>
            <w:r>
              <w:rPr>
                <w:rFonts w:hint="eastAsia" w:hAnsi="宋体" w:cs="宋体"/>
                <w:color w:val="auto"/>
                <w:szCs w:val="24"/>
                <w:highlight w:val="none"/>
              </w:rPr>
              <w:t>根据《政府采购促进中小企业发展管理办法》（财库〔2020〕46号）规定和《中小企业划型标准规定》（工信部联企业〔2011〕300号）规定，本项目所属行业为：</w:t>
            </w:r>
            <w:r>
              <w:rPr>
                <w:rFonts w:hint="eastAsia" w:hAnsi="宋体" w:cs="宋体"/>
                <w:b/>
                <w:bCs/>
                <w:color w:val="auto"/>
                <w:szCs w:val="24"/>
                <w:highlight w:val="none"/>
                <w:u w:val="single"/>
                <w:lang w:val="en-US" w:eastAsia="zh-CN"/>
              </w:rPr>
              <w:t>餐饮业</w:t>
            </w:r>
            <w:r>
              <w:rPr>
                <w:rFonts w:hint="eastAsia" w:hAnsi="宋体" w:cs="宋体"/>
                <w:color w:val="auto"/>
                <w:szCs w:val="24"/>
                <w:highlight w:val="none"/>
              </w:rPr>
              <w:t>。</w:t>
            </w:r>
          </w:p>
        </w:tc>
      </w:tr>
      <w:tr w14:paraId="3F1611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730" w:hRule="atLeast"/>
          <w:jc w:val="center"/>
        </w:trPr>
        <w:tc>
          <w:tcPr>
            <w:tcW w:w="549" w:type="pct"/>
            <w:vAlign w:val="center"/>
          </w:tcPr>
          <w:p w14:paraId="23E4271B">
            <w:pPr>
              <w:keepNext w:val="0"/>
              <w:keepLines w:val="0"/>
              <w:pageBreakBefore w:val="0"/>
              <w:kinsoku/>
              <w:wordWrap/>
              <w:overflowPunct/>
              <w:topLinePunct w:val="0"/>
              <w:autoSpaceDE/>
              <w:autoSpaceDN/>
              <w:bidi w:val="0"/>
              <w:snapToGrid w:val="0"/>
              <w:spacing w:line="240" w:lineRule="auto"/>
              <w:ind w:left="0" w:leftChars="0"/>
              <w:jc w:val="center"/>
              <w:rPr>
                <w:rFonts w:hint="eastAsia" w:hAnsi="宋体" w:cs="宋体"/>
                <w:color w:val="auto"/>
                <w:szCs w:val="24"/>
                <w:highlight w:val="none"/>
              </w:rPr>
            </w:pPr>
            <w:bookmarkStart w:id="36" w:name="_Toc25783"/>
            <w:bookmarkStart w:id="37" w:name="_Toc9896"/>
            <w:bookmarkStart w:id="38" w:name="_Toc423973074"/>
            <w:bookmarkStart w:id="39" w:name="_Toc403077645"/>
            <w:bookmarkStart w:id="40" w:name="_Toc363474023"/>
            <w:r>
              <w:rPr>
                <w:rFonts w:hint="eastAsia" w:hAnsi="宋体" w:cs="宋体"/>
                <w:color w:val="auto"/>
                <w:szCs w:val="24"/>
                <w:highlight w:val="none"/>
              </w:rPr>
              <w:t>/</w:t>
            </w:r>
          </w:p>
        </w:tc>
        <w:tc>
          <w:tcPr>
            <w:tcW w:w="991" w:type="pct"/>
            <w:vAlign w:val="center"/>
          </w:tcPr>
          <w:p w14:paraId="4F464C42">
            <w:pPr>
              <w:pStyle w:val="211"/>
              <w:keepNext w:val="0"/>
              <w:keepLines w:val="0"/>
              <w:pageBreakBefore w:val="0"/>
              <w:kinsoku/>
              <w:wordWrap/>
              <w:overflowPunct/>
              <w:topLinePunct w:val="0"/>
              <w:autoSpaceDE/>
              <w:autoSpaceDN/>
              <w:bidi w:val="0"/>
              <w:snapToGrid w:val="0"/>
              <w:spacing w:line="240" w:lineRule="auto"/>
              <w:ind w:left="0" w:leftChars="0"/>
              <w:jc w:val="center"/>
              <w:rPr>
                <w:rFonts w:hint="default"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不正当竞争预防措施</w:t>
            </w:r>
          </w:p>
          <w:p w14:paraId="43B5EC55">
            <w:pPr>
              <w:pStyle w:val="211"/>
              <w:keepNext w:val="0"/>
              <w:keepLines w:val="0"/>
              <w:pageBreakBefore w:val="0"/>
              <w:kinsoku/>
              <w:wordWrap/>
              <w:overflowPunct/>
              <w:topLinePunct w:val="0"/>
              <w:autoSpaceDE/>
              <w:autoSpaceDN/>
              <w:bidi w:val="0"/>
              <w:snapToGrid w:val="0"/>
              <w:spacing w:line="240" w:lineRule="auto"/>
              <w:ind w:left="0" w:leftChars="0"/>
              <w:jc w:val="center"/>
              <w:rPr>
                <w:rFonts w:hint="eastAsia" w:hAnsi="宋体" w:cs="宋体"/>
                <w:color w:val="auto"/>
                <w:szCs w:val="24"/>
                <w:highlight w:val="none"/>
              </w:rPr>
            </w:pPr>
            <w:r>
              <w:rPr>
                <w:rFonts w:ascii="宋体" w:hAnsi="宋体" w:eastAsia="宋体" w:cs="宋体"/>
                <w:color w:val="auto"/>
                <w:sz w:val="24"/>
                <w:szCs w:val="24"/>
                <w:highlight w:val="none"/>
                <w:lang w:eastAsia="zh-CN"/>
              </w:rPr>
              <w:t>（实质性要求）</w:t>
            </w:r>
          </w:p>
        </w:tc>
        <w:tc>
          <w:tcPr>
            <w:tcW w:w="3459" w:type="pct"/>
            <w:vAlign w:val="center"/>
          </w:tcPr>
          <w:p w14:paraId="4C76400F">
            <w:pPr>
              <w:keepNext w:val="0"/>
              <w:keepLines w:val="0"/>
              <w:pageBreakBefore w:val="0"/>
              <w:kinsoku/>
              <w:wordWrap/>
              <w:overflowPunct/>
              <w:topLinePunct w:val="0"/>
              <w:autoSpaceDE/>
              <w:autoSpaceDN/>
              <w:bidi w:val="0"/>
              <w:snapToGrid w:val="0"/>
              <w:spacing w:line="240" w:lineRule="auto"/>
              <w:ind w:left="0" w:leftChars="0"/>
              <w:jc w:val="both"/>
              <w:rPr>
                <w:rFonts w:hint="eastAsia" w:hAnsi="宋体" w:cs="宋体"/>
                <w:color w:val="auto"/>
                <w:szCs w:val="24"/>
                <w:highlight w:val="none"/>
              </w:rPr>
            </w:pPr>
            <w:r>
              <w:rPr>
                <w:rFonts w:ascii="宋体" w:hAnsi="宋体" w:eastAsia="宋体" w:cs="宋体"/>
                <w:color w:val="auto"/>
                <w:sz w:val="24"/>
                <w:szCs w:val="24"/>
                <w:highlight w:val="none"/>
                <w:lang w:eastAsia="zh-CN"/>
              </w:rPr>
              <w:t>在磋商过程中，磋商小组认为供应商报价明显低于其他通过符合性审查供应商的报价，有可能影响产品质量或者不能诚信履约的，磋商小组应当要求其在合理的时间内进行书面说明，必要时提交相关证明材料。供应商提交的书面说明和相关证明材料，应当加盖供应商公章，在磋商小组要求的时间内进行提交，否则提交的相关材料无效，视为不能证明其响应报价合理性。供应商不能证明其响应报价合理性的，磋商小组应当将其响应文件作为无效处理。</w:t>
            </w:r>
          </w:p>
        </w:tc>
      </w:tr>
      <w:bookmarkEnd w:id="11"/>
      <w:bookmarkEnd w:id="12"/>
      <w:bookmarkEnd w:id="13"/>
    </w:tbl>
    <w:p w14:paraId="63D1E645">
      <w:pPr>
        <w:spacing w:before="120" w:beforeLines="50" w:after="120" w:afterLines="50"/>
        <w:jc w:val="center"/>
        <w:rPr>
          <w:rStyle w:val="143"/>
          <w:color w:val="auto"/>
          <w:sz w:val="32"/>
          <w:szCs w:val="32"/>
          <w:highlight w:val="none"/>
        </w:rPr>
        <w:sectPr>
          <w:footerReference r:id="rId8" w:type="first"/>
          <w:footerReference r:id="rId6" w:type="default"/>
          <w:footerReference r:id="rId7" w:type="even"/>
          <w:pgSz w:w="11906" w:h="16838"/>
          <w:pgMar w:top="1517" w:right="1185" w:bottom="1395" w:left="1096" w:header="992" w:footer="992" w:gutter="0"/>
          <w:pgNumType w:fmt="numberInDash" w:start="1"/>
          <w:cols w:space="720" w:num="1"/>
          <w:docGrid w:linePitch="312" w:charSpace="0"/>
        </w:sectPr>
      </w:pPr>
    </w:p>
    <w:p w14:paraId="39AEA3C5">
      <w:pPr>
        <w:spacing w:before="120" w:beforeLines="50" w:after="120" w:afterLines="50"/>
        <w:jc w:val="center"/>
        <w:rPr>
          <w:rStyle w:val="143"/>
          <w:rFonts w:hint="eastAsia" w:hAnsi="宋体" w:cs="宋体"/>
          <w:color w:val="auto"/>
          <w:sz w:val="32"/>
          <w:szCs w:val="32"/>
          <w:highlight w:val="none"/>
        </w:rPr>
      </w:pPr>
      <w:r>
        <w:rPr>
          <w:rStyle w:val="143"/>
          <w:rFonts w:hint="eastAsia"/>
          <w:color w:val="auto"/>
          <w:sz w:val="32"/>
          <w:szCs w:val="32"/>
          <w:highlight w:val="none"/>
        </w:rPr>
        <w:t>一、总  则</w:t>
      </w:r>
    </w:p>
    <w:p w14:paraId="7BCD9EDE">
      <w:pPr>
        <w:spacing w:line="360" w:lineRule="auto"/>
        <w:outlineLvl w:val="2"/>
        <w:rPr>
          <w:rFonts w:hint="eastAsia" w:hAnsi="宋体"/>
          <w:b/>
          <w:color w:val="auto"/>
          <w:szCs w:val="24"/>
          <w:highlight w:val="none"/>
        </w:rPr>
      </w:pPr>
      <w:r>
        <w:rPr>
          <w:rFonts w:hint="eastAsia" w:hAnsi="宋体"/>
          <w:b/>
          <w:color w:val="auto"/>
          <w:szCs w:val="24"/>
          <w:highlight w:val="none"/>
        </w:rPr>
        <w:t>1.资金来源</w:t>
      </w:r>
    </w:p>
    <w:p w14:paraId="1A54B6D8">
      <w:pPr>
        <w:spacing w:line="360" w:lineRule="auto"/>
        <w:ind w:firstLine="480" w:firstLineChars="200"/>
        <w:rPr>
          <w:rFonts w:hint="eastAsia" w:hAnsi="宋体"/>
          <w:color w:val="auto"/>
          <w:szCs w:val="24"/>
          <w:highlight w:val="none"/>
        </w:rPr>
      </w:pPr>
      <w:r>
        <w:rPr>
          <w:rFonts w:hAnsi="宋体"/>
          <w:color w:val="auto"/>
          <w:szCs w:val="24"/>
          <w:highlight w:val="none"/>
        </w:rPr>
        <w:t>1.1本次</w:t>
      </w:r>
      <w:r>
        <w:rPr>
          <w:rFonts w:hint="eastAsia" w:hAnsi="宋体"/>
          <w:color w:val="auto"/>
          <w:szCs w:val="24"/>
          <w:highlight w:val="none"/>
        </w:rPr>
        <w:t>竞争性磋商</w:t>
      </w:r>
      <w:r>
        <w:rPr>
          <w:rFonts w:hAnsi="宋体"/>
          <w:color w:val="auto"/>
          <w:szCs w:val="24"/>
          <w:highlight w:val="none"/>
        </w:rPr>
        <w:t>所签合同使用</w:t>
      </w:r>
      <w:r>
        <w:rPr>
          <w:rFonts w:hint="eastAsia" w:hAnsi="宋体"/>
          <w:color w:val="auto"/>
          <w:szCs w:val="24"/>
          <w:highlight w:val="none"/>
        </w:rPr>
        <w:t>财政资金</w:t>
      </w:r>
      <w:r>
        <w:rPr>
          <w:rFonts w:hAnsi="宋体"/>
          <w:color w:val="auto"/>
          <w:szCs w:val="24"/>
          <w:highlight w:val="none"/>
        </w:rPr>
        <w:t>支付，资金已落实到位。</w:t>
      </w:r>
    </w:p>
    <w:p w14:paraId="3EF72A40">
      <w:pPr>
        <w:spacing w:line="360" w:lineRule="auto"/>
        <w:outlineLvl w:val="2"/>
        <w:rPr>
          <w:rFonts w:hint="eastAsia" w:hAnsi="宋体"/>
          <w:b/>
          <w:color w:val="auto"/>
          <w:szCs w:val="24"/>
          <w:highlight w:val="none"/>
        </w:rPr>
      </w:pPr>
      <w:bookmarkStart w:id="41" w:name="_Toc363473973"/>
      <w:bookmarkStart w:id="42" w:name="_Toc363474018"/>
      <w:bookmarkStart w:id="43" w:name="_Toc403077640"/>
      <w:r>
        <w:rPr>
          <w:rFonts w:hint="eastAsia" w:hAnsi="宋体"/>
          <w:b/>
          <w:color w:val="auto"/>
          <w:szCs w:val="24"/>
          <w:highlight w:val="none"/>
        </w:rPr>
        <w:t>2.名词解释</w:t>
      </w:r>
    </w:p>
    <w:p w14:paraId="2B1CB26B">
      <w:pPr>
        <w:tabs>
          <w:tab w:val="left" w:pos="7665"/>
        </w:tabs>
        <w:spacing w:line="360" w:lineRule="auto"/>
        <w:ind w:firstLine="480" w:firstLineChars="200"/>
        <w:rPr>
          <w:color w:val="auto"/>
          <w:highlight w:val="none"/>
        </w:rPr>
      </w:pPr>
      <w:r>
        <w:rPr>
          <w:rFonts w:hint="eastAsia"/>
          <w:color w:val="auto"/>
          <w:highlight w:val="none"/>
        </w:rPr>
        <w:t>2.1采购人：见供应商须知前附表</w:t>
      </w:r>
    </w:p>
    <w:p w14:paraId="06F56C32">
      <w:pPr>
        <w:tabs>
          <w:tab w:val="left" w:pos="7665"/>
        </w:tabs>
        <w:spacing w:line="360" w:lineRule="auto"/>
        <w:ind w:firstLine="480" w:firstLineChars="200"/>
        <w:rPr>
          <w:rFonts w:hint="eastAsia" w:eastAsia="宋体"/>
          <w:color w:val="auto"/>
          <w:highlight w:val="none"/>
          <w:lang w:eastAsia="zh-CN"/>
        </w:rPr>
      </w:pPr>
      <w:r>
        <w:rPr>
          <w:rFonts w:hint="eastAsia"/>
          <w:color w:val="auto"/>
          <w:highlight w:val="none"/>
        </w:rPr>
        <w:t>2.2采购代理机构：</w:t>
      </w:r>
      <w:r>
        <w:rPr>
          <w:rFonts w:hint="eastAsia"/>
          <w:color w:val="auto"/>
          <w:highlight w:val="none"/>
          <w:lang w:eastAsia="zh-CN"/>
        </w:rPr>
        <w:t>致君项目管理有限公司</w:t>
      </w:r>
    </w:p>
    <w:p w14:paraId="10446BEB">
      <w:pPr>
        <w:tabs>
          <w:tab w:val="left" w:pos="7665"/>
        </w:tabs>
        <w:spacing w:line="360" w:lineRule="auto"/>
        <w:ind w:firstLine="480" w:firstLineChars="200"/>
        <w:rPr>
          <w:color w:val="auto"/>
          <w:highlight w:val="none"/>
        </w:rPr>
      </w:pPr>
      <w:r>
        <w:rPr>
          <w:rFonts w:hint="eastAsia"/>
          <w:color w:val="auto"/>
          <w:highlight w:val="none"/>
        </w:rPr>
        <w:t>2.3监督机构：同级人民政府财政部门</w:t>
      </w:r>
    </w:p>
    <w:p w14:paraId="2BECE13A">
      <w:pPr>
        <w:tabs>
          <w:tab w:val="left" w:pos="7665"/>
        </w:tabs>
        <w:spacing w:line="360" w:lineRule="auto"/>
        <w:ind w:firstLine="480" w:firstLineChars="200"/>
        <w:rPr>
          <w:color w:val="auto"/>
          <w:highlight w:val="none"/>
        </w:rPr>
      </w:pPr>
      <w:r>
        <w:rPr>
          <w:color w:val="auto"/>
          <w:highlight w:val="none"/>
        </w:rPr>
        <w:t>2.4</w:t>
      </w:r>
      <w:r>
        <w:rPr>
          <w:rFonts w:hint="eastAsia"/>
          <w:color w:val="auto"/>
          <w:highlight w:val="none"/>
        </w:rPr>
        <w:t>供应商：</w:t>
      </w:r>
      <w:r>
        <w:rPr>
          <w:color w:val="auto"/>
          <w:highlight w:val="none"/>
        </w:rPr>
        <w:t>是指响应和符合</w:t>
      </w:r>
      <w:r>
        <w:rPr>
          <w:rFonts w:hint="eastAsia"/>
          <w:color w:val="auto"/>
          <w:highlight w:val="none"/>
        </w:rPr>
        <w:t>竞争性磋商</w:t>
      </w:r>
      <w:r>
        <w:rPr>
          <w:color w:val="auto"/>
          <w:highlight w:val="none"/>
        </w:rPr>
        <w:t>文件规定资格条件且参与竞争</w:t>
      </w:r>
      <w:r>
        <w:rPr>
          <w:rFonts w:hint="eastAsia"/>
          <w:color w:val="auto"/>
          <w:highlight w:val="none"/>
        </w:rPr>
        <w:t>性磋商</w:t>
      </w:r>
      <w:r>
        <w:rPr>
          <w:color w:val="auto"/>
          <w:highlight w:val="none"/>
        </w:rPr>
        <w:t>的法人</w:t>
      </w:r>
      <w:r>
        <w:rPr>
          <w:rFonts w:hint="eastAsia"/>
          <w:color w:val="auto"/>
          <w:highlight w:val="none"/>
        </w:rPr>
        <w:t>、</w:t>
      </w:r>
      <w:r>
        <w:rPr>
          <w:rFonts w:hint="eastAsia" w:hAnsi="宋体" w:cs="宋体"/>
          <w:color w:val="auto"/>
          <w:highlight w:val="none"/>
        </w:rPr>
        <w:t>其他组织或者自然人。</w:t>
      </w:r>
    </w:p>
    <w:p w14:paraId="39893328">
      <w:pPr>
        <w:adjustRightInd w:val="0"/>
        <w:snapToGrid w:val="0"/>
        <w:spacing w:line="360" w:lineRule="auto"/>
        <w:ind w:firstLine="480" w:firstLineChars="200"/>
        <w:rPr>
          <w:color w:val="auto"/>
          <w:highlight w:val="none"/>
        </w:rPr>
      </w:pPr>
      <w:r>
        <w:rPr>
          <w:color w:val="auto"/>
          <w:highlight w:val="none"/>
        </w:rPr>
        <w:t>2.5产品是指本竞争</w:t>
      </w:r>
      <w:r>
        <w:rPr>
          <w:rFonts w:hint="eastAsia"/>
          <w:color w:val="auto"/>
          <w:highlight w:val="none"/>
        </w:rPr>
        <w:t>性磋商</w:t>
      </w:r>
      <w:r>
        <w:rPr>
          <w:color w:val="auto"/>
          <w:highlight w:val="none"/>
        </w:rPr>
        <w:t>文件中第四章所述所有产品</w:t>
      </w:r>
      <w:r>
        <w:rPr>
          <w:rFonts w:hint="eastAsia"/>
          <w:color w:val="auto"/>
          <w:highlight w:val="none"/>
        </w:rPr>
        <w:t>。</w:t>
      </w:r>
    </w:p>
    <w:p w14:paraId="5F7C4B23">
      <w:pPr>
        <w:adjustRightInd w:val="0"/>
        <w:snapToGrid w:val="0"/>
        <w:spacing w:line="360" w:lineRule="auto"/>
        <w:ind w:firstLine="480" w:firstLineChars="200"/>
        <w:rPr>
          <w:color w:val="auto"/>
          <w:highlight w:val="none"/>
        </w:rPr>
      </w:pPr>
      <w:r>
        <w:rPr>
          <w:color w:val="auto"/>
          <w:highlight w:val="none"/>
        </w:rPr>
        <w:t>2.6服务是指供应商为满足竞争</w:t>
      </w:r>
      <w:r>
        <w:rPr>
          <w:rFonts w:hint="eastAsia"/>
          <w:color w:val="auto"/>
          <w:highlight w:val="none"/>
        </w:rPr>
        <w:t>性磋商</w:t>
      </w:r>
      <w:r>
        <w:rPr>
          <w:color w:val="auto"/>
          <w:highlight w:val="none"/>
        </w:rPr>
        <w:t>文件要求而提供的服务</w:t>
      </w:r>
      <w:r>
        <w:rPr>
          <w:rFonts w:hint="eastAsia"/>
          <w:color w:val="auto"/>
          <w:highlight w:val="none"/>
        </w:rPr>
        <w:t>。</w:t>
      </w:r>
    </w:p>
    <w:p w14:paraId="3E5B741A">
      <w:pPr>
        <w:adjustRightInd w:val="0"/>
        <w:snapToGrid w:val="0"/>
        <w:spacing w:line="360" w:lineRule="auto"/>
        <w:ind w:firstLine="480" w:firstLineChars="200"/>
        <w:rPr>
          <w:color w:val="auto"/>
          <w:highlight w:val="none"/>
        </w:rPr>
      </w:pPr>
      <w:r>
        <w:rPr>
          <w:color w:val="auto"/>
          <w:highlight w:val="none"/>
        </w:rPr>
        <w:t>2.7节能产品或者环保产品是指</w:t>
      </w:r>
      <w:r>
        <w:rPr>
          <w:rFonts w:hint="eastAsia"/>
          <w:color w:val="auto"/>
          <w:highlight w:val="none"/>
        </w:rPr>
        <w:t>依据国家确定的认证机构出具的、处于有效期之内的具有节能产品、环境标志产品认证证书的产品。</w:t>
      </w:r>
    </w:p>
    <w:p w14:paraId="5581E2FC">
      <w:pPr>
        <w:adjustRightInd w:val="0"/>
        <w:snapToGrid w:val="0"/>
        <w:spacing w:line="360" w:lineRule="auto"/>
        <w:ind w:firstLine="480" w:firstLineChars="200"/>
        <w:rPr>
          <w:color w:val="auto"/>
          <w:highlight w:val="none"/>
        </w:rPr>
      </w:pPr>
      <w:r>
        <w:rPr>
          <w:rFonts w:hint="eastAsia"/>
          <w:color w:val="auto"/>
          <w:highlight w:val="none"/>
        </w:rPr>
        <w:t>2.8进口产品是指通过中国海关报关验放进入中国境内且产自关境外的产品，详见《关于政府采购进口产品管理有关问题的通知》(财库[2007]119号)。</w:t>
      </w:r>
    </w:p>
    <w:p w14:paraId="72EDB9B5">
      <w:pPr>
        <w:adjustRightInd w:val="0"/>
        <w:snapToGrid w:val="0"/>
        <w:spacing w:line="360" w:lineRule="auto"/>
        <w:ind w:firstLine="480" w:firstLineChars="200"/>
        <w:rPr>
          <w:color w:val="auto"/>
          <w:highlight w:val="none"/>
        </w:rPr>
      </w:pPr>
      <w:r>
        <w:rPr>
          <w:color w:val="auto"/>
          <w:highlight w:val="none"/>
        </w:rPr>
        <w:t>2.</w:t>
      </w:r>
      <w:r>
        <w:rPr>
          <w:rFonts w:hint="eastAsia"/>
          <w:color w:val="auto"/>
          <w:highlight w:val="none"/>
        </w:rPr>
        <w:t>9</w:t>
      </w:r>
      <w:r>
        <w:rPr>
          <w:rFonts w:hint="eastAsia" w:hAnsi="宋体" w:cs="宋体"/>
          <w:color w:val="auto"/>
          <w:szCs w:val="22"/>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24FA3EA1">
      <w:pPr>
        <w:adjustRightInd w:val="0"/>
        <w:snapToGrid w:val="0"/>
        <w:spacing w:line="360" w:lineRule="auto"/>
        <w:ind w:firstLine="480" w:firstLineChars="200"/>
        <w:rPr>
          <w:color w:val="auto"/>
          <w:highlight w:val="none"/>
        </w:rPr>
      </w:pPr>
      <w:r>
        <w:rPr>
          <w:color w:val="auto"/>
          <w:highlight w:val="none"/>
        </w:rPr>
        <w:t>2.</w:t>
      </w:r>
      <w:r>
        <w:rPr>
          <w:rFonts w:hint="eastAsia"/>
          <w:color w:val="auto"/>
          <w:highlight w:val="none"/>
        </w:rPr>
        <w:t>10</w:t>
      </w:r>
      <w:r>
        <w:rPr>
          <w:color w:val="auto"/>
          <w:highlight w:val="none"/>
        </w:rPr>
        <w:t>监狱</w:t>
      </w:r>
      <w:r>
        <w:rPr>
          <w:rFonts w:hint="eastAsia"/>
          <w:color w:val="auto"/>
          <w:highlight w:val="none"/>
        </w:rPr>
        <w:t>和戒毒</w:t>
      </w:r>
      <w:r>
        <w:rPr>
          <w:color w:val="auto"/>
          <w:highlight w:val="none"/>
        </w:rPr>
        <w:t>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F41734B">
      <w:pPr>
        <w:adjustRightInd w:val="0"/>
        <w:snapToGrid w:val="0"/>
        <w:spacing w:line="360" w:lineRule="auto"/>
        <w:ind w:firstLine="480" w:firstLineChars="200"/>
        <w:rPr>
          <w:color w:val="auto"/>
          <w:highlight w:val="none"/>
        </w:rPr>
      </w:pPr>
      <w:r>
        <w:rPr>
          <w:rFonts w:hint="eastAsia"/>
          <w:color w:val="auto"/>
          <w:highlight w:val="none"/>
        </w:rPr>
        <w:t>2.11残疾人福利性单位是指符合《三部门联合发布关于促进残疾人就业政府采购政策的通知》财库〔2017〕141号</w:t>
      </w:r>
      <w:r>
        <w:rPr>
          <w:color w:val="auto"/>
          <w:highlight w:val="none"/>
        </w:rPr>
        <w:t>规定的对</w:t>
      </w:r>
      <w:r>
        <w:rPr>
          <w:rFonts w:hint="eastAsia"/>
          <w:color w:val="auto"/>
          <w:highlight w:val="none"/>
        </w:rPr>
        <w:t>残疾人福利性单位</w:t>
      </w:r>
      <w:r>
        <w:rPr>
          <w:color w:val="auto"/>
          <w:highlight w:val="none"/>
        </w:rPr>
        <w:t>划分标准的</w:t>
      </w:r>
      <w:r>
        <w:rPr>
          <w:rFonts w:hint="eastAsia"/>
          <w:color w:val="auto"/>
          <w:highlight w:val="none"/>
        </w:rPr>
        <w:t>单位</w:t>
      </w:r>
      <w:r>
        <w:rPr>
          <w:color w:val="auto"/>
          <w:highlight w:val="none"/>
        </w:rPr>
        <w:t>。</w:t>
      </w:r>
    </w:p>
    <w:p w14:paraId="7CF0BEB0">
      <w:pPr>
        <w:spacing w:line="360" w:lineRule="auto"/>
        <w:outlineLvl w:val="2"/>
        <w:rPr>
          <w:rFonts w:hint="eastAsia" w:hAnsi="宋体"/>
          <w:b/>
          <w:color w:val="auto"/>
          <w:szCs w:val="24"/>
          <w:highlight w:val="none"/>
        </w:rPr>
      </w:pPr>
      <w:r>
        <w:rPr>
          <w:rFonts w:hint="eastAsia" w:hAnsi="宋体"/>
          <w:b/>
          <w:color w:val="auto"/>
          <w:szCs w:val="24"/>
          <w:highlight w:val="none"/>
        </w:rPr>
        <w:t>3.合格的供应商</w:t>
      </w:r>
    </w:p>
    <w:p w14:paraId="3AD059DA">
      <w:pPr>
        <w:tabs>
          <w:tab w:val="left" w:pos="851"/>
        </w:tabs>
        <w:spacing w:line="360" w:lineRule="auto"/>
        <w:ind w:firstLine="480" w:firstLineChars="200"/>
        <w:rPr>
          <w:rFonts w:hint="eastAsia" w:hAnsi="宋体"/>
          <w:color w:val="auto"/>
          <w:szCs w:val="24"/>
          <w:highlight w:val="none"/>
        </w:rPr>
      </w:pPr>
      <w:r>
        <w:rPr>
          <w:rFonts w:hint="eastAsia" w:hAnsi="宋体"/>
          <w:color w:val="auto"/>
          <w:szCs w:val="24"/>
          <w:highlight w:val="none"/>
        </w:rPr>
        <w:t>3.1《中华人民共和国政府采购法》第二十二条第一款规定的供应商基本资格条件：</w:t>
      </w:r>
    </w:p>
    <w:p w14:paraId="6613DA08">
      <w:pPr>
        <w:spacing w:line="360" w:lineRule="auto"/>
        <w:ind w:firstLine="480" w:firstLineChars="200"/>
        <w:rPr>
          <w:rFonts w:hint="eastAsia" w:hAnsi="宋体" w:cs="宋体"/>
          <w:color w:val="auto"/>
          <w:szCs w:val="24"/>
          <w:highlight w:val="none"/>
        </w:rPr>
      </w:pPr>
      <w:r>
        <w:rPr>
          <w:rFonts w:hint="eastAsia" w:hAnsi="宋体" w:cs="宋体"/>
          <w:color w:val="auto"/>
          <w:szCs w:val="24"/>
          <w:highlight w:val="none"/>
        </w:rPr>
        <w:t>3.1.1具有独立承担民事责任的能力；</w:t>
      </w:r>
    </w:p>
    <w:p w14:paraId="22A05CF2">
      <w:pPr>
        <w:spacing w:line="360" w:lineRule="auto"/>
        <w:ind w:firstLine="480" w:firstLineChars="200"/>
        <w:rPr>
          <w:rFonts w:hint="eastAsia" w:hAnsi="宋体" w:cs="宋体"/>
          <w:color w:val="auto"/>
          <w:szCs w:val="24"/>
          <w:highlight w:val="none"/>
        </w:rPr>
      </w:pPr>
      <w:r>
        <w:rPr>
          <w:rFonts w:hint="eastAsia" w:hAnsi="宋体" w:cs="宋体"/>
          <w:color w:val="auto"/>
          <w:szCs w:val="24"/>
          <w:highlight w:val="none"/>
        </w:rPr>
        <w:t>3.1.2具有良好的商业信誉和健全的财务会计制度；</w:t>
      </w:r>
    </w:p>
    <w:p w14:paraId="7D1A62F0">
      <w:pPr>
        <w:spacing w:line="360" w:lineRule="auto"/>
        <w:ind w:firstLine="480" w:firstLineChars="200"/>
        <w:rPr>
          <w:rFonts w:hint="eastAsia" w:hAnsi="宋体" w:cs="宋体"/>
          <w:color w:val="auto"/>
          <w:szCs w:val="24"/>
          <w:highlight w:val="none"/>
        </w:rPr>
      </w:pPr>
      <w:r>
        <w:rPr>
          <w:rFonts w:hint="eastAsia" w:hAnsi="宋体" w:cs="宋体"/>
          <w:color w:val="auto"/>
          <w:szCs w:val="24"/>
          <w:highlight w:val="none"/>
        </w:rPr>
        <w:t>3.1.3具有履行合同所必需的设备和专业技术能力；</w:t>
      </w:r>
    </w:p>
    <w:p w14:paraId="785285C6">
      <w:pPr>
        <w:spacing w:line="360" w:lineRule="auto"/>
        <w:ind w:firstLine="480" w:firstLineChars="200"/>
        <w:rPr>
          <w:rFonts w:hint="eastAsia" w:hAnsi="宋体" w:cs="宋体"/>
          <w:color w:val="auto"/>
          <w:szCs w:val="24"/>
          <w:highlight w:val="none"/>
        </w:rPr>
      </w:pPr>
      <w:r>
        <w:rPr>
          <w:rFonts w:hint="eastAsia" w:hAnsi="宋体" w:cs="宋体"/>
          <w:color w:val="auto"/>
          <w:szCs w:val="24"/>
          <w:highlight w:val="none"/>
        </w:rPr>
        <w:t>3.1.4有依法缴纳税收和社会保障资金的良好记录；</w:t>
      </w:r>
    </w:p>
    <w:p w14:paraId="10E2EF0C">
      <w:pPr>
        <w:spacing w:line="360" w:lineRule="auto"/>
        <w:ind w:firstLine="480" w:firstLineChars="200"/>
        <w:rPr>
          <w:rFonts w:hint="eastAsia" w:hAnsi="宋体" w:cs="宋体"/>
          <w:color w:val="auto"/>
          <w:szCs w:val="24"/>
          <w:highlight w:val="none"/>
        </w:rPr>
      </w:pPr>
      <w:r>
        <w:rPr>
          <w:rFonts w:hint="eastAsia" w:hAnsi="宋体" w:cs="宋体"/>
          <w:color w:val="auto"/>
          <w:szCs w:val="24"/>
          <w:highlight w:val="none"/>
        </w:rPr>
        <w:t>3.1.5参加政府采购活动前三年内，在经营活动中没有重大违法记录；</w:t>
      </w:r>
    </w:p>
    <w:p w14:paraId="6CF96B69">
      <w:pPr>
        <w:spacing w:line="360" w:lineRule="auto"/>
        <w:ind w:firstLine="480" w:firstLineChars="200"/>
        <w:rPr>
          <w:rFonts w:hint="eastAsia" w:hAnsi="宋体"/>
          <w:color w:val="auto"/>
          <w:szCs w:val="24"/>
          <w:highlight w:val="none"/>
        </w:rPr>
      </w:pPr>
      <w:r>
        <w:rPr>
          <w:rFonts w:hint="eastAsia" w:hAnsi="宋体" w:cs="宋体"/>
          <w:color w:val="auto"/>
          <w:szCs w:val="24"/>
          <w:highlight w:val="none"/>
        </w:rPr>
        <w:t>3.1.6法律、行政法规规定的其他条件。</w:t>
      </w:r>
    </w:p>
    <w:p w14:paraId="379A82FF">
      <w:pPr>
        <w:spacing w:line="360" w:lineRule="auto"/>
        <w:ind w:firstLine="480" w:firstLineChars="200"/>
        <w:rPr>
          <w:rFonts w:hint="eastAsia" w:hAnsi="宋体"/>
          <w:color w:val="auto"/>
          <w:szCs w:val="24"/>
          <w:highlight w:val="none"/>
        </w:rPr>
      </w:pPr>
      <w:r>
        <w:rPr>
          <w:rFonts w:hint="eastAsia" w:hAnsi="宋体"/>
          <w:color w:val="auto"/>
          <w:szCs w:val="24"/>
          <w:highlight w:val="none"/>
        </w:rPr>
        <w:t>3.2</w:t>
      </w:r>
      <w:r>
        <w:rPr>
          <w:rFonts w:hAnsi="宋体"/>
          <w:color w:val="auto"/>
          <w:szCs w:val="24"/>
          <w:highlight w:val="none"/>
        </w:rPr>
        <w:t>根据本次采购项目的特殊要求，规定的供应商特殊条件（见</w:t>
      </w:r>
      <w:r>
        <w:rPr>
          <w:rFonts w:hint="eastAsia" w:hAnsi="宋体"/>
          <w:color w:val="auto"/>
          <w:szCs w:val="24"/>
          <w:highlight w:val="none"/>
        </w:rPr>
        <w:t>供应商</w:t>
      </w:r>
      <w:r>
        <w:rPr>
          <w:rFonts w:hAnsi="宋体"/>
          <w:color w:val="auto"/>
          <w:szCs w:val="24"/>
          <w:highlight w:val="none"/>
        </w:rPr>
        <w:t>须知前附表）。</w:t>
      </w:r>
    </w:p>
    <w:p w14:paraId="3DA0412F">
      <w:pPr>
        <w:spacing w:line="360" w:lineRule="auto"/>
        <w:ind w:firstLine="480" w:firstLineChars="200"/>
        <w:rPr>
          <w:rFonts w:hint="eastAsia" w:hAnsi="宋体"/>
          <w:color w:val="auto"/>
          <w:szCs w:val="24"/>
          <w:highlight w:val="none"/>
        </w:rPr>
      </w:pPr>
      <w:r>
        <w:rPr>
          <w:rFonts w:hint="eastAsia" w:hAnsi="宋体"/>
          <w:color w:val="auto"/>
          <w:szCs w:val="24"/>
          <w:highlight w:val="none"/>
        </w:rPr>
        <w:t>3.3单位负责人为同一人或者存在直接控股、管理关系的不同供应商，不得参加同一合同项下的政府采购活动。</w:t>
      </w:r>
      <w:r>
        <w:rPr>
          <w:rFonts w:hint="eastAsia" w:hAnsi="宋体" w:cs="宋体"/>
          <w:color w:val="auto"/>
          <w:szCs w:val="24"/>
          <w:highlight w:val="none"/>
        </w:rPr>
        <w:t>供应商须按照格式要求填写企业关系关联承诺书。</w:t>
      </w:r>
    </w:p>
    <w:p w14:paraId="47F18C07">
      <w:pPr>
        <w:spacing w:line="360" w:lineRule="auto"/>
        <w:ind w:firstLine="480" w:firstLineChars="200"/>
        <w:rPr>
          <w:rFonts w:hint="eastAsia" w:hAnsi="宋体"/>
          <w:color w:val="auto"/>
          <w:szCs w:val="24"/>
          <w:highlight w:val="none"/>
        </w:rPr>
      </w:pPr>
      <w:r>
        <w:rPr>
          <w:rFonts w:hint="eastAsia" w:hAnsi="宋体"/>
          <w:color w:val="auto"/>
          <w:szCs w:val="24"/>
          <w:highlight w:val="none"/>
        </w:rPr>
        <w:t>除单一来源采购项目外，为采购项目提供整体设计、规范编制或者项目管理、监理、检测等服务的供应商，不得再参加该采购项目的其他采购活动，否则均为无效磋商。</w:t>
      </w:r>
    </w:p>
    <w:p w14:paraId="1895CE39">
      <w:pPr>
        <w:spacing w:line="360" w:lineRule="auto"/>
        <w:ind w:firstLine="480" w:firstLineChars="200"/>
        <w:rPr>
          <w:rFonts w:hint="eastAsia" w:hAnsi="宋体"/>
          <w:bCs/>
          <w:color w:val="auto"/>
          <w:szCs w:val="24"/>
          <w:highlight w:val="none"/>
        </w:rPr>
      </w:pPr>
      <w:r>
        <w:rPr>
          <w:rFonts w:hint="eastAsia" w:hAnsi="宋体"/>
          <w:bCs/>
          <w:color w:val="auto"/>
          <w:szCs w:val="24"/>
          <w:highlight w:val="none"/>
        </w:rPr>
        <w:t>3.4供应商</w:t>
      </w:r>
      <w:r>
        <w:rPr>
          <w:rFonts w:hAnsi="宋体"/>
          <w:bCs/>
          <w:color w:val="auto"/>
          <w:szCs w:val="24"/>
          <w:highlight w:val="none"/>
        </w:rPr>
        <w:t>必须在</w:t>
      </w:r>
      <w:r>
        <w:rPr>
          <w:rFonts w:hint="eastAsia" w:hAnsi="宋体"/>
          <w:bCs/>
          <w:color w:val="auto"/>
          <w:szCs w:val="24"/>
          <w:highlight w:val="none"/>
          <w:lang w:eastAsia="zh-CN"/>
        </w:rPr>
        <w:t>致君项目管理有限公司</w:t>
      </w:r>
      <w:r>
        <w:rPr>
          <w:rFonts w:hint="eastAsia" w:hAnsi="宋体"/>
          <w:bCs/>
          <w:color w:val="auto"/>
          <w:szCs w:val="24"/>
          <w:highlight w:val="none"/>
          <w:lang w:val="en-US" w:eastAsia="zh-CN"/>
        </w:rPr>
        <w:t>获取</w:t>
      </w:r>
      <w:r>
        <w:rPr>
          <w:bCs/>
          <w:color w:val="auto"/>
          <w:highlight w:val="none"/>
        </w:rPr>
        <w:t>竞争</w:t>
      </w:r>
      <w:r>
        <w:rPr>
          <w:rFonts w:hint="eastAsia"/>
          <w:bCs/>
          <w:color w:val="auto"/>
          <w:highlight w:val="none"/>
        </w:rPr>
        <w:t>性磋商</w:t>
      </w:r>
      <w:r>
        <w:rPr>
          <w:bCs/>
          <w:color w:val="auto"/>
          <w:highlight w:val="none"/>
        </w:rPr>
        <w:t>文件</w:t>
      </w:r>
      <w:r>
        <w:rPr>
          <w:rFonts w:hAnsi="宋体"/>
          <w:bCs/>
          <w:color w:val="auto"/>
          <w:szCs w:val="24"/>
          <w:highlight w:val="none"/>
        </w:rPr>
        <w:t>，方可参加</w:t>
      </w:r>
      <w:r>
        <w:rPr>
          <w:rFonts w:hint="eastAsia" w:hAnsi="宋体"/>
          <w:bCs/>
          <w:color w:val="auto"/>
          <w:szCs w:val="24"/>
          <w:highlight w:val="none"/>
        </w:rPr>
        <w:t>磋商</w:t>
      </w:r>
      <w:r>
        <w:rPr>
          <w:rFonts w:hAnsi="宋体"/>
          <w:bCs/>
          <w:color w:val="auto"/>
          <w:szCs w:val="24"/>
          <w:highlight w:val="none"/>
        </w:rPr>
        <w:t>。</w:t>
      </w:r>
      <w:r>
        <w:rPr>
          <w:bCs/>
          <w:color w:val="auto"/>
          <w:highlight w:val="none"/>
        </w:rPr>
        <w:t>竞争</w:t>
      </w:r>
      <w:r>
        <w:rPr>
          <w:rFonts w:hint="eastAsia"/>
          <w:bCs/>
          <w:color w:val="auto"/>
          <w:highlight w:val="none"/>
        </w:rPr>
        <w:t>性</w:t>
      </w:r>
      <w:r>
        <w:rPr>
          <w:rFonts w:hint="eastAsia" w:hAnsi="宋体"/>
          <w:bCs/>
          <w:color w:val="auto"/>
          <w:szCs w:val="24"/>
          <w:highlight w:val="none"/>
        </w:rPr>
        <w:t>磋商</w:t>
      </w:r>
      <w:r>
        <w:rPr>
          <w:rFonts w:hAnsi="宋体"/>
          <w:bCs/>
          <w:color w:val="auto"/>
          <w:szCs w:val="24"/>
          <w:highlight w:val="none"/>
        </w:rPr>
        <w:t>文件售后不退。</w:t>
      </w:r>
    </w:p>
    <w:p w14:paraId="461526D7">
      <w:pPr>
        <w:spacing w:line="360" w:lineRule="auto"/>
        <w:ind w:firstLine="480" w:firstLineChars="200"/>
        <w:rPr>
          <w:rFonts w:hint="eastAsia" w:hAnsi="宋体"/>
          <w:color w:val="auto"/>
          <w:szCs w:val="24"/>
          <w:highlight w:val="none"/>
        </w:rPr>
      </w:pPr>
      <w:bookmarkStart w:id="44" w:name="OLE_LINK33"/>
      <w:r>
        <w:rPr>
          <w:rFonts w:hint="eastAsia" w:hAnsi="宋体"/>
          <w:color w:val="auto"/>
          <w:szCs w:val="24"/>
          <w:highlight w:val="none"/>
        </w:rPr>
        <w:t>3</w:t>
      </w:r>
      <w:r>
        <w:rPr>
          <w:rFonts w:hAnsi="宋体"/>
          <w:color w:val="auto"/>
          <w:szCs w:val="24"/>
          <w:highlight w:val="none"/>
        </w:rPr>
        <w:t>.</w:t>
      </w:r>
      <w:bookmarkEnd w:id="44"/>
      <w:r>
        <w:rPr>
          <w:rFonts w:hint="eastAsia" w:hAnsi="宋体"/>
          <w:color w:val="auto"/>
          <w:szCs w:val="24"/>
          <w:highlight w:val="none"/>
        </w:rPr>
        <w:t>5联合体磋商</w:t>
      </w:r>
    </w:p>
    <w:p w14:paraId="347FE08C">
      <w:pPr>
        <w:spacing w:line="360" w:lineRule="auto"/>
        <w:ind w:firstLine="480" w:firstLineChars="200"/>
        <w:rPr>
          <w:rFonts w:hint="eastAsia" w:hAnsi="宋体"/>
          <w:color w:val="auto"/>
          <w:szCs w:val="24"/>
          <w:highlight w:val="none"/>
        </w:rPr>
      </w:pPr>
      <w:r>
        <w:rPr>
          <w:rFonts w:hint="eastAsia" w:hAnsi="宋体"/>
          <w:color w:val="auto"/>
          <w:szCs w:val="24"/>
          <w:highlight w:val="none"/>
        </w:rPr>
        <w:t>3.5.1</w:t>
      </w:r>
      <w:r>
        <w:rPr>
          <w:rFonts w:hAnsi="宋体"/>
          <w:color w:val="auto"/>
          <w:szCs w:val="24"/>
          <w:highlight w:val="none"/>
        </w:rPr>
        <w:t>如果在</w:t>
      </w:r>
      <w:r>
        <w:rPr>
          <w:color w:val="auto"/>
          <w:highlight w:val="none"/>
        </w:rPr>
        <w:t>竞争</w:t>
      </w:r>
      <w:r>
        <w:rPr>
          <w:rFonts w:hint="eastAsia"/>
          <w:color w:val="auto"/>
          <w:highlight w:val="none"/>
        </w:rPr>
        <w:t>性</w:t>
      </w:r>
      <w:r>
        <w:rPr>
          <w:rFonts w:hint="eastAsia" w:hAnsi="宋体"/>
          <w:color w:val="auto"/>
          <w:szCs w:val="24"/>
          <w:highlight w:val="none"/>
        </w:rPr>
        <w:t>磋商</w:t>
      </w:r>
      <w:r>
        <w:rPr>
          <w:rFonts w:hAnsi="宋体"/>
          <w:color w:val="auto"/>
          <w:szCs w:val="24"/>
          <w:highlight w:val="none"/>
        </w:rPr>
        <w:t>文件中接受联合体</w:t>
      </w:r>
      <w:r>
        <w:rPr>
          <w:rFonts w:hint="eastAsia" w:hAnsi="宋体"/>
          <w:color w:val="auto"/>
          <w:szCs w:val="24"/>
          <w:highlight w:val="none"/>
        </w:rPr>
        <w:t>磋商</w:t>
      </w:r>
      <w:r>
        <w:rPr>
          <w:rFonts w:hAnsi="宋体"/>
          <w:color w:val="auto"/>
          <w:szCs w:val="24"/>
          <w:highlight w:val="none"/>
        </w:rPr>
        <w:t>（见</w:t>
      </w:r>
      <w:r>
        <w:rPr>
          <w:rFonts w:hint="eastAsia" w:hAnsi="宋体"/>
          <w:color w:val="auto"/>
          <w:szCs w:val="24"/>
          <w:highlight w:val="none"/>
        </w:rPr>
        <w:t>供应商须知前附表</w:t>
      </w:r>
      <w:r>
        <w:rPr>
          <w:rFonts w:hAnsi="宋体"/>
          <w:color w:val="auto"/>
          <w:szCs w:val="24"/>
          <w:highlight w:val="none"/>
        </w:rPr>
        <w:t>），则两个以上供应商可以组成一个</w:t>
      </w:r>
      <w:r>
        <w:rPr>
          <w:rFonts w:hint="eastAsia" w:hAnsi="宋体"/>
          <w:color w:val="auto"/>
          <w:szCs w:val="24"/>
          <w:highlight w:val="none"/>
        </w:rPr>
        <w:t>磋商</w:t>
      </w:r>
      <w:r>
        <w:rPr>
          <w:rFonts w:hAnsi="宋体"/>
          <w:color w:val="auto"/>
          <w:szCs w:val="24"/>
          <w:highlight w:val="none"/>
        </w:rPr>
        <w:t>联合体，以一个</w:t>
      </w:r>
      <w:r>
        <w:rPr>
          <w:rFonts w:hint="eastAsia" w:hAnsi="宋体"/>
          <w:color w:val="auto"/>
          <w:szCs w:val="24"/>
          <w:highlight w:val="none"/>
        </w:rPr>
        <w:t>供应商</w:t>
      </w:r>
      <w:r>
        <w:rPr>
          <w:rFonts w:hAnsi="宋体"/>
          <w:color w:val="auto"/>
          <w:szCs w:val="24"/>
          <w:highlight w:val="none"/>
        </w:rPr>
        <w:t>的身份</w:t>
      </w:r>
      <w:r>
        <w:rPr>
          <w:rFonts w:hint="eastAsia" w:hAnsi="宋体"/>
          <w:color w:val="auto"/>
          <w:szCs w:val="24"/>
          <w:highlight w:val="none"/>
        </w:rPr>
        <w:t>参与磋商</w:t>
      </w:r>
      <w:r>
        <w:rPr>
          <w:rFonts w:hAnsi="宋体"/>
          <w:color w:val="auto"/>
          <w:szCs w:val="24"/>
          <w:highlight w:val="none"/>
        </w:rPr>
        <w:t>。以联合体形式参加</w:t>
      </w:r>
      <w:r>
        <w:rPr>
          <w:rFonts w:hint="eastAsia" w:hAnsi="宋体"/>
          <w:color w:val="auto"/>
          <w:szCs w:val="24"/>
          <w:highlight w:val="none"/>
        </w:rPr>
        <w:t>磋商</w:t>
      </w:r>
      <w:r>
        <w:rPr>
          <w:rFonts w:hAnsi="宋体"/>
          <w:color w:val="auto"/>
          <w:szCs w:val="24"/>
          <w:highlight w:val="none"/>
        </w:rPr>
        <w:t>的，联合体各方均应当符合政府采购法</w:t>
      </w:r>
      <w:r>
        <w:rPr>
          <w:color w:val="auto"/>
          <w:highlight w:val="none"/>
        </w:rPr>
        <w:t>《中华人民共和国政府采购法》及</w:t>
      </w:r>
      <w:r>
        <w:rPr>
          <w:rFonts w:hint="eastAsia"/>
          <w:color w:val="auto"/>
          <w:highlight w:val="none"/>
        </w:rPr>
        <w:t>其</w:t>
      </w:r>
      <w:r>
        <w:rPr>
          <w:color w:val="auto"/>
          <w:highlight w:val="none"/>
        </w:rPr>
        <w:t>实施条例</w:t>
      </w:r>
      <w:r>
        <w:rPr>
          <w:rFonts w:hint="eastAsia"/>
          <w:color w:val="auto"/>
          <w:highlight w:val="none"/>
        </w:rPr>
        <w:t>和《政府采购竞争性磋商采购方式管理暂行办法》</w:t>
      </w:r>
      <w:r>
        <w:rPr>
          <w:color w:val="auto"/>
          <w:highlight w:val="none"/>
        </w:rPr>
        <w:t>规定的条件</w:t>
      </w:r>
      <w:r>
        <w:rPr>
          <w:rFonts w:hAnsi="宋体"/>
          <w:color w:val="auto"/>
          <w:szCs w:val="24"/>
          <w:highlight w:val="none"/>
        </w:rPr>
        <w:t>。采购人根据采购项目的特殊要求规定</w:t>
      </w:r>
      <w:r>
        <w:rPr>
          <w:rFonts w:hint="eastAsia" w:hAnsi="宋体"/>
          <w:color w:val="auto"/>
          <w:szCs w:val="24"/>
          <w:highlight w:val="none"/>
        </w:rPr>
        <w:t>供应商</w:t>
      </w:r>
      <w:r>
        <w:rPr>
          <w:rFonts w:hAnsi="宋体"/>
          <w:color w:val="auto"/>
          <w:szCs w:val="24"/>
          <w:highlight w:val="none"/>
        </w:rPr>
        <w:t>特定条件的，联合体各方中至少应当有一方符合采购人规定的特定条件。</w:t>
      </w:r>
    </w:p>
    <w:p w14:paraId="28D6178E">
      <w:pPr>
        <w:spacing w:line="360" w:lineRule="auto"/>
        <w:ind w:firstLine="480" w:firstLineChars="200"/>
        <w:rPr>
          <w:rFonts w:hint="eastAsia" w:hAnsi="宋体"/>
          <w:color w:val="auto"/>
          <w:szCs w:val="24"/>
          <w:highlight w:val="none"/>
        </w:rPr>
      </w:pPr>
      <w:r>
        <w:rPr>
          <w:rFonts w:hint="eastAsia" w:hAnsi="宋体"/>
          <w:color w:val="auto"/>
          <w:szCs w:val="24"/>
          <w:highlight w:val="none"/>
        </w:rPr>
        <w:t>3.5.2联合体各方之间应当签订共同磋商协议，明确约定联合体各方承担的工作和相应的责任，并将</w:t>
      </w:r>
      <w:r>
        <w:rPr>
          <w:rFonts w:hint="eastAsia" w:hAnsi="宋体" w:cs="宋体"/>
          <w:color w:val="auto"/>
          <w:szCs w:val="24"/>
          <w:highlight w:val="none"/>
        </w:rPr>
        <w:t>共同磋商协议连同</w:t>
      </w:r>
      <w:r>
        <w:rPr>
          <w:color w:val="auto"/>
          <w:highlight w:val="none"/>
        </w:rPr>
        <w:t>竞争</w:t>
      </w:r>
      <w:r>
        <w:rPr>
          <w:rFonts w:hint="eastAsia"/>
          <w:color w:val="auto"/>
          <w:highlight w:val="none"/>
        </w:rPr>
        <w:t>性</w:t>
      </w:r>
      <w:r>
        <w:rPr>
          <w:rFonts w:hint="eastAsia" w:hAnsi="宋体"/>
          <w:color w:val="auto"/>
          <w:szCs w:val="24"/>
          <w:highlight w:val="none"/>
        </w:rPr>
        <w:t>磋商响应</w:t>
      </w:r>
      <w:r>
        <w:rPr>
          <w:rFonts w:hint="eastAsia" w:hAnsi="宋体" w:cs="宋体"/>
          <w:color w:val="auto"/>
          <w:szCs w:val="24"/>
          <w:highlight w:val="none"/>
        </w:rPr>
        <w:t>文件一并提交</w:t>
      </w:r>
      <w:r>
        <w:rPr>
          <w:rFonts w:hint="eastAsia" w:hAnsi="宋体" w:cs="宋体"/>
          <w:color w:val="auto"/>
          <w:highlight w:val="none"/>
        </w:rPr>
        <w:t>采购代理机构</w:t>
      </w:r>
      <w:r>
        <w:rPr>
          <w:rFonts w:hint="eastAsia" w:hAnsi="宋体" w:cs="宋体"/>
          <w:color w:val="auto"/>
          <w:szCs w:val="24"/>
          <w:highlight w:val="none"/>
        </w:rPr>
        <w:t>。联合体各方签订共同磋商协议后，不得再以自己名义单独参与同一项目磋商，也不得组成新的联合体参加同</w:t>
      </w:r>
      <w:r>
        <w:rPr>
          <w:rFonts w:hint="eastAsia" w:hAnsi="宋体"/>
          <w:color w:val="auto"/>
          <w:szCs w:val="24"/>
          <w:highlight w:val="none"/>
        </w:rPr>
        <w:t>一项目磋商。</w:t>
      </w:r>
    </w:p>
    <w:p w14:paraId="38525B02">
      <w:pPr>
        <w:spacing w:line="360" w:lineRule="auto"/>
        <w:ind w:firstLine="480" w:firstLineChars="200"/>
        <w:rPr>
          <w:rFonts w:hint="eastAsia" w:hAnsi="宋体"/>
          <w:color w:val="auto"/>
          <w:szCs w:val="24"/>
          <w:highlight w:val="none"/>
        </w:rPr>
      </w:pPr>
      <w:r>
        <w:rPr>
          <w:rFonts w:hint="eastAsia" w:hAnsi="宋体"/>
          <w:color w:val="auto"/>
          <w:szCs w:val="24"/>
          <w:highlight w:val="none"/>
        </w:rPr>
        <w:t>3.5.3联合体各方应当共同与采购人签订采购合同，就采购合同约定的事项对采购人承担连带责任。</w:t>
      </w:r>
    </w:p>
    <w:p w14:paraId="4A7A2CF3">
      <w:pPr>
        <w:spacing w:line="360" w:lineRule="auto"/>
        <w:ind w:firstLine="480" w:firstLineChars="200"/>
        <w:rPr>
          <w:rFonts w:hint="eastAsia" w:hAnsi="宋体"/>
          <w:color w:val="auto"/>
          <w:szCs w:val="24"/>
          <w:highlight w:val="none"/>
        </w:rPr>
      </w:pPr>
      <w:r>
        <w:rPr>
          <w:rFonts w:hint="eastAsia" w:hAnsi="宋体"/>
          <w:color w:val="auto"/>
          <w:szCs w:val="24"/>
          <w:highlight w:val="none"/>
        </w:rPr>
        <w:t>3.6磋商</w:t>
      </w:r>
      <w:r>
        <w:rPr>
          <w:rFonts w:hAnsi="宋体"/>
          <w:color w:val="auto"/>
          <w:szCs w:val="24"/>
          <w:highlight w:val="none"/>
        </w:rPr>
        <w:t>费用自理。不论</w:t>
      </w:r>
      <w:r>
        <w:rPr>
          <w:rFonts w:hint="eastAsia" w:hAnsi="宋体"/>
          <w:color w:val="auto"/>
          <w:szCs w:val="24"/>
          <w:highlight w:val="none"/>
        </w:rPr>
        <w:t>磋商</w:t>
      </w:r>
      <w:r>
        <w:rPr>
          <w:rFonts w:hAnsi="宋体"/>
          <w:color w:val="auto"/>
          <w:szCs w:val="24"/>
          <w:highlight w:val="none"/>
        </w:rPr>
        <w:t>的结果如何，</w:t>
      </w:r>
      <w:r>
        <w:rPr>
          <w:rFonts w:hint="eastAsia" w:hAnsi="宋体"/>
          <w:color w:val="auto"/>
          <w:szCs w:val="24"/>
          <w:highlight w:val="none"/>
        </w:rPr>
        <w:t>供应商</w:t>
      </w:r>
      <w:r>
        <w:rPr>
          <w:rFonts w:hAnsi="宋体"/>
          <w:color w:val="auto"/>
          <w:szCs w:val="24"/>
          <w:highlight w:val="none"/>
        </w:rPr>
        <w:t>均应自行承担所有与参加</w:t>
      </w:r>
      <w:r>
        <w:rPr>
          <w:rFonts w:hint="eastAsia" w:hAnsi="宋体"/>
          <w:color w:val="auto"/>
          <w:szCs w:val="24"/>
          <w:highlight w:val="none"/>
        </w:rPr>
        <w:t>磋商</w:t>
      </w:r>
      <w:r>
        <w:rPr>
          <w:rFonts w:hAnsi="宋体"/>
          <w:color w:val="auto"/>
          <w:szCs w:val="24"/>
          <w:highlight w:val="none"/>
        </w:rPr>
        <w:t>有关的费用。</w:t>
      </w:r>
    </w:p>
    <w:p w14:paraId="4C1B3C38">
      <w:pPr>
        <w:spacing w:line="360" w:lineRule="auto"/>
        <w:outlineLvl w:val="2"/>
        <w:rPr>
          <w:rFonts w:hint="eastAsia" w:hAnsi="宋体"/>
          <w:b/>
          <w:color w:val="auto"/>
          <w:szCs w:val="24"/>
          <w:highlight w:val="none"/>
        </w:rPr>
      </w:pPr>
      <w:r>
        <w:rPr>
          <w:rFonts w:hint="eastAsia" w:hAnsi="宋体"/>
          <w:b/>
          <w:color w:val="auto"/>
          <w:szCs w:val="24"/>
          <w:highlight w:val="none"/>
        </w:rPr>
        <w:t>4.合格的服务</w:t>
      </w:r>
    </w:p>
    <w:p w14:paraId="4BE2174B">
      <w:pPr>
        <w:tabs>
          <w:tab w:val="left" w:pos="747"/>
        </w:tabs>
        <w:snapToGrid w:val="0"/>
        <w:spacing w:line="360" w:lineRule="auto"/>
        <w:ind w:firstLine="480" w:firstLineChars="200"/>
        <w:rPr>
          <w:color w:val="auto"/>
          <w:highlight w:val="none"/>
        </w:rPr>
      </w:pPr>
      <w:r>
        <w:rPr>
          <w:rFonts w:hint="eastAsia"/>
          <w:color w:val="auto"/>
          <w:highlight w:val="none"/>
        </w:rPr>
        <w:t>4.1供应商提供的服务（包含为完成服务所提供的产品），必须是合法生产、合法来源，符合国家有关标准要求，并满足磋商文件规定的质量、价格、有效期、售后服务及供应商须承担的技术支持和磋商文件规定的其它伴随服务等要求。</w:t>
      </w:r>
    </w:p>
    <w:p w14:paraId="3BA4881D">
      <w:pPr>
        <w:tabs>
          <w:tab w:val="left" w:pos="747"/>
        </w:tabs>
        <w:snapToGrid w:val="0"/>
        <w:spacing w:line="360" w:lineRule="auto"/>
        <w:ind w:firstLine="480" w:firstLineChars="200"/>
        <w:rPr>
          <w:color w:val="auto"/>
          <w:highlight w:val="none"/>
        </w:rPr>
      </w:pPr>
      <w:r>
        <w:rPr>
          <w:color w:val="auto"/>
          <w:highlight w:val="none"/>
        </w:rPr>
        <w:t>4.2采购人有权拒绝接受任何不合格的服务，由此产生的费用及相关后果均由</w:t>
      </w:r>
      <w:r>
        <w:rPr>
          <w:rFonts w:hint="eastAsia"/>
          <w:color w:val="auto"/>
          <w:highlight w:val="none"/>
        </w:rPr>
        <w:t>供应商</w:t>
      </w:r>
      <w:r>
        <w:rPr>
          <w:color w:val="auto"/>
          <w:highlight w:val="none"/>
        </w:rPr>
        <w:t>自行承担。</w:t>
      </w:r>
    </w:p>
    <w:p w14:paraId="3206A1A5">
      <w:pPr>
        <w:spacing w:line="360" w:lineRule="auto"/>
        <w:outlineLvl w:val="2"/>
        <w:rPr>
          <w:rFonts w:hint="eastAsia" w:hAnsi="宋体"/>
          <w:b/>
          <w:color w:val="auto"/>
          <w:szCs w:val="24"/>
          <w:highlight w:val="none"/>
        </w:rPr>
      </w:pPr>
      <w:r>
        <w:rPr>
          <w:rFonts w:hint="eastAsia" w:hAnsi="宋体"/>
          <w:b/>
          <w:color w:val="auto"/>
          <w:szCs w:val="24"/>
          <w:highlight w:val="none"/>
        </w:rPr>
        <w:t>5.供应商信用记录查询及使用</w:t>
      </w:r>
    </w:p>
    <w:p w14:paraId="4373FA01">
      <w:pPr>
        <w:spacing w:line="360" w:lineRule="auto"/>
        <w:ind w:firstLine="480" w:firstLineChars="200"/>
        <w:rPr>
          <w:rFonts w:hint="eastAsia" w:hAnsi="宋体" w:cs="宋体"/>
          <w:color w:val="auto"/>
          <w:kern w:val="2"/>
          <w:szCs w:val="22"/>
          <w:highlight w:val="none"/>
        </w:rPr>
      </w:pPr>
      <w:r>
        <w:rPr>
          <w:rFonts w:hint="eastAsia" w:hAnsi="宋体" w:cs="宋体"/>
          <w:bCs/>
          <w:color w:val="auto"/>
          <w:szCs w:val="24"/>
          <w:highlight w:val="none"/>
        </w:rPr>
        <w:t>“信用中国”网站（www.creditchina.gov.cn）、和“中国政府采购网”（ccgp.gov.cn）为供应商信用信息查询渠道，如果供应商被查实在响应文件递交截止时间前已列入</w:t>
      </w:r>
      <w:r>
        <w:rPr>
          <w:rFonts w:hint="eastAsia" w:hAnsi="宋体" w:cs="宋体"/>
          <w:bCs/>
          <w:color w:val="auto"/>
          <w:szCs w:val="24"/>
          <w:highlight w:val="none"/>
          <w:lang w:val="en-US" w:eastAsia="zh-CN"/>
        </w:rPr>
        <w:t>严重失信主体</w:t>
      </w:r>
      <w:r>
        <w:rPr>
          <w:rFonts w:hint="eastAsia" w:hAnsi="宋体" w:cs="宋体"/>
          <w:bCs/>
          <w:color w:val="auto"/>
          <w:szCs w:val="24"/>
          <w:highlight w:val="none"/>
        </w:rPr>
        <w:t>、重大税收违法案件当事人名单、政府采购严重违法失信行为记录名单及其他不符合《中华人民共和国政府采购法》第二十二条规定的，其响应文件无效。采购代理机构将打印查询记录作为证据留存。</w:t>
      </w:r>
    </w:p>
    <w:p w14:paraId="534AC1A4">
      <w:pPr>
        <w:spacing w:line="360" w:lineRule="auto"/>
        <w:outlineLvl w:val="2"/>
        <w:rPr>
          <w:rFonts w:hint="eastAsia" w:hAnsi="宋体"/>
          <w:b/>
          <w:color w:val="auto"/>
          <w:szCs w:val="24"/>
          <w:highlight w:val="none"/>
        </w:rPr>
      </w:pPr>
      <w:r>
        <w:rPr>
          <w:rFonts w:hint="eastAsia" w:hAnsi="宋体"/>
          <w:b/>
          <w:color w:val="auto"/>
          <w:szCs w:val="24"/>
          <w:highlight w:val="none"/>
        </w:rPr>
        <w:t>6.竞争性磋商响应文件内容的真实性和磋商内容的实质性要求</w:t>
      </w:r>
    </w:p>
    <w:p w14:paraId="75F3A324">
      <w:pPr>
        <w:spacing w:line="360" w:lineRule="auto"/>
        <w:ind w:firstLine="480" w:firstLineChars="200"/>
        <w:rPr>
          <w:rFonts w:hint="eastAsia" w:hAnsi="宋体" w:cs="宋体"/>
          <w:bCs/>
          <w:color w:val="auto"/>
          <w:szCs w:val="24"/>
          <w:highlight w:val="none"/>
        </w:rPr>
      </w:pPr>
      <w:r>
        <w:rPr>
          <w:rFonts w:hint="eastAsia" w:hAnsi="宋体" w:cs="宋体"/>
          <w:bCs/>
          <w:color w:val="auto"/>
          <w:szCs w:val="24"/>
          <w:highlight w:val="none"/>
        </w:rPr>
        <w:t>6.1供应商应保证其磋商响应文件中所提供的所有有关磋商的资料、信息是真实的、并且来源于合法的渠道。因磋商响应文件中所提供的有关磋商的资料、信息不真实、或者其来源不合法而导致的所有法律责任，由供应商自行承担。</w:t>
      </w:r>
    </w:p>
    <w:p w14:paraId="1EC691DE">
      <w:pPr>
        <w:spacing w:line="360" w:lineRule="auto"/>
        <w:ind w:firstLine="480" w:firstLineChars="200"/>
        <w:rPr>
          <w:rFonts w:hint="eastAsia" w:hAnsi="宋体" w:cs="宋体"/>
          <w:bCs/>
          <w:color w:val="auto"/>
          <w:szCs w:val="24"/>
          <w:highlight w:val="none"/>
        </w:rPr>
      </w:pPr>
      <w:r>
        <w:rPr>
          <w:rFonts w:hint="eastAsia" w:hAnsi="宋体" w:cs="宋体"/>
          <w:bCs/>
          <w:color w:val="auto"/>
          <w:szCs w:val="24"/>
          <w:highlight w:val="none"/>
        </w:rPr>
        <w:t>6.2磋商文件第三章“合同条款及格式”中的条款为不允许偏离的技术和商务的实质性要求和条件，不满足实质性要求和条件的</w:t>
      </w:r>
      <w:r>
        <w:rPr>
          <w:rFonts w:hint="eastAsia" w:hAnsi="宋体" w:cs="宋体"/>
          <w:bCs/>
          <w:color w:val="auto"/>
          <w:szCs w:val="24"/>
          <w:highlight w:val="none"/>
          <w:lang w:eastAsia="zh-CN"/>
        </w:rPr>
        <w:t>磋商</w:t>
      </w:r>
      <w:r>
        <w:rPr>
          <w:rFonts w:hint="eastAsia" w:hAnsi="宋体" w:cs="宋体"/>
          <w:bCs/>
          <w:color w:val="auto"/>
          <w:szCs w:val="24"/>
          <w:highlight w:val="none"/>
        </w:rPr>
        <w:t>为无效响应文件。</w:t>
      </w:r>
    </w:p>
    <w:p w14:paraId="42D6B9CE">
      <w:pPr>
        <w:pStyle w:val="4"/>
        <w:spacing w:line="360" w:lineRule="auto"/>
        <w:jc w:val="center"/>
        <w:rPr>
          <w:rFonts w:hint="eastAsia" w:ascii="宋体" w:hAnsi="宋体" w:cs="宋体"/>
          <w:color w:val="auto"/>
          <w:sz w:val="32"/>
          <w:highlight w:val="none"/>
        </w:rPr>
      </w:pPr>
      <w:r>
        <w:rPr>
          <w:rFonts w:hint="eastAsia" w:ascii="宋体" w:hAnsi="宋体" w:cs="宋体"/>
          <w:color w:val="auto"/>
          <w:sz w:val="32"/>
          <w:highlight w:val="none"/>
        </w:rPr>
        <w:t>二、竞争性磋商文件</w:t>
      </w:r>
      <w:bookmarkEnd w:id="41"/>
      <w:bookmarkEnd w:id="42"/>
      <w:bookmarkEnd w:id="43"/>
    </w:p>
    <w:p w14:paraId="42A2EA9A">
      <w:pPr>
        <w:spacing w:line="360" w:lineRule="auto"/>
        <w:outlineLvl w:val="2"/>
        <w:rPr>
          <w:rFonts w:hint="eastAsia" w:hAnsi="宋体"/>
          <w:b/>
          <w:color w:val="auto"/>
          <w:szCs w:val="24"/>
          <w:highlight w:val="none"/>
        </w:rPr>
      </w:pPr>
      <w:r>
        <w:rPr>
          <w:rFonts w:hint="eastAsia" w:hAnsi="宋体"/>
          <w:b/>
          <w:color w:val="auto"/>
          <w:szCs w:val="24"/>
          <w:highlight w:val="none"/>
        </w:rPr>
        <w:t>7.竞争性磋商文件构成</w:t>
      </w:r>
    </w:p>
    <w:p w14:paraId="7F0EFCD1">
      <w:pPr>
        <w:spacing w:line="360" w:lineRule="auto"/>
        <w:ind w:firstLine="480" w:firstLineChars="200"/>
        <w:rPr>
          <w:rFonts w:hint="eastAsia" w:hAnsi="宋体"/>
          <w:color w:val="auto"/>
          <w:szCs w:val="24"/>
          <w:highlight w:val="none"/>
        </w:rPr>
      </w:pPr>
      <w:r>
        <w:rPr>
          <w:rFonts w:hint="eastAsia" w:hAnsi="宋体"/>
          <w:color w:val="auto"/>
          <w:szCs w:val="24"/>
          <w:highlight w:val="none"/>
        </w:rPr>
        <w:t>7</w:t>
      </w:r>
      <w:r>
        <w:rPr>
          <w:rFonts w:hAnsi="宋体"/>
          <w:color w:val="auto"/>
          <w:szCs w:val="24"/>
          <w:highlight w:val="none"/>
        </w:rPr>
        <w:t xml:space="preserve">.1 </w:t>
      </w:r>
      <w:r>
        <w:rPr>
          <w:rFonts w:hint="eastAsia" w:hAnsi="宋体"/>
          <w:color w:val="auto"/>
          <w:szCs w:val="24"/>
          <w:highlight w:val="none"/>
        </w:rPr>
        <w:t>竞争性磋商文件规定了</w:t>
      </w:r>
      <w:r>
        <w:rPr>
          <w:rFonts w:hAnsi="宋体"/>
          <w:color w:val="auto"/>
          <w:szCs w:val="24"/>
          <w:highlight w:val="none"/>
        </w:rPr>
        <w:t>要求提供的</w:t>
      </w:r>
      <w:r>
        <w:rPr>
          <w:rFonts w:hint="eastAsia" w:hAnsi="宋体"/>
          <w:color w:val="auto"/>
          <w:szCs w:val="24"/>
          <w:highlight w:val="none"/>
        </w:rPr>
        <w:t>服务</w:t>
      </w:r>
      <w:r>
        <w:rPr>
          <w:rFonts w:hAnsi="宋体"/>
          <w:color w:val="auto"/>
          <w:szCs w:val="24"/>
          <w:highlight w:val="none"/>
        </w:rPr>
        <w:t>，</w:t>
      </w:r>
      <w:r>
        <w:rPr>
          <w:rFonts w:hint="eastAsia" w:hAnsi="宋体"/>
          <w:color w:val="auto"/>
          <w:szCs w:val="24"/>
          <w:highlight w:val="none"/>
        </w:rPr>
        <w:t>磋商</w:t>
      </w:r>
      <w:r>
        <w:rPr>
          <w:rFonts w:hAnsi="宋体"/>
          <w:color w:val="auto"/>
          <w:szCs w:val="24"/>
          <w:highlight w:val="none"/>
        </w:rPr>
        <w:t>程序和合同条件在</w:t>
      </w:r>
      <w:r>
        <w:rPr>
          <w:rFonts w:hint="eastAsia" w:hAnsi="宋体"/>
          <w:color w:val="auto"/>
          <w:szCs w:val="24"/>
          <w:highlight w:val="none"/>
        </w:rPr>
        <w:t>竞争性磋商文件</w:t>
      </w:r>
      <w:r>
        <w:rPr>
          <w:rFonts w:hAnsi="宋体"/>
          <w:color w:val="auto"/>
          <w:szCs w:val="24"/>
          <w:highlight w:val="none"/>
        </w:rPr>
        <w:t>中均有说明。</w:t>
      </w:r>
      <w:r>
        <w:rPr>
          <w:rFonts w:hint="eastAsia" w:hAnsi="宋体"/>
          <w:color w:val="auto"/>
          <w:szCs w:val="24"/>
          <w:highlight w:val="none"/>
        </w:rPr>
        <w:t>竞争性磋商文件</w:t>
      </w:r>
      <w:r>
        <w:rPr>
          <w:rFonts w:hAnsi="宋体"/>
          <w:color w:val="auto"/>
          <w:szCs w:val="24"/>
          <w:highlight w:val="none"/>
        </w:rPr>
        <w:t>共</w:t>
      </w:r>
      <w:r>
        <w:rPr>
          <w:rFonts w:hint="eastAsia" w:hAnsi="宋体"/>
          <w:color w:val="auto"/>
          <w:szCs w:val="24"/>
          <w:highlight w:val="none"/>
        </w:rPr>
        <w:t>六</w:t>
      </w:r>
      <w:r>
        <w:rPr>
          <w:rFonts w:hAnsi="宋体"/>
          <w:color w:val="auto"/>
          <w:szCs w:val="24"/>
          <w:highlight w:val="none"/>
        </w:rPr>
        <w:t>章，内容如下</w:t>
      </w:r>
      <w:r>
        <w:rPr>
          <w:rFonts w:hint="eastAsia" w:hAnsi="宋体"/>
          <w:color w:val="auto"/>
          <w:szCs w:val="24"/>
          <w:highlight w:val="none"/>
        </w:rPr>
        <w:t>：</w:t>
      </w:r>
    </w:p>
    <w:p w14:paraId="7D05ED2F">
      <w:pPr>
        <w:spacing w:line="360" w:lineRule="auto"/>
        <w:ind w:firstLine="480" w:firstLineChars="200"/>
        <w:rPr>
          <w:rFonts w:hint="eastAsia" w:hAnsi="宋体"/>
          <w:color w:val="auto"/>
          <w:szCs w:val="24"/>
          <w:highlight w:val="none"/>
        </w:rPr>
      </w:pPr>
      <w:r>
        <w:rPr>
          <w:rFonts w:hAnsi="宋体"/>
          <w:color w:val="auto"/>
          <w:szCs w:val="24"/>
          <w:highlight w:val="none"/>
        </w:rPr>
        <w:t>第一章</w:t>
      </w:r>
      <w:r>
        <w:rPr>
          <w:rFonts w:hint="eastAsia" w:hAnsi="宋体"/>
          <w:color w:val="auto"/>
          <w:szCs w:val="24"/>
          <w:highlight w:val="none"/>
        </w:rPr>
        <w:t xml:space="preserve"> 竞争性磋商公告</w:t>
      </w:r>
    </w:p>
    <w:p w14:paraId="67692FAA">
      <w:pPr>
        <w:spacing w:line="360" w:lineRule="auto"/>
        <w:ind w:firstLine="480" w:firstLineChars="200"/>
        <w:rPr>
          <w:rFonts w:hint="eastAsia" w:hAnsi="宋体"/>
          <w:color w:val="auto"/>
          <w:szCs w:val="24"/>
          <w:highlight w:val="none"/>
        </w:rPr>
      </w:pPr>
      <w:r>
        <w:rPr>
          <w:rFonts w:hAnsi="宋体"/>
          <w:color w:val="auto"/>
          <w:szCs w:val="24"/>
          <w:highlight w:val="none"/>
        </w:rPr>
        <w:t>第</w:t>
      </w:r>
      <w:r>
        <w:rPr>
          <w:rFonts w:hint="eastAsia" w:hAnsi="宋体"/>
          <w:color w:val="auto"/>
          <w:szCs w:val="24"/>
          <w:highlight w:val="none"/>
        </w:rPr>
        <w:t>二</w:t>
      </w:r>
      <w:r>
        <w:rPr>
          <w:rFonts w:hAnsi="宋体"/>
          <w:color w:val="auto"/>
          <w:szCs w:val="24"/>
          <w:highlight w:val="none"/>
        </w:rPr>
        <w:t xml:space="preserve">章 </w:t>
      </w:r>
      <w:r>
        <w:rPr>
          <w:rFonts w:hint="eastAsia" w:hAnsi="宋体"/>
          <w:color w:val="auto"/>
          <w:szCs w:val="24"/>
          <w:highlight w:val="none"/>
        </w:rPr>
        <w:t>供应商</w:t>
      </w:r>
      <w:r>
        <w:rPr>
          <w:rFonts w:hAnsi="宋体"/>
          <w:color w:val="auto"/>
          <w:szCs w:val="24"/>
          <w:highlight w:val="none"/>
        </w:rPr>
        <w:t>须知</w:t>
      </w:r>
    </w:p>
    <w:p w14:paraId="495675E2">
      <w:pPr>
        <w:spacing w:line="360" w:lineRule="auto"/>
        <w:ind w:firstLine="480" w:firstLineChars="200"/>
        <w:rPr>
          <w:rFonts w:hint="eastAsia" w:hAnsi="宋体"/>
          <w:color w:val="auto"/>
          <w:szCs w:val="24"/>
          <w:highlight w:val="none"/>
        </w:rPr>
      </w:pPr>
      <w:r>
        <w:rPr>
          <w:rFonts w:hAnsi="宋体"/>
          <w:color w:val="auto"/>
          <w:szCs w:val="24"/>
          <w:highlight w:val="none"/>
        </w:rPr>
        <w:t>第</w:t>
      </w:r>
      <w:r>
        <w:rPr>
          <w:rFonts w:hint="eastAsia" w:hAnsi="宋体"/>
          <w:color w:val="auto"/>
          <w:szCs w:val="24"/>
          <w:highlight w:val="none"/>
        </w:rPr>
        <w:t>三</w:t>
      </w:r>
      <w:r>
        <w:rPr>
          <w:rFonts w:hAnsi="宋体"/>
          <w:color w:val="auto"/>
          <w:szCs w:val="24"/>
          <w:highlight w:val="none"/>
        </w:rPr>
        <w:t>章</w:t>
      </w:r>
      <w:r>
        <w:rPr>
          <w:rFonts w:hint="eastAsia" w:hAnsi="宋体"/>
          <w:color w:val="auto"/>
          <w:szCs w:val="24"/>
          <w:highlight w:val="none"/>
        </w:rPr>
        <w:t xml:space="preserve"> 合同条款及格式</w:t>
      </w:r>
    </w:p>
    <w:p w14:paraId="14F532E0">
      <w:pPr>
        <w:spacing w:line="360" w:lineRule="auto"/>
        <w:ind w:firstLine="480" w:firstLineChars="200"/>
        <w:rPr>
          <w:rFonts w:hint="eastAsia" w:hAnsi="宋体"/>
          <w:color w:val="auto"/>
          <w:szCs w:val="24"/>
          <w:highlight w:val="none"/>
        </w:rPr>
      </w:pPr>
      <w:r>
        <w:rPr>
          <w:rFonts w:hAnsi="宋体"/>
          <w:color w:val="auto"/>
          <w:szCs w:val="24"/>
          <w:highlight w:val="none"/>
        </w:rPr>
        <w:t>第</w:t>
      </w:r>
      <w:r>
        <w:rPr>
          <w:rFonts w:hint="eastAsia" w:hAnsi="宋体"/>
          <w:color w:val="auto"/>
          <w:szCs w:val="24"/>
          <w:highlight w:val="none"/>
        </w:rPr>
        <w:t>四</w:t>
      </w:r>
      <w:r>
        <w:rPr>
          <w:rFonts w:hAnsi="宋体"/>
          <w:color w:val="auto"/>
          <w:szCs w:val="24"/>
          <w:highlight w:val="none"/>
        </w:rPr>
        <w:t xml:space="preserve">章 </w:t>
      </w:r>
      <w:r>
        <w:rPr>
          <w:rFonts w:hint="eastAsia" w:hAnsi="宋体"/>
          <w:color w:val="auto"/>
          <w:szCs w:val="24"/>
          <w:highlight w:val="none"/>
        </w:rPr>
        <w:t>竞争性磋商</w:t>
      </w:r>
      <w:r>
        <w:rPr>
          <w:rFonts w:hAnsi="宋体"/>
          <w:color w:val="auto"/>
          <w:szCs w:val="24"/>
          <w:highlight w:val="none"/>
        </w:rPr>
        <w:t>内容及</w:t>
      </w:r>
      <w:r>
        <w:rPr>
          <w:rFonts w:hint="eastAsia" w:hAnsi="宋体"/>
          <w:color w:val="auto"/>
          <w:szCs w:val="24"/>
          <w:highlight w:val="none"/>
        </w:rPr>
        <w:t>服务</w:t>
      </w:r>
      <w:r>
        <w:rPr>
          <w:rFonts w:hAnsi="宋体"/>
          <w:color w:val="auto"/>
          <w:szCs w:val="24"/>
          <w:highlight w:val="none"/>
        </w:rPr>
        <w:t>要求</w:t>
      </w:r>
    </w:p>
    <w:p w14:paraId="1DAD71B3">
      <w:pPr>
        <w:spacing w:line="360" w:lineRule="auto"/>
        <w:ind w:firstLine="480" w:firstLineChars="200"/>
        <w:rPr>
          <w:rFonts w:hint="eastAsia" w:hAnsi="宋体"/>
          <w:color w:val="auto"/>
          <w:szCs w:val="24"/>
          <w:highlight w:val="none"/>
        </w:rPr>
      </w:pPr>
      <w:r>
        <w:rPr>
          <w:rFonts w:hAnsi="宋体"/>
          <w:color w:val="auto"/>
          <w:szCs w:val="24"/>
          <w:highlight w:val="none"/>
        </w:rPr>
        <w:t>第</w:t>
      </w:r>
      <w:r>
        <w:rPr>
          <w:rFonts w:hint="eastAsia" w:hAnsi="宋体"/>
          <w:color w:val="auto"/>
          <w:szCs w:val="24"/>
          <w:highlight w:val="none"/>
        </w:rPr>
        <w:t>五</w:t>
      </w:r>
      <w:r>
        <w:rPr>
          <w:rFonts w:hAnsi="宋体"/>
          <w:color w:val="auto"/>
          <w:szCs w:val="24"/>
          <w:highlight w:val="none"/>
        </w:rPr>
        <w:t>章</w:t>
      </w:r>
      <w:r>
        <w:rPr>
          <w:rFonts w:hint="eastAsia" w:hAnsi="宋体"/>
          <w:color w:val="auto"/>
          <w:szCs w:val="24"/>
          <w:highlight w:val="none"/>
        </w:rPr>
        <w:t xml:space="preserve"> 评审方法</w:t>
      </w:r>
    </w:p>
    <w:p w14:paraId="21EFADF4">
      <w:pPr>
        <w:spacing w:line="360" w:lineRule="auto"/>
        <w:ind w:firstLine="480" w:firstLineChars="200"/>
        <w:rPr>
          <w:rFonts w:hint="eastAsia" w:hAnsi="宋体"/>
          <w:color w:val="auto"/>
          <w:szCs w:val="24"/>
          <w:highlight w:val="none"/>
        </w:rPr>
      </w:pPr>
      <w:r>
        <w:rPr>
          <w:rFonts w:hint="eastAsia" w:hAnsi="宋体"/>
          <w:color w:val="auto"/>
          <w:szCs w:val="24"/>
          <w:highlight w:val="none"/>
        </w:rPr>
        <w:t>第六章 竞争性磋商响应</w:t>
      </w:r>
      <w:r>
        <w:rPr>
          <w:rFonts w:hAnsi="宋体"/>
          <w:color w:val="auto"/>
          <w:szCs w:val="24"/>
          <w:highlight w:val="none"/>
        </w:rPr>
        <w:t>文件格式</w:t>
      </w:r>
    </w:p>
    <w:p w14:paraId="02F13FE3">
      <w:pPr>
        <w:spacing w:line="360" w:lineRule="auto"/>
        <w:ind w:firstLine="480" w:firstLineChars="200"/>
        <w:rPr>
          <w:rFonts w:hint="eastAsia" w:hAnsi="宋体"/>
          <w:color w:val="auto"/>
          <w:szCs w:val="24"/>
          <w:highlight w:val="none"/>
        </w:rPr>
      </w:pPr>
      <w:r>
        <w:rPr>
          <w:rFonts w:hint="eastAsia" w:hAnsi="宋体"/>
          <w:color w:val="auto"/>
          <w:szCs w:val="24"/>
          <w:highlight w:val="none"/>
        </w:rPr>
        <w:t>7</w:t>
      </w:r>
      <w:r>
        <w:rPr>
          <w:rFonts w:hAnsi="宋体"/>
          <w:color w:val="auto"/>
          <w:szCs w:val="24"/>
          <w:highlight w:val="none"/>
        </w:rPr>
        <w:t>.2</w:t>
      </w:r>
      <w:r>
        <w:rPr>
          <w:rFonts w:hint="eastAsia" w:hAnsi="宋体"/>
          <w:color w:val="auto"/>
          <w:szCs w:val="24"/>
          <w:highlight w:val="none"/>
        </w:rPr>
        <w:t xml:space="preserve"> 供应商</w:t>
      </w:r>
      <w:r>
        <w:rPr>
          <w:rFonts w:hAnsi="宋体"/>
          <w:color w:val="auto"/>
          <w:szCs w:val="24"/>
          <w:highlight w:val="none"/>
        </w:rPr>
        <w:t>应认真阅读</w:t>
      </w:r>
      <w:r>
        <w:rPr>
          <w:rFonts w:hint="eastAsia" w:hAnsi="宋体"/>
          <w:color w:val="auto"/>
          <w:szCs w:val="24"/>
          <w:highlight w:val="none"/>
        </w:rPr>
        <w:t>竞争性磋商</w:t>
      </w:r>
      <w:r>
        <w:rPr>
          <w:rFonts w:hAnsi="宋体"/>
          <w:color w:val="auto"/>
          <w:szCs w:val="24"/>
          <w:highlight w:val="none"/>
        </w:rPr>
        <w:t>文件中所有的事项、格式、条款和规范等要求。如果</w:t>
      </w:r>
      <w:r>
        <w:rPr>
          <w:rFonts w:hint="eastAsia" w:hAnsi="宋体"/>
          <w:color w:val="auto"/>
          <w:szCs w:val="24"/>
          <w:highlight w:val="none"/>
        </w:rPr>
        <w:t>供应商</w:t>
      </w:r>
      <w:r>
        <w:rPr>
          <w:rFonts w:hAnsi="宋体"/>
          <w:color w:val="auto"/>
          <w:szCs w:val="24"/>
          <w:highlight w:val="none"/>
        </w:rPr>
        <w:t>没有按照</w:t>
      </w:r>
      <w:r>
        <w:rPr>
          <w:rFonts w:hint="eastAsia" w:hAnsi="宋体"/>
          <w:color w:val="auto"/>
          <w:szCs w:val="24"/>
          <w:highlight w:val="none"/>
        </w:rPr>
        <w:t>竞争性磋商</w:t>
      </w:r>
      <w:r>
        <w:rPr>
          <w:rFonts w:hAnsi="宋体"/>
          <w:color w:val="auto"/>
          <w:szCs w:val="24"/>
          <w:highlight w:val="none"/>
        </w:rPr>
        <w:t>文件要求提交全部资料，或者</w:t>
      </w:r>
      <w:r>
        <w:rPr>
          <w:rFonts w:hint="eastAsia" w:hAnsi="宋体"/>
          <w:color w:val="auto"/>
          <w:szCs w:val="24"/>
          <w:highlight w:val="none"/>
        </w:rPr>
        <w:t>竞争性磋商响应</w:t>
      </w:r>
      <w:r>
        <w:rPr>
          <w:rFonts w:hAnsi="宋体"/>
          <w:color w:val="auto"/>
          <w:szCs w:val="24"/>
          <w:highlight w:val="none"/>
        </w:rPr>
        <w:t>文件没有对</w:t>
      </w:r>
      <w:r>
        <w:rPr>
          <w:rFonts w:hint="eastAsia" w:hAnsi="宋体"/>
          <w:color w:val="auto"/>
          <w:szCs w:val="24"/>
          <w:highlight w:val="none"/>
        </w:rPr>
        <w:t>竞争性磋商</w:t>
      </w:r>
      <w:r>
        <w:rPr>
          <w:rFonts w:hAnsi="宋体"/>
          <w:color w:val="auto"/>
          <w:szCs w:val="24"/>
          <w:highlight w:val="none"/>
        </w:rPr>
        <w:t>文件在各方面都做出实质性响应，由此带来不利于</w:t>
      </w:r>
      <w:r>
        <w:rPr>
          <w:rFonts w:hint="eastAsia" w:hAnsi="宋体"/>
          <w:color w:val="auto"/>
          <w:szCs w:val="24"/>
          <w:highlight w:val="none"/>
        </w:rPr>
        <w:t>供应商</w:t>
      </w:r>
      <w:r>
        <w:rPr>
          <w:rFonts w:hAnsi="宋体"/>
          <w:color w:val="auto"/>
          <w:szCs w:val="24"/>
          <w:highlight w:val="none"/>
        </w:rPr>
        <w:t>的</w:t>
      </w:r>
      <w:r>
        <w:rPr>
          <w:rFonts w:hint="eastAsia" w:hAnsi="宋体"/>
          <w:color w:val="auto"/>
          <w:szCs w:val="24"/>
          <w:highlight w:val="none"/>
        </w:rPr>
        <w:t>磋商</w:t>
      </w:r>
      <w:r>
        <w:rPr>
          <w:rFonts w:hAnsi="宋体"/>
          <w:color w:val="auto"/>
          <w:szCs w:val="24"/>
          <w:highlight w:val="none"/>
        </w:rPr>
        <w:t>结果，其风险由</w:t>
      </w:r>
      <w:r>
        <w:rPr>
          <w:rFonts w:hint="eastAsia" w:hAnsi="宋体"/>
          <w:color w:val="auto"/>
          <w:szCs w:val="24"/>
          <w:highlight w:val="none"/>
        </w:rPr>
        <w:t>供应商</w:t>
      </w:r>
      <w:r>
        <w:rPr>
          <w:rFonts w:hAnsi="宋体"/>
          <w:color w:val="auto"/>
          <w:szCs w:val="24"/>
          <w:highlight w:val="none"/>
        </w:rPr>
        <w:t>承担。</w:t>
      </w:r>
    </w:p>
    <w:p w14:paraId="7C2C9D8F">
      <w:pPr>
        <w:spacing w:line="360" w:lineRule="auto"/>
        <w:ind w:firstLine="480" w:firstLineChars="200"/>
        <w:rPr>
          <w:rFonts w:hint="eastAsia" w:hAnsi="宋体"/>
          <w:color w:val="auto"/>
          <w:szCs w:val="24"/>
          <w:highlight w:val="none"/>
        </w:rPr>
      </w:pPr>
      <w:r>
        <w:rPr>
          <w:rFonts w:hint="eastAsia" w:hAnsi="宋体"/>
          <w:color w:val="auto"/>
          <w:szCs w:val="24"/>
          <w:highlight w:val="none"/>
        </w:rPr>
        <w:t>7</w:t>
      </w:r>
      <w:r>
        <w:rPr>
          <w:rFonts w:hAnsi="宋体"/>
          <w:color w:val="auto"/>
          <w:szCs w:val="24"/>
          <w:highlight w:val="none"/>
        </w:rPr>
        <w:t>.3本</w:t>
      </w:r>
      <w:r>
        <w:rPr>
          <w:rFonts w:hint="eastAsia" w:hAnsi="宋体"/>
          <w:color w:val="auto"/>
          <w:szCs w:val="24"/>
          <w:highlight w:val="none"/>
        </w:rPr>
        <w:t>竞争性磋商</w:t>
      </w:r>
      <w:r>
        <w:rPr>
          <w:rFonts w:hAnsi="宋体"/>
          <w:color w:val="auto"/>
          <w:szCs w:val="24"/>
          <w:highlight w:val="none"/>
        </w:rPr>
        <w:t>文件的解释权归</w:t>
      </w:r>
      <w:r>
        <w:rPr>
          <w:rFonts w:hint="eastAsia" w:hAnsi="宋体"/>
          <w:color w:val="auto"/>
          <w:szCs w:val="24"/>
          <w:highlight w:val="none"/>
          <w:lang w:eastAsia="zh-CN"/>
        </w:rPr>
        <w:t>致君项目管理有限公司</w:t>
      </w:r>
      <w:r>
        <w:rPr>
          <w:rFonts w:hint="eastAsia" w:hAnsi="宋体"/>
          <w:color w:val="auto"/>
          <w:szCs w:val="24"/>
          <w:highlight w:val="none"/>
        </w:rPr>
        <w:t>，</w:t>
      </w:r>
      <w:r>
        <w:rPr>
          <w:rFonts w:hAnsi="宋体"/>
          <w:color w:val="auto"/>
          <w:szCs w:val="24"/>
          <w:highlight w:val="none"/>
        </w:rPr>
        <w:t>如发现</w:t>
      </w:r>
      <w:r>
        <w:rPr>
          <w:rFonts w:hint="eastAsia" w:hAnsi="宋体"/>
          <w:color w:val="auto"/>
          <w:szCs w:val="24"/>
          <w:highlight w:val="none"/>
        </w:rPr>
        <w:t>竞争性磋商响应</w:t>
      </w:r>
      <w:r>
        <w:rPr>
          <w:rFonts w:hAnsi="宋体"/>
          <w:color w:val="auto"/>
          <w:szCs w:val="24"/>
          <w:highlight w:val="none"/>
        </w:rPr>
        <w:t>文件内容与现行法律法规不相符的情况，以现行法律法规为准。</w:t>
      </w:r>
    </w:p>
    <w:p w14:paraId="56A57CB3">
      <w:pPr>
        <w:spacing w:line="360" w:lineRule="auto"/>
        <w:outlineLvl w:val="2"/>
        <w:rPr>
          <w:rFonts w:hint="eastAsia" w:hAnsi="宋体"/>
          <w:b/>
          <w:color w:val="auto"/>
          <w:szCs w:val="24"/>
          <w:highlight w:val="none"/>
        </w:rPr>
      </w:pPr>
      <w:r>
        <w:rPr>
          <w:rFonts w:hint="eastAsia" w:hAnsi="宋体"/>
          <w:b/>
          <w:color w:val="auto"/>
          <w:szCs w:val="24"/>
          <w:highlight w:val="none"/>
        </w:rPr>
        <w:t>8.竞争性磋商文件的修改和澄清</w:t>
      </w:r>
    </w:p>
    <w:p w14:paraId="25ADB246">
      <w:pPr>
        <w:spacing w:line="360" w:lineRule="auto"/>
        <w:ind w:firstLine="480" w:firstLineChars="200"/>
        <w:rPr>
          <w:rFonts w:hint="eastAsia" w:hAnsi="宋体"/>
          <w:color w:val="auto"/>
          <w:szCs w:val="24"/>
          <w:highlight w:val="none"/>
        </w:rPr>
      </w:pPr>
      <w:bookmarkStart w:id="45" w:name="_Toc363474019"/>
      <w:bookmarkStart w:id="46" w:name="_Toc403077641"/>
      <w:bookmarkStart w:id="47" w:name="_Toc363473974"/>
      <w:r>
        <w:rPr>
          <w:rFonts w:hint="eastAsia" w:hAnsi="宋体"/>
          <w:color w:val="auto"/>
          <w:szCs w:val="24"/>
          <w:highlight w:val="none"/>
        </w:rPr>
        <w:t>8</w:t>
      </w:r>
      <w:r>
        <w:rPr>
          <w:rFonts w:hAnsi="宋体"/>
          <w:color w:val="auto"/>
          <w:szCs w:val="24"/>
          <w:highlight w:val="none"/>
        </w:rPr>
        <w:t>.1</w:t>
      </w:r>
      <w:r>
        <w:rPr>
          <w:rFonts w:hint="eastAsia" w:hAnsi="宋体"/>
          <w:color w:val="auto"/>
          <w:szCs w:val="24"/>
          <w:highlight w:val="none"/>
        </w:rPr>
        <w:t>提交响应文件截止之日前，采购人、采购代理机构可以对已发出的磋商文件进行必要的澄清或者修改，澄清或者修改的内容作为磋商文件的组成部分。澄清或者修改的内容可能影响响应文件编制的，采购人、采购代理机构应当在提交响应文件截止时间至少5日前，以书面形式通知所有获取磋商文件的供应商；不足5日的，采购人、采购代理机构应当顺延提交首次响应文件截止时间。</w:t>
      </w:r>
    </w:p>
    <w:p w14:paraId="139CF9B4">
      <w:pPr>
        <w:spacing w:line="360" w:lineRule="auto"/>
        <w:ind w:firstLine="480" w:firstLineChars="200"/>
        <w:rPr>
          <w:rFonts w:hint="eastAsia" w:hAnsi="宋体"/>
          <w:color w:val="auto"/>
          <w:szCs w:val="24"/>
          <w:highlight w:val="none"/>
        </w:rPr>
      </w:pPr>
      <w:r>
        <w:rPr>
          <w:rFonts w:hint="eastAsia" w:hAnsi="宋体"/>
          <w:color w:val="auto"/>
          <w:szCs w:val="24"/>
          <w:highlight w:val="none"/>
        </w:rPr>
        <w:t>8</w:t>
      </w:r>
      <w:r>
        <w:rPr>
          <w:rFonts w:hAnsi="宋体"/>
          <w:color w:val="auto"/>
          <w:szCs w:val="24"/>
          <w:highlight w:val="none"/>
        </w:rPr>
        <w:t>.</w:t>
      </w:r>
      <w:r>
        <w:rPr>
          <w:rFonts w:hint="eastAsia" w:hAnsi="宋体"/>
          <w:color w:val="auto"/>
          <w:szCs w:val="24"/>
          <w:highlight w:val="none"/>
        </w:rPr>
        <w:t>2</w:t>
      </w:r>
      <w:r>
        <w:rPr>
          <w:rFonts w:hAnsi="宋体"/>
          <w:color w:val="auto"/>
          <w:szCs w:val="24"/>
          <w:highlight w:val="none"/>
        </w:rPr>
        <w:t>已经购买</w:t>
      </w:r>
      <w:r>
        <w:rPr>
          <w:rFonts w:hint="eastAsia" w:hAnsi="宋体"/>
          <w:color w:val="auto"/>
          <w:szCs w:val="24"/>
          <w:highlight w:val="none"/>
        </w:rPr>
        <w:t>竞争性磋商</w:t>
      </w:r>
      <w:r>
        <w:rPr>
          <w:rFonts w:hAnsi="宋体"/>
          <w:color w:val="auto"/>
          <w:szCs w:val="24"/>
          <w:highlight w:val="none"/>
        </w:rPr>
        <w:t>文件的</w:t>
      </w:r>
      <w:r>
        <w:rPr>
          <w:rFonts w:hint="eastAsia" w:hAnsi="宋体"/>
          <w:color w:val="auto"/>
          <w:szCs w:val="24"/>
          <w:highlight w:val="none"/>
        </w:rPr>
        <w:t>供应商</w:t>
      </w:r>
      <w:r>
        <w:rPr>
          <w:rFonts w:hAnsi="宋体"/>
          <w:color w:val="auto"/>
          <w:szCs w:val="24"/>
          <w:highlight w:val="none"/>
        </w:rPr>
        <w:t>对</w:t>
      </w:r>
      <w:r>
        <w:rPr>
          <w:rFonts w:hint="eastAsia" w:hAnsi="宋体"/>
          <w:color w:val="auto"/>
          <w:szCs w:val="24"/>
          <w:highlight w:val="none"/>
        </w:rPr>
        <w:t>竞争性磋商</w:t>
      </w:r>
      <w:r>
        <w:rPr>
          <w:rFonts w:hAnsi="宋体"/>
          <w:color w:val="auto"/>
          <w:szCs w:val="24"/>
          <w:highlight w:val="none"/>
        </w:rPr>
        <w:t>文件有疑问的，均应在</w:t>
      </w:r>
      <w:r>
        <w:rPr>
          <w:rFonts w:hint="eastAsia" w:hAnsi="宋体"/>
          <w:color w:val="auto"/>
          <w:szCs w:val="24"/>
          <w:highlight w:val="none"/>
        </w:rPr>
        <w:t>磋商</w:t>
      </w:r>
      <w:r>
        <w:rPr>
          <w:rFonts w:hAnsi="宋体"/>
          <w:color w:val="auto"/>
          <w:szCs w:val="24"/>
          <w:highlight w:val="none"/>
        </w:rPr>
        <w:t>截止日期</w:t>
      </w:r>
      <w:r>
        <w:rPr>
          <w:rFonts w:hint="eastAsia" w:hAnsi="宋体"/>
          <w:color w:val="auto"/>
          <w:szCs w:val="24"/>
          <w:highlight w:val="none"/>
        </w:rPr>
        <w:t>3日</w:t>
      </w:r>
      <w:r>
        <w:rPr>
          <w:rFonts w:hAnsi="宋体"/>
          <w:color w:val="auto"/>
          <w:szCs w:val="24"/>
          <w:highlight w:val="none"/>
        </w:rPr>
        <w:t>前以书面形式向采购代理机构提出。</w:t>
      </w:r>
      <w:r>
        <w:rPr>
          <w:rFonts w:hint="eastAsia" w:hAnsi="宋体"/>
          <w:color w:val="auto"/>
          <w:szCs w:val="24"/>
          <w:highlight w:val="none"/>
        </w:rPr>
        <w:t>采购代理机构视情况</w:t>
      </w:r>
      <w:r>
        <w:rPr>
          <w:rFonts w:hAnsi="宋体"/>
          <w:color w:val="auto"/>
          <w:szCs w:val="24"/>
          <w:highlight w:val="none"/>
        </w:rPr>
        <w:t>必要时将书面答复传送给</w:t>
      </w:r>
      <w:r>
        <w:rPr>
          <w:rFonts w:hint="eastAsia" w:hAnsi="宋体"/>
          <w:color w:val="auto"/>
          <w:szCs w:val="24"/>
          <w:highlight w:val="none"/>
        </w:rPr>
        <w:t>所有获取竞争性磋商</w:t>
      </w:r>
      <w:r>
        <w:rPr>
          <w:rFonts w:hAnsi="宋体"/>
          <w:color w:val="auto"/>
          <w:szCs w:val="24"/>
          <w:highlight w:val="none"/>
        </w:rPr>
        <w:t>文件的</w:t>
      </w:r>
      <w:r>
        <w:rPr>
          <w:rFonts w:hint="eastAsia" w:hAnsi="宋体"/>
          <w:color w:val="auto"/>
          <w:szCs w:val="24"/>
          <w:highlight w:val="none"/>
        </w:rPr>
        <w:t>供应商</w:t>
      </w:r>
      <w:r>
        <w:rPr>
          <w:rFonts w:hAnsi="宋体"/>
          <w:color w:val="auto"/>
          <w:szCs w:val="24"/>
          <w:highlight w:val="none"/>
        </w:rPr>
        <w:t>。</w:t>
      </w:r>
    </w:p>
    <w:p w14:paraId="082432CE">
      <w:pPr>
        <w:spacing w:line="360" w:lineRule="auto"/>
        <w:ind w:firstLine="480" w:firstLineChars="200"/>
        <w:rPr>
          <w:rFonts w:hint="eastAsia" w:hAnsi="宋体"/>
          <w:color w:val="auto"/>
          <w:szCs w:val="24"/>
          <w:highlight w:val="none"/>
        </w:rPr>
      </w:pPr>
      <w:r>
        <w:rPr>
          <w:rFonts w:hint="eastAsia" w:hAnsi="宋体"/>
          <w:color w:val="auto"/>
          <w:szCs w:val="24"/>
          <w:highlight w:val="none"/>
        </w:rPr>
        <w:t>8.3供应商在收到上述通知后，应立即向采购代理机构回函确认。</w:t>
      </w:r>
    </w:p>
    <w:p w14:paraId="6FBDB617">
      <w:pPr>
        <w:pStyle w:val="4"/>
        <w:spacing w:line="360" w:lineRule="auto"/>
        <w:jc w:val="center"/>
        <w:rPr>
          <w:rFonts w:hint="eastAsia" w:ascii="宋体" w:hAnsi="宋体" w:cs="宋体"/>
          <w:color w:val="auto"/>
          <w:sz w:val="32"/>
          <w:highlight w:val="none"/>
        </w:rPr>
      </w:pPr>
      <w:r>
        <w:rPr>
          <w:rFonts w:hint="eastAsia" w:ascii="宋体" w:hAnsi="宋体" w:cs="宋体"/>
          <w:color w:val="auto"/>
          <w:sz w:val="32"/>
          <w:highlight w:val="none"/>
        </w:rPr>
        <w:t>三、磋商响应文件的编制</w:t>
      </w:r>
      <w:bookmarkEnd w:id="45"/>
      <w:bookmarkEnd w:id="46"/>
      <w:bookmarkEnd w:id="47"/>
    </w:p>
    <w:p w14:paraId="5BFF8578">
      <w:pPr>
        <w:spacing w:line="360" w:lineRule="auto"/>
        <w:outlineLvl w:val="2"/>
        <w:rPr>
          <w:rFonts w:hint="eastAsia" w:hAnsi="宋体"/>
          <w:b/>
          <w:color w:val="auto"/>
          <w:szCs w:val="24"/>
          <w:highlight w:val="none"/>
        </w:rPr>
      </w:pPr>
      <w:r>
        <w:rPr>
          <w:rFonts w:hint="eastAsia" w:hAnsi="宋体"/>
          <w:b/>
          <w:color w:val="auto"/>
          <w:szCs w:val="24"/>
          <w:highlight w:val="none"/>
        </w:rPr>
        <w:t>9. 磋商语言和磋商货币</w:t>
      </w:r>
    </w:p>
    <w:p w14:paraId="74B022D5">
      <w:pPr>
        <w:spacing w:line="360" w:lineRule="auto"/>
        <w:ind w:firstLine="480" w:firstLineChars="200"/>
        <w:rPr>
          <w:rFonts w:hint="eastAsia" w:hAnsi="宋体"/>
          <w:b/>
          <w:color w:val="auto"/>
          <w:szCs w:val="24"/>
          <w:highlight w:val="none"/>
        </w:rPr>
      </w:pPr>
      <w:r>
        <w:rPr>
          <w:rFonts w:hint="eastAsia" w:hAnsi="宋体"/>
          <w:color w:val="auto"/>
          <w:szCs w:val="24"/>
          <w:highlight w:val="none"/>
        </w:rPr>
        <w:t>9</w:t>
      </w:r>
      <w:r>
        <w:rPr>
          <w:rFonts w:hAnsi="宋体"/>
          <w:color w:val="auto"/>
          <w:szCs w:val="24"/>
          <w:highlight w:val="none"/>
        </w:rPr>
        <w:t>.1</w:t>
      </w:r>
      <w:r>
        <w:rPr>
          <w:rFonts w:hint="eastAsia" w:hAnsi="宋体"/>
          <w:color w:val="auto"/>
          <w:szCs w:val="24"/>
          <w:highlight w:val="none"/>
        </w:rPr>
        <w:t>供应商</w:t>
      </w:r>
      <w:r>
        <w:rPr>
          <w:rFonts w:hAnsi="宋体"/>
          <w:color w:val="auto"/>
          <w:szCs w:val="24"/>
          <w:highlight w:val="none"/>
        </w:rPr>
        <w:t>提交的</w:t>
      </w:r>
      <w:r>
        <w:rPr>
          <w:rFonts w:hint="eastAsia" w:hAnsi="宋体"/>
          <w:color w:val="auto"/>
          <w:szCs w:val="24"/>
          <w:highlight w:val="none"/>
        </w:rPr>
        <w:t>竞争性磋商响应</w:t>
      </w:r>
      <w:r>
        <w:rPr>
          <w:rFonts w:hAnsi="宋体"/>
          <w:color w:val="auto"/>
          <w:szCs w:val="24"/>
          <w:highlight w:val="none"/>
        </w:rPr>
        <w:t>文件以及</w:t>
      </w:r>
      <w:r>
        <w:rPr>
          <w:rFonts w:hint="eastAsia" w:hAnsi="宋体"/>
          <w:color w:val="auto"/>
          <w:szCs w:val="24"/>
          <w:highlight w:val="none"/>
        </w:rPr>
        <w:t>供应商</w:t>
      </w:r>
      <w:r>
        <w:rPr>
          <w:rFonts w:hAnsi="宋体"/>
          <w:color w:val="auto"/>
          <w:szCs w:val="24"/>
          <w:highlight w:val="none"/>
        </w:rPr>
        <w:t>与采购代理机构就有关</w:t>
      </w:r>
      <w:r>
        <w:rPr>
          <w:rFonts w:hint="eastAsia" w:hAnsi="宋体"/>
          <w:color w:val="auto"/>
          <w:szCs w:val="24"/>
          <w:highlight w:val="none"/>
        </w:rPr>
        <w:t>磋商</w:t>
      </w:r>
      <w:r>
        <w:rPr>
          <w:rFonts w:hAnsi="宋体"/>
          <w:color w:val="auto"/>
          <w:szCs w:val="24"/>
          <w:highlight w:val="none"/>
        </w:rPr>
        <w:t>的所有来往函电均应使用</w:t>
      </w:r>
      <w:r>
        <w:rPr>
          <w:rFonts w:hint="eastAsia" w:hAnsi="宋体"/>
          <w:color w:val="auto"/>
          <w:szCs w:val="24"/>
          <w:highlight w:val="none"/>
        </w:rPr>
        <w:t>简体</w:t>
      </w:r>
      <w:r>
        <w:rPr>
          <w:rFonts w:hAnsi="宋体"/>
          <w:color w:val="auto"/>
          <w:szCs w:val="24"/>
          <w:highlight w:val="none"/>
        </w:rPr>
        <w:t>中文。</w:t>
      </w:r>
    </w:p>
    <w:p w14:paraId="24354835">
      <w:pPr>
        <w:spacing w:line="360" w:lineRule="auto"/>
        <w:ind w:firstLine="480" w:firstLineChars="200"/>
        <w:rPr>
          <w:rFonts w:hint="eastAsia" w:hAnsi="宋体"/>
          <w:color w:val="auto"/>
          <w:szCs w:val="24"/>
          <w:highlight w:val="none"/>
        </w:rPr>
      </w:pPr>
      <w:r>
        <w:rPr>
          <w:rFonts w:hint="eastAsia" w:hAnsi="宋体"/>
          <w:color w:val="auto"/>
          <w:szCs w:val="24"/>
          <w:highlight w:val="none"/>
        </w:rPr>
        <w:t>9</w:t>
      </w:r>
      <w:r>
        <w:rPr>
          <w:rFonts w:hAnsi="宋体"/>
          <w:color w:val="auto"/>
          <w:szCs w:val="24"/>
          <w:highlight w:val="none"/>
        </w:rPr>
        <w:t>.2</w:t>
      </w:r>
      <w:r>
        <w:rPr>
          <w:rFonts w:hint="eastAsia" w:hAnsi="宋体"/>
          <w:color w:val="auto"/>
          <w:szCs w:val="24"/>
          <w:highlight w:val="none"/>
        </w:rPr>
        <w:t>磋商</w:t>
      </w:r>
      <w:r>
        <w:rPr>
          <w:rFonts w:hAnsi="宋体"/>
          <w:color w:val="auto"/>
          <w:szCs w:val="24"/>
          <w:highlight w:val="none"/>
        </w:rPr>
        <w:t>应以人民币报价。任何包含非人民币报价的</w:t>
      </w:r>
      <w:r>
        <w:rPr>
          <w:rFonts w:hint="eastAsia" w:hAnsi="宋体"/>
          <w:color w:val="auto"/>
          <w:szCs w:val="24"/>
          <w:highlight w:val="none"/>
        </w:rPr>
        <w:t>磋商</w:t>
      </w:r>
      <w:r>
        <w:rPr>
          <w:rFonts w:hAnsi="宋体"/>
          <w:color w:val="auto"/>
          <w:szCs w:val="24"/>
          <w:highlight w:val="none"/>
        </w:rPr>
        <w:t>将</w:t>
      </w:r>
      <w:r>
        <w:rPr>
          <w:rFonts w:hint="eastAsia" w:hAnsi="宋体"/>
          <w:color w:val="auto"/>
          <w:szCs w:val="24"/>
          <w:highlight w:val="none"/>
        </w:rPr>
        <w:t>按无效磋商处理</w:t>
      </w:r>
      <w:r>
        <w:rPr>
          <w:rFonts w:hAnsi="宋体"/>
          <w:color w:val="auto"/>
          <w:szCs w:val="24"/>
          <w:highlight w:val="none"/>
        </w:rPr>
        <w:t>。</w:t>
      </w:r>
    </w:p>
    <w:p w14:paraId="2B1FD26D">
      <w:pPr>
        <w:spacing w:line="360" w:lineRule="auto"/>
        <w:outlineLvl w:val="2"/>
        <w:rPr>
          <w:rFonts w:hint="eastAsia" w:hAnsi="宋体"/>
          <w:b/>
          <w:color w:val="auto"/>
          <w:szCs w:val="24"/>
          <w:highlight w:val="none"/>
        </w:rPr>
      </w:pPr>
      <w:r>
        <w:rPr>
          <w:rFonts w:hint="eastAsia" w:hAnsi="宋体"/>
          <w:b/>
          <w:color w:val="auto"/>
          <w:szCs w:val="24"/>
          <w:highlight w:val="none"/>
        </w:rPr>
        <w:t>10.竞争性磋商响应文件的构成</w:t>
      </w:r>
    </w:p>
    <w:p w14:paraId="7ED869C6">
      <w:pPr>
        <w:spacing w:line="360" w:lineRule="auto"/>
        <w:ind w:firstLine="480" w:firstLineChars="200"/>
        <w:rPr>
          <w:rFonts w:hint="eastAsia" w:hAnsi="宋体"/>
          <w:color w:val="auto"/>
          <w:szCs w:val="24"/>
          <w:highlight w:val="none"/>
        </w:rPr>
      </w:pPr>
      <w:r>
        <w:rPr>
          <w:rFonts w:hint="eastAsia" w:hAnsi="宋体"/>
          <w:color w:val="auto"/>
          <w:szCs w:val="24"/>
          <w:highlight w:val="none"/>
        </w:rPr>
        <w:t>10.1供应商提交的竞争性磋商响应文件应包含下列部分的内容：</w:t>
      </w:r>
    </w:p>
    <w:p w14:paraId="4F5ECA63">
      <w:pPr>
        <w:spacing w:line="360" w:lineRule="auto"/>
        <w:ind w:firstLine="480" w:firstLineChars="200"/>
        <w:rPr>
          <w:rFonts w:hint="eastAsia" w:hAnsi="宋体"/>
          <w:color w:val="auto"/>
          <w:szCs w:val="24"/>
          <w:highlight w:val="none"/>
        </w:rPr>
      </w:pPr>
      <w:r>
        <w:rPr>
          <w:rFonts w:hint="eastAsia" w:hAnsi="宋体"/>
          <w:color w:val="auto"/>
          <w:szCs w:val="24"/>
          <w:highlight w:val="none"/>
        </w:rPr>
        <w:t>10.1.1按照供应商须知的要求和竞争性磋商文件规定格式填写的竞争性磋商函、磋商报价表、法定代表人授权委托书。</w:t>
      </w:r>
    </w:p>
    <w:p w14:paraId="028722BE">
      <w:pPr>
        <w:spacing w:line="360" w:lineRule="auto"/>
        <w:ind w:firstLine="480" w:firstLineChars="200"/>
        <w:rPr>
          <w:rFonts w:hint="eastAsia" w:hAnsi="宋体"/>
          <w:color w:val="auto"/>
          <w:szCs w:val="24"/>
          <w:highlight w:val="none"/>
        </w:rPr>
      </w:pPr>
      <w:r>
        <w:rPr>
          <w:rFonts w:hint="eastAsia" w:hAnsi="宋体"/>
          <w:color w:val="auto"/>
          <w:szCs w:val="24"/>
          <w:highlight w:val="none"/>
        </w:rPr>
        <w:t>10.1.2按照竞争性磋商文件的要求编制的磋商方案说明书，内容至少应包括组织实施计划和服务的详细说明，服务应答表，人员配备和售后服务承诺等。</w:t>
      </w:r>
    </w:p>
    <w:p w14:paraId="154C8048">
      <w:pPr>
        <w:spacing w:line="360" w:lineRule="auto"/>
        <w:ind w:firstLine="480" w:firstLineChars="200"/>
        <w:rPr>
          <w:rFonts w:hint="eastAsia" w:hAnsi="宋体"/>
          <w:color w:val="auto"/>
          <w:szCs w:val="24"/>
          <w:highlight w:val="none"/>
        </w:rPr>
      </w:pPr>
      <w:r>
        <w:rPr>
          <w:rFonts w:hint="eastAsia" w:hAnsi="宋体"/>
          <w:color w:val="auto"/>
          <w:szCs w:val="24"/>
          <w:highlight w:val="none"/>
        </w:rPr>
        <w:t>10.1.3按照竞争性磋商文件供应商须知前附表的要求提交的资格证明文件；</w:t>
      </w:r>
    </w:p>
    <w:p w14:paraId="32E218E9">
      <w:pPr>
        <w:spacing w:line="360" w:lineRule="auto"/>
        <w:ind w:firstLine="480" w:firstLineChars="200"/>
        <w:rPr>
          <w:rFonts w:hint="eastAsia" w:hAnsi="宋体"/>
          <w:color w:val="auto"/>
          <w:szCs w:val="24"/>
          <w:highlight w:val="none"/>
        </w:rPr>
      </w:pPr>
      <w:r>
        <w:rPr>
          <w:rFonts w:hint="eastAsia" w:hAnsi="宋体"/>
          <w:color w:val="auto"/>
          <w:szCs w:val="24"/>
          <w:highlight w:val="none"/>
        </w:rPr>
        <w:t>10.1.4竞争磋商文件中要求的其他证明文件。</w:t>
      </w:r>
    </w:p>
    <w:p w14:paraId="26E26974">
      <w:pPr>
        <w:spacing w:line="360" w:lineRule="auto"/>
        <w:ind w:firstLine="480" w:firstLineChars="200"/>
        <w:rPr>
          <w:rFonts w:hint="eastAsia" w:hAnsi="宋体"/>
          <w:color w:val="auto"/>
          <w:szCs w:val="24"/>
          <w:highlight w:val="none"/>
        </w:rPr>
      </w:pPr>
      <w:r>
        <w:rPr>
          <w:rFonts w:hint="eastAsia" w:hAnsi="宋体"/>
          <w:color w:val="auto"/>
          <w:szCs w:val="24"/>
          <w:highlight w:val="none"/>
        </w:rPr>
        <w:t>10.2 如果在竞争性磋商</w:t>
      </w:r>
      <w:r>
        <w:rPr>
          <w:rFonts w:hAnsi="宋体"/>
          <w:color w:val="auto"/>
          <w:szCs w:val="24"/>
          <w:highlight w:val="none"/>
        </w:rPr>
        <w:t>文件中没有允许提供备选方案，则每个</w:t>
      </w:r>
      <w:r>
        <w:rPr>
          <w:rFonts w:hint="eastAsia" w:hAnsi="宋体"/>
          <w:color w:val="auto"/>
          <w:szCs w:val="24"/>
          <w:highlight w:val="none"/>
        </w:rPr>
        <w:t>供应商</w:t>
      </w:r>
      <w:r>
        <w:rPr>
          <w:rFonts w:hAnsi="宋体"/>
          <w:color w:val="auto"/>
          <w:szCs w:val="24"/>
          <w:highlight w:val="none"/>
        </w:rPr>
        <w:t>只允许提交一个</w:t>
      </w:r>
      <w:r>
        <w:rPr>
          <w:rFonts w:hint="eastAsia" w:hAnsi="宋体"/>
          <w:color w:val="auto"/>
          <w:szCs w:val="24"/>
          <w:highlight w:val="none"/>
        </w:rPr>
        <w:t>磋商</w:t>
      </w:r>
      <w:r>
        <w:rPr>
          <w:rFonts w:hAnsi="宋体"/>
          <w:color w:val="auto"/>
          <w:szCs w:val="24"/>
          <w:highlight w:val="none"/>
        </w:rPr>
        <w:t>方案，否则，其</w:t>
      </w:r>
      <w:r>
        <w:rPr>
          <w:rFonts w:hint="eastAsia" w:hAnsi="宋体"/>
          <w:color w:val="auto"/>
          <w:szCs w:val="24"/>
          <w:highlight w:val="none"/>
        </w:rPr>
        <w:t>磋商</w:t>
      </w:r>
      <w:r>
        <w:rPr>
          <w:rFonts w:hAnsi="宋体"/>
          <w:color w:val="auto"/>
          <w:szCs w:val="24"/>
          <w:highlight w:val="none"/>
        </w:rPr>
        <w:t>将</w:t>
      </w:r>
      <w:r>
        <w:rPr>
          <w:rFonts w:hint="eastAsia" w:hAnsi="宋体"/>
          <w:color w:val="auto"/>
          <w:szCs w:val="24"/>
          <w:highlight w:val="none"/>
        </w:rPr>
        <w:t>按照无效磋商处理</w:t>
      </w:r>
      <w:r>
        <w:rPr>
          <w:rFonts w:hAnsi="宋体"/>
          <w:color w:val="auto"/>
          <w:szCs w:val="24"/>
          <w:highlight w:val="none"/>
        </w:rPr>
        <w:t>。</w:t>
      </w:r>
      <w:r>
        <w:rPr>
          <w:rFonts w:hint="eastAsia" w:hAnsi="宋体"/>
          <w:color w:val="auto"/>
          <w:szCs w:val="24"/>
          <w:highlight w:val="none"/>
        </w:rPr>
        <w:t xml:space="preserve">                                                                                                                                                                                                                                                                                                                                                                                                                                                                                                                                                                                                                                                                                                                                                                                                                                                                                                                                                                                                                                                                                                      </w:t>
      </w:r>
    </w:p>
    <w:p w14:paraId="56F45391">
      <w:pPr>
        <w:spacing w:line="360" w:lineRule="auto"/>
        <w:ind w:firstLine="480" w:firstLineChars="200"/>
        <w:rPr>
          <w:rFonts w:hint="eastAsia" w:hAnsi="宋体"/>
          <w:color w:val="auto"/>
          <w:szCs w:val="24"/>
          <w:highlight w:val="none"/>
        </w:rPr>
      </w:pPr>
      <w:r>
        <w:rPr>
          <w:rFonts w:hint="eastAsia" w:hAnsi="宋体"/>
          <w:color w:val="auto"/>
          <w:szCs w:val="24"/>
          <w:highlight w:val="none"/>
        </w:rPr>
        <w:t>10.3本次磋商的最小单元：见供应商须知前附表，供应商可根据自身的资质情况和经营范围对本次项目进行磋商，不得将其子目再行分解或只对本次项目中的品目进行不完全磋商，任何不完全的响应将会被拒绝。</w:t>
      </w:r>
    </w:p>
    <w:p w14:paraId="7636C600">
      <w:pPr>
        <w:spacing w:line="360" w:lineRule="auto"/>
        <w:outlineLvl w:val="2"/>
        <w:rPr>
          <w:rFonts w:hint="eastAsia" w:hAnsi="宋体"/>
          <w:b/>
          <w:color w:val="auto"/>
          <w:szCs w:val="24"/>
          <w:highlight w:val="none"/>
        </w:rPr>
      </w:pPr>
      <w:r>
        <w:rPr>
          <w:rFonts w:hint="eastAsia" w:hAnsi="宋体"/>
          <w:b/>
          <w:color w:val="auto"/>
          <w:szCs w:val="24"/>
          <w:highlight w:val="none"/>
        </w:rPr>
        <w:t xml:space="preserve">11.竞争性磋商响应文件格式 </w:t>
      </w:r>
    </w:p>
    <w:p w14:paraId="2E56F685">
      <w:pPr>
        <w:spacing w:line="360" w:lineRule="auto"/>
        <w:ind w:firstLine="480" w:firstLineChars="200"/>
        <w:rPr>
          <w:rFonts w:hint="eastAsia" w:hAnsi="宋体"/>
          <w:color w:val="auto"/>
          <w:szCs w:val="24"/>
          <w:highlight w:val="none"/>
        </w:rPr>
      </w:pPr>
      <w:r>
        <w:rPr>
          <w:rFonts w:hint="eastAsia" w:hAnsi="宋体"/>
          <w:color w:val="auto"/>
          <w:szCs w:val="24"/>
          <w:highlight w:val="none"/>
        </w:rPr>
        <w:t>11</w:t>
      </w:r>
      <w:r>
        <w:rPr>
          <w:rFonts w:hAnsi="宋体"/>
          <w:color w:val="auto"/>
          <w:szCs w:val="24"/>
          <w:highlight w:val="none"/>
        </w:rPr>
        <w:t xml:space="preserve">.1 </w:t>
      </w:r>
      <w:r>
        <w:rPr>
          <w:rFonts w:hint="eastAsia" w:hAnsi="宋体"/>
          <w:color w:val="auto"/>
          <w:szCs w:val="24"/>
          <w:highlight w:val="none"/>
        </w:rPr>
        <w:t>供应商</w:t>
      </w:r>
      <w:r>
        <w:rPr>
          <w:rFonts w:hAnsi="宋体"/>
          <w:color w:val="auto"/>
          <w:szCs w:val="24"/>
          <w:highlight w:val="none"/>
        </w:rPr>
        <w:t>应按照</w:t>
      </w:r>
      <w:r>
        <w:rPr>
          <w:rFonts w:hint="eastAsia" w:hAnsi="宋体"/>
          <w:color w:val="auto"/>
          <w:szCs w:val="24"/>
          <w:highlight w:val="none"/>
        </w:rPr>
        <w:t>竞争性磋商</w:t>
      </w:r>
      <w:r>
        <w:rPr>
          <w:rFonts w:hAnsi="宋体"/>
          <w:color w:val="auto"/>
          <w:szCs w:val="24"/>
          <w:highlight w:val="none"/>
        </w:rPr>
        <w:t>文件中</w:t>
      </w:r>
      <w:r>
        <w:rPr>
          <w:rFonts w:hint="eastAsia" w:hAnsi="宋体"/>
          <w:color w:val="auto"/>
          <w:szCs w:val="24"/>
          <w:highlight w:val="none"/>
        </w:rPr>
        <w:t>第六章</w:t>
      </w:r>
      <w:r>
        <w:rPr>
          <w:rFonts w:hAnsi="宋体"/>
          <w:color w:val="auto"/>
          <w:szCs w:val="24"/>
          <w:highlight w:val="none"/>
        </w:rPr>
        <w:t>“</w:t>
      </w:r>
      <w:r>
        <w:rPr>
          <w:rFonts w:hint="eastAsia" w:hAnsi="宋体"/>
          <w:color w:val="auto"/>
          <w:szCs w:val="24"/>
          <w:highlight w:val="none"/>
        </w:rPr>
        <w:t>竞争性磋商响应文件</w:t>
      </w:r>
      <w:r>
        <w:rPr>
          <w:rFonts w:hAnsi="宋体"/>
          <w:color w:val="auto"/>
          <w:szCs w:val="24"/>
          <w:highlight w:val="none"/>
        </w:rPr>
        <w:t>格式”所提供的格</w:t>
      </w:r>
      <w:r>
        <w:rPr>
          <w:rFonts w:hint="eastAsia" w:hAnsi="宋体"/>
          <w:color w:val="auto"/>
          <w:szCs w:val="24"/>
          <w:highlight w:val="none"/>
        </w:rPr>
        <w:t>式和要求制作竞争性磋商响应文件，明确表达磋商意愿，详细说明磋商方案、承诺及价格。</w:t>
      </w:r>
    </w:p>
    <w:p w14:paraId="593C245B">
      <w:pPr>
        <w:spacing w:line="360" w:lineRule="auto"/>
        <w:ind w:firstLine="480" w:firstLineChars="200"/>
        <w:rPr>
          <w:rFonts w:hint="eastAsia" w:hAnsi="宋体"/>
          <w:color w:val="auto"/>
          <w:szCs w:val="24"/>
          <w:highlight w:val="none"/>
        </w:rPr>
      </w:pPr>
      <w:r>
        <w:rPr>
          <w:rFonts w:hint="eastAsia" w:hAnsi="宋体"/>
          <w:color w:val="auto"/>
          <w:szCs w:val="24"/>
          <w:highlight w:val="none"/>
        </w:rPr>
        <w:t>11.2供应商应完整地提供</w:t>
      </w:r>
      <w:r>
        <w:rPr>
          <w:rFonts w:hint="eastAsia" w:hAnsi="宋体" w:cs="宋体"/>
          <w:color w:val="auto"/>
          <w:highlight w:val="none"/>
        </w:rPr>
        <w:t>磋商文件要求的所有数据和资料。</w:t>
      </w:r>
    </w:p>
    <w:p w14:paraId="734BA14E">
      <w:pPr>
        <w:spacing w:line="360" w:lineRule="auto"/>
        <w:outlineLvl w:val="2"/>
        <w:rPr>
          <w:rFonts w:hint="eastAsia" w:hAnsi="宋体"/>
          <w:b/>
          <w:color w:val="auto"/>
          <w:szCs w:val="24"/>
          <w:highlight w:val="none"/>
        </w:rPr>
      </w:pPr>
      <w:r>
        <w:rPr>
          <w:rFonts w:hint="eastAsia" w:hAnsi="宋体"/>
          <w:b/>
          <w:color w:val="auto"/>
          <w:szCs w:val="24"/>
          <w:highlight w:val="none"/>
        </w:rPr>
        <w:t>12.磋商报价</w:t>
      </w:r>
    </w:p>
    <w:p w14:paraId="37781CE8">
      <w:pPr>
        <w:spacing w:line="360" w:lineRule="auto"/>
        <w:ind w:firstLine="480" w:firstLineChars="200"/>
        <w:rPr>
          <w:rFonts w:hint="eastAsia" w:hAnsi="宋体" w:cs="宋体"/>
          <w:color w:val="auto"/>
          <w:szCs w:val="24"/>
          <w:highlight w:val="none"/>
        </w:rPr>
      </w:pPr>
      <w:r>
        <w:rPr>
          <w:rFonts w:hint="eastAsia" w:hAnsi="宋体"/>
          <w:color w:val="auto"/>
          <w:szCs w:val="24"/>
          <w:highlight w:val="none"/>
        </w:rPr>
        <w:t>12.1磋商报价：见供应商须知前附表。</w:t>
      </w:r>
    </w:p>
    <w:p w14:paraId="15F9B598">
      <w:pPr>
        <w:spacing w:line="360" w:lineRule="auto"/>
        <w:outlineLvl w:val="2"/>
        <w:rPr>
          <w:rFonts w:hint="eastAsia" w:hAnsi="宋体"/>
          <w:b/>
          <w:color w:val="auto"/>
          <w:szCs w:val="24"/>
          <w:highlight w:val="none"/>
        </w:rPr>
      </w:pPr>
      <w:r>
        <w:rPr>
          <w:rFonts w:hint="eastAsia" w:hAnsi="宋体"/>
          <w:b/>
          <w:color w:val="auto"/>
          <w:szCs w:val="24"/>
          <w:highlight w:val="none"/>
        </w:rPr>
        <w:t>13.证明供应商合格的资格证明文件</w:t>
      </w:r>
    </w:p>
    <w:p w14:paraId="27B83C5F">
      <w:pPr>
        <w:spacing w:line="360" w:lineRule="auto"/>
        <w:ind w:firstLine="480" w:firstLineChars="200"/>
        <w:rPr>
          <w:rFonts w:hint="eastAsia" w:hAnsi="宋体"/>
          <w:color w:val="auto"/>
          <w:szCs w:val="24"/>
          <w:highlight w:val="none"/>
        </w:rPr>
      </w:pPr>
      <w:r>
        <w:rPr>
          <w:rFonts w:hint="eastAsia" w:hAnsi="宋体"/>
          <w:color w:val="auto"/>
          <w:szCs w:val="24"/>
          <w:highlight w:val="none"/>
        </w:rPr>
        <w:t>13</w:t>
      </w:r>
      <w:r>
        <w:rPr>
          <w:rFonts w:hAnsi="宋体"/>
          <w:color w:val="auto"/>
          <w:szCs w:val="24"/>
          <w:highlight w:val="none"/>
        </w:rPr>
        <w:t>.1</w:t>
      </w:r>
      <w:r>
        <w:rPr>
          <w:rFonts w:hint="eastAsia" w:hAnsi="宋体"/>
          <w:color w:val="auto"/>
          <w:szCs w:val="24"/>
          <w:highlight w:val="none"/>
        </w:rPr>
        <w:t>供应商</w:t>
      </w:r>
      <w:r>
        <w:rPr>
          <w:rFonts w:hAnsi="宋体"/>
          <w:color w:val="auto"/>
          <w:szCs w:val="24"/>
          <w:highlight w:val="none"/>
        </w:rPr>
        <w:t>应按照</w:t>
      </w:r>
      <w:r>
        <w:rPr>
          <w:rFonts w:hint="eastAsia" w:hAnsi="宋体"/>
          <w:color w:val="auto"/>
          <w:szCs w:val="24"/>
          <w:highlight w:val="none"/>
        </w:rPr>
        <w:t>竞争性磋商</w:t>
      </w:r>
      <w:r>
        <w:rPr>
          <w:rFonts w:hAnsi="宋体"/>
          <w:color w:val="auto"/>
          <w:szCs w:val="24"/>
          <w:highlight w:val="none"/>
        </w:rPr>
        <w:t>文件</w:t>
      </w:r>
      <w:r>
        <w:rPr>
          <w:rFonts w:hint="eastAsia" w:hAnsi="宋体"/>
          <w:color w:val="auto"/>
          <w:szCs w:val="24"/>
          <w:highlight w:val="none"/>
        </w:rPr>
        <w:t>供应商须知前附表</w:t>
      </w:r>
      <w:r>
        <w:rPr>
          <w:rFonts w:hAnsi="宋体"/>
          <w:color w:val="auto"/>
          <w:szCs w:val="24"/>
          <w:highlight w:val="none"/>
        </w:rPr>
        <w:t>的要求，在</w:t>
      </w:r>
      <w:r>
        <w:rPr>
          <w:rFonts w:hint="eastAsia" w:hAnsi="宋体"/>
          <w:color w:val="auto"/>
          <w:szCs w:val="24"/>
          <w:highlight w:val="none"/>
        </w:rPr>
        <w:t>竞争性磋商响应文件</w:t>
      </w:r>
      <w:r>
        <w:rPr>
          <w:rFonts w:hAnsi="宋体"/>
          <w:color w:val="auto"/>
          <w:szCs w:val="24"/>
          <w:highlight w:val="none"/>
        </w:rPr>
        <w:t>中提交合格的资格证明文件。如果资格证明文件不全或不合格的，其</w:t>
      </w:r>
      <w:r>
        <w:rPr>
          <w:rFonts w:hint="eastAsia" w:hAnsi="宋体"/>
          <w:color w:val="auto"/>
          <w:szCs w:val="24"/>
          <w:highlight w:val="none"/>
        </w:rPr>
        <w:t>磋商响应文件</w:t>
      </w:r>
      <w:r>
        <w:rPr>
          <w:rFonts w:hAnsi="宋体"/>
          <w:color w:val="auto"/>
          <w:szCs w:val="24"/>
          <w:highlight w:val="none"/>
        </w:rPr>
        <w:t>将被</w:t>
      </w:r>
      <w:r>
        <w:rPr>
          <w:rFonts w:hint="eastAsia" w:hAnsi="宋体"/>
          <w:color w:val="auto"/>
          <w:szCs w:val="24"/>
          <w:highlight w:val="none"/>
        </w:rPr>
        <w:t>作无效文件处理。</w:t>
      </w:r>
    </w:p>
    <w:p w14:paraId="61F0CC2C">
      <w:pPr>
        <w:spacing w:line="360" w:lineRule="auto"/>
        <w:outlineLvl w:val="2"/>
        <w:rPr>
          <w:rFonts w:hint="eastAsia" w:hAnsi="宋体"/>
          <w:b/>
          <w:color w:val="auto"/>
          <w:szCs w:val="24"/>
          <w:highlight w:val="none"/>
        </w:rPr>
      </w:pPr>
      <w:r>
        <w:rPr>
          <w:rFonts w:hint="eastAsia" w:hAnsi="宋体"/>
          <w:b/>
          <w:color w:val="auto"/>
          <w:szCs w:val="24"/>
          <w:highlight w:val="none"/>
        </w:rPr>
        <w:t>14.证明服务符合竞争性磋商文件规定的文件</w:t>
      </w:r>
    </w:p>
    <w:p w14:paraId="6DD58EA5">
      <w:pPr>
        <w:spacing w:line="360" w:lineRule="auto"/>
        <w:ind w:firstLine="480" w:firstLineChars="200"/>
        <w:rPr>
          <w:rFonts w:hint="eastAsia" w:hAnsi="宋体"/>
          <w:color w:val="auto"/>
          <w:szCs w:val="24"/>
          <w:highlight w:val="none"/>
        </w:rPr>
      </w:pPr>
      <w:r>
        <w:rPr>
          <w:rFonts w:hint="eastAsia" w:hAnsi="宋体"/>
          <w:color w:val="auto"/>
          <w:szCs w:val="24"/>
          <w:highlight w:val="none"/>
        </w:rPr>
        <w:t>14</w:t>
      </w:r>
      <w:r>
        <w:rPr>
          <w:rFonts w:hAnsi="宋体"/>
          <w:color w:val="auto"/>
          <w:szCs w:val="24"/>
          <w:highlight w:val="none"/>
        </w:rPr>
        <w:t>.1</w:t>
      </w:r>
      <w:r>
        <w:rPr>
          <w:rFonts w:hint="eastAsia" w:hAnsi="宋体"/>
          <w:color w:val="auto"/>
          <w:szCs w:val="24"/>
          <w:highlight w:val="none"/>
        </w:rPr>
        <w:t>供应商</w:t>
      </w:r>
      <w:r>
        <w:rPr>
          <w:rFonts w:hAnsi="宋体"/>
          <w:color w:val="auto"/>
          <w:szCs w:val="24"/>
          <w:highlight w:val="none"/>
        </w:rPr>
        <w:t>应在</w:t>
      </w:r>
      <w:r>
        <w:rPr>
          <w:rFonts w:hint="eastAsia" w:hAnsi="宋体"/>
          <w:color w:val="auto"/>
          <w:szCs w:val="24"/>
          <w:highlight w:val="none"/>
        </w:rPr>
        <w:t>竞争性磋商响应文件</w:t>
      </w:r>
      <w:r>
        <w:rPr>
          <w:rFonts w:hAnsi="宋体"/>
          <w:color w:val="auto"/>
          <w:szCs w:val="24"/>
          <w:highlight w:val="none"/>
        </w:rPr>
        <w:t>中提交服务</w:t>
      </w:r>
      <w:r>
        <w:rPr>
          <w:rFonts w:hint="eastAsia" w:hAnsi="宋体"/>
          <w:color w:val="auto"/>
          <w:szCs w:val="24"/>
          <w:highlight w:val="none"/>
        </w:rPr>
        <w:t>（含为完成服务而提供的产品）</w:t>
      </w:r>
      <w:r>
        <w:rPr>
          <w:rFonts w:hAnsi="宋体"/>
          <w:color w:val="auto"/>
          <w:szCs w:val="24"/>
          <w:highlight w:val="none"/>
        </w:rPr>
        <w:t>满足</w:t>
      </w:r>
      <w:r>
        <w:rPr>
          <w:rFonts w:hint="eastAsia" w:hAnsi="宋体"/>
          <w:color w:val="auto"/>
          <w:szCs w:val="24"/>
          <w:highlight w:val="none"/>
        </w:rPr>
        <w:t>竞争性磋商</w:t>
      </w:r>
      <w:r>
        <w:rPr>
          <w:rFonts w:hAnsi="宋体"/>
          <w:color w:val="auto"/>
          <w:szCs w:val="24"/>
          <w:highlight w:val="none"/>
        </w:rPr>
        <w:t>文件要求并符合国家法律法规、行业管理部门要求的其他强制性标准的证明文件。</w:t>
      </w:r>
    </w:p>
    <w:p w14:paraId="34CE47E7">
      <w:pPr>
        <w:spacing w:line="360" w:lineRule="auto"/>
        <w:ind w:firstLine="480" w:firstLineChars="200"/>
        <w:rPr>
          <w:rFonts w:hint="eastAsia" w:hAnsi="宋体"/>
          <w:color w:val="auto"/>
          <w:szCs w:val="24"/>
          <w:highlight w:val="none"/>
        </w:rPr>
      </w:pPr>
      <w:r>
        <w:rPr>
          <w:rFonts w:hint="eastAsia" w:hAnsi="宋体"/>
          <w:color w:val="auto"/>
          <w:szCs w:val="24"/>
          <w:highlight w:val="none"/>
        </w:rPr>
        <w:t>14.2上述证明文件</w:t>
      </w:r>
      <w:r>
        <w:rPr>
          <w:rFonts w:hAnsi="宋体"/>
          <w:color w:val="auto"/>
          <w:szCs w:val="24"/>
          <w:highlight w:val="none"/>
        </w:rPr>
        <w:t>包括</w:t>
      </w:r>
      <w:r>
        <w:rPr>
          <w:rFonts w:hint="eastAsia" w:hAnsi="宋体"/>
          <w:color w:val="auto"/>
          <w:szCs w:val="24"/>
          <w:highlight w:val="none"/>
        </w:rPr>
        <w:t>：</w:t>
      </w:r>
    </w:p>
    <w:p w14:paraId="68A93B69">
      <w:pPr>
        <w:spacing w:line="360" w:lineRule="auto"/>
        <w:ind w:firstLine="480" w:firstLineChars="200"/>
        <w:rPr>
          <w:rFonts w:hint="eastAsia" w:hAnsi="宋体"/>
          <w:color w:val="auto"/>
          <w:szCs w:val="24"/>
          <w:highlight w:val="none"/>
        </w:rPr>
      </w:pPr>
      <w:r>
        <w:rPr>
          <w:rFonts w:hint="eastAsia" w:hAnsi="宋体"/>
          <w:color w:val="auto"/>
          <w:szCs w:val="24"/>
          <w:highlight w:val="none"/>
        </w:rPr>
        <w:t>14.2.1逐条对磋商文件提出的服务要求和商务要求进行应答，说明所提供的服务对磋商的技术和商务要求做出了实质性响应并提供支持文件；</w:t>
      </w:r>
    </w:p>
    <w:p w14:paraId="3F592AD3">
      <w:pPr>
        <w:spacing w:line="360" w:lineRule="auto"/>
        <w:ind w:firstLine="480" w:firstLineChars="200"/>
        <w:rPr>
          <w:rFonts w:hint="eastAsia" w:hAnsi="宋体"/>
          <w:color w:val="auto"/>
          <w:szCs w:val="24"/>
          <w:highlight w:val="none"/>
        </w:rPr>
      </w:pPr>
      <w:r>
        <w:rPr>
          <w:rFonts w:hint="eastAsia" w:hAnsi="宋体"/>
          <w:color w:val="auto"/>
          <w:szCs w:val="24"/>
          <w:highlight w:val="none"/>
        </w:rPr>
        <w:t>14.2.2</w:t>
      </w:r>
      <w:r>
        <w:rPr>
          <w:rFonts w:hint="eastAsia" w:hAnsi="宋体" w:cs="宋体"/>
          <w:color w:val="auto"/>
          <w:szCs w:val="24"/>
          <w:highlight w:val="none"/>
        </w:rPr>
        <w:t>服务内容、服务实施方案等的详细说明</w:t>
      </w:r>
      <w:r>
        <w:rPr>
          <w:rFonts w:hAnsi="宋体"/>
          <w:color w:val="auto"/>
          <w:szCs w:val="24"/>
          <w:highlight w:val="none"/>
        </w:rPr>
        <w:t>。</w:t>
      </w:r>
    </w:p>
    <w:p w14:paraId="5ACCA7E8">
      <w:pPr>
        <w:spacing w:line="360" w:lineRule="auto"/>
        <w:outlineLvl w:val="2"/>
        <w:rPr>
          <w:rFonts w:hint="eastAsia" w:hAnsi="宋体"/>
          <w:b/>
          <w:color w:val="auto"/>
          <w:szCs w:val="24"/>
          <w:highlight w:val="none"/>
        </w:rPr>
      </w:pPr>
      <w:r>
        <w:rPr>
          <w:rFonts w:hint="eastAsia" w:hAnsi="宋体"/>
          <w:b/>
          <w:color w:val="auto"/>
          <w:szCs w:val="24"/>
          <w:highlight w:val="none"/>
        </w:rPr>
        <w:t>15.磋商保证金</w:t>
      </w:r>
    </w:p>
    <w:p w14:paraId="78526584">
      <w:pPr>
        <w:spacing w:line="360" w:lineRule="auto"/>
        <w:ind w:firstLine="480" w:firstLineChars="200"/>
        <w:rPr>
          <w:rFonts w:hint="eastAsia" w:hAnsi="宋体"/>
          <w:b/>
          <w:color w:val="auto"/>
          <w:szCs w:val="24"/>
          <w:highlight w:val="none"/>
        </w:rPr>
      </w:pPr>
      <w:r>
        <w:rPr>
          <w:rFonts w:hint="eastAsia" w:hAnsi="宋体"/>
          <w:color w:val="auto"/>
          <w:szCs w:val="24"/>
          <w:highlight w:val="none"/>
        </w:rPr>
        <w:t>15.1本项目不要求提交磋商保证金。</w:t>
      </w:r>
    </w:p>
    <w:p w14:paraId="0C0D6AEC">
      <w:pPr>
        <w:spacing w:line="360" w:lineRule="auto"/>
        <w:outlineLvl w:val="2"/>
        <w:rPr>
          <w:rFonts w:hint="eastAsia" w:hAnsi="宋体"/>
          <w:b/>
          <w:color w:val="auto"/>
          <w:szCs w:val="24"/>
          <w:highlight w:val="none"/>
        </w:rPr>
      </w:pPr>
      <w:r>
        <w:rPr>
          <w:rFonts w:hint="eastAsia" w:hAnsi="宋体"/>
          <w:b/>
          <w:color w:val="auto"/>
          <w:szCs w:val="24"/>
          <w:highlight w:val="none"/>
        </w:rPr>
        <w:t>16.磋商有效期</w:t>
      </w:r>
    </w:p>
    <w:p w14:paraId="79CB9DD9">
      <w:pPr>
        <w:spacing w:line="360" w:lineRule="auto"/>
        <w:ind w:firstLine="480" w:firstLineChars="200"/>
        <w:rPr>
          <w:rFonts w:hint="eastAsia" w:hAnsi="宋体"/>
          <w:color w:val="auto"/>
          <w:szCs w:val="24"/>
          <w:highlight w:val="none"/>
        </w:rPr>
      </w:pPr>
      <w:bookmarkStart w:id="48" w:name="OLE_LINK4"/>
      <w:r>
        <w:rPr>
          <w:rFonts w:hint="eastAsia" w:hAnsi="宋体"/>
          <w:color w:val="auto"/>
          <w:szCs w:val="24"/>
          <w:highlight w:val="none"/>
        </w:rPr>
        <w:t>16</w:t>
      </w:r>
      <w:r>
        <w:rPr>
          <w:rFonts w:hAnsi="宋体"/>
          <w:color w:val="auto"/>
          <w:szCs w:val="24"/>
          <w:highlight w:val="none"/>
        </w:rPr>
        <w:t>.1</w:t>
      </w:r>
      <w:r>
        <w:rPr>
          <w:rFonts w:hint="eastAsia" w:hAnsi="宋体"/>
          <w:color w:val="auto"/>
          <w:szCs w:val="24"/>
          <w:highlight w:val="none"/>
        </w:rPr>
        <w:t>磋商响应文件</w:t>
      </w:r>
      <w:r>
        <w:rPr>
          <w:rFonts w:hAnsi="宋体"/>
          <w:color w:val="auto"/>
          <w:szCs w:val="24"/>
          <w:highlight w:val="none"/>
        </w:rPr>
        <w:t>应在“</w:t>
      </w:r>
      <w:r>
        <w:rPr>
          <w:rFonts w:hint="eastAsia" w:hAnsi="宋体"/>
          <w:color w:val="auto"/>
          <w:szCs w:val="24"/>
          <w:highlight w:val="none"/>
        </w:rPr>
        <w:t>供应商须知前附表</w:t>
      </w:r>
      <w:r>
        <w:rPr>
          <w:rFonts w:hAnsi="宋体"/>
          <w:color w:val="auto"/>
          <w:szCs w:val="24"/>
          <w:highlight w:val="none"/>
        </w:rPr>
        <w:t>”中规定的期限内保持有效。</w:t>
      </w:r>
      <w:r>
        <w:rPr>
          <w:rFonts w:hint="eastAsia" w:hAnsi="宋体"/>
          <w:color w:val="auto"/>
          <w:szCs w:val="24"/>
          <w:highlight w:val="none"/>
        </w:rPr>
        <w:t>磋商</w:t>
      </w:r>
      <w:r>
        <w:rPr>
          <w:rFonts w:hAnsi="宋体"/>
          <w:color w:val="auto"/>
          <w:szCs w:val="24"/>
          <w:highlight w:val="none"/>
        </w:rPr>
        <w:t>有效期不满足规定有效期的</w:t>
      </w:r>
      <w:r>
        <w:rPr>
          <w:rFonts w:hint="eastAsia" w:hAnsi="宋体"/>
          <w:color w:val="auto"/>
          <w:szCs w:val="24"/>
          <w:highlight w:val="none"/>
        </w:rPr>
        <w:t>磋商响应文件将被视为非响应性磋商而予以拒绝</w:t>
      </w:r>
      <w:r>
        <w:rPr>
          <w:rFonts w:hAnsi="宋体"/>
          <w:color w:val="auto"/>
          <w:szCs w:val="24"/>
          <w:highlight w:val="none"/>
        </w:rPr>
        <w:t>。</w:t>
      </w:r>
      <w:bookmarkEnd w:id="48"/>
    </w:p>
    <w:p w14:paraId="13737DEE">
      <w:pPr>
        <w:spacing w:line="360" w:lineRule="auto"/>
        <w:ind w:firstLine="480" w:firstLineChars="200"/>
        <w:rPr>
          <w:rFonts w:hint="eastAsia" w:hAnsi="宋体"/>
          <w:color w:val="auto"/>
          <w:szCs w:val="24"/>
          <w:highlight w:val="none"/>
        </w:rPr>
      </w:pPr>
      <w:r>
        <w:rPr>
          <w:rFonts w:hint="eastAsia" w:hAnsi="宋体"/>
          <w:color w:val="auto"/>
          <w:szCs w:val="24"/>
          <w:highlight w:val="none"/>
        </w:rPr>
        <w:t>16</w:t>
      </w:r>
      <w:r>
        <w:rPr>
          <w:rFonts w:hAnsi="宋体"/>
          <w:color w:val="auto"/>
          <w:szCs w:val="24"/>
          <w:highlight w:val="none"/>
        </w:rPr>
        <w:t>.2在特殊情况下，在原</w:t>
      </w:r>
      <w:r>
        <w:rPr>
          <w:rFonts w:hint="eastAsia" w:hAnsi="宋体"/>
          <w:color w:val="auto"/>
          <w:szCs w:val="24"/>
          <w:highlight w:val="none"/>
        </w:rPr>
        <w:t>磋商</w:t>
      </w:r>
      <w:r>
        <w:rPr>
          <w:rFonts w:hAnsi="宋体"/>
          <w:color w:val="auto"/>
          <w:szCs w:val="24"/>
          <w:highlight w:val="none"/>
        </w:rPr>
        <w:t>有效期期满之前，采购代理机构可向</w:t>
      </w:r>
      <w:r>
        <w:rPr>
          <w:rFonts w:hint="eastAsia" w:hAnsi="宋体"/>
          <w:color w:val="auto"/>
          <w:szCs w:val="24"/>
          <w:highlight w:val="none"/>
        </w:rPr>
        <w:t>供应商</w:t>
      </w:r>
      <w:r>
        <w:rPr>
          <w:rFonts w:hAnsi="宋体"/>
          <w:color w:val="auto"/>
          <w:szCs w:val="24"/>
          <w:highlight w:val="none"/>
        </w:rPr>
        <w:t>提出延长</w:t>
      </w:r>
      <w:r>
        <w:rPr>
          <w:rFonts w:hint="eastAsia" w:hAnsi="宋体"/>
          <w:color w:val="auto"/>
          <w:szCs w:val="24"/>
          <w:highlight w:val="none"/>
        </w:rPr>
        <w:t>磋商</w:t>
      </w:r>
      <w:r>
        <w:rPr>
          <w:rFonts w:hAnsi="宋体"/>
          <w:color w:val="auto"/>
          <w:szCs w:val="24"/>
          <w:highlight w:val="none"/>
        </w:rPr>
        <w:t>有效期的要求</w:t>
      </w:r>
      <w:r>
        <w:rPr>
          <w:rFonts w:hint="eastAsia" w:hAnsi="宋体"/>
          <w:color w:val="auto"/>
          <w:szCs w:val="24"/>
          <w:highlight w:val="none"/>
        </w:rPr>
        <w:t>，</w:t>
      </w:r>
      <w:r>
        <w:rPr>
          <w:rFonts w:hint="eastAsia" w:hAnsi="宋体" w:cs="宋体"/>
          <w:color w:val="auto"/>
          <w:szCs w:val="24"/>
          <w:highlight w:val="none"/>
        </w:rPr>
        <w:t>要求与答复均应以书面形式。供应商可以拒绝采购代理机构的这种要求，同意延长的供应商既不能要求也不允许修改其磋商响应文件。</w:t>
      </w:r>
    </w:p>
    <w:p w14:paraId="50B2BCBF">
      <w:pPr>
        <w:spacing w:line="360" w:lineRule="auto"/>
        <w:outlineLvl w:val="2"/>
        <w:rPr>
          <w:rFonts w:hint="eastAsia" w:hAnsi="宋体"/>
          <w:b/>
          <w:color w:val="auto"/>
          <w:szCs w:val="24"/>
          <w:highlight w:val="none"/>
        </w:rPr>
      </w:pPr>
      <w:r>
        <w:rPr>
          <w:rFonts w:hint="eastAsia" w:hAnsi="宋体"/>
          <w:b/>
          <w:color w:val="auto"/>
          <w:szCs w:val="24"/>
          <w:highlight w:val="none"/>
        </w:rPr>
        <w:t>17.竞争性磋商响应文件的式样和签署</w:t>
      </w:r>
    </w:p>
    <w:p w14:paraId="73FFC872">
      <w:pPr>
        <w:spacing w:line="360" w:lineRule="auto"/>
        <w:ind w:firstLine="480" w:firstLineChars="200"/>
        <w:rPr>
          <w:rFonts w:hint="eastAsia" w:hAnsi="宋体"/>
          <w:color w:val="auto"/>
          <w:szCs w:val="24"/>
          <w:highlight w:val="none"/>
        </w:rPr>
      </w:pPr>
      <w:r>
        <w:rPr>
          <w:rFonts w:hAnsi="宋体"/>
          <w:color w:val="auto"/>
          <w:szCs w:val="24"/>
          <w:highlight w:val="none"/>
        </w:rPr>
        <w:t>1</w:t>
      </w:r>
      <w:r>
        <w:rPr>
          <w:rFonts w:hint="eastAsia" w:hAnsi="宋体"/>
          <w:color w:val="auto"/>
          <w:szCs w:val="24"/>
          <w:highlight w:val="none"/>
        </w:rPr>
        <w:t>7</w:t>
      </w:r>
      <w:r>
        <w:rPr>
          <w:rFonts w:hAnsi="宋体"/>
          <w:color w:val="auto"/>
          <w:szCs w:val="24"/>
          <w:highlight w:val="none"/>
        </w:rPr>
        <w:t>.1</w:t>
      </w:r>
      <w:r>
        <w:rPr>
          <w:rFonts w:hint="eastAsia" w:hAnsi="宋体"/>
          <w:color w:val="auto"/>
          <w:szCs w:val="24"/>
          <w:highlight w:val="none"/>
        </w:rPr>
        <w:t>竞争性磋商响应文件正本、副本及电子版份数及要求详见“供应商须知前附表”。</w:t>
      </w:r>
    </w:p>
    <w:p w14:paraId="36B9AE2F">
      <w:pPr>
        <w:spacing w:line="360" w:lineRule="auto"/>
        <w:ind w:firstLine="480" w:firstLineChars="200"/>
        <w:rPr>
          <w:rFonts w:hint="eastAsia" w:hAnsi="宋体"/>
          <w:color w:val="auto"/>
          <w:highlight w:val="none"/>
        </w:rPr>
      </w:pPr>
      <w:r>
        <w:rPr>
          <w:rFonts w:hAnsi="宋体"/>
          <w:color w:val="auto"/>
          <w:szCs w:val="24"/>
          <w:highlight w:val="none"/>
        </w:rPr>
        <w:t>1</w:t>
      </w:r>
      <w:r>
        <w:rPr>
          <w:rFonts w:hint="eastAsia" w:hAnsi="宋体"/>
          <w:color w:val="auto"/>
          <w:szCs w:val="24"/>
          <w:highlight w:val="none"/>
        </w:rPr>
        <w:t>7</w:t>
      </w:r>
      <w:r>
        <w:rPr>
          <w:rFonts w:hAnsi="宋体"/>
          <w:color w:val="auto"/>
          <w:szCs w:val="24"/>
          <w:highlight w:val="none"/>
        </w:rPr>
        <w:t>.2</w:t>
      </w:r>
      <w:r>
        <w:rPr>
          <w:rFonts w:hint="eastAsia" w:hAnsi="宋体"/>
          <w:color w:val="auto"/>
          <w:szCs w:val="24"/>
          <w:highlight w:val="none"/>
        </w:rPr>
        <w:t>竞争性磋商响应文件的正本需打印或用不褪色、不变质的墨水书写，由供应商的法定代表人或被授权人按磋商文件的规定签署（</w:t>
      </w:r>
      <w:r>
        <w:rPr>
          <w:rFonts w:hint="eastAsia" w:hAnsi="宋体" w:cs="宋体"/>
          <w:b/>
          <w:bCs/>
          <w:color w:val="auto"/>
          <w:szCs w:val="24"/>
          <w:highlight w:val="none"/>
        </w:rPr>
        <w:t>磋商文件要求磋商响应文件中签章的统一为签字并盖章</w:t>
      </w:r>
      <w:r>
        <w:rPr>
          <w:rFonts w:hint="eastAsia" w:hAnsi="宋体"/>
          <w:b/>
          <w:bCs/>
          <w:color w:val="auto"/>
          <w:szCs w:val="24"/>
          <w:highlight w:val="none"/>
        </w:rPr>
        <w:t>）。竞争性磋商响应文件副本可采用正本的复印件。</w:t>
      </w:r>
    </w:p>
    <w:p w14:paraId="0C5C02CA">
      <w:pPr>
        <w:spacing w:line="360" w:lineRule="auto"/>
        <w:ind w:firstLine="480" w:firstLineChars="200"/>
        <w:rPr>
          <w:rFonts w:hint="eastAsia" w:hAnsi="宋体"/>
          <w:color w:val="auto"/>
          <w:szCs w:val="24"/>
          <w:highlight w:val="none"/>
        </w:rPr>
      </w:pPr>
      <w:r>
        <w:rPr>
          <w:rFonts w:hAnsi="宋体"/>
          <w:color w:val="auto"/>
          <w:szCs w:val="24"/>
          <w:highlight w:val="none"/>
        </w:rPr>
        <w:t>1</w:t>
      </w:r>
      <w:r>
        <w:rPr>
          <w:rFonts w:hint="eastAsia" w:hAnsi="宋体"/>
          <w:color w:val="auto"/>
          <w:szCs w:val="24"/>
          <w:highlight w:val="none"/>
        </w:rPr>
        <w:t>7</w:t>
      </w:r>
      <w:r>
        <w:rPr>
          <w:rFonts w:hAnsi="宋体"/>
          <w:color w:val="auto"/>
          <w:szCs w:val="24"/>
          <w:highlight w:val="none"/>
        </w:rPr>
        <w:t>.3任何行间插字、涂改和增删，必须由</w:t>
      </w:r>
      <w:r>
        <w:rPr>
          <w:rFonts w:hint="eastAsia" w:hAnsi="宋体"/>
          <w:color w:val="auto"/>
          <w:szCs w:val="24"/>
          <w:highlight w:val="none"/>
        </w:rPr>
        <w:t>供应商</w:t>
      </w:r>
      <w:r>
        <w:rPr>
          <w:rFonts w:hAnsi="宋体"/>
          <w:color w:val="auto"/>
          <w:szCs w:val="24"/>
          <w:highlight w:val="none"/>
        </w:rPr>
        <w:t>的</w:t>
      </w:r>
      <w:r>
        <w:rPr>
          <w:rFonts w:hint="eastAsia" w:hAnsi="宋体"/>
          <w:color w:val="auto"/>
          <w:szCs w:val="24"/>
          <w:highlight w:val="none"/>
        </w:rPr>
        <w:t>法定代表人或其授权代表</w:t>
      </w:r>
      <w:r>
        <w:rPr>
          <w:rFonts w:hAnsi="宋体"/>
          <w:color w:val="auto"/>
          <w:szCs w:val="24"/>
          <w:highlight w:val="none"/>
        </w:rPr>
        <w:t>在旁边签字才有效。</w:t>
      </w:r>
    </w:p>
    <w:p w14:paraId="40E3BE53">
      <w:pPr>
        <w:spacing w:line="360" w:lineRule="auto"/>
        <w:ind w:firstLine="482" w:firstLineChars="200"/>
        <w:rPr>
          <w:rFonts w:hint="eastAsia" w:hAnsi="宋体"/>
          <w:b/>
          <w:bCs/>
          <w:color w:val="auto"/>
          <w:szCs w:val="24"/>
          <w:highlight w:val="none"/>
        </w:rPr>
      </w:pPr>
      <w:r>
        <w:rPr>
          <w:rFonts w:hint="eastAsia" w:hAnsi="宋体"/>
          <w:b/>
          <w:bCs/>
          <w:color w:val="auto"/>
          <w:szCs w:val="24"/>
          <w:highlight w:val="none"/>
        </w:rPr>
        <w:t>17.4 竞争性磋商响应文件正本和副本按照竞争性磋商文件第六章规定的顺序编排、并应编制目录，逐页标注连续页码，并分别胶装成册。</w:t>
      </w:r>
    </w:p>
    <w:p w14:paraId="7C093FCE">
      <w:pPr>
        <w:spacing w:line="360" w:lineRule="auto"/>
        <w:ind w:firstLine="480" w:firstLineChars="200"/>
        <w:rPr>
          <w:rFonts w:hint="eastAsia" w:hAnsi="宋体"/>
          <w:color w:val="auto"/>
          <w:szCs w:val="24"/>
          <w:highlight w:val="none"/>
        </w:rPr>
      </w:pPr>
      <w:r>
        <w:rPr>
          <w:rFonts w:hint="eastAsia" w:hAnsi="宋体"/>
          <w:color w:val="auto"/>
          <w:szCs w:val="24"/>
          <w:highlight w:val="none"/>
        </w:rPr>
        <w:t>17</w:t>
      </w:r>
      <w:r>
        <w:rPr>
          <w:rFonts w:hAnsi="宋体"/>
          <w:color w:val="auto"/>
          <w:szCs w:val="24"/>
          <w:highlight w:val="none"/>
        </w:rPr>
        <w:t>.</w:t>
      </w:r>
      <w:r>
        <w:rPr>
          <w:rFonts w:hint="eastAsia" w:hAnsi="宋体"/>
          <w:color w:val="auto"/>
          <w:szCs w:val="24"/>
          <w:highlight w:val="none"/>
        </w:rPr>
        <w:t>5</w:t>
      </w:r>
      <w:r>
        <w:rPr>
          <w:rFonts w:hAnsi="宋体"/>
          <w:color w:val="auto"/>
          <w:szCs w:val="24"/>
          <w:highlight w:val="none"/>
        </w:rPr>
        <w:t>因字迹潦草、表述不清或不按</w:t>
      </w:r>
      <w:r>
        <w:rPr>
          <w:rFonts w:hint="eastAsia" w:hAnsi="宋体"/>
          <w:color w:val="auto"/>
          <w:szCs w:val="24"/>
          <w:highlight w:val="none"/>
        </w:rPr>
        <w:t>竞争性磋商</w:t>
      </w:r>
      <w:r>
        <w:rPr>
          <w:rFonts w:hAnsi="宋体"/>
          <w:color w:val="auto"/>
          <w:szCs w:val="24"/>
          <w:highlight w:val="none"/>
        </w:rPr>
        <w:t>文件格式编制的</w:t>
      </w:r>
      <w:r>
        <w:rPr>
          <w:rFonts w:hint="eastAsia" w:hAnsi="宋体"/>
          <w:color w:val="auto"/>
          <w:szCs w:val="24"/>
          <w:highlight w:val="none"/>
        </w:rPr>
        <w:t>竞争性磋商响应文件</w:t>
      </w:r>
      <w:r>
        <w:rPr>
          <w:rFonts w:hAnsi="宋体"/>
          <w:color w:val="auto"/>
          <w:szCs w:val="24"/>
          <w:highlight w:val="none"/>
        </w:rPr>
        <w:t>，所引起的对</w:t>
      </w:r>
      <w:r>
        <w:rPr>
          <w:rFonts w:hint="eastAsia" w:hAnsi="宋体"/>
          <w:color w:val="auto"/>
          <w:szCs w:val="24"/>
          <w:highlight w:val="none"/>
        </w:rPr>
        <w:t>供应商</w:t>
      </w:r>
      <w:r>
        <w:rPr>
          <w:rFonts w:hAnsi="宋体"/>
          <w:color w:val="auto"/>
          <w:szCs w:val="24"/>
          <w:highlight w:val="none"/>
        </w:rPr>
        <w:t>不利的后果，由</w:t>
      </w:r>
      <w:r>
        <w:rPr>
          <w:rFonts w:hint="eastAsia" w:hAnsi="宋体"/>
          <w:color w:val="auto"/>
          <w:szCs w:val="24"/>
          <w:highlight w:val="none"/>
        </w:rPr>
        <w:t>供应商</w:t>
      </w:r>
      <w:r>
        <w:rPr>
          <w:rFonts w:hAnsi="宋体"/>
          <w:color w:val="auto"/>
          <w:szCs w:val="24"/>
          <w:highlight w:val="none"/>
        </w:rPr>
        <w:t>自行负责。</w:t>
      </w:r>
    </w:p>
    <w:p w14:paraId="09E1B0E2">
      <w:pPr>
        <w:spacing w:line="360" w:lineRule="auto"/>
        <w:ind w:firstLine="480" w:firstLineChars="200"/>
        <w:rPr>
          <w:color w:val="auto"/>
          <w:highlight w:val="none"/>
        </w:rPr>
      </w:pPr>
      <w:r>
        <w:rPr>
          <w:rFonts w:hint="eastAsia" w:hAnsi="宋体"/>
          <w:color w:val="auto"/>
          <w:szCs w:val="24"/>
          <w:highlight w:val="none"/>
        </w:rPr>
        <w:t>17.6竞争性磋商文件的副本、电子版须和正本保持一致。</w:t>
      </w:r>
      <w:r>
        <w:rPr>
          <w:rFonts w:hint="eastAsia"/>
          <w:color w:val="auto"/>
          <w:highlight w:val="none"/>
        </w:rPr>
        <w:t>若正本、副本和电子版有不一致的内容，以正本为准。</w:t>
      </w:r>
    </w:p>
    <w:p w14:paraId="324B8912">
      <w:pPr>
        <w:pStyle w:val="4"/>
        <w:spacing w:line="360" w:lineRule="auto"/>
        <w:jc w:val="center"/>
        <w:rPr>
          <w:rFonts w:hint="eastAsia" w:ascii="宋体" w:hAnsi="宋体" w:cs="宋体"/>
          <w:color w:val="auto"/>
          <w:sz w:val="32"/>
          <w:highlight w:val="none"/>
        </w:rPr>
      </w:pPr>
      <w:r>
        <w:rPr>
          <w:rFonts w:hint="eastAsia" w:ascii="宋体" w:hAnsi="宋体" w:cs="宋体"/>
          <w:color w:val="auto"/>
          <w:sz w:val="32"/>
          <w:highlight w:val="none"/>
        </w:rPr>
        <w:t>四、竞争性磋商响应文件的递交</w:t>
      </w:r>
    </w:p>
    <w:p w14:paraId="16D64F82">
      <w:pPr>
        <w:spacing w:line="360" w:lineRule="auto"/>
        <w:outlineLvl w:val="2"/>
        <w:rPr>
          <w:rFonts w:hint="eastAsia" w:hAnsi="宋体"/>
          <w:b/>
          <w:color w:val="auto"/>
          <w:szCs w:val="24"/>
          <w:highlight w:val="none"/>
        </w:rPr>
      </w:pPr>
      <w:r>
        <w:rPr>
          <w:rFonts w:hint="eastAsia" w:hAnsi="宋体"/>
          <w:b/>
          <w:color w:val="auto"/>
          <w:szCs w:val="24"/>
          <w:highlight w:val="none"/>
        </w:rPr>
        <w:t>18.竞争性磋商响应文件的密封和标记</w:t>
      </w:r>
    </w:p>
    <w:p w14:paraId="58C5156B">
      <w:pPr>
        <w:spacing w:line="360" w:lineRule="auto"/>
        <w:ind w:firstLine="480" w:firstLineChars="200"/>
        <w:rPr>
          <w:rFonts w:hint="eastAsia" w:ascii="宋体" w:hAnsi="宋体"/>
          <w:sz w:val="24"/>
          <w:highlight w:val="none"/>
        </w:rPr>
      </w:pPr>
      <w:r>
        <w:rPr>
          <w:rFonts w:hint="eastAsia" w:hAnsi="宋体"/>
          <w:color w:val="auto"/>
          <w:szCs w:val="24"/>
          <w:highlight w:val="none"/>
        </w:rPr>
        <w:t>18.1</w:t>
      </w:r>
      <w:r>
        <w:rPr>
          <w:rFonts w:hint="eastAsia" w:ascii="宋体" w:hAnsi="宋体"/>
          <w:sz w:val="24"/>
          <w:highlight w:val="none"/>
        </w:rPr>
        <w:t>供应商</w:t>
      </w:r>
      <w:r>
        <w:rPr>
          <w:rFonts w:ascii="宋体" w:hAnsi="宋体"/>
          <w:sz w:val="24"/>
          <w:highlight w:val="none"/>
        </w:rPr>
        <w:t>应将</w:t>
      </w:r>
      <w:r>
        <w:rPr>
          <w:rFonts w:hint="eastAsia" w:ascii="宋体" w:hAnsi="宋体"/>
          <w:sz w:val="24"/>
          <w:highlight w:val="none"/>
        </w:rPr>
        <w:t>响应</w:t>
      </w:r>
      <w:r>
        <w:rPr>
          <w:rFonts w:ascii="宋体" w:hAnsi="宋体"/>
          <w:sz w:val="24"/>
          <w:highlight w:val="none"/>
        </w:rPr>
        <w:t>文件的正本、副本、</w:t>
      </w:r>
      <w:r>
        <w:rPr>
          <w:rFonts w:hint="eastAsia" w:hAnsi="宋体"/>
          <w:sz w:val="24"/>
          <w:highlight w:val="none"/>
        </w:rPr>
        <w:t>电子版响应文件</w:t>
      </w:r>
      <w:r>
        <w:rPr>
          <w:rFonts w:hint="eastAsia" w:ascii="宋体" w:hAnsi="宋体"/>
          <w:sz w:val="24"/>
          <w:highlight w:val="none"/>
        </w:rPr>
        <w:t>，</w:t>
      </w:r>
      <w:r>
        <w:rPr>
          <w:rFonts w:ascii="宋体" w:hAnsi="宋体"/>
          <w:sz w:val="24"/>
          <w:highlight w:val="none"/>
        </w:rPr>
        <w:t>用单独的封袋分装密封（封袋不得有破损），在封袋上标明“正本”、“副本”及“电子版</w:t>
      </w:r>
      <w:r>
        <w:rPr>
          <w:rFonts w:hint="eastAsia" w:ascii="宋体" w:hAnsi="宋体"/>
          <w:sz w:val="24"/>
          <w:highlight w:val="none"/>
        </w:rPr>
        <w:t>响应</w:t>
      </w:r>
      <w:r>
        <w:rPr>
          <w:rFonts w:ascii="宋体" w:hAnsi="宋体"/>
          <w:sz w:val="24"/>
          <w:highlight w:val="none"/>
        </w:rPr>
        <w:t>文件”字样，</w:t>
      </w:r>
      <w:r>
        <w:rPr>
          <w:rFonts w:hint="eastAsia" w:ascii="宋体" w:hAnsi="宋体"/>
          <w:sz w:val="24"/>
          <w:highlight w:val="none"/>
        </w:rPr>
        <w:t xml:space="preserve">封袋正面要粘贴标识并加盖供应商公章。响应文件正本中的法人授权书须为原件，其他资格条件证明文件为复印件加盖供应商公章；响应文件副本中的资格条件证明文件为复印件加盖供应商公章； </w:t>
      </w:r>
    </w:p>
    <w:p w14:paraId="55ADB7C4">
      <w:pPr>
        <w:spacing w:line="360" w:lineRule="auto"/>
        <w:ind w:firstLine="480" w:firstLineChars="200"/>
        <w:rPr>
          <w:rFonts w:hint="eastAsia" w:hAnsi="宋体"/>
          <w:color w:val="auto"/>
          <w:szCs w:val="24"/>
          <w:highlight w:val="none"/>
        </w:rPr>
      </w:pPr>
      <w:r>
        <w:rPr>
          <w:rFonts w:hint="eastAsia" w:hAnsi="宋体"/>
          <w:color w:val="auto"/>
          <w:szCs w:val="24"/>
          <w:highlight w:val="none"/>
        </w:rPr>
        <w:t>18.2磋商响应文件的密封和标记：详见“供应商须知前附表”</w:t>
      </w:r>
      <w:r>
        <w:rPr>
          <w:rFonts w:hAnsi="宋体"/>
          <w:color w:val="auto"/>
          <w:szCs w:val="24"/>
          <w:highlight w:val="none"/>
        </w:rPr>
        <w:t>。</w:t>
      </w:r>
    </w:p>
    <w:p w14:paraId="046FC56E">
      <w:pPr>
        <w:spacing w:line="360" w:lineRule="auto"/>
        <w:ind w:firstLine="480" w:firstLineChars="200"/>
        <w:rPr>
          <w:rFonts w:hint="eastAsia" w:hAnsi="宋体"/>
          <w:color w:val="auto"/>
          <w:szCs w:val="24"/>
          <w:highlight w:val="none"/>
        </w:rPr>
      </w:pPr>
      <w:r>
        <w:rPr>
          <w:rFonts w:hint="eastAsia" w:hAnsi="宋体"/>
          <w:color w:val="auto"/>
          <w:szCs w:val="24"/>
          <w:highlight w:val="none"/>
        </w:rPr>
        <w:t>18</w:t>
      </w:r>
      <w:r>
        <w:rPr>
          <w:rFonts w:hAnsi="宋体"/>
          <w:color w:val="auto"/>
          <w:szCs w:val="24"/>
          <w:highlight w:val="none"/>
        </w:rPr>
        <w:t>.</w:t>
      </w:r>
      <w:r>
        <w:rPr>
          <w:rFonts w:hint="eastAsia" w:hAnsi="宋体"/>
          <w:color w:val="auto"/>
          <w:szCs w:val="24"/>
          <w:highlight w:val="none"/>
        </w:rPr>
        <w:t>3</w:t>
      </w:r>
      <w:r>
        <w:rPr>
          <w:rFonts w:hAnsi="宋体"/>
          <w:color w:val="auto"/>
          <w:szCs w:val="24"/>
          <w:highlight w:val="none"/>
        </w:rPr>
        <w:t>如果</w:t>
      </w:r>
      <w:r>
        <w:rPr>
          <w:rFonts w:hint="eastAsia" w:hAnsi="宋体"/>
          <w:color w:val="auto"/>
          <w:szCs w:val="24"/>
          <w:highlight w:val="none"/>
        </w:rPr>
        <w:t>供应商</w:t>
      </w:r>
      <w:r>
        <w:rPr>
          <w:rFonts w:hAnsi="宋体"/>
          <w:color w:val="auto"/>
          <w:szCs w:val="24"/>
          <w:highlight w:val="none"/>
        </w:rPr>
        <w:t>未对</w:t>
      </w:r>
      <w:r>
        <w:rPr>
          <w:rFonts w:hint="eastAsia" w:hAnsi="宋体"/>
          <w:color w:val="auto"/>
          <w:szCs w:val="24"/>
          <w:highlight w:val="none"/>
        </w:rPr>
        <w:t>竞争性磋商响应文件</w:t>
      </w:r>
      <w:r>
        <w:rPr>
          <w:rFonts w:hAnsi="宋体"/>
          <w:color w:val="auto"/>
          <w:szCs w:val="24"/>
          <w:highlight w:val="none"/>
        </w:rPr>
        <w:t>按上述要求进行完好密封，由此产生的不利后果由</w:t>
      </w:r>
      <w:r>
        <w:rPr>
          <w:rFonts w:hint="eastAsia" w:hAnsi="宋体"/>
          <w:color w:val="auto"/>
          <w:szCs w:val="24"/>
          <w:highlight w:val="none"/>
        </w:rPr>
        <w:t>供应商</w:t>
      </w:r>
      <w:r>
        <w:rPr>
          <w:rFonts w:hAnsi="宋体"/>
          <w:color w:val="auto"/>
          <w:szCs w:val="24"/>
          <w:highlight w:val="none"/>
        </w:rPr>
        <w:t>自行承担。</w:t>
      </w:r>
    </w:p>
    <w:p w14:paraId="4EF5BDAA">
      <w:pPr>
        <w:spacing w:line="360" w:lineRule="auto"/>
        <w:outlineLvl w:val="2"/>
        <w:rPr>
          <w:rFonts w:hint="eastAsia" w:hAnsi="宋体"/>
          <w:b/>
          <w:color w:val="auto"/>
          <w:szCs w:val="24"/>
          <w:highlight w:val="none"/>
        </w:rPr>
      </w:pPr>
      <w:r>
        <w:rPr>
          <w:rFonts w:hint="eastAsia" w:hAnsi="宋体"/>
          <w:b/>
          <w:color w:val="auto"/>
          <w:szCs w:val="24"/>
          <w:highlight w:val="none"/>
        </w:rPr>
        <w:t>19．竞争性磋商响应文件的递交</w:t>
      </w:r>
    </w:p>
    <w:p w14:paraId="4479FF25">
      <w:pPr>
        <w:spacing w:line="360" w:lineRule="auto"/>
        <w:ind w:firstLine="480" w:firstLineChars="200"/>
        <w:rPr>
          <w:rFonts w:hint="eastAsia" w:hAnsi="宋体"/>
          <w:color w:val="auto"/>
          <w:szCs w:val="24"/>
          <w:highlight w:val="none"/>
        </w:rPr>
      </w:pPr>
      <w:r>
        <w:rPr>
          <w:rFonts w:hint="eastAsia" w:hAnsi="宋体"/>
          <w:color w:val="auto"/>
          <w:szCs w:val="24"/>
          <w:highlight w:val="none"/>
        </w:rPr>
        <w:t>19.1供应商</w:t>
      </w:r>
      <w:r>
        <w:rPr>
          <w:rFonts w:hAnsi="宋体"/>
          <w:color w:val="auto"/>
          <w:szCs w:val="24"/>
          <w:highlight w:val="none"/>
        </w:rPr>
        <w:t>应按照</w:t>
      </w:r>
      <w:r>
        <w:rPr>
          <w:rFonts w:hint="eastAsia" w:hAnsi="宋体"/>
          <w:color w:val="auto"/>
          <w:szCs w:val="24"/>
          <w:highlight w:val="none"/>
        </w:rPr>
        <w:t>竞争性磋商公告中</w:t>
      </w:r>
      <w:r>
        <w:rPr>
          <w:rFonts w:hAnsi="宋体"/>
          <w:color w:val="auto"/>
          <w:szCs w:val="24"/>
          <w:highlight w:val="none"/>
        </w:rPr>
        <w:t>规定的</w:t>
      </w:r>
      <w:r>
        <w:rPr>
          <w:rFonts w:hint="eastAsia" w:hAnsi="宋体"/>
          <w:color w:val="auto"/>
          <w:szCs w:val="24"/>
          <w:highlight w:val="none"/>
        </w:rPr>
        <w:t>时间、</w:t>
      </w:r>
      <w:r>
        <w:rPr>
          <w:rFonts w:hAnsi="宋体"/>
          <w:color w:val="auto"/>
          <w:szCs w:val="24"/>
          <w:highlight w:val="none"/>
        </w:rPr>
        <w:t>地点</w:t>
      </w:r>
      <w:r>
        <w:rPr>
          <w:rFonts w:hint="eastAsia" w:hAnsi="宋体"/>
          <w:color w:val="auto"/>
          <w:szCs w:val="24"/>
          <w:highlight w:val="none"/>
        </w:rPr>
        <w:t>，在规定的竞争性磋商响应文件递交</w:t>
      </w:r>
      <w:r>
        <w:rPr>
          <w:rFonts w:hAnsi="宋体"/>
          <w:color w:val="auto"/>
          <w:szCs w:val="24"/>
          <w:highlight w:val="none"/>
        </w:rPr>
        <w:t>截止时间</w:t>
      </w:r>
      <w:r>
        <w:rPr>
          <w:rFonts w:hint="eastAsia" w:hAnsi="宋体"/>
          <w:color w:val="auto"/>
          <w:szCs w:val="24"/>
          <w:highlight w:val="none"/>
        </w:rPr>
        <w:t>前将</w:t>
      </w:r>
      <w:r>
        <w:rPr>
          <w:rFonts w:hAnsi="宋体"/>
          <w:color w:val="auto"/>
          <w:szCs w:val="24"/>
          <w:highlight w:val="none"/>
        </w:rPr>
        <w:t>全部</w:t>
      </w:r>
      <w:r>
        <w:rPr>
          <w:rFonts w:hint="eastAsia" w:hAnsi="宋体"/>
          <w:color w:val="auto"/>
          <w:szCs w:val="24"/>
          <w:highlight w:val="none"/>
        </w:rPr>
        <w:t>竞争性磋商响应文件</w:t>
      </w:r>
      <w:r>
        <w:rPr>
          <w:rFonts w:hAnsi="宋体"/>
          <w:color w:val="auto"/>
          <w:szCs w:val="24"/>
          <w:highlight w:val="none"/>
        </w:rPr>
        <w:t>和</w:t>
      </w:r>
      <w:r>
        <w:rPr>
          <w:rFonts w:hint="eastAsia" w:hAnsi="宋体"/>
          <w:color w:val="auto"/>
          <w:szCs w:val="24"/>
          <w:highlight w:val="none"/>
        </w:rPr>
        <w:t>磋商</w:t>
      </w:r>
      <w:r>
        <w:rPr>
          <w:rFonts w:hAnsi="宋体"/>
          <w:color w:val="auto"/>
          <w:szCs w:val="24"/>
          <w:highlight w:val="none"/>
        </w:rPr>
        <w:t>资料</w:t>
      </w:r>
      <w:r>
        <w:rPr>
          <w:rFonts w:hint="eastAsia" w:hAnsi="宋体"/>
          <w:color w:val="auto"/>
          <w:szCs w:val="24"/>
          <w:highlight w:val="none"/>
        </w:rPr>
        <w:t>递交</w:t>
      </w:r>
      <w:r>
        <w:rPr>
          <w:rFonts w:hAnsi="宋体"/>
          <w:color w:val="auto"/>
          <w:szCs w:val="24"/>
          <w:highlight w:val="none"/>
        </w:rPr>
        <w:t>至</w:t>
      </w:r>
      <w:r>
        <w:rPr>
          <w:rFonts w:hint="eastAsia" w:hAnsi="宋体"/>
          <w:color w:val="auto"/>
          <w:szCs w:val="24"/>
          <w:highlight w:val="none"/>
        </w:rPr>
        <w:t>采购代理机构</w:t>
      </w:r>
      <w:r>
        <w:rPr>
          <w:rFonts w:hAnsi="宋体"/>
          <w:color w:val="auto"/>
          <w:szCs w:val="24"/>
          <w:highlight w:val="none"/>
        </w:rPr>
        <w:t>。</w:t>
      </w:r>
    </w:p>
    <w:p w14:paraId="173E06DC">
      <w:pPr>
        <w:spacing w:line="360" w:lineRule="auto"/>
        <w:ind w:firstLine="480" w:firstLineChars="200"/>
        <w:rPr>
          <w:rFonts w:hint="eastAsia" w:hAnsi="宋体"/>
          <w:color w:val="auto"/>
          <w:szCs w:val="24"/>
          <w:highlight w:val="none"/>
        </w:rPr>
      </w:pPr>
      <w:r>
        <w:rPr>
          <w:rFonts w:hint="eastAsia" w:hAnsi="宋体"/>
          <w:color w:val="auto"/>
          <w:szCs w:val="24"/>
          <w:highlight w:val="none"/>
        </w:rPr>
        <w:t>19.2采购代理机构在竞争性磋商文件规定的竞争性磋商响应文件递交截止时间前，只负责竞争性磋商响应文件的接收、清点、造册登记工作，并请递交人签字确认，对其有效性不负任何责任；</w:t>
      </w:r>
    </w:p>
    <w:p w14:paraId="4199E649">
      <w:pPr>
        <w:spacing w:line="360" w:lineRule="auto"/>
        <w:ind w:firstLine="480" w:firstLineChars="200"/>
        <w:rPr>
          <w:rFonts w:hint="eastAsia" w:hAnsi="宋体"/>
          <w:color w:val="auto"/>
          <w:szCs w:val="24"/>
          <w:highlight w:val="none"/>
        </w:rPr>
      </w:pPr>
      <w:r>
        <w:rPr>
          <w:rFonts w:hint="eastAsia" w:hAnsi="宋体"/>
          <w:color w:val="auto"/>
          <w:szCs w:val="24"/>
          <w:highlight w:val="none"/>
        </w:rPr>
        <w:t>19.3无论供应商成交与否，其竞争性磋商响应文件恕不退还。</w:t>
      </w:r>
    </w:p>
    <w:p w14:paraId="4824597B">
      <w:pPr>
        <w:spacing w:line="360" w:lineRule="auto"/>
        <w:outlineLvl w:val="2"/>
        <w:rPr>
          <w:rFonts w:hint="eastAsia" w:hAnsi="宋体"/>
          <w:b/>
          <w:color w:val="auto"/>
          <w:szCs w:val="24"/>
          <w:highlight w:val="none"/>
        </w:rPr>
      </w:pPr>
      <w:r>
        <w:rPr>
          <w:rFonts w:hint="eastAsia" w:hAnsi="宋体"/>
          <w:b/>
          <w:color w:val="auto"/>
          <w:szCs w:val="24"/>
          <w:highlight w:val="none"/>
        </w:rPr>
        <w:t>20.递交的竞争性磋商响应文件</w:t>
      </w:r>
    </w:p>
    <w:p w14:paraId="3589B128">
      <w:pPr>
        <w:spacing w:line="360" w:lineRule="auto"/>
        <w:ind w:firstLine="480" w:firstLineChars="200"/>
        <w:rPr>
          <w:rFonts w:hint="eastAsia" w:hAnsi="宋体"/>
          <w:color w:val="auto"/>
          <w:szCs w:val="24"/>
          <w:highlight w:val="none"/>
        </w:rPr>
      </w:pPr>
      <w:r>
        <w:rPr>
          <w:rFonts w:hint="eastAsia" w:hAnsi="宋体"/>
          <w:color w:val="auto"/>
          <w:szCs w:val="24"/>
          <w:highlight w:val="none"/>
        </w:rPr>
        <w:t>20</w:t>
      </w:r>
      <w:r>
        <w:rPr>
          <w:rFonts w:hAnsi="宋体"/>
          <w:color w:val="auto"/>
          <w:szCs w:val="24"/>
          <w:highlight w:val="none"/>
        </w:rPr>
        <w:t>.1按照</w:t>
      </w:r>
      <w:r>
        <w:rPr>
          <w:rFonts w:hint="eastAsia" w:hAnsi="宋体"/>
          <w:color w:val="auto"/>
          <w:szCs w:val="24"/>
          <w:highlight w:val="none"/>
        </w:rPr>
        <w:t>供应商</w:t>
      </w:r>
      <w:r>
        <w:rPr>
          <w:rFonts w:hAnsi="宋体"/>
          <w:color w:val="auto"/>
          <w:szCs w:val="24"/>
          <w:highlight w:val="none"/>
        </w:rPr>
        <w:t>须知的规定，采购代理机构将拒绝接受在规定的</w:t>
      </w:r>
      <w:r>
        <w:rPr>
          <w:rFonts w:hint="eastAsia" w:hAnsi="宋体"/>
          <w:color w:val="auto"/>
          <w:szCs w:val="24"/>
          <w:highlight w:val="none"/>
        </w:rPr>
        <w:t>磋商</w:t>
      </w:r>
      <w:r>
        <w:rPr>
          <w:rFonts w:hAnsi="宋体"/>
          <w:color w:val="auto"/>
          <w:szCs w:val="24"/>
          <w:highlight w:val="none"/>
        </w:rPr>
        <w:t>截止时间后</w:t>
      </w:r>
      <w:r>
        <w:rPr>
          <w:rFonts w:hint="eastAsia" w:hAnsi="宋体"/>
          <w:color w:val="auto"/>
          <w:szCs w:val="24"/>
          <w:highlight w:val="none"/>
        </w:rPr>
        <w:t>递交</w:t>
      </w:r>
      <w:r>
        <w:rPr>
          <w:rFonts w:hAnsi="宋体"/>
          <w:color w:val="auto"/>
          <w:szCs w:val="24"/>
          <w:highlight w:val="none"/>
        </w:rPr>
        <w:t>的任何</w:t>
      </w:r>
      <w:r>
        <w:rPr>
          <w:rFonts w:hint="eastAsia" w:hAnsi="宋体"/>
          <w:color w:val="auto"/>
          <w:szCs w:val="24"/>
          <w:highlight w:val="none"/>
        </w:rPr>
        <w:t>竞争性磋商响应文件</w:t>
      </w:r>
      <w:r>
        <w:rPr>
          <w:rFonts w:hAnsi="宋体"/>
          <w:color w:val="auto"/>
          <w:szCs w:val="24"/>
          <w:highlight w:val="none"/>
        </w:rPr>
        <w:t>。</w:t>
      </w:r>
    </w:p>
    <w:p w14:paraId="7E5E0D77">
      <w:pPr>
        <w:spacing w:line="360" w:lineRule="auto"/>
        <w:outlineLvl w:val="2"/>
        <w:rPr>
          <w:rFonts w:hint="eastAsia" w:hAnsi="宋体"/>
          <w:b/>
          <w:color w:val="auto"/>
          <w:szCs w:val="24"/>
          <w:highlight w:val="none"/>
        </w:rPr>
      </w:pPr>
      <w:r>
        <w:rPr>
          <w:rFonts w:hint="eastAsia" w:hAnsi="宋体"/>
          <w:b/>
          <w:color w:val="auto"/>
          <w:szCs w:val="24"/>
          <w:highlight w:val="none"/>
        </w:rPr>
        <w:t>21.磋商的修改与撤回</w:t>
      </w:r>
    </w:p>
    <w:p w14:paraId="7937886F">
      <w:pPr>
        <w:spacing w:line="360" w:lineRule="auto"/>
        <w:ind w:firstLine="480" w:firstLineChars="200"/>
        <w:rPr>
          <w:rFonts w:hint="eastAsia" w:hAnsi="宋体"/>
          <w:color w:val="auto"/>
          <w:szCs w:val="24"/>
          <w:highlight w:val="none"/>
        </w:rPr>
      </w:pPr>
      <w:r>
        <w:rPr>
          <w:rFonts w:hint="eastAsia" w:hAnsi="宋体"/>
          <w:color w:val="auto"/>
          <w:szCs w:val="24"/>
          <w:highlight w:val="none"/>
        </w:rPr>
        <w:t>21</w:t>
      </w:r>
      <w:r>
        <w:rPr>
          <w:rFonts w:hAnsi="宋体"/>
          <w:color w:val="auto"/>
          <w:szCs w:val="24"/>
          <w:highlight w:val="none"/>
        </w:rPr>
        <w:t>.1 在</w:t>
      </w:r>
      <w:r>
        <w:rPr>
          <w:rFonts w:hint="eastAsia" w:hAnsi="宋体"/>
          <w:color w:val="auto"/>
          <w:szCs w:val="24"/>
          <w:highlight w:val="none"/>
        </w:rPr>
        <w:t>磋商响应文件递交</w:t>
      </w:r>
      <w:r>
        <w:rPr>
          <w:rFonts w:hAnsi="宋体"/>
          <w:color w:val="auto"/>
          <w:szCs w:val="24"/>
          <w:highlight w:val="none"/>
        </w:rPr>
        <w:t>截止时间</w:t>
      </w:r>
      <w:r>
        <w:rPr>
          <w:rFonts w:hint="eastAsia" w:hAnsi="宋体"/>
          <w:color w:val="auto"/>
          <w:szCs w:val="24"/>
          <w:highlight w:val="none"/>
        </w:rPr>
        <w:t>前</w:t>
      </w:r>
      <w:r>
        <w:rPr>
          <w:rFonts w:hAnsi="宋体"/>
          <w:color w:val="auto"/>
          <w:szCs w:val="24"/>
          <w:highlight w:val="none"/>
        </w:rPr>
        <w:t>，</w:t>
      </w:r>
      <w:r>
        <w:rPr>
          <w:rFonts w:hint="eastAsia" w:hAnsi="宋体"/>
          <w:color w:val="auto"/>
          <w:szCs w:val="24"/>
          <w:highlight w:val="none"/>
        </w:rPr>
        <w:t>供应商</w:t>
      </w:r>
      <w:r>
        <w:rPr>
          <w:rFonts w:hAnsi="宋体"/>
          <w:color w:val="auto"/>
          <w:szCs w:val="24"/>
          <w:highlight w:val="none"/>
        </w:rPr>
        <w:t>可以修改或撤回其</w:t>
      </w:r>
      <w:r>
        <w:rPr>
          <w:rFonts w:hint="eastAsia" w:hAnsi="宋体"/>
          <w:color w:val="auto"/>
          <w:szCs w:val="24"/>
          <w:highlight w:val="none"/>
        </w:rPr>
        <w:t>已递交的磋商响应文件</w:t>
      </w:r>
      <w:r>
        <w:rPr>
          <w:rFonts w:hAnsi="宋体"/>
          <w:color w:val="auto"/>
          <w:szCs w:val="24"/>
          <w:highlight w:val="none"/>
        </w:rPr>
        <w:t>，也可以提出价格变动声明，但</w:t>
      </w:r>
      <w:r>
        <w:rPr>
          <w:rFonts w:hint="eastAsia" w:hAnsi="宋体"/>
          <w:color w:val="auto"/>
          <w:szCs w:val="24"/>
          <w:highlight w:val="none"/>
        </w:rPr>
        <w:t>供应商</w:t>
      </w:r>
      <w:r>
        <w:rPr>
          <w:rFonts w:hAnsi="宋体"/>
          <w:color w:val="auto"/>
          <w:szCs w:val="24"/>
          <w:highlight w:val="none"/>
        </w:rPr>
        <w:t>必须在规定的</w:t>
      </w:r>
      <w:r>
        <w:rPr>
          <w:rFonts w:hint="eastAsia" w:hAnsi="宋体"/>
          <w:color w:val="auto"/>
          <w:szCs w:val="24"/>
          <w:highlight w:val="none"/>
        </w:rPr>
        <w:t>磋商</w:t>
      </w:r>
      <w:r>
        <w:rPr>
          <w:rFonts w:hAnsi="宋体"/>
          <w:color w:val="auto"/>
          <w:szCs w:val="24"/>
          <w:highlight w:val="none"/>
        </w:rPr>
        <w:t>截止时间之前将修改或撤回或变动价格的书面通知文件递交到采购代理机构。</w:t>
      </w:r>
    </w:p>
    <w:p w14:paraId="627A146A">
      <w:pPr>
        <w:spacing w:line="360" w:lineRule="auto"/>
        <w:ind w:firstLine="480" w:firstLineChars="200"/>
        <w:rPr>
          <w:rFonts w:hint="eastAsia" w:hAnsi="宋体"/>
          <w:color w:val="auto"/>
          <w:szCs w:val="24"/>
          <w:highlight w:val="none"/>
        </w:rPr>
      </w:pPr>
      <w:r>
        <w:rPr>
          <w:rFonts w:hint="eastAsia" w:hAnsi="宋体"/>
          <w:color w:val="auto"/>
          <w:szCs w:val="24"/>
          <w:highlight w:val="none"/>
        </w:rPr>
        <w:t>21</w:t>
      </w:r>
      <w:r>
        <w:rPr>
          <w:rFonts w:hAnsi="宋体"/>
          <w:color w:val="auto"/>
          <w:szCs w:val="24"/>
          <w:highlight w:val="none"/>
        </w:rPr>
        <w:t xml:space="preserve">.2 </w:t>
      </w:r>
      <w:r>
        <w:rPr>
          <w:rFonts w:hint="eastAsia" w:hAnsi="宋体"/>
          <w:color w:val="auto"/>
          <w:szCs w:val="24"/>
          <w:highlight w:val="none"/>
        </w:rPr>
        <w:t>供应商</w:t>
      </w:r>
      <w:r>
        <w:rPr>
          <w:rFonts w:hAnsi="宋体"/>
          <w:color w:val="auto"/>
          <w:szCs w:val="24"/>
          <w:highlight w:val="none"/>
        </w:rPr>
        <w:t>的修改或撤回或变动价格的通知应按本须知第17条的规定编制、密封、标记和递交。</w:t>
      </w:r>
    </w:p>
    <w:p w14:paraId="006E1DB9">
      <w:pPr>
        <w:spacing w:line="360" w:lineRule="auto"/>
        <w:ind w:firstLine="480" w:firstLineChars="200"/>
        <w:rPr>
          <w:color w:val="auto"/>
          <w:szCs w:val="24"/>
          <w:highlight w:val="none"/>
        </w:rPr>
      </w:pPr>
      <w:r>
        <w:rPr>
          <w:rFonts w:hint="eastAsia" w:hAnsi="宋体"/>
          <w:color w:val="auto"/>
          <w:szCs w:val="24"/>
          <w:highlight w:val="none"/>
        </w:rPr>
        <w:t>21</w:t>
      </w:r>
      <w:r>
        <w:rPr>
          <w:rFonts w:hAnsi="宋体"/>
          <w:color w:val="auto"/>
          <w:szCs w:val="24"/>
          <w:highlight w:val="none"/>
        </w:rPr>
        <w:t>.3 在</w:t>
      </w:r>
      <w:r>
        <w:rPr>
          <w:rFonts w:hint="eastAsia" w:hAnsi="宋体"/>
          <w:color w:val="auto"/>
          <w:szCs w:val="24"/>
          <w:highlight w:val="none"/>
        </w:rPr>
        <w:t>磋商响应文件递交</w:t>
      </w:r>
      <w:r>
        <w:rPr>
          <w:rFonts w:hAnsi="宋体"/>
          <w:color w:val="auto"/>
          <w:szCs w:val="24"/>
          <w:highlight w:val="none"/>
        </w:rPr>
        <w:t>截止时间之后，</w:t>
      </w:r>
      <w:r>
        <w:rPr>
          <w:rFonts w:hint="eastAsia" w:hAnsi="宋体"/>
          <w:color w:val="auto"/>
          <w:szCs w:val="24"/>
          <w:highlight w:val="none"/>
        </w:rPr>
        <w:t>供应商</w:t>
      </w:r>
      <w:r>
        <w:rPr>
          <w:rFonts w:hAnsi="宋体"/>
          <w:color w:val="auto"/>
          <w:szCs w:val="24"/>
          <w:highlight w:val="none"/>
        </w:rPr>
        <w:t>不得对其</w:t>
      </w:r>
      <w:r>
        <w:rPr>
          <w:rFonts w:hint="eastAsia" w:hAnsi="宋体"/>
          <w:color w:val="auto"/>
          <w:szCs w:val="24"/>
          <w:highlight w:val="none"/>
        </w:rPr>
        <w:t>磋商响应文件</w:t>
      </w:r>
      <w:r>
        <w:rPr>
          <w:rFonts w:hAnsi="宋体"/>
          <w:color w:val="auto"/>
          <w:szCs w:val="24"/>
          <w:highlight w:val="none"/>
        </w:rPr>
        <w:t>做任何修改或撤回。</w:t>
      </w:r>
    </w:p>
    <w:p w14:paraId="1B76F550">
      <w:pPr>
        <w:pStyle w:val="4"/>
        <w:spacing w:line="360" w:lineRule="auto"/>
        <w:jc w:val="center"/>
        <w:rPr>
          <w:rFonts w:hint="eastAsia" w:ascii="宋体" w:hAnsi="宋体" w:cs="宋体"/>
          <w:color w:val="auto"/>
          <w:sz w:val="32"/>
          <w:highlight w:val="none"/>
        </w:rPr>
      </w:pPr>
      <w:bookmarkStart w:id="49" w:name="_Toc363474021"/>
      <w:bookmarkStart w:id="50" w:name="_Toc403077643"/>
      <w:bookmarkStart w:id="51" w:name="_Toc363473976"/>
      <w:r>
        <w:rPr>
          <w:rFonts w:hint="eastAsia" w:ascii="宋体" w:hAnsi="宋体" w:cs="宋体"/>
          <w:color w:val="auto"/>
          <w:sz w:val="32"/>
          <w:highlight w:val="none"/>
        </w:rPr>
        <w:t>五、磋商与评标</w:t>
      </w:r>
      <w:bookmarkEnd w:id="49"/>
      <w:bookmarkEnd w:id="50"/>
      <w:bookmarkEnd w:id="51"/>
    </w:p>
    <w:p w14:paraId="3DADACE5">
      <w:pPr>
        <w:spacing w:line="360" w:lineRule="auto"/>
        <w:outlineLvl w:val="2"/>
        <w:rPr>
          <w:rFonts w:hint="eastAsia" w:hAnsi="宋体"/>
          <w:b/>
          <w:color w:val="auto"/>
          <w:szCs w:val="24"/>
          <w:highlight w:val="none"/>
        </w:rPr>
      </w:pPr>
      <w:r>
        <w:rPr>
          <w:rFonts w:hint="eastAsia" w:hAnsi="宋体"/>
          <w:b/>
          <w:color w:val="auto"/>
          <w:szCs w:val="24"/>
          <w:highlight w:val="none"/>
        </w:rPr>
        <w:t>22</w:t>
      </w:r>
      <w:r>
        <w:rPr>
          <w:rFonts w:hAnsi="宋体"/>
          <w:b/>
          <w:color w:val="auto"/>
          <w:szCs w:val="24"/>
          <w:highlight w:val="none"/>
        </w:rPr>
        <w:t>.</w:t>
      </w:r>
      <w:r>
        <w:rPr>
          <w:rFonts w:hint="eastAsia" w:hAnsi="宋体"/>
          <w:b/>
          <w:color w:val="auto"/>
          <w:szCs w:val="24"/>
          <w:highlight w:val="none"/>
        </w:rPr>
        <w:t>磋商会议</w:t>
      </w:r>
    </w:p>
    <w:p w14:paraId="4ACEA053">
      <w:pPr>
        <w:spacing w:line="360" w:lineRule="auto"/>
        <w:ind w:firstLine="480" w:firstLineChars="200"/>
        <w:rPr>
          <w:rFonts w:hint="eastAsia" w:hAnsi="宋体"/>
          <w:color w:val="auto"/>
          <w:szCs w:val="24"/>
          <w:highlight w:val="none"/>
        </w:rPr>
      </w:pPr>
      <w:r>
        <w:rPr>
          <w:rFonts w:hint="eastAsia" w:hAnsi="宋体"/>
          <w:color w:val="auto"/>
          <w:szCs w:val="24"/>
          <w:highlight w:val="none"/>
        </w:rPr>
        <w:t>22</w:t>
      </w:r>
      <w:r>
        <w:rPr>
          <w:rFonts w:hAnsi="宋体"/>
          <w:color w:val="auto"/>
          <w:szCs w:val="24"/>
          <w:highlight w:val="none"/>
        </w:rPr>
        <w:t>.1 采购代理机构在规定的时间和地点组织</w:t>
      </w:r>
      <w:r>
        <w:rPr>
          <w:rFonts w:hint="eastAsia" w:hAnsi="宋体"/>
          <w:color w:val="auto"/>
          <w:szCs w:val="24"/>
          <w:highlight w:val="none"/>
        </w:rPr>
        <w:t>竞争性磋商会议</w:t>
      </w:r>
      <w:r>
        <w:rPr>
          <w:rFonts w:hAnsi="宋体"/>
          <w:color w:val="auto"/>
          <w:szCs w:val="24"/>
          <w:highlight w:val="none"/>
        </w:rPr>
        <w:t>。</w:t>
      </w:r>
      <w:r>
        <w:rPr>
          <w:rFonts w:hint="eastAsia" w:hAnsi="宋体"/>
          <w:color w:val="auto"/>
          <w:szCs w:val="24"/>
          <w:highlight w:val="none"/>
        </w:rPr>
        <w:t>磋商</w:t>
      </w:r>
      <w:r>
        <w:rPr>
          <w:rFonts w:hAnsi="宋体"/>
          <w:color w:val="auto"/>
          <w:szCs w:val="24"/>
          <w:highlight w:val="none"/>
        </w:rPr>
        <w:t>时所有</w:t>
      </w:r>
      <w:r>
        <w:rPr>
          <w:rFonts w:hint="eastAsia" w:hAnsi="宋体"/>
          <w:color w:val="auto"/>
          <w:szCs w:val="24"/>
          <w:highlight w:val="none"/>
        </w:rPr>
        <w:t>供应商</w:t>
      </w:r>
      <w:r>
        <w:rPr>
          <w:rFonts w:hAnsi="宋体"/>
          <w:color w:val="auto"/>
          <w:szCs w:val="24"/>
          <w:highlight w:val="none"/>
        </w:rPr>
        <w:t>代表自愿参加，参加</w:t>
      </w:r>
      <w:r>
        <w:rPr>
          <w:rFonts w:hint="eastAsia" w:hAnsi="宋体"/>
          <w:color w:val="auto"/>
          <w:szCs w:val="24"/>
          <w:highlight w:val="none"/>
        </w:rPr>
        <w:t>磋商</w:t>
      </w:r>
      <w:r>
        <w:rPr>
          <w:rFonts w:hAnsi="宋体"/>
          <w:color w:val="auto"/>
          <w:szCs w:val="24"/>
          <w:highlight w:val="none"/>
        </w:rPr>
        <w:t>的代表应签名报到以证明其出席。</w:t>
      </w:r>
    </w:p>
    <w:p w14:paraId="73E96B1D">
      <w:pPr>
        <w:spacing w:line="360" w:lineRule="auto"/>
        <w:ind w:firstLine="480" w:firstLineChars="200"/>
        <w:rPr>
          <w:rFonts w:hint="eastAsia" w:hAnsi="宋体"/>
          <w:b/>
          <w:color w:val="auto"/>
          <w:szCs w:val="24"/>
          <w:highlight w:val="none"/>
        </w:rPr>
      </w:pPr>
      <w:r>
        <w:rPr>
          <w:rFonts w:hint="eastAsia" w:hAnsi="宋体"/>
          <w:color w:val="auto"/>
          <w:szCs w:val="24"/>
          <w:highlight w:val="none"/>
        </w:rPr>
        <w:t>22.2</w:t>
      </w:r>
      <w:r>
        <w:rPr>
          <w:rFonts w:hAnsi="宋体"/>
          <w:color w:val="auto"/>
          <w:szCs w:val="24"/>
          <w:highlight w:val="none"/>
        </w:rPr>
        <w:t>采购代理机构将做</w:t>
      </w:r>
      <w:r>
        <w:rPr>
          <w:rFonts w:hint="eastAsia" w:hAnsi="宋体"/>
          <w:color w:val="auto"/>
          <w:szCs w:val="24"/>
          <w:highlight w:val="none"/>
        </w:rPr>
        <w:t>磋商</w:t>
      </w:r>
      <w:r>
        <w:rPr>
          <w:rFonts w:hAnsi="宋体"/>
          <w:color w:val="auto"/>
          <w:szCs w:val="24"/>
          <w:highlight w:val="none"/>
        </w:rPr>
        <w:t>记录，存档备查。</w:t>
      </w:r>
    </w:p>
    <w:p w14:paraId="5CBF2501">
      <w:pPr>
        <w:spacing w:line="360" w:lineRule="auto"/>
        <w:outlineLvl w:val="2"/>
        <w:rPr>
          <w:rFonts w:hint="eastAsia" w:hAnsi="宋体"/>
          <w:b/>
          <w:color w:val="auto"/>
          <w:szCs w:val="24"/>
          <w:highlight w:val="none"/>
        </w:rPr>
      </w:pPr>
      <w:r>
        <w:rPr>
          <w:rFonts w:hAnsi="宋体"/>
          <w:b/>
          <w:color w:val="auto"/>
          <w:szCs w:val="24"/>
          <w:highlight w:val="none"/>
        </w:rPr>
        <w:t>2</w:t>
      </w:r>
      <w:r>
        <w:rPr>
          <w:rFonts w:hint="eastAsia" w:hAnsi="宋体"/>
          <w:b/>
          <w:color w:val="auto"/>
          <w:szCs w:val="24"/>
          <w:highlight w:val="none"/>
        </w:rPr>
        <w:t>3.评审</w:t>
      </w:r>
      <w:r>
        <w:rPr>
          <w:rFonts w:hAnsi="宋体"/>
          <w:b/>
          <w:color w:val="auto"/>
          <w:szCs w:val="24"/>
          <w:highlight w:val="none"/>
        </w:rPr>
        <w:t>组织及</w:t>
      </w:r>
      <w:r>
        <w:rPr>
          <w:rFonts w:hint="eastAsia" w:hAnsi="宋体"/>
          <w:b/>
          <w:color w:val="auto"/>
          <w:szCs w:val="24"/>
          <w:highlight w:val="none"/>
        </w:rPr>
        <w:t>评审</w:t>
      </w:r>
      <w:r>
        <w:rPr>
          <w:rFonts w:hAnsi="宋体"/>
          <w:b/>
          <w:color w:val="auto"/>
          <w:szCs w:val="24"/>
          <w:highlight w:val="none"/>
        </w:rPr>
        <w:t>原则</w:t>
      </w:r>
    </w:p>
    <w:p w14:paraId="2BFB7FBD">
      <w:pPr>
        <w:spacing w:line="360" w:lineRule="auto"/>
        <w:ind w:firstLine="480" w:firstLineChars="200"/>
        <w:rPr>
          <w:rFonts w:hint="eastAsia" w:hAnsi="宋体"/>
          <w:color w:val="auto"/>
          <w:szCs w:val="24"/>
          <w:highlight w:val="none"/>
        </w:rPr>
      </w:pPr>
      <w:r>
        <w:rPr>
          <w:rFonts w:hAnsi="宋体"/>
          <w:color w:val="auto"/>
          <w:szCs w:val="24"/>
          <w:highlight w:val="none"/>
        </w:rPr>
        <w:t>2</w:t>
      </w:r>
      <w:r>
        <w:rPr>
          <w:rFonts w:hint="eastAsia" w:hAnsi="宋体"/>
          <w:color w:val="auto"/>
          <w:szCs w:val="24"/>
          <w:highlight w:val="none"/>
        </w:rPr>
        <w:t>3</w:t>
      </w:r>
      <w:r>
        <w:rPr>
          <w:rFonts w:hAnsi="宋体"/>
          <w:color w:val="auto"/>
          <w:szCs w:val="24"/>
          <w:highlight w:val="none"/>
        </w:rPr>
        <w:t>.1按照《中华人民共和国政府采购法》</w:t>
      </w:r>
      <w:r>
        <w:rPr>
          <w:rFonts w:hint="eastAsia" w:hAnsi="宋体"/>
          <w:color w:val="auto"/>
          <w:szCs w:val="24"/>
          <w:highlight w:val="none"/>
        </w:rPr>
        <w:t>及实施条例和</w:t>
      </w:r>
      <w:r>
        <w:rPr>
          <w:rFonts w:hAnsi="宋体"/>
          <w:color w:val="auto"/>
          <w:szCs w:val="24"/>
          <w:highlight w:val="none"/>
        </w:rPr>
        <w:t>关于印发《政府采购竞争性磋商采购方式管理暂行办法》的通知</w:t>
      </w:r>
      <w:r>
        <w:rPr>
          <w:rFonts w:hint="eastAsia" w:hAnsi="宋体"/>
          <w:color w:val="auto"/>
          <w:szCs w:val="24"/>
          <w:highlight w:val="none"/>
        </w:rPr>
        <w:t>（</w:t>
      </w:r>
      <w:r>
        <w:rPr>
          <w:rFonts w:hAnsi="宋体"/>
          <w:color w:val="auto"/>
          <w:szCs w:val="24"/>
          <w:highlight w:val="none"/>
        </w:rPr>
        <w:t>财库〔2014〕214号</w:t>
      </w:r>
      <w:r>
        <w:rPr>
          <w:rFonts w:hint="eastAsia" w:hAnsi="宋体"/>
          <w:color w:val="auto"/>
          <w:szCs w:val="24"/>
          <w:highlight w:val="none"/>
        </w:rPr>
        <w:t>）</w:t>
      </w:r>
      <w:r>
        <w:rPr>
          <w:rFonts w:hAnsi="宋体"/>
          <w:color w:val="auto"/>
          <w:szCs w:val="24"/>
          <w:highlight w:val="none"/>
        </w:rPr>
        <w:t>，依法组建</w:t>
      </w:r>
      <w:r>
        <w:rPr>
          <w:rFonts w:hint="eastAsia" w:hAnsi="宋体"/>
          <w:color w:val="auto"/>
          <w:szCs w:val="24"/>
          <w:highlight w:val="none"/>
        </w:rPr>
        <w:t>磋商小组</w:t>
      </w:r>
      <w:r>
        <w:rPr>
          <w:rFonts w:hAnsi="宋体"/>
          <w:color w:val="auto"/>
          <w:szCs w:val="24"/>
          <w:highlight w:val="none"/>
        </w:rPr>
        <w:t>。</w:t>
      </w:r>
      <w:r>
        <w:rPr>
          <w:rFonts w:hint="eastAsia" w:hAnsi="宋体"/>
          <w:color w:val="auto"/>
          <w:szCs w:val="24"/>
          <w:highlight w:val="none"/>
        </w:rPr>
        <w:t>磋商小组成员由采购人代表及有关技术、经济等方面的专家组成，采购人代表须持有授权书，其中技术、经济类专家人数不少于总人数的2/3。专家人选在专家库中随机抽取。全体磋商小组成员应共同推荐一名组内成员为本项目磋商小组组长，采购人代表不得担任组长。磋商小组</w:t>
      </w:r>
      <w:r>
        <w:rPr>
          <w:rFonts w:hAnsi="宋体"/>
          <w:color w:val="auto"/>
          <w:szCs w:val="24"/>
          <w:highlight w:val="none"/>
        </w:rPr>
        <w:t>按照</w:t>
      </w:r>
      <w:r>
        <w:rPr>
          <w:rFonts w:hint="eastAsia" w:hAnsi="宋体"/>
          <w:color w:val="auto"/>
          <w:szCs w:val="24"/>
          <w:highlight w:val="none"/>
        </w:rPr>
        <w:t>竞争性磋商</w:t>
      </w:r>
      <w:r>
        <w:rPr>
          <w:rFonts w:hAnsi="宋体"/>
          <w:color w:val="auto"/>
          <w:szCs w:val="24"/>
          <w:highlight w:val="none"/>
        </w:rPr>
        <w:t>文件规定的</w:t>
      </w:r>
      <w:r>
        <w:rPr>
          <w:rFonts w:hint="eastAsia" w:hAnsi="宋体"/>
          <w:color w:val="auto"/>
          <w:szCs w:val="24"/>
          <w:highlight w:val="none"/>
        </w:rPr>
        <w:t>评审</w:t>
      </w:r>
      <w:r>
        <w:rPr>
          <w:rFonts w:hAnsi="宋体"/>
          <w:color w:val="auto"/>
          <w:szCs w:val="24"/>
          <w:highlight w:val="none"/>
        </w:rPr>
        <w:t>方法独立进行</w:t>
      </w:r>
      <w:r>
        <w:rPr>
          <w:rFonts w:hint="eastAsia" w:hAnsi="宋体"/>
          <w:color w:val="auto"/>
          <w:szCs w:val="24"/>
          <w:highlight w:val="none"/>
        </w:rPr>
        <w:t>评审</w:t>
      </w:r>
      <w:r>
        <w:rPr>
          <w:rFonts w:hAnsi="宋体"/>
          <w:color w:val="auto"/>
          <w:szCs w:val="24"/>
          <w:highlight w:val="none"/>
        </w:rPr>
        <w:t>工作。</w:t>
      </w:r>
    </w:p>
    <w:p w14:paraId="6A605079">
      <w:pPr>
        <w:spacing w:line="360" w:lineRule="auto"/>
        <w:ind w:firstLine="480" w:firstLineChars="200"/>
        <w:rPr>
          <w:rFonts w:hint="eastAsia" w:hAnsi="宋体"/>
          <w:color w:val="auto"/>
          <w:szCs w:val="24"/>
          <w:highlight w:val="none"/>
        </w:rPr>
      </w:pPr>
      <w:r>
        <w:rPr>
          <w:rFonts w:hAnsi="宋体"/>
          <w:color w:val="auto"/>
          <w:szCs w:val="24"/>
          <w:highlight w:val="none"/>
        </w:rPr>
        <w:t>2</w:t>
      </w:r>
      <w:r>
        <w:rPr>
          <w:rFonts w:hint="eastAsia" w:hAnsi="宋体"/>
          <w:color w:val="auto"/>
          <w:szCs w:val="24"/>
          <w:highlight w:val="none"/>
        </w:rPr>
        <w:t>3</w:t>
      </w:r>
      <w:r>
        <w:rPr>
          <w:rFonts w:hAnsi="宋体"/>
          <w:color w:val="auto"/>
          <w:szCs w:val="24"/>
          <w:highlight w:val="none"/>
        </w:rPr>
        <w:t>.2</w:t>
      </w:r>
      <w:r>
        <w:rPr>
          <w:rFonts w:hint="eastAsia" w:hAnsi="宋体"/>
          <w:color w:val="auto"/>
          <w:szCs w:val="24"/>
          <w:highlight w:val="none"/>
        </w:rPr>
        <w:t>竞争性磋商</w:t>
      </w:r>
      <w:r>
        <w:rPr>
          <w:rFonts w:hAnsi="宋体"/>
          <w:color w:val="auto"/>
          <w:szCs w:val="24"/>
          <w:highlight w:val="none"/>
        </w:rPr>
        <w:t>文件和</w:t>
      </w:r>
      <w:r>
        <w:rPr>
          <w:rFonts w:hint="eastAsia" w:hAnsi="宋体"/>
          <w:color w:val="auto"/>
          <w:szCs w:val="24"/>
          <w:highlight w:val="none"/>
        </w:rPr>
        <w:t>竞争性磋商响应文件</w:t>
      </w:r>
      <w:r>
        <w:rPr>
          <w:rFonts w:hAnsi="宋体"/>
          <w:color w:val="auto"/>
          <w:szCs w:val="24"/>
          <w:highlight w:val="none"/>
        </w:rPr>
        <w:t>是</w:t>
      </w:r>
      <w:r>
        <w:rPr>
          <w:rFonts w:hint="eastAsia" w:hAnsi="宋体"/>
          <w:color w:val="auto"/>
          <w:szCs w:val="24"/>
          <w:highlight w:val="none"/>
        </w:rPr>
        <w:t>评审</w:t>
      </w:r>
      <w:r>
        <w:rPr>
          <w:rFonts w:hAnsi="宋体"/>
          <w:color w:val="auto"/>
          <w:szCs w:val="24"/>
          <w:highlight w:val="none"/>
        </w:rPr>
        <w:t>的依据。在</w:t>
      </w:r>
      <w:r>
        <w:rPr>
          <w:rFonts w:hint="eastAsia" w:hAnsi="宋体"/>
          <w:color w:val="auto"/>
          <w:szCs w:val="24"/>
          <w:highlight w:val="none"/>
        </w:rPr>
        <w:t>评审</w:t>
      </w:r>
      <w:r>
        <w:rPr>
          <w:rFonts w:hAnsi="宋体"/>
          <w:color w:val="auto"/>
          <w:szCs w:val="24"/>
          <w:highlight w:val="none"/>
        </w:rPr>
        <w:t>中，不得改变</w:t>
      </w:r>
      <w:r>
        <w:rPr>
          <w:rFonts w:hint="eastAsia" w:hAnsi="宋体"/>
          <w:color w:val="auto"/>
          <w:szCs w:val="24"/>
          <w:highlight w:val="none"/>
        </w:rPr>
        <w:t>竞争性磋商文件中规定的评审标准、方法和成交条件。</w:t>
      </w:r>
    </w:p>
    <w:p w14:paraId="0BFC117E">
      <w:pPr>
        <w:spacing w:line="360" w:lineRule="auto"/>
        <w:ind w:firstLine="480" w:firstLineChars="200"/>
        <w:rPr>
          <w:rFonts w:hint="eastAsia" w:hAnsi="宋体"/>
          <w:color w:val="auto"/>
          <w:szCs w:val="24"/>
          <w:highlight w:val="none"/>
        </w:rPr>
      </w:pPr>
      <w:r>
        <w:rPr>
          <w:rFonts w:hint="eastAsia" w:hAnsi="宋体"/>
          <w:color w:val="auto"/>
          <w:szCs w:val="24"/>
          <w:highlight w:val="none"/>
        </w:rPr>
        <w:t>23.3在评审期间，对竞争性磋商响应文件中含义不明确、同类问题表述不一致或者有明显文字和计算错</w:t>
      </w:r>
      <w:r>
        <w:rPr>
          <w:rFonts w:hAnsi="宋体"/>
          <w:color w:val="auto"/>
          <w:szCs w:val="24"/>
          <w:highlight w:val="none"/>
        </w:rPr>
        <w:t>误的内容，</w:t>
      </w:r>
      <w:r>
        <w:rPr>
          <w:rFonts w:hint="eastAsia" w:hAnsi="宋体"/>
          <w:color w:val="auto"/>
          <w:szCs w:val="24"/>
          <w:highlight w:val="none"/>
        </w:rPr>
        <w:t>磋商小组</w:t>
      </w:r>
      <w:r>
        <w:rPr>
          <w:rFonts w:hAnsi="宋体"/>
          <w:color w:val="auto"/>
          <w:szCs w:val="24"/>
          <w:highlight w:val="none"/>
        </w:rPr>
        <w:t>可以书面形式（由</w:t>
      </w:r>
      <w:r>
        <w:rPr>
          <w:rFonts w:hint="eastAsia" w:hAnsi="宋体"/>
          <w:color w:val="auto"/>
          <w:szCs w:val="24"/>
          <w:highlight w:val="none"/>
        </w:rPr>
        <w:t>磋商小组</w:t>
      </w:r>
      <w:r>
        <w:rPr>
          <w:rFonts w:hAnsi="宋体"/>
          <w:color w:val="auto"/>
          <w:szCs w:val="24"/>
          <w:highlight w:val="none"/>
        </w:rPr>
        <w:t>专家签字）要求</w:t>
      </w:r>
      <w:r>
        <w:rPr>
          <w:rFonts w:hint="eastAsia" w:hAnsi="宋体"/>
          <w:color w:val="auto"/>
          <w:szCs w:val="24"/>
          <w:highlight w:val="none"/>
        </w:rPr>
        <w:t>供应商</w:t>
      </w:r>
      <w:r>
        <w:rPr>
          <w:rFonts w:hAnsi="宋体"/>
          <w:color w:val="auto"/>
          <w:szCs w:val="24"/>
          <w:highlight w:val="none"/>
        </w:rPr>
        <w:t>作出必要的澄清、说明或者纠正。</w:t>
      </w:r>
      <w:r>
        <w:rPr>
          <w:rFonts w:hint="eastAsia" w:hAnsi="宋体"/>
          <w:color w:val="auto"/>
          <w:szCs w:val="24"/>
          <w:highlight w:val="none"/>
        </w:rPr>
        <w:t>供应商</w:t>
      </w:r>
      <w:r>
        <w:rPr>
          <w:rFonts w:hAnsi="宋体"/>
          <w:color w:val="auto"/>
          <w:szCs w:val="24"/>
          <w:highlight w:val="none"/>
        </w:rPr>
        <w:t>的澄清、说明或者补正应当采用书面形式，由其授权的代表签字，并不得超出</w:t>
      </w:r>
      <w:r>
        <w:rPr>
          <w:rFonts w:hint="eastAsia" w:hAnsi="宋体"/>
          <w:color w:val="auto"/>
          <w:szCs w:val="24"/>
          <w:highlight w:val="none"/>
        </w:rPr>
        <w:t>竞争性磋商响应文件</w:t>
      </w:r>
      <w:r>
        <w:rPr>
          <w:rFonts w:hAnsi="宋体"/>
          <w:color w:val="auto"/>
          <w:szCs w:val="24"/>
          <w:highlight w:val="none"/>
        </w:rPr>
        <w:t>的范围或者改变</w:t>
      </w:r>
      <w:r>
        <w:rPr>
          <w:rFonts w:hint="eastAsia" w:hAnsi="宋体"/>
          <w:color w:val="auto"/>
          <w:szCs w:val="24"/>
          <w:highlight w:val="none"/>
        </w:rPr>
        <w:t>竞争性磋商响应文件</w:t>
      </w:r>
      <w:r>
        <w:rPr>
          <w:rFonts w:hAnsi="宋体"/>
          <w:color w:val="auto"/>
          <w:szCs w:val="24"/>
          <w:highlight w:val="none"/>
        </w:rPr>
        <w:t>的实质性内容。</w:t>
      </w:r>
    </w:p>
    <w:p w14:paraId="6037D8F3">
      <w:pPr>
        <w:spacing w:line="360" w:lineRule="auto"/>
        <w:ind w:firstLine="480" w:firstLineChars="200"/>
        <w:rPr>
          <w:rFonts w:hint="eastAsia" w:hAnsi="宋体"/>
          <w:color w:val="auto"/>
          <w:szCs w:val="24"/>
          <w:highlight w:val="none"/>
        </w:rPr>
      </w:pPr>
      <w:r>
        <w:rPr>
          <w:rFonts w:hAnsi="宋体"/>
          <w:color w:val="auto"/>
          <w:szCs w:val="24"/>
          <w:highlight w:val="none"/>
        </w:rPr>
        <w:t>2</w:t>
      </w:r>
      <w:r>
        <w:rPr>
          <w:rFonts w:hint="eastAsia" w:hAnsi="宋体"/>
          <w:color w:val="auto"/>
          <w:szCs w:val="24"/>
          <w:highlight w:val="none"/>
        </w:rPr>
        <w:t>3</w:t>
      </w:r>
      <w:r>
        <w:rPr>
          <w:rFonts w:hAnsi="宋体"/>
          <w:color w:val="auto"/>
          <w:szCs w:val="24"/>
          <w:highlight w:val="none"/>
        </w:rPr>
        <w:t>.4如果</w:t>
      </w:r>
      <w:r>
        <w:rPr>
          <w:rFonts w:hint="eastAsia" w:hAnsi="宋体"/>
          <w:color w:val="auto"/>
          <w:szCs w:val="24"/>
          <w:highlight w:val="none"/>
        </w:rPr>
        <w:t>供应商</w:t>
      </w:r>
      <w:r>
        <w:rPr>
          <w:rFonts w:hAnsi="宋体"/>
          <w:color w:val="auto"/>
          <w:szCs w:val="24"/>
          <w:highlight w:val="none"/>
        </w:rPr>
        <w:t>在澄清规定期限内，未能答复或拒绝答复</w:t>
      </w:r>
      <w:r>
        <w:rPr>
          <w:rFonts w:hint="eastAsia" w:hAnsi="宋体"/>
          <w:color w:val="auto"/>
          <w:szCs w:val="24"/>
          <w:highlight w:val="none"/>
        </w:rPr>
        <w:t>磋商小组</w:t>
      </w:r>
      <w:r>
        <w:rPr>
          <w:rFonts w:hAnsi="宋体"/>
          <w:color w:val="auto"/>
          <w:szCs w:val="24"/>
          <w:highlight w:val="none"/>
        </w:rPr>
        <w:t>提出的澄清要求，将由</w:t>
      </w:r>
      <w:r>
        <w:rPr>
          <w:rFonts w:hint="eastAsia" w:hAnsi="宋体"/>
          <w:color w:val="auto"/>
          <w:szCs w:val="24"/>
          <w:highlight w:val="none"/>
        </w:rPr>
        <w:t>磋商小组</w:t>
      </w:r>
      <w:r>
        <w:rPr>
          <w:rFonts w:hAnsi="宋体"/>
          <w:color w:val="auto"/>
          <w:szCs w:val="24"/>
          <w:highlight w:val="none"/>
        </w:rPr>
        <w:t>根据其</w:t>
      </w:r>
      <w:r>
        <w:rPr>
          <w:rFonts w:hint="eastAsia" w:hAnsi="宋体"/>
          <w:color w:val="auto"/>
          <w:szCs w:val="24"/>
          <w:highlight w:val="none"/>
        </w:rPr>
        <w:t>竞争性磋商响应文件</w:t>
      </w:r>
      <w:r>
        <w:rPr>
          <w:rFonts w:hAnsi="宋体"/>
          <w:color w:val="auto"/>
          <w:szCs w:val="24"/>
          <w:highlight w:val="none"/>
        </w:rPr>
        <w:t>按最大风险进行</w:t>
      </w:r>
      <w:r>
        <w:rPr>
          <w:rFonts w:hint="eastAsia" w:hAnsi="宋体"/>
          <w:color w:val="auto"/>
          <w:szCs w:val="24"/>
          <w:highlight w:val="none"/>
        </w:rPr>
        <w:t>评审</w:t>
      </w:r>
      <w:r>
        <w:rPr>
          <w:rFonts w:hAnsi="宋体"/>
          <w:color w:val="auto"/>
          <w:szCs w:val="24"/>
          <w:highlight w:val="none"/>
        </w:rPr>
        <w:t>。</w:t>
      </w:r>
    </w:p>
    <w:p w14:paraId="598ADBBC">
      <w:pPr>
        <w:spacing w:line="360" w:lineRule="auto"/>
        <w:outlineLvl w:val="2"/>
        <w:rPr>
          <w:rFonts w:hint="eastAsia" w:hAnsi="宋体"/>
          <w:b/>
          <w:color w:val="auto"/>
          <w:szCs w:val="24"/>
          <w:highlight w:val="none"/>
        </w:rPr>
      </w:pPr>
      <w:r>
        <w:rPr>
          <w:rFonts w:hint="eastAsia" w:hAnsi="宋体"/>
          <w:b/>
          <w:color w:val="auto"/>
          <w:szCs w:val="24"/>
          <w:highlight w:val="none"/>
        </w:rPr>
        <w:t>24</w:t>
      </w:r>
      <w:r>
        <w:rPr>
          <w:rFonts w:hAnsi="宋体"/>
          <w:b/>
          <w:color w:val="auto"/>
          <w:szCs w:val="24"/>
          <w:highlight w:val="none"/>
        </w:rPr>
        <w:t>．</w:t>
      </w:r>
      <w:r>
        <w:rPr>
          <w:rFonts w:hint="eastAsia" w:hAnsi="宋体"/>
          <w:b/>
          <w:color w:val="auto"/>
          <w:szCs w:val="24"/>
          <w:highlight w:val="none"/>
        </w:rPr>
        <w:t>评审</w:t>
      </w:r>
      <w:r>
        <w:rPr>
          <w:rFonts w:hAnsi="宋体"/>
          <w:b/>
          <w:color w:val="auto"/>
          <w:szCs w:val="24"/>
          <w:highlight w:val="none"/>
        </w:rPr>
        <w:t>过程的保密</w:t>
      </w:r>
    </w:p>
    <w:p w14:paraId="3F1CA5FF">
      <w:pPr>
        <w:spacing w:line="360" w:lineRule="auto"/>
        <w:ind w:firstLine="480" w:firstLineChars="200"/>
        <w:rPr>
          <w:rFonts w:hint="eastAsia" w:hAnsi="宋体"/>
          <w:color w:val="auto"/>
          <w:szCs w:val="24"/>
          <w:highlight w:val="none"/>
        </w:rPr>
      </w:pPr>
      <w:r>
        <w:rPr>
          <w:rFonts w:hint="eastAsia" w:hAnsi="宋体"/>
          <w:color w:val="auto"/>
          <w:szCs w:val="24"/>
          <w:highlight w:val="none"/>
        </w:rPr>
        <w:t>磋商小组成员和与评审活动有关的工作人员不得泄露有关竞争性磋商响应文件的评审和比较、成交候选人的推荐以及与评审有关的其他情况。</w:t>
      </w:r>
    </w:p>
    <w:p w14:paraId="4918F44A">
      <w:pPr>
        <w:spacing w:line="360" w:lineRule="auto"/>
        <w:outlineLvl w:val="2"/>
        <w:rPr>
          <w:rFonts w:hint="eastAsia" w:hAnsi="宋体"/>
          <w:b/>
          <w:color w:val="auto"/>
          <w:szCs w:val="24"/>
          <w:highlight w:val="none"/>
        </w:rPr>
      </w:pPr>
      <w:r>
        <w:rPr>
          <w:rFonts w:hint="eastAsia" w:hAnsi="宋体"/>
          <w:b/>
          <w:color w:val="auto"/>
          <w:szCs w:val="24"/>
          <w:highlight w:val="none"/>
        </w:rPr>
        <w:t>25．评审方法</w:t>
      </w:r>
    </w:p>
    <w:p w14:paraId="5D608DC1">
      <w:pPr>
        <w:spacing w:line="360" w:lineRule="auto"/>
        <w:ind w:firstLine="480" w:firstLineChars="200"/>
        <w:rPr>
          <w:rFonts w:hint="eastAsia" w:hAnsi="宋体"/>
          <w:color w:val="auto"/>
          <w:szCs w:val="24"/>
          <w:highlight w:val="none"/>
        </w:rPr>
      </w:pPr>
      <w:r>
        <w:rPr>
          <w:rFonts w:hAnsi="宋体"/>
          <w:color w:val="auto"/>
          <w:szCs w:val="24"/>
          <w:highlight w:val="none"/>
        </w:rPr>
        <w:t>按照《中华人民共和国政府采购法》</w:t>
      </w:r>
      <w:r>
        <w:rPr>
          <w:rFonts w:hint="eastAsia" w:hAnsi="宋体"/>
          <w:color w:val="auto"/>
          <w:szCs w:val="24"/>
          <w:highlight w:val="none"/>
        </w:rPr>
        <w:t>及实施条例和</w:t>
      </w:r>
      <w:r>
        <w:rPr>
          <w:rFonts w:hAnsi="宋体"/>
          <w:color w:val="auto"/>
          <w:szCs w:val="24"/>
          <w:highlight w:val="none"/>
        </w:rPr>
        <w:t>关于印发《政府采购竞争性磋商采购方式管理暂行办法》的通知</w:t>
      </w:r>
      <w:r>
        <w:rPr>
          <w:rFonts w:hint="eastAsia" w:hAnsi="宋体"/>
          <w:color w:val="auto"/>
          <w:szCs w:val="24"/>
          <w:highlight w:val="none"/>
        </w:rPr>
        <w:t>（</w:t>
      </w:r>
      <w:r>
        <w:rPr>
          <w:rFonts w:hAnsi="宋体"/>
          <w:color w:val="auto"/>
          <w:szCs w:val="24"/>
          <w:highlight w:val="none"/>
        </w:rPr>
        <w:t>财库〔2014〕214号</w:t>
      </w:r>
      <w:r>
        <w:rPr>
          <w:rFonts w:hint="eastAsia" w:hAnsi="宋体"/>
          <w:color w:val="auto"/>
          <w:szCs w:val="24"/>
          <w:highlight w:val="none"/>
        </w:rPr>
        <w:t>），本次评审采用综合评分法，即在全部满足竞争性磋商文件实质性要求前提下，磋商小组应当根据综合评分情况，按照评审得分高低顺序推荐1-3名成交候选人。</w:t>
      </w:r>
    </w:p>
    <w:p w14:paraId="5C2AFAE8">
      <w:pPr>
        <w:spacing w:line="360" w:lineRule="auto"/>
        <w:outlineLvl w:val="2"/>
        <w:rPr>
          <w:rFonts w:hint="eastAsia" w:hAnsi="宋体"/>
          <w:b/>
          <w:color w:val="auto"/>
          <w:szCs w:val="24"/>
          <w:highlight w:val="none"/>
        </w:rPr>
      </w:pPr>
      <w:r>
        <w:rPr>
          <w:rFonts w:hint="eastAsia" w:hAnsi="宋体"/>
          <w:b/>
          <w:color w:val="auto"/>
          <w:szCs w:val="24"/>
          <w:highlight w:val="none"/>
        </w:rPr>
        <w:t>26．评审程序</w:t>
      </w:r>
    </w:p>
    <w:p w14:paraId="77E86F4B">
      <w:pPr>
        <w:spacing w:line="360" w:lineRule="auto"/>
        <w:ind w:firstLine="480" w:firstLineChars="200"/>
        <w:rPr>
          <w:rFonts w:hint="eastAsia" w:hAnsi="宋体"/>
          <w:color w:val="auto"/>
          <w:szCs w:val="24"/>
          <w:highlight w:val="none"/>
        </w:rPr>
      </w:pPr>
      <w:r>
        <w:rPr>
          <w:rFonts w:hint="eastAsia" w:hAnsi="宋体"/>
          <w:color w:val="auto"/>
          <w:szCs w:val="24"/>
          <w:highlight w:val="none"/>
        </w:rPr>
        <w:t>按照竞争性磋商响应文件初审、澄清有关问题、分别磋商、二次报价、比较与评审、推荐成交候选人名单的工作程序进行评审。在上一步评审中被认定为无效磋商者，不进入下一步的评审。</w:t>
      </w:r>
    </w:p>
    <w:p w14:paraId="2B02885C">
      <w:pPr>
        <w:keepNext/>
        <w:keepLines/>
        <w:spacing w:before="240" w:beforeLines="100" w:after="120" w:afterLines="50" w:line="360" w:lineRule="auto"/>
        <w:jc w:val="center"/>
        <w:rPr>
          <w:rFonts w:hint="eastAsia" w:hAnsi="宋体"/>
          <w:b/>
          <w:color w:val="auto"/>
          <w:sz w:val="32"/>
          <w:szCs w:val="32"/>
          <w:highlight w:val="none"/>
        </w:rPr>
      </w:pPr>
      <w:r>
        <w:rPr>
          <w:rFonts w:hAnsi="宋体"/>
          <w:b/>
          <w:color w:val="auto"/>
          <w:sz w:val="32"/>
          <w:szCs w:val="32"/>
          <w:highlight w:val="none"/>
        </w:rPr>
        <w:t>六</w:t>
      </w:r>
      <w:r>
        <w:rPr>
          <w:rFonts w:hint="eastAsia" w:hAnsi="宋体"/>
          <w:b/>
          <w:color w:val="auto"/>
          <w:sz w:val="32"/>
          <w:szCs w:val="32"/>
          <w:highlight w:val="none"/>
        </w:rPr>
        <w:t>、成交</w:t>
      </w:r>
      <w:r>
        <w:rPr>
          <w:rFonts w:hAnsi="宋体"/>
          <w:b/>
          <w:color w:val="auto"/>
          <w:sz w:val="32"/>
          <w:szCs w:val="32"/>
          <w:highlight w:val="none"/>
        </w:rPr>
        <w:t>、通知与签约</w:t>
      </w:r>
    </w:p>
    <w:p w14:paraId="1B35EB7E">
      <w:pPr>
        <w:spacing w:line="360" w:lineRule="auto"/>
        <w:outlineLvl w:val="2"/>
        <w:rPr>
          <w:rFonts w:hint="eastAsia" w:hAnsi="宋体"/>
          <w:b/>
          <w:color w:val="auto"/>
          <w:szCs w:val="24"/>
          <w:highlight w:val="none"/>
        </w:rPr>
      </w:pPr>
      <w:r>
        <w:rPr>
          <w:rFonts w:hint="eastAsia" w:hAnsi="宋体"/>
          <w:b/>
          <w:color w:val="auto"/>
          <w:szCs w:val="24"/>
          <w:highlight w:val="none"/>
        </w:rPr>
        <w:t>27．成交程序</w:t>
      </w:r>
    </w:p>
    <w:p w14:paraId="7E9811D8">
      <w:pPr>
        <w:spacing w:line="360" w:lineRule="auto"/>
        <w:ind w:firstLine="480" w:firstLineChars="200"/>
        <w:rPr>
          <w:rFonts w:hint="eastAsia" w:hAnsi="宋体"/>
          <w:color w:val="auto"/>
          <w:szCs w:val="24"/>
          <w:highlight w:val="none"/>
        </w:rPr>
      </w:pPr>
      <w:r>
        <w:rPr>
          <w:rFonts w:hint="eastAsia" w:hAnsi="宋体"/>
          <w:color w:val="auto"/>
          <w:szCs w:val="24"/>
          <w:highlight w:val="none"/>
        </w:rPr>
        <w:t>27.1磋商小组根据评审方法的规定对供应商进行评审排序，推荐1-3名成交候选人，作为评审结果。评审结果由全体磋商小组成员签字确认。</w:t>
      </w:r>
    </w:p>
    <w:p w14:paraId="2AF179D7">
      <w:pPr>
        <w:spacing w:line="360" w:lineRule="auto"/>
        <w:ind w:firstLine="480" w:firstLineChars="200"/>
        <w:rPr>
          <w:rFonts w:hint="eastAsia" w:hAnsi="宋体"/>
          <w:color w:val="auto"/>
          <w:szCs w:val="24"/>
          <w:highlight w:val="none"/>
        </w:rPr>
      </w:pPr>
      <w:r>
        <w:rPr>
          <w:rFonts w:hint="eastAsia" w:hAnsi="宋体"/>
          <w:color w:val="auto"/>
          <w:szCs w:val="24"/>
          <w:highlight w:val="none"/>
        </w:rPr>
        <w:t>27.2采购人根据磋商报告中推荐的成交候选人排列顺序，确定排名第一的为成交供应商。</w:t>
      </w:r>
    </w:p>
    <w:p w14:paraId="0CDBF604">
      <w:pPr>
        <w:spacing w:line="360" w:lineRule="auto"/>
        <w:ind w:firstLine="480" w:firstLineChars="200"/>
        <w:rPr>
          <w:rFonts w:hint="eastAsia" w:hAnsi="宋体"/>
          <w:color w:val="auto"/>
          <w:szCs w:val="24"/>
          <w:highlight w:val="none"/>
        </w:rPr>
      </w:pPr>
      <w:r>
        <w:rPr>
          <w:rFonts w:hint="eastAsia" w:hAnsi="宋体"/>
          <w:color w:val="auto"/>
          <w:szCs w:val="24"/>
          <w:highlight w:val="none"/>
        </w:rPr>
        <w:t>27.3排名第一的成交候选人放弃成交、在规定期限内未能签订合同、因不可抗力不能履行合同、不按照竞争性磋商文件要求提交履约保证金，或者被查实存在影响成交结果的违法行为等情形，不符合成交条件的，采购人可以按照磋商小组提出的成交候选人名单排序依次确定其他成交候选人为成交供应商，也可以重新组织竞争性磋商。</w:t>
      </w:r>
    </w:p>
    <w:p w14:paraId="6D79A0D0">
      <w:pPr>
        <w:spacing w:line="360" w:lineRule="auto"/>
        <w:ind w:firstLine="480" w:firstLineChars="200"/>
        <w:rPr>
          <w:rFonts w:hint="eastAsia" w:hAnsi="宋体"/>
          <w:color w:val="auto"/>
          <w:szCs w:val="24"/>
          <w:highlight w:val="none"/>
        </w:rPr>
      </w:pPr>
      <w:r>
        <w:rPr>
          <w:rFonts w:hint="eastAsia" w:hAnsi="宋体"/>
          <w:color w:val="auto"/>
          <w:szCs w:val="24"/>
          <w:highlight w:val="none"/>
        </w:rPr>
        <w:t>27.4采购人也可以授权磋商小组评审后直接确定成交供应商。</w:t>
      </w:r>
    </w:p>
    <w:p w14:paraId="6E1B2F97">
      <w:pPr>
        <w:spacing w:line="360" w:lineRule="auto"/>
        <w:ind w:firstLine="480" w:firstLineChars="200"/>
        <w:rPr>
          <w:rFonts w:hint="eastAsia" w:hAnsi="宋体"/>
          <w:color w:val="auto"/>
          <w:szCs w:val="24"/>
          <w:highlight w:val="none"/>
        </w:rPr>
      </w:pPr>
      <w:r>
        <w:rPr>
          <w:rFonts w:hint="eastAsia" w:hAnsi="宋体"/>
          <w:color w:val="auto"/>
          <w:szCs w:val="24"/>
          <w:highlight w:val="none"/>
        </w:rPr>
        <w:t>27.5成交供应商确定之后，成交结果将在财政部门指定的政府采购信息发布媒体上公告。</w:t>
      </w:r>
    </w:p>
    <w:p w14:paraId="23FDA094">
      <w:pPr>
        <w:spacing w:line="360" w:lineRule="auto"/>
        <w:ind w:firstLine="480" w:firstLineChars="200"/>
        <w:rPr>
          <w:rFonts w:hint="eastAsia" w:hAnsi="宋体"/>
          <w:color w:val="auto"/>
          <w:szCs w:val="24"/>
          <w:highlight w:val="none"/>
        </w:rPr>
      </w:pPr>
      <w:r>
        <w:rPr>
          <w:rFonts w:hint="eastAsia" w:hAnsi="宋体"/>
          <w:color w:val="auto"/>
          <w:szCs w:val="24"/>
          <w:highlight w:val="none"/>
        </w:rPr>
        <w:t>27.6供应商或者其他利害关系人对评审结果有异议的，应当在法律规定的时间内提出。</w:t>
      </w:r>
    </w:p>
    <w:p w14:paraId="540616D2">
      <w:pPr>
        <w:spacing w:line="360" w:lineRule="auto"/>
        <w:outlineLvl w:val="2"/>
        <w:rPr>
          <w:rFonts w:hint="eastAsia" w:hAnsi="宋体"/>
          <w:b/>
          <w:color w:val="auto"/>
          <w:szCs w:val="24"/>
          <w:highlight w:val="none"/>
        </w:rPr>
      </w:pPr>
      <w:r>
        <w:rPr>
          <w:rFonts w:hint="eastAsia" w:hAnsi="宋体"/>
          <w:b/>
          <w:color w:val="auto"/>
          <w:szCs w:val="24"/>
          <w:highlight w:val="none"/>
        </w:rPr>
        <w:t>28．成交通知</w:t>
      </w:r>
    </w:p>
    <w:p w14:paraId="08A653F4">
      <w:pPr>
        <w:spacing w:line="360" w:lineRule="auto"/>
        <w:ind w:firstLine="480" w:firstLineChars="200"/>
        <w:rPr>
          <w:rFonts w:hint="eastAsia" w:hAnsi="宋体"/>
          <w:color w:val="auto"/>
          <w:szCs w:val="24"/>
          <w:highlight w:val="none"/>
        </w:rPr>
      </w:pPr>
      <w:r>
        <w:rPr>
          <w:rFonts w:hint="eastAsia" w:hAnsi="宋体"/>
          <w:color w:val="auto"/>
          <w:szCs w:val="24"/>
          <w:highlight w:val="none"/>
        </w:rPr>
        <w:t>28.1采购代理机构向成交供应商发出《成交通知书》。</w:t>
      </w:r>
      <w:r>
        <w:rPr>
          <w:rFonts w:hint="eastAsia" w:hAnsi="宋体"/>
          <w:b/>
          <w:bCs/>
          <w:color w:val="auto"/>
          <w:szCs w:val="24"/>
          <w:highlight w:val="none"/>
        </w:rPr>
        <w:t>成交供应商领取成交通知书时须携带法定代表人授权书及加盖单位公章的被授权人身份证复印件</w:t>
      </w:r>
      <w:r>
        <w:rPr>
          <w:rFonts w:hint="eastAsia" w:hAnsi="宋体"/>
          <w:color w:val="auto"/>
          <w:szCs w:val="24"/>
          <w:highlight w:val="none"/>
        </w:rPr>
        <w:t>。</w:t>
      </w:r>
    </w:p>
    <w:p w14:paraId="6FEF6D10">
      <w:pPr>
        <w:spacing w:line="360" w:lineRule="auto"/>
        <w:ind w:firstLine="480" w:firstLineChars="200"/>
        <w:rPr>
          <w:rFonts w:hint="eastAsia" w:hAnsi="宋体"/>
          <w:color w:val="auto"/>
          <w:szCs w:val="24"/>
          <w:highlight w:val="none"/>
        </w:rPr>
      </w:pPr>
      <w:r>
        <w:rPr>
          <w:rFonts w:hint="eastAsia" w:hAnsi="宋体"/>
          <w:color w:val="auto"/>
          <w:szCs w:val="24"/>
          <w:highlight w:val="none"/>
        </w:rPr>
        <w:t>28.2成交通知书对采购人和成交供应商具有同等法律效力。成交通知书发出之后，采购人改变成交结果，或者成交供应商放弃成交，应当承担相应的法律责任。</w:t>
      </w:r>
    </w:p>
    <w:p w14:paraId="4F37EC35">
      <w:pPr>
        <w:spacing w:line="360" w:lineRule="auto"/>
        <w:outlineLvl w:val="2"/>
        <w:rPr>
          <w:rFonts w:hint="eastAsia" w:hAnsi="宋体"/>
          <w:b/>
          <w:color w:val="auto"/>
          <w:szCs w:val="24"/>
          <w:highlight w:val="none"/>
        </w:rPr>
      </w:pPr>
      <w:r>
        <w:rPr>
          <w:rFonts w:hint="eastAsia" w:hAnsi="宋体"/>
          <w:b/>
          <w:color w:val="auto"/>
          <w:szCs w:val="24"/>
          <w:highlight w:val="none"/>
        </w:rPr>
        <w:t>29.采购合同的签订</w:t>
      </w:r>
    </w:p>
    <w:p w14:paraId="2F6D8E96">
      <w:pPr>
        <w:spacing w:line="360" w:lineRule="auto"/>
        <w:ind w:firstLine="480" w:firstLineChars="200"/>
        <w:rPr>
          <w:rFonts w:hint="eastAsia" w:hAnsi="宋体"/>
          <w:color w:val="auto"/>
          <w:szCs w:val="24"/>
          <w:highlight w:val="none"/>
        </w:rPr>
      </w:pPr>
      <w:r>
        <w:rPr>
          <w:rFonts w:hint="eastAsia" w:hAnsi="宋体"/>
          <w:color w:val="auto"/>
          <w:szCs w:val="24"/>
          <w:highlight w:val="none"/>
        </w:rPr>
        <w:t>29.1采购人应当自成交通知书发出之日起</w:t>
      </w:r>
      <w:r>
        <w:rPr>
          <w:rFonts w:hint="eastAsia" w:hAnsi="宋体"/>
          <w:color w:val="auto"/>
          <w:szCs w:val="24"/>
          <w:highlight w:val="none"/>
          <w:lang w:val="en-US" w:eastAsia="zh-CN"/>
        </w:rPr>
        <w:t>三十</w:t>
      </w:r>
      <w:r>
        <w:rPr>
          <w:rFonts w:hint="eastAsia" w:hAnsi="宋体"/>
          <w:color w:val="auto"/>
          <w:szCs w:val="24"/>
          <w:highlight w:val="none"/>
        </w:rPr>
        <w:t>日内，按照竞争性磋商文件和成交供应商竞争性磋商响应文件（包括评审中形成的澄清文件）的约定，与成交供应商签订书面合同。所签订的合同不得对竞争性磋商文件和成交供应商的竞争性磋商响应文件（包括评审中形成的澄清文件）作实质性修改。</w:t>
      </w:r>
    </w:p>
    <w:p w14:paraId="1903E876">
      <w:pPr>
        <w:spacing w:line="360" w:lineRule="auto"/>
        <w:ind w:firstLine="480" w:firstLineChars="200"/>
        <w:rPr>
          <w:rFonts w:hint="eastAsia" w:hAnsi="宋体"/>
          <w:bCs/>
          <w:color w:val="auto"/>
          <w:szCs w:val="24"/>
          <w:highlight w:val="none"/>
        </w:rPr>
      </w:pPr>
      <w:r>
        <w:rPr>
          <w:rFonts w:hint="eastAsia" w:hAnsi="宋体"/>
          <w:bCs/>
          <w:color w:val="auto"/>
          <w:szCs w:val="24"/>
          <w:highlight w:val="none"/>
        </w:rPr>
        <w:t>29.2采购人自政府采购合同签订之日起2个工作日内，将政府采购合同在省级以上人民政府财政部门指定的媒体上公告，但政府采购合同中涉及国家秘密、商业秘密的内容除外。</w:t>
      </w:r>
    </w:p>
    <w:p w14:paraId="45F9B3C9">
      <w:pPr>
        <w:numPr>
          <w:ilvl w:val="0"/>
          <w:numId w:val="5"/>
        </w:numPr>
        <w:spacing w:line="360" w:lineRule="auto"/>
        <w:outlineLvl w:val="2"/>
        <w:rPr>
          <w:rFonts w:hint="eastAsia" w:hAnsi="宋体"/>
          <w:b/>
          <w:color w:val="auto"/>
          <w:szCs w:val="24"/>
          <w:highlight w:val="none"/>
        </w:rPr>
      </w:pPr>
      <w:r>
        <w:rPr>
          <w:rFonts w:hint="eastAsia" w:hAnsi="宋体"/>
          <w:b/>
          <w:color w:val="auto"/>
          <w:szCs w:val="24"/>
          <w:highlight w:val="none"/>
        </w:rPr>
        <w:t>招标代理服务费</w:t>
      </w:r>
    </w:p>
    <w:p w14:paraId="1772F359">
      <w:pPr>
        <w:spacing w:line="360" w:lineRule="auto"/>
        <w:ind w:firstLine="480" w:firstLineChars="200"/>
        <w:rPr>
          <w:color w:val="auto"/>
          <w:highlight w:val="none"/>
        </w:rPr>
      </w:pPr>
      <w:r>
        <w:rPr>
          <w:rFonts w:hint="eastAsia"/>
          <w:color w:val="auto"/>
          <w:highlight w:val="none"/>
        </w:rPr>
        <w:t>详见“供应商须知前附表”。</w:t>
      </w:r>
    </w:p>
    <w:p w14:paraId="2FEE6231">
      <w:pPr>
        <w:spacing w:line="360" w:lineRule="auto"/>
        <w:outlineLvl w:val="2"/>
        <w:rPr>
          <w:rFonts w:hint="eastAsia" w:hAnsi="宋体"/>
          <w:b/>
          <w:color w:val="auto"/>
          <w:szCs w:val="24"/>
          <w:highlight w:val="none"/>
        </w:rPr>
      </w:pPr>
      <w:r>
        <w:rPr>
          <w:rFonts w:hint="eastAsia" w:hAnsi="宋体"/>
          <w:b/>
          <w:color w:val="auto"/>
          <w:szCs w:val="24"/>
          <w:highlight w:val="none"/>
        </w:rPr>
        <w:t>31.合同鉴证费：</w:t>
      </w:r>
      <w:r>
        <w:rPr>
          <w:rFonts w:hint="eastAsia" w:hAnsi="宋体"/>
          <w:bCs/>
          <w:color w:val="auto"/>
          <w:szCs w:val="24"/>
          <w:highlight w:val="none"/>
        </w:rPr>
        <w:t>本项目不收取合同鉴证费。</w:t>
      </w:r>
    </w:p>
    <w:p w14:paraId="6739C8DE">
      <w:pPr>
        <w:spacing w:line="360" w:lineRule="auto"/>
        <w:outlineLvl w:val="2"/>
        <w:rPr>
          <w:rFonts w:hint="eastAsia" w:hAnsi="宋体"/>
          <w:b/>
          <w:color w:val="auto"/>
          <w:szCs w:val="24"/>
          <w:highlight w:val="none"/>
        </w:rPr>
      </w:pPr>
      <w:r>
        <w:rPr>
          <w:rFonts w:hint="eastAsia" w:hAnsi="宋体"/>
          <w:b/>
          <w:color w:val="auto"/>
          <w:szCs w:val="24"/>
          <w:highlight w:val="none"/>
        </w:rPr>
        <w:t>32.履约验收</w:t>
      </w:r>
    </w:p>
    <w:p w14:paraId="2EDBC909">
      <w:pPr>
        <w:spacing w:line="360" w:lineRule="auto"/>
        <w:ind w:firstLine="480" w:firstLineChars="200"/>
        <w:rPr>
          <w:rFonts w:hint="eastAsia" w:hAnsi="宋体"/>
          <w:color w:val="auto"/>
          <w:szCs w:val="24"/>
          <w:highlight w:val="none"/>
        </w:rPr>
      </w:pPr>
      <w:r>
        <w:rPr>
          <w:rFonts w:hint="eastAsia" w:hAnsi="宋体"/>
          <w:color w:val="auto"/>
          <w:szCs w:val="24"/>
          <w:highlight w:val="none"/>
        </w:rPr>
        <w:t>32.1政府采购合同的履行、违约责任和解决争议的方法等适用《中华人民共和国民法典》。采购人按照政府采购合同规定的技术、服务、安全标准组织对供应商履约情况进行验收，并出具验收书。</w:t>
      </w:r>
    </w:p>
    <w:p w14:paraId="40BC36AF">
      <w:pPr>
        <w:spacing w:line="360" w:lineRule="auto"/>
        <w:ind w:firstLine="480" w:firstLineChars="200"/>
        <w:rPr>
          <w:color w:val="auto"/>
          <w:highlight w:val="none"/>
        </w:rPr>
      </w:pPr>
      <w:r>
        <w:rPr>
          <w:rFonts w:hint="eastAsia" w:hAnsi="宋体"/>
          <w:color w:val="auto"/>
          <w:szCs w:val="24"/>
          <w:highlight w:val="none"/>
        </w:rPr>
        <w:t>32.2履约验收的费用及要求详见“供应商须知前附表”。</w:t>
      </w:r>
    </w:p>
    <w:p w14:paraId="0F8ABE4E">
      <w:pPr>
        <w:spacing w:line="360" w:lineRule="auto"/>
        <w:outlineLvl w:val="2"/>
        <w:rPr>
          <w:rFonts w:hint="eastAsia" w:hAnsi="宋体" w:cs="宋体"/>
          <w:b/>
          <w:bCs/>
          <w:color w:val="auto"/>
          <w:szCs w:val="24"/>
          <w:highlight w:val="none"/>
        </w:rPr>
      </w:pPr>
      <w:r>
        <w:rPr>
          <w:rFonts w:hint="eastAsia" w:hAnsi="宋体" w:cs="宋体"/>
          <w:b/>
          <w:bCs/>
          <w:color w:val="auto"/>
          <w:szCs w:val="24"/>
          <w:highlight w:val="none"/>
        </w:rPr>
        <w:t>33.质疑</w:t>
      </w:r>
    </w:p>
    <w:p w14:paraId="58B36AEF">
      <w:pPr>
        <w:spacing w:line="360" w:lineRule="auto"/>
        <w:ind w:right="12" w:firstLine="480"/>
        <w:rPr>
          <w:rFonts w:hint="eastAsia" w:hAnsi="宋体" w:cs="宋体"/>
          <w:color w:val="auto"/>
          <w:szCs w:val="24"/>
          <w:highlight w:val="none"/>
        </w:rPr>
      </w:pPr>
      <w:r>
        <w:rPr>
          <w:rFonts w:hint="eastAsia" w:hAnsi="宋体" w:cs="宋体"/>
          <w:color w:val="auto"/>
          <w:szCs w:val="24"/>
          <w:highlight w:val="none"/>
        </w:rPr>
        <w:t>33.1供应商认为磋商文件、采购过程、成交结果使自己的权益受到损害的，可以在知道或者应知其权益受到损害之日起7个工作日内，以书面形式向采购人、采购代理机构提出质疑。</w:t>
      </w:r>
    </w:p>
    <w:p w14:paraId="761A404B">
      <w:pPr>
        <w:spacing w:line="360" w:lineRule="auto"/>
        <w:ind w:right="12" w:firstLine="480"/>
        <w:rPr>
          <w:rFonts w:hint="eastAsia" w:hAnsi="宋体" w:cs="宋体"/>
          <w:color w:val="auto"/>
          <w:szCs w:val="24"/>
          <w:highlight w:val="none"/>
        </w:rPr>
      </w:pPr>
      <w:r>
        <w:rPr>
          <w:rFonts w:hint="eastAsia" w:hAnsi="宋体" w:cs="宋体"/>
          <w:color w:val="auto"/>
          <w:szCs w:val="24"/>
          <w:highlight w:val="none"/>
        </w:rPr>
        <w:t>33.2供应商必须在法定质疑期内一次性提出针对同一采购程序环节的质疑，在此之后提出的质疑均为无效，采购代理机构不予受理。</w:t>
      </w:r>
    </w:p>
    <w:p w14:paraId="6821658B">
      <w:pPr>
        <w:spacing w:line="360" w:lineRule="auto"/>
        <w:ind w:right="12" w:firstLine="480" w:firstLineChars="200"/>
        <w:rPr>
          <w:rFonts w:hint="eastAsia" w:hAnsi="宋体" w:cs="宋体"/>
          <w:color w:val="auto"/>
          <w:szCs w:val="24"/>
          <w:highlight w:val="none"/>
        </w:rPr>
      </w:pPr>
      <w:r>
        <w:rPr>
          <w:rFonts w:hint="eastAsia" w:hAnsi="宋体" w:cs="宋体"/>
          <w:color w:val="auto"/>
          <w:szCs w:val="24"/>
          <w:highlight w:val="none"/>
        </w:rPr>
        <w:t>33.3供应商可以委托代理人进行质疑。代理人提出质疑的，应当提交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64417FB4">
      <w:pPr>
        <w:spacing w:line="360" w:lineRule="auto"/>
        <w:ind w:right="12" w:firstLine="480" w:firstLineChars="200"/>
        <w:rPr>
          <w:rStyle w:val="51"/>
          <w:rFonts w:hint="eastAsia" w:hAnsi="宋体" w:cs="宋体"/>
          <w:b w:val="0"/>
          <w:bCs w:val="0"/>
          <w:color w:val="auto"/>
          <w:szCs w:val="24"/>
          <w:highlight w:val="none"/>
          <w:shd w:val="clear" w:color="auto" w:fill="FFFFFF"/>
        </w:rPr>
      </w:pPr>
      <w:r>
        <w:rPr>
          <w:rFonts w:hint="eastAsia" w:hAnsi="宋体" w:cs="宋体"/>
          <w:color w:val="auto"/>
          <w:szCs w:val="24"/>
          <w:highlight w:val="none"/>
        </w:rPr>
        <w:t>33.4以联合体形式参</w:t>
      </w:r>
      <w:r>
        <w:rPr>
          <w:rStyle w:val="51"/>
          <w:rFonts w:hint="eastAsia" w:hAnsi="宋体" w:cs="宋体"/>
          <w:b w:val="0"/>
          <w:bCs w:val="0"/>
          <w:color w:val="auto"/>
          <w:szCs w:val="24"/>
          <w:highlight w:val="none"/>
          <w:shd w:val="clear" w:color="auto" w:fill="FFFFFF"/>
        </w:rPr>
        <w:t>加政府采购活动的，其质疑应当由组成联合体的所有供应商共同提出。</w:t>
      </w:r>
    </w:p>
    <w:p w14:paraId="3FCD000C">
      <w:pPr>
        <w:spacing w:line="360" w:lineRule="auto"/>
        <w:ind w:right="12" w:firstLine="480" w:firstLineChars="200"/>
        <w:rPr>
          <w:rFonts w:hint="eastAsia" w:hAnsi="宋体" w:cs="宋体"/>
          <w:color w:val="auto"/>
          <w:szCs w:val="24"/>
          <w:highlight w:val="none"/>
        </w:rPr>
      </w:pPr>
      <w:r>
        <w:rPr>
          <w:rFonts w:hint="eastAsia" w:hAnsi="宋体" w:cs="宋体"/>
          <w:color w:val="auto"/>
          <w:szCs w:val="24"/>
          <w:highlight w:val="none"/>
        </w:rPr>
        <w:t>33.5供应商提出质疑应当提交质疑函和必要的证明材料。质疑函应当包括下列内容：</w:t>
      </w:r>
    </w:p>
    <w:p w14:paraId="3687962A">
      <w:pPr>
        <w:spacing w:line="360" w:lineRule="auto"/>
        <w:ind w:right="12" w:firstLine="480" w:firstLineChars="200"/>
        <w:rPr>
          <w:rFonts w:hint="eastAsia" w:hAnsi="宋体" w:cs="宋体"/>
          <w:color w:val="auto"/>
          <w:szCs w:val="24"/>
          <w:highlight w:val="none"/>
        </w:rPr>
      </w:pPr>
      <w:r>
        <w:rPr>
          <w:rFonts w:hint="eastAsia" w:hAnsi="宋体" w:cs="宋体"/>
          <w:color w:val="auto"/>
          <w:szCs w:val="24"/>
          <w:highlight w:val="none"/>
        </w:rPr>
        <w:t>33.5.1供应商的姓名或者名称、地址、邮编、联系人及联系电话；</w:t>
      </w:r>
    </w:p>
    <w:p w14:paraId="0A989FE1">
      <w:pPr>
        <w:spacing w:line="360" w:lineRule="auto"/>
        <w:ind w:right="12" w:firstLine="480" w:firstLineChars="200"/>
        <w:rPr>
          <w:rFonts w:hint="eastAsia" w:hAnsi="宋体" w:cs="宋体"/>
          <w:color w:val="auto"/>
          <w:szCs w:val="24"/>
          <w:highlight w:val="none"/>
        </w:rPr>
      </w:pPr>
      <w:r>
        <w:rPr>
          <w:rFonts w:hint="eastAsia" w:hAnsi="宋体" w:cs="宋体"/>
          <w:color w:val="auto"/>
          <w:szCs w:val="24"/>
          <w:highlight w:val="none"/>
        </w:rPr>
        <w:t>33.5.2质疑项目的名称、编号；</w:t>
      </w:r>
    </w:p>
    <w:p w14:paraId="1C3A2D51">
      <w:pPr>
        <w:spacing w:line="360" w:lineRule="auto"/>
        <w:ind w:right="12" w:firstLine="480" w:firstLineChars="200"/>
        <w:rPr>
          <w:rFonts w:hint="eastAsia" w:hAnsi="宋体" w:cs="宋体"/>
          <w:color w:val="auto"/>
          <w:szCs w:val="24"/>
          <w:highlight w:val="none"/>
        </w:rPr>
      </w:pPr>
      <w:r>
        <w:rPr>
          <w:rFonts w:hint="eastAsia" w:hAnsi="宋体" w:cs="宋体"/>
          <w:color w:val="auto"/>
          <w:szCs w:val="24"/>
          <w:highlight w:val="none"/>
        </w:rPr>
        <w:t>33.5.3具体、明确的质疑事项和与质疑事项相关的请求；</w:t>
      </w:r>
    </w:p>
    <w:p w14:paraId="7EE94733">
      <w:pPr>
        <w:spacing w:line="360" w:lineRule="auto"/>
        <w:ind w:right="12" w:firstLine="480" w:firstLineChars="200"/>
        <w:rPr>
          <w:rFonts w:hint="eastAsia" w:hAnsi="宋体" w:cs="宋体"/>
          <w:color w:val="auto"/>
          <w:szCs w:val="24"/>
          <w:highlight w:val="none"/>
        </w:rPr>
      </w:pPr>
      <w:r>
        <w:rPr>
          <w:rFonts w:hint="eastAsia" w:hAnsi="宋体" w:cs="宋体"/>
          <w:color w:val="auto"/>
          <w:szCs w:val="24"/>
          <w:highlight w:val="none"/>
        </w:rPr>
        <w:t>33.5.4事实依据；</w:t>
      </w:r>
    </w:p>
    <w:p w14:paraId="565D7A5E">
      <w:pPr>
        <w:spacing w:line="360" w:lineRule="auto"/>
        <w:ind w:right="12" w:firstLine="480" w:firstLineChars="200"/>
        <w:rPr>
          <w:rFonts w:hint="eastAsia" w:hAnsi="宋体" w:cs="宋体"/>
          <w:color w:val="auto"/>
          <w:szCs w:val="24"/>
          <w:highlight w:val="none"/>
        </w:rPr>
      </w:pPr>
      <w:r>
        <w:rPr>
          <w:rFonts w:hint="eastAsia" w:hAnsi="宋体" w:cs="宋体"/>
          <w:color w:val="auto"/>
          <w:szCs w:val="24"/>
          <w:highlight w:val="none"/>
        </w:rPr>
        <w:t>33.5.5必要的法律依据；</w:t>
      </w:r>
    </w:p>
    <w:p w14:paraId="5B2C5851">
      <w:pPr>
        <w:spacing w:line="360" w:lineRule="auto"/>
        <w:ind w:right="12" w:firstLine="480" w:firstLineChars="200"/>
        <w:rPr>
          <w:rStyle w:val="51"/>
          <w:rFonts w:hint="eastAsia" w:hAnsi="宋体" w:cs="宋体"/>
          <w:bCs w:val="0"/>
          <w:color w:val="auto"/>
          <w:szCs w:val="24"/>
          <w:highlight w:val="none"/>
          <w:shd w:val="clear" w:color="auto" w:fill="FFFFFF"/>
        </w:rPr>
      </w:pPr>
      <w:r>
        <w:rPr>
          <w:rFonts w:hint="eastAsia" w:hAnsi="宋体" w:cs="宋体"/>
          <w:color w:val="auto"/>
          <w:szCs w:val="24"/>
          <w:highlight w:val="none"/>
        </w:rPr>
        <w:t>33.5.6提出质疑的日期。</w:t>
      </w:r>
    </w:p>
    <w:p w14:paraId="4F44F20B">
      <w:pPr>
        <w:widowControl/>
        <w:spacing w:line="360" w:lineRule="auto"/>
        <w:ind w:firstLine="480" w:firstLineChars="200"/>
        <w:rPr>
          <w:rFonts w:hint="eastAsia" w:hAnsi="宋体"/>
          <w:color w:val="auto"/>
          <w:highlight w:val="none"/>
        </w:rPr>
      </w:pPr>
      <w:r>
        <w:rPr>
          <w:rFonts w:hint="eastAsia" w:hAnsi="宋体"/>
          <w:color w:val="auto"/>
          <w:highlight w:val="none"/>
        </w:rPr>
        <w:t>33.6有下列情形之一的，属于无效质疑，采购代理机构和采购人不予受理：</w:t>
      </w:r>
    </w:p>
    <w:p w14:paraId="230668F0">
      <w:pPr>
        <w:widowControl/>
        <w:spacing w:line="360" w:lineRule="auto"/>
        <w:ind w:firstLine="480" w:firstLineChars="200"/>
        <w:rPr>
          <w:rFonts w:hint="eastAsia" w:hAnsi="宋体"/>
          <w:color w:val="auto"/>
          <w:highlight w:val="none"/>
        </w:rPr>
      </w:pPr>
      <w:r>
        <w:rPr>
          <w:rFonts w:hint="eastAsia" w:hAnsi="宋体"/>
          <w:color w:val="auto"/>
          <w:highlight w:val="none"/>
        </w:rPr>
        <w:t>33.6.1质疑供应商不是参与本次政府采购项目的供应商；</w:t>
      </w:r>
    </w:p>
    <w:p w14:paraId="47F489F7">
      <w:pPr>
        <w:widowControl/>
        <w:spacing w:line="360" w:lineRule="auto"/>
        <w:ind w:firstLine="480" w:firstLineChars="200"/>
        <w:rPr>
          <w:rFonts w:hint="eastAsia" w:hAnsi="宋体"/>
          <w:color w:val="auto"/>
          <w:highlight w:val="none"/>
        </w:rPr>
      </w:pPr>
      <w:r>
        <w:rPr>
          <w:rFonts w:hint="eastAsia" w:hAnsi="宋体"/>
          <w:color w:val="auto"/>
          <w:highlight w:val="none"/>
        </w:rPr>
        <w:t>33.6.2质疑供应商与质疑事项不存在利害关系的；</w:t>
      </w:r>
    </w:p>
    <w:p w14:paraId="0B5DAD36">
      <w:pPr>
        <w:widowControl/>
        <w:spacing w:line="360" w:lineRule="auto"/>
        <w:ind w:firstLine="480" w:firstLineChars="200"/>
        <w:rPr>
          <w:rFonts w:hint="eastAsia" w:hAnsi="宋体"/>
          <w:color w:val="auto"/>
          <w:highlight w:val="none"/>
        </w:rPr>
      </w:pPr>
      <w:r>
        <w:rPr>
          <w:rFonts w:hint="eastAsia" w:hAnsi="宋体"/>
          <w:color w:val="auto"/>
          <w:highlight w:val="none"/>
        </w:rPr>
        <w:t>33.6.3未在法定期限内提出质疑的；</w:t>
      </w:r>
    </w:p>
    <w:p w14:paraId="23CABA59">
      <w:pPr>
        <w:widowControl/>
        <w:spacing w:line="360" w:lineRule="auto"/>
        <w:ind w:firstLine="480" w:firstLineChars="200"/>
        <w:rPr>
          <w:rFonts w:hint="eastAsia" w:hAnsi="宋体"/>
          <w:color w:val="auto"/>
          <w:highlight w:val="none"/>
        </w:rPr>
      </w:pPr>
      <w:r>
        <w:rPr>
          <w:rFonts w:hint="eastAsia" w:hAnsi="宋体"/>
          <w:color w:val="auto"/>
          <w:highlight w:val="none"/>
        </w:rPr>
        <w:t>33.6.4质疑未以书面形式提出，或质疑函主要内容构成不完整的；</w:t>
      </w:r>
    </w:p>
    <w:p w14:paraId="335BB7FB">
      <w:pPr>
        <w:widowControl/>
        <w:spacing w:line="360" w:lineRule="auto"/>
        <w:ind w:firstLine="480" w:firstLineChars="200"/>
        <w:rPr>
          <w:rFonts w:hint="eastAsia" w:hAnsi="宋体"/>
          <w:color w:val="auto"/>
          <w:highlight w:val="none"/>
        </w:rPr>
      </w:pPr>
      <w:r>
        <w:rPr>
          <w:rFonts w:hint="eastAsia" w:hAnsi="宋体"/>
          <w:color w:val="auto"/>
          <w:highlight w:val="none"/>
        </w:rPr>
        <w:t>33.6.5应当提交授权书而未提交的；</w:t>
      </w:r>
    </w:p>
    <w:p w14:paraId="60ADF53E">
      <w:pPr>
        <w:widowControl/>
        <w:spacing w:line="360" w:lineRule="auto"/>
        <w:ind w:firstLine="480" w:firstLineChars="200"/>
        <w:rPr>
          <w:rFonts w:hint="eastAsia" w:hAnsi="宋体"/>
          <w:color w:val="auto"/>
          <w:highlight w:val="none"/>
        </w:rPr>
      </w:pPr>
      <w:r>
        <w:rPr>
          <w:rFonts w:hint="eastAsia" w:hAnsi="宋体"/>
          <w:color w:val="auto"/>
          <w:highlight w:val="none"/>
        </w:rPr>
        <w:t>33.6.6以非法手段取得证据、材料的；</w:t>
      </w:r>
    </w:p>
    <w:p w14:paraId="0CA63C4B">
      <w:pPr>
        <w:widowControl/>
        <w:spacing w:line="360" w:lineRule="auto"/>
        <w:ind w:firstLine="480" w:firstLineChars="200"/>
        <w:rPr>
          <w:rFonts w:hint="eastAsia" w:hAnsi="宋体"/>
          <w:color w:val="auto"/>
          <w:highlight w:val="none"/>
        </w:rPr>
      </w:pPr>
      <w:r>
        <w:rPr>
          <w:rFonts w:hint="eastAsia" w:hAnsi="宋体"/>
          <w:color w:val="auto"/>
          <w:highlight w:val="none"/>
        </w:rPr>
        <w:t>33.6.7质疑答复后，同一质疑人就同一事项或同一采购程序环节再次提出质疑的；</w:t>
      </w:r>
    </w:p>
    <w:p w14:paraId="6063CAE2">
      <w:pPr>
        <w:widowControl/>
        <w:spacing w:line="360" w:lineRule="auto"/>
        <w:ind w:firstLine="480" w:firstLineChars="200"/>
        <w:rPr>
          <w:rStyle w:val="51"/>
          <w:rFonts w:hint="eastAsia" w:hAnsi="宋体" w:cs="宋体"/>
          <w:bCs w:val="0"/>
          <w:color w:val="auto"/>
          <w:szCs w:val="24"/>
          <w:highlight w:val="none"/>
          <w:shd w:val="clear" w:color="auto" w:fill="FFFFFF"/>
        </w:rPr>
      </w:pPr>
      <w:r>
        <w:rPr>
          <w:rFonts w:hint="eastAsia" w:hAnsi="宋体"/>
          <w:color w:val="auto"/>
          <w:highlight w:val="none"/>
        </w:rPr>
        <w:t>33.6.8不符合法律、法规、规章和政府采购监管机构规定的其他条件的。</w:t>
      </w:r>
    </w:p>
    <w:p w14:paraId="6F6B1E6F">
      <w:pPr>
        <w:spacing w:line="360" w:lineRule="auto"/>
        <w:ind w:right="12"/>
        <w:rPr>
          <w:rFonts w:hint="eastAsia" w:hAnsi="宋体" w:cs="宋体"/>
          <w:color w:val="auto"/>
          <w:szCs w:val="24"/>
          <w:highlight w:val="none"/>
        </w:rPr>
      </w:pPr>
      <w:r>
        <w:rPr>
          <w:rFonts w:hint="eastAsia" w:hAnsi="宋体" w:cs="宋体"/>
          <w:color w:val="auto"/>
          <w:szCs w:val="24"/>
          <w:highlight w:val="none"/>
        </w:rPr>
        <w:t xml:space="preserve">    33.7质疑答复</w:t>
      </w:r>
    </w:p>
    <w:p w14:paraId="7B7B7C76">
      <w:pPr>
        <w:pStyle w:val="184"/>
        <w:spacing w:line="360" w:lineRule="auto"/>
        <w:ind w:firstLine="480"/>
        <w:jc w:val="left"/>
        <w:rPr>
          <w:rFonts w:hint="eastAsia" w:hAnsi="宋体" w:cs="宋体"/>
          <w:color w:val="auto"/>
          <w:szCs w:val="24"/>
          <w:highlight w:val="none"/>
        </w:rPr>
      </w:pPr>
      <w:r>
        <w:rPr>
          <w:rFonts w:hint="eastAsia" w:hAnsi="宋体" w:cs="宋体"/>
          <w:color w:val="auto"/>
          <w:szCs w:val="24"/>
          <w:highlight w:val="none"/>
        </w:rPr>
        <w:t>33.7.1采购人或采购代理机构在收到质疑函后7个工作日内作出答复，并以书面形式通知质疑供应商和其他有关供应商。</w:t>
      </w:r>
    </w:p>
    <w:p w14:paraId="4B62A9B0">
      <w:pPr>
        <w:pStyle w:val="184"/>
        <w:spacing w:line="360" w:lineRule="auto"/>
        <w:ind w:firstLine="480" w:firstLineChars="0"/>
        <w:jc w:val="left"/>
        <w:rPr>
          <w:rFonts w:hint="eastAsia" w:hAnsi="宋体" w:cs="宋体"/>
          <w:color w:val="auto"/>
          <w:szCs w:val="24"/>
          <w:highlight w:val="none"/>
        </w:rPr>
      </w:pPr>
      <w:r>
        <w:rPr>
          <w:rFonts w:hint="eastAsia"/>
          <w:color w:val="auto"/>
          <w:szCs w:val="24"/>
          <w:highlight w:val="none"/>
        </w:rPr>
        <w:t>33.7.2质疑供应商对采购人、采购代理机构的答复不满意，或者采购人、采购代理机构未在规定时间内作出答复的，可以在答复期满后15个工作日内向</w:t>
      </w:r>
      <w:r>
        <w:rPr>
          <w:rFonts w:hint="eastAsia" w:hAnsi="宋体" w:cs="宋体"/>
          <w:b/>
          <w:bCs/>
          <w:color w:val="auto"/>
          <w:szCs w:val="24"/>
          <w:highlight w:val="none"/>
        </w:rPr>
        <w:t>同级人民政府财政部门</w:t>
      </w:r>
      <w:r>
        <w:rPr>
          <w:rFonts w:hint="eastAsia"/>
          <w:color w:val="auto"/>
          <w:szCs w:val="24"/>
          <w:highlight w:val="none"/>
        </w:rPr>
        <w:t>提起投诉。</w:t>
      </w:r>
    </w:p>
    <w:p w14:paraId="2314914B">
      <w:pPr>
        <w:pStyle w:val="184"/>
        <w:spacing w:line="360" w:lineRule="auto"/>
        <w:ind w:firstLine="480" w:firstLineChars="0"/>
        <w:jc w:val="left"/>
        <w:rPr>
          <w:rFonts w:hint="eastAsia" w:hAnsi="宋体" w:cs="宋体"/>
          <w:color w:val="auto"/>
          <w:szCs w:val="24"/>
          <w:highlight w:val="none"/>
        </w:rPr>
      </w:pPr>
      <w:r>
        <w:rPr>
          <w:rFonts w:hint="eastAsia" w:hAnsi="宋体" w:cs="宋体"/>
          <w:color w:val="auto"/>
          <w:szCs w:val="24"/>
          <w:highlight w:val="none"/>
        </w:rPr>
        <w:t>33.8其他需要说明的事项</w:t>
      </w:r>
    </w:p>
    <w:p w14:paraId="6716A13E">
      <w:pPr>
        <w:pStyle w:val="184"/>
        <w:spacing w:line="360" w:lineRule="auto"/>
        <w:ind w:firstLine="480" w:firstLineChars="0"/>
        <w:jc w:val="left"/>
        <w:rPr>
          <w:rFonts w:hint="eastAsia" w:hAnsi="宋体" w:cs="宋体"/>
          <w:color w:val="auto"/>
          <w:szCs w:val="24"/>
          <w:highlight w:val="none"/>
        </w:rPr>
      </w:pPr>
      <w:r>
        <w:rPr>
          <w:rFonts w:hint="eastAsia" w:hAnsi="宋体" w:cs="宋体"/>
          <w:color w:val="auto"/>
          <w:szCs w:val="24"/>
          <w:highlight w:val="none"/>
        </w:rPr>
        <w:t>33.8.1质疑函须按财政部《质疑函范本》给定的格式进行填写，范本下载详见〔财政部国库司（gks.mof.gov.cn）〕网站〖首页·政府采购管理〗栏目中的《政府采购供应商质疑函范本》。《政府采购供应商质疑函范本》链接地址：</w:t>
      </w:r>
    </w:p>
    <w:p w14:paraId="6A34ADCC">
      <w:pPr>
        <w:pStyle w:val="184"/>
        <w:spacing w:line="360" w:lineRule="auto"/>
        <w:ind w:firstLine="480" w:firstLineChars="0"/>
        <w:jc w:val="left"/>
        <w:rPr>
          <w:rFonts w:hint="eastAsia" w:hAnsi="宋体" w:cs="宋体"/>
          <w:color w:val="auto"/>
          <w:szCs w:val="24"/>
          <w:highlight w:val="none"/>
        </w:rPr>
      </w:pPr>
      <w:r>
        <w:rPr>
          <w:rFonts w:hint="eastAsia" w:hAnsi="宋体" w:cs="宋体"/>
          <w:color w:val="auto"/>
          <w:szCs w:val="24"/>
          <w:highlight w:val="none"/>
        </w:rPr>
        <w:t>http://gks.mof.gov.cn/ztztz/zhengfucaigouguanli/201802/t20180201_2804589.htm</w:t>
      </w:r>
    </w:p>
    <w:p w14:paraId="01FC68FE">
      <w:pPr>
        <w:pStyle w:val="184"/>
        <w:spacing w:line="360" w:lineRule="auto"/>
        <w:ind w:firstLine="480" w:firstLineChars="0"/>
        <w:jc w:val="left"/>
        <w:rPr>
          <w:rFonts w:hint="eastAsia" w:hAnsi="宋体" w:cs="宋体"/>
          <w:color w:val="auto"/>
          <w:szCs w:val="24"/>
          <w:highlight w:val="none"/>
        </w:rPr>
      </w:pPr>
      <w:r>
        <w:rPr>
          <w:rFonts w:hint="eastAsia" w:hAnsi="宋体" w:cs="宋体"/>
          <w:color w:val="auto"/>
          <w:szCs w:val="24"/>
          <w:highlight w:val="none"/>
        </w:rPr>
        <w:t>33.8.2接收质疑函的方式：书面形式</w:t>
      </w:r>
    </w:p>
    <w:p w14:paraId="4B5491BE">
      <w:pPr>
        <w:pStyle w:val="184"/>
        <w:spacing w:line="360" w:lineRule="auto"/>
        <w:ind w:firstLine="480" w:firstLineChars="0"/>
        <w:jc w:val="left"/>
        <w:rPr>
          <w:rFonts w:hint="eastAsia" w:hAnsi="宋体" w:cs="宋体"/>
          <w:color w:val="auto"/>
          <w:szCs w:val="24"/>
          <w:highlight w:val="none"/>
        </w:rPr>
      </w:pPr>
      <w:r>
        <w:rPr>
          <w:rFonts w:hint="eastAsia" w:hAnsi="宋体" w:cs="宋体"/>
          <w:color w:val="auto"/>
          <w:szCs w:val="24"/>
          <w:highlight w:val="none"/>
        </w:rPr>
        <w:t>33.8.3联系部门：</w:t>
      </w:r>
      <w:r>
        <w:rPr>
          <w:rFonts w:hint="eastAsia" w:hAnsi="宋体" w:cs="仿宋"/>
          <w:color w:val="auto"/>
          <w:szCs w:val="24"/>
          <w:highlight w:val="none"/>
          <w:lang w:eastAsia="zh-CN"/>
        </w:rPr>
        <w:t>致君项目管理有限公司</w:t>
      </w:r>
      <w:r>
        <w:rPr>
          <w:rFonts w:hint="eastAsia" w:hAnsi="宋体" w:cs="仿宋"/>
          <w:color w:val="auto"/>
          <w:szCs w:val="24"/>
          <w:highlight w:val="none"/>
        </w:rPr>
        <w:t>前台</w:t>
      </w:r>
    </w:p>
    <w:p w14:paraId="06680C15">
      <w:pPr>
        <w:pStyle w:val="184"/>
        <w:spacing w:line="360" w:lineRule="auto"/>
        <w:ind w:firstLine="480" w:firstLineChars="0"/>
        <w:jc w:val="left"/>
        <w:rPr>
          <w:rFonts w:hint="eastAsia" w:hAnsi="宋体" w:cs="宋体"/>
          <w:color w:val="auto"/>
          <w:szCs w:val="24"/>
          <w:highlight w:val="none"/>
        </w:rPr>
      </w:pPr>
      <w:r>
        <w:rPr>
          <w:rFonts w:hint="eastAsia" w:hAnsi="宋体" w:cs="宋体"/>
          <w:color w:val="auto"/>
          <w:szCs w:val="24"/>
          <w:highlight w:val="none"/>
        </w:rPr>
        <w:t>33.8.4联系电话：见供应商须知前附表</w:t>
      </w:r>
    </w:p>
    <w:p w14:paraId="60A434E1">
      <w:pPr>
        <w:spacing w:line="360" w:lineRule="auto"/>
        <w:ind w:firstLine="480" w:firstLineChars="200"/>
        <w:jc w:val="left"/>
        <w:outlineLvl w:val="2"/>
        <w:rPr>
          <w:rFonts w:hint="eastAsia" w:hAnsi="宋体"/>
          <w:color w:val="auto"/>
          <w:szCs w:val="24"/>
          <w:highlight w:val="none"/>
        </w:rPr>
      </w:pPr>
      <w:r>
        <w:rPr>
          <w:rFonts w:hint="eastAsia" w:hAnsi="宋体" w:cs="宋体"/>
          <w:color w:val="auto"/>
          <w:szCs w:val="24"/>
          <w:highlight w:val="none"/>
        </w:rPr>
        <w:t>33.8.5通讯地址：</w:t>
      </w:r>
      <w:r>
        <w:rPr>
          <w:rFonts w:hint="eastAsia" w:ascii="宋体" w:hAnsi="宋体"/>
          <w:sz w:val="24"/>
          <w:highlight w:val="none"/>
          <w:lang w:eastAsia="zh-CN"/>
        </w:rPr>
        <w:t>西安经济技术开发区文景广场C座18层</w:t>
      </w:r>
    </w:p>
    <w:p w14:paraId="168D7EDF">
      <w:pPr>
        <w:spacing w:line="360" w:lineRule="auto"/>
        <w:jc w:val="left"/>
        <w:outlineLvl w:val="2"/>
        <w:rPr>
          <w:rFonts w:hint="eastAsia" w:hAnsi="宋体" w:cs="宋体"/>
          <w:b/>
          <w:bCs/>
          <w:color w:val="auto"/>
          <w:szCs w:val="24"/>
          <w:highlight w:val="none"/>
        </w:rPr>
      </w:pPr>
      <w:r>
        <w:rPr>
          <w:rFonts w:hint="eastAsia" w:hAnsi="宋体" w:cs="宋体"/>
          <w:b/>
          <w:bCs/>
          <w:color w:val="auto"/>
          <w:szCs w:val="24"/>
          <w:highlight w:val="none"/>
        </w:rPr>
        <w:t>34.其他</w:t>
      </w:r>
    </w:p>
    <w:p w14:paraId="4D48F067">
      <w:pPr>
        <w:spacing w:line="360" w:lineRule="auto"/>
        <w:ind w:firstLine="480" w:firstLineChars="200"/>
        <w:jc w:val="left"/>
        <w:rPr>
          <w:rFonts w:hint="eastAsia" w:hAnsi="宋体"/>
          <w:color w:val="auto"/>
          <w:szCs w:val="24"/>
          <w:highlight w:val="none"/>
        </w:rPr>
      </w:pPr>
      <w:r>
        <w:rPr>
          <w:rFonts w:hint="eastAsia" w:hAnsi="宋体"/>
          <w:color w:val="auto"/>
          <w:szCs w:val="24"/>
          <w:highlight w:val="none"/>
        </w:rPr>
        <w:t>34.1磋商步骤为：第一次报价---初步评审---分别磋商---第二次报价---综合评审推荐成交候选人。（以供应商递交的磋商响应文件中的总报价为第一次报价。分别磋商后，供应商现场填报的磋商响应总报价为第二次报价）</w:t>
      </w:r>
    </w:p>
    <w:p w14:paraId="023B6C86">
      <w:pPr>
        <w:spacing w:line="360" w:lineRule="auto"/>
        <w:ind w:firstLine="480" w:firstLineChars="200"/>
        <w:jc w:val="left"/>
        <w:rPr>
          <w:rFonts w:hint="eastAsia" w:hAnsi="宋体"/>
          <w:color w:val="auto"/>
          <w:szCs w:val="24"/>
          <w:highlight w:val="none"/>
        </w:rPr>
      </w:pPr>
      <w:r>
        <w:rPr>
          <w:rFonts w:hint="eastAsia" w:hAnsi="宋体"/>
          <w:color w:val="auto"/>
          <w:szCs w:val="24"/>
          <w:highlight w:val="none"/>
        </w:rPr>
        <w:t>34.2当第二次报价全部超过磋商文件规定的采购预算（或最高限价）或均低于公认的制作成本时，磋商小组有权决定是否磋商失败或进行第三次报价。当第三次报价若超出财政预算，且采购人又无力支付，磋商小组有权决定磋商失败。</w:t>
      </w:r>
    </w:p>
    <w:p w14:paraId="06882A4A">
      <w:pPr>
        <w:spacing w:line="360" w:lineRule="auto"/>
        <w:ind w:firstLine="480" w:firstLineChars="200"/>
        <w:jc w:val="left"/>
        <w:rPr>
          <w:rFonts w:hint="eastAsia" w:hAnsi="宋体"/>
          <w:color w:val="auto"/>
          <w:szCs w:val="24"/>
          <w:highlight w:val="none"/>
        </w:rPr>
      </w:pPr>
      <w:r>
        <w:rPr>
          <w:rFonts w:hint="eastAsia" w:ascii="宋体" w:hAnsi="宋体" w:eastAsia="宋体" w:cs="Times New Roman"/>
          <w:color w:val="auto"/>
          <w:szCs w:val="24"/>
          <w:highlight w:val="none"/>
        </w:rPr>
        <w:t>34.3成交供应商确定后，成交供应商无正当理由拖延或拒签合同的，或未能按照规定的时间提供履约保证金，采购人有权取消</w:t>
      </w:r>
      <w:r>
        <w:rPr>
          <w:rFonts w:hint="eastAsia" w:hAnsi="宋体"/>
          <w:color w:val="auto"/>
          <w:szCs w:val="24"/>
          <w:highlight w:val="none"/>
        </w:rPr>
        <w:t>其成交资格，并按评审顺序重新确定成交供应商。给采购人造成损失的，应当承担赔偿责任，并依法承担相应法律责任。</w:t>
      </w:r>
    </w:p>
    <w:p w14:paraId="30CAFE6C">
      <w:pPr>
        <w:spacing w:line="360" w:lineRule="auto"/>
        <w:jc w:val="left"/>
        <w:outlineLvl w:val="2"/>
        <w:rPr>
          <w:rFonts w:hint="eastAsia" w:hAnsi="宋体" w:cs="宋体"/>
          <w:b/>
          <w:bCs/>
          <w:color w:val="auto"/>
          <w:szCs w:val="24"/>
          <w:highlight w:val="none"/>
        </w:rPr>
      </w:pPr>
      <w:r>
        <w:rPr>
          <w:rFonts w:hint="eastAsia" w:hAnsi="宋体" w:cs="宋体"/>
          <w:b/>
          <w:bCs/>
          <w:color w:val="auto"/>
          <w:szCs w:val="24"/>
          <w:highlight w:val="none"/>
        </w:rPr>
        <w:t>35.信用担保及信用融资</w:t>
      </w:r>
    </w:p>
    <w:p w14:paraId="768F4F25">
      <w:pPr>
        <w:widowControl/>
        <w:spacing w:line="360" w:lineRule="auto"/>
        <w:ind w:firstLine="480" w:firstLineChars="200"/>
        <w:rPr>
          <w:rFonts w:hint="eastAsia" w:hAnsi="宋体"/>
          <w:color w:val="auto"/>
          <w:highlight w:val="none"/>
        </w:rPr>
      </w:pPr>
      <w:r>
        <w:rPr>
          <w:rFonts w:hint="eastAsia" w:hAnsi="宋体"/>
          <w:color w:val="auto"/>
          <w:highlight w:val="none"/>
        </w:rPr>
        <w:t>35.1陕西省政府采购信用担保及信用融资政策：</w:t>
      </w:r>
    </w:p>
    <w:p w14:paraId="72DC3D71">
      <w:pPr>
        <w:widowControl/>
        <w:spacing w:line="360" w:lineRule="auto"/>
        <w:ind w:firstLine="480" w:firstLineChars="200"/>
        <w:rPr>
          <w:rFonts w:hint="eastAsia" w:hAnsi="宋体" w:cs="宋体"/>
          <w:color w:val="auto"/>
          <w:szCs w:val="22"/>
          <w:highlight w:val="none"/>
        </w:rPr>
      </w:pPr>
      <w:r>
        <w:rPr>
          <w:rFonts w:hint="eastAsia" w:hAnsi="宋体"/>
          <w:color w:val="auto"/>
          <w:highlight w:val="none"/>
        </w:rPr>
        <w:t>35.1.1为支持和促进中小企业发展，进一步发挥政府采购政策功能作用，有效缓解中小企业融资难等问题，根据财政部</w:t>
      </w:r>
      <w:r>
        <w:rPr>
          <w:rFonts w:hint="eastAsia" w:hAnsi="宋体" w:cs="宋体"/>
          <w:color w:val="auto"/>
          <w:szCs w:val="22"/>
          <w:highlight w:val="none"/>
        </w:rPr>
        <w:t>财库〔201</w:t>
      </w:r>
      <w:r>
        <w:rPr>
          <w:rFonts w:hAnsi="宋体" w:cs="宋体"/>
          <w:color w:val="auto"/>
          <w:szCs w:val="22"/>
          <w:highlight w:val="none"/>
        </w:rPr>
        <w:t>1</w:t>
      </w:r>
      <w:r>
        <w:rPr>
          <w:rFonts w:hint="eastAsia" w:hAnsi="宋体" w:cs="宋体"/>
          <w:color w:val="auto"/>
          <w:szCs w:val="22"/>
          <w:highlight w:val="none"/>
        </w:rPr>
        <w:t>〕</w:t>
      </w:r>
      <w:r>
        <w:rPr>
          <w:rFonts w:hint="eastAsia" w:hAnsi="宋体" w:cs="宋体"/>
          <w:color w:val="auto"/>
          <w:szCs w:val="24"/>
          <w:highlight w:val="none"/>
        </w:rPr>
        <w:t>124号文件的精神，陕西省财政厅制订了《陕西省政府采购信用担保试点工作实施方案（试行）》，为参与陕西省政府采购项目的供应商</w:t>
      </w:r>
      <w:r>
        <w:rPr>
          <w:rFonts w:hint="eastAsia" w:hAnsi="宋体" w:cs="宋体"/>
          <w:color w:val="auto"/>
          <w:szCs w:val="22"/>
          <w:highlight w:val="none"/>
        </w:rPr>
        <w:t>提供政府采购信用担保，并按照程序确定了合作的担保机构。供应商在缴纳</w:t>
      </w:r>
      <w:r>
        <w:rPr>
          <w:rFonts w:hint="eastAsia" w:hAnsi="宋体" w:cs="宋体"/>
          <w:color w:val="auto"/>
          <w:szCs w:val="22"/>
          <w:highlight w:val="none"/>
          <w:lang w:eastAsia="zh-CN"/>
        </w:rPr>
        <w:t>磋商</w:t>
      </w:r>
      <w:r>
        <w:rPr>
          <w:rFonts w:hint="eastAsia" w:hAnsi="宋体" w:cs="宋体"/>
          <w:color w:val="auto"/>
          <w:szCs w:val="22"/>
          <w:highlight w:val="none"/>
        </w:rPr>
        <w:t>保证金及中标供应商缴纳履约保证金时可自愿选择通过担保机构保函的形式缴纳。</w:t>
      </w:r>
    </w:p>
    <w:p w14:paraId="062E13C3">
      <w:pPr>
        <w:pStyle w:val="2"/>
        <w:spacing w:after="0" w:line="360" w:lineRule="auto"/>
        <w:ind w:firstLine="480" w:firstLineChars="200"/>
        <w:jc w:val="left"/>
        <w:rPr>
          <w:rFonts w:hint="eastAsia" w:ascii="宋体" w:hAnsi="宋体" w:cs="宋体"/>
          <w:color w:val="auto"/>
          <w:kern w:val="0"/>
          <w:sz w:val="24"/>
          <w:szCs w:val="22"/>
          <w:highlight w:val="none"/>
        </w:rPr>
      </w:pPr>
      <w:r>
        <w:rPr>
          <w:rFonts w:hint="eastAsia" w:ascii="宋体" w:hAnsi="宋体" w:cs="宋体"/>
          <w:color w:val="auto"/>
          <w:kern w:val="0"/>
          <w:sz w:val="24"/>
          <w:szCs w:val="22"/>
          <w:highlight w:val="none"/>
        </w:rPr>
        <w:t>35.1.2根据《陕西省财政厅关于印发&lt;陕西省中小企业政府采购信用融资办法&gt;的通知》（陕财办采〔2018〕23号）相关政策，有融资需求的供应商可根据自身情况，在陕西省政府采购信用融资平台（网址：http://www.ccgp-shaanxi.gov.cn/zcdservice/zcd/shanxi/）按照相关业务流程自主选择金融机构及其融资产品，凭政府采购中标（成交）通知书或政府采购合同向金融机构提出融资申请。</w:t>
      </w:r>
    </w:p>
    <w:p w14:paraId="30B8CF1F">
      <w:pPr>
        <w:pStyle w:val="2"/>
        <w:spacing w:after="0" w:line="360" w:lineRule="auto"/>
        <w:ind w:firstLine="480" w:firstLineChars="200"/>
        <w:jc w:val="left"/>
        <w:rPr>
          <w:rFonts w:hint="eastAsia" w:asciiTheme="minorEastAsia" w:hAnsiTheme="minorEastAsia" w:eastAsiaTheme="minorEastAsia"/>
          <w:color w:val="auto"/>
          <w:sz w:val="36"/>
          <w:szCs w:val="36"/>
          <w:highlight w:val="none"/>
        </w:rPr>
      </w:pPr>
      <w:r>
        <w:rPr>
          <w:rFonts w:hint="eastAsia" w:ascii="宋体" w:hAnsi="宋体" w:cs="宋体"/>
          <w:bCs/>
          <w:color w:val="auto"/>
          <w:sz w:val="24"/>
          <w:szCs w:val="24"/>
          <w:highlight w:val="none"/>
        </w:rPr>
        <w:t>35.</w:t>
      </w:r>
      <w:r>
        <w:rPr>
          <w:rFonts w:ascii="宋体" w:hAnsi="宋体" w:cs="宋体"/>
          <w:bCs/>
          <w:color w:val="auto"/>
          <w:sz w:val="24"/>
          <w:szCs w:val="24"/>
          <w:highlight w:val="none"/>
        </w:rPr>
        <w:t>2</w:t>
      </w:r>
      <w:r>
        <w:rPr>
          <w:rFonts w:hint="eastAsia" w:ascii="宋体" w:hAnsi="宋体" w:cs="宋体"/>
          <w:bCs/>
          <w:color w:val="auto"/>
          <w:sz w:val="24"/>
          <w:szCs w:val="24"/>
          <w:highlight w:val="none"/>
        </w:rPr>
        <w:t>西安市政府采购信用担保及信用融资政策：</w:t>
      </w:r>
      <w:r>
        <w:rPr>
          <w:rFonts w:hint="eastAsia" w:ascii="宋体" w:hAnsi="宋体" w:cs="宋体"/>
          <w:color w:val="auto"/>
          <w:sz w:val="24"/>
          <w:szCs w:val="24"/>
          <w:highlight w:val="none"/>
        </w:rPr>
        <w:t>为发挥政府采购促进中小企业发展的政策功能，西安市财政局制定了《西安市政府采购信用担保及信用融资工作实施方案（试行）》（市财发〔2014〕167），为参与西安市市级政府采购项目的供应商提供政府采购信用担保和融资服务，并按照程序确定了合作的担保机构和商业银行。成交供应商缴纳履约保证金时可自愿选择通过担保机构保函的形式缴纳；成交供应商如果需要融资贷款服务的，可凭成交通知书、政府采购合同等相关资料，按照实施方案规定的程序申请办理，具体规定可登陆西安市财政局网站政府采购专栏中查询了解。</w:t>
      </w:r>
      <w:r>
        <w:rPr>
          <w:rStyle w:val="135"/>
          <w:rFonts w:asciiTheme="minorEastAsia" w:hAnsiTheme="minorEastAsia" w:eastAsiaTheme="minorEastAsia"/>
          <w:b w:val="0"/>
          <w:color w:val="auto"/>
          <w:sz w:val="36"/>
          <w:szCs w:val="36"/>
          <w:highlight w:val="none"/>
        </w:rPr>
        <w:br w:type="page"/>
      </w:r>
    </w:p>
    <w:p w14:paraId="3CEEA357">
      <w:pPr>
        <w:pStyle w:val="3"/>
        <w:keepNext w:val="0"/>
        <w:keepLines/>
        <w:pageBreakBefore/>
        <w:spacing w:before="120" w:beforeLines="50" w:after="120" w:afterLines="50" w:line="360" w:lineRule="auto"/>
        <w:jc w:val="center"/>
        <w:rPr>
          <w:rFonts w:hint="eastAsia" w:cs="仿宋" w:asciiTheme="minorEastAsia" w:hAnsiTheme="minorEastAsia" w:eastAsiaTheme="minorEastAsia"/>
          <w:bCs/>
          <w:color w:val="auto"/>
          <w:sz w:val="36"/>
          <w:szCs w:val="36"/>
          <w:highlight w:val="none"/>
        </w:rPr>
      </w:pPr>
      <w:bookmarkStart w:id="52" w:name="_Toc1085"/>
      <w:r>
        <w:rPr>
          <w:rFonts w:hint="eastAsia" w:cs="仿宋" w:asciiTheme="minorEastAsia" w:hAnsiTheme="minorEastAsia" w:eastAsiaTheme="minorEastAsia"/>
          <w:bCs/>
          <w:color w:val="auto"/>
          <w:sz w:val="36"/>
          <w:szCs w:val="36"/>
          <w:highlight w:val="none"/>
        </w:rPr>
        <w:t>第三章  合同条款及格式</w:t>
      </w:r>
      <w:bookmarkEnd w:id="36"/>
      <w:bookmarkEnd w:id="37"/>
      <w:bookmarkEnd w:id="38"/>
      <w:bookmarkEnd w:id="39"/>
      <w:bookmarkEnd w:id="52"/>
    </w:p>
    <w:p w14:paraId="364E17F3">
      <w:pPr>
        <w:rPr>
          <w:rFonts w:hint="eastAsia" w:hAnsi="宋体" w:cs="宋体"/>
          <w:b/>
          <w:sz w:val="32"/>
          <w:szCs w:val="32"/>
          <w:highlight w:val="none"/>
        </w:rPr>
      </w:pPr>
      <w:bookmarkStart w:id="53" w:name="_Toc1362"/>
      <w:bookmarkStart w:id="54" w:name="_Toc18120"/>
      <w:bookmarkStart w:id="55" w:name="_Toc7874"/>
      <w:bookmarkStart w:id="56" w:name="_Toc5216"/>
      <w:bookmarkStart w:id="57" w:name="_Toc423973075"/>
      <w:bookmarkStart w:id="58" w:name="_Toc19246"/>
      <w:bookmarkStart w:id="59" w:name="_Toc7682"/>
      <w:bookmarkStart w:id="60" w:name="_Toc4679"/>
      <w:bookmarkStart w:id="61" w:name="_Toc19199"/>
      <w:bookmarkStart w:id="62" w:name="_Toc26595"/>
      <w:bookmarkStart w:id="63" w:name="_Toc31520"/>
      <w:bookmarkStart w:id="64" w:name="_Toc29888"/>
      <w:bookmarkStart w:id="65" w:name="_Toc389582037"/>
      <w:bookmarkStart w:id="66" w:name="_Toc12205"/>
      <w:bookmarkStart w:id="67" w:name="_Toc8333"/>
    </w:p>
    <w:p w14:paraId="6238DA91">
      <w:pPr>
        <w:rPr>
          <w:rFonts w:hint="eastAsia" w:hAnsi="宋体" w:cs="宋体"/>
          <w:b/>
          <w:sz w:val="32"/>
          <w:szCs w:val="32"/>
          <w:highlight w:val="none"/>
        </w:rPr>
      </w:pPr>
    </w:p>
    <w:p w14:paraId="68A7901C">
      <w:pPr>
        <w:rPr>
          <w:rFonts w:hint="eastAsia" w:hAnsi="宋体" w:cs="宋体"/>
          <w:b/>
          <w:sz w:val="32"/>
          <w:szCs w:val="32"/>
          <w:highlight w:val="none"/>
        </w:rPr>
      </w:pPr>
    </w:p>
    <w:p w14:paraId="6EFA49D8">
      <w:pPr>
        <w:rPr>
          <w:rFonts w:hint="eastAsia" w:hAnsi="宋体" w:cs="宋体"/>
          <w:b/>
          <w:sz w:val="32"/>
          <w:szCs w:val="32"/>
          <w:highlight w:val="none"/>
        </w:rPr>
      </w:pPr>
    </w:p>
    <w:p w14:paraId="15E17761">
      <w:pPr>
        <w:rPr>
          <w:rFonts w:hAnsi="宋体" w:cs="宋体"/>
          <w:b/>
          <w:sz w:val="32"/>
          <w:szCs w:val="32"/>
          <w:highlight w:val="none"/>
        </w:rPr>
      </w:pPr>
      <w:r>
        <w:rPr>
          <w:rFonts w:hint="eastAsia" w:hAnsi="宋体" w:cs="宋体"/>
          <w:b/>
          <w:sz w:val="32"/>
          <w:szCs w:val="32"/>
          <w:highlight w:val="none"/>
        </w:rPr>
        <w:t>政府采购项目</w:t>
      </w:r>
      <w:r>
        <w:rPr>
          <w:rFonts w:hint="eastAsia" w:hAnsi="宋体" w:cs="宋体"/>
          <w:b/>
          <w:bCs/>
          <w:sz w:val="28"/>
          <w:szCs w:val="28"/>
          <w:highlight w:val="none"/>
        </w:rPr>
        <w:t>（</w:t>
      </w:r>
      <w:r>
        <w:rPr>
          <w:rFonts w:hint="eastAsia" w:hAnsi="宋体" w:cs="宋体"/>
          <w:b/>
          <w:sz w:val="32"/>
          <w:szCs w:val="32"/>
          <w:highlight w:val="none"/>
        </w:rPr>
        <w:t>仅供参考）</w:t>
      </w:r>
      <w:bookmarkEnd w:id="53"/>
      <w:bookmarkEnd w:id="54"/>
      <w:bookmarkEnd w:id="55"/>
      <w:bookmarkEnd w:id="56"/>
      <w:r>
        <w:rPr>
          <w:rFonts w:hint="eastAsia" w:hAnsi="宋体" w:cs="宋体"/>
          <w:b/>
          <w:sz w:val="32"/>
          <w:szCs w:val="32"/>
          <w:highlight w:val="none"/>
        </w:rPr>
        <w:t xml:space="preserve">                  </w:t>
      </w:r>
    </w:p>
    <w:p w14:paraId="30E0FDBA">
      <w:pPr>
        <w:rPr>
          <w:rFonts w:hAnsi="宋体" w:cs="宋体"/>
          <w:b/>
          <w:sz w:val="32"/>
          <w:szCs w:val="32"/>
          <w:highlight w:val="none"/>
        </w:rPr>
      </w:pPr>
      <w:r>
        <w:rPr>
          <w:rFonts w:hint="eastAsia" w:hAnsi="宋体" w:cs="宋体"/>
          <w:b/>
          <w:sz w:val="32"/>
          <w:szCs w:val="32"/>
          <w:highlight w:val="none"/>
        </w:rPr>
        <w:t xml:space="preserve">          </w:t>
      </w:r>
    </w:p>
    <w:p w14:paraId="0D20AA01">
      <w:pPr>
        <w:jc w:val="center"/>
        <w:rPr>
          <w:rFonts w:hAnsi="宋体" w:cs="宋体"/>
          <w:sz w:val="52"/>
          <w:szCs w:val="52"/>
          <w:highlight w:val="none"/>
        </w:rPr>
      </w:pPr>
    </w:p>
    <w:p w14:paraId="3EF4AC8E">
      <w:pPr>
        <w:jc w:val="center"/>
        <w:rPr>
          <w:rFonts w:hAnsi="宋体" w:cs="宋体"/>
          <w:sz w:val="52"/>
          <w:szCs w:val="52"/>
          <w:highlight w:val="none"/>
        </w:rPr>
      </w:pPr>
    </w:p>
    <w:p w14:paraId="5901777E">
      <w:pPr>
        <w:jc w:val="center"/>
        <w:rPr>
          <w:rFonts w:hAnsi="宋体" w:cs="宋体"/>
          <w:b/>
          <w:snapToGrid w:val="0"/>
          <w:sz w:val="48"/>
          <w:szCs w:val="48"/>
          <w:highlight w:val="none"/>
          <w:u w:val="single"/>
        </w:rPr>
      </w:pPr>
      <w:r>
        <w:rPr>
          <w:rFonts w:hint="eastAsia" w:hAnsi="宋体" w:cs="宋体"/>
          <w:b/>
          <w:snapToGrid w:val="0"/>
          <w:sz w:val="48"/>
          <w:szCs w:val="48"/>
          <w:highlight w:val="none"/>
          <w:u w:val="single"/>
        </w:rPr>
        <w:t>(项目名称)</w:t>
      </w:r>
    </w:p>
    <w:p w14:paraId="0ACA9AFE">
      <w:pPr>
        <w:jc w:val="center"/>
        <w:rPr>
          <w:rFonts w:hAnsi="宋体" w:cs="宋体"/>
          <w:b/>
          <w:sz w:val="72"/>
          <w:szCs w:val="72"/>
          <w:highlight w:val="none"/>
        </w:rPr>
      </w:pPr>
      <w:r>
        <w:rPr>
          <w:rFonts w:hint="eastAsia" w:hAnsi="宋体" w:cs="宋体"/>
          <w:b/>
          <w:sz w:val="72"/>
          <w:szCs w:val="72"/>
          <w:highlight w:val="none"/>
        </w:rPr>
        <w:t>服 务 合 同</w:t>
      </w:r>
    </w:p>
    <w:p w14:paraId="4543D005">
      <w:pPr>
        <w:jc w:val="center"/>
        <w:rPr>
          <w:rFonts w:hint="eastAsia" w:hAnsi="宋体" w:cs="宋体"/>
          <w:sz w:val="30"/>
          <w:szCs w:val="30"/>
          <w:highlight w:val="none"/>
        </w:rPr>
      </w:pPr>
    </w:p>
    <w:p w14:paraId="470AB875">
      <w:pPr>
        <w:jc w:val="center"/>
        <w:rPr>
          <w:rFonts w:hAnsi="宋体" w:cs="宋体"/>
          <w:sz w:val="30"/>
          <w:szCs w:val="30"/>
          <w:highlight w:val="none"/>
        </w:rPr>
      </w:pPr>
      <w:r>
        <w:rPr>
          <w:rFonts w:hint="eastAsia" w:hAnsi="宋体" w:cs="宋体"/>
          <w:sz w:val="30"/>
          <w:szCs w:val="30"/>
          <w:highlight w:val="none"/>
        </w:rPr>
        <w:t xml:space="preserve">（项目编号：      </w:t>
      </w:r>
      <w:r>
        <w:rPr>
          <w:rFonts w:hint="eastAsia" w:hAnsi="宋体" w:cs="宋体"/>
          <w:sz w:val="28"/>
          <w:szCs w:val="28"/>
          <w:highlight w:val="none"/>
        </w:rPr>
        <w:t>）</w:t>
      </w:r>
    </w:p>
    <w:p w14:paraId="1508A104">
      <w:pPr>
        <w:jc w:val="center"/>
        <w:rPr>
          <w:rFonts w:hAnsi="宋体" w:cs="宋体"/>
          <w:sz w:val="30"/>
          <w:szCs w:val="30"/>
          <w:highlight w:val="none"/>
        </w:rPr>
      </w:pPr>
    </w:p>
    <w:p w14:paraId="6934CE6C">
      <w:pPr>
        <w:jc w:val="center"/>
        <w:rPr>
          <w:rFonts w:hAnsi="宋体" w:cs="宋体"/>
          <w:sz w:val="30"/>
          <w:szCs w:val="30"/>
          <w:highlight w:val="none"/>
        </w:rPr>
      </w:pPr>
    </w:p>
    <w:p w14:paraId="0F2874E7">
      <w:pPr>
        <w:jc w:val="center"/>
        <w:rPr>
          <w:rFonts w:hAnsi="宋体" w:cs="宋体"/>
          <w:sz w:val="30"/>
          <w:szCs w:val="30"/>
          <w:highlight w:val="none"/>
        </w:rPr>
      </w:pPr>
    </w:p>
    <w:p w14:paraId="115376AE">
      <w:pPr>
        <w:jc w:val="center"/>
        <w:rPr>
          <w:rFonts w:hAnsi="宋体" w:cs="宋体"/>
          <w:sz w:val="30"/>
          <w:szCs w:val="30"/>
          <w:highlight w:val="none"/>
        </w:rPr>
      </w:pPr>
    </w:p>
    <w:p w14:paraId="4FB066CF">
      <w:pPr>
        <w:jc w:val="center"/>
        <w:rPr>
          <w:rFonts w:hAnsi="宋体" w:cs="宋体"/>
          <w:sz w:val="30"/>
          <w:szCs w:val="30"/>
          <w:highlight w:val="none"/>
        </w:rPr>
      </w:pPr>
    </w:p>
    <w:p w14:paraId="0C3CEEB9">
      <w:pPr>
        <w:ind w:firstLine="2080" w:firstLineChars="650"/>
        <w:rPr>
          <w:rFonts w:hAnsi="宋体" w:cs="宋体"/>
          <w:sz w:val="32"/>
          <w:szCs w:val="32"/>
          <w:highlight w:val="none"/>
        </w:rPr>
      </w:pPr>
      <w:r>
        <w:rPr>
          <w:rFonts w:hint="eastAsia" w:hAnsi="宋体" w:cs="宋体"/>
          <w:sz w:val="32"/>
          <w:szCs w:val="32"/>
          <w:highlight w:val="none"/>
        </w:rPr>
        <w:t xml:space="preserve">甲  方： </w:t>
      </w:r>
    </w:p>
    <w:p w14:paraId="4B0F856D">
      <w:pPr>
        <w:tabs>
          <w:tab w:val="left" w:pos="480"/>
        </w:tabs>
        <w:ind w:firstLine="640" w:firstLineChars="200"/>
        <w:rPr>
          <w:rFonts w:hAnsi="宋体" w:cs="宋体"/>
          <w:sz w:val="32"/>
          <w:szCs w:val="32"/>
          <w:highlight w:val="none"/>
        </w:rPr>
      </w:pPr>
      <w:r>
        <w:rPr>
          <w:rFonts w:hint="eastAsia" w:hAnsi="宋体" w:cs="宋体"/>
          <w:sz w:val="32"/>
          <w:szCs w:val="32"/>
          <w:highlight w:val="none"/>
        </w:rPr>
        <w:t xml:space="preserve">         乙  方：</w:t>
      </w:r>
    </w:p>
    <w:p w14:paraId="514840FB">
      <w:pPr>
        <w:jc w:val="center"/>
        <w:rPr>
          <w:rFonts w:hAnsi="宋体" w:cs="宋体"/>
          <w:sz w:val="30"/>
          <w:szCs w:val="30"/>
          <w:highlight w:val="none"/>
        </w:rPr>
      </w:pPr>
    </w:p>
    <w:p w14:paraId="7A973CE7">
      <w:pPr>
        <w:jc w:val="center"/>
        <w:rPr>
          <w:rFonts w:hAnsi="宋体" w:cs="宋体"/>
          <w:sz w:val="32"/>
          <w:szCs w:val="32"/>
          <w:highlight w:val="none"/>
        </w:rPr>
      </w:pPr>
      <w:r>
        <w:rPr>
          <w:rFonts w:hint="eastAsia" w:hAnsi="宋体" w:cs="宋体"/>
          <w:sz w:val="32"/>
          <w:szCs w:val="32"/>
          <w:highlight w:val="none"/>
        </w:rPr>
        <w:t xml:space="preserve">  年  月</w:t>
      </w:r>
    </w:p>
    <w:p w14:paraId="3FF9AE11">
      <w:pPr>
        <w:jc w:val="center"/>
        <w:rPr>
          <w:rFonts w:hAnsi="宋体" w:cs="宋体"/>
          <w:sz w:val="32"/>
          <w:szCs w:val="32"/>
          <w:highlight w:val="none"/>
        </w:rPr>
      </w:pPr>
    </w:p>
    <w:p w14:paraId="001FE134">
      <w:pPr>
        <w:spacing w:line="590" w:lineRule="exact"/>
        <w:rPr>
          <w:rFonts w:hAnsi="宋体" w:cs="宋体"/>
          <w:b/>
          <w:sz w:val="36"/>
          <w:szCs w:val="36"/>
          <w:highlight w:val="none"/>
        </w:rPr>
      </w:pPr>
    </w:p>
    <w:p w14:paraId="14610BB7">
      <w:pPr>
        <w:jc w:val="center"/>
        <w:outlineLvl w:val="2"/>
        <w:rPr>
          <w:rFonts w:ascii="黑体"/>
          <w:b/>
          <w:sz w:val="36"/>
          <w:szCs w:val="36"/>
          <w:highlight w:val="none"/>
        </w:rPr>
      </w:pPr>
      <w:r>
        <w:rPr>
          <w:rFonts w:hint="eastAsia" w:hAnsi="宋体" w:cs="宋体"/>
          <w:b/>
          <w:szCs w:val="21"/>
          <w:highlight w:val="none"/>
        </w:rPr>
        <w:br w:type="page"/>
      </w:r>
      <w:bookmarkStart w:id="68" w:name="_Toc28398"/>
      <w:bookmarkStart w:id="69" w:name="_Toc7965"/>
      <w:r>
        <w:rPr>
          <w:rFonts w:hint="eastAsia" w:ascii="黑体" w:eastAsia="黑体"/>
          <w:b/>
          <w:sz w:val="36"/>
          <w:szCs w:val="36"/>
          <w:highlight w:val="none"/>
        </w:rPr>
        <w:t>协 议 书</w:t>
      </w:r>
      <w:bookmarkEnd w:id="68"/>
      <w:bookmarkEnd w:id="69"/>
    </w:p>
    <w:p w14:paraId="6E222DCA">
      <w:pPr>
        <w:keepNext w:val="0"/>
        <w:keepLines w:val="0"/>
        <w:pageBreakBefore w:val="0"/>
        <w:widowControl w:val="0"/>
        <w:kinsoku/>
        <w:wordWrap/>
        <w:overflowPunct/>
        <w:topLinePunct w:val="0"/>
        <w:autoSpaceDE/>
        <w:autoSpaceDN/>
        <w:bidi w:val="0"/>
        <w:adjustRightInd/>
        <w:snapToGrid/>
        <w:spacing w:before="157" w:beforeLines="50" w:line="360" w:lineRule="auto"/>
        <w:jc w:val="left"/>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甲方：</w:t>
      </w:r>
      <w:r>
        <w:rPr>
          <w:rFonts w:hint="eastAsia" w:ascii="宋体" w:hAnsi="宋体" w:eastAsia="宋体" w:cs="宋体"/>
          <w:sz w:val="24"/>
          <w:szCs w:val="24"/>
          <w:highlight w:val="none"/>
          <w:u w:val="single"/>
        </w:rPr>
        <w:t xml:space="preserve">             </w:t>
      </w:r>
    </w:p>
    <w:p w14:paraId="3EF7D1C5">
      <w:pPr>
        <w:keepNext w:val="0"/>
        <w:keepLines w:val="0"/>
        <w:pageBreakBefore w:val="0"/>
        <w:widowControl w:val="0"/>
        <w:kinsoku/>
        <w:wordWrap/>
        <w:overflowPunct/>
        <w:topLinePunct w:val="0"/>
        <w:autoSpaceDE/>
        <w:autoSpaceDN/>
        <w:bidi w:val="0"/>
        <w:adjustRightInd/>
        <w:snapToGrid/>
        <w:spacing w:before="157" w:beforeLines="50" w:line="360" w:lineRule="auto"/>
        <w:jc w:val="left"/>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乙方：</w:t>
      </w:r>
      <w:r>
        <w:rPr>
          <w:rFonts w:hint="eastAsia" w:ascii="宋体" w:hAnsi="宋体" w:eastAsia="宋体" w:cs="宋体"/>
          <w:sz w:val="24"/>
          <w:szCs w:val="24"/>
          <w:highlight w:val="none"/>
          <w:u w:val="single"/>
        </w:rPr>
        <w:t xml:space="preserve">             </w:t>
      </w:r>
    </w:p>
    <w:p w14:paraId="082B5109">
      <w:pPr>
        <w:keepNext w:val="0"/>
        <w:keepLines w:val="0"/>
        <w:pageBreakBefore w:val="0"/>
        <w:widowControl w:val="0"/>
        <w:kinsoku/>
        <w:wordWrap/>
        <w:overflowPunct/>
        <w:topLinePunct w:val="0"/>
        <w:autoSpaceDE/>
        <w:autoSpaceDN/>
        <w:bidi w:val="0"/>
        <w:adjustRightInd/>
        <w:snapToGrid/>
        <w:spacing w:before="157" w:beforeLines="50"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根据《中华人民共和国民法典》、《中华人民共和国政府采购法》与项目行业有关的法律法规，以及本项目</w:t>
      </w:r>
      <w:r>
        <w:rPr>
          <w:rFonts w:hint="eastAsia" w:ascii="宋体" w:hAnsi="宋体" w:eastAsia="宋体" w:cs="宋体"/>
          <w:sz w:val="24"/>
          <w:szCs w:val="24"/>
          <w:highlight w:val="none"/>
          <w:u w:val="single"/>
          <w:lang w:val="en-US" w:eastAsia="zh-CN"/>
        </w:rPr>
        <w:t xml:space="preserve">              项目</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相关采购要求的规定，合同双方就乙方向采购方提供</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none"/>
          <w:lang w:val="en-US" w:eastAsia="zh-CN"/>
        </w:rPr>
        <w:t>项目</w:t>
      </w:r>
      <w:r>
        <w:rPr>
          <w:rFonts w:hint="eastAsia" w:ascii="宋体" w:hAnsi="宋体" w:eastAsia="宋体" w:cs="宋体"/>
          <w:sz w:val="24"/>
          <w:szCs w:val="24"/>
          <w:highlight w:val="none"/>
        </w:rPr>
        <w:t>协商达成一致，确立本合同。</w:t>
      </w:r>
    </w:p>
    <w:p w14:paraId="26EB416C">
      <w:pPr>
        <w:keepNext w:val="0"/>
        <w:keepLines w:val="0"/>
        <w:pageBreakBefore w:val="0"/>
        <w:widowControl w:val="0"/>
        <w:tabs>
          <w:tab w:val="left" w:pos="480"/>
        </w:tabs>
        <w:kinsoku/>
        <w:wordWrap/>
        <w:overflowPunct/>
        <w:topLinePunct w:val="0"/>
        <w:autoSpaceDE/>
        <w:autoSpaceDN/>
        <w:bidi w:val="0"/>
        <w:adjustRightInd/>
        <w:snapToGrid/>
        <w:spacing w:before="157" w:beforeLines="50" w:line="360" w:lineRule="auto"/>
        <w:jc w:val="left"/>
        <w:textAlignment w:val="auto"/>
        <w:outlineLvl w:val="1"/>
        <w:rPr>
          <w:rFonts w:hint="eastAsia" w:ascii="宋体" w:hAnsi="宋体" w:eastAsia="宋体" w:cs="宋体"/>
          <w:b/>
          <w:sz w:val="24"/>
          <w:szCs w:val="24"/>
          <w:highlight w:val="none"/>
        </w:rPr>
      </w:pPr>
      <w:bookmarkStart w:id="70" w:name="_Toc30883"/>
      <w:bookmarkStart w:id="71" w:name="_Toc3164"/>
      <w:bookmarkStart w:id="72" w:name="_Toc8841"/>
      <w:r>
        <w:rPr>
          <w:rFonts w:hint="eastAsia" w:ascii="宋体" w:hAnsi="宋体" w:eastAsia="宋体" w:cs="宋体"/>
          <w:b/>
          <w:sz w:val="24"/>
          <w:szCs w:val="24"/>
          <w:highlight w:val="none"/>
        </w:rPr>
        <w:t>一、合同标的物内容、数量及单价</w:t>
      </w:r>
      <w:r>
        <w:rPr>
          <w:rFonts w:hint="eastAsia" w:ascii="宋体" w:hAnsi="宋体" w:eastAsia="宋体" w:cs="宋体"/>
          <w:sz w:val="24"/>
          <w:szCs w:val="24"/>
          <w:highlight w:val="none"/>
        </w:rPr>
        <w:t>（以竞争性</w:t>
      </w:r>
      <w:r>
        <w:rPr>
          <w:rFonts w:hint="eastAsia" w:ascii="宋体" w:hAnsi="宋体" w:eastAsia="宋体" w:cs="宋体"/>
          <w:sz w:val="24"/>
          <w:szCs w:val="24"/>
          <w:highlight w:val="none"/>
          <w:lang w:val="en-US" w:eastAsia="zh-CN"/>
        </w:rPr>
        <w:t>磋商响应文件</w:t>
      </w:r>
      <w:r>
        <w:rPr>
          <w:rFonts w:hint="eastAsia" w:ascii="宋体" w:hAnsi="宋体" w:eastAsia="宋体" w:cs="宋体"/>
          <w:sz w:val="24"/>
          <w:szCs w:val="24"/>
          <w:highlight w:val="none"/>
        </w:rPr>
        <w:t>正本和澄清表〈函〉为准）</w:t>
      </w:r>
      <w:bookmarkEnd w:id="70"/>
      <w:bookmarkEnd w:id="71"/>
      <w:bookmarkEnd w:id="72"/>
    </w:p>
    <w:tbl>
      <w:tblPr>
        <w:tblStyle w:val="4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98"/>
        <w:gridCol w:w="1855"/>
        <w:gridCol w:w="1421"/>
        <w:gridCol w:w="2648"/>
        <w:gridCol w:w="1096"/>
      </w:tblGrid>
      <w:tr w14:paraId="495C59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1198" w:type="dxa"/>
            <w:tcBorders>
              <w:top w:val="single" w:color="auto" w:sz="4" w:space="0"/>
              <w:left w:val="single" w:color="auto" w:sz="4" w:space="0"/>
              <w:bottom w:val="single" w:color="auto" w:sz="4" w:space="0"/>
              <w:right w:val="single" w:color="auto" w:sz="4" w:space="0"/>
            </w:tcBorders>
            <w:vAlign w:val="center"/>
          </w:tcPr>
          <w:p w14:paraId="605683C7">
            <w:pPr>
              <w:keepNext w:val="0"/>
              <w:keepLines w:val="0"/>
              <w:pageBreakBefore w:val="0"/>
              <w:widowControl w:val="0"/>
              <w:tabs>
                <w:tab w:val="left" w:pos="480"/>
              </w:tabs>
              <w:kinsoku/>
              <w:wordWrap/>
              <w:overflowPunct/>
              <w:topLinePunct w:val="0"/>
              <w:autoSpaceDE/>
              <w:autoSpaceDN/>
              <w:bidi w:val="0"/>
              <w:adjustRightInd/>
              <w:snapToGrid/>
              <w:spacing w:before="157" w:beforeLines="50"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序号</w:t>
            </w:r>
          </w:p>
        </w:tc>
        <w:tc>
          <w:tcPr>
            <w:tcW w:w="1855" w:type="dxa"/>
            <w:tcBorders>
              <w:top w:val="single" w:color="auto" w:sz="4" w:space="0"/>
              <w:left w:val="single" w:color="auto" w:sz="4" w:space="0"/>
              <w:bottom w:val="single" w:color="auto" w:sz="4" w:space="0"/>
              <w:right w:val="single" w:color="auto" w:sz="4" w:space="0"/>
            </w:tcBorders>
            <w:vAlign w:val="center"/>
          </w:tcPr>
          <w:p w14:paraId="4A3648CD">
            <w:pPr>
              <w:keepNext w:val="0"/>
              <w:keepLines w:val="0"/>
              <w:pageBreakBefore w:val="0"/>
              <w:widowControl w:val="0"/>
              <w:tabs>
                <w:tab w:val="left" w:pos="480"/>
              </w:tabs>
              <w:kinsoku/>
              <w:wordWrap/>
              <w:overflowPunct/>
              <w:topLinePunct w:val="0"/>
              <w:autoSpaceDE/>
              <w:autoSpaceDN/>
              <w:bidi w:val="0"/>
              <w:adjustRightInd/>
              <w:snapToGrid/>
              <w:spacing w:before="157" w:beforeLines="50"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服务内容</w:t>
            </w:r>
          </w:p>
        </w:tc>
        <w:tc>
          <w:tcPr>
            <w:tcW w:w="1421" w:type="dxa"/>
            <w:tcBorders>
              <w:top w:val="single" w:color="auto" w:sz="4" w:space="0"/>
              <w:left w:val="single" w:color="auto" w:sz="4" w:space="0"/>
              <w:bottom w:val="single" w:color="auto" w:sz="4" w:space="0"/>
              <w:right w:val="single" w:color="auto" w:sz="4" w:space="0"/>
            </w:tcBorders>
            <w:vAlign w:val="center"/>
          </w:tcPr>
          <w:p w14:paraId="64D1A710">
            <w:pPr>
              <w:keepNext w:val="0"/>
              <w:keepLines w:val="0"/>
              <w:pageBreakBefore w:val="0"/>
              <w:widowControl w:val="0"/>
              <w:tabs>
                <w:tab w:val="left" w:pos="480"/>
              </w:tabs>
              <w:kinsoku/>
              <w:wordWrap/>
              <w:overflowPunct/>
              <w:topLinePunct w:val="0"/>
              <w:autoSpaceDE/>
              <w:autoSpaceDN/>
              <w:bidi w:val="0"/>
              <w:adjustRightInd/>
              <w:snapToGrid/>
              <w:spacing w:before="157" w:beforeLines="50"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服务期限</w:t>
            </w:r>
          </w:p>
        </w:tc>
        <w:tc>
          <w:tcPr>
            <w:tcW w:w="2648" w:type="dxa"/>
            <w:tcBorders>
              <w:top w:val="single" w:color="auto" w:sz="4" w:space="0"/>
              <w:left w:val="single" w:color="auto" w:sz="4" w:space="0"/>
              <w:bottom w:val="single" w:color="auto" w:sz="4" w:space="0"/>
              <w:right w:val="single" w:color="auto" w:sz="4" w:space="0"/>
            </w:tcBorders>
            <w:vAlign w:val="center"/>
          </w:tcPr>
          <w:p w14:paraId="4F62BD73">
            <w:pPr>
              <w:keepNext w:val="0"/>
              <w:keepLines w:val="0"/>
              <w:pageBreakBefore w:val="0"/>
              <w:widowControl w:val="0"/>
              <w:tabs>
                <w:tab w:val="left" w:pos="480"/>
              </w:tabs>
              <w:kinsoku/>
              <w:wordWrap/>
              <w:overflowPunct/>
              <w:topLinePunct w:val="0"/>
              <w:autoSpaceDE/>
              <w:autoSpaceDN/>
              <w:bidi w:val="0"/>
              <w:adjustRightInd/>
              <w:snapToGrid/>
              <w:spacing w:before="157" w:beforeLines="50"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相关要求</w:t>
            </w:r>
          </w:p>
        </w:tc>
        <w:tc>
          <w:tcPr>
            <w:tcW w:w="1096" w:type="dxa"/>
            <w:tcBorders>
              <w:top w:val="single" w:color="auto" w:sz="4" w:space="0"/>
              <w:left w:val="single" w:color="auto" w:sz="4" w:space="0"/>
              <w:bottom w:val="single" w:color="auto" w:sz="4" w:space="0"/>
              <w:right w:val="single" w:color="auto" w:sz="4" w:space="0"/>
            </w:tcBorders>
            <w:vAlign w:val="center"/>
          </w:tcPr>
          <w:p w14:paraId="0767E52A">
            <w:pPr>
              <w:keepNext w:val="0"/>
              <w:keepLines w:val="0"/>
              <w:pageBreakBefore w:val="0"/>
              <w:widowControl w:val="0"/>
              <w:tabs>
                <w:tab w:val="left" w:pos="480"/>
              </w:tabs>
              <w:kinsoku/>
              <w:wordWrap/>
              <w:overflowPunct/>
              <w:topLinePunct w:val="0"/>
              <w:autoSpaceDE/>
              <w:autoSpaceDN/>
              <w:bidi w:val="0"/>
              <w:adjustRightInd/>
              <w:snapToGrid/>
              <w:spacing w:before="157" w:beforeLines="50"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备注</w:t>
            </w:r>
          </w:p>
        </w:tc>
      </w:tr>
      <w:tr w14:paraId="2F5B2B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1198" w:type="dxa"/>
            <w:tcBorders>
              <w:top w:val="single" w:color="auto" w:sz="4" w:space="0"/>
              <w:left w:val="single" w:color="auto" w:sz="4" w:space="0"/>
              <w:bottom w:val="single" w:color="auto" w:sz="4" w:space="0"/>
              <w:right w:val="single" w:color="auto" w:sz="4" w:space="0"/>
            </w:tcBorders>
            <w:vAlign w:val="center"/>
          </w:tcPr>
          <w:p w14:paraId="777DD112">
            <w:pPr>
              <w:keepNext w:val="0"/>
              <w:keepLines w:val="0"/>
              <w:pageBreakBefore w:val="0"/>
              <w:widowControl w:val="0"/>
              <w:tabs>
                <w:tab w:val="left" w:pos="480"/>
              </w:tabs>
              <w:kinsoku/>
              <w:wordWrap/>
              <w:overflowPunct/>
              <w:topLinePunct w:val="0"/>
              <w:autoSpaceDE/>
              <w:autoSpaceDN/>
              <w:bidi w:val="0"/>
              <w:adjustRightInd/>
              <w:snapToGrid/>
              <w:spacing w:before="157" w:beforeLines="50"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1855" w:type="dxa"/>
            <w:tcBorders>
              <w:top w:val="single" w:color="auto" w:sz="4" w:space="0"/>
              <w:left w:val="single" w:color="auto" w:sz="4" w:space="0"/>
              <w:bottom w:val="single" w:color="auto" w:sz="4" w:space="0"/>
              <w:right w:val="single" w:color="auto" w:sz="4" w:space="0"/>
            </w:tcBorders>
            <w:vAlign w:val="center"/>
          </w:tcPr>
          <w:p w14:paraId="40CBDBDE">
            <w:pPr>
              <w:keepNext w:val="0"/>
              <w:keepLines w:val="0"/>
              <w:pageBreakBefore w:val="0"/>
              <w:widowControl w:val="0"/>
              <w:tabs>
                <w:tab w:val="left" w:pos="480"/>
              </w:tabs>
              <w:kinsoku/>
              <w:wordWrap/>
              <w:overflowPunct/>
              <w:topLinePunct w:val="0"/>
              <w:autoSpaceDE/>
              <w:autoSpaceDN/>
              <w:bidi w:val="0"/>
              <w:adjustRightInd/>
              <w:snapToGrid/>
              <w:spacing w:before="157" w:beforeLines="50" w:line="360" w:lineRule="auto"/>
              <w:jc w:val="left"/>
              <w:textAlignment w:val="auto"/>
              <w:rPr>
                <w:rFonts w:hint="eastAsia" w:ascii="宋体" w:hAnsi="宋体" w:eastAsia="宋体" w:cs="宋体"/>
                <w:sz w:val="24"/>
                <w:szCs w:val="24"/>
                <w:highlight w:val="none"/>
              </w:rPr>
            </w:pPr>
          </w:p>
        </w:tc>
        <w:tc>
          <w:tcPr>
            <w:tcW w:w="1421" w:type="dxa"/>
            <w:tcBorders>
              <w:top w:val="single" w:color="auto" w:sz="4" w:space="0"/>
              <w:left w:val="single" w:color="auto" w:sz="4" w:space="0"/>
              <w:bottom w:val="single" w:color="auto" w:sz="4" w:space="0"/>
              <w:right w:val="single" w:color="auto" w:sz="4" w:space="0"/>
            </w:tcBorders>
            <w:vAlign w:val="center"/>
          </w:tcPr>
          <w:p w14:paraId="55445F8A">
            <w:pPr>
              <w:keepNext w:val="0"/>
              <w:keepLines w:val="0"/>
              <w:pageBreakBefore w:val="0"/>
              <w:widowControl w:val="0"/>
              <w:tabs>
                <w:tab w:val="left" w:pos="480"/>
              </w:tabs>
              <w:kinsoku/>
              <w:wordWrap/>
              <w:overflowPunct/>
              <w:topLinePunct w:val="0"/>
              <w:autoSpaceDE/>
              <w:autoSpaceDN/>
              <w:bidi w:val="0"/>
              <w:adjustRightInd/>
              <w:snapToGrid/>
              <w:spacing w:before="157" w:beforeLines="50" w:line="360" w:lineRule="auto"/>
              <w:jc w:val="left"/>
              <w:textAlignment w:val="auto"/>
              <w:rPr>
                <w:rFonts w:hint="eastAsia" w:ascii="宋体" w:hAnsi="宋体" w:eastAsia="宋体" w:cs="宋体"/>
                <w:sz w:val="24"/>
                <w:szCs w:val="24"/>
                <w:highlight w:val="none"/>
              </w:rPr>
            </w:pPr>
          </w:p>
        </w:tc>
        <w:tc>
          <w:tcPr>
            <w:tcW w:w="2648" w:type="dxa"/>
            <w:tcBorders>
              <w:top w:val="single" w:color="auto" w:sz="4" w:space="0"/>
              <w:left w:val="single" w:color="auto" w:sz="4" w:space="0"/>
              <w:bottom w:val="single" w:color="auto" w:sz="4" w:space="0"/>
              <w:right w:val="single" w:color="auto" w:sz="4" w:space="0"/>
            </w:tcBorders>
            <w:vAlign w:val="center"/>
          </w:tcPr>
          <w:p w14:paraId="0AB3429E">
            <w:pPr>
              <w:keepNext w:val="0"/>
              <w:keepLines w:val="0"/>
              <w:pageBreakBefore w:val="0"/>
              <w:widowControl w:val="0"/>
              <w:tabs>
                <w:tab w:val="left" w:pos="480"/>
              </w:tabs>
              <w:kinsoku/>
              <w:wordWrap/>
              <w:overflowPunct/>
              <w:topLinePunct w:val="0"/>
              <w:autoSpaceDE/>
              <w:autoSpaceDN/>
              <w:bidi w:val="0"/>
              <w:adjustRightInd/>
              <w:snapToGrid/>
              <w:spacing w:before="157" w:beforeLines="50" w:line="360" w:lineRule="auto"/>
              <w:jc w:val="left"/>
              <w:textAlignment w:val="auto"/>
              <w:rPr>
                <w:rFonts w:hint="eastAsia" w:ascii="宋体" w:hAnsi="宋体" w:eastAsia="宋体" w:cs="宋体"/>
                <w:sz w:val="24"/>
                <w:szCs w:val="24"/>
                <w:highlight w:val="none"/>
              </w:rPr>
            </w:pPr>
          </w:p>
        </w:tc>
        <w:tc>
          <w:tcPr>
            <w:tcW w:w="1096" w:type="dxa"/>
            <w:tcBorders>
              <w:top w:val="single" w:color="auto" w:sz="4" w:space="0"/>
              <w:left w:val="single" w:color="auto" w:sz="4" w:space="0"/>
              <w:bottom w:val="single" w:color="auto" w:sz="4" w:space="0"/>
              <w:right w:val="single" w:color="auto" w:sz="4" w:space="0"/>
            </w:tcBorders>
            <w:vAlign w:val="center"/>
          </w:tcPr>
          <w:p w14:paraId="2AD49835">
            <w:pPr>
              <w:keepNext w:val="0"/>
              <w:keepLines w:val="0"/>
              <w:pageBreakBefore w:val="0"/>
              <w:widowControl w:val="0"/>
              <w:tabs>
                <w:tab w:val="left" w:pos="480"/>
              </w:tabs>
              <w:kinsoku/>
              <w:wordWrap/>
              <w:overflowPunct/>
              <w:topLinePunct w:val="0"/>
              <w:autoSpaceDE/>
              <w:autoSpaceDN/>
              <w:bidi w:val="0"/>
              <w:adjustRightInd/>
              <w:snapToGrid/>
              <w:spacing w:before="157" w:beforeLines="50" w:line="360" w:lineRule="auto"/>
              <w:jc w:val="left"/>
              <w:textAlignment w:val="auto"/>
              <w:rPr>
                <w:rFonts w:hint="eastAsia" w:ascii="宋体" w:hAnsi="宋体" w:eastAsia="宋体" w:cs="宋体"/>
                <w:sz w:val="24"/>
                <w:szCs w:val="24"/>
                <w:highlight w:val="none"/>
              </w:rPr>
            </w:pPr>
          </w:p>
        </w:tc>
      </w:tr>
      <w:tr w14:paraId="2E549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1198" w:type="dxa"/>
            <w:tcBorders>
              <w:top w:val="single" w:color="auto" w:sz="4" w:space="0"/>
              <w:left w:val="single" w:color="auto" w:sz="4" w:space="0"/>
              <w:bottom w:val="single" w:color="auto" w:sz="4" w:space="0"/>
              <w:right w:val="single" w:color="auto" w:sz="4" w:space="0"/>
            </w:tcBorders>
            <w:vAlign w:val="center"/>
          </w:tcPr>
          <w:p w14:paraId="368E3CF7">
            <w:pPr>
              <w:keepNext w:val="0"/>
              <w:keepLines w:val="0"/>
              <w:pageBreakBefore w:val="0"/>
              <w:widowControl w:val="0"/>
              <w:tabs>
                <w:tab w:val="left" w:pos="480"/>
              </w:tabs>
              <w:kinsoku/>
              <w:wordWrap/>
              <w:overflowPunct/>
              <w:topLinePunct w:val="0"/>
              <w:autoSpaceDE/>
              <w:autoSpaceDN/>
              <w:bidi w:val="0"/>
              <w:adjustRightInd/>
              <w:snapToGrid/>
              <w:spacing w:before="157" w:beforeLines="50"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w:t>
            </w:r>
          </w:p>
        </w:tc>
        <w:tc>
          <w:tcPr>
            <w:tcW w:w="1855" w:type="dxa"/>
            <w:tcBorders>
              <w:top w:val="single" w:color="auto" w:sz="4" w:space="0"/>
              <w:left w:val="single" w:color="auto" w:sz="4" w:space="0"/>
              <w:bottom w:val="single" w:color="auto" w:sz="4" w:space="0"/>
              <w:right w:val="single" w:color="auto" w:sz="4" w:space="0"/>
            </w:tcBorders>
            <w:vAlign w:val="center"/>
          </w:tcPr>
          <w:p w14:paraId="73FB0C47">
            <w:pPr>
              <w:keepNext w:val="0"/>
              <w:keepLines w:val="0"/>
              <w:pageBreakBefore w:val="0"/>
              <w:widowControl w:val="0"/>
              <w:tabs>
                <w:tab w:val="left" w:pos="480"/>
              </w:tabs>
              <w:kinsoku/>
              <w:wordWrap/>
              <w:overflowPunct/>
              <w:topLinePunct w:val="0"/>
              <w:autoSpaceDE/>
              <w:autoSpaceDN/>
              <w:bidi w:val="0"/>
              <w:adjustRightInd/>
              <w:snapToGrid/>
              <w:spacing w:before="157" w:beforeLines="50" w:line="360" w:lineRule="auto"/>
              <w:jc w:val="left"/>
              <w:textAlignment w:val="auto"/>
              <w:rPr>
                <w:rFonts w:hint="eastAsia" w:ascii="宋体" w:hAnsi="宋体" w:eastAsia="宋体" w:cs="宋体"/>
                <w:sz w:val="24"/>
                <w:szCs w:val="24"/>
                <w:highlight w:val="none"/>
              </w:rPr>
            </w:pPr>
          </w:p>
        </w:tc>
        <w:tc>
          <w:tcPr>
            <w:tcW w:w="1421" w:type="dxa"/>
            <w:tcBorders>
              <w:top w:val="single" w:color="auto" w:sz="4" w:space="0"/>
              <w:left w:val="single" w:color="auto" w:sz="4" w:space="0"/>
              <w:bottom w:val="single" w:color="auto" w:sz="4" w:space="0"/>
              <w:right w:val="single" w:color="auto" w:sz="4" w:space="0"/>
            </w:tcBorders>
            <w:vAlign w:val="center"/>
          </w:tcPr>
          <w:p w14:paraId="237B0995">
            <w:pPr>
              <w:keepNext w:val="0"/>
              <w:keepLines w:val="0"/>
              <w:pageBreakBefore w:val="0"/>
              <w:widowControl w:val="0"/>
              <w:tabs>
                <w:tab w:val="left" w:pos="480"/>
              </w:tabs>
              <w:kinsoku/>
              <w:wordWrap/>
              <w:overflowPunct/>
              <w:topLinePunct w:val="0"/>
              <w:autoSpaceDE/>
              <w:autoSpaceDN/>
              <w:bidi w:val="0"/>
              <w:adjustRightInd/>
              <w:snapToGrid/>
              <w:spacing w:before="157" w:beforeLines="50" w:line="360" w:lineRule="auto"/>
              <w:jc w:val="left"/>
              <w:textAlignment w:val="auto"/>
              <w:rPr>
                <w:rFonts w:hint="eastAsia" w:ascii="宋体" w:hAnsi="宋体" w:eastAsia="宋体" w:cs="宋体"/>
                <w:sz w:val="24"/>
                <w:szCs w:val="24"/>
                <w:highlight w:val="none"/>
              </w:rPr>
            </w:pPr>
          </w:p>
        </w:tc>
        <w:tc>
          <w:tcPr>
            <w:tcW w:w="2648" w:type="dxa"/>
            <w:tcBorders>
              <w:top w:val="single" w:color="auto" w:sz="4" w:space="0"/>
              <w:left w:val="single" w:color="auto" w:sz="4" w:space="0"/>
              <w:bottom w:val="single" w:color="auto" w:sz="4" w:space="0"/>
              <w:right w:val="single" w:color="auto" w:sz="4" w:space="0"/>
            </w:tcBorders>
            <w:vAlign w:val="center"/>
          </w:tcPr>
          <w:p w14:paraId="6934347A">
            <w:pPr>
              <w:keepNext w:val="0"/>
              <w:keepLines w:val="0"/>
              <w:pageBreakBefore w:val="0"/>
              <w:widowControl w:val="0"/>
              <w:tabs>
                <w:tab w:val="left" w:pos="480"/>
              </w:tabs>
              <w:kinsoku/>
              <w:wordWrap/>
              <w:overflowPunct/>
              <w:topLinePunct w:val="0"/>
              <w:autoSpaceDE/>
              <w:autoSpaceDN/>
              <w:bidi w:val="0"/>
              <w:adjustRightInd/>
              <w:snapToGrid/>
              <w:spacing w:before="157" w:beforeLines="50" w:line="360" w:lineRule="auto"/>
              <w:jc w:val="left"/>
              <w:textAlignment w:val="auto"/>
              <w:rPr>
                <w:rFonts w:hint="eastAsia" w:ascii="宋体" w:hAnsi="宋体" w:eastAsia="宋体" w:cs="宋体"/>
                <w:sz w:val="24"/>
                <w:szCs w:val="24"/>
                <w:highlight w:val="none"/>
              </w:rPr>
            </w:pPr>
          </w:p>
        </w:tc>
        <w:tc>
          <w:tcPr>
            <w:tcW w:w="1096" w:type="dxa"/>
            <w:tcBorders>
              <w:top w:val="single" w:color="auto" w:sz="4" w:space="0"/>
              <w:left w:val="single" w:color="auto" w:sz="4" w:space="0"/>
              <w:bottom w:val="single" w:color="auto" w:sz="4" w:space="0"/>
              <w:right w:val="single" w:color="auto" w:sz="4" w:space="0"/>
            </w:tcBorders>
            <w:vAlign w:val="center"/>
          </w:tcPr>
          <w:p w14:paraId="1819CFDE">
            <w:pPr>
              <w:keepNext w:val="0"/>
              <w:keepLines w:val="0"/>
              <w:pageBreakBefore w:val="0"/>
              <w:widowControl w:val="0"/>
              <w:tabs>
                <w:tab w:val="left" w:pos="480"/>
              </w:tabs>
              <w:kinsoku/>
              <w:wordWrap/>
              <w:overflowPunct/>
              <w:topLinePunct w:val="0"/>
              <w:autoSpaceDE/>
              <w:autoSpaceDN/>
              <w:bidi w:val="0"/>
              <w:adjustRightInd/>
              <w:snapToGrid/>
              <w:spacing w:before="157" w:beforeLines="50" w:line="360" w:lineRule="auto"/>
              <w:jc w:val="left"/>
              <w:textAlignment w:val="auto"/>
              <w:rPr>
                <w:rFonts w:hint="eastAsia" w:ascii="宋体" w:hAnsi="宋体" w:eastAsia="宋体" w:cs="宋体"/>
                <w:sz w:val="24"/>
                <w:szCs w:val="24"/>
                <w:highlight w:val="none"/>
              </w:rPr>
            </w:pPr>
          </w:p>
        </w:tc>
      </w:tr>
    </w:tbl>
    <w:p w14:paraId="4446A124">
      <w:pPr>
        <w:keepNext w:val="0"/>
        <w:keepLines w:val="0"/>
        <w:pageBreakBefore w:val="0"/>
        <w:widowControl w:val="0"/>
        <w:tabs>
          <w:tab w:val="left" w:pos="480"/>
        </w:tabs>
        <w:kinsoku/>
        <w:wordWrap/>
        <w:overflowPunct/>
        <w:topLinePunct w:val="0"/>
        <w:autoSpaceDE/>
        <w:autoSpaceDN/>
        <w:bidi w:val="0"/>
        <w:adjustRightInd/>
        <w:snapToGrid/>
        <w:spacing w:before="157" w:beforeLines="50" w:line="360" w:lineRule="auto"/>
        <w:jc w:val="left"/>
        <w:textAlignment w:val="auto"/>
        <w:outlineLvl w:val="1"/>
        <w:rPr>
          <w:rFonts w:hint="eastAsia" w:ascii="宋体" w:hAnsi="宋体" w:eastAsia="宋体" w:cs="宋体"/>
          <w:b/>
          <w:sz w:val="24"/>
          <w:szCs w:val="24"/>
          <w:highlight w:val="none"/>
        </w:rPr>
      </w:pPr>
      <w:bookmarkStart w:id="73" w:name="_Toc3926"/>
      <w:bookmarkStart w:id="74" w:name="_Toc8066"/>
      <w:bookmarkStart w:id="75" w:name="_Toc4137"/>
      <w:r>
        <w:rPr>
          <w:rFonts w:hint="eastAsia" w:ascii="宋体" w:hAnsi="宋体" w:eastAsia="宋体" w:cs="宋体"/>
          <w:b/>
          <w:sz w:val="24"/>
          <w:szCs w:val="24"/>
          <w:highlight w:val="none"/>
        </w:rPr>
        <w:t>二、合同价款</w:t>
      </w:r>
      <w:bookmarkEnd w:id="73"/>
      <w:bookmarkEnd w:id="74"/>
      <w:bookmarkEnd w:id="75"/>
    </w:p>
    <w:p w14:paraId="6719E176">
      <w:pPr>
        <w:keepNext w:val="0"/>
        <w:keepLines w:val="0"/>
        <w:pageBreakBefore w:val="0"/>
        <w:widowControl w:val="0"/>
        <w:tabs>
          <w:tab w:val="left" w:pos="480"/>
        </w:tabs>
        <w:kinsoku/>
        <w:wordWrap/>
        <w:overflowPunct/>
        <w:topLinePunct w:val="0"/>
        <w:autoSpaceDE/>
        <w:autoSpaceDN/>
        <w:bidi w:val="0"/>
        <w:adjustRightInd/>
        <w:snapToGrid/>
        <w:spacing w:before="157" w:beforeLines="50" w:line="360" w:lineRule="auto"/>
        <w:ind w:firstLine="480" w:firstLineChars="200"/>
        <w:jc w:val="left"/>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（一）本合同为总价合同，各项服务的合同总价为其磋商最终报价。</w:t>
      </w:r>
    </w:p>
    <w:p w14:paraId="0E2E6CEA">
      <w:pPr>
        <w:keepNext w:val="0"/>
        <w:keepLines w:val="0"/>
        <w:pageBreakBefore w:val="0"/>
        <w:widowControl w:val="0"/>
        <w:tabs>
          <w:tab w:val="left" w:pos="480"/>
        </w:tabs>
        <w:kinsoku/>
        <w:wordWrap/>
        <w:overflowPunct/>
        <w:topLinePunct w:val="0"/>
        <w:autoSpaceDE/>
        <w:autoSpaceDN/>
        <w:bidi w:val="0"/>
        <w:adjustRightInd/>
        <w:snapToGrid/>
        <w:spacing w:before="157" w:beforeLines="50" w:line="360" w:lineRule="auto"/>
        <w:ind w:firstLine="480" w:firstLineChars="200"/>
        <w:jc w:val="left"/>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（二）合同价包括：</w:t>
      </w:r>
    </w:p>
    <w:p w14:paraId="580BF590">
      <w:pPr>
        <w:keepNext w:val="0"/>
        <w:keepLines w:val="0"/>
        <w:pageBreakBefore w:val="0"/>
        <w:widowControl w:val="0"/>
        <w:tabs>
          <w:tab w:val="left" w:pos="480"/>
        </w:tabs>
        <w:kinsoku/>
        <w:wordWrap/>
        <w:overflowPunct/>
        <w:topLinePunct w:val="0"/>
        <w:autoSpaceDE/>
        <w:autoSpaceDN/>
        <w:bidi w:val="0"/>
        <w:adjustRightInd/>
        <w:snapToGrid/>
        <w:spacing w:before="157" w:beforeLines="50" w:line="360" w:lineRule="auto"/>
        <w:jc w:val="left"/>
        <w:textAlignment w:val="auto"/>
        <w:outlineLvl w:val="1"/>
        <w:rPr>
          <w:rFonts w:hint="eastAsia" w:ascii="宋体" w:hAnsi="宋体" w:eastAsia="宋体" w:cs="宋体"/>
          <w:b/>
          <w:sz w:val="24"/>
          <w:szCs w:val="24"/>
          <w:highlight w:val="none"/>
        </w:rPr>
      </w:pPr>
      <w:bookmarkStart w:id="76" w:name="_Toc28664"/>
      <w:bookmarkStart w:id="77" w:name="_Toc23247"/>
      <w:bookmarkStart w:id="78" w:name="_Toc5678"/>
      <w:r>
        <w:rPr>
          <w:rFonts w:hint="eastAsia" w:ascii="宋体" w:hAnsi="宋体" w:eastAsia="宋体" w:cs="宋体"/>
          <w:b/>
          <w:sz w:val="24"/>
          <w:szCs w:val="24"/>
          <w:highlight w:val="none"/>
        </w:rPr>
        <w:t>三、款项结算</w:t>
      </w:r>
      <w:bookmarkEnd w:id="76"/>
      <w:bookmarkEnd w:id="77"/>
      <w:bookmarkEnd w:id="78"/>
    </w:p>
    <w:p w14:paraId="2A3C5EB2">
      <w:pPr>
        <w:keepNext w:val="0"/>
        <w:keepLines w:val="0"/>
        <w:pageBreakBefore w:val="0"/>
        <w:widowControl w:val="0"/>
        <w:tabs>
          <w:tab w:val="left" w:pos="480"/>
        </w:tabs>
        <w:kinsoku/>
        <w:wordWrap/>
        <w:overflowPunct/>
        <w:topLinePunct w:val="0"/>
        <w:autoSpaceDE/>
        <w:autoSpaceDN/>
        <w:bidi w:val="0"/>
        <w:adjustRightInd/>
        <w:snapToGrid/>
        <w:spacing w:before="157" w:beforeLines="50"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详见合同前附表。</w:t>
      </w:r>
    </w:p>
    <w:p w14:paraId="7E90B594">
      <w:pPr>
        <w:keepNext w:val="0"/>
        <w:keepLines w:val="0"/>
        <w:pageBreakBefore w:val="0"/>
        <w:widowControl w:val="0"/>
        <w:tabs>
          <w:tab w:val="left" w:pos="480"/>
        </w:tabs>
        <w:kinsoku/>
        <w:wordWrap/>
        <w:overflowPunct/>
        <w:topLinePunct w:val="0"/>
        <w:autoSpaceDE/>
        <w:autoSpaceDN/>
        <w:bidi w:val="0"/>
        <w:adjustRightInd/>
        <w:snapToGrid/>
        <w:spacing w:before="157" w:beforeLines="50" w:line="360" w:lineRule="auto"/>
        <w:jc w:val="left"/>
        <w:textAlignment w:val="auto"/>
        <w:outlineLvl w:val="1"/>
        <w:rPr>
          <w:rFonts w:hint="eastAsia" w:ascii="宋体" w:hAnsi="宋体" w:eastAsia="宋体" w:cs="宋体"/>
          <w:sz w:val="24"/>
          <w:szCs w:val="24"/>
          <w:highlight w:val="none"/>
        </w:rPr>
      </w:pPr>
      <w:bookmarkStart w:id="79" w:name="_Toc15939"/>
      <w:bookmarkStart w:id="80" w:name="_Toc21714"/>
      <w:bookmarkStart w:id="81" w:name="_Toc24406"/>
      <w:r>
        <w:rPr>
          <w:rFonts w:hint="eastAsia" w:ascii="宋体" w:hAnsi="宋体" w:eastAsia="宋体" w:cs="宋体"/>
          <w:b/>
          <w:sz w:val="24"/>
          <w:szCs w:val="24"/>
          <w:highlight w:val="none"/>
        </w:rPr>
        <w:t>四、服务条件：</w:t>
      </w:r>
      <w:bookmarkEnd w:id="79"/>
      <w:bookmarkEnd w:id="80"/>
      <w:bookmarkEnd w:id="81"/>
    </w:p>
    <w:p w14:paraId="5D3733A7">
      <w:pPr>
        <w:keepNext w:val="0"/>
        <w:keepLines w:val="0"/>
        <w:pageBreakBefore w:val="0"/>
        <w:widowControl w:val="0"/>
        <w:tabs>
          <w:tab w:val="left" w:pos="480"/>
        </w:tabs>
        <w:kinsoku/>
        <w:wordWrap/>
        <w:overflowPunct/>
        <w:topLinePunct w:val="0"/>
        <w:autoSpaceDE/>
        <w:autoSpaceDN/>
        <w:bidi w:val="0"/>
        <w:adjustRightInd/>
        <w:snapToGrid/>
        <w:spacing w:before="157" w:beforeLines="50"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（一）服务地点：</w:t>
      </w:r>
    </w:p>
    <w:p w14:paraId="158BA70A">
      <w:pPr>
        <w:keepNext w:val="0"/>
        <w:keepLines w:val="0"/>
        <w:pageBreakBefore w:val="0"/>
        <w:widowControl w:val="0"/>
        <w:tabs>
          <w:tab w:val="left" w:pos="480"/>
        </w:tabs>
        <w:kinsoku/>
        <w:wordWrap/>
        <w:overflowPunct/>
        <w:topLinePunct w:val="0"/>
        <w:autoSpaceDE/>
        <w:autoSpaceDN/>
        <w:bidi w:val="0"/>
        <w:adjustRightInd/>
        <w:snapToGrid/>
        <w:spacing w:before="157" w:beforeLines="50" w:line="360" w:lineRule="auto"/>
        <w:ind w:firstLine="480" w:firstLineChars="200"/>
        <w:jc w:val="left"/>
        <w:textAlignment w:val="auto"/>
        <w:rPr>
          <w:rFonts w:hint="eastAsia" w:ascii="宋体" w:hAnsi="宋体" w:eastAsia="宋体" w:cs="宋体"/>
          <w:i/>
          <w:iCs/>
          <w:sz w:val="24"/>
          <w:szCs w:val="24"/>
          <w:highlight w:val="none"/>
          <w:u w:val="single"/>
        </w:rPr>
      </w:pPr>
      <w:r>
        <w:rPr>
          <w:rFonts w:hint="eastAsia" w:ascii="宋体" w:hAnsi="宋体" w:eastAsia="宋体" w:cs="宋体"/>
          <w:sz w:val="24"/>
          <w:szCs w:val="24"/>
          <w:highlight w:val="none"/>
        </w:rPr>
        <w:t>（二）服务期：自合同签订之日起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bookmarkStart w:id="82" w:name="_Toc27382"/>
      <w:bookmarkStart w:id="83" w:name="_Toc7966"/>
    </w:p>
    <w:p w14:paraId="67D87085">
      <w:pPr>
        <w:keepNext w:val="0"/>
        <w:keepLines w:val="0"/>
        <w:pageBreakBefore w:val="0"/>
        <w:widowControl w:val="0"/>
        <w:kinsoku/>
        <w:wordWrap/>
        <w:overflowPunct/>
        <w:topLinePunct w:val="0"/>
        <w:autoSpaceDE/>
        <w:autoSpaceDN/>
        <w:bidi w:val="0"/>
        <w:adjustRightInd/>
        <w:snapToGrid/>
        <w:spacing w:before="157" w:beforeLines="50" w:line="360" w:lineRule="auto"/>
        <w:ind w:firstLine="480"/>
        <w:jc w:val="left"/>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五、质量保</w:t>
      </w:r>
      <w:bookmarkEnd w:id="82"/>
      <w:bookmarkEnd w:id="83"/>
      <w:r>
        <w:rPr>
          <w:rFonts w:hint="eastAsia" w:ascii="宋体" w:hAnsi="宋体" w:eastAsia="宋体" w:cs="宋体"/>
          <w:b/>
          <w:sz w:val="24"/>
          <w:szCs w:val="24"/>
          <w:highlight w:val="none"/>
        </w:rPr>
        <w:t>障</w:t>
      </w:r>
    </w:p>
    <w:p w14:paraId="47DABA2D">
      <w:pPr>
        <w:keepNext w:val="0"/>
        <w:keepLines w:val="0"/>
        <w:pageBreakBefore w:val="0"/>
        <w:widowControl w:val="0"/>
        <w:tabs>
          <w:tab w:val="left" w:pos="480"/>
        </w:tabs>
        <w:kinsoku/>
        <w:wordWrap/>
        <w:overflowPunct/>
        <w:topLinePunct w:val="0"/>
        <w:autoSpaceDE/>
        <w:autoSpaceDN/>
        <w:bidi w:val="0"/>
        <w:adjustRightInd/>
        <w:snapToGrid/>
        <w:spacing w:before="157" w:beforeLines="50" w:line="360" w:lineRule="auto"/>
        <w:ind w:firstLine="470" w:firstLineChars="196"/>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1.乙方所提供货物和服务保证技术指标符合要求、质量性能可靠、必须符合国家相关法律法规的要求。</w:t>
      </w:r>
    </w:p>
    <w:p w14:paraId="3C933A39">
      <w:pPr>
        <w:keepNext w:val="0"/>
        <w:keepLines w:val="0"/>
        <w:pageBreakBefore w:val="0"/>
        <w:widowControl w:val="0"/>
        <w:tabs>
          <w:tab w:val="left" w:pos="480"/>
        </w:tabs>
        <w:kinsoku/>
        <w:wordWrap/>
        <w:overflowPunct/>
        <w:topLinePunct w:val="0"/>
        <w:autoSpaceDE/>
        <w:autoSpaceDN/>
        <w:bidi w:val="0"/>
        <w:adjustRightInd/>
        <w:snapToGrid/>
        <w:spacing w:before="157" w:beforeLines="50" w:line="360" w:lineRule="auto"/>
        <w:ind w:firstLine="470" w:firstLineChars="196"/>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2、成交单位应当保证其具有完成本项目所要求的货物和服务所必须具备的专业设备和服务能力。</w:t>
      </w:r>
    </w:p>
    <w:p w14:paraId="4045DD34">
      <w:pPr>
        <w:keepNext w:val="0"/>
        <w:keepLines w:val="0"/>
        <w:pageBreakBefore w:val="0"/>
        <w:widowControl w:val="0"/>
        <w:tabs>
          <w:tab w:val="left" w:pos="480"/>
        </w:tabs>
        <w:kinsoku/>
        <w:wordWrap/>
        <w:overflowPunct/>
        <w:topLinePunct w:val="0"/>
        <w:autoSpaceDE/>
        <w:autoSpaceDN/>
        <w:bidi w:val="0"/>
        <w:adjustRightInd/>
        <w:snapToGrid/>
        <w:spacing w:before="157" w:beforeLines="50" w:line="360" w:lineRule="auto"/>
        <w:jc w:val="left"/>
        <w:textAlignment w:val="auto"/>
        <w:outlineLvl w:val="1"/>
        <w:rPr>
          <w:rFonts w:hint="eastAsia" w:ascii="宋体" w:hAnsi="宋体" w:eastAsia="宋体" w:cs="宋体"/>
          <w:b/>
          <w:sz w:val="24"/>
          <w:szCs w:val="24"/>
          <w:highlight w:val="none"/>
        </w:rPr>
      </w:pPr>
      <w:bookmarkStart w:id="84" w:name="_Toc21314"/>
      <w:bookmarkStart w:id="85" w:name="_Toc3171"/>
      <w:bookmarkStart w:id="86" w:name="_Toc12558"/>
      <w:r>
        <w:rPr>
          <w:rFonts w:hint="eastAsia" w:ascii="宋体" w:hAnsi="宋体" w:eastAsia="宋体" w:cs="宋体"/>
          <w:b/>
          <w:sz w:val="24"/>
          <w:szCs w:val="24"/>
          <w:highlight w:val="none"/>
        </w:rPr>
        <w:t>六、技术与服务</w:t>
      </w:r>
      <w:bookmarkEnd w:id="84"/>
      <w:bookmarkEnd w:id="85"/>
      <w:bookmarkEnd w:id="86"/>
    </w:p>
    <w:p w14:paraId="339DD68E">
      <w:pPr>
        <w:keepNext w:val="0"/>
        <w:keepLines w:val="0"/>
        <w:pageBreakBefore w:val="0"/>
        <w:widowControl w:val="0"/>
        <w:tabs>
          <w:tab w:val="left" w:pos="480"/>
        </w:tabs>
        <w:kinsoku/>
        <w:wordWrap/>
        <w:overflowPunct/>
        <w:topLinePunct w:val="0"/>
        <w:autoSpaceDE/>
        <w:autoSpaceDN/>
        <w:bidi w:val="0"/>
        <w:adjustRightInd/>
        <w:snapToGrid/>
        <w:spacing w:before="157" w:beforeLines="50"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（一）技术资料：</w:t>
      </w:r>
    </w:p>
    <w:p w14:paraId="044BFEEF">
      <w:pPr>
        <w:keepNext w:val="0"/>
        <w:keepLines w:val="0"/>
        <w:pageBreakBefore w:val="0"/>
        <w:widowControl w:val="0"/>
        <w:tabs>
          <w:tab w:val="left" w:pos="480"/>
        </w:tabs>
        <w:kinsoku/>
        <w:wordWrap/>
        <w:overflowPunct/>
        <w:topLinePunct w:val="0"/>
        <w:autoSpaceDE/>
        <w:autoSpaceDN/>
        <w:bidi w:val="0"/>
        <w:adjustRightInd/>
        <w:snapToGrid/>
        <w:spacing w:before="157" w:beforeLines="50"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技术资料：</w:t>
      </w:r>
    </w:p>
    <w:p w14:paraId="53904D58">
      <w:pPr>
        <w:keepNext w:val="0"/>
        <w:keepLines w:val="0"/>
        <w:pageBreakBefore w:val="0"/>
        <w:widowControl w:val="0"/>
        <w:tabs>
          <w:tab w:val="left" w:pos="480"/>
        </w:tabs>
        <w:kinsoku/>
        <w:wordWrap/>
        <w:overflowPunct/>
        <w:topLinePunct w:val="0"/>
        <w:autoSpaceDE/>
        <w:autoSpaceDN/>
        <w:bidi w:val="0"/>
        <w:adjustRightInd/>
        <w:snapToGrid/>
        <w:spacing w:before="157" w:beforeLines="50"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成交供应商应随同服务提供相应的中文技术文件。</w:t>
      </w:r>
    </w:p>
    <w:p w14:paraId="6E27F118">
      <w:pPr>
        <w:keepNext w:val="0"/>
        <w:keepLines w:val="0"/>
        <w:pageBreakBefore w:val="0"/>
        <w:widowControl w:val="0"/>
        <w:tabs>
          <w:tab w:val="left" w:pos="480"/>
        </w:tabs>
        <w:kinsoku/>
        <w:wordWrap/>
        <w:overflowPunct/>
        <w:topLinePunct w:val="0"/>
        <w:autoSpaceDE/>
        <w:autoSpaceDN/>
        <w:bidi w:val="0"/>
        <w:adjustRightInd/>
        <w:snapToGrid/>
        <w:spacing w:before="157" w:beforeLines="50"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（二）服务承诺：以竞争性</w:t>
      </w:r>
      <w:r>
        <w:rPr>
          <w:rFonts w:hint="eastAsia" w:ascii="宋体" w:hAnsi="宋体" w:eastAsia="宋体" w:cs="宋体"/>
          <w:sz w:val="24"/>
          <w:szCs w:val="24"/>
          <w:highlight w:val="none"/>
          <w:lang w:val="en-US" w:eastAsia="zh-CN"/>
        </w:rPr>
        <w:t>磋商响应</w:t>
      </w:r>
      <w:r>
        <w:rPr>
          <w:rFonts w:hint="eastAsia" w:ascii="宋体" w:hAnsi="宋体" w:eastAsia="宋体" w:cs="宋体"/>
          <w:sz w:val="24"/>
          <w:szCs w:val="24"/>
          <w:highlight w:val="none"/>
          <w:lang w:eastAsia="zh-CN"/>
        </w:rPr>
        <w:t>文件</w:t>
      </w:r>
      <w:r>
        <w:rPr>
          <w:rFonts w:hint="eastAsia" w:ascii="宋体" w:hAnsi="宋体" w:eastAsia="宋体" w:cs="宋体"/>
          <w:sz w:val="24"/>
          <w:szCs w:val="24"/>
          <w:highlight w:val="none"/>
        </w:rPr>
        <w:t>、澄清表（函）、合同和随货物的相关文件为准。</w:t>
      </w:r>
    </w:p>
    <w:p w14:paraId="68F08AD1">
      <w:pPr>
        <w:keepNext w:val="0"/>
        <w:keepLines w:val="0"/>
        <w:pageBreakBefore w:val="0"/>
        <w:widowControl w:val="0"/>
        <w:tabs>
          <w:tab w:val="left" w:pos="480"/>
        </w:tabs>
        <w:kinsoku/>
        <w:wordWrap/>
        <w:overflowPunct/>
        <w:topLinePunct w:val="0"/>
        <w:autoSpaceDE/>
        <w:autoSpaceDN/>
        <w:bidi w:val="0"/>
        <w:adjustRightInd/>
        <w:snapToGrid/>
        <w:spacing w:before="157" w:beforeLines="50" w:line="360" w:lineRule="auto"/>
        <w:jc w:val="left"/>
        <w:textAlignment w:val="auto"/>
        <w:outlineLvl w:val="1"/>
        <w:rPr>
          <w:rFonts w:hint="eastAsia" w:ascii="宋体" w:hAnsi="宋体" w:eastAsia="宋体" w:cs="宋体"/>
          <w:b/>
          <w:sz w:val="24"/>
          <w:szCs w:val="24"/>
          <w:highlight w:val="none"/>
        </w:rPr>
      </w:pPr>
      <w:bookmarkStart w:id="87" w:name="_Toc22161"/>
      <w:bookmarkStart w:id="88" w:name="_Toc20183"/>
      <w:bookmarkStart w:id="89" w:name="_Toc12975"/>
      <w:r>
        <w:rPr>
          <w:rFonts w:hint="eastAsia" w:ascii="宋体" w:hAnsi="宋体" w:eastAsia="宋体" w:cs="宋体"/>
          <w:b/>
          <w:sz w:val="24"/>
          <w:szCs w:val="24"/>
          <w:highlight w:val="none"/>
        </w:rPr>
        <w:t>七、验收</w:t>
      </w:r>
      <w:bookmarkEnd w:id="87"/>
      <w:bookmarkEnd w:id="88"/>
      <w:bookmarkEnd w:id="89"/>
    </w:p>
    <w:p w14:paraId="495032B7">
      <w:pPr>
        <w:keepNext w:val="0"/>
        <w:keepLines w:val="0"/>
        <w:pageBreakBefore w:val="0"/>
        <w:widowControl w:val="0"/>
        <w:kinsoku/>
        <w:wordWrap/>
        <w:overflowPunct/>
        <w:topLinePunct w:val="0"/>
        <w:autoSpaceDE/>
        <w:autoSpaceDN/>
        <w:bidi w:val="0"/>
        <w:adjustRightInd/>
        <w:snapToGrid/>
        <w:spacing w:before="157" w:beforeLines="50" w:line="360" w:lineRule="auto"/>
        <w:ind w:firstLine="480" w:firstLineChars="200"/>
        <w:jc w:val="left"/>
        <w:textAlignment w:val="auto"/>
        <w:rPr>
          <w:rFonts w:hint="eastAsia" w:ascii="宋体" w:hAnsi="宋体" w:eastAsia="宋体" w:cs="宋体"/>
          <w:color w:val="auto"/>
          <w:sz w:val="24"/>
          <w:szCs w:val="24"/>
          <w:highlight w:val="none"/>
        </w:rPr>
      </w:pPr>
      <w:bookmarkStart w:id="90" w:name="_Toc20026"/>
      <w:bookmarkStart w:id="91" w:name="_Toc16693"/>
      <w:bookmarkStart w:id="92" w:name="_Toc9858"/>
      <w:r>
        <w:rPr>
          <w:rFonts w:hint="eastAsia" w:ascii="宋体" w:hAnsi="宋体" w:eastAsia="宋体" w:cs="宋体"/>
          <w:color w:val="auto"/>
          <w:sz w:val="24"/>
          <w:szCs w:val="24"/>
          <w:highlight w:val="none"/>
        </w:rPr>
        <w:t>1、所验服务最终验收达不到磋商文件要求和磋商响应文件承诺及国家或行业标准的，或在使用中发现甲方不能容忍的缺陷等，将视为验收不合格，乙方应在甲方要求的时间内无条件完善或要求赔付甲方损失。</w:t>
      </w:r>
    </w:p>
    <w:p w14:paraId="208262A6">
      <w:pPr>
        <w:keepNext w:val="0"/>
        <w:keepLines w:val="0"/>
        <w:pageBreakBefore w:val="0"/>
        <w:widowControl w:val="0"/>
        <w:kinsoku/>
        <w:wordWrap/>
        <w:overflowPunct/>
        <w:topLinePunct w:val="0"/>
        <w:autoSpaceDE/>
        <w:autoSpaceDN/>
        <w:bidi w:val="0"/>
        <w:adjustRightInd/>
        <w:snapToGrid/>
        <w:spacing w:before="157" w:beforeLines="50"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2、若发现乙方有弄虚作假的，及在项目实施阶段故意或随意夸大服务，本合同解除，乙方赔偿甲方相应的损失。</w:t>
      </w:r>
    </w:p>
    <w:p w14:paraId="40001EF7">
      <w:pPr>
        <w:keepNext w:val="0"/>
        <w:keepLines w:val="0"/>
        <w:pageBreakBefore w:val="0"/>
        <w:widowControl w:val="0"/>
        <w:tabs>
          <w:tab w:val="left" w:pos="480"/>
        </w:tabs>
        <w:kinsoku/>
        <w:wordWrap/>
        <w:overflowPunct/>
        <w:topLinePunct w:val="0"/>
        <w:autoSpaceDE/>
        <w:autoSpaceDN/>
        <w:bidi w:val="0"/>
        <w:adjustRightInd/>
        <w:snapToGrid/>
        <w:spacing w:before="157" w:beforeLines="50" w:line="360" w:lineRule="auto"/>
        <w:ind w:firstLine="480" w:firstLineChars="200"/>
        <w:jc w:val="left"/>
        <w:textAlignment w:val="auto"/>
        <w:outlineLvl w:val="1"/>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3、验收标准：按磋商文件、磋商响应文件及磋商记录表等技术指标进行逐项验收。各项指标均应符合验收标准及要求。</w:t>
      </w:r>
    </w:p>
    <w:p w14:paraId="60F1DE34">
      <w:pPr>
        <w:keepNext w:val="0"/>
        <w:keepLines w:val="0"/>
        <w:pageBreakBefore w:val="0"/>
        <w:widowControl w:val="0"/>
        <w:tabs>
          <w:tab w:val="left" w:pos="480"/>
        </w:tabs>
        <w:kinsoku/>
        <w:wordWrap/>
        <w:overflowPunct/>
        <w:topLinePunct w:val="0"/>
        <w:autoSpaceDE/>
        <w:autoSpaceDN/>
        <w:bidi w:val="0"/>
        <w:adjustRightInd/>
        <w:snapToGrid/>
        <w:spacing w:before="157" w:beforeLines="50" w:line="360" w:lineRule="auto"/>
        <w:jc w:val="left"/>
        <w:textAlignment w:val="auto"/>
        <w:outlineLvl w:val="1"/>
        <w:rPr>
          <w:rFonts w:hint="eastAsia" w:ascii="宋体" w:hAnsi="宋体" w:eastAsia="宋体" w:cs="宋体"/>
          <w:b/>
          <w:sz w:val="24"/>
          <w:szCs w:val="24"/>
          <w:highlight w:val="none"/>
        </w:rPr>
      </w:pPr>
      <w:r>
        <w:rPr>
          <w:rFonts w:hint="eastAsia" w:ascii="宋体" w:hAnsi="宋体" w:eastAsia="宋体" w:cs="宋体"/>
          <w:b/>
          <w:sz w:val="24"/>
          <w:szCs w:val="24"/>
          <w:highlight w:val="none"/>
        </w:rPr>
        <w:t>八、违约责任</w:t>
      </w:r>
      <w:bookmarkEnd w:id="90"/>
      <w:bookmarkEnd w:id="91"/>
      <w:bookmarkEnd w:id="92"/>
    </w:p>
    <w:p w14:paraId="37763252">
      <w:pPr>
        <w:keepNext w:val="0"/>
        <w:keepLines w:val="0"/>
        <w:pageBreakBefore w:val="0"/>
        <w:widowControl w:val="0"/>
        <w:tabs>
          <w:tab w:val="left" w:pos="480"/>
        </w:tabs>
        <w:kinsoku/>
        <w:wordWrap/>
        <w:overflowPunct/>
        <w:topLinePunct w:val="0"/>
        <w:autoSpaceDE/>
        <w:autoSpaceDN/>
        <w:bidi w:val="0"/>
        <w:adjustRightInd/>
        <w:snapToGrid/>
        <w:spacing w:before="157" w:beforeLines="50" w:line="360" w:lineRule="auto"/>
        <w:ind w:firstLine="480" w:firstLineChars="200"/>
        <w:jc w:val="left"/>
        <w:textAlignment w:val="auto"/>
        <w:outlineLvl w:val="1"/>
        <w:rPr>
          <w:rFonts w:hint="eastAsia" w:ascii="宋体" w:hAnsi="宋体" w:eastAsia="宋体" w:cs="宋体"/>
          <w:sz w:val="24"/>
          <w:szCs w:val="24"/>
          <w:highlight w:val="none"/>
        </w:rPr>
      </w:pPr>
      <w:bookmarkStart w:id="93" w:name="_Toc15454"/>
      <w:bookmarkStart w:id="94" w:name="_Toc13662"/>
      <w:bookmarkStart w:id="95" w:name="_Toc15856"/>
      <w:r>
        <w:rPr>
          <w:rFonts w:hint="eastAsia" w:ascii="宋体" w:hAnsi="宋体" w:eastAsia="宋体" w:cs="宋体"/>
          <w:sz w:val="24"/>
          <w:szCs w:val="24"/>
          <w:highlight w:val="none"/>
        </w:rPr>
        <w:t>1、按《</w:t>
      </w:r>
      <w:r>
        <w:rPr>
          <w:rFonts w:hint="eastAsia" w:ascii="宋体" w:hAnsi="宋体" w:eastAsia="宋体" w:cs="宋体"/>
          <w:color w:val="auto"/>
          <w:sz w:val="24"/>
          <w:szCs w:val="24"/>
          <w:highlight w:val="none"/>
        </w:rPr>
        <w:t>中华人民共和国</w:t>
      </w:r>
      <w:r>
        <w:rPr>
          <w:rFonts w:hint="eastAsia" w:ascii="宋体" w:hAnsi="宋体" w:eastAsia="宋体" w:cs="宋体"/>
          <w:sz w:val="24"/>
          <w:szCs w:val="24"/>
          <w:highlight w:val="none"/>
        </w:rPr>
        <w:t>民法典》中的相关条款执行。</w:t>
      </w:r>
    </w:p>
    <w:p w14:paraId="3B8B542F">
      <w:pPr>
        <w:keepNext w:val="0"/>
        <w:keepLines w:val="0"/>
        <w:pageBreakBefore w:val="0"/>
        <w:widowControl w:val="0"/>
        <w:tabs>
          <w:tab w:val="left" w:pos="480"/>
        </w:tabs>
        <w:kinsoku/>
        <w:wordWrap/>
        <w:overflowPunct/>
        <w:topLinePunct w:val="0"/>
        <w:autoSpaceDE/>
        <w:autoSpaceDN/>
        <w:bidi w:val="0"/>
        <w:adjustRightInd/>
        <w:snapToGrid/>
        <w:spacing w:before="157" w:beforeLines="50" w:line="360" w:lineRule="auto"/>
        <w:ind w:firstLine="480" w:firstLineChars="200"/>
        <w:jc w:val="left"/>
        <w:textAlignment w:val="auto"/>
        <w:outlineLvl w:val="1"/>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color w:val="auto"/>
          <w:sz w:val="24"/>
          <w:szCs w:val="24"/>
          <w:highlight w:val="none"/>
        </w:rPr>
        <w:t>未按合同要求提供服务或服务不能满足合同要求，采购人应当将服务商违约的情况以及拟采取的措施以书面形式报政府采购监管部门，根据政府采购监管部门的处理意见，采购人有权依据《中华人民共和国民法典》有关条款及合同约定终止合同，并要求服务商承担违约责任。同时，政府采购监管部门有权依据《中华人民共和国政府采购法》及相关法律法规对服务商的违法行为进行相应的处罚。</w:t>
      </w:r>
    </w:p>
    <w:p w14:paraId="6465A638">
      <w:pPr>
        <w:keepNext w:val="0"/>
        <w:keepLines w:val="0"/>
        <w:pageBreakBefore w:val="0"/>
        <w:widowControl w:val="0"/>
        <w:tabs>
          <w:tab w:val="left" w:pos="480"/>
        </w:tabs>
        <w:kinsoku/>
        <w:wordWrap/>
        <w:overflowPunct/>
        <w:topLinePunct w:val="0"/>
        <w:autoSpaceDE/>
        <w:autoSpaceDN/>
        <w:bidi w:val="0"/>
        <w:adjustRightInd/>
        <w:snapToGrid/>
        <w:spacing w:before="157" w:beforeLines="50" w:line="360" w:lineRule="auto"/>
        <w:ind w:firstLine="480" w:firstLineChars="200"/>
        <w:jc w:val="left"/>
        <w:textAlignment w:val="auto"/>
        <w:outlineLvl w:val="1"/>
        <w:rPr>
          <w:rFonts w:hint="eastAsia" w:ascii="宋体" w:hAnsi="宋体" w:eastAsia="宋体" w:cs="宋体"/>
          <w:sz w:val="24"/>
          <w:szCs w:val="24"/>
          <w:highlight w:val="none"/>
        </w:rPr>
      </w:pPr>
      <w:r>
        <w:rPr>
          <w:rFonts w:hint="eastAsia" w:ascii="宋体" w:hAnsi="宋体" w:eastAsia="宋体" w:cs="宋体"/>
          <w:sz w:val="24"/>
          <w:szCs w:val="24"/>
          <w:highlight w:val="none"/>
        </w:rPr>
        <w:t>3、由于“疫情”等不可抗力因素造成无法按照原计划提供服务，双方互不追究违约责任。</w:t>
      </w:r>
    </w:p>
    <w:p w14:paraId="4A80A473">
      <w:pPr>
        <w:keepNext w:val="0"/>
        <w:keepLines w:val="0"/>
        <w:pageBreakBefore w:val="0"/>
        <w:widowControl w:val="0"/>
        <w:tabs>
          <w:tab w:val="left" w:pos="480"/>
        </w:tabs>
        <w:kinsoku/>
        <w:wordWrap/>
        <w:overflowPunct/>
        <w:topLinePunct w:val="0"/>
        <w:autoSpaceDE/>
        <w:autoSpaceDN/>
        <w:bidi w:val="0"/>
        <w:adjustRightInd/>
        <w:snapToGrid/>
        <w:spacing w:before="157" w:beforeLines="50" w:line="360" w:lineRule="auto"/>
        <w:ind w:firstLine="480" w:firstLineChars="200"/>
        <w:jc w:val="left"/>
        <w:textAlignment w:val="auto"/>
        <w:outlineLvl w:val="1"/>
        <w:rPr>
          <w:rFonts w:hint="eastAsia" w:ascii="宋体" w:hAnsi="宋体" w:eastAsia="宋体" w:cs="宋体"/>
          <w:sz w:val="24"/>
          <w:szCs w:val="24"/>
          <w:highlight w:val="none"/>
        </w:rPr>
      </w:pPr>
      <w:r>
        <w:rPr>
          <w:rFonts w:hint="eastAsia" w:ascii="宋体" w:hAnsi="宋体" w:eastAsia="宋体" w:cs="宋体"/>
          <w:sz w:val="24"/>
          <w:szCs w:val="24"/>
          <w:highlight w:val="none"/>
        </w:rPr>
        <w:t>4、如有异议另行协商。</w:t>
      </w:r>
    </w:p>
    <w:p w14:paraId="11CB720B">
      <w:pPr>
        <w:keepNext w:val="0"/>
        <w:keepLines w:val="0"/>
        <w:pageBreakBefore w:val="0"/>
        <w:widowControl w:val="0"/>
        <w:tabs>
          <w:tab w:val="left" w:pos="480"/>
        </w:tabs>
        <w:kinsoku/>
        <w:wordWrap/>
        <w:overflowPunct/>
        <w:topLinePunct w:val="0"/>
        <w:autoSpaceDE/>
        <w:autoSpaceDN/>
        <w:bidi w:val="0"/>
        <w:adjustRightInd/>
        <w:snapToGrid/>
        <w:spacing w:before="157" w:beforeLines="50" w:line="360" w:lineRule="auto"/>
        <w:jc w:val="left"/>
        <w:textAlignment w:val="auto"/>
        <w:outlineLvl w:val="1"/>
        <w:rPr>
          <w:rFonts w:hint="eastAsia" w:ascii="宋体" w:hAnsi="宋体" w:eastAsia="宋体" w:cs="宋体"/>
          <w:b/>
          <w:sz w:val="24"/>
          <w:szCs w:val="24"/>
          <w:highlight w:val="none"/>
        </w:rPr>
      </w:pPr>
      <w:r>
        <w:rPr>
          <w:rFonts w:hint="eastAsia" w:ascii="宋体" w:hAnsi="宋体" w:eastAsia="宋体" w:cs="宋体"/>
          <w:b/>
          <w:sz w:val="24"/>
          <w:szCs w:val="24"/>
          <w:highlight w:val="none"/>
        </w:rPr>
        <w:t>九、合同争议解决的方式</w:t>
      </w:r>
      <w:bookmarkEnd w:id="93"/>
      <w:bookmarkEnd w:id="94"/>
      <w:bookmarkEnd w:id="95"/>
    </w:p>
    <w:p w14:paraId="3B827D7A">
      <w:pPr>
        <w:keepNext w:val="0"/>
        <w:keepLines w:val="0"/>
        <w:pageBreakBefore w:val="0"/>
        <w:widowControl w:val="0"/>
        <w:tabs>
          <w:tab w:val="left" w:pos="480"/>
        </w:tabs>
        <w:kinsoku/>
        <w:wordWrap/>
        <w:overflowPunct/>
        <w:topLinePunct w:val="0"/>
        <w:autoSpaceDE/>
        <w:autoSpaceDN/>
        <w:bidi w:val="0"/>
        <w:adjustRightInd/>
        <w:snapToGrid/>
        <w:spacing w:before="157" w:beforeLines="50"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本合同在履行过程中发生的争议，由甲、乙双方当事人协商解决，协商不成的按下列第</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种方式解决：</w:t>
      </w:r>
    </w:p>
    <w:p w14:paraId="118973DD">
      <w:pPr>
        <w:keepNext w:val="0"/>
        <w:keepLines w:val="0"/>
        <w:pageBreakBefore w:val="0"/>
        <w:widowControl w:val="0"/>
        <w:tabs>
          <w:tab w:val="left" w:pos="480"/>
        </w:tabs>
        <w:kinsoku/>
        <w:wordWrap/>
        <w:overflowPunct/>
        <w:topLinePunct w:val="0"/>
        <w:autoSpaceDE/>
        <w:autoSpaceDN/>
        <w:bidi w:val="0"/>
        <w:adjustRightInd/>
        <w:snapToGrid/>
        <w:spacing w:before="157" w:beforeLines="50"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（一）提交</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仲裁委员会仲裁；</w:t>
      </w:r>
    </w:p>
    <w:p w14:paraId="1368C977">
      <w:pPr>
        <w:keepNext w:val="0"/>
        <w:keepLines w:val="0"/>
        <w:pageBreakBefore w:val="0"/>
        <w:widowControl w:val="0"/>
        <w:tabs>
          <w:tab w:val="left" w:pos="480"/>
        </w:tabs>
        <w:kinsoku/>
        <w:wordWrap/>
        <w:overflowPunct/>
        <w:topLinePunct w:val="0"/>
        <w:autoSpaceDE/>
        <w:autoSpaceDN/>
        <w:bidi w:val="0"/>
        <w:adjustRightInd/>
        <w:snapToGrid/>
        <w:spacing w:before="157" w:beforeLines="50"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（二）依法向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所在地人民法院起诉。</w:t>
      </w:r>
    </w:p>
    <w:p w14:paraId="381C4875">
      <w:pPr>
        <w:keepNext w:val="0"/>
        <w:keepLines w:val="0"/>
        <w:pageBreakBefore w:val="0"/>
        <w:widowControl w:val="0"/>
        <w:tabs>
          <w:tab w:val="left" w:pos="480"/>
        </w:tabs>
        <w:kinsoku/>
        <w:wordWrap/>
        <w:overflowPunct/>
        <w:topLinePunct w:val="0"/>
        <w:autoSpaceDE/>
        <w:autoSpaceDN/>
        <w:bidi w:val="0"/>
        <w:adjustRightInd/>
        <w:snapToGrid/>
        <w:spacing w:before="157" w:beforeLines="50" w:line="360" w:lineRule="auto"/>
        <w:jc w:val="left"/>
        <w:textAlignment w:val="auto"/>
        <w:outlineLvl w:val="1"/>
        <w:rPr>
          <w:rFonts w:hint="eastAsia" w:ascii="宋体" w:hAnsi="宋体" w:eastAsia="宋体" w:cs="宋体"/>
          <w:b/>
          <w:sz w:val="24"/>
          <w:szCs w:val="24"/>
          <w:highlight w:val="none"/>
        </w:rPr>
      </w:pPr>
      <w:bookmarkStart w:id="96" w:name="_Toc7342"/>
      <w:bookmarkStart w:id="97" w:name="_Toc5573"/>
      <w:bookmarkStart w:id="98" w:name="_Toc18389"/>
      <w:r>
        <w:rPr>
          <w:rFonts w:hint="eastAsia" w:ascii="宋体" w:hAnsi="宋体" w:eastAsia="宋体" w:cs="宋体"/>
          <w:b/>
          <w:sz w:val="24"/>
          <w:szCs w:val="24"/>
          <w:highlight w:val="none"/>
        </w:rPr>
        <w:t>十、合同生效</w:t>
      </w:r>
      <w:bookmarkEnd w:id="96"/>
      <w:bookmarkEnd w:id="97"/>
      <w:bookmarkEnd w:id="98"/>
    </w:p>
    <w:p w14:paraId="7363C174">
      <w:pPr>
        <w:keepNext w:val="0"/>
        <w:keepLines w:val="0"/>
        <w:pageBreakBefore w:val="0"/>
        <w:widowControl w:val="0"/>
        <w:tabs>
          <w:tab w:val="left" w:pos="480"/>
        </w:tabs>
        <w:kinsoku/>
        <w:wordWrap/>
        <w:overflowPunct/>
        <w:topLinePunct w:val="0"/>
        <w:autoSpaceDE/>
        <w:autoSpaceDN/>
        <w:bidi w:val="0"/>
        <w:adjustRightInd/>
        <w:snapToGrid/>
        <w:spacing w:before="157" w:beforeLines="50"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本合同一式</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份，甲方执</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份，乙方执</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份，本合同甲、乙、确认各方签字盖章后生效，合同执行完毕后，自动失效（合同的服务承诺则长期有效）。</w:t>
      </w:r>
    </w:p>
    <w:p w14:paraId="7DB31B37">
      <w:pPr>
        <w:keepNext w:val="0"/>
        <w:keepLines w:val="0"/>
        <w:pageBreakBefore w:val="0"/>
        <w:widowControl w:val="0"/>
        <w:tabs>
          <w:tab w:val="left" w:pos="480"/>
        </w:tabs>
        <w:kinsoku/>
        <w:wordWrap/>
        <w:overflowPunct/>
        <w:topLinePunct w:val="0"/>
        <w:autoSpaceDE/>
        <w:autoSpaceDN/>
        <w:bidi w:val="0"/>
        <w:adjustRightInd/>
        <w:snapToGrid/>
        <w:spacing w:before="157" w:beforeLines="50" w:line="360" w:lineRule="auto"/>
        <w:jc w:val="left"/>
        <w:textAlignment w:val="auto"/>
        <w:outlineLvl w:val="1"/>
        <w:rPr>
          <w:rFonts w:hint="eastAsia" w:ascii="宋体" w:hAnsi="宋体" w:eastAsia="宋体" w:cs="宋体"/>
          <w:b/>
          <w:sz w:val="24"/>
          <w:szCs w:val="24"/>
          <w:highlight w:val="none"/>
        </w:rPr>
      </w:pPr>
      <w:bookmarkStart w:id="99" w:name="_Toc9178"/>
      <w:bookmarkStart w:id="100" w:name="_Toc823"/>
      <w:bookmarkStart w:id="101" w:name="_Toc18381"/>
      <w:r>
        <w:rPr>
          <w:rFonts w:hint="eastAsia" w:ascii="宋体" w:hAnsi="宋体" w:eastAsia="宋体" w:cs="宋体"/>
          <w:b/>
          <w:sz w:val="24"/>
          <w:szCs w:val="24"/>
          <w:highlight w:val="none"/>
        </w:rPr>
        <w:t>十一、其他事项</w:t>
      </w:r>
      <w:bookmarkEnd w:id="99"/>
      <w:bookmarkEnd w:id="100"/>
      <w:bookmarkEnd w:id="101"/>
    </w:p>
    <w:p w14:paraId="5F2BAB7B">
      <w:pPr>
        <w:keepNext w:val="0"/>
        <w:keepLines w:val="0"/>
        <w:pageBreakBefore w:val="0"/>
        <w:widowControl w:val="0"/>
        <w:tabs>
          <w:tab w:val="left" w:pos="480"/>
        </w:tabs>
        <w:kinsoku/>
        <w:wordWrap/>
        <w:overflowPunct/>
        <w:topLinePunct w:val="0"/>
        <w:autoSpaceDE/>
        <w:autoSpaceDN/>
        <w:bidi w:val="0"/>
        <w:adjustRightInd/>
        <w:snapToGrid/>
        <w:spacing w:before="157" w:beforeLines="50"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（一）竞争性</w:t>
      </w:r>
      <w:r>
        <w:rPr>
          <w:rFonts w:hint="eastAsia" w:ascii="宋体" w:hAnsi="宋体" w:eastAsia="宋体" w:cs="宋体"/>
          <w:color w:val="auto"/>
          <w:sz w:val="24"/>
          <w:szCs w:val="24"/>
          <w:highlight w:val="none"/>
        </w:rPr>
        <w:t>磋商文件</w:t>
      </w:r>
      <w:r>
        <w:rPr>
          <w:rFonts w:hint="eastAsia" w:ascii="宋体" w:hAnsi="宋体" w:eastAsia="宋体" w:cs="宋体"/>
          <w:sz w:val="24"/>
          <w:szCs w:val="24"/>
          <w:highlight w:val="none"/>
        </w:rPr>
        <w:t>、</w:t>
      </w:r>
      <w:r>
        <w:rPr>
          <w:rFonts w:hint="eastAsia" w:ascii="宋体" w:hAnsi="宋体" w:eastAsia="宋体" w:cs="宋体"/>
          <w:color w:val="auto"/>
          <w:sz w:val="24"/>
          <w:szCs w:val="24"/>
          <w:highlight w:val="none"/>
        </w:rPr>
        <w:t>竞争性磋商响应文件</w:t>
      </w:r>
      <w:r>
        <w:rPr>
          <w:rFonts w:hint="eastAsia" w:ascii="宋体" w:hAnsi="宋体" w:eastAsia="宋体" w:cs="宋体"/>
          <w:sz w:val="24"/>
          <w:szCs w:val="24"/>
          <w:highlight w:val="none"/>
        </w:rPr>
        <w:t>、澄清表（函）、成交通知书、合同附件均成为合同不可分割的部分。</w:t>
      </w:r>
    </w:p>
    <w:p w14:paraId="5580FBE6">
      <w:pPr>
        <w:keepNext w:val="0"/>
        <w:keepLines w:val="0"/>
        <w:pageBreakBefore w:val="0"/>
        <w:widowControl w:val="0"/>
        <w:tabs>
          <w:tab w:val="left" w:pos="480"/>
        </w:tabs>
        <w:kinsoku/>
        <w:wordWrap/>
        <w:overflowPunct/>
        <w:topLinePunct w:val="0"/>
        <w:autoSpaceDE/>
        <w:autoSpaceDN/>
        <w:bidi w:val="0"/>
        <w:adjustRightInd/>
        <w:snapToGrid/>
        <w:spacing w:before="157" w:beforeLines="50"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（二）合同未尽事宜，由甲、乙双方协商，作为合同补充，与原合同具有同等法律效力。</w:t>
      </w:r>
    </w:p>
    <w:p w14:paraId="221C8F38">
      <w:pPr>
        <w:keepNext w:val="0"/>
        <w:keepLines w:val="0"/>
        <w:pageBreakBefore w:val="0"/>
        <w:widowControl w:val="0"/>
        <w:tabs>
          <w:tab w:val="left" w:pos="480"/>
        </w:tabs>
        <w:kinsoku/>
        <w:wordWrap/>
        <w:overflowPunct/>
        <w:topLinePunct w:val="0"/>
        <w:autoSpaceDE/>
        <w:autoSpaceDN/>
        <w:bidi w:val="0"/>
        <w:adjustRightInd/>
        <w:snapToGrid/>
        <w:spacing w:before="157" w:beforeLines="50"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（三）合同一经签订，不得擅自变更、中止或终止合同。但若与甲方的上级管理机关的政策性行为或其他规定发生冲突，甲方有权与乙方协商调整协议内容或终止协议执行。</w:t>
      </w:r>
    </w:p>
    <w:p w14:paraId="7DD90F4F">
      <w:pPr>
        <w:keepNext w:val="0"/>
        <w:keepLines w:val="0"/>
        <w:pageBreakBefore w:val="0"/>
        <w:widowControl w:val="0"/>
        <w:kinsoku/>
        <w:wordWrap/>
        <w:overflowPunct/>
        <w:topLinePunct w:val="0"/>
        <w:autoSpaceDE/>
        <w:autoSpaceDN/>
        <w:bidi w:val="0"/>
        <w:adjustRightInd/>
        <w:snapToGrid/>
        <w:spacing w:before="157" w:beforeLines="50" w:line="360" w:lineRule="auto"/>
        <w:ind w:firstLine="42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（四）执行本合同过程中发生争议，由当事人双方协商解决。协商不成，可向采购方所在地人民法院提起诉讼。</w:t>
      </w:r>
    </w:p>
    <w:p w14:paraId="773BAB7D">
      <w:pPr>
        <w:keepNext w:val="0"/>
        <w:keepLines w:val="0"/>
        <w:pageBreakBefore w:val="0"/>
        <w:widowControl w:val="0"/>
        <w:kinsoku/>
        <w:wordWrap/>
        <w:overflowPunct/>
        <w:topLinePunct w:val="0"/>
        <w:autoSpaceDE/>
        <w:autoSpaceDN/>
        <w:bidi w:val="0"/>
        <w:adjustRightInd/>
        <w:snapToGrid/>
        <w:spacing w:before="157" w:beforeLines="50" w:line="360" w:lineRule="auto"/>
        <w:ind w:firstLine="42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五）如因不可抗力致使双方不能履行本合同中的部分或全部义务时，双方均不负违约责任。但不能履行义务一方应在合理的时间内，向对方报告所发生的不可抗力并提供有关部门的证明文件。本条所称“不可抗力”是指自然灾害、重大疫情、恶劣天气条件、政府行为、社会异常事件（包括罢工、政变、骚乱、游行等）或新颁布的法律、法规等不能预见、不能避免并不能克服的客观情况。</w:t>
      </w:r>
    </w:p>
    <w:p w14:paraId="04705040">
      <w:pPr>
        <w:keepNext w:val="0"/>
        <w:keepLines w:val="0"/>
        <w:pageBreakBefore w:val="0"/>
        <w:widowControl w:val="0"/>
        <w:tabs>
          <w:tab w:val="left" w:pos="480"/>
        </w:tabs>
        <w:kinsoku/>
        <w:wordWrap/>
        <w:overflowPunct/>
        <w:topLinePunct w:val="0"/>
        <w:autoSpaceDE/>
        <w:autoSpaceDN/>
        <w:bidi w:val="0"/>
        <w:adjustRightInd/>
        <w:snapToGrid/>
        <w:spacing w:before="157" w:beforeLines="50"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（六）本合同按照中华人民共和国的现行法律进行解释。</w:t>
      </w:r>
    </w:p>
    <w:p w14:paraId="2163F9DC">
      <w:pPr>
        <w:tabs>
          <w:tab w:val="left" w:pos="480"/>
        </w:tabs>
        <w:spacing w:line="360" w:lineRule="auto"/>
        <w:ind w:firstLine="480" w:firstLineChars="200"/>
        <w:rPr>
          <w:rFonts w:hint="eastAsia" w:hAnsi="宋体" w:cs="宋体"/>
          <w:szCs w:val="21"/>
          <w:highlight w:val="none"/>
        </w:rPr>
      </w:pPr>
    </w:p>
    <w:p w14:paraId="20F317E2">
      <w:pPr>
        <w:tabs>
          <w:tab w:val="left" w:pos="480"/>
        </w:tabs>
        <w:spacing w:line="360" w:lineRule="auto"/>
        <w:ind w:firstLine="480" w:firstLineChars="200"/>
        <w:rPr>
          <w:rFonts w:hint="eastAsia" w:hAnsi="宋体" w:cs="宋体"/>
          <w:szCs w:val="21"/>
          <w:highlight w:val="none"/>
        </w:rPr>
      </w:pPr>
    </w:p>
    <w:p w14:paraId="1F496804">
      <w:pPr>
        <w:tabs>
          <w:tab w:val="left" w:pos="480"/>
        </w:tabs>
        <w:spacing w:line="360" w:lineRule="auto"/>
        <w:ind w:firstLine="480" w:firstLineChars="200"/>
        <w:rPr>
          <w:rFonts w:hint="eastAsia" w:hAnsi="宋体" w:cs="宋体"/>
          <w:szCs w:val="21"/>
          <w:highlight w:val="none"/>
        </w:rPr>
      </w:pPr>
    </w:p>
    <w:p w14:paraId="21A6BD82">
      <w:pPr>
        <w:tabs>
          <w:tab w:val="left" w:pos="480"/>
        </w:tabs>
        <w:spacing w:line="360" w:lineRule="auto"/>
        <w:ind w:firstLine="480" w:firstLineChars="200"/>
        <w:rPr>
          <w:rFonts w:hint="eastAsia" w:hAnsi="宋体" w:cs="宋体"/>
          <w:szCs w:val="21"/>
          <w:highlight w:val="none"/>
        </w:rPr>
      </w:pPr>
    </w:p>
    <w:tbl>
      <w:tblPr>
        <w:tblStyle w:val="48"/>
        <w:tblW w:w="9344" w:type="dxa"/>
        <w:jc w:val="center"/>
        <w:tblLayout w:type="autofit"/>
        <w:tblCellMar>
          <w:top w:w="64" w:type="dxa"/>
          <w:left w:w="128" w:type="dxa"/>
          <w:bottom w:w="64" w:type="dxa"/>
          <w:right w:w="128" w:type="dxa"/>
        </w:tblCellMar>
      </w:tblPr>
      <w:tblGrid>
        <w:gridCol w:w="4671"/>
        <w:gridCol w:w="4673"/>
      </w:tblGrid>
      <w:tr w14:paraId="4B5922E9">
        <w:tblPrEx>
          <w:tblCellMar>
            <w:top w:w="64" w:type="dxa"/>
            <w:left w:w="128" w:type="dxa"/>
            <w:bottom w:w="64" w:type="dxa"/>
            <w:right w:w="128" w:type="dxa"/>
          </w:tblCellMar>
        </w:tblPrEx>
        <w:trPr>
          <w:trHeight w:val="0" w:hRule="atLeast"/>
          <w:jc w:val="center"/>
        </w:trPr>
        <w:tc>
          <w:tcPr>
            <w:tcW w:w="4671" w:type="dxa"/>
            <w:noWrap/>
          </w:tcPr>
          <w:p w14:paraId="2DF426EB">
            <w:pPr>
              <w:adjustRightInd w:val="0"/>
              <w:snapToGrid w:val="0"/>
              <w:spacing w:line="360" w:lineRule="auto"/>
              <w:rPr>
                <w:rFonts w:ascii="宋体" w:hAnsi="宋体"/>
                <w:color w:val="auto"/>
                <w:kern w:val="0"/>
                <w:sz w:val="24"/>
                <w:highlight w:val="none"/>
              </w:rPr>
            </w:pPr>
            <w:r>
              <w:rPr>
                <w:rFonts w:hint="eastAsia" w:ascii="宋体" w:hAnsi="宋体"/>
                <w:color w:val="auto"/>
                <w:kern w:val="0"/>
                <w:sz w:val="24"/>
                <w:highlight w:val="none"/>
              </w:rPr>
              <w:t>委托方（甲方）单位名称:</w:t>
            </w:r>
          </w:p>
          <w:p w14:paraId="2D4EEF43">
            <w:pPr>
              <w:adjustRightInd w:val="0"/>
              <w:snapToGrid w:val="0"/>
              <w:spacing w:line="360" w:lineRule="auto"/>
              <w:rPr>
                <w:rFonts w:ascii="宋体" w:hAnsi="宋体"/>
                <w:color w:val="auto"/>
                <w:kern w:val="0"/>
                <w:sz w:val="24"/>
                <w:highlight w:val="none"/>
              </w:rPr>
            </w:pPr>
          </w:p>
          <w:p w14:paraId="02E26755">
            <w:pPr>
              <w:adjustRightInd w:val="0"/>
              <w:snapToGrid w:val="0"/>
              <w:spacing w:line="360" w:lineRule="auto"/>
              <w:rPr>
                <w:rFonts w:ascii="宋体" w:hAnsi="宋体"/>
                <w:color w:val="auto"/>
                <w:kern w:val="0"/>
                <w:sz w:val="24"/>
                <w:highlight w:val="none"/>
              </w:rPr>
            </w:pPr>
            <w:r>
              <w:rPr>
                <w:rFonts w:hint="eastAsia" w:ascii="宋体" w:hAnsi="宋体"/>
                <w:color w:val="auto"/>
                <w:kern w:val="0"/>
                <w:sz w:val="24"/>
                <w:highlight w:val="none"/>
              </w:rPr>
              <w:t>（盖章）</w:t>
            </w:r>
          </w:p>
          <w:p w14:paraId="7552F67D">
            <w:pPr>
              <w:pStyle w:val="213"/>
              <w:snapToGrid w:val="0"/>
              <w:spacing w:line="360" w:lineRule="auto"/>
              <w:ind w:firstLine="0"/>
              <w:jc w:val="both"/>
              <w:outlineLvl w:val="0"/>
              <w:rPr>
                <w:rFonts w:ascii="宋体" w:hAnsi="宋体" w:eastAsia="宋体"/>
                <w:b/>
                <w:bCs/>
                <w:color w:val="auto"/>
                <w:sz w:val="24"/>
                <w:szCs w:val="24"/>
                <w:highlight w:val="none"/>
              </w:rPr>
            </w:pPr>
          </w:p>
        </w:tc>
        <w:tc>
          <w:tcPr>
            <w:tcW w:w="4673" w:type="dxa"/>
            <w:noWrap/>
          </w:tcPr>
          <w:p w14:paraId="0B23FFB1">
            <w:pPr>
              <w:adjustRightInd w:val="0"/>
              <w:snapToGrid w:val="0"/>
              <w:spacing w:line="360" w:lineRule="auto"/>
              <w:rPr>
                <w:rFonts w:ascii="宋体" w:hAnsi="宋体"/>
                <w:color w:val="auto"/>
                <w:kern w:val="0"/>
                <w:sz w:val="24"/>
                <w:highlight w:val="none"/>
              </w:rPr>
            </w:pPr>
            <w:r>
              <w:rPr>
                <w:rFonts w:hint="eastAsia" w:ascii="宋体" w:hAnsi="宋体"/>
                <w:color w:val="auto"/>
                <w:kern w:val="0"/>
                <w:sz w:val="24"/>
                <w:highlight w:val="none"/>
              </w:rPr>
              <w:t>承接方（乙方）单位名称:</w:t>
            </w:r>
          </w:p>
          <w:p w14:paraId="6FCED076">
            <w:pPr>
              <w:adjustRightInd w:val="0"/>
              <w:snapToGrid w:val="0"/>
              <w:spacing w:line="360" w:lineRule="auto"/>
              <w:rPr>
                <w:rFonts w:ascii="宋体" w:hAnsi="宋体"/>
                <w:color w:val="auto"/>
                <w:kern w:val="0"/>
                <w:sz w:val="24"/>
                <w:highlight w:val="none"/>
              </w:rPr>
            </w:pPr>
          </w:p>
          <w:p w14:paraId="1B3111EE">
            <w:pPr>
              <w:adjustRightInd w:val="0"/>
              <w:snapToGrid w:val="0"/>
              <w:spacing w:line="360" w:lineRule="auto"/>
              <w:rPr>
                <w:rFonts w:ascii="宋体" w:hAnsi="宋体"/>
                <w:color w:val="auto"/>
                <w:kern w:val="0"/>
                <w:sz w:val="24"/>
                <w:highlight w:val="none"/>
              </w:rPr>
            </w:pPr>
            <w:r>
              <w:rPr>
                <w:rFonts w:hint="eastAsia" w:ascii="宋体" w:hAnsi="宋体"/>
                <w:color w:val="auto"/>
                <w:kern w:val="0"/>
                <w:sz w:val="24"/>
                <w:highlight w:val="none"/>
              </w:rPr>
              <w:t>（盖章）</w:t>
            </w:r>
          </w:p>
          <w:p w14:paraId="64E27A04">
            <w:pPr>
              <w:adjustRightInd w:val="0"/>
              <w:snapToGrid w:val="0"/>
              <w:spacing w:line="360" w:lineRule="auto"/>
              <w:rPr>
                <w:rFonts w:ascii="宋体" w:hAnsi="宋体"/>
                <w:color w:val="auto"/>
                <w:kern w:val="0"/>
                <w:sz w:val="24"/>
                <w:highlight w:val="none"/>
              </w:rPr>
            </w:pPr>
          </w:p>
        </w:tc>
      </w:tr>
      <w:tr w14:paraId="768E0894">
        <w:tblPrEx>
          <w:tblCellMar>
            <w:top w:w="64" w:type="dxa"/>
            <w:left w:w="128" w:type="dxa"/>
            <w:bottom w:w="64" w:type="dxa"/>
            <w:right w:w="128" w:type="dxa"/>
          </w:tblCellMar>
        </w:tblPrEx>
        <w:trPr>
          <w:trHeight w:val="0" w:hRule="atLeast"/>
          <w:jc w:val="center"/>
        </w:trPr>
        <w:tc>
          <w:tcPr>
            <w:tcW w:w="4671" w:type="dxa"/>
            <w:noWrap/>
          </w:tcPr>
          <w:p w14:paraId="73A2E76D">
            <w:pPr>
              <w:adjustRightInd w:val="0"/>
              <w:snapToGrid w:val="0"/>
              <w:spacing w:line="360" w:lineRule="auto"/>
              <w:rPr>
                <w:rFonts w:ascii="宋体" w:hAnsi="宋体"/>
                <w:color w:val="auto"/>
                <w:kern w:val="0"/>
                <w:sz w:val="24"/>
                <w:highlight w:val="none"/>
              </w:rPr>
            </w:pPr>
            <w:r>
              <w:rPr>
                <w:rFonts w:hint="eastAsia" w:ascii="宋体" w:hAnsi="宋体"/>
                <w:color w:val="auto"/>
                <w:kern w:val="0"/>
                <w:sz w:val="24"/>
                <w:highlight w:val="none"/>
              </w:rPr>
              <w:t>法定代表人：</w:t>
            </w:r>
          </w:p>
          <w:p w14:paraId="221264DC">
            <w:pPr>
              <w:adjustRightInd w:val="0"/>
              <w:snapToGrid w:val="0"/>
              <w:spacing w:line="360" w:lineRule="auto"/>
              <w:rPr>
                <w:rFonts w:ascii="宋体" w:hAnsi="宋体"/>
                <w:color w:val="auto"/>
                <w:kern w:val="0"/>
                <w:sz w:val="24"/>
                <w:highlight w:val="none"/>
              </w:rPr>
            </w:pPr>
          </w:p>
          <w:p w14:paraId="4DC07178">
            <w:pPr>
              <w:adjustRightInd w:val="0"/>
              <w:snapToGrid w:val="0"/>
              <w:spacing w:line="360" w:lineRule="auto"/>
              <w:rPr>
                <w:rFonts w:ascii="宋体" w:hAnsi="宋体"/>
                <w:color w:val="auto"/>
                <w:kern w:val="0"/>
                <w:sz w:val="24"/>
                <w:highlight w:val="none"/>
              </w:rPr>
            </w:pPr>
            <w:r>
              <w:rPr>
                <w:rFonts w:hint="eastAsia" w:ascii="宋体" w:hAnsi="宋体"/>
                <w:color w:val="auto"/>
                <w:kern w:val="0"/>
                <w:sz w:val="24"/>
                <w:highlight w:val="none"/>
              </w:rPr>
              <w:t>或委托代理人：</w:t>
            </w:r>
          </w:p>
          <w:p w14:paraId="612F4E19">
            <w:pPr>
              <w:adjustRightInd w:val="0"/>
              <w:snapToGrid w:val="0"/>
              <w:spacing w:line="360" w:lineRule="auto"/>
              <w:rPr>
                <w:rFonts w:ascii="宋体" w:hAnsi="宋体"/>
                <w:color w:val="auto"/>
                <w:kern w:val="0"/>
                <w:sz w:val="24"/>
                <w:highlight w:val="none"/>
              </w:rPr>
            </w:pPr>
          </w:p>
        </w:tc>
        <w:tc>
          <w:tcPr>
            <w:tcW w:w="4673" w:type="dxa"/>
            <w:noWrap/>
          </w:tcPr>
          <w:p w14:paraId="2BA6C05B">
            <w:pPr>
              <w:adjustRightInd w:val="0"/>
              <w:snapToGrid w:val="0"/>
              <w:spacing w:line="360" w:lineRule="auto"/>
              <w:rPr>
                <w:rFonts w:ascii="宋体" w:hAnsi="宋体"/>
                <w:color w:val="auto"/>
                <w:kern w:val="0"/>
                <w:sz w:val="24"/>
                <w:highlight w:val="none"/>
              </w:rPr>
            </w:pPr>
            <w:r>
              <w:rPr>
                <w:rFonts w:hint="eastAsia" w:ascii="宋体" w:hAnsi="宋体"/>
                <w:color w:val="auto"/>
                <w:kern w:val="0"/>
                <w:sz w:val="24"/>
                <w:highlight w:val="none"/>
              </w:rPr>
              <w:t xml:space="preserve">法定代表人： </w:t>
            </w:r>
          </w:p>
          <w:p w14:paraId="400DE2BB">
            <w:pPr>
              <w:adjustRightInd w:val="0"/>
              <w:snapToGrid w:val="0"/>
              <w:spacing w:line="360" w:lineRule="auto"/>
              <w:rPr>
                <w:rFonts w:ascii="宋体" w:hAnsi="宋体"/>
                <w:color w:val="auto"/>
                <w:kern w:val="0"/>
                <w:sz w:val="24"/>
                <w:highlight w:val="none"/>
              </w:rPr>
            </w:pPr>
          </w:p>
          <w:p w14:paraId="08F141C0">
            <w:pPr>
              <w:adjustRightInd w:val="0"/>
              <w:snapToGrid w:val="0"/>
              <w:spacing w:line="360" w:lineRule="auto"/>
              <w:rPr>
                <w:rFonts w:ascii="宋体" w:hAnsi="宋体"/>
                <w:color w:val="auto"/>
                <w:kern w:val="0"/>
                <w:sz w:val="24"/>
                <w:highlight w:val="none"/>
              </w:rPr>
            </w:pPr>
            <w:r>
              <w:rPr>
                <w:rFonts w:hint="eastAsia" w:ascii="宋体" w:hAnsi="宋体"/>
                <w:color w:val="auto"/>
                <w:kern w:val="0"/>
                <w:sz w:val="24"/>
                <w:highlight w:val="none"/>
              </w:rPr>
              <w:t>或委托代理人：</w:t>
            </w:r>
          </w:p>
        </w:tc>
      </w:tr>
      <w:tr w14:paraId="5E45029D">
        <w:tblPrEx>
          <w:tblCellMar>
            <w:top w:w="64" w:type="dxa"/>
            <w:left w:w="128" w:type="dxa"/>
            <w:bottom w:w="64" w:type="dxa"/>
            <w:right w:w="128" w:type="dxa"/>
          </w:tblCellMar>
        </w:tblPrEx>
        <w:trPr>
          <w:trHeight w:val="0" w:hRule="atLeast"/>
          <w:jc w:val="center"/>
        </w:trPr>
        <w:tc>
          <w:tcPr>
            <w:tcW w:w="4671" w:type="dxa"/>
            <w:noWrap/>
          </w:tcPr>
          <w:p w14:paraId="431A50C9">
            <w:pPr>
              <w:adjustRightInd w:val="0"/>
              <w:snapToGrid w:val="0"/>
              <w:spacing w:line="360" w:lineRule="auto"/>
              <w:rPr>
                <w:rFonts w:ascii="宋体" w:hAnsi="宋体"/>
                <w:color w:val="auto"/>
                <w:kern w:val="0"/>
                <w:sz w:val="24"/>
                <w:highlight w:val="none"/>
              </w:rPr>
            </w:pPr>
            <w:r>
              <w:rPr>
                <w:rFonts w:hint="eastAsia" w:ascii="宋体" w:hAnsi="宋体"/>
                <w:color w:val="auto"/>
                <w:kern w:val="0"/>
                <w:sz w:val="24"/>
                <w:highlight w:val="none"/>
              </w:rPr>
              <w:t>电话：</w:t>
            </w:r>
          </w:p>
        </w:tc>
        <w:tc>
          <w:tcPr>
            <w:tcW w:w="4673" w:type="dxa"/>
            <w:noWrap/>
          </w:tcPr>
          <w:p w14:paraId="026885B5">
            <w:pPr>
              <w:adjustRightInd w:val="0"/>
              <w:snapToGrid w:val="0"/>
              <w:spacing w:line="360" w:lineRule="auto"/>
              <w:rPr>
                <w:rFonts w:ascii="宋体" w:hAnsi="宋体"/>
                <w:color w:val="auto"/>
                <w:kern w:val="0"/>
                <w:sz w:val="24"/>
                <w:highlight w:val="none"/>
              </w:rPr>
            </w:pPr>
            <w:r>
              <w:rPr>
                <w:rFonts w:hint="eastAsia" w:ascii="宋体" w:hAnsi="宋体"/>
                <w:color w:val="auto"/>
                <w:kern w:val="0"/>
                <w:sz w:val="24"/>
                <w:highlight w:val="none"/>
              </w:rPr>
              <w:t>电话：</w:t>
            </w:r>
          </w:p>
        </w:tc>
      </w:tr>
      <w:tr w14:paraId="18CD595F">
        <w:tblPrEx>
          <w:tblCellMar>
            <w:top w:w="64" w:type="dxa"/>
            <w:left w:w="128" w:type="dxa"/>
            <w:bottom w:w="64" w:type="dxa"/>
            <w:right w:w="128" w:type="dxa"/>
          </w:tblCellMar>
        </w:tblPrEx>
        <w:trPr>
          <w:trHeight w:val="0" w:hRule="atLeast"/>
          <w:jc w:val="center"/>
        </w:trPr>
        <w:tc>
          <w:tcPr>
            <w:tcW w:w="4671" w:type="dxa"/>
            <w:noWrap/>
          </w:tcPr>
          <w:p w14:paraId="21B0A0E8">
            <w:pPr>
              <w:adjustRightInd w:val="0"/>
              <w:snapToGrid w:val="0"/>
              <w:spacing w:line="360" w:lineRule="auto"/>
              <w:rPr>
                <w:rFonts w:ascii="宋体" w:hAnsi="宋体"/>
                <w:color w:val="auto"/>
                <w:kern w:val="0"/>
                <w:sz w:val="24"/>
                <w:highlight w:val="none"/>
              </w:rPr>
            </w:pPr>
            <w:r>
              <w:rPr>
                <w:rFonts w:hint="eastAsia" w:ascii="宋体" w:hAnsi="宋体"/>
                <w:color w:val="auto"/>
                <w:kern w:val="0"/>
                <w:sz w:val="24"/>
                <w:highlight w:val="none"/>
              </w:rPr>
              <w:t>开户行：</w:t>
            </w:r>
          </w:p>
        </w:tc>
        <w:tc>
          <w:tcPr>
            <w:tcW w:w="4673" w:type="dxa"/>
            <w:noWrap/>
          </w:tcPr>
          <w:p w14:paraId="4B34F30E">
            <w:pPr>
              <w:adjustRightInd w:val="0"/>
              <w:snapToGrid w:val="0"/>
              <w:spacing w:line="360" w:lineRule="auto"/>
              <w:rPr>
                <w:color w:val="auto"/>
                <w:kern w:val="0"/>
                <w:sz w:val="24"/>
                <w:highlight w:val="none"/>
              </w:rPr>
            </w:pPr>
            <w:r>
              <w:rPr>
                <w:rFonts w:hint="eastAsia" w:ascii="宋体" w:hAnsi="宋体"/>
                <w:color w:val="auto"/>
                <w:kern w:val="0"/>
                <w:sz w:val="24"/>
                <w:highlight w:val="none"/>
              </w:rPr>
              <w:t>开户行：</w:t>
            </w:r>
          </w:p>
          <w:p w14:paraId="48AD6444">
            <w:pPr>
              <w:adjustRightInd w:val="0"/>
              <w:snapToGrid w:val="0"/>
              <w:spacing w:line="360" w:lineRule="auto"/>
              <w:rPr>
                <w:rFonts w:ascii="宋体" w:hAnsi="宋体"/>
                <w:color w:val="auto"/>
                <w:kern w:val="0"/>
                <w:sz w:val="24"/>
                <w:highlight w:val="none"/>
              </w:rPr>
            </w:pPr>
          </w:p>
        </w:tc>
      </w:tr>
      <w:tr w14:paraId="184C26B3">
        <w:tblPrEx>
          <w:tblCellMar>
            <w:top w:w="64" w:type="dxa"/>
            <w:left w:w="128" w:type="dxa"/>
            <w:bottom w:w="64" w:type="dxa"/>
            <w:right w:w="128" w:type="dxa"/>
          </w:tblCellMar>
        </w:tblPrEx>
        <w:trPr>
          <w:trHeight w:val="0" w:hRule="atLeast"/>
          <w:jc w:val="center"/>
        </w:trPr>
        <w:tc>
          <w:tcPr>
            <w:tcW w:w="4671" w:type="dxa"/>
            <w:noWrap/>
          </w:tcPr>
          <w:p w14:paraId="669955A1">
            <w:pPr>
              <w:adjustRightInd w:val="0"/>
              <w:snapToGrid w:val="0"/>
              <w:spacing w:line="360" w:lineRule="auto"/>
              <w:rPr>
                <w:rFonts w:ascii="宋体" w:hAnsi="宋体"/>
                <w:color w:val="auto"/>
                <w:kern w:val="0"/>
                <w:sz w:val="24"/>
                <w:highlight w:val="none"/>
              </w:rPr>
            </w:pPr>
            <w:r>
              <w:rPr>
                <w:rFonts w:hint="eastAsia" w:ascii="宋体" w:hAnsi="宋体"/>
                <w:color w:val="auto"/>
                <w:kern w:val="0"/>
                <w:sz w:val="24"/>
                <w:highlight w:val="none"/>
              </w:rPr>
              <w:t>银行帐号：</w:t>
            </w:r>
          </w:p>
        </w:tc>
        <w:tc>
          <w:tcPr>
            <w:tcW w:w="4673" w:type="dxa"/>
            <w:noWrap/>
          </w:tcPr>
          <w:p w14:paraId="6DF1FEC3">
            <w:pPr>
              <w:adjustRightInd w:val="0"/>
              <w:snapToGrid w:val="0"/>
              <w:spacing w:line="360" w:lineRule="auto"/>
              <w:rPr>
                <w:color w:val="auto"/>
                <w:kern w:val="0"/>
                <w:sz w:val="24"/>
                <w:highlight w:val="none"/>
              </w:rPr>
            </w:pPr>
            <w:r>
              <w:rPr>
                <w:rFonts w:hint="eastAsia" w:ascii="宋体" w:hAnsi="宋体"/>
                <w:color w:val="auto"/>
                <w:kern w:val="0"/>
                <w:sz w:val="24"/>
                <w:highlight w:val="none"/>
              </w:rPr>
              <w:t>银行帐号：</w:t>
            </w:r>
          </w:p>
          <w:p w14:paraId="0E152AD7">
            <w:pPr>
              <w:adjustRightInd w:val="0"/>
              <w:snapToGrid w:val="0"/>
              <w:spacing w:line="360" w:lineRule="auto"/>
              <w:rPr>
                <w:rFonts w:ascii="宋体" w:hAnsi="宋体"/>
                <w:color w:val="auto"/>
                <w:kern w:val="0"/>
                <w:sz w:val="24"/>
                <w:highlight w:val="none"/>
              </w:rPr>
            </w:pPr>
          </w:p>
        </w:tc>
      </w:tr>
      <w:tr w14:paraId="4F23BFFF">
        <w:tblPrEx>
          <w:tblCellMar>
            <w:top w:w="64" w:type="dxa"/>
            <w:left w:w="128" w:type="dxa"/>
            <w:bottom w:w="64" w:type="dxa"/>
            <w:right w:w="128" w:type="dxa"/>
          </w:tblCellMar>
        </w:tblPrEx>
        <w:trPr>
          <w:trHeight w:val="0" w:hRule="atLeast"/>
          <w:jc w:val="center"/>
        </w:trPr>
        <w:tc>
          <w:tcPr>
            <w:tcW w:w="4671" w:type="dxa"/>
            <w:noWrap/>
          </w:tcPr>
          <w:p w14:paraId="11FE0000">
            <w:pPr>
              <w:adjustRightInd w:val="0"/>
              <w:snapToGrid w:val="0"/>
              <w:spacing w:line="360" w:lineRule="auto"/>
              <w:rPr>
                <w:rFonts w:ascii="宋体" w:hAnsi="宋体"/>
                <w:color w:val="auto"/>
                <w:kern w:val="0"/>
                <w:sz w:val="24"/>
                <w:highlight w:val="none"/>
              </w:rPr>
            </w:pPr>
            <w:r>
              <w:rPr>
                <w:rFonts w:hint="eastAsia" w:ascii="宋体" w:hAnsi="宋体"/>
                <w:color w:val="auto"/>
                <w:kern w:val="0"/>
                <w:sz w:val="24"/>
                <w:highlight w:val="none"/>
              </w:rPr>
              <w:t xml:space="preserve">日期：  </w:t>
            </w:r>
          </w:p>
        </w:tc>
        <w:tc>
          <w:tcPr>
            <w:tcW w:w="4673" w:type="dxa"/>
            <w:noWrap/>
          </w:tcPr>
          <w:p w14:paraId="3710C2F4">
            <w:pPr>
              <w:adjustRightInd w:val="0"/>
              <w:snapToGrid w:val="0"/>
              <w:spacing w:line="360" w:lineRule="auto"/>
              <w:rPr>
                <w:rFonts w:ascii="宋体" w:hAnsi="宋体"/>
                <w:color w:val="auto"/>
                <w:kern w:val="0"/>
                <w:sz w:val="24"/>
                <w:highlight w:val="none"/>
              </w:rPr>
            </w:pPr>
            <w:r>
              <w:rPr>
                <w:rFonts w:hint="eastAsia" w:ascii="宋体" w:hAnsi="宋体"/>
                <w:color w:val="auto"/>
                <w:kern w:val="0"/>
                <w:sz w:val="24"/>
                <w:highlight w:val="none"/>
              </w:rPr>
              <w:t xml:space="preserve">日期：  </w:t>
            </w:r>
          </w:p>
        </w:tc>
      </w:tr>
    </w:tbl>
    <w:p w14:paraId="66629E4C">
      <w:pPr>
        <w:pStyle w:val="212"/>
        <w:snapToGrid w:val="0"/>
        <w:spacing w:line="360" w:lineRule="auto"/>
        <w:ind w:left="0" w:leftChars="0" w:firstLine="0" w:firstLineChars="0"/>
        <w:jc w:val="center"/>
        <w:rPr>
          <w:rFonts w:hint="eastAsia" w:ascii="宋体" w:hAnsi="宋体" w:eastAsia="宋体" w:cs="宋体"/>
          <w:b/>
          <w:i/>
          <w:color w:val="auto"/>
          <w:sz w:val="24"/>
          <w:szCs w:val="24"/>
          <w:highlight w:val="none"/>
        </w:rPr>
      </w:pPr>
    </w:p>
    <w:p w14:paraId="7FA19DB9">
      <w:pPr>
        <w:pStyle w:val="212"/>
        <w:snapToGrid w:val="0"/>
        <w:spacing w:line="360" w:lineRule="auto"/>
        <w:ind w:left="0" w:leftChars="0" w:firstLine="0" w:firstLineChars="0"/>
        <w:jc w:val="center"/>
        <w:rPr>
          <w:rFonts w:hint="eastAsia" w:ascii="宋体" w:hAnsi="宋体" w:eastAsia="宋体" w:cs="宋体"/>
          <w:b/>
          <w:i/>
          <w:color w:val="auto"/>
          <w:sz w:val="24"/>
          <w:szCs w:val="24"/>
          <w:highlight w:val="none"/>
        </w:rPr>
      </w:pPr>
    </w:p>
    <w:p w14:paraId="2C3AE5DE">
      <w:pPr>
        <w:pStyle w:val="212"/>
        <w:snapToGrid w:val="0"/>
        <w:spacing w:line="360" w:lineRule="auto"/>
        <w:ind w:left="0" w:leftChars="0" w:firstLine="0" w:firstLineChars="0"/>
        <w:jc w:val="both"/>
        <w:rPr>
          <w:rFonts w:hint="eastAsia" w:hAnsi="宋体"/>
          <w:b/>
          <w:bCs/>
          <w:color w:val="auto"/>
          <w:sz w:val="32"/>
          <w:szCs w:val="32"/>
          <w:highlight w:val="none"/>
        </w:rPr>
        <w:sectPr>
          <w:pgSz w:w="11906" w:h="16838"/>
          <w:pgMar w:top="1517" w:right="1185" w:bottom="1395" w:left="1096" w:header="992" w:footer="992" w:gutter="0"/>
          <w:pgNumType w:fmt="numberInDash"/>
          <w:cols w:space="720" w:num="1"/>
          <w:docGrid w:linePitch="312" w:charSpace="0"/>
        </w:sectPr>
      </w:pPr>
      <w:r>
        <w:rPr>
          <w:rFonts w:hint="eastAsia" w:ascii="宋体" w:hAnsi="宋体" w:eastAsia="宋体" w:cs="宋体"/>
          <w:b/>
          <w:i/>
          <w:color w:val="auto"/>
          <w:sz w:val="24"/>
          <w:szCs w:val="24"/>
          <w:highlight w:val="none"/>
        </w:rPr>
        <w:t>--------------------签署页无正文-------------------</w:t>
      </w:r>
    </w:p>
    <w:p w14:paraId="367805BD">
      <w:pPr>
        <w:pStyle w:val="3"/>
        <w:keepNext w:val="0"/>
        <w:keepLines/>
        <w:pageBreakBefore/>
        <w:numPr>
          <w:ilvl w:val="0"/>
          <w:numId w:val="6"/>
        </w:numPr>
        <w:spacing w:before="156" w:beforeLines="50" w:after="156" w:afterLines="50"/>
        <w:jc w:val="center"/>
        <w:rPr>
          <w:rFonts w:hint="eastAsia" w:cs="仿宋" w:asciiTheme="minorEastAsia" w:hAnsiTheme="minorEastAsia" w:eastAsiaTheme="minorEastAsia"/>
          <w:bCs/>
          <w:color w:val="auto"/>
          <w:sz w:val="36"/>
          <w:szCs w:val="36"/>
          <w:highlight w:val="none"/>
        </w:rPr>
      </w:pPr>
      <w:r>
        <w:rPr>
          <w:rFonts w:hint="eastAsia" w:cs="仿宋" w:asciiTheme="minorEastAsia" w:hAnsiTheme="minorEastAsia" w:eastAsiaTheme="minorEastAsia"/>
          <w:bCs/>
          <w:color w:val="auto"/>
          <w:sz w:val="36"/>
          <w:szCs w:val="36"/>
          <w:highlight w:val="none"/>
        </w:rPr>
        <w:t>竞争性磋商内容及服务要求</w:t>
      </w:r>
      <w:bookmarkEnd w:id="57"/>
      <w:bookmarkEnd w:id="58"/>
      <w:bookmarkEnd w:id="59"/>
      <w:bookmarkEnd w:id="60"/>
      <w:bookmarkEnd w:id="61"/>
      <w:bookmarkEnd w:id="62"/>
      <w:bookmarkEnd w:id="63"/>
      <w:bookmarkEnd w:id="64"/>
      <w:bookmarkEnd w:id="65"/>
      <w:bookmarkEnd w:id="66"/>
      <w:bookmarkEnd w:id="67"/>
    </w:p>
    <w:p w14:paraId="7DBC3666">
      <w:pPr>
        <w:spacing w:line="360" w:lineRule="auto"/>
        <w:outlineLvl w:val="1"/>
        <w:rPr>
          <w:rFonts w:hint="eastAsia" w:ascii="宋体" w:hAnsi="宋体" w:eastAsia="宋体" w:cs="Times New Roman"/>
          <w:b/>
          <w:bCs w:val="0"/>
          <w:color w:val="auto"/>
          <w:szCs w:val="24"/>
          <w:highlight w:val="none"/>
        </w:rPr>
      </w:pPr>
      <w:r>
        <w:rPr>
          <w:rFonts w:hint="eastAsia" w:ascii="宋体" w:hAnsi="宋体" w:eastAsia="宋体" w:cs="Times New Roman"/>
          <w:b/>
          <w:bCs w:val="0"/>
          <w:color w:val="auto"/>
          <w:szCs w:val="24"/>
          <w:highlight w:val="none"/>
        </w:rPr>
        <w:t>一、项目概况</w:t>
      </w:r>
    </w:p>
    <w:p w14:paraId="47BE3BB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1"/>
        <w:rPr>
          <w:rFonts w:hint="eastAsia" w:ascii="宋体" w:hAnsi="宋体" w:eastAsia="宋体" w:cs="Times New Roman"/>
          <w:b w:val="0"/>
          <w:bCs/>
          <w:color w:val="auto"/>
          <w:szCs w:val="24"/>
          <w:highlight w:val="none"/>
        </w:rPr>
      </w:pPr>
      <w:r>
        <w:rPr>
          <w:rFonts w:hint="eastAsia" w:ascii="宋体" w:hAnsi="宋体" w:eastAsia="宋体" w:cs="Times New Roman"/>
          <w:b w:val="0"/>
          <w:bCs/>
          <w:color w:val="auto"/>
          <w:szCs w:val="24"/>
          <w:highlight w:val="none"/>
        </w:rPr>
        <w:t>蓝田县政府大院机关食堂运营服务采购项目，为保障大院干部职工日常就餐需求，规范食堂食品安全管理、优化就餐环境、严控食材品质与菜品口味，落实食品安全操作规范、公共卫生防疫要求，对机关食堂后厨操作间、就餐大厅、储物库房、清洗消毒区、食材储藏区等全域实施标准化、规范化餐饮托管服务。通过统一食材采购、标准化烹饪、餐具消杀、环境卫生管控、营养配餐、食材留样管理，打造安全卫生、平价可口、管理规范的机关职工就餐环境。</w:t>
      </w:r>
    </w:p>
    <w:p w14:paraId="76BF21F5">
      <w:pPr>
        <w:spacing w:line="360" w:lineRule="auto"/>
        <w:outlineLvl w:val="1"/>
        <w:rPr>
          <w:rFonts w:hint="eastAsia" w:ascii="宋体" w:hAnsi="宋体" w:eastAsia="宋体" w:cs="Times New Roman"/>
          <w:b/>
          <w:bCs w:val="0"/>
          <w:color w:val="auto"/>
          <w:szCs w:val="24"/>
          <w:highlight w:val="none"/>
        </w:rPr>
      </w:pPr>
      <w:r>
        <w:rPr>
          <w:rFonts w:hint="eastAsia" w:ascii="宋体" w:hAnsi="宋体" w:eastAsia="宋体" w:cs="Times New Roman"/>
          <w:b/>
          <w:bCs w:val="0"/>
          <w:color w:val="auto"/>
          <w:szCs w:val="24"/>
          <w:highlight w:val="none"/>
        </w:rPr>
        <w:t>二、采购内容</w:t>
      </w:r>
    </w:p>
    <w:p w14:paraId="0C063DA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1"/>
        <w:rPr>
          <w:rFonts w:hint="eastAsia" w:ascii="宋体" w:hAnsi="宋体" w:eastAsia="宋体" w:cs="Times New Roman"/>
          <w:b w:val="0"/>
          <w:bCs/>
          <w:color w:val="auto"/>
          <w:szCs w:val="24"/>
          <w:highlight w:val="none"/>
        </w:rPr>
      </w:pPr>
      <w:r>
        <w:rPr>
          <w:rFonts w:hint="eastAsia" w:ascii="宋体" w:hAnsi="宋体" w:eastAsia="宋体" w:cs="Times New Roman"/>
          <w:b w:val="0"/>
          <w:bCs/>
          <w:color w:val="auto"/>
          <w:szCs w:val="24"/>
          <w:highlight w:val="none"/>
        </w:rPr>
        <w:t>本项目采购预算 162600.00 元，服务周期 12 个自然月</w:t>
      </w:r>
      <w:r>
        <w:rPr>
          <w:rFonts w:hint="eastAsia" w:hAnsi="宋体" w:cs="Times New Roman"/>
          <w:b w:val="0"/>
          <w:bCs/>
          <w:color w:val="auto"/>
          <w:szCs w:val="24"/>
          <w:highlight w:val="none"/>
          <w:lang w:eastAsia="zh-CN"/>
        </w:rPr>
        <w:t>，</w:t>
      </w:r>
      <w:r>
        <w:rPr>
          <w:rFonts w:hint="eastAsia" w:ascii="宋体" w:hAnsi="宋体" w:eastAsia="宋体" w:cs="Times New Roman"/>
          <w:b w:val="0"/>
          <w:bCs/>
          <w:color w:val="auto"/>
          <w:szCs w:val="24"/>
          <w:highlight w:val="none"/>
        </w:rPr>
        <w:t>就餐人数约为</w:t>
      </w:r>
      <w:r>
        <w:rPr>
          <w:rFonts w:hint="eastAsia" w:ascii="宋体" w:hAnsi="宋体" w:eastAsia="宋体" w:cs="Times New Roman"/>
          <w:b w:val="0"/>
          <w:bCs/>
          <w:color w:val="auto"/>
          <w:szCs w:val="24"/>
          <w:highlight w:val="none"/>
          <w:lang w:val="en-US" w:eastAsia="zh-CN"/>
        </w:rPr>
        <w:t>310</w:t>
      </w:r>
      <w:r>
        <w:rPr>
          <w:rFonts w:hint="eastAsia" w:ascii="宋体" w:hAnsi="宋体" w:eastAsia="宋体" w:cs="Times New Roman"/>
          <w:b w:val="0"/>
          <w:bCs/>
          <w:color w:val="auto"/>
          <w:szCs w:val="24"/>
          <w:highlight w:val="none"/>
        </w:rPr>
        <w:t>人左右。服务范围覆盖蓝田县政府大院机关食堂全部操作、就餐、仓储配套区域；服务内容包含职工工作日早、中、晚餐制作供应、食材统一采购验收、荤素营养搭配、餐具一洗二冲三消毒四保洁、后厨及餐厅每日清洁消杀、食材 48 小时留样管理、库房食材分类存放、餐厨垃圾日产日清、排烟管道定期清洗、厨具灶具日常维护保养、食品安全台账记录、从业人员健康管理；节假日、专项会议、接待活动无偿提供简餐、工作餐保障；配套提供食堂保洁、病媒生物消杀、餐饮食材质量检测、职工用餐意见收集整改等一体化食堂配套服务。</w:t>
      </w:r>
    </w:p>
    <w:p w14:paraId="210FE56C">
      <w:pPr>
        <w:spacing w:line="360" w:lineRule="auto"/>
        <w:outlineLvl w:val="1"/>
        <w:rPr>
          <w:rFonts w:hint="eastAsia" w:ascii="宋体" w:hAnsi="宋体" w:eastAsia="宋体" w:cs="Times New Roman"/>
          <w:b/>
          <w:bCs w:val="0"/>
          <w:color w:val="auto"/>
          <w:szCs w:val="24"/>
          <w:highlight w:val="none"/>
        </w:rPr>
      </w:pPr>
      <w:r>
        <w:rPr>
          <w:rFonts w:hint="eastAsia" w:ascii="宋体" w:hAnsi="宋体" w:eastAsia="宋体" w:cs="Times New Roman"/>
          <w:b/>
          <w:bCs w:val="0"/>
          <w:color w:val="auto"/>
          <w:szCs w:val="24"/>
          <w:highlight w:val="none"/>
        </w:rPr>
        <w:t>三、服务验收标准</w:t>
      </w:r>
    </w:p>
    <w:p w14:paraId="2E17EE6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1"/>
        <w:rPr>
          <w:rFonts w:hint="eastAsia" w:ascii="宋体" w:hAnsi="宋体" w:eastAsia="宋体" w:cs="Times New Roman"/>
          <w:b w:val="0"/>
          <w:bCs/>
          <w:color w:val="auto"/>
          <w:szCs w:val="24"/>
          <w:highlight w:val="none"/>
        </w:rPr>
      </w:pPr>
      <w:r>
        <w:rPr>
          <w:rFonts w:hint="eastAsia" w:ascii="宋体" w:hAnsi="宋体" w:eastAsia="宋体" w:cs="Times New Roman"/>
          <w:b w:val="0"/>
          <w:bCs/>
          <w:color w:val="auto"/>
          <w:szCs w:val="24"/>
          <w:highlight w:val="none"/>
        </w:rPr>
        <w:t>1、采购人每日安排管理人员对食材质量、菜品口味、后厨卫生、消毒流程、留样记录、从业人员健康管理进行现场抽查，每月组织一次食堂全区域综合验收。若食材变质、操作区油污异味、餐具消毒不达标、未按规定留样、从业人员无健康证、出现餐饮浪费或就餐投诉频发等未达到招标文件要求及投标文件承诺，视为当日服务验收不合格，按合同约定扣减当期服务费用。</w:t>
      </w:r>
    </w:p>
    <w:p w14:paraId="5A01093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1"/>
        <w:rPr>
          <w:rFonts w:hint="eastAsia" w:ascii="宋体" w:hAnsi="宋体" w:eastAsia="宋体" w:cs="Times New Roman"/>
          <w:b w:val="0"/>
          <w:bCs/>
          <w:color w:val="auto"/>
          <w:szCs w:val="24"/>
          <w:highlight w:val="none"/>
        </w:rPr>
      </w:pPr>
      <w:r>
        <w:rPr>
          <w:rFonts w:hint="eastAsia" w:ascii="宋体" w:hAnsi="宋体" w:eastAsia="宋体" w:cs="Times New Roman"/>
          <w:b w:val="0"/>
          <w:bCs/>
          <w:color w:val="auto"/>
          <w:szCs w:val="24"/>
          <w:highlight w:val="none"/>
        </w:rPr>
        <w:t>2、整体验收依据：《中华人民共和国食品安全法》《餐饮服务食品安全操作规范》、本招标文件、中标人投标文件、澄清答疑文件全部技术及服务条款执行。食材采购、烹饪加工、消毒保洁、仓储留样全流程指标均需满足验收标准。</w:t>
      </w:r>
    </w:p>
    <w:p w14:paraId="78119DF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1"/>
        <w:rPr>
          <w:rFonts w:hint="eastAsia" w:ascii="宋体" w:hAnsi="宋体" w:eastAsia="宋体" w:cs="Times New Roman"/>
          <w:b w:val="0"/>
          <w:bCs/>
          <w:color w:val="auto"/>
          <w:szCs w:val="24"/>
          <w:highlight w:val="none"/>
        </w:rPr>
      </w:pPr>
      <w:r>
        <w:rPr>
          <w:rFonts w:hint="eastAsia" w:ascii="宋体" w:hAnsi="宋体" w:eastAsia="宋体" w:cs="Times New Roman"/>
          <w:b w:val="0"/>
          <w:bCs/>
          <w:color w:val="auto"/>
          <w:szCs w:val="24"/>
          <w:highlight w:val="none"/>
        </w:rPr>
        <w:t>3、每日食材验收、消毒、留样、餐厨垃圾清运完成后，食堂工作人员填写餐饮管理台账，由采购人现场管理人员签字确认；每月综合验收合格后，双方签署月度食堂服务验收单，作为付款依据。</w:t>
      </w:r>
    </w:p>
    <w:p w14:paraId="7A534BE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1"/>
        <w:rPr>
          <w:rFonts w:hint="eastAsia" w:ascii="宋体" w:hAnsi="宋体" w:eastAsia="宋体" w:cs="Times New Roman"/>
          <w:b w:val="0"/>
          <w:bCs/>
          <w:color w:val="auto"/>
          <w:szCs w:val="24"/>
          <w:highlight w:val="none"/>
        </w:rPr>
      </w:pPr>
      <w:r>
        <w:rPr>
          <w:rFonts w:hint="eastAsia" w:ascii="宋体" w:hAnsi="宋体" w:eastAsia="宋体" w:cs="Times New Roman"/>
          <w:b w:val="0"/>
          <w:bCs/>
          <w:color w:val="auto"/>
          <w:szCs w:val="24"/>
          <w:highlight w:val="none"/>
        </w:rPr>
        <w:t>4、食用油、米面、肉蛋蔬菜、消毒洗涤剂、一次性餐具等全部食材及耗材必须符合国家食品安全、食品环保标准，提供供应商资质、产品合格检测报告；</w:t>
      </w:r>
    </w:p>
    <w:p w14:paraId="2E6D27F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1"/>
        <w:rPr>
          <w:rFonts w:hint="eastAsia" w:ascii="宋体" w:hAnsi="宋体" w:eastAsia="宋体" w:cs="Times New Roman"/>
          <w:b w:val="0"/>
          <w:bCs/>
          <w:color w:val="auto"/>
          <w:szCs w:val="24"/>
          <w:highlight w:val="none"/>
        </w:rPr>
      </w:pPr>
      <w:r>
        <w:rPr>
          <w:rFonts w:hint="eastAsia" w:ascii="宋体" w:hAnsi="宋体" w:eastAsia="宋体" w:cs="Times New Roman"/>
          <w:b w:val="0"/>
          <w:bCs/>
          <w:color w:val="auto"/>
          <w:szCs w:val="24"/>
          <w:highlight w:val="none"/>
        </w:rPr>
        <w:t>严禁使用过期、变质、三无、转基因超标、劣质食品原料；全套灶具、蒸箱、冷藏冷冻设备、消毒柜须完好可用，定期检修保养留存记录。</w:t>
      </w:r>
    </w:p>
    <w:p w14:paraId="7401199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1"/>
        <w:rPr>
          <w:rFonts w:hint="eastAsia" w:ascii="宋体" w:hAnsi="宋体" w:eastAsia="宋体" w:cs="Times New Roman"/>
          <w:b w:val="0"/>
          <w:bCs/>
          <w:color w:val="auto"/>
          <w:szCs w:val="24"/>
          <w:highlight w:val="none"/>
        </w:rPr>
      </w:pPr>
      <w:r>
        <w:rPr>
          <w:rFonts w:hint="eastAsia" w:ascii="宋体" w:hAnsi="宋体" w:eastAsia="宋体" w:cs="Times New Roman"/>
          <w:b w:val="0"/>
          <w:bCs/>
          <w:color w:val="auto"/>
          <w:szCs w:val="24"/>
          <w:highlight w:val="none"/>
        </w:rPr>
        <w:t>食堂工作人员统一穿戴工作服、工作帽、口罩，持有效健康证上岗，操作流程规范，文明服务，耐心听取职工就餐意见，不得与就餐干部职工发生争执冲突。</w:t>
      </w:r>
    </w:p>
    <w:p w14:paraId="30EF6241">
      <w:pPr>
        <w:spacing w:line="360" w:lineRule="auto"/>
        <w:outlineLvl w:val="1"/>
        <w:rPr>
          <w:rFonts w:hint="eastAsia" w:ascii="宋体" w:hAnsi="宋体" w:eastAsia="宋体" w:cs="Times New Roman"/>
          <w:b/>
          <w:bCs w:val="0"/>
          <w:color w:val="auto"/>
          <w:szCs w:val="24"/>
          <w:highlight w:val="none"/>
        </w:rPr>
      </w:pPr>
      <w:r>
        <w:rPr>
          <w:rFonts w:hint="eastAsia" w:ascii="宋体" w:hAnsi="宋体" w:eastAsia="宋体" w:cs="Times New Roman"/>
          <w:b/>
          <w:bCs w:val="0"/>
          <w:color w:val="auto"/>
          <w:szCs w:val="24"/>
          <w:highlight w:val="none"/>
        </w:rPr>
        <w:t>四、服务管理要求</w:t>
      </w:r>
    </w:p>
    <w:p w14:paraId="1BB82BC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1"/>
        <w:rPr>
          <w:rFonts w:hint="eastAsia" w:ascii="宋体" w:hAnsi="宋体" w:eastAsia="宋体" w:cs="Times New Roman"/>
          <w:b w:val="0"/>
          <w:bCs/>
          <w:color w:val="auto"/>
          <w:szCs w:val="24"/>
          <w:highlight w:val="none"/>
        </w:rPr>
      </w:pPr>
      <w:r>
        <w:rPr>
          <w:rFonts w:hint="eastAsia" w:ascii="宋体" w:hAnsi="宋体" w:eastAsia="宋体" w:cs="Times New Roman"/>
          <w:b w:val="0"/>
          <w:bCs/>
          <w:color w:val="auto"/>
          <w:szCs w:val="24"/>
          <w:highlight w:val="none"/>
        </w:rPr>
        <w:t>1、供应商须在合同签订次日起全部食堂工作人员到岗开展餐饮服务，严格按照就餐时段提前备餐、错峰供餐，不得缺岗、迟到、擅自脱岗、无人值守窗口。因供应商人员不足、食材供应中断、卫生管控缺失造成就餐无法保障、食品安全隐患，单次扣除当日合同服务费 5%；月度累计 3 次及以上验收不合格，采购人有权扣除当月全部服务费用。</w:t>
      </w:r>
    </w:p>
    <w:p w14:paraId="653197A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1"/>
        <w:rPr>
          <w:rFonts w:hint="eastAsia" w:ascii="宋体" w:hAnsi="宋体" w:eastAsia="宋体" w:cs="Times New Roman"/>
          <w:b w:val="0"/>
          <w:bCs/>
          <w:color w:val="auto"/>
          <w:szCs w:val="24"/>
          <w:highlight w:val="none"/>
        </w:rPr>
      </w:pPr>
      <w:r>
        <w:rPr>
          <w:rFonts w:hint="eastAsia" w:ascii="宋体" w:hAnsi="宋体" w:eastAsia="宋体" w:cs="Times New Roman"/>
          <w:b w:val="0"/>
          <w:bCs/>
          <w:color w:val="auto"/>
          <w:szCs w:val="24"/>
          <w:highlight w:val="none"/>
        </w:rPr>
        <w:t>2、食堂运营全过程产生的从业人员薪酬、社保、工装、食材采购、厨具餐具、消毒消杀用品、冷藏设备维修、油烟管道清洗、健康体检、劳保防护用品等全部费用均由供应商全额承担，采购人无需额外支付任何费用。</w:t>
      </w:r>
    </w:p>
    <w:p w14:paraId="30E28E9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1"/>
        <w:rPr>
          <w:rFonts w:hint="eastAsia" w:ascii="宋体" w:hAnsi="宋体" w:eastAsia="宋体" w:cs="Times New Roman"/>
          <w:b w:val="0"/>
          <w:bCs/>
          <w:color w:val="auto"/>
          <w:szCs w:val="24"/>
          <w:highlight w:val="none"/>
        </w:rPr>
      </w:pPr>
      <w:r>
        <w:rPr>
          <w:rFonts w:hint="eastAsia" w:ascii="宋体" w:hAnsi="宋体" w:eastAsia="宋体" w:cs="Times New Roman"/>
          <w:b w:val="0"/>
          <w:bCs/>
          <w:color w:val="auto"/>
          <w:szCs w:val="24"/>
          <w:highlight w:val="none"/>
        </w:rPr>
        <w:t>3、食堂运营全过程食品安全、人身安全责任由供应商独立承担。运营期间发生食材中毒、食材变质、后厨火灾、设备伤人、就餐人员健康受损等安全事故，全部由供应商负责处置并承担全部经济赔偿及法律责任。</w:t>
      </w:r>
    </w:p>
    <w:p w14:paraId="3F14164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1"/>
        <w:rPr>
          <w:rFonts w:hint="eastAsia" w:ascii="宋体" w:hAnsi="宋体" w:eastAsia="宋体" w:cs="Times New Roman"/>
          <w:b w:val="0"/>
          <w:bCs/>
          <w:color w:val="auto"/>
          <w:szCs w:val="24"/>
          <w:highlight w:val="none"/>
        </w:rPr>
      </w:pPr>
      <w:r>
        <w:rPr>
          <w:rFonts w:hint="eastAsia" w:ascii="宋体" w:hAnsi="宋体" w:eastAsia="宋体" w:cs="Times New Roman"/>
          <w:b w:val="0"/>
          <w:bCs/>
          <w:color w:val="auto"/>
          <w:szCs w:val="24"/>
          <w:highlight w:val="none"/>
        </w:rPr>
        <w:t>4、每日开展后厨、餐厅、库房清洁消杀；重大节假日、上级督导、大型会议活动期间，供应商须无偿增派工作人员，提前备餐、延长供餐时间，保障会议工作餐供应。</w:t>
      </w:r>
    </w:p>
    <w:p w14:paraId="36EBC612">
      <w:pPr>
        <w:spacing w:line="360" w:lineRule="auto"/>
        <w:outlineLvl w:val="1"/>
        <w:rPr>
          <w:rFonts w:hint="eastAsia" w:ascii="宋体" w:hAnsi="宋体" w:eastAsia="宋体" w:cs="Times New Roman"/>
          <w:b/>
          <w:bCs w:val="0"/>
          <w:color w:val="auto"/>
          <w:szCs w:val="24"/>
          <w:highlight w:val="none"/>
        </w:rPr>
      </w:pPr>
      <w:r>
        <w:rPr>
          <w:rFonts w:hint="eastAsia" w:ascii="宋体" w:hAnsi="宋体" w:eastAsia="宋体" w:cs="Times New Roman"/>
          <w:b/>
          <w:bCs w:val="0"/>
          <w:color w:val="auto"/>
          <w:szCs w:val="24"/>
          <w:highlight w:val="none"/>
        </w:rPr>
        <w:t>五、商务要求</w:t>
      </w:r>
    </w:p>
    <w:p w14:paraId="7276A4AD">
      <w:pPr>
        <w:keepNext w:val="0"/>
        <w:keepLines w:val="0"/>
        <w:pageBreakBefore w:val="0"/>
        <w:widowControl w:val="0"/>
        <w:kinsoku/>
        <w:wordWrap/>
        <w:overflowPunct/>
        <w:topLinePunct w:val="0"/>
        <w:autoSpaceDE/>
        <w:autoSpaceDN/>
        <w:bidi w:val="0"/>
        <w:adjustRightInd/>
        <w:snapToGrid/>
        <w:spacing w:line="360" w:lineRule="auto"/>
        <w:textAlignment w:val="auto"/>
        <w:outlineLvl w:val="1"/>
        <w:rPr>
          <w:rFonts w:hint="eastAsia" w:ascii="宋体" w:hAnsi="宋体" w:eastAsia="宋体" w:cs="Times New Roman"/>
          <w:b/>
          <w:bCs w:val="0"/>
          <w:color w:val="auto"/>
          <w:szCs w:val="24"/>
          <w:highlight w:val="none"/>
        </w:rPr>
      </w:pPr>
      <w:r>
        <w:rPr>
          <w:rFonts w:hint="eastAsia" w:ascii="宋体" w:hAnsi="宋体" w:eastAsia="宋体" w:cs="Times New Roman"/>
          <w:b/>
          <w:bCs w:val="0"/>
          <w:color w:val="auto"/>
          <w:szCs w:val="24"/>
          <w:highlight w:val="none"/>
        </w:rPr>
        <w:t>（一）服务地点</w:t>
      </w:r>
    </w:p>
    <w:p w14:paraId="2DA4B85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1"/>
        <w:rPr>
          <w:rFonts w:hint="eastAsia" w:ascii="宋体" w:hAnsi="宋体" w:eastAsia="宋体" w:cs="Times New Roman"/>
          <w:b w:val="0"/>
          <w:bCs/>
          <w:color w:val="auto"/>
          <w:szCs w:val="24"/>
          <w:highlight w:val="none"/>
        </w:rPr>
      </w:pPr>
      <w:r>
        <w:rPr>
          <w:rFonts w:hint="eastAsia" w:ascii="宋体" w:hAnsi="宋体" w:eastAsia="宋体" w:cs="Times New Roman"/>
          <w:b w:val="0"/>
          <w:bCs/>
          <w:color w:val="auto"/>
          <w:szCs w:val="24"/>
          <w:highlight w:val="none"/>
        </w:rPr>
        <w:t>蓝田县政府大院机关食堂采购人划定全部餐饮操作、就餐、仓储区域。</w:t>
      </w:r>
    </w:p>
    <w:p w14:paraId="0D9E033B">
      <w:pPr>
        <w:keepNext w:val="0"/>
        <w:keepLines w:val="0"/>
        <w:pageBreakBefore w:val="0"/>
        <w:widowControl w:val="0"/>
        <w:kinsoku/>
        <w:wordWrap/>
        <w:overflowPunct/>
        <w:topLinePunct w:val="0"/>
        <w:autoSpaceDE/>
        <w:autoSpaceDN/>
        <w:bidi w:val="0"/>
        <w:adjustRightInd/>
        <w:snapToGrid/>
        <w:spacing w:line="360" w:lineRule="auto"/>
        <w:textAlignment w:val="auto"/>
        <w:outlineLvl w:val="1"/>
        <w:rPr>
          <w:rFonts w:hint="eastAsia" w:ascii="宋体" w:hAnsi="宋体" w:eastAsia="宋体" w:cs="Times New Roman"/>
          <w:b/>
          <w:bCs w:val="0"/>
          <w:color w:val="auto"/>
          <w:szCs w:val="24"/>
          <w:highlight w:val="none"/>
        </w:rPr>
      </w:pPr>
      <w:r>
        <w:rPr>
          <w:rFonts w:hint="eastAsia" w:ascii="宋体" w:hAnsi="宋体" w:eastAsia="宋体" w:cs="Times New Roman"/>
          <w:b/>
          <w:bCs w:val="0"/>
          <w:color w:val="auto"/>
          <w:szCs w:val="24"/>
          <w:highlight w:val="none"/>
        </w:rPr>
        <w:t>（二）服务期限</w:t>
      </w:r>
    </w:p>
    <w:p w14:paraId="13491A0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1"/>
        <w:rPr>
          <w:rFonts w:hint="eastAsia" w:ascii="宋体" w:hAnsi="宋体" w:eastAsia="宋体" w:cs="Times New Roman"/>
          <w:b w:val="0"/>
          <w:bCs/>
          <w:color w:val="auto"/>
          <w:szCs w:val="24"/>
          <w:highlight w:val="none"/>
        </w:rPr>
      </w:pPr>
      <w:r>
        <w:rPr>
          <w:rFonts w:hint="eastAsia" w:ascii="宋体" w:hAnsi="宋体" w:eastAsia="宋体" w:cs="Times New Roman"/>
          <w:b w:val="0"/>
          <w:bCs/>
          <w:color w:val="auto"/>
          <w:szCs w:val="24"/>
          <w:highlight w:val="none"/>
        </w:rPr>
        <w:t>合同签订后 12 个自然月，工作日正常提供早、</w:t>
      </w:r>
      <w:r>
        <w:rPr>
          <w:rFonts w:hint="eastAsia" w:hAnsi="宋体" w:cs="Times New Roman"/>
          <w:b w:val="0"/>
          <w:bCs/>
          <w:color w:val="auto"/>
          <w:szCs w:val="24"/>
          <w:highlight w:val="none"/>
          <w:lang w:eastAsia="zh-CN"/>
        </w:rPr>
        <w:t>中、晚</w:t>
      </w:r>
      <w:r>
        <w:rPr>
          <w:rFonts w:hint="eastAsia" w:ascii="宋体" w:hAnsi="宋体" w:eastAsia="宋体" w:cs="Times New Roman"/>
          <w:b w:val="0"/>
          <w:bCs/>
          <w:color w:val="auto"/>
          <w:szCs w:val="24"/>
          <w:highlight w:val="none"/>
        </w:rPr>
        <w:t>餐餐饮服务，按需保障节假日、会议供餐。</w:t>
      </w:r>
    </w:p>
    <w:p w14:paraId="52145C1D">
      <w:pPr>
        <w:keepNext w:val="0"/>
        <w:keepLines w:val="0"/>
        <w:pageBreakBefore w:val="0"/>
        <w:widowControl w:val="0"/>
        <w:kinsoku/>
        <w:wordWrap/>
        <w:overflowPunct/>
        <w:topLinePunct w:val="0"/>
        <w:autoSpaceDE/>
        <w:autoSpaceDN/>
        <w:bidi w:val="0"/>
        <w:adjustRightInd/>
        <w:snapToGrid/>
        <w:spacing w:line="360" w:lineRule="auto"/>
        <w:textAlignment w:val="auto"/>
        <w:outlineLvl w:val="1"/>
        <w:rPr>
          <w:rFonts w:hint="eastAsia" w:ascii="宋体" w:hAnsi="宋体" w:eastAsia="宋体" w:cs="Times New Roman"/>
          <w:b/>
          <w:bCs w:val="0"/>
          <w:color w:val="auto"/>
          <w:szCs w:val="24"/>
          <w:highlight w:val="none"/>
        </w:rPr>
      </w:pPr>
      <w:r>
        <w:rPr>
          <w:rFonts w:hint="eastAsia" w:ascii="宋体" w:hAnsi="宋体" w:eastAsia="宋体" w:cs="Times New Roman"/>
          <w:b/>
          <w:bCs w:val="0"/>
          <w:color w:val="auto"/>
          <w:szCs w:val="24"/>
          <w:highlight w:val="none"/>
        </w:rPr>
        <w:t>（三）款项结算</w:t>
      </w:r>
    </w:p>
    <w:p w14:paraId="552055B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1"/>
        <w:rPr>
          <w:rFonts w:hint="eastAsia" w:ascii="宋体" w:hAnsi="宋体" w:eastAsia="宋体" w:cs="Times New Roman"/>
          <w:b w:val="0"/>
          <w:bCs/>
          <w:color w:val="auto"/>
          <w:szCs w:val="24"/>
          <w:highlight w:val="none"/>
        </w:rPr>
      </w:pPr>
      <w:r>
        <w:rPr>
          <w:rFonts w:hint="eastAsia" w:ascii="宋体" w:hAnsi="宋体" w:eastAsia="宋体" w:cs="Times New Roman"/>
          <w:b w:val="0"/>
          <w:bCs/>
          <w:color w:val="auto"/>
          <w:szCs w:val="24"/>
          <w:highlight w:val="none"/>
        </w:rPr>
        <w:t>1、结算单位：蓝田县政府大院统一结算，每次付款前乙方须向采购人开具等额正规增值税发票。</w:t>
      </w:r>
    </w:p>
    <w:p w14:paraId="5E6AA2A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1"/>
        <w:rPr>
          <w:rFonts w:hint="eastAsia" w:ascii="宋体" w:hAnsi="宋体" w:eastAsia="宋体" w:cs="Times New Roman"/>
          <w:b w:val="0"/>
          <w:bCs/>
          <w:color w:val="auto"/>
          <w:szCs w:val="24"/>
          <w:highlight w:val="none"/>
        </w:rPr>
      </w:pPr>
      <w:r>
        <w:rPr>
          <w:rFonts w:hint="eastAsia" w:ascii="宋体" w:hAnsi="宋体" w:eastAsia="宋体" w:cs="Times New Roman"/>
          <w:b w:val="0"/>
          <w:bCs/>
          <w:color w:val="auto"/>
          <w:szCs w:val="24"/>
          <w:highlight w:val="none"/>
        </w:rPr>
        <w:t>2、付款方式：签订合同后甲方向乙方支付合同金额 40% 的预付款；服务期满、整体验收合格且达到付款条件起 30 日内，支付剩余全部款项至合同总金额100%。</w:t>
      </w:r>
    </w:p>
    <w:p w14:paraId="14B2C460">
      <w:pPr>
        <w:spacing w:line="360" w:lineRule="auto"/>
        <w:outlineLvl w:val="1"/>
        <w:rPr>
          <w:rFonts w:hint="eastAsia" w:ascii="宋体" w:hAnsi="宋体" w:eastAsia="宋体" w:cs="Times New Roman"/>
          <w:b/>
          <w:bCs w:val="0"/>
          <w:color w:val="auto"/>
          <w:szCs w:val="24"/>
          <w:highlight w:val="none"/>
        </w:rPr>
      </w:pPr>
      <w:r>
        <w:rPr>
          <w:rFonts w:hint="eastAsia" w:ascii="宋体" w:hAnsi="宋体" w:eastAsia="宋体" w:cs="Times New Roman"/>
          <w:b/>
          <w:bCs w:val="0"/>
          <w:color w:val="auto"/>
          <w:szCs w:val="24"/>
          <w:highlight w:val="none"/>
        </w:rPr>
        <w:t>六、其他要求及违约责任</w:t>
      </w:r>
    </w:p>
    <w:p w14:paraId="0BE29E6D">
      <w:pPr>
        <w:keepNext w:val="0"/>
        <w:keepLines w:val="0"/>
        <w:pageBreakBefore w:val="0"/>
        <w:widowControl w:val="0"/>
        <w:kinsoku/>
        <w:wordWrap/>
        <w:overflowPunct/>
        <w:topLinePunct w:val="0"/>
        <w:autoSpaceDE/>
        <w:autoSpaceDN/>
        <w:bidi w:val="0"/>
        <w:adjustRightInd/>
        <w:snapToGrid/>
        <w:spacing w:line="360" w:lineRule="auto"/>
        <w:textAlignment w:val="auto"/>
        <w:outlineLvl w:val="1"/>
        <w:rPr>
          <w:rFonts w:hint="eastAsia" w:ascii="宋体" w:hAnsi="宋体" w:eastAsia="宋体" w:cs="Times New Roman"/>
          <w:b/>
          <w:bCs w:val="0"/>
          <w:color w:val="auto"/>
          <w:szCs w:val="24"/>
          <w:highlight w:val="none"/>
        </w:rPr>
      </w:pPr>
      <w:r>
        <w:rPr>
          <w:rFonts w:hint="eastAsia" w:ascii="宋体" w:hAnsi="宋体" w:eastAsia="宋体" w:cs="Times New Roman"/>
          <w:b/>
          <w:bCs w:val="0"/>
          <w:color w:val="auto"/>
          <w:szCs w:val="24"/>
          <w:highlight w:val="none"/>
        </w:rPr>
        <w:t>（</w:t>
      </w:r>
      <w:r>
        <w:rPr>
          <w:rFonts w:hint="eastAsia" w:hAnsi="宋体" w:cs="Times New Roman"/>
          <w:b/>
          <w:bCs w:val="0"/>
          <w:color w:val="auto"/>
          <w:szCs w:val="24"/>
          <w:highlight w:val="none"/>
          <w:lang w:eastAsia="zh-CN"/>
        </w:rPr>
        <w:t>一</w:t>
      </w:r>
      <w:r>
        <w:rPr>
          <w:rFonts w:hint="eastAsia" w:ascii="宋体" w:hAnsi="宋体" w:eastAsia="宋体" w:cs="Times New Roman"/>
          <w:b/>
          <w:bCs w:val="0"/>
          <w:color w:val="auto"/>
          <w:szCs w:val="24"/>
          <w:highlight w:val="none"/>
        </w:rPr>
        <w:t>）服务保障要求</w:t>
      </w:r>
    </w:p>
    <w:p w14:paraId="63E7FD3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1"/>
        <w:rPr>
          <w:rFonts w:hint="eastAsia" w:ascii="宋体" w:hAnsi="宋体" w:eastAsia="宋体" w:cs="Times New Roman"/>
          <w:b w:val="0"/>
          <w:bCs/>
          <w:color w:val="auto"/>
          <w:szCs w:val="24"/>
          <w:highlight w:val="none"/>
        </w:rPr>
      </w:pPr>
      <w:r>
        <w:rPr>
          <w:rFonts w:hint="eastAsia" w:ascii="宋体" w:hAnsi="宋体" w:eastAsia="宋体" w:cs="Times New Roman"/>
          <w:b w:val="0"/>
          <w:bCs/>
          <w:color w:val="auto"/>
          <w:szCs w:val="24"/>
          <w:highlight w:val="none"/>
        </w:rPr>
        <w:t>全服务周期内持续保障食堂食品安全与供餐质量，采购人提出食材、卫生、菜品整改要求后，供应商须 2 小时内安排食堂负责人到场整改完毕；出现食材异味、变质等食品安全隐患须立即下架封存并更换合格食材。</w:t>
      </w:r>
    </w:p>
    <w:p w14:paraId="0AEE30CF">
      <w:pPr>
        <w:keepNext w:val="0"/>
        <w:keepLines w:val="0"/>
        <w:pageBreakBefore w:val="0"/>
        <w:widowControl w:val="0"/>
        <w:kinsoku/>
        <w:wordWrap/>
        <w:overflowPunct/>
        <w:topLinePunct w:val="0"/>
        <w:autoSpaceDE/>
        <w:autoSpaceDN/>
        <w:bidi w:val="0"/>
        <w:adjustRightInd/>
        <w:snapToGrid/>
        <w:spacing w:line="360" w:lineRule="auto"/>
        <w:textAlignment w:val="auto"/>
        <w:outlineLvl w:val="1"/>
        <w:rPr>
          <w:rFonts w:hint="eastAsia" w:ascii="宋体" w:hAnsi="宋体" w:eastAsia="宋体" w:cs="Times New Roman"/>
          <w:b/>
          <w:bCs w:val="0"/>
          <w:color w:val="auto"/>
          <w:szCs w:val="24"/>
          <w:highlight w:val="none"/>
        </w:rPr>
      </w:pPr>
      <w:r>
        <w:rPr>
          <w:rFonts w:hint="eastAsia" w:ascii="宋体" w:hAnsi="宋体" w:eastAsia="宋体" w:cs="Times New Roman"/>
          <w:b/>
          <w:bCs w:val="0"/>
          <w:color w:val="auto"/>
          <w:szCs w:val="24"/>
          <w:highlight w:val="none"/>
        </w:rPr>
        <w:t>（</w:t>
      </w:r>
      <w:r>
        <w:rPr>
          <w:rFonts w:hint="eastAsia" w:hAnsi="宋体" w:cs="Times New Roman"/>
          <w:b/>
          <w:bCs w:val="0"/>
          <w:color w:val="auto"/>
          <w:szCs w:val="24"/>
          <w:highlight w:val="none"/>
          <w:lang w:eastAsia="zh-CN"/>
        </w:rPr>
        <w:t>二</w:t>
      </w:r>
      <w:r>
        <w:rPr>
          <w:rFonts w:hint="eastAsia" w:ascii="宋体" w:hAnsi="宋体" w:eastAsia="宋体" w:cs="Times New Roman"/>
          <w:b/>
          <w:bCs w:val="0"/>
          <w:color w:val="auto"/>
          <w:szCs w:val="24"/>
          <w:highlight w:val="none"/>
        </w:rPr>
        <w:t>）违约责任</w:t>
      </w:r>
    </w:p>
    <w:p w14:paraId="365E083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1"/>
        <w:rPr>
          <w:rFonts w:hint="eastAsia" w:ascii="宋体" w:hAnsi="宋体" w:eastAsia="宋体" w:cs="Times New Roman"/>
          <w:b w:val="0"/>
          <w:bCs/>
          <w:color w:val="auto"/>
          <w:szCs w:val="24"/>
          <w:highlight w:val="none"/>
        </w:rPr>
      </w:pPr>
      <w:r>
        <w:rPr>
          <w:rFonts w:hint="eastAsia" w:ascii="宋体" w:hAnsi="宋体" w:eastAsia="宋体" w:cs="Times New Roman"/>
          <w:b w:val="0"/>
          <w:bCs/>
          <w:color w:val="auto"/>
          <w:szCs w:val="24"/>
          <w:highlight w:val="none"/>
        </w:rPr>
        <w:t>依据《中华人民共和国民法典》《中华人民共和国政府采购法》《中华人民共和国食品安全法》相关条款及本项目采购合同约定执行。中标供应商未全面履行食堂运营服务义务、多次验收不合格、发生食品安全事故或重大违约行为，采购单位有权单方面终止合同，依法向中标供应商追索经济损失，相关争议提交西安仲裁委员会仲裁。若采购单位违约，应当足额赔偿给中标供应商造成的直接经济损失。</w:t>
      </w:r>
    </w:p>
    <w:p w14:paraId="7BA707BC">
      <w:pPr>
        <w:spacing w:line="360" w:lineRule="auto"/>
        <w:outlineLvl w:val="1"/>
        <w:rPr>
          <w:rFonts w:hint="default" w:ascii="宋体" w:hAnsi="宋体" w:eastAsia="宋体" w:cs="Times New Roman"/>
          <w:b w:val="0"/>
          <w:bCs/>
          <w:color w:val="auto"/>
          <w:szCs w:val="24"/>
          <w:highlight w:val="none"/>
          <w:lang w:val="en-US" w:eastAsia="zh-CN"/>
        </w:rPr>
      </w:pPr>
    </w:p>
    <w:p w14:paraId="58808B07">
      <w:pPr>
        <w:pStyle w:val="3"/>
        <w:keepNext w:val="0"/>
        <w:keepLines/>
        <w:pageBreakBefore/>
        <w:spacing w:before="156" w:beforeLines="50" w:after="156" w:afterLines="50"/>
        <w:jc w:val="center"/>
        <w:rPr>
          <w:rFonts w:hint="eastAsia" w:cs="仿宋" w:asciiTheme="minorEastAsia" w:hAnsiTheme="minorEastAsia" w:eastAsiaTheme="minorEastAsia"/>
          <w:color w:val="auto"/>
          <w:highlight w:val="none"/>
        </w:rPr>
      </w:pPr>
      <w:bookmarkStart w:id="102" w:name="_Toc18831"/>
      <w:bookmarkStart w:id="103" w:name="_Toc27356"/>
      <w:bookmarkStart w:id="104" w:name="_Toc1025"/>
      <w:bookmarkStart w:id="105" w:name="_Toc4053"/>
      <w:bookmarkStart w:id="106" w:name="_Toc23856"/>
      <w:bookmarkStart w:id="107" w:name="_Toc2711"/>
      <w:bookmarkStart w:id="108" w:name="_Toc20481"/>
      <w:bookmarkStart w:id="109" w:name="_Toc389582038"/>
      <w:bookmarkStart w:id="110" w:name="_Toc11450"/>
      <w:r>
        <w:rPr>
          <w:rFonts w:hint="eastAsia" w:cs="仿宋" w:asciiTheme="minorEastAsia" w:hAnsiTheme="minorEastAsia" w:eastAsiaTheme="minorEastAsia"/>
          <w:bCs/>
          <w:color w:val="auto"/>
          <w:sz w:val="36"/>
          <w:szCs w:val="36"/>
          <w:highlight w:val="none"/>
        </w:rPr>
        <w:t>第五章  评审方法</w:t>
      </w:r>
      <w:bookmarkEnd w:id="102"/>
      <w:bookmarkEnd w:id="103"/>
    </w:p>
    <w:p w14:paraId="566270EB">
      <w:pPr>
        <w:spacing w:line="360" w:lineRule="auto"/>
        <w:outlineLvl w:val="1"/>
        <w:rPr>
          <w:rFonts w:hint="eastAsia" w:hAnsi="宋体"/>
          <w:b/>
          <w:color w:val="auto"/>
          <w:szCs w:val="24"/>
          <w:highlight w:val="none"/>
        </w:rPr>
      </w:pPr>
      <w:r>
        <w:rPr>
          <w:rFonts w:hint="eastAsia" w:hAnsi="宋体"/>
          <w:b/>
          <w:color w:val="auto"/>
          <w:szCs w:val="24"/>
          <w:highlight w:val="none"/>
        </w:rPr>
        <w:t>一、评审方法</w:t>
      </w:r>
    </w:p>
    <w:p w14:paraId="1992DE5C">
      <w:pPr>
        <w:spacing w:line="460" w:lineRule="exact"/>
        <w:ind w:firstLine="520" w:firstLineChars="217"/>
        <w:rPr>
          <w:rFonts w:hint="eastAsia" w:hAnsi="宋体"/>
          <w:color w:val="auto"/>
          <w:spacing w:val="4"/>
          <w:szCs w:val="24"/>
          <w:highlight w:val="none"/>
        </w:rPr>
      </w:pPr>
      <w:r>
        <w:rPr>
          <w:rFonts w:hAnsi="宋体"/>
          <w:color w:val="auto"/>
          <w:szCs w:val="24"/>
          <w:highlight w:val="none"/>
        </w:rPr>
        <w:t>按照《中华人民共和国政府采购法》</w:t>
      </w:r>
      <w:r>
        <w:rPr>
          <w:rFonts w:hint="eastAsia" w:hAnsi="宋体"/>
          <w:color w:val="auto"/>
          <w:szCs w:val="24"/>
          <w:highlight w:val="none"/>
        </w:rPr>
        <w:t>及实施条例和</w:t>
      </w:r>
      <w:r>
        <w:rPr>
          <w:rFonts w:hAnsi="宋体"/>
          <w:color w:val="auto"/>
          <w:szCs w:val="24"/>
          <w:highlight w:val="none"/>
        </w:rPr>
        <w:t>关于印发《政府采购竞争性磋商采购方式管理暂行办法》的通知</w:t>
      </w:r>
      <w:r>
        <w:rPr>
          <w:rFonts w:hint="eastAsia" w:hAnsi="宋体"/>
          <w:color w:val="auto"/>
          <w:szCs w:val="24"/>
          <w:highlight w:val="none"/>
        </w:rPr>
        <w:t>（</w:t>
      </w:r>
      <w:r>
        <w:rPr>
          <w:rFonts w:hAnsi="宋体"/>
          <w:color w:val="auto"/>
          <w:szCs w:val="24"/>
          <w:highlight w:val="none"/>
        </w:rPr>
        <w:t>财库〔2014〕214号</w:t>
      </w:r>
      <w:r>
        <w:rPr>
          <w:rFonts w:hint="eastAsia" w:hAnsi="宋体"/>
          <w:color w:val="auto"/>
          <w:szCs w:val="24"/>
          <w:highlight w:val="none"/>
        </w:rPr>
        <w:t>）</w:t>
      </w:r>
      <w:r>
        <w:rPr>
          <w:rFonts w:hint="eastAsia" w:hAnsi="宋体"/>
          <w:color w:val="auto"/>
          <w:spacing w:val="4"/>
          <w:szCs w:val="24"/>
          <w:highlight w:val="none"/>
        </w:rPr>
        <w:t>的规定，本次评标采用综合评分法，即在最大限度地满足竞争性磋商文件实质性要求前提下，按照竞争性磋商文件中规定的各项因素和相应的权重分值进行综合评审后，以总得分最高的供应商作为成交候选人并依次排序（最低报价不是成交的唯一标准）。</w:t>
      </w:r>
    </w:p>
    <w:p w14:paraId="10B082F6">
      <w:pPr>
        <w:spacing w:line="360" w:lineRule="auto"/>
        <w:rPr>
          <w:rFonts w:hint="eastAsia" w:hAnsi="宋体"/>
          <w:b/>
          <w:color w:val="auto"/>
          <w:szCs w:val="24"/>
          <w:highlight w:val="none"/>
        </w:rPr>
      </w:pPr>
      <w:bookmarkStart w:id="111" w:name="_Toc465432103"/>
      <w:r>
        <w:rPr>
          <w:rFonts w:hint="eastAsia" w:cs="宋体" w:asciiTheme="minorEastAsia" w:hAnsiTheme="minorEastAsia" w:eastAsiaTheme="minorEastAsia"/>
          <w:b/>
          <w:color w:val="auto"/>
          <w:szCs w:val="24"/>
          <w:highlight w:val="none"/>
        </w:rPr>
        <w:t>二、评审原则</w:t>
      </w:r>
      <w:bookmarkEnd w:id="111"/>
    </w:p>
    <w:p w14:paraId="5E9CD94D">
      <w:pPr>
        <w:widowControl/>
        <w:spacing w:line="360" w:lineRule="auto"/>
        <w:ind w:firstLine="480" w:firstLineChars="200"/>
        <w:rPr>
          <w:rFonts w:hint="eastAsia"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1.公平、公正、科学、择优。</w:t>
      </w:r>
    </w:p>
    <w:p w14:paraId="4249592E">
      <w:pPr>
        <w:widowControl/>
        <w:spacing w:line="360" w:lineRule="auto"/>
        <w:ind w:firstLine="480" w:firstLineChars="200"/>
        <w:rPr>
          <w:rFonts w:hint="eastAsia"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2.</w:t>
      </w:r>
      <w:r>
        <w:rPr>
          <w:rFonts w:hint="eastAsia" w:cs="宋体" w:asciiTheme="minorEastAsia" w:hAnsiTheme="minorEastAsia" w:eastAsiaTheme="minorEastAsia"/>
          <w:color w:val="auto"/>
          <w:highlight w:val="none"/>
          <w:lang w:val="en-US" w:eastAsia="zh-CN"/>
        </w:rPr>
        <w:t>服务</w:t>
      </w:r>
      <w:r>
        <w:rPr>
          <w:rFonts w:hint="eastAsia" w:cs="宋体" w:asciiTheme="minorEastAsia" w:hAnsiTheme="minorEastAsia" w:eastAsiaTheme="minorEastAsia"/>
          <w:color w:val="auto"/>
          <w:highlight w:val="none"/>
        </w:rPr>
        <w:t>质量符合国家各项验收规范标准、</w:t>
      </w:r>
      <w:r>
        <w:rPr>
          <w:rFonts w:hint="eastAsia" w:cs="宋体" w:asciiTheme="minorEastAsia" w:hAnsiTheme="minorEastAsia" w:eastAsiaTheme="minorEastAsia"/>
          <w:color w:val="auto"/>
          <w:highlight w:val="none"/>
          <w:lang w:val="en-US" w:eastAsia="zh-CN"/>
        </w:rPr>
        <w:t>服务</w:t>
      </w:r>
      <w:r>
        <w:rPr>
          <w:rFonts w:hint="eastAsia" w:cs="宋体" w:asciiTheme="minorEastAsia" w:hAnsiTheme="minorEastAsia" w:eastAsiaTheme="minorEastAsia"/>
          <w:color w:val="auto"/>
          <w:highlight w:val="none"/>
        </w:rPr>
        <w:t>期满足竞争性磋商文件要求、方案合理可行、磋商报价合理低价。</w:t>
      </w:r>
    </w:p>
    <w:p w14:paraId="12EF1D5E">
      <w:pPr>
        <w:widowControl/>
        <w:spacing w:line="360" w:lineRule="auto"/>
        <w:ind w:firstLine="480" w:firstLineChars="200"/>
        <w:rPr>
          <w:rFonts w:hint="eastAsia"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3.禁止不正当竞争。</w:t>
      </w:r>
    </w:p>
    <w:p w14:paraId="0C6E53CC">
      <w:pPr>
        <w:spacing w:line="360" w:lineRule="auto"/>
        <w:outlineLvl w:val="1"/>
        <w:rPr>
          <w:rFonts w:hint="eastAsia" w:hAnsi="宋体"/>
          <w:b/>
          <w:color w:val="auto"/>
          <w:szCs w:val="24"/>
          <w:highlight w:val="none"/>
        </w:rPr>
      </w:pPr>
      <w:r>
        <w:rPr>
          <w:rFonts w:hint="eastAsia" w:hAnsi="宋体"/>
          <w:b/>
          <w:color w:val="auto"/>
          <w:szCs w:val="24"/>
          <w:highlight w:val="none"/>
        </w:rPr>
        <w:t>三、评审程序</w:t>
      </w:r>
    </w:p>
    <w:p w14:paraId="7F9170A1">
      <w:pPr>
        <w:pStyle w:val="37"/>
        <w:spacing w:line="460" w:lineRule="exact"/>
        <w:ind w:left="0" w:leftChars="0" w:firstLine="496" w:firstLineChars="200"/>
        <w:rPr>
          <w:rFonts w:hint="eastAsia"/>
          <w:color w:val="auto"/>
          <w:sz w:val="24"/>
          <w:szCs w:val="24"/>
          <w:highlight w:val="none"/>
        </w:rPr>
      </w:pPr>
      <w:r>
        <w:rPr>
          <w:rFonts w:hint="eastAsia"/>
          <w:color w:val="auto"/>
          <w:sz w:val="24"/>
          <w:szCs w:val="24"/>
          <w:highlight w:val="none"/>
        </w:rPr>
        <w:t>按照竞争性磋商响应文件初审、澄清有关问题、分别磋商、二次报价、比较与评审、推荐成交候选人名单。在上一步评审中被认定为无效磋商者，不进入下一步的评审。</w:t>
      </w:r>
    </w:p>
    <w:p w14:paraId="099AC12F">
      <w:pPr>
        <w:spacing w:line="360" w:lineRule="auto"/>
        <w:ind w:firstLine="482" w:firstLineChars="200"/>
        <w:outlineLvl w:val="2"/>
        <w:rPr>
          <w:rFonts w:hint="eastAsia" w:hAnsi="宋体"/>
          <w:b/>
          <w:bCs/>
          <w:color w:val="auto"/>
          <w:szCs w:val="24"/>
          <w:highlight w:val="none"/>
        </w:rPr>
      </w:pPr>
      <w:r>
        <w:rPr>
          <w:rFonts w:hint="eastAsia" w:hAnsi="宋体"/>
          <w:b/>
          <w:bCs/>
          <w:color w:val="auto"/>
          <w:szCs w:val="24"/>
          <w:highlight w:val="none"/>
        </w:rPr>
        <w:t>1.对磋商响应文件的初审</w:t>
      </w:r>
    </w:p>
    <w:p w14:paraId="10F1E2BF">
      <w:pPr>
        <w:tabs>
          <w:tab w:val="left" w:pos="0"/>
        </w:tabs>
        <w:adjustRightInd w:val="0"/>
        <w:snapToGrid w:val="0"/>
        <w:spacing w:line="460" w:lineRule="exact"/>
        <w:ind w:firstLine="472" w:firstLineChars="196"/>
        <w:rPr>
          <w:b/>
          <w:bCs/>
          <w:color w:val="auto"/>
          <w:highlight w:val="none"/>
        </w:rPr>
      </w:pPr>
      <w:r>
        <w:rPr>
          <w:rFonts w:hint="eastAsia"/>
          <w:b/>
          <w:bCs/>
          <w:color w:val="auto"/>
          <w:highlight w:val="none"/>
        </w:rPr>
        <w:t>1.1</w:t>
      </w:r>
      <w:r>
        <w:rPr>
          <w:b/>
          <w:bCs/>
          <w:color w:val="auto"/>
          <w:highlight w:val="none"/>
        </w:rPr>
        <w:t>资格性审查</w:t>
      </w:r>
      <w:r>
        <w:rPr>
          <w:rFonts w:hint="eastAsia"/>
          <w:b/>
          <w:bCs/>
          <w:color w:val="auto"/>
          <w:highlight w:val="none"/>
        </w:rPr>
        <w:t>：采购人将</w:t>
      </w:r>
      <w:r>
        <w:rPr>
          <w:b/>
          <w:bCs/>
          <w:color w:val="auto"/>
          <w:highlight w:val="none"/>
        </w:rPr>
        <w:t>依据</w:t>
      </w:r>
      <w:r>
        <w:rPr>
          <w:rFonts w:hint="eastAsia"/>
          <w:b/>
          <w:bCs/>
          <w:color w:val="auto"/>
          <w:highlight w:val="none"/>
        </w:rPr>
        <w:t>本章第 2.1.1 项规定的评审标准对磋商响应文件进行资格性审查。有一项不符合评审标准的，</w:t>
      </w:r>
      <w:r>
        <w:rPr>
          <w:b/>
          <w:bCs/>
          <w:color w:val="auto"/>
          <w:highlight w:val="none"/>
        </w:rPr>
        <w:t>将被视为未实质性响应</w:t>
      </w:r>
      <w:r>
        <w:rPr>
          <w:rFonts w:hint="eastAsia"/>
          <w:b/>
          <w:bCs/>
          <w:color w:val="auto"/>
          <w:highlight w:val="none"/>
        </w:rPr>
        <w:t>磋商</w:t>
      </w:r>
      <w:r>
        <w:rPr>
          <w:b/>
          <w:bCs/>
          <w:color w:val="auto"/>
          <w:highlight w:val="none"/>
        </w:rPr>
        <w:t>文件</w:t>
      </w:r>
      <w:r>
        <w:rPr>
          <w:rFonts w:hint="eastAsia"/>
          <w:b/>
          <w:bCs/>
          <w:color w:val="auto"/>
          <w:highlight w:val="none"/>
        </w:rPr>
        <w:t>，其磋商响应文件将按无效文件处理</w:t>
      </w:r>
      <w:r>
        <w:rPr>
          <w:b/>
          <w:bCs/>
          <w:color w:val="auto"/>
          <w:highlight w:val="none"/>
        </w:rPr>
        <w:t>。</w:t>
      </w:r>
    </w:p>
    <w:p w14:paraId="2A94757B">
      <w:pPr>
        <w:spacing w:line="460" w:lineRule="exact"/>
        <w:ind w:firstLine="482" w:firstLineChars="200"/>
        <w:rPr>
          <w:color w:val="auto"/>
          <w:highlight w:val="none"/>
        </w:rPr>
      </w:pPr>
      <w:r>
        <w:rPr>
          <w:rFonts w:hint="eastAsia"/>
          <w:b/>
          <w:bCs/>
          <w:color w:val="auto"/>
          <w:highlight w:val="none"/>
        </w:rPr>
        <w:t>1</w:t>
      </w:r>
      <w:r>
        <w:rPr>
          <w:b/>
          <w:bCs/>
          <w:color w:val="auto"/>
          <w:highlight w:val="none"/>
        </w:rPr>
        <w:t>.2符合性审查</w:t>
      </w:r>
      <w:r>
        <w:rPr>
          <w:rFonts w:hint="eastAsia"/>
          <w:b/>
          <w:bCs/>
          <w:color w:val="auto"/>
          <w:highlight w:val="none"/>
        </w:rPr>
        <w:t>：磋商小组根据本章第 2.1.2 项规定的评审标准对磋商响应文件进行符合性评审。有一项不符合评审标准的，将被视为未实质性响应磋商文件，其磋商响应文件将按无效文件处理。</w:t>
      </w:r>
    </w:p>
    <w:p w14:paraId="1C6BBD16">
      <w:pPr>
        <w:spacing w:line="460" w:lineRule="exact"/>
        <w:ind w:firstLine="482" w:firstLineChars="200"/>
        <w:rPr>
          <w:rFonts w:hint="eastAsia" w:hAnsi="宋体" w:cs="宋体"/>
          <w:b/>
          <w:bCs/>
          <w:color w:val="auto"/>
          <w:szCs w:val="24"/>
          <w:highlight w:val="none"/>
        </w:rPr>
      </w:pPr>
      <w:r>
        <w:rPr>
          <w:rFonts w:hint="eastAsia"/>
          <w:b/>
          <w:bCs/>
          <w:color w:val="auto"/>
          <w:highlight w:val="none"/>
        </w:rPr>
        <w:t>在资格性审查阶段，不符合磋商文件要求的，不得进入符合性审查，在符合性审查时未通过的，不得进入后续评审环节。</w:t>
      </w:r>
    </w:p>
    <w:p w14:paraId="6C41C0D1">
      <w:pPr>
        <w:spacing w:line="360" w:lineRule="auto"/>
        <w:ind w:firstLine="482" w:firstLineChars="200"/>
        <w:outlineLvl w:val="2"/>
        <w:rPr>
          <w:rFonts w:hint="eastAsia" w:hAnsi="宋体"/>
          <w:b/>
          <w:bCs/>
          <w:color w:val="auto"/>
          <w:szCs w:val="24"/>
          <w:highlight w:val="none"/>
        </w:rPr>
      </w:pPr>
      <w:r>
        <w:rPr>
          <w:rFonts w:hint="eastAsia" w:hAnsi="宋体"/>
          <w:b/>
          <w:bCs/>
          <w:color w:val="auto"/>
          <w:szCs w:val="24"/>
          <w:highlight w:val="none"/>
        </w:rPr>
        <w:t>2.磋商响应文件的澄清</w:t>
      </w:r>
    </w:p>
    <w:p w14:paraId="318F0B3C">
      <w:pPr>
        <w:spacing w:line="460" w:lineRule="exact"/>
        <w:ind w:firstLine="496" w:firstLineChars="200"/>
        <w:rPr>
          <w:rFonts w:hint="eastAsia" w:hAnsi="宋体" w:cs="宋体"/>
          <w:bCs/>
          <w:color w:val="auto"/>
          <w:spacing w:val="4"/>
          <w:szCs w:val="24"/>
          <w:highlight w:val="none"/>
        </w:rPr>
      </w:pPr>
      <w:r>
        <w:rPr>
          <w:rFonts w:hint="eastAsia" w:hAnsi="宋体" w:cs="宋体"/>
          <w:bCs/>
          <w:color w:val="auto"/>
          <w:spacing w:val="4"/>
          <w:szCs w:val="24"/>
          <w:highlight w:val="none"/>
        </w:rPr>
        <w:t>2.1磋商小组发现供应商的报价明显低于其他通过符合性审查的供应商的报价，有可能影响产品质量或者不能诚信履约的，应当要求其在磋商现场合理的时间内做出书面说明，必要时提交相关证明材料。供应商不能证明其报价合理性的，磋商小组应当将其作为无效响应处理。</w:t>
      </w:r>
    </w:p>
    <w:p w14:paraId="57AED9A2">
      <w:pPr>
        <w:spacing w:line="460" w:lineRule="exact"/>
        <w:ind w:firstLine="480" w:firstLineChars="200"/>
        <w:rPr>
          <w:rFonts w:hint="eastAsia" w:hAnsi="宋体" w:cs="宋体"/>
          <w:bCs/>
          <w:color w:val="auto"/>
          <w:spacing w:val="4"/>
          <w:szCs w:val="24"/>
          <w:highlight w:val="none"/>
        </w:rPr>
      </w:pPr>
      <w:r>
        <w:rPr>
          <w:rFonts w:hint="eastAsia" w:hAnsi="宋体" w:cs="宋体"/>
          <w:color w:val="auto"/>
          <w:szCs w:val="24"/>
          <w:highlight w:val="none"/>
        </w:rPr>
        <w:t>2.2有效的书面澄清材料，是磋商响应文件的补充材料，成为磋商响应文件的组成部分。</w:t>
      </w:r>
    </w:p>
    <w:p w14:paraId="69DFF7B6">
      <w:pPr>
        <w:spacing w:line="460" w:lineRule="exact"/>
        <w:ind w:firstLine="482" w:firstLineChars="200"/>
        <w:rPr>
          <w:rFonts w:hint="eastAsia" w:hAnsi="宋体"/>
          <w:color w:val="auto"/>
          <w:szCs w:val="24"/>
          <w:highlight w:val="none"/>
        </w:rPr>
      </w:pPr>
      <w:r>
        <w:rPr>
          <w:rFonts w:hint="eastAsia" w:hAnsi="宋体"/>
          <w:b/>
          <w:bCs/>
          <w:color w:val="auto"/>
          <w:szCs w:val="24"/>
          <w:highlight w:val="none"/>
        </w:rPr>
        <w:t>3.磋商：</w:t>
      </w:r>
      <w:r>
        <w:rPr>
          <w:rFonts w:hint="eastAsia" w:hAnsi="宋体"/>
          <w:color w:val="auto"/>
          <w:szCs w:val="24"/>
          <w:highlight w:val="none"/>
        </w:rPr>
        <w:t>磋商小组所有成员集中与单一供应商分别进行磋商，并要求供应商在规定的时间内提交最后报价。在磋商过程中，磋商小组可以根据磋商文件和磋商情况实质性变动采购需求中的技术</w:t>
      </w:r>
      <w:r>
        <w:rPr>
          <w:rFonts w:hAnsi="宋体"/>
          <w:color w:val="auto"/>
          <w:szCs w:val="24"/>
          <w:highlight w:val="none"/>
        </w:rPr>
        <w:t>、</w:t>
      </w:r>
      <w:r>
        <w:rPr>
          <w:rFonts w:hint="eastAsia" w:hAnsi="宋体"/>
          <w:color w:val="auto"/>
          <w:szCs w:val="24"/>
          <w:highlight w:val="none"/>
        </w:rPr>
        <w:t>服务要求以及合同草案条款，但不得变动磋商文件中的其它内容。实质性变动的内容，需经采购人代表确认。</w:t>
      </w:r>
    </w:p>
    <w:p w14:paraId="502EF57B">
      <w:pPr>
        <w:spacing w:line="360" w:lineRule="auto"/>
        <w:ind w:firstLine="482" w:firstLineChars="200"/>
        <w:outlineLvl w:val="2"/>
        <w:rPr>
          <w:rFonts w:hint="eastAsia" w:hAnsi="宋体"/>
          <w:b/>
          <w:bCs/>
          <w:color w:val="auto"/>
          <w:szCs w:val="24"/>
          <w:highlight w:val="none"/>
        </w:rPr>
      </w:pPr>
      <w:r>
        <w:rPr>
          <w:rFonts w:hint="eastAsia" w:hAnsi="宋体"/>
          <w:b/>
          <w:bCs/>
          <w:color w:val="auto"/>
          <w:szCs w:val="24"/>
          <w:highlight w:val="none"/>
        </w:rPr>
        <w:t>4.磋商过程中的实质性变动</w:t>
      </w:r>
    </w:p>
    <w:p w14:paraId="348C4CE5">
      <w:pPr>
        <w:spacing w:line="360" w:lineRule="auto"/>
        <w:ind w:firstLine="480" w:firstLineChars="200"/>
        <w:rPr>
          <w:rFonts w:hint="eastAsia" w:hAnsi="宋体"/>
          <w:color w:val="auto"/>
          <w:szCs w:val="24"/>
          <w:highlight w:val="none"/>
        </w:rPr>
      </w:pPr>
      <w:r>
        <w:rPr>
          <w:rFonts w:hint="eastAsia" w:hAnsi="宋体"/>
          <w:color w:val="auto"/>
          <w:szCs w:val="24"/>
          <w:highlight w:val="none"/>
        </w:rPr>
        <w:t>4.1在磋商过程中，磋商小组可以根据磋商文件和磋商情况在最终报价之前实质性变动采购需求中的技术、服务要求以及合同草案条款，但不得变动竞争性磋商文件中的其他内容。实质性变动的内容，须经采购人代表确认。</w:t>
      </w:r>
    </w:p>
    <w:p w14:paraId="056EC589">
      <w:pPr>
        <w:spacing w:line="360" w:lineRule="auto"/>
        <w:ind w:firstLine="480" w:firstLineChars="200"/>
        <w:rPr>
          <w:color w:val="auto"/>
          <w:highlight w:val="none"/>
        </w:rPr>
      </w:pPr>
      <w:r>
        <w:rPr>
          <w:rFonts w:hint="eastAsia" w:hAnsi="宋体"/>
          <w:color w:val="auto"/>
          <w:szCs w:val="24"/>
          <w:highlight w:val="none"/>
        </w:rPr>
        <w:t>4.2对竞争性磋商文件做出的实质性变动是磋商文件的有效组成部分，磋商小组应当及时以书面形式通知所有参加磋商的供应商。</w:t>
      </w:r>
    </w:p>
    <w:p w14:paraId="059CD22B">
      <w:pPr>
        <w:spacing w:line="480" w:lineRule="exact"/>
        <w:ind w:left="480"/>
        <w:outlineLvl w:val="2"/>
        <w:rPr>
          <w:rFonts w:hint="eastAsia" w:hAnsi="宋体"/>
          <w:b/>
          <w:bCs/>
          <w:color w:val="auto"/>
          <w:szCs w:val="24"/>
          <w:highlight w:val="none"/>
        </w:rPr>
      </w:pPr>
      <w:r>
        <w:rPr>
          <w:rFonts w:hint="eastAsia"/>
          <w:b/>
          <w:bCs/>
          <w:color w:val="auto"/>
          <w:szCs w:val="24"/>
          <w:highlight w:val="none"/>
        </w:rPr>
        <w:t>5.综合评审</w:t>
      </w:r>
    </w:p>
    <w:p w14:paraId="6C377457">
      <w:pPr>
        <w:spacing w:line="480" w:lineRule="exact"/>
        <w:ind w:firstLine="480" w:firstLineChars="200"/>
        <w:rPr>
          <w:rFonts w:hint="eastAsia" w:hAnsi="宋体"/>
          <w:color w:val="auto"/>
          <w:szCs w:val="24"/>
          <w:highlight w:val="none"/>
        </w:rPr>
      </w:pPr>
      <w:r>
        <w:rPr>
          <w:rFonts w:hint="eastAsia" w:hAnsi="宋体"/>
          <w:color w:val="auto"/>
          <w:szCs w:val="24"/>
          <w:highlight w:val="none"/>
        </w:rPr>
        <w:t>对于经初审合格的所有供应商，</w:t>
      </w:r>
      <w:r>
        <w:rPr>
          <w:rFonts w:hint="eastAsia"/>
          <w:color w:val="auto"/>
          <w:szCs w:val="24"/>
          <w:highlight w:val="none"/>
        </w:rPr>
        <w:t>由磋商小组各成员依据磋商响应文件和最终报价，</w:t>
      </w:r>
      <w:r>
        <w:rPr>
          <w:rFonts w:hint="eastAsia" w:hAnsi="宋体"/>
          <w:color w:val="auto"/>
          <w:szCs w:val="24"/>
          <w:highlight w:val="none"/>
        </w:rPr>
        <w:t>按照《评标因素及权重分值表》规定的内容独立进行综合评价、比较打分，然后汇总每个供应商的得分，从高到低依次排序，推荐成交候选人。</w:t>
      </w:r>
    </w:p>
    <w:p w14:paraId="26771AB4">
      <w:pPr>
        <w:spacing w:line="360" w:lineRule="auto"/>
        <w:ind w:firstLine="482" w:firstLineChars="200"/>
        <w:outlineLvl w:val="2"/>
        <w:rPr>
          <w:rFonts w:hint="eastAsia" w:hAnsi="宋体"/>
          <w:b/>
          <w:bCs/>
          <w:color w:val="auto"/>
          <w:szCs w:val="24"/>
          <w:highlight w:val="none"/>
        </w:rPr>
      </w:pPr>
      <w:r>
        <w:rPr>
          <w:rFonts w:hint="eastAsia" w:hAnsi="宋体"/>
          <w:b/>
          <w:bCs/>
          <w:color w:val="auto"/>
          <w:szCs w:val="24"/>
          <w:highlight w:val="none"/>
        </w:rPr>
        <w:t>6.推荐成交候选人</w:t>
      </w:r>
    </w:p>
    <w:p w14:paraId="424830D9">
      <w:pPr>
        <w:spacing w:line="360" w:lineRule="auto"/>
        <w:ind w:firstLine="480" w:firstLineChars="200"/>
        <w:outlineLvl w:val="1"/>
        <w:rPr>
          <w:rFonts w:hint="eastAsia" w:hAnsi="宋体"/>
          <w:color w:val="auto"/>
          <w:szCs w:val="24"/>
          <w:highlight w:val="none"/>
        </w:rPr>
      </w:pPr>
      <w:r>
        <w:rPr>
          <w:rFonts w:hint="eastAsia" w:hAnsi="宋体"/>
          <w:color w:val="auto"/>
          <w:szCs w:val="24"/>
          <w:highlight w:val="none"/>
        </w:rPr>
        <w:t>磋商小组完成评审后，向采购人提出书面评审，并推荐1-3名成交候选人，标明排列顺序。</w:t>
      </w:r>
    </w:p>
    <w:p w14:paraId="6686DD48">
      <w:pPr>
        <w:spacing w:line="360" w:lineRule="auto"/>
        <w:outlineLvl w:val="1"/>
        <w:rPr>
          <w:rFonts w:hint="eastAsia" w:hAnsi="宋体"/>
          <w:b/>
          <w:color w:val="auto"/>
          <w:szCs w:val="24"/>
          <w:highlight w:val="none"/>
        </w:rPr>
      </w:pPr>
      <w:r>
        <w:rPr>
          <w:rFonts w:hint="eastAsia" w:hAnsi="宋体"/>
          <w:b/>
          <w:color w:val="auto"/>
          <w:szCs w:val="24"/>
          <w:highlight w:val="none"/>
        </w:rPr>
        <w:t>四、磋商小组当履行下列义务</w:t>
      </w:r>
    </w:p>
    <w:p w14:paraId="5EE3F4F0">
      <w:pPr>
        <w:spacing w:line="360" w:lineRule="auto"/>
        <w:ind w:firstLine="480" w:firstLineChars="200"/>
        <w:rPr>
          <w:rFonts w:hint="eastAsia" w:hAnsi="宋体" w:cs="宋体"/>
          <w:color w:val="auto"/>
          <w:szCs w:val="24"/>
          <w:highlight w:val="none"/>
        </w:rPr>
      </w:pPr>
      <w:r>
        <w:rPr>
          <w:rFonts w:hint="eastAsia" w:hAnsi="宋体" w:cs="宋体"/>
          <w:color w:val="auto"/>
          <w:szCs w:val="24"/>
          <w:highlight w:val="none"/>
        </w:rPr>
        <w:t>1.遵纪守法，客观、公正、廉洁地履行职责；</w:t>
      </w:r>
    </w:p>
    <w:p w14:paraId="6A387699">
      <w:pPr>
        <w:spacing w:line="360" w:lineRule="auto"/>
        <w:ind w:firstLine="480" w:firstLineChars="200"/>
        <w:rPr>
          <w:rFonts w:hint="eastAsia" w:hAnsi="宋体" w:cs="宋体"/>
          <w:color w:val="auto"/>
          <w:szCs w:val="24"/>
          <w:highlight w:val="none"/>
        </w:rPr>
      </w:pPr>
      <w:r>
        <w:rPr>
          <w:rFonts w:hint="eastAsia" w:hAnsi="宋体" w:cs="宋体"/>
          <w:color w:val="auto"/>
          <w:szCs w:val="24"/>
          <w:highlight w:val="none"/>
        </w:rPr>
        <w:t>2.根据采购文件的规定独立进行评审，对个人的评审意见承担法律责任；</w:t>
      </w:r>
    </w:p>
    <w:p w14:paraId="132ABC81">
      <w:pPr>
        <w:spacing w:line="360" w:lineRule="auto"/>
        <w:ind w:firstLine="480" w:firstLineChars="200"/>
        <w:rPr>
          <w:rFonts w:hint="eastAsia" w:hAnsi="宋体" w:cs="宋体"/>
          <w:color w:val="auto"/>
          <w:szCs w:val="24"/>
          <w:highlight w:val="none"/>
        </w:rPr>
      </w:pPr>
      <w:r>
        <w:rPr>
          <w:rFonts w:hint="eastAsia" w:hAnsi="宋体" w:cs="宋体"/>
          <w:color w:val="auto"/>
          <w:szCs w:val="24"/>
          <w:highlight w:val="none"/>
        </w:rPr>
        <w:t>3.参与评审报告的起草；</w:t>
      </w:r>
    </w:p>
    <w:p w14:paraId="698E4A12">
      <w:pPr>
        <w:spacing w:line="360" w:lineRule="auto"/>
        <w:ind w:firstLine="480" w:firstLineChars="200"/>
        <w:rPr>
          <w:rFonts w:hint="eastAsia" w:hAnsi="宋体" w:cs="宋体"/>
          <w:color w:val="auto"/>
          <w:szCs w:val="24"/>
          <w:highlight w:val="none"/>
        </w:rPr>
      </w:pPr>
      <w:r>
        <w:rPr>
          <w:rFonts w:hint="eastAsia" w:hAnsi="宋体" w:cs="宋体"/>
          <w:color w:val="auto"/>
          <w:szCs w:val="24"/>
          <w:highlight w:val="none"/>
        </w:rPr>
        <w:t>4.配合采购人、采购代理机构答复供应商提出的质疑；</w:t>
      </w:r>
    </w:p>
    <w:p w14:paraId="12BC90FF">
      <w:pPr>
        <w:spacing w:line="360" w:lineRule="auto"/>
        <w:ind w:firstLine="480" w:firstLineChars="200"/>
        <w:rPr>
          <w:rFonts w:hint="eastAsia" w:hAnsi="宋体" w:cs="宋体"/>
          <w:color w:val="auto"/>
          <w:szCs w:val="24"/>
          <w:highlight w:val="none"/>
        </w:rPr>
      </w:pPr>
      <w:r>
        <w:rPr>
          <w:rFonts w:hint="eastAsia" w:hAnsi="宋体" w:cs="宋体"/>
          <w:color w:val="auto"/>
          <w:szCs w:val="24"/>
          <w:highlight w:val="none"/>
        </w:rPr>
        <w:t>5.配合财政部门的投诉处理和监督检查工作。</w:t>
      </w:r>
    </w:p>
    <w:p w14:paraId="4301F4E5">
      <w:pPr>
        <w:spacing w:line="360" w:lineRule="auto"/>
        <w:rPr>
          <w:rFonts w:hint="eastAsia" w:cs="宋体" w:asciiTheme="minorEastAsia" w:hAnsiTheme="minorEastAsia" w:eastAsiaTheme="minorEastAsia"/>
          <w:b/>
          <w:color w:val="auto"/>
          <w:szCs w:val="24"/>
          <w:highlight w:val="none"/>
        </w:rPr>
      </w:pPr>
      <w:r>
        <w:rPr>
          <w:rFonts w:hint="eastAsia" w:cs="宋体" w:asciiTheme="minorEastAsia" w:hAnsiTheme="minorEastAsia" w:eastAsiaTheme="minorEastAsia"/>
          <w:b/>
          <w:color w:val="auto"/>
          <w:szCs w:val="24"/>
          <w:highlight w:val="none"/>
        </w:rPr>
        <w:t>五、评审标准</w:t>
      </w:r>
    </w:p>
    <w:p w14:paraId="3D1CDC5E">
      <w:pPr>
        <w:tabs>
          <w:tab w:val="left" w:pos="0"/>
        </w:tabs>
        <w:spacing w:line="360" w:lineRule="auto"/>
        <w:ind w:firstLine="472" w:firstLineChars="196"/>
        <w:rPr>
          <w:rFonts w:hint="eastAsia" w:cs="宋体" w:asciiTheme="minorEastAsia" w:hAnsiTheme="minorEastAsia" w:eastAsiaTheme="minorEastAsia"/>
          <w:b/>
          <w:color w:val="auto"/>
          <w:highlight w:val="none"/>
        </w:rPr>
      </w:pPr>
      <w:r>
        <w:rPr>
          <w:rFonts w:hint="eastAsia" w:cs="宋体" w:asciiTheme="minorEastAsia" w:hAnsiTheme="minorEastAsia" w:eastAsiaTheme="minorEastAsia"/>
          <w:b/>
          <w:color w:val="auto"/>
          <w:highlight w:val="none"/>
        </w:rPr>
        <w:t>1.初步评审标准</w:t>
      </w:r>
    </w:p>
    <w:p w14:paraId="173EE090">
      <w:pPr>
        <w:tabs>
          <w:tab w:val="left" w:pos="0"/>
        </w:tabs>
        <w:spacing w:line="360" w:lineRule="auto"/>
        <w:ind w:firstLine="470" w:firstLineChars="196"/>
        <w:rPr>
          <w:rFonts w:hint="eastAsia"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1.1资格性审查标准：见附件1初步审查要素表；</w:t>
      </w:r>
    </w:p>
    <w:p w14:paraId="6239A2B1">
      <w:pPr>
        <w:tabs>
          <w:tab w:val="left" w:pos="0"/>
        </w:tabs>
        <w:spacing w:line="360" w:lineRule="auto"/>
        <w:ind w:firstLine="470" w:firstLineChars="196"/>
        <w:rPr>
          <w:rFonts w:hint="eastAsia"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1.2符合性审查标准：见附件1初步审查要素表；</w:t>
      </w:r>
    </w:p>
    <w:p w14:paraId="58234AD9">
      <w:pPr>
        <w:tabs>
          <w:tab w:val="left" w:pos="0"/>
        </w:tabs>
        <w:spacing w:line="360" w:lineRule="auto"/>
        <w:ind w:firstLine="472" w:firstLineChars="196"/>
        <w:rPr>
          <w:rFonts w:hint="eastAsia" w:cs="宋体" w:asciiTheme="minorEastAsia" w:hAnsiTheme="minorEastAsia" w:eastAsiaTheme="minorEastAsia"/>
          <w:b/>
          <w:color w:val="auto"/>
          <w:szCs w:val="22"/>
          <w:highlight w:val="none"/>
        </w:rPr>
      </w:pPr>
      <w:r>
        <w:rPr>
          <w:rFonts w:hint="eastAsia" w:cs="宋体" w:asciiTheme="minorEastAsia" w:hAnsiTheme="minorEastAsia" w:eastAsiaTheme="minorEastAsia"/>
          <w:b/>
          <w:color w:val="auto"/>
          <w:szCs w:val="22"/>
          <w:highlight w:val="none"/>
        </w:rPr>
        <w:t>2.分值构成与评分标准</w:t>
      </w:r>
    </w:p>
    <w:p w14:paraId="5CFB4BE9">
      <w:pPr>
        <w:tabs>
          <w:tab w:val="left" w:pos="0"/>
        </w:tabs>
        <w:spacing w:line="360" w:lineRule="auto"/>
        <w:ind w:firstLine="470" w:firstLineChars="196"/>
        <w:rPr>
          <w:rFonts w:hint="eastAsia" w:cs="宋体" w:asciiTheme="minorEastAsia" w:hAnsiTheme="minorEastAsia" w:eastAsiaTheme="minorEastAsia"/>
          <w:b/>
          <w:bCs/>
          <w:color w:val="auto"/>
          <w:spacing w:val="4"/>
          <w:szCs w:val="24"/>
          <w:highlight w:val="none"/>
        </w:rPr>
      </w:pPr>
      <w:r>
        <w:rPr>
          <w:rFonts w:hint="eastAsia" w:cs="宋体" w:asciiTheme="minorEastAsia" w:hAnsiTheme="minorEastAsia" w:eastAsiaTheme="minorEastAsia"/>
          <w:bCs/>
          <w:color w:val="auto"/>
          <w:szCs w:val="22"/>
          <w:highlight w:val="none"/>
        </w:rPr>
        <w:t>2.1分值构成：见附件2评标因素及权重分值表；</w:t>
      </w:r>
    </w:p>
    <w:p w14:paraId="67135529">
      <w:pPr>
        <w:pStyle w:val="19"/>
        <w:widowControl w:val="0"/>
        <w:spacing w:line="360" w:lineRule="auto"/>
        <w:ind w:firstLine="0" w:firstLineChars="0"/>
        <w:outlineLvl w:val="1"/>
        <w:rPr>
          <w:rFonts w:hint="eastAsia" w:hAnsi="宋体"/>
          <w:b/>
          <w:bCs/>
          <w:color w:val="auto"/>
          <w:spacing w:val="4"/>
          <w:sz w:val="24"/>
          <w:szCs w:val="24"/>
          <w:highlight w:val="none"/>
        </w:rPr>
      </w:pPr>
      <w:r>
        <w:rPr>
          <w:rFonts w:hint="eastAsia" w:ascii="宋体" w:hAnsi="宋体"/>
          <w:b/>
          <w:color w:val="auto"/>
          <w:sz w:val="24"/>
          <w:szCs w:val="24"/>
          <w:highlight w:val="none"/>
        </w:rPr>
        <w:t>六、</w:t>
      </w:r>
      <w:r>
        <w:rPr>
          <w:rFonts w:hint="eastAsia" w:hAnsi="宋体"/>
          <w:b/>
          <w:bCs/>
          <w:color w:val="auto"/>
          <w:spacing w:val="4"/>
          <w:sz w:val="24"/>
          <w:szCs w:val="24"/>
          <w:highlight w:val="none"/>
        </w:rPr>
        <w:t>无效响应文件</w:t>
      </w:r>
    </w:p>
    <w:p w14:paraId="6BB6ED85">
      <w:pPr>
        <w:spacing w:line="360" w:lineRule="auto"/>
        <w:ind w:firstLine="482" w:firstLineChars="200"/>
        <w:rPr>
          <w:rFonts w:hint="eastAsia" w:hAnsi="宋体"/>
          <w:b/>
          <w:color w:val="auto"/>
          <w:szCs w:val="24"/>
          <w:highlight w:val="none"/>
        </w:rPr>
      </w:pPr>
      <w:r>
        <w:rPr>
          <w:rFonts w:hint="eastAsia" w:hAnsi="宋体"/>
          <w:b/>
          <w:color w:val="auto"/>
          <w:szCs w:val="24"/>
          <w:highlight w:val="none"/>
          <w:lang w:eastAsia="zh-CN"/>
        </w:rPr>
        <w:t>（</w:t>
      </w:r>
      <w:r>
        <w:rPr>
          <w:rFonts w:hint="eastAsia" w:hAnsi="宋体"/>
          <w:b/>
          <w:color w:val="auto"/>
          <w:szCs w:val="24"/>
          <w:highlight w:val="none"/>
          <w:lang w:val="en-US" w:eastAsia="zh-CN"/>
        </w:rPr>
        <w:t>1</w:t>
      </w:r>
      <w:r>
        <w:rPr>
          <w:rFonts w:hint="eastAsia" w:hAnsi="宋体"/>
          <w:b/>
          <w:color w:val="auto"/>
          <w:szCs w:val="24"/>
          <w:highlight w:val="none"/>
          <w:lang w:eastAsia="zh-CN"/>
        </w:rPr>
        <w:t>）</w:t>
      </w:r>
      <w:r>
        <w:rPr>
          <w:rFonts w:hint="eastAsia" w:hAnsi="宋体"/>
          <w:b/>
          <w:color w:val="auto"/>
          <w:szCs w:val="24"/>
          <w:highlight w:val="none"/>
        </w:rPr>
        <w:t>出现下列情形之一的，磋商响应文件无效：</w:t>
      </w:r>
    </w:p>
    <w:p w14:paraId="63C2E92C">
      <w:pPr>
        <w:tabs>
          <w:tab w:val="left" w:pos="1260"/>
        </w:tabs>
        <w:spacing w:line="360" w:lineRule="auto"/>
        <w:ind w:firstLine="480" w:firstLineChars="200"/>
        <w:rPr>
          <w:rFonts w:hint="eastAsia" w:hAnsi="宋体" w:cs="宋体"/>
          <w:color w:val="auto"/>
          <w:szCs w:val="24"/>
          <w:highlight w:val="none"/>
        </w:rPr>
      </w:pPr>
      <w:r>
        <w:rPr>
          <w:rFonts w:hint="eastAsia" w:hAnsi="宋体" w:cs="宋体"/>
          <w:color w:val="auto"/>
          <w:szCs w:val="24"/>
          <w:highlight w:val="none"/>
        </w:rPr>
        <w:t>1.没有按照竞争性磋商文件要求提供的竞争性磋商响应文件、竞争性磋商响应文件构成有重大缺项、磋商响应文件格式不符合竞争性磋商文件要求；</w:t>
      </w:r>
    </w:p>
    <w:p w14:paraId="47781F84">
      <w:pPr>
        <w:kinsoku w:val="0"/>
        <w:spacing w:line="360" w:lineRule="auto"/>
        <w:ind w:firstLine="480" w:firstLineChars="200"/>
        <w:rPr>
          <w:rFonts w:hint="eastAsia" w:hAnsi="宋体" w:cs="宋体"/>
          <w:color w:val="auto"/>
          <w:spacing w:val="-6"/>
          <w:highlight w:val="none"/>
        </w:rPr>
      </w:pPr>
      <w:r>
        <w:rPr>
          <w:rFonts w:hint="eastAsia" w:hAnsi="宋体" w:cs="宋体"/>
          <w:color w:val="auto"/>
          <w:highlight w:val="none"/>
        </w:rPr>
        <w:t>2.竞争性磋商响应文件未按竞争性磋商文件要求密封、签署、盖章的；</w:t>
      </w:r>
    </w:p>
    <w:p w14:paraId="665DDF52">
      <w:pPr>
        <w:tabs>
          <w:tab w:val="left" w:pos="1260"/>
        </w:tabs>
        <w:spacing w:line="360" w:lineRule="auto"/>
        <w:ind w:firstLine="480" w:firstLineChars="200"/>
        <w:rPr>
          <w:rFonts w:hint="eastAsia" w:hAnsi="宋体" w:cs="宋体"/>
          <w:color w:val="auto"/>
          <w:szCs w:val="24"/>
          <w:highlight w:val="none"/>
        </w:rPr>
      </w:pPr>
      <w:r>
        <w:rPr>
          <w:rFonts w:hint="eastAsia" w:hAnsi="宋体" w:cs="宋体"/>
          <w:color w:val="auto"/>
          <w:szCs w:val="24"/>
          <w:highlight w:val="none"/>
        </w:rPr>
        <w:t>3.供应商未按竞争性磋商文件要求提交磋商保证金或保函的；</w:t>
      </w:r>
    </w:p>
    <w:p w14:paraId="3A4D3ADC">
      <w:pPr>
        <w:tabs>
          <w:tab w:val="left" w:pos="1260"/>
        </w:tabs>
        <w:spacing w:line="360" w:lineRule="auto"/>
        <w:ind w:firstLine="480" w:firstLineChars="200"/>
        <w:rPr>
          <w:rFonts w:hint="eastAsia" w:hAnsi="宋体" w:cs="宋体"/>
          <w:color w:val="auto"/>
          <w:szCs w:val="24"/>
          <w:highlight w:val="none"/>
        </w:rPr>
      </w:pPr>
      <w:r>
        <w:rPr>
          <w:rFonts w:hint="eastAsia" w:hAnsi="宋体" w:cs="宋体"/>
          <w:color w:val="auto"/>
          <w:szCs w:val="24"/>
          <w:highlight w:val="none"/>
        </w:rPr>
        <w:t>4.资格证明文件不全的或无效的，或不符合国家规定的；</w:t>
      </w:r>
    </w:p>
    <w:p w14:paraId="3FD7DD3E">
      <w:pPr>
        <w:tabs>
          <w:tab w:val="left" w:pos="1260"/>
        </w:tabs>
        <w:spacing w:line="360" w:lineRule="auto"/>
        <w:ind w:firstLine="480" w:firstLineChars="200"/>
        <w:rPr>
          <w:rFonts w:hint="eastAsia" w:hAnsi="宋体" w:cs="宋体"/>
          <w:color w:val="auto"/>
          <w:szCs w:val="24"/>
          <w:highlight w:val="none"/>
        </w:rPr>
      </w:pPr>
      <w:r>
        <w:rPr>
          <w:rFonts w:hint="eastAsia" w:hAnsi="宋体" w:cs="宋体"/>
          <w:color w:val="auto"/>
          <w:szCs w:val="24"/>
          <w:highlight w:val="none"/>
        </w:rPr>
        <w:t>5.</w:t>
      </w:r>
      <w:r>
        <w:rPr>
          <w:rFonts w:hint="eastAsia" w:hAnsi="宋体" w:cs="宋体"/>
          <w:color w:val="auto"/>
          <w:spacing w:val="-6"/>
          <w:highlight w:val="none"/>
        </w:rPr>
        <w:t>无磋商有效期或有效期达不到竞争性磋商文件要求的</w:t>
      </w:r>
      <w:r>
        <w:rPr>
          <w:rFonts w:hint="eastAsia" w:hAnsi="宋体" w:cs="宋体"/>
          <w:color w:val="auto"/>
          <w:szCs w:val="24"/>
          <w:highlight w:val="none"/>
        </w:rPr>
        <w:t>；</w:t>
      </w:r>
    </w:p>
    <w:p w14:paraId="574F6CC3">
      <w:pPr>
        <w:tabs>
          <w:tab w:val="left" w:pos="1260"/>
        </w:tabs>
        <w:spacing w:line="360" w:lineRule="auto"/>
        <w:ind w:firstLine="480" w:firstLineChars="200"/>
        <w:rPr>
          <w:rFonts w:hint="eastAsia" w:hAnsi="宋体" w:cs="宋体"/>
          <w:color w:val="auto"/>
          <w:szCs w:val="24"/>
          <w:highlight w:val="none"/>
        </w:rPr>
      </w:pPr>
      <w:r>
        <w:rPr>
          <w:rFonts w:hint="eastAsia" w:hAnsi="宋体" w:cs="宋体"/>
          <w:color w:val="auto"/>
          <w:szCs w:val="24"/>
          <w:highlight w:val="none"/>
        </w:rPr>
        <w:t>6.供应商有串通磋商、以他人名义磋商、行贿、</w:t>
      </w:r>
      <w:r>
        <w:rPr>
          <w:rFonts w:hint="eastAsia" w:hAnsi="宋体" w:cs="宋体"/>
          <w:color w:val="auto"/>
          <w:highlight w:val="none"/>
        </w:rPr>
        <w:t>提供虚假证明（包括第三方提供的虚假证明），开具虚假资质，出现虚假应答的，除按无效文件处理外，还将按照政府采购的有关规定进行处罚；</w:t>
      </w:r>
    </w:p>
    <w:p w14:paraId="1D0C5B7E">
      <w:pPr>
        <w:spacing w:line="360" w:lineRule="auto"/>
        <w:ind w:firstLine="480" w:firstLineChars="200"/>
        <w:rPr>
          <w:rFonts w:hint="eastAsia" w:hAnsi="宋体" w:cs="宋体"/>
          <w:color w:val="auto"/>
          <w:szCs w:val="24"/>
          <w:highlight w:val="none"/>
        </w:rPr>
      </w:pPr>
      <w:r>
        <w:rPr>
          <w:rFonts w:hint="eastAsia" w:hAnsi="宋体" w:cs="宋体"/>
          <w:color w:val="auto"/>
          <w:szCs w:val="24"/>
          <w:highlight w:val="none"/>
        </w:rPr>
        <w:t>7.磋商总报价超过竞争性磋商文件公布的采购预算的或最高限价的。</w:t>
      </w:r>
    </w:p>
    <w:p w14:paraId="7E1EC4C4">
      <w:pPr>
        <w:spacing w:line="360" w:lineRule="auto"/>
        <w:ind w:firstLine="480" w:firstLineChars="200"/>
        <w:rPr>
          <w:rFonts w:hint="eastAsia" w:hAnsi="宋体" w:cs="宋体"/>
          <w:color w:val="auto"/>
          <w:highlight w:val="none"/>
        </w:rPr>
      </w:pPr>
      <w:r>
        <w:rPr>
          <w:rFonts w:hint="eastAsia" w:hAnsi="宋体" w:cs="宋体"/>
          <w:color w:val="auto"/>
          <w:szCs w:val="24"/>
          <w:highlight w:val="none"/>
        </w:rPr>
        <w:t>8.磋商响应文件含有采购人不能接受的附加条件的；</w:t>
      </w:r>
    </w:p>
    <w:p w14:paraId="7D6F84CA">
      <w:pPr>
        <w:spacing w:line="360" w:lineRule="auto"/>
        <w:ind w:firstLine="480" w:firstLineChars="200"/>
        <w:rPr>
          <w:rFonts w:hint="eastAsia" w:hAnsi="宋体"/>
          <w:b/>
          <w:color w:val="auto"/>
          <w:szCs w:val="24"/>
          <w:highlight w:val="none"/>
        </w:rPr>
      </w:pPr>
      <w:r>
        <w:rPr>
          <w:rFonts w:hint="eastAsia" w:hAnsi="宋体" w:cs="宋体"/>
          <w:color w:val="auto"/>
          <w:szCs w:val="24"/>
          <w:highlight w:val="none"/>
        </w:rPr>
        <w:t>9.法律、法规规定的其他无效情形。</w:t>
      </w:r>
    </w:p>
    <w:p w14:paraId="3D9923B5">
      <w:pPr>
        <w:keepNext w:val="0"/>
        <w:keepLines w:val="0"/>
        <w:pageBreakBefore w:val="0"/>
        <w:widowControl w:val="0"/>
        <w:kinsoku/>
        <w:wordWrap w:val="0"/>
        <w:overflowPunct/>
        <w:topLinePunct/>
        <w:autoSpaceDE/>
        <w:autoSpaceDN/>
        <w:bidi w:val="0"/>
        <w:adjustRightInd/>
        <w:snapToGrid/>
        <w:spacing w:line="520" w:lineRule="exact"/>
        <w:ind w:firstLine="482" w:firstLineChars="200"/>
        <w:textAlignment w:val="auto"/>
        <w:rPr>
          <w:rFonts w:hAnsi="宋体" w:cs="宋体"/>
          <w:color w:val="auto"/>
          <w:szCs w:val="24"/>
          <w:highlight w:val="none"/>
        </w:rPr>
      </w:pPr>
      <w:r>
        <w:rPr>
          <w:rFonts w:hint="eastAsia" w:hAnsi="宋体" w:cs="宋体"/>
          <w:b/>
          <w:bCs/>
          <w:color w:val="auto"/>
          <w:szCs w:val="24"/>
          <w:highlight w:val="none"/>
        </w:rPr>
        <w:t>（2）供应商有下列情形之一的，视为供应商串通磋商，其磋商无效：</w:t>
      </w:r>
    </w:p>
    <w:p w14:paraId="4C8FEB61">
      <w:pPr>
        <w:keepNext w:val="0"/>
        <w:keepLines w:val="0"/>
        <w:pageBreakBefore w:val="0"/>
        <w:widowControl w:val="0"/>
        <w:tabs>
          <w:tab w:val="left" w:pos="1260"/>
        </w:tabs>
        <w:kinsoku/>
        <w:overflowPunct/>
        <w:autoSpaceDE/>
        <w:autoSpaceDN/>
        <w:bidi w:val="0"/>
        <w:adjustRightInd/>
        <w:snapToGrid/>
        <w:spacing w:line="520" w:lineRule="exact"/>
        <w:ind w:firstLine="480" w:firstLineChars="200"/>
        <w:textAlignment w:val="auto"/>
        <w:rPr>
          <w:rFonts w:hAnsi="宋体" w:cs="宋体"/>
          <w:color w:val="auto"/>
          <w:spacing w:val="-6"/>
          <w:highlight w:val="none"/>
        </w:rPr>
      </w:pPr>
      <w:r>
        <w:rPr>
          <w:rFonts w:hint="eastAsia" w:hAnsi="宋体"/>
          <w:color w:val="auto"/>
          <w:highlight w:val="none"/>
        </w:rPr>
        <w:t>1</w:t>
      </w:r>
      <w:r>
        <w:rPr>
          <w:rFonts w:hint="eastAsia" w:hAnsi="宋体" w:cs="宋体"/>
          <w:color w:val="auto"/>
          <w:spacing w:val="-6"/>
          <w:highlight w:val="none"/>
        </w:rPr>
        <w:t>.不同供应商的响应文件由同一单位或者个人编制；</w:t>
      </w:r>
    </w:p>
    <w:p w14:paraId="16C5584B">
      <w:pPr>
        <w:keepNext w:val="0"/>
        <w:keepLines w:val="0"/>
        <w:pageBreakBefore w:val="0"/>
        <w:widowControl w:val="0"/>
        <w:tabs>
          <w:tab w:val="left" w:pos="1260"/>
        </w:tabs>
        <w:kinsoku/>
        <w:overflowPunct/>
        <w:autoSpaceDE/>
        <w:autoSpaceDN/>
        <w:bidi w:val="0"/>
        <w:adjustRightInd/>
        <w:snapToGrid/>
        <w:spacing w:line="520" w:lineRule="exact"/>
        <w:ind w:firstLine="456" w:firstLineChars="200"/>
        <w:textAlignment w:val="auto"/>
        <w:rPr>
          <w:rFonts w:hAnsi="宋体" w:cs="宋体"/>
          <w:color w:val="auto"/>
          <w:spacing w:val="-6"/>
          <w:highlight w:val="none"/>
        </w:rPr>
      </w:pPr>
      <w:r>
        <w:rPr>
          <w:rFonts w:hint="eastAsia" w:hAnsi="宋体" w:cs="宋体"/>
          <w:color w:val="auto"/>
          <w:spacing w:val="-6"/>
          <w:highlight w:val="none"/>
        </w:rPr>
        <w:t>2.不同供应商委托同一单位或者个人办理磋商事宜；</w:t>
      </w:r>
    </w:p>
    <w:p w14:paraId="60D90899">
      <w:pPr>
        <w:keepNext w:val="0"/>
        <w:keepLines w:val="0"/>
        <w:pageBreakBefore w:val="0"/>
        <w:widowControl w:val="0"/>
        <w:tabs>
          <w:tab w:val="left" w:pos="1260"/>
        </w:tabs>
        <w:kinsoku/>
        <w:overflowPunct/>
        <w:autoSpaceDE/>
        <w:autoSpaceDN/>
        <w:bidi w:val="0"/>
        <w:adjustRightInd/>
        <w:snapToGrid/>
        <w:spacing w:line="520" w:lineRule="exact"/>
        <w:ind w:firstLine="456" w:firstLineChars="200"/>
        <w:textAlignment w:val="auto"/>
        <w:rPr>
          <w:rFonts w:hAnsi="宋体" w:cs="宋体"/>
          <w:color w:val="auto"/>
          <w:spacing w:val="-6"/>
          <w:highlight w:val="none"/>
        </w:rPr>
      </w:pPr>
      <w:r>
        <w:rPr>
          <w:rFonts w:hint="eastAsia" w:hAnsi="宋体" w:cs="宋体"/>
          <w:color w:val="auto"/>
          <w:spacing w:val="-6"/>
          <w:highlight w:val="none"/>
        </w:rPr>
        <w:t>3.不同供应商的响应文件载明的项目管理成员或者联系人员为同一人；</w:t>
      </w:r>
    </w:p>
    <w:p w14:paraId="004DE278">
      <w:pPr>
        <w:keepNext w:val="0"/>
        <w:keepLines w:val="0"/>
        <w:pageBreakBefore w:val="0"/>
        <w:widowControl w:val="0"/>
        <w:tabs>
          <w:tab w:val="left" w:pos="1260"/>
        </w:tabs>
        <w:kinsoku/>
        <w:overflowPunct/>
        <w:autoSpaceDE/>
        <w:autoSpaceDN/>
        <w:bidi w:val="0"/>
        <w:adjustRightInd/>
        <w:snapToGrid/>
        <w:spacing w:line="520" w:lineRule="exact"/>
        <w:ind w:firstLine="456" w:firstLineChars="200"/>
        <w:textAlignment w:val="auto"/>
        <w:rPr>
          <w:rFonts w:hAnsi="宋体" w:cs="宋体"/>
          <w:color w:val="auto"/>
          <w:spacing w:val="-6"/>
          <w:highlight w:val="none"/>
        </w:rPr>
      </w:pPr>
      <w:r>
        <w:rPr>
          <w:rFonts w:hint="eastAsia" w:hAnsi="宋体" w:cs="宋体"/>
          <w:color w:val="auto"/>
          <w:spacing w:val="-6"/>
          <w:highlight w:val="none"/>
        </w:rPr>
        <w:t>4.不同供应商的响应文件异常一致或者磋商报价呈规律性差异；</w:t>
      </w:r>
    </w:p>
    <w:p w14:paraId="431B07DA">
      <w:pPr>
        <w:keepNext w:val="0"/>
        <w:keepLines w:val="0"/>
        <w:pageBreakBefore w:val="0"/>
        <w:widowControl w:val="0"/>
        <w:tabs>
          <w:tab w:val="left" w:pos="1260"/>
        </w:tabs>
        <w:kinsoku/>
        <w:overflowPunct/>
        <w:autoSpaceDE/>
        <w:autoSpaceDN/>
        <w:bidi w:val="0"/>
        <w:adjustRightInd/>
        <w:snapToGrid/>
        <w:spacing w:line="520" w:lineRule="exact"/>
        <w:ind w:firstLine="456" w:firstLineChars="200"/>
        <w:textAlignment w:val="auto"/>
        <w:rPr>
          <w:rFonts w:hAnsi="宋体" w:cs="宋体"/>
          <w:color w:val="auto"/>
          <w:spacing w:val="-6"/>
          <w:highlight w:val="none"/>
        </w:rPr>
      </w:pPr>
      <w:r>
        <w:rPr>
          <w:rFonts w:hint="eastAsia" w:hAnsi="宋体" w:cs="宋体"/>
          <w:color w:val="auto"/>
          <w:spacing w:val="-6"/>
          <w:highlight w:val="none"/>
        </w:rPr>
        <w:t>5.不同供应商的响应文件相互混装；</w:t>
      </w:r>
    </w:p>
    <w:p w14:paraId="4EE18FC8">
      <w:pPr>
        <w:keepNext w:val="0"/>
        <w:keepLines w:val="0"/>
        <w:pageBreakBefore w:val="0"/>
        <w:widowControl w:val="0"/>
        <w:tabs>
          <w:tab w:val="left" w:pos="1260"/>
        </w:tabs>
        <w:kinsoku/>
        <w:overflowPunct/>
        <w:autoSpaceDE/>
        <w:autoSpaceDN/>
        <w:bidi w:val="0"/>
        <w:adjustRightInd/>
        <w:snapToGrid/>
        <w:spacing w:line="520" w:lineRule="exact"/>
        <w:ind w:firstLine="456" w:firstLineChars="200"/>
        <w:textAlignment w:val="auto"/>
        <w:rPr>
          <w:rFonts w:hAnsi="宋体" w:cs="宋体"/>
          <w:color w:val="auto"/>
          <w:spacing w:val="-6"/>
          <w:highlight w:val="none"/>
        </w:rPr>
      </w:pPr>
      <w:r>
        <w:rPr>
          <w:rFonts w:hint="eastAsia" w:hAnsi="宋体" w:cs="宋体"/>
          <w:color w:val="auto"/>
          <w:spacing w:val="-6"/>
          <w:highlight w:val="none"/>
        </w:rPr>
        <w:t>6.不同供应商的磋商保证金从同一单位或者个人的账户转出；</w:t>
      </w:r>
    </w:p>
    <w:p w14:paraId="459A32B7">
      <w:pPr>
        <w:keepNext w:val="0"/>
        <w:keepLines w:val="0"/>
        <w:pageBreakBefore w:val="0"/>
        <w:widowControl w:val="0"/>
        <w:kinsoku/>
        <w:overflowPunct/>
        <w:autoSpaceDE/>
        <w:autoSpaceDN/>
        <w:bidi w:val="0"/>
        <w:adjustRightInd/>
        <w:snapToGrid/>
        <w:spacing w:line="520" w:lineRule="exact"/>
        <w:ind w:firstLine="456" w:firstLineChars="200"/>
        <w:jc w:val="left"/>
        <w:textAlignment w:val="auto"/>
        <w:rPr>
          <w:rFonts w:hint="eastAsia" w:hAnsi="宋体"/>
          <w:b/>
          <w:color w:val="auto"/>
          <w:szCs w:val="24"/>
          <w:highlight w:val="none"/>
        </w:rPr>
      </w:pPr>
      <w:r>
        <w:rPr>
          <w:rFonts w:hint="eastAsia" w:hAnsi="宋体" w:cs="宋体"/>
          <w:color w:val="auto"/>
          <w:spacing w:val="-6"/>
          <w:highlight w:val="none"/>
        </w:rPr>
        <w:t>7.不同供应商的单位负责人为同一人或者存在控股、管理关系的不同单位，参与同一“包/标段”或者未划分“包/标段”的同一磋商项目。</w:t>
      </w:r>
    </w:p>
    <w:p w14:paraId="3A4647AC">
      <w:pPr>
        <w:spacing w:line="460" w:lineRule="exact"/>
        <w:jc w:val="left"/>
        <w:rPr>
          <w:rFonts w:hint="eastAsia" w:hAnsi="宋体"/>
          <w:b/>
          <w:color w:val="auto"/>
          <w:szCs w:val="24"/>
          <w:highlight w:val="none"/>
        </w:rPr>
      </w:pPr>
      <w:r>
        <w:rPr>
          <w:rFonts w:hint="eastAsia" w:hAnsi="宋体"/>
          <w:b/>
          <w:color w:val="auto"/>
          <w:szCs w:val="24"/>
          <w:highlight w:val="none"/>
        </w:rPr>
        <w:t>七</w:t>
      </w:r>
      <w:r>
        <w:rPr>
          <w:rFonts w:hAnsi="宋体"/>
          <w:b/>
          <w:color w:val="auto"/>
          <w:szCs w:val="24"/>
          <w:highlight w:val="none"/>
        </w:rPr>
        <w:t>、政策性扣减</w:t>
      </w:r>
    </w:p>
    <w:p w14:paraId="353868ED">
      <w:pPr>
        <w:spacing w:line="460" w:lineRule="exact"/>
        <w:ind w:firstLine="482" w:firstLineChars="200"/>
        <w:jc w:val="left"/>
        <w:rPr>
          <w:rFonts w:hint="eastAsia" w:hAnsi="宋体"/>
          <w:b/>
          <w:bCs/>
          <w:color w:val="auto"/>
          <w:szCs w:val="24"/>
          <w:highlight w:val="none"/>
        </w:rPr>
      </w:pPr>
      <w:r>
        <w:rPr>
          <w:rFonts w:hint="eastAsia" w:hAnsi="宋体"/>
          <w:b/>
          <w:bCs/>
          <w:color w:val="auto"/>
          <w:szCs w:val="24"/>
          <w:highlight w:val="none"/>
        </w:rPr>
        <w:t>1.</w:t>
      </w:r>
      <w:r>
        <w:rPr>
          <w:rFonts w:hAnsi="宋体"/>
          <w:b/>
          <w:bCs/>
          <w:color w:val="auto"/>
          <w:szCs w:val="24"/>
          <w:highlight w:val="none"/>
        </w:rPr>
        <w:t>政策性扣减范围</w:t>
      </w:r>
    </w:p>
    <w:p w14:paraId="501E24F6">
      <w:pPr>
        <w:spacing w:line="460" w:lineRule="exact"/>
        <w:ind w:firstLine="480" w:firstLineChars="200"/>
        <w:jc w:val="left"/>
        <w:rPr>
          <w:rFonts w:hint="eastAsia" w:hAnsi="宋体"/>
          <w:color w:val="auto"/>
          <w:szCs w:val="24"/>
          <w:highlight w:val="none"/>
        </w:rPr>
      </w:pPr>
      <w:r>
        <w:rPr>
          <w:rFonts w:hAnsi="宋体"/>
          <w:color w:val="auto"/>
          <w:szCs w:val="24"/>
          <w:highlight w:val="none"/>
        </w:rPr>
        <w:t>1.1供应商符合小型、微型企业或监狱</w:t>
      </w:r>
      <w:r>
        <w:rPr>
          <w:rFonts w:hint="eastAsia" w:hAnsi="宋体"/>
          <w:color w:val="auto"/>
          <w:szCs w:val="24"/>
          <w:highlight w:val="none"/>
        </w:rPr>
        <w:t>和戒毒</w:t>
      </w:r>
      <w:r>
        <w:rPr>
          <w:rFonts w:hAnsi="宋体"/>
          <w:color w:val="auto"/>
          <w:szCs w:val="24"/>
          <w:highlight w:val="none"/>
        </w:rPr>
        <w:t>企业</w:t>
      </w:r>
      <w:r>
        <w:rPr>
          <w:rFonts w:hint="eastAsia" w:hAnsi="宋体"/>
          <w:color w:val="auto"/>
          <w:szCs w:val="24"/>
          <w:highlight w:val="none"/>
        </w:rPr>
        <w:t>、残疾人福利性单位</w:t>
      </w:r>
      <w:r>
        <w:rPr>
          <w:rFonts w:hAnsi="宋体"/>
          <w:color w:val="auto"/>
          <w:szCs w:val="24"/>
          <w:highlight w:val="none"/>
        </w:rPr>
        <w:t>条件的，其</w:t>
      </w:r>
      <w:r>
        <w:rPr>
          <w:rFonts w:hint="eastAsia" w:hAnsi="宋体"/>
          <w:color w:val="auto"/>
          <w:szCs w:val="24"/>
          <w:highlight w:val="none"/>
        </w:rPr>
        <w:t>磋商</w:t>
      </w:r>
      <w:r>
        <w:rPr>
          <w:rFonts w:hAnsi="宋体"/>
          <w:color w:val="auto"/>
          <w:szCs w:val="24"/>
          <w:highlight w:val="none"/>
        </w:rPr>
        <w:t>报价价格评审时将按相应比例进行扣减。</w:t>
      </w:r>
    </w:p>
    <w:p w14:paraId="2F7CDB8B">
      <w:pPr>
        <w:spacing w:line="360" w:lineRule="auto"/>
        <w:ind w:firstLine="480" w:firstLineChars="200"/>
        <w:rPr>
          <w:rFonts w:hint="eastAsia" w:hAnsi="宋体" w:cs="宋体"/>
          <w:color w:val="auto"/>
          <w:szCs w:val="24"/>
          <w:highlight w:val="none"/>
        </w:rPr>
      </w:pPr>
      <w:r>
        <w:rPr>
          <w:rFonts w:hint="eastAsia" w:hAnsi="宋体" w:cs="宋体"/>
          <w:color w:val="auto"/>
          <w:szCs w:val="24"/>
          <w:highlight w:val="none"/>
        </w:rPr>
        <w:t>1.2依据关于印发《政府采购促进中小企业发展管理办法》的通知（财库〔2020〕46号）的规定，在政府采购活动中，供应商提供的货物、工程或者服务符合下列情形的，享受中小企业扶持政策：</w:t>
      </w:r>
    </w:p>
    <w:p w14:paraId="63FF25BB">
      <w:pPr>
        <w:spacing w:line="360" w:lineRule="auto"/>
        <w:ind w:firstLine="480" w:firstLineChars="200"/>
        <w:rPr>
          <w:rFonts w:hint="eastAsia" w:hAnsi="宋体" w:cs="宋体"/>
          <w:color w:val="auto"/>
          <w:szCs w:val="24"/>
          <w:highlight w:val="none"/>
        </w:rPr>
      </w:pPr>
      <w:r>
        <w:rPr>
          <w:rFonts w:hint="eastAsia" w:hAnsi="宋体" w:cs="宋体"/>
          <w:color w:val="auto"/>
          <w:szCs w:val="24"/>
          <w:highlight w:val="none"/>
        </w:rPr>
        <w:t>1.2.1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民法典》订立劳动合同的从业人员。</w:t>
      </w:r>
    </w:p>
    <w:p w14:paraId="4E5766A7">
      <w:pPr>
        <w:spacing w:line="360" w:lineRule="auto"/>
        <w:ind w:firstLine="480" w:firstLineChars="200"/>
        <w:rPr>
          <w:rFonts w:hint="eastAsia" w:hAnsi="宋体" w:cs="宋体"/>
          <w:color w:val="auto"/>
          <w:szCs w:val="24"/>
          <w:highlight w:val="none"/>
        </w:rPr>
      </w:pPr>
      <w:r>
        <w:rPr>
          <w:rFonts w:hint="eastAsia" w:hAnsi="宋体" w:cs="宋体"/>
          <w:color w:val="auto"/>
          <w:szCs w:val="24"/>
          <w:highlight w:val="none"/>
        </w:rPr>
        <w:t>1.2.2在货物采购项目中，供应商提供的货物既有中小企业制造货物，也有大型企业制造货物的，不享受本办法规定的中小企业扶持政策。</w:t>
      </w:r>
    </w:p>
    <w:p w14:paraId="0A09E7D8">
      <w:pPr>
        <w:spacing w:line="360" w:lineRule="auto"/>
        <w:ind w:firstLine="480" w:firstLineChars="200"/>
        <w:rPr>
          <w:rFonts w:hint="eastAsia" w:hAnsi="宋体" w:cs="宋体"/>
          <w:color w:val="auto"/>
          <w:szCs w:val="24"/>
          <w:highlight w:val="none"/>
        </w:rPr>
      </w:pPr>
      <w:r>
        <w:rPr>
          <w:rFonts w:hint="eastAsia" w:hAnsi="宋体" w:cs="宋体"/>
          <w:color w:val="auto"/>
          <w:szCs w:val="24"/>
          <w:highlight w:val="none"/>
        </w:rPr>
        <w:t>1.2.3以联合体形式参加政府采购活动，联合体各方均为中小企业的，联合体视同中小企业。其中，联合体各方均为小微企业的，联合体视同小微企业。</w:t>
      </w:r>
    </w:p>
    <w:p w14:paraId="390FEE69">
      <w:pPr>
        <w:spacing w:line="460" w:lineRule="exact"/>
        <w:ind w:firstLine="480" w:firstLineChars="200"/>
        <w:jc w:val="left"/>
        <w:rPr>
          <w:rFonts w:hint="eastAsia" w:hAnsi="宋体"/>
          <w:color w:val="auto"/>
          <w:szCs w:val="24"/>
          <w:highlight w:val="none"/>
        </w:rPr>
      </w:pPr>
      <w:r>
        <w:rPr>
          <w:rFonts w:hint="eastAsia" w:hAnsi="宋体" w:cs="宋体"/>
          <w:color w:val="auto"/>
          <w:szCs w:val="24"/>
          <w:highlight w:val="none"/>
        </w:rPr>
        <w:t>1.2.4中小企业参加政府采购活动，应当出具符合财库〔2020〕46号规定的《中小企业声明函》,否则不得享受相关中小企业扶持政策。</w:t>
      </w:r>
    </w:p>
    <w:p w14:paraId="3339FAAD">
      <w:pPr>
        <w:spacing w:line="460" w:lineRule="exact"/>
        <w:ind w:firstLine="480" w:firstLineChars="200"/>
        <w:rPr>
          <w:rFonts w:hint="eastAsia" w:hAnsi="宋体"/>
          <w:color w:val="auto"/>
          <w:szCs w:val="24"/>
          <w:highlight w:val="none"/>
        </w:rPr>
      </w:pPr>
      <w:r>
        <w:rPr>
          <w:rFonts w:hint="eastAsia" w:hAnsi="宋体"/>
          <w:color w:val="auto"/>
          <w:szCs w:val="24"/>
          <w:highlight w:val="none"/>
        </w:rPr>
        <w:t>1.3采购人拟采购产品属于优先采购节能、环境标志产品范围的，应当优先采购节能、环境标志产品；拟采购产品符合政府采购强制采购政策的，实行强制采购。</w:t>
      </w:r>
    </w:p>
    <w:p w14:paraId="52529218">
      <w:pPr>
        <w:spacing w:line="460" w:lineRule="exact"/>
        <w:ind w:firstLine="480" w:firstLineChars="200"/>
        <w:rPr>
          <w:rFonts w:hint="eastAsia" w:hAnsi="宋体"/>
          <w:color w:val="auto"/>
          <w:szCs w:val="24"/>
          <w:highlight w:val="none"/>
        </w:rPr>
      </w:pPr>
      <w:r>
        <w:rPr>
          <w:rFonts w:hint="eastAsia" w:hAnsi="宋体"/>
          <w:color w:val="auto"/>
          <w:szCs w:val="24"/>
          <w:highlight w:val="none"/>
        </w:rPr>
        <w:t>1.3.1采购人依据节能产品、环境标志产品品目清单和节能、环境标志产品认证证书实施政府优先采购和强制采购。</w:t>
      </w:r>
    </w:p>
    <w:p w14:paraId="44BB74FD">
      <w:pPr>
        <w:spacing w:line="460" w:lineRule="exact"/>
        <w:ind w:firstLine="480" w:firstLineChars="200"/>
        <w:rPr>
          <w:rFonts w:hint="eastAsia" w:hAnsi="宋体"/>
          <w:color w:val="auto"/>
          <w:szCs w:val="24"/>
          <w:highlight w:val="none"/>
        </w:rPr>
      </w:pPr>
      <w:r>
        <w:rPr>
          <w:rFonts w:hint="eastAsia" w:hAnsi="宋体"/>
          <w:color w:val="auto"/>
          <w:szCs w:val="24"/>
          <w:highlight w:val="none"/>
        </w:rPr>
        <w:t>1.3.2采购人拟采购的产品属于品目清单范围的，采购人及其委托的采购代理机构将依据国家确定的认证机构出具的、处于有效期之内的节能、环境标志产品认证证书，对获得证书的产品实施政府优先采购或强制采购。</w:t>
      </w:r>
    </w:p>
    <w:p w14:paraId="6683F8AE">
      <w:pPr>
        <w:spacing w:line="460" w:lineRule="exact"/>
        <w:ind w:firstLine="480" w:firstLineChars="200"/>
        <w:rPr>
          <w:rFonts w:hint="eastAsia" w:hAnsi="宋体"/>
          <w:color w:val="auto"/>
          <w:highlight w:val="none"/>
        </w:rPr>
      </w:pPr>
      <w:r>
        <w:rPr>
          <w:rFonts w:hint="eastAsia" w:hAnsi="宋体" w:cs="宋体"/>
          <w:color w:val="auto"/>
          <w:szCs w:val="24"/>
          <w:highlight w:val="none"/>
        </w:rPr>
        <w:t>1.4监狱和戒毒企业参加政府采购活动时，应当提供由省级以上监狱管理局、戒毒管理局(含新疆生产建设兵团)出具的属于监狱企业的证明文件。</w:t>
      </w:r>
      <w:r>
        <w:rPr>
          <w:rFonts w:hint="eastAsia" w:hAnsi="宋体"/>
          <w:color w:val="auto"/>
          <w:highlight w:val="none"/>
        </w:rPr>
        <w:t>监狱和戒毒企业参加政府采购活动时，视同小型、微型企业。</w:t>
      </w:r>
    </w:p>
    <w:p w14:paraId="6FE82531">
      <w:pPr>
        <w:spacing w:line="460" w:lineRule="exact"/>
        <w:ind w:firstLine="480" w:firstLineChars="200"/>
        <w:rPr>
          <w:rFonts w:hint="eastAsia" w:hAnsi="宋体"/>
          <w:color w:val="auto"/>
          <w:highlight w:val="none"/>
        </w:rPr>
      </w:pPr>
      <w:r>
        <w:rPr>
          <w:rFonts w:hint="eastAsia" w:hAnsi="宋体" w:cs="宋体"/>
          <w:color w:val="auto"/>
          <w:szCs w:val="24"/>
          <w:highlight w:val="none"/>
        </w:rPr>
        <w:t>1.5符合条件的残疾人福利性单位在参加政府采购活动时，应当提供本通知规定的《残疾人福利性单位声明函》，并对声明的真实性负责。残疾人福利性单位</w:t>
      </w:r>
      <w:r>
        <w:rPr>
          <w:rFonts w:hint="eastAsia" w:hAnsi="宋体"/>
          <w:color w:val="auto"/>
          <w:highlight w:val="none"/>
        </w:rPr>
        <w:t>参加政府采购活动时，视同小型、微型企业；</w:t>
      </w:r>
      <w:r>
        <w:rPr>
          <w:rFonts w:hint="eastAsia" w:hAnsi="宋体" w:cs="宋体"/>
          <w:color w:val="auto"/>
          <w:szCs w:val="24"/>
          <w:highlight w:val="none"/>
        </w:rPr>
        <w:t>残疾人福利性单位属于小型、微型企业的，不重复享受政策。</w:t>
      </w:r>
    </w:p>
    <w:p w14:paraId="37E7BDEA">
      <w:pPr>
        <w:spacing w:line="460" w:lineRule="exact"/>
        <w:ind w:firstLine="482" w:firstLineChars="200"/>
        <w:jc w:val="left"/>
        <w:rPr>
          <w:rFonts w:hint="eastAsia" w:hAnsi="宋体"/>
          <w:b/>
          <w:bCs/>
          <w:color w:val="auto"/>
          <w:szCs w:val="24"/>
          <w:highlight w:val="none"/>
        </w:rPr>
      </w:pPr>
      <w:r>
        <w:rPr>
          <w:rFonts w:hAnsi="宋体"/>
          <w:b/>
          <w:bCs/>
          <w:color w:val="auto"/>
          <w:szCs w:val="24"/>
          <w:highlight w:val="none"/>
        </w:rPr>
        <w:t>2</w:t>
      </w:r>
      <w:r>
        <w:rPr>
          <w:rFonts w:hint="eastAsia" w:hAnsi="宋体"/>
          <w:b/>
          <w:bCs/>
          <w:color w:val="auto"/>
          <w:szCs w:val="24"/>
          <w:highlight w:val="none"/>
        </w:rPr>
        <w:t>.</w:t>
      </w:r>
      <w:r>
        <w:rPr>
          <w:rFonts w:hAnsi="宋体"/>
          <w:b/>
          <w:bCs/>
          <w:color w:val="auto"/>
          <w:szCs w:val="24"/>
          <w:highlight w:val="none"/>
        </w:rPr>
        <w:t>政策性扣减方式</w:t>
      </w:r>
    </w:p>
    <w:p w14:paraId="506D9040">
      <w:pPr>
        <w:spacing w:line="360" w:lineRule="auto"/>
        <w:ind w:firstLine="480" w:firstLineChars="200"/>
        <w:rPr>
          <w:rFonts w:hint="eastAsia" w:hAnsi="宋体" w:cs="宋体"/>
          <w:color w:val="auto"/>
          <w:szCs w:val="24"/>
          <w:highlight w:val="none"/>
        </w:rPr>
      </w:pPr>
      <w:r>
        <w:rPr>
          <w:rFonts w:hint="eastAsia" w:hAnsi="宋体" w:cs="宋体"/>
          <w:color w:val="auto"/>
          <w:szCs w:val="24"/>
          <w:highlight w:val="none"/>
        </w:rPr>
        <w:t>2.1对于</w:t>
      </w:r>
      <w:r>
        <w:rPr>
          <w:rFonts w:hint="eastAsia" w:hAnsi="宋体" w:cs="宋体"/>
          <w:color w:val="auto"/>
          <w:spacing w:val="8"/>
          <w:szCs w:val="24"/>
          <w:highlight w:val="none"/>
        </w:rPr>
        <w:t>未预留份额专门</w:t>
      </w:r>
      <w:r>
        <w:rPr>
          <w:rFonts w:hint="eastAsia" w:hAnsi="宋体" w:cs="宋体"/>
          <w:color w:val="auto"/>
          <w:szCs w:val="24"/>
          <w:highlight w:val="none"/>
        </w:rPr>
        <w:t>面向中小企业采购的采购项目，以及预留份额项目的非预</w:t>
      </w:r>
      <w:r>
        <w:rPr>
          <w:rFonts w:hint="eastAsia" w:hAnsi="宋体" w:cs="宋体"/>
          <w:color w:val="auto"/>
          <w:spacing w:val="-2"/>
          <w:szCs w:val="24"/>
          <w:highlight w:val="none"/>
        </w:rPr>
        <w:t>留部分采购包中</w:t>
      </w:r>
      <w:r>
        <w:rPr>
          <w:rFonts w:hint="eastAsia" w:hAnsi="宋体" w:cs="宋体"/>
          <w:color w:val="auto"/>
          <w:szCs w:val="24"/>
          <w:highlight w:val="none"/>
        </w:rPr>
        <w:t>符合条件的小微企业报价给予10%的扣除。</w:t>
      </w:r>
    </w:p>
    <w:p w14:paraId="1643C3B7">
      <w:pPr>
        <w:spacing w:line="360" w:lineRule="auto"/>
        <w:ind w:firstLine="480" w:firstLineChars="200"/>
        <w:rPr>
          <w:rFonts w:hint="eastAsia" w:hAnsi="宋体" w:cs="宋体"/>
          <w:b/>
          <w:bCs/>
          <w:color w:val="auto"/>
          <w:szCs w:val="24"/>
          <w:highlight w:val="none"/>
        </w:rPr>
      </w:pPr>
      <w:r>
        <w:rPr>
          <w:rFonts w:hint="eastAsia" w:hAnsi="宋体" w:cs="宋体"/>
          <w:color w:val="auto"/>
          <w:szCs w:val="24"/>
          <w:highlight w:val="none"/>
        </w:rPr>
        <w:t>2.2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-6%的扣除；组成联合体或者接受分包的小微企业与联合体内其他企业、分包企业之间存在直接控股、管理关系的，不享受价格扣除优惠政策。</w:t>
      </w:r>
      <w:r>
        <w:rPr>
          <w:rFonts w:hint="eastAsia" w:hAnsi="宋体" w:cs="宋体"/>
          <w:b/>
          <w:bCs/>
          <w:color w:val="auto"/>
          <w:szCs w:val="24"/>
          <w:highlight w:val="none"/>
        </w:rPr>
        <w:t>享受扶持政策获得政府采购合同的，小微企业不得将合同分包给大中型企业，中型企业不得将合同分包给大型企业。</w:t>
      </w:r>
    </w:p>
    <w:p w14:paraId="40B7FC80">
      <w:pPr>
        <w:spacing w:line="360" w:lineRule="auto"/>
        <w:ind w:firstLine="480" w:firstLineChars="200"/>
        <w:jc w:val="left"/>
        <w:rPr>
          <w:rFonts w:hint="eastAsia" w:hAnsi="宋体" w:cs="宋体"/>
          <w:color w:val="auto"/>
          <w:szCs w:val="24"/>
          <w:highlight w:val="none"/>
        </w:rPr>
      </w:pPr>
      <w:r>
        <w:rPr>
          <w:rFonts w:hint="eastAsia" w:hAnsi="宋体" w:cs="宋体"/>
          <w:color w:val="auto"/>
          <w:szCs w:val="24"/>
          <w:highlight w:val="none"/>
        </w:rPr>
        <w:t>2.3监狱企业、残疾人福利性单位视同小微企业，享受预留份额、评审中价格扣除等促进中小企业发展的政府采购政策。监狱企业、残疾人福利性单位属于小微企业的，不重复享受政策。</w:t>
      </w:r>
    </w:p>
    <w:p w14:paraId="6D5E9D1A">
      <w:pPr>
        <w:spacing w:line="460" w:lineRule="exact"/>
        <w:ind w:firstLine="480" w:firstLineChars="200"/>
        <w:rPr>
          <w:rFonts w:hint="eastAsia" w:hAnsi="宋体" w:cs="宋体"/>
          <w:color w:val="auto"/>
          <w:szCs w:val="24"/>
          <w:highlight w:val="none"/>
        </w:rPr>
      </w:pPr>
      <w:r>
        <w:rPr>
          <w:rFonts w:hint="eastAsia" w:hAnsi="宋体" w:cs="宋体"/>
          <w:color w:val="auto"/>
          <w:szCs w:val="24"/>
          <w:highlight w:val="none"/>
        </w:rPr>
        <w:t>2.4供应商享受支持中小型企业发展政策优惠的，可以同时享受节能、环境标志产品优先采购政策。</w:t>
      </w:r>
    </w:p>
    <w:p w14:paraId="61BDF025">
      <w:pPr>
        <w:spacing w:line="460" w:lineRule="exact"/>
        <w:ind w:left="480" w:leftChars="200"/>
        <w:jc w:val="left"/>
        <w:rPr>
          <w:rFonts w:hint="eastAsia" w:hAnsi="宋体" w:cs="宋体"/>
          <w:b/>
          <w:bCs/>
          <w:color w:val="auto"/>
          <w:szCs w:val="24"/>
          <w:highlight w:val="none"/>
        </w:rPr>
      </w:pPr>
      <w:r>
        <w:rPr>
          <w:rFonts w:hint="eastAsia" w:hAnsi="宋体" w:cs="宋体"/>
          <w:b/>
          <w:bCs/>
          <w:color w:val="auto"/>
          <w:szCs w:val="24"/>
          <w:highlight w:val="none"/>
        </w:rPr>
        <w:t>3.成交价格=成交供应商的有效磋商报价。</w:t>
      </w:r>
    </w:p>
    <w:p w14:paraId="4EB2A577">
      <w:pPr>
        <w:pStyle w:val="37"/>
        <w:spacing w:line="460" w:lineRule="exact"/>
        <w:ind w:left="0" w:leftChars="0" w:firstLine="0" w:firstLineChars="0"/>
        <w:rPr>
          <w:rFonts w:hint="eastAsia"/>
          <w:b/>
          <w:color w:val="auto"/>
          <w:sz w:val="24"/>
          <w:szCs w:val="24"/>
          <w:highlight w:val="none"/>
        </w:rPr>
      </w:pPr>
      <w:r>
        <w:rPr>
          <w:rFonts w:hint="eastAsia"/>
          <w:b/>
          <w:color w:val="auto"/>
          <w:sz w:val="24"/>
          <w:szCs w:val="24"/>
          <w:highlight w:val="none"/>
        </w:rPr>
        <w:t>八、成交：</w:t>
      </w:r>
    </w:p>
    <w:p w14:paraId="3682A0E5">
      <w:pPr>
        <w:spacing w:line="460" w:lineRule="exact"/>
        <w:ind w:firstLine="496" w:firstLineChars="200"/>
        <w:rPr>
          <w:rFonts w:hint="eastAsia" w:hAnsi="宋体"/>
          <w:color w:val="auto"/>
          <w:spacing w:val="4"/>
          <w:szCs w:val="24"/>
          <w:highlight w:val="none"/>
        </w:rPr>
      </w:pPr>
      <w:r>
        <w:rPr>
          <w:rFonts w:hAnsi="宋体"/>
          <w:color w:val="auto"/>
          <w:spacing w:val="4"/>
          <w:szCs w:val="24"/>
          <w:highlight w:val="none"/>
        </w:rPr>
        <w:t>1</w:t>
      </w:r>
      <w:r>
        <w:rPr>
          <w:rFonts w:hint="eastAsia" w:hAnsi="宋体"/>
          <w:color w:val="auto"/>
          <w:spacing w:val="4"/>
          <w:szCs w:val="24"/>
          <w:highlight w:val="none"/>
        </w:rPr>
        <w:t>.磋商结果报告由磋商小组全体成员签字确认。</w:t>
      </w:r>
    </w:p>
    <w:p w14:paraId="4C6342CA">
      <w:pPr>
        <w:spacing w:line="460" w:lineRule="exact"/>
        <w:ind w:firstLine="496" w:firstLineChars="200"/>
        <w:rPr>
          <w:rFonts w:hint="eastAsia" w:hAnsi="宋体"/>
          <w:color w:val="auto"/>
          <w:spacing w:val="4"/>
          <w:szCs w:val="24"/>
          <w:highlight w:val="none"/>
        </w:rPr>
      </w:pPr>
      <w:r>
        <w:rPr>
          <w:rFonts w:hAnsi="宋体"/>
          <w:color w:val="auto"/>
          <w:spacing w:val="4"/>
          <w:szCs w:val="24"/>
          <w:highlight w:val="none"/>
        </w:rPr>
        <w:t>2</w:t>
      </w:r>
      <w:r>
        <w:rPr>
          <w:rFonts w:hint="eastAsia" w:hAnsi="宋体"/>
          <w:color w:val="auto"/>
          <w:spacing w:val="4"/>
          <w:szCs w:val="24"/>
          <w:highlight w:val="none"/>
        </w:rPr>
        <w:t>.采购人根据磋商结果报告中推荐的成交候选人确定成交供应商，以复函通知采购代理机构。</w:t>
      </w:r>
    </w:p>
    <w:p w14:paraId="170611CF">
      <w:pPr>
        <w:spacing w:line="460" w:lineRule="exact"/>
        <w:rPr>
          <w:rFonts w:hint="eastAsia" w:hAnsi="宋体"/>
          <w:b/>
          <w:bCs/>
          <w:color w:val="auto"/>
          <w:spacing w:val="4"/>
          <w:kern w:val="2"/>
          <w:szCs w:val="24"/>
          <w:highlight w:val="none"/>
        </w:rPr>
      </w:pPr>
      <w:r>
        <w:rPr>
          <w:rFonts w:hint="eastAsia" w:ascii="Arial" w:hAnsi="Arial" w:cs="Verdana"/>
          <w:b/>
          <w:color w:val="auto"/>
          <w:szCs w:val="24"/>
          <w:highlight w:val="none"/>
        </w:rPr>
        <w:t>九、</w:t>
      </w:r>
      <w:r>
        <w:rPr>
          <w:rFonts w:hint="eastAsia" w:hAnsi="宋体"/>
          <w:b/>
          <w:bCs/>
          <w:color w:val="auto"/>
          <w:spacing w:val="4"/>
          <w:kern w:val="2"/>
          <w:szCs w:val="24"/>
          <w:highlight w:val="none"/>
        </w:rPr>
        <w:t>特殊情况的处理</w:t>
      </w:r>
    </w:p>
    <w:p w14:paraId="5EE5DE2E">
      <w:pPr>
        <w:spacing w:line="500" w:lineRule="exact"/>
        <w:ind w:firstLine="480" w:firstLineChars="200"/>
        <w:rPr>
          <w:rFonts w:hint="eastAsia" w:hAnsi="宋体"/>
          <w:color w:val="auto"/>
          <w:szCs w:val="24"/>
          <w:highlight w:val="none"/>
        </w:rPr>
      </w:pPr>
      <w:r>
        <w:rPr>
          <w:rFonts w:hint="eastAsia" w:hAnsi="宋体"/>
          <w:color w:val="auto"/>
          <w:szCs w:val="24"/>
          <w:highlight w:val="none"/>
        </w:rPr>
        <w:t>1.计算错误将按以下方法更正：</w:t>
      </w:r>
    </w:p>
    <w:p w14:paraId="3C783DA4">
      <w:pPr>
        <w:spacing w:line="500" w:lineRule="exact"/>
        <w:ind w:firstLine="480" w:firstLineChars="200"/>
        <w:rPr>
          <w:rFonts w:hint="eastAsia" w:hAnsi="宋体"/>
          <w:color w:val="auto"/>
          <w:szCs w:val="24"/>
          <w:highlight w:val="none"/>
        </w:rPr>
      </w:pPr>
      <w:r>
        <w:rPr>
          <w:rFonts w:hint="eastAsia" w:hAnsi="宋体"/>
          <w:color w:val="auto"/>
          <w:szCs w:val="24"/>
          <w:highlight w:val="none"/>
        </w:rPr>
        <w:t>1.</w:t>
      </w:r>
      <w:r>
        <w:rPr>
          <w:rFonts w:hint="eastAsia" w:hAnsi="宋体"/>
          <w:color w:val="auto"/>
          <w:szCs w:val="24"/>
          <w:highlight w:val="none"/>
          <w:lang w:val="en-US" w:eastAsia="zh-CN"/>
        </w:rPr>
        <w:t>1</w:t>
      </w:r>
      <w:r>
        <w:rPr>
          <w:rFonts w:hint="eastAsia" w:hAnsi="宋体"/>
          <w:color w:val="auto"/>
          <w:szCs w:val="24"/>
          <w:highlight w:val="none"/>
        </w:rPr>
        <w:t>磋商响应文件的大写金额和小写金额不一致的，以大写金额为准；</w:t>
      </w:r>
    </w:p>
    <w:p w14:paraId="46B94B09">
      <w:pPr>
        <w:spacing w:line="500" w:lineRule="exact"/>
        <w:ind w:firstLine="480" w:firstLineChars="200"/>
        <w:rPr>
          <w:rFonts w:hint="eastAsia" w:hAnsi="宋体"/>
          <w:color w:val="auto"/>
          <w:szCs w:val="24"/>
          <w:highlight w:val="none"/>
        </w:rPr>
      </w:pPr>
      <w:r>
        <w:rPr>
          <w:rFonts w:hint="eastAsia" w:hAnsi="宋体"/>
          <w:color w:val="auto"/>
          <w:szCs w:val="24"/>
          <w:highlight w:val="none"/>
        </w:rPr>
        <w:t>1.</w:t>
      </w:r>
      <w:r>
        <w:rPr>
          <w:rFonts w:hint="eastAsia" w:hAnsi="宋体"/>
          <w:color w:val="auto"/>
          <w:szCs w:val="24"/>
          <w:highlight w:val="none"/>
          <w:lang w:val="en-US" w:eastAsia="zh-CN"/>
        </w:rPr>
        <w:t>2</w:t>
      </w:r>
      <w:r>
        <w:rPr>
          <w:rFonts w:hint="eastAsia" w:hAnsi="宋体"/>
          <w:color w:val="auto"/>
          <w:szCs w:val="24"/>
          <w:highlight w:val="none"/>
        </w:rPr>
        <w:t>总价金额与按单价汇总金额不一致的，以单价金额计算结果为准。</w:t>
      </w:r>
    </w:p>
    <w:p w14:paraId="4D807F98">
      <w:pPr>
        <w:spacing w:line="500" w:lineRule="exact"/>
        <w:ind w:firstLine="480" w:firstLineChars="200"/>
        <w:rPr>
          <w:rFonts w:hint="eastAsia" w:hAnsi="宋体"/>
          <w:color w:val="auto"/>
          <w:szCs w:val="24"/>
          <w:highlight w:val="none"/>
        </w:rPr>
      </w:pPr>
      <w:r>
        <w:rPr>
          <w:rFonts w:hint="eastAsia" w:hAnsi="宋体"/>
          <w:color w:val="auto"/>
          <w:szCs w:val="24"/>
          <w:highlight w:val="none"/>
        </w:rPr>
        <w:t>按上述修正的顺序和方法调整的报价应对供应商具有约束力。如果供应商不接受修正后的价格，其响应文件将按无效响应处理。</w:t>
      </w:r>
    </w:p>
    <w:p w14:paraId="55ABD690">
      <w:pPr>
        <w:spacing w:line="360" w:lineRule="auto"/>
        <w:ind w:firstLine="480" w:firstLineChars="200"/>
        <w:rPr>
          <w:rFonts w:hint="eastAsia" w:hAnsi="宋体"/>
          <w:color w:val="auto"/>
          <w:szCs w:val="24"/>
          <w:highlight w:val="none"/>
        </w:rPr>
      </w:pPr>
      <w:r>
        <w:rPr>
          <w:rFonts w:hint="eastAsia" w:hAnsi="宋体"/>
          <w:color w:val="auto"/>
          <w:szCs w:val="24"/>
          <w:highlight w:val="none"/>
        </w:rPr>
        <w:t>2.对于竞争性磋商响应文件中明显的标点符号错误或不构成实质性偏差的不正规、不一致或不规则，采购人可以接受。</w:t>
      </w:r>
    </w:p>
    <w:p w14:paraId="3C53452E">
      <w:pPr>
        <w:spacing w:line="360" w:lineRule="auto"/>
        <w:ind w:firstLine="480" w:firstLineChars="200"/>
        <w:rPr>
          <w:rFonts w:hint="eastAsia" w:hAnsi="宋体"/>
          <w:color w:val="auto"/>
          <w:szCs w:val="24"/>
          <w:highlight w:val="none"/>
        </w:rPr>
      </w:pPr>
      <w:r>
        <w:rPr>
          <w:rFonts w:hint="eastAsia" w:hAnsi="宋体" w:cs="宋体"/>
          <w:color w:val="auto"/>
          <w:szCs w:val="24"/>
          <w:highlight w:val="none"/>
        </w:rPr>
        <w:t>3.采用竞争性磋商采购方式采购的政府购买服务项目（含政府和社会资本合作项目），</w:t>
      </w:r>
      <w:r>
        <w:rPr>
          <w:rFonts w:hint="eastAsia" w:hAnsi="宋体" w:cs="宋体"/>
          <w:color w:val="auto"/>
          <w:highlight w:val="none"/>
        </w:rPr>
        <w:t>采购过程中符合要求的供应商</w:t>
      </w:r>
      <w:r>
        <w:rPr>
          <w:rFonts w:hint="eastAsia" w:hAnsi="宋体" w:cs="宋体"/>
          <w:color w:val="auto"/>
          <w:szCs w:val="24"/>
          <w:highlight w:val="none"/>
        </w:rPr>
        <w:t>（社会资本）只有2家的，竞争性磋商采购活动可以继续进行。采购过程中符合要求的供应商（社会资本）只有1家的，采购人或者采购代理机构应当终止竞争性磋商采购活动，发布项目终止公告并说明原因，重新开展采购活动。</w:t>
      </w:r>
    </w:p>
    <w:p w14:paraId="6191BAA5">
      <w:pPr>
        <w:spacing w:line="460" w:lineRule="exact"/>
        <w:ind w:firstLine="496" w:firstLineChars="200"/>
        <w:rPr>
          <w:rFonts w:hint="eastAsia" w:cs="仿宋" w:asciiTheme="minorEastAsia" w:hAnsiTheme="minorEastAsia" w:eastAsiaTheme="minorEastAsia"/>
          <w:color w:val="auto"/>
          <w:spacing w:val="4"/>
          <w:kern w:val="2"/>
          <w:szCs w:val="24"/>
          <w:highlight w:val="none"/>
        </w:rPr>
      </w:pPr>
      <w:r>
        <w:rPr>
          <w:rFonts w:hint="eastAsia" w:hAnsi="宋体"/>
          <w:color w:val="auto"/>
          <w:spacing w:val="4"/>
          <w:kern w:val="2"/>
          <w:szCs w:val="24"/>
          <w:highlight w:val="none"/>
        </w:rPr>
        <w:t>4.磋商过程中，若出现本评审方法以外的特殊情况时，将暂停评审，待磋商小组商榷后，再进行评定。</w:t>
      </w:r>
    </w:p>
    <w:p w14:paraId="2EB229FA">
      <w:pPr>
        <w:pStyle w:val="2"/>
        <w:spacing w:line="480" w:lineRule="exact"/>
        <w:rPr>
          <w:rFonts w:hint="eastAsia" w:cs="仿宋" w:asciiTheme="minorEastAsia" w:hAnsiTheme="minorEastAsia" w:eastAsiaTheme="minorEastAsia"/>
          <w:color w:val="auto"/>
          <w:szCs w:val="24"/>
          <w:highlight w:val="none"/>
        </w:rPr>
      </w:pPr>
      <w:r>
        <w:rPr>
          <w:rFonts w:hint="eastAsia" w:cs="仿宋" w:asciiTheme="minorEastAsia" w:hAnsiTheme="minorEastAsia" w:eastAsiaTheme="minorEastAsia"/>
          <w:b/>
          <w:color w:val="auto"/>
          <w:spacing w:val="4"/>
          <w:szCs w:val="24"/>
          <w:highlight w:val="none"/>
        </w:rPr>
        <w:br w:type="page"/>
      </w:r>
      <w:r>
        <w:rPr>
          <w:rFonts w:hint="eastAsia" w:cs="仿宋" w:asciiTheme="minorEastAsia" w:hAnsiTheme="minorEastAsia" w:eastAsiaTheme="minorEastAsia"/>
          <w:b/>
          <w:bCs/>
          <w:color w:val="auto"/>
          <w:sz w:val="24"/>
          <w:szCs w:val="24"/>
          <w:highlight w:val="none"/>
        </w:rPr>
        <w:t>附件1：</w:t>
      </w:r>
    </w:p>
    <w:p w14:paraId="04013417">
      <w:pPr>
        <w:pStyle w:val="2"/>
        <w:jc w:val="center"/>
        <w:rPr>
          <w:rFonts w:hint="eastAsia" w:cs="仿宋" w:asciiTheme="minorEastAsia" w:hAnsiTheme="minorEastAsia" w:eastAsiaTheme="minorEastAsia"/>
          <w:b/>
          <w:bCs/>
          <w:color w:val="auto"/>
          <w:sz w:val="24"/>
          <w:szCs w:val="24"/>
          <w:highlight w:val="none"/>
        </w:rPr>
      </w:pPr>
      <w:r>
        <w:rPr>
          <w:rFonts w:hint="eastAsia" w:cs="仿宋" w:asciiTheme="minorEastAsia" w:hAnsiTheme="minorEastAsia" w:eastAsiaTheme="minorEastAsia"/>
          <w:b/>
          <w:bCs/>
          <w:color w:val="auto"/>
          <w:sz w:val="24"/>
          <w:szCs w:val="24"/>
          <w:highlight w:val="none"/>
        </w:rPr>
        <w:t>初步审查要素表</w:t>
      </w:r>
    </w:p>
    <w:tbl>
      <w:tblPr>
        <w:tblStyle w:val="48"/>
        <w:tblW w:w="95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4"/>
        <w:gridCol w:w="600"/>
        <w:gridCol w:w="567"/>
        <w:gridCol w:w="1165"/>
        <w:gridCol w:w="6423"/>
      </w:tblGrid>
      <w:tr w14:paraId="38567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blHeader/>
        </w:trPr>
        <w:tc>
          <w:tcPr>
            <w:tcW w:w="1364" w:type="dxa"/>
            <w:gridSpan w:val="2"/>
            <w:vAlign w:val="center"/>
          </w:tcPr>
          <w:p w14:paraId="3D3808C8">
            <w:pPr>
              <w:keepNext w:val="0"/>
              <w:keepLines w:val="0"/>
              <w:pageBreakBefore w:val="0"/>
              <w:widowControl w:val="0"/>
              <w:tabs>
                <w:tab w:val="left" w:pos="0"/>
              </w:tabs>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条款号</w:t>
            </w:r>
          </w:p>
        </w:tc>
        <w:tc>
          <w:tcPr>
            <w:tcW w:w="1732" w:type="dxa"/>
            <w:gridSpan w:val="2"/>
            <w:vAlign w:val="center"/>
          </w:tcPr>
          <w:p w14:paraId="29B5C3DD">
            <w:pPr>
              <w:keepNext w:val="0"/>
              <w:keepLines w:val="0"/>
              <w:pageBreakBefore w:val="0"/>
              <w:widowControl w:val="0"/>
              <w:tabs>
                <w:tab w:val="left" w:pos="0"/>
              </w:tabs>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评审因素</w:t>
            </w:r>
          </w:p>
        </w:tc>
        <w:tc>
          <w:tcPr>
            <w:tcW w:w="6423" w:type="dxa"/>
            <w:vAlign w:val="center"/>
          </w:tcPr>
          <w:p w14:paraId="3D27BBA5">
            <w:pPr>
              <w:keepNext w:val="0"/>
              <w:keepLines w:val="0"/>
              <w:pageBreakBefore w:val="0"/>
              <w:widowControl w:val="0"/>
              <w:tabs>
                <w:tab w:val="left" w:pos="0"/>
              </w:tabs>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评审标准</w:t>
            </w:r>
          </w:p>
        </w:tc>
      </w:tr>
      <w:tr w14:paraId="0979D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4" w:type="dxa"/>
            <w:vAlign w:val="center"/>
          </w:tcPr>
          <w:p w14:paraId="675D416D">
            <w:pPr>
              <w:keepNext w:val="0"/>
              <w:keepLines w:val="0"/>
              <w:pageBreakBefore w:val="0"/>
              <w:widowControl w:val="0"/>
              <w:tabs>
                <w:tab w:val="left" w:pos="0"/>
              </w:tabs>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2.1.1</w:t>
            </w:r>
          </w:p>
        </w:tc>
        <w:tc>
          <w:tcPr>
            <w:tcW w:w="600" w:type="dxa"/>
            <w:vAlign w:val="center"/>
          </w:tcPr>
          <w:p w14:paraId="7FA3D281">
            <w:pPr>
              <w:keepNext w:val="0"/>
              <w:keepLines w:val="0"/>
              <w:pageBreakBefore w:val="0"/>
              <w:widowControl w:val="0"/>
              <w:tabs>
                <w:tab w:val="left" w:pos="0"/>
              </w:tabs>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资格评审</w:t>
            </w:r>
          </w:p>
          <w:p w14:paraId="4ACF8BE2">
            <w:pPr>
              <w:keepNext w:val="0"/>
              <w:keepLines w:val="0"/>
              <w:pageBreakBefore w:val="0"/>
              <w:widowControl w:val="0"/>
              <w:tabs>
                <w:tab w:val="left" w:pos="0"/>
              </w:tabs>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标准</w:t>
            </w:r>
          </w:p>
        </w:tc>
        <w:tc>
          <w:tcPr>
            <w:tcW w:w="1732" w:type="dxa"/>
            <w:gridSpan w:val="2"/>
            <w:vAlign w:val="center"/>
          </w:tcPr>
          <w:p w14:paraId="17364208">
            <w:pPr>
              <w:keepNext w:val="0"/>
              <w:keepLines w:val="0"/>
              <w:pageBreakBefore w:val="0"/>
              <w:widowControl w:val="0"/>
              <w:tabs>
                <w:tab w:val="left" w:pos="0"/>
              </w:tabs>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资格条件</w:t>
            </w:r>
          </w:p>
        </w:tc>
        <w:tc>
          <w:tcPr>
            <w:tcW w:w="6423" w:type="dxa"/>
            <w:vAlign w:val="center"/>
          </w:tcPr>
          <w:p w14:paraId="17D027AF">
            <w:pPr>
              <w:keepNext w:val="0"/>
              <w:keepLines w:val="0"/>
              <w:pageBreakBefore w:val="0"/>
              <w:widowControl w:val="0"/>
              <w:tabs>
                <w:tab w:val="left" w:pos="0"/>
              </w:tabs>
              <w:kinsoku/>
              <w:wordWrap/>
              <w:overflowPunct/>
              <w:topLinePunct w:val="0"/>
              <w:autoSpaceDE/>
              <w:autoSpaceDN/>
              <w:bidi w:val="0"/>
              <w:adjustRightInd w:val="0"/>
              <w:snapToGrid w:val="0"/>
              <w:spacing w:line="24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（1）具有独立承担民事责任的法人、其他组织或自然人，并出具合法有效的营业执照或事业单位法人证书等国家规定的相关证明，自然人参与的提供其身份证明</w:t>
            </w:r>
            <w:r>
              <w:rPr>
                <w:rFonts w:hint="eastAsia" w:hAnsi="宋体" w:cs="宋体"/>
                <w:color w:val="auto"/>
                <w:sz w:val="24"/>
                <w:szCs w:val="24"/>
                <w:highlight w:val="none"/>
                <w:lang w:val="en-US" w:eastAsia="zh-CN"/>
              </w:rPr>
              <w:t>；</w:t>
            </w:r>
          </w:p>
          <w:p w14:paraId="442CD480">
            <w:pPr>
              <w:keepNext w:val="0"/>
              <w:keepLines w:val="0"/>
              <w:pageBreakBefore w:val="0"/>
              <w:widowControl w:val="0"/>
              <w:tabs>
                <w:tab w:val="left" w:pos="0"/>
              </w:tabs>
              <w:kinsoku/>
              <w:wordWrap/>
              <w:overflowPunct/>
              <w:topLinePunct w:val="0"/>
              <w:autoSpaceDE/>
              <w:autoSpaceDN/>
              <w:bidi w:val="0"/>
              <w:adjustRightInd w:val="0"/>
              <w:snapToGrid w:val="0"/>
              <w:spacing w:line="240" w:lineRule="auto"/>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法定代表人授权书（附法定代表人、被授权人身份证复印件），法定代表人直接参加磋商，须提供法定代表人身份证明及身份证复印件</w:t>
            </w:r>
            <w:r>
              <w:rPr>
                <w:rFonts w:hint="eastAsia" w:hAnsi="宋体" w:cs="宋体"/>
                <w:color w:val="auto"/>
                <w:sz w:val="24"/>
                <w:szCs w:val="24"/>
                <w:highlight w:val="none"/>
                <w:lang w:val="en-US" w:eastAsia="zh-CN"/>
              </w:rPr>
              <w:t>；</w:t>
            </w:r>
          </w:p>
          <w:p w14:paraId="1AD2DE04">
            <w:pPr>
              <w:keepNext w:val="0"/>
              <w:keepLines w:val="0"/>
              <w:pageBreakBefore w:val="0"/>
              <w:widowControl w:val="0"/>
              <w:tabs>
                <w:tab w:val="left" w:pos="0"/>
              </w:tabs>
              <w:kinsoku/>
              <w:wordWrap/>
              <w:overflowPunct/>
              <w:topLinePunct w:val="0"/>
              <w:autoSpaceDE/>
              <w:autoSpaceDN/>
              <w:bidi w:val="0"/>
              <w:adjustRightInd w:val="0"/>
              <w:snapToGrid w:val="0"/>
              <w:spacing w:line="240" w:lineRule="auto"/>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eastAsia="zh-CN"/>
              </w:rPr>
              <w:t>财务状况报告：提供</w:t>
            </w:r>
            <w:r>
              <w:rPr>
                <w:rFonts w:hint="eastAsia" w:ascii="宋体" w:hAnsi="宋体" w:eastAsia="宋体" w:cs="宋体"/>
                <w:color w:val="auto"/>
                <w:sz w:val="24"/>
                <w:szCs w:val="24"/>
                <w:highlight w:val="none"/>
                <w:lang w:val="en-US" w:eastAsia="zh-CN"/>
              </w:rPr>
              <w:t>2024年度或</w:t>
            </w:r>
            <w:r>
              <w:rPr>
                <w:rFonts w:hint="eastAsia" w:ascii="宋体" w:hAnsi="宋体" w:eastAsia="宋体" w:cs="宋体"/>
                <w:color w:val="auto"/>
                <w:sz w:val="24"/>
                <w:szCs w:val="24"/>
                <w:highlight w:val="none"/>
                <w:lang w:eastAsia="zh-CN"/>
              </w:rPr>
              <w:t>2025年度的经审计的完整财务会计报告（成立时间至提交磋商文件截止时间不足一年的可提供成立后任意时段的资产负债表），或其基本存款账户开户银行出具的资信证明及基本存款账户开户许可证（基本账户信息表）(注:依据财政部、国务院国资委、金融监管总局印发&lt;&lt;关于加强审计报告查验工作的通知&gt;&gt;(财会(2023]15号)报告须在注册会计师行业统一监管平台备案并由该平台赋予二维码)。</w:t>
            </w:r>
          </w:p>
          <w:p w14:paraId="5C67F19E">
            <w:pPr>
              <w:keepNext w:val="0"/>
              <w:keepLines w:val="0"/>
              <w:pageBreakBefore w:val="0"/>
              <w:widowControl w:val="0"/>
              <w:tabs>
                <w:tab w:val="left" w:pos="0"/>
              </w:tabs>
              <w:kinsoku/>
              <w:wordWrap/>
              <w:overflowPunct/>
              <w:topLinePunct w:val="0"/>
              <w:autoSpaceDE/>
              <w:autoSpaceDN/>
              <w:bidi w:val="0"/>
              <w:adjustRightInd w:val="0"/>
              <w:snapToGrid w:val="0"/>
              <w:spacing w:line="24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（4）社会保障资金缴纳证明：提供磋商截止日前六个月内任意一个月的社保资金交纳证明，依法不需要缴纳社保资金的单位提供相关证明材料；</w:t>
            </w:r>
          </w:p>
          <w:p w14:paraId="0F19A6C4">
            <w:pPr>
              <w:keepNext w:val="0"/>
              <w:keepLines w:val="0"/>
              <w:pageBreakBefore w:val="0"/>
              <w:widowControl w:val="0"/>
              <w:tabs>
                <w:tab w:val="left" w:pos="0"/>
              </w:tabs>
              <w:kinsoku/>
              <w:wordWrap/>
              <w:overflowPunct/>
              <w:topLinePunct w:val="0"/>
              <w:autoSpaceDE/>
              <w:autoSpaceDN/>
              <w:bidi w:val="0"/>
              <w:adjustRightInd w:val="0"/>
              <w:snapToGrid w:val="0"/>
              <w:spacing w:line="24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（5）税收缴纳证明：提供磋商截止日前六个月内任意一个月的纳税证明或完税证明（增值税、印花税、城市维护建设费、企业所得税等一种或多种税种），依法免税的单位提供相关证明材料</w:t>
            </w:r>
            <w:r>
              <w:rPr>
                <w:rFonts w:hint="eastAsia" w:hAnsi="宋体" w:cs="宋体"/>
                <w:color w:val="auto"/>
                <w:sz w:val="24"/>
                <w:szCs w:val="24"/>
                <w:highlight w:val="none"/>
                <w:lang w:val="en-US" w:eastAsia="zh-CN"/>
              </w:rPr>
              <w:t>；</w:t>
            </w:r>
          </w:p>
          <w:p w14:paraId="47E69CBE">
            <w:pPr>
              <w:keepNext w:val="0"/>
              <w:keepLines w:val="0"/>
              <w:pageBreakBefore w:val="0"/>
              <w:widowControl w:val="0"/>
              <w:tabs>
                <w:tab w:val="left" w:pos="0"/>
              </w:tabs>
              <w:kinsoku/>
              <w:wordWrap/>
              <w:overflowPunct/>
              <w:topLinePunct w:val="0"/>
              <w:autoSpaceDE/>
              <w:autoSpaceDN/>
              <w:bidi w:val="0"/>
              <w:adjustRightInd w:val="0"/>
              <w:snapToGrid w:val="0"/>
              <w:spacing w:line="24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（6）信用记录：供应商不得为“信用中国”网站(http://www.creditchina.gov.cn)列入“失信被执行人或重大税收违法失信主体或政府采购严重违法失信行为记录名单”的供应商；不得为中国政府采购网(http://www.ccgp.gov.cn) “政府采购严重违法失信行为记录名单”中的供应商；</w:t>
            </w:r>
            <w:r>
              <w:rPr>
                <w:rFonts w:hint="eastAsia" w:ascii="宋体" w:hAnsi="宋体" w:eastAsia="宋体" w:cs="宋体"/>
                <w:color w:val="auto"/>
                <w:sz w:val="24"/>
                <w:szCs w:val="24"/>
                <w:highlight w:val="none"/>
                <w:lang w:eastAsia="zh-CN"/>
              </w:rPr>
              <w:t>（</w:t>
            </w:r>
            <w:r>
              <w:rPr>
                <w:rFonts w:hint="eastAsia" w:hAnsi="宋体" w:cs="宋体"/>
                <w:color w:val="auto"/>
                <w:sz w:val="24"/>
                <w:szCs w:val="24"/>
                <w:highlight w:val="none"/>
                <w:lang w:eastAsia="zh-CN"/>
              </w:rPr>
              <w:t>提供查询截图或承诺书</w:t>
            </w:r>
            <w:r>
              <w:rPr>
                <w:rFonts w:hint="eastAsia" w:ascii="宋体" w:hAnsi="宋体" w:eastAsia="宋体" w:cs="宋体"/>
                <w:color w:val="auto"/>
                <w:sz w:val="24"/>
                <w:szCs w:val="24"/>
                <w:highlight w:val="none"/>
                <w:lang w:eastAsia="zh-CN"/>
              </w:rPr>
              <w:t>）</w:t>
            </w:r>
          </w:p>
          <w:p w14:paraId="629C9612">
            <w:pPr>
              <w:keepNext w:val="0"/>
              <w:keepLines w:val="0"/>
              <w:pageBreakBefore w:val="0"/>
              <w:widowControl w:val="0"/>
              <w:tabs>
                <w:tab w:val="left" w:pos="0"/>
              </w:tabs>
              <w:kinsoku/>
              <w:wordWrap/>
              <w:overflowPunct/>
              <w:topLinePunct w:val="0"/>
              <w:autoSpaceDE/>
              <w:autoSpaceDN/>
              <w:bidi w:val="0"/>
              <w:adjustRightInd w:val="0"/>
              <w:snapToGrid w:val="0"/>
              <w:spacing w:line="240" w:lineRule="auto"/>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供应商应具备良好的商业信誉，提供参加政府采购活动前3年内在经营活动中没有重大违法记录的书面声明</w:t>
            </w:r>
            <w:r>
              <w:rPr>
                <w:rFonts w:hint="eastAsia" w:hAnsi="宋体" w:cs="宋体"/>
                <w:color w:val="auto"/>
                <w:sz w:val="24"/>
                <w:szCs w:val="24"/>
                <w:highlight w:val="none"/>
                <w:lang w:val="en-US" w:eastAsia="zh-CN"/>
              </w:rPr>
              <w:t>；</w:t>
            </w:r>
          </w:p>
          <w:p w14:paraId="7E7B136E">
            <w:pPr>
              <w:keepNext w:val="0"/>
              <w:keepLines w:val="0"/>
              <w:pageBreakBefore w:val="0"/>
              <w:widowControl w:val="0"/>
              <w:tabs>
                <w:tab w:val="left" w:pos="0"/>
              </w:tabs>
              <w:kinsoku/>
              <w:wordWrap/>
              <w:overflowPunct/>
              <w:topLinePunct w:val="0"/>
              <w:autoSpaceDE/>
              <w:autoSpaceDN/>
              <w:bidi w:val="0"/>
              <w:adjustRightInd w:val="0"/>
              <w:snapToGrid w:val="0"/>
              <w:spacing w:line="24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）具备履行合同所必需的设备和专业技术能力的</w:t>
            </w:r>
            <w:r>
              <w:rPr>
                <w:rFonts w:hint="eastAsia" w:ascii="宋体" w:hAnsi="宋体" w:eastAsia="宋体" w:cs="宋体"/>
                <w:color w:val="auto"/>
                <w:sz w:val="24"/>
                <w:szCs w:val="24"/>
                <w:highlight w:val="none"/>
                <w:lang w:eastAsia="zh-CN"/>
              </w:rPr>
              <w:t>声明</w:t>
            </w:r>
            <w:r>
              <w:rPr>
                <w:rFonts w:hint="eastAsia" w:hAnsi="宋体" w:cs="宋体"/>
                <w:color w:val="auto"/>
                <w:sz w:val="24"/>
                <w:szCs w:val="24"/>
                <w:highlight w:val="none"/>
                <w:lang w:val="en-US" w:eastAsia="zh-CN"/>
              </w:rPr>
              <w:t>；</w:t>
            </w:r>
          </w:p>
          <w:p w14:paraId="13D5B03B">
            <w:pPr>
              <w:keepNext w:val="0"/>
              <w:keepLines w:val="0"/>
              <w:pageBreakBefore w:val="0"/>
              <w:widowControl w:val="0"/>
              <w:tabs>
                <w:tab w:val="left" w:pos="0"/>
              </w:tabs>
              <w:kinsoku/>
              <w:wordWrap/>
              <w:overflowPunct/>
              <w:topLinePunct w:val="0"/>
              <w:autoSpaceDE/>
              <w:autoSpaceDN/>
              <w:bidi w:val="0"/>
              <w:adjustRightInd w:val="0"/>
              <w:snapToGrid w:val="0"/>
              <w:spacing w:line="24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关联关系：单位负责人为同一人或者存在控股、管理关系的不同单位，不得同时参加同一项目的磋商；（提供承诺书）</w:t>
            </w:r>
          </w:p>
          <w:p w14:paraId="484CC0CF">
            <w:pPr>
              <w:keepNext w:val="0"/>
              <w:keepLines w:val="0"/>
              <w:pageBreakBefore w:val="0"/>
              <w:widowControl w:val="0"/>
              <w:tabs>
                <w:tab w:val="left" w:pos="0"/>
              </w:tabs>
              <w:kinsoku/>
              <w:wordWrap/>
              <w:overflowPunct/>
              <w:topLinePunct w:val="0"/>
              <w:autoSpaceDE/>
              <w:autoSpaceDN/>
              <w:bidi w:val="0"/>
              <w:adjustRightInd w:val="0"/>
              <w:snapToGrid w:val="0"/>
              <w:spacing w:line="24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（10）供应商</w:t>
            </w:r>
            <w:r>
              <w:rPr>
                <w:rFonts w:hint="eastAsia" w:ascii="宋体" w:hAnsi="宋体" w:eastAsia="宋体" w:cs="宋体"/>
                <w:color w:val="auto"/>
                <w:sz w:val="24"/>
                <w:szCs w:val="24"/>
                <w:highlight w:val="none"/>
              </w:rPr>
              <w:t>须具备有效的《食品经营许可证》</w:t>
            </w:r>
            <w:r>
              <w:rPr>
                <w:rFonts w:hint="eastAsia" w:ascii="宋体" w:hAnsi="宋体" w:eastAsia="宋体" w:cs="宋体"/>
                <w:color w:val="auto"/>
                <w:sz w:val="24"/>
                <w:szCs w:val="24"/>
                <w:highlight w:val="none"/>
                <w:lang w:eastAsia="zh-CN"/>
              </w:rPr>
              <w:t>；</w:t>
            </w:r>
          </w:p>
          <w:p w14:paraId="36BB3C06">
            <w:pPr>
              <w:keepNext w:val="0"/>
              <w:keepLines w:val="0"/>
              <w:pageBreakBefore w:val="0"/>
              <w:widowControl w:val="0"/>
              <w:tabs>
                <w:tab w:val="left" w:pos="0"/>
              </w:tabs>
              <w:kinsoku/>
              <w:wordWrap/>
              <w:overflowPunct/>
              <w:topLinePunct w:val="0"/>
              <w:autoSpaceDE/>
              <w:autoSpaceDN/>
              <w:bidi w:val="0"/>
              <w:adjustRightInd w:val="0"/>
              <w:snapToGrid w:val="0"/>
              <w:spacing w:line="24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本项目不接受联合体磋商。</w:t>
            </w:r>
          </w:p>
        </w:tc>
      </w:tr>
      <w:tr w14:paraId="0B243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6" w:hRule="atLeast"/>
        </w:trPr>
        <w:tc>
          <w:tcPr>
            <w:tcW w:w="9519" w:type="dxa"/>
            <w:gridSpan w:val="5"/>
            <w:vAlign w:val="center"/>
          </w:tcPr>
          <w:p w14:paraId="45C75567">
            <w:pPr>
              <w:pStyle w:val="2"/>
              <w:keepNext w:val="0"/>
              <w:keepLines w:val="0"/>
              <w:pageBreakBefore w:val="0"/>
              <w:widowControl w:val="0"/>
              <w:kinsoku/>
              <w:wordWrap/>
              <w:overflowPunct/>
              <w:topLinePunct w:val="0"/>
              <w:autoSpaceDE/>
              <w:autoSpaceDN/>
              <w:bidi w:val="0"/>
              <w:snapToGrid w:val="0"/>
              <w:spacing w:after="0" w:line="240" w:lineRule="auto"/>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备注：</w:t>
            </w:r>
            <w:r>
              <w:rPr>
                <w:rFonts w:hint="eastAsia" w:ascii="宋体" w:hAnsi="宋体" w:eastAsia="宋体" w:cs="宋体"/>
                <w:b/>
                <w:bCs/>
                <w:color w:val="auto"/>
                <w:sz w:val="24"/>
                <w:szCs w:val="24"/>
                <w:highlight w:val="none"/>
              </w:rPr>
              <w:t>以上为必备资格要求，缺一项或某项达不到要求，按无效磋商处理。</w:t>
            </w:r>
          </w:p>
        </w:tc>
      </w:tr>
      <w:tr w14:paraId="4A6F2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0" w:hRule="atLeast"/>
        </w:trPr>
        <w:tc>
          <w:tcPr>
            <w:tcW w:w="764" w:type="dxa"/>
            <w:vMerge w:val="restart"/>
            <w:vAlign w:val="center"/>
          </w:tcPr>
          <w:p w14:paraId="07BD7D66">
            <w:pPr>
              <w:keepNext w:val="0"/>
              <w:keepLines w:val="0"/>
              <w:pageBreakBefore w:val="0"/>
              <w:widowControl w:val="0"/>
              <w:tabs>
                <w:tab w:val="left" w:pos="0"/>
              </w:tabs>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2.1.2</w:t>
            </w:r>
          </w:p>
        </w:tc>
        <w:tc>
          <w:tcPr>
            <w:tcW w:w="600" w:type="dxa"/>
            <w:vMerge w:val="restart"/>
            <w:vAlign w:val="center"/>
          </w:tcPr>
          <w:p w14:paraId="0B806C81">
            <w:pPr>
              <w:keepNext w:val="0"/>
              <w:keepLines w:val="0"/>
              <w:pageBreakBefore w:val="0"/>
              <w:widowControl w:val="0"/>
              <w:tabs>
                <w:tab w:val="left" w:pos="0"/>
              </w:tabs>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符合性评审标准</w:t>
            </w:r>
          </w:p>
        </w:tc>
        <w:tc>
          <w:tcPr>
            <w:tcW w:w="567" w:type="dxa"/>
            <w:vMerge w:val="restart"/>
            <w:vAlign w:val="center"/>
          </w:tcPr>
          <w:p w14:paraId="58CF380D">
            <w:pPr>
              <w:keepNext w:val="0"/>
              <w:keepLines w:val="0"/>
              <w:pageBreakBefore w:val="0"/>
              <w:widowControl w:val="0"/>
              <w:tabs>
                <w:tab w:val="left" w:pos="0"/>
              </w:tabs>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有效性审查</w:t>
            </w:r>
          </w:p>
        </w:tc>
        <w:tc>
          <w:tcPr>
            <w:tcW w:w="1165" w:type="dxa"/>
            <w:vAlign w:val="center"/>
          </w:tcPr>
          <w:p w14:paraId="20A6247D">
            <w:pPr>
              <w:keepNext w:val="0"/>
              <w:keepLines w:val="0"/>
              <w:pageBreakBefore w:val="0"/>
              <w:widowControl w:val="0"/>
              <w:tabs>
                <w:tab w:val="left" w:pos="0"/>
              </w:tabs>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Cs/>
                <w:color w:val="auto"/>
                <w:sz w:val="24"/>
                <w:szCs w:val="24"/>
                <w:highlight w:val="none"/>
              </w:rPr>
            </w:pPr>
            <w:r>
              <w:rPr>
                <w:rFonts w:ascii="宋体" w:hAnsi="宋体" w:eastAsia="宋体" w:cs="宋体"/>
                <w:bCs/>
                <w:color w:val="auto"/>
                <w:sz w:val="24"/>
                <w:szCs w:val="24"/>
                <w:highlight w:val="none"/>
                <w:lang w:eastAsia="zh-CN"/>
              </w:rPr>
              <w:t>不正当竞争预防措施（实质性要求）</w:t>
            </w:r>
          </w:p>
        </w:tc>
        <w:tc>
          <w:tcPr>
            <w:tcW w:w="6423" w:type="dxa"/>
            <w:vAlign w:val="center"/>
          </w:tcPr>
          <w:p w14:paraId="3ED37BC6">
            <w:pPr>
              <w:pStyle w:val="211"/>
              <w:keepNext w:val="0"/>
              <w:keepLines w:val="0"/>
              <w:pageBreakBefore w:val="0"/>
              <w:kinsoku/>
              <w:wordWrap/>
              <w:overflowPunct/>
              <w:topLinePunct w:val="0"/>
              <w:autoSpaceDE/>
              <w:autoSpaceDN/>
              <w:bidi w:val="0"/>
              <w:snapToGrid w:val="0"/>
              <w:spacing w:line="240" w:lineRule="auto"/>
              <w:textAlignment w:val="auto"/>
              <w:rPr>
                <w:rFonts w:hint="default"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1.在磋商过程中，磋商小组依据财库〔2026〕2号认为供应商的报价明显低于其他实质性响应的供应商报价，有可能影响产品质量或者不能诚信履约的，磋商小组应当要求其在评审现场合理的时间内提供成本构成书面说明，并提交相关证明材料。书面说明应当按照国家财务会计制度的规定要求，逐项就供应商提供的货物、工程和服务的主营业务成本（应根据供应商企业类型予以区别）、税金及附加、销售费用、管理费用、财务费用等成本构成事项详细陈述。</w:t>
            </w:r>
          </w:p>
          <w:p w14:paraId="551D3783">
            <w:pPr>
              <w:keepNext w:val="0"/>
              <w:keepLines w:val="0"/>
              <w:pageBreakBefore w:val="0"/>
              <w:widowControl w:val="0"/>
              <w:tabs>
                <w:tab w:val="left" w:pos="0"/>
              </w:tabs>
              <w:kinsoku/>
              <w:wordWrap/>
              <w:overflowPunct/>
              <w:topLinePunct w:val="0"/>
              <w:autoSpaceDE/>
              <w:autoSpaceDN/>
              <w:bidi w:val="0"/>
              <w:adjustRightInd w:val="0"/>
              <w:snapToGrid w:val="0"/>
              <w:spacing w:line="240" w:lineRule="auto"/>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2.供应商提交的相关证明材料，应当加盖供应商（法定名称）公章，在磋商小组要求的时间内进行提交，否则提交的相关证明材料无效。供应商不能证明其报价合理性的，磋商小组应当将其响应文件作为无效处理。</w:t>
            </w:r>
          </w:p>
        </w:tc>
      </w:tr>
      <w:tr w14:paraId="69D983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rPr>
        <w:tc>
          <w:tcPr>
            <w:tcW w:w="764" w:type="dxa"/>
            <w:vMerge w:val="continue"/>
            <w:vAlign w:val="center"/>
          </w:tcPr>
          <w:p w14:paraId="21567A85">
            <w:pPr>
              <w:keepNext w:val="0"/>
              <w:keepLines w:val="0"/>
              <w:pageBreakBefore w:val="0"/>
              <w:widowControl w:val="0"/>
              <w:tabs>
                <w:tab w:val="left" w:pos="0"/>
              </w:tabs>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Cs/>
                <w:color w:val="auto"/>
                <w:sz w:val="24"/>
                <w:szCs w:val="24"/>
                <w:highlight w:val="none"/>
              </w:rPr>
            </w:pPr>
          </w:p>
        </w:tc>
        <w:tc>
          <w:tcPr>
            <w:tcW w:w="600" w:type="dxa"/>
            <w:vMerge w:val="continue"/>
            <w:vAlign w:val="center"/>
          </w:tcPr>
          <w:p w14:paraId="621F2B4A">
            <w:pPr>
              <w:keepNext w:val="0"/>
              <w:keepLines w:val="0"/>
              <w:pageBreakBefore w:val="0"/>
              <w:widowControl w:val="0"/>
              <w:tabs>
                <w:tab w:val="left" w:pos="0"/>
              </w:tabs>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Cs/>
                <w:color w:val="auto"/>
                <w:sz w:val="24"/>
                <w:szCs w:val="24"/>
                <w:highlight w:val="none"/>
              </w:rPr>
            </w:pPr>
          </w:p>
        </w:tc>
        <w:tc>
          <w:tcPr>
            <w:tcW w:w="567" w:type="dxa"/>
            <w:vMerge w:val="continue"/>
            <w:vAlign w:val="center"/>
          </w:tcPr>
          <w:p w14:paraId="6A2FD2B3">
            <w:pPr>
              <w:keepNext w:val="0"/>
              <w:keepLines w:val="0"/>
              <w:pageBreakBefore w:val="0"/>
              <w:widowControl w:val="0"/>
              <w:tabs>
                <w:tab w:val="left" w:pos="0"/>
              </w:tabs>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Cs/>
                <w:color w:val="auto"/>
                <w:sz w:val="24"/>
                <w:szCs w:val="24"/>
                <w:highlight w:val="none"/>
              </w:rPr>
            </w:pPr>
          </w:p>
        </w:tc>
        <w:tc>
          <w:tcPr>
            <w:tcW w:w="1165" w:type="dxa"/>
            <w:vAlign w:val="center"/>
          </w:tcPr>
          <w:p w14:paraId="2F178297">
            <w:pPr>
              <w:keepNext w:val="0"/>
              <w:keepLines w:val="0"/>
              <w:pageBreakBefore w:val="0"/>
              <w:widowControl w:val="0"/>
              <w:tabs>
                <w:tab w:val="left" w:pos="0"/>
              </w:tabs>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磋商响应文件的签署盖章</w:t>
            </w:r>
          </w:p>
        </w:tc>
        <w:tc>
          <w:tcPr>
            <w:tcW w:w="6423" w:type="dxa"/>
            <w:vAlign w:val="center"/>
          </w:tcPr>
          <w:p w14:paraId="2B667259">
            <w:pPr>
              <w:keepNext w:val="0"/>
              <w:keepLines w:val="0"/>
              <w:pageBreakBefore w:val="0"/>
              <w:widowControl w:val="0"/>
              <w:tabs>
                <w:tab w:val="left" w:pos="0"/>
              </w:tabs>
              <w:kinsoku/>
              <w:wordWrap/>
              <w:overflowPunct/>
              <w:topLinePunct w:val="0"/>
              <w:autoSpaceDE/>
              <w:autoSpaceDN/>
              <w:bidi w:val="0"/>
              <w:adjustRightInd w:val="0"/>
              <w:snapToGrid w:val="0"/>
              <w:spacing w:line="240" w:lineRule="auto"/>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磋商响应文件上法定代表人或被授权人的签字或盖章齐全并加盖公章</w:t>
            </w:r>
          </w:p>
        </w:tc>
      </w:tr>
      <w:tr w14:paraId="215AC7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764" w:type="dxa"/>
            <w:vMerge w:val="continue"/>
          </w:tcPr>
          <w:p w14:paraId="378D37D9">
            <w:pPr>
              <w:keepNext w:val="0"/>
              <w:keepLines w:val="0"/>
              <w:pageBreakBefore w:val="0"/>
              <w:widowControl w:val="0"/>
              <w:tabs>
                <w:tab w:val="left" w:pos="0"/>
              </w:tabs>
              <w:kinsoku/>
              <w:wordWrap/>
              <w:overflowPunct/>
              <w:topLinePunct w:val="0"/>
              <w:autoSpaceDE/>
              <w:autoSpaceDN/>
              <w:bidi w:val="0"/>
              <w:adjustRightInd w:val="0"/>
              <w:snapToGrid w:val="0"/>
              <w:spacing w:line="240" w:lineRule="auto"/>
              <w:textAlignment w:val="auto"/>
              <w:rPr>
                <w:rFonts w:hint="eastAsia" w:ascii="宋体" w:hAnsi="宋体" w:eastAsia="宋体" w:cs="宋体"/>
                <w:bCs/>
                <w:color w:val="auto"/>
                <w:sz w:val="24"/>
                <w:szCs w:val="24"/>
                <w:highlight w:val="none"/>
              </w:rPr>
            </w:pPr>
          </w:p>
        </w:tc>
        <w:tc>
          <w:tcPr>
            <w:tcW w:w="600" w:type="dxa"/>
            <w:vMerge w:val="continue"/>
          </w:tcPr>
          <w:p w14:paraId="740D40E3">
            <w:pPr>
              <w:keepNext w:val="0"/>
              <w:keepLines w:val="0"/>
              <w:pageBreakBefore w:val="0"/>
              <w:widowControl w:val="0"/>
              <w:tabs>
                <w:tab w:val="left" w:pos="0"/>
              </w:tabs>
              <w:kinsoku/>
              <w:wordWrap/>
              <w:overflowPunct/>
              <w:topLinePunct w:val="0"/>
              <w:autoSpaceDE/>
              <w:autoSpaceDN/>
              <w:bidi w:val="0"/>
              <w:adjustRightInd w:val="0"/>
              <w:snapToGrid w:val="0"/>
              <w:spacing w:line="240" w:lineRule="auto"/>
              <w:textAlignment w:val="auto"/>
              <w:rPr>
                <w:rFonts w:hint="eastAsia" w:ascii="宋体" w:hAnsi="宋体" w:eastAsia="宋体" w:cs="宋体"/>
                <w:bCs/>
                <w:color w:val="auto"/>
                <w:sz w:val="24"/>
                <w:szCs w:val="24"/>
                <w:highlight w:val="none"/>
              </w:rPr>
            </w:pPr>
          </w:p>
        </w:tc>
        <w:tc>
          <w:tcPr>
            <w:tcW w:w="567" w:type="dxa"/>
            <w:vMerge w:val="continue"/>
          </w:tcPr>
          <w:p w14:paraId="3B7F4B69">
            <w:pPr>
              <w:keepNext w:val="0"/>
              <w:keepLines w:val="0"/>
              <w:pageBreakBefore w:val="0"/>
              <w:widowControl w:val="0"/>
              <w:tabs>
                <w:tab w:val="left" w:pos="0"/>
              </w:tabs>
              <w:kinsoku/>
              <w:wordWrap/>
              <w:overflowPunct/>
              <w:topLinePunct w:val="0"/>
              <w:autoSpaceDE/>
              <w:autoSpaceDN/>
              <w:bidi w:val="0"/>
              <w:adjustRightInd w:val="0"/>
              <w:snapToGrid w:val="0"/>
              <w:spacing w:line="240" w:lineRule="auto"/>
              <w:textAlignment w:val="auto"/>
              <w:rPr>
                <w:rFonts w:hint="eastAsia" w:ascii="宋体" w:hAnsi="宋体" w:eastAsia="宋体" w:cs="宋体"/>
                <w:bCs/>
                <w:color w:val="auto"/>
                <w:sz w:val="24"/>
                <w:szCs w:val="24"/>
                <w:highlight w:val="none"/>
              </w:rPr>
            </w:pPr>
          </w:p>
        </w:tc>
        <w:tc>
          <w:tcPr>
            <w:tcW w:w="1165" w:type="dxa"/>
            <w:vAlign w:val="center"/>
          </w:tcPr>
          <w:p w14:paraId="1D7CDA3B">
            <w:pPr>
              <w:keepNext w:val="0"/>
              <w:keepLines w:val="0"/>
              <w:pageBreakBefore w:val="0"/>
              <w:widowControl w:val="0"/>
              <w:tabs>
                <w:tab w:val="left" w:pos="0"/>
              </w:tabs>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磋商响应文件格式</w:t>
            </w:r>
          </w:p>
        </w:tc>
        <w:tc>
          <w:tcPr>
            <w:tcW w:w="6423" w:type="dxa"/>
            <w:vAlign w:val="center"/>
          </w:tcPr>
          <w:p w14:paraId="59CCD02A">
            <w:pPr>
              <w:keepNext w:val="0"/>
              <w:keepLines w:val="0"/>
              <w:pageBreakBefore w:val="0"/>
              <w:widowControl w:val="0"/>
              <w:tabs>
                <w:tab w:val="left" w:pos="0"/>
              </w:tabs>
              <w:kinsoku/>
              <w:wordWrap/>
              <w:overflowPunct/>
              <w:topLinePunct w:val="0"/>
              <w:autoSpaceDE/>
              <w:autoSpaceDN/>
              <w:bidi w:val="0"/>
              <w:adjustRightInd w:val="0"/>
              <w:snapToGrid w:val="0"/>
              <w:spacing w:line="240" w:lineRule="auto"/>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应符合“磋商响应文件格式”要求</w:t>
            </w:r>
          </w:p>
        </w:tc>
      </w:tr>
      <w:tr w14:paraId="26BF2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764" w:type="dxa"/>
            <w:vMerge w:val="continue"/>
          </w:tcPr>
          <w:p w14:paraId="22FB4589">
            <w:pPr>
              <w:keepNext w:val="0"/>
              <w:keepLines w:val="0"/>
              <w:pageBreakBefore w:val="0"/>
              <w:widowControl w:val="0"/>
              <w:tabs>
                <w:tab w:val="left" w:pos="0"/>
              </w:tabs>
              <w:kinsoku/>
              <w:wordWrap/>
              <w:overflowPunct/>
              <w:topLinePunct w:val="0"/>
              <w:autoSpaceDE/>
              <w:autoSpaceDN/>
              <w:bidi w:val="0"/>
              <w:adjustRightInd w:val="0"/>
              <w:snapToGrid w:val="0"/>
              <w:spacing w:line="240" w:lineRule="auto"/>
              <w:textAlignment w:val="auto"/>
              <w:rPr>
                <w:rFonts w:hint="eastAsia" w:ascii="宋体" w:hAnsi="宋体" w:eastAsia="宋体" w:cs="宋体"/>
                <w:bCs/>
                <w:color w:val="auto"/>
                <w:sz w:val="24"/>
                <w:szCs w:val="24"/>
                <w:highlight w:val="none"/>
              </w:rPr>
            </w:pPr>
          </w:p>
        </w:tc>
        <w:tc>
          <w:tcPr>
            <w:tcW w:w="600" w:type="dxa"/>
            <w:vMerge w:val="continue"/>
          </w:tcPr>
          <w:p w14:paraId="43CB9C01">
            <w:pPr>
              <w:keepNext w:val="0"/>
              <w:keepLines w:val="0"/>
              <w:pageBreakBefore w:val="0"/>
              <w:widowControl w:val="0"/>
              <w:tabs>
                <w:tab w:val="left" w:pos="0"/>
              </w:tabs>
              <w:kinsoku/>
              <w:wordWrap/>
              <w:overflowPunct/>
              <w:topLinePunct w:val="0"/>
              <w:autoSpaceDE/>
              <w:autoSpaceDN/>
              <w:bidi w:val="0"/>
              <w:adjustRightInd w:val="0"/>
              <w:snapToGrid w:val="0"/>
              <w:spacing w:line="240" w:lineRule="auto"/>
              <w:textAlignment w:val="auto"/>
              <w:rPr>
                <w:rFonts w:hint="eastAsia" w:ascii="宋体" w:hAnsi="宋体" w:eastAsia="宋体" w:cs="宋体"/>
                <w:bCs/>
                <w:color w:val="auto"/>
                <w:sz w:val="24"/>
                <w:szCs w:val="24"/>
                <w:highlight w:val="none"/>
              </w:rPr>
            </w:pPr>
          </w:p>
        </w:tc>
        <w:tc>
          <w:tcPr>
            <w:tcW w:w="567" w:type="dxa"/>
            <w:vMerge w:val="continue"/>
          </w:tcPr>
          <w:p w14:paraId="5277452E">
            <w:pPr>
              <w:keepNext w:val="0"/>
              <w:keepLines w:val="0"/>
              <w:pageBreakBefore w:val="0"/>
              <w:widowControl w:val="0"/>
              <w:tabs>
                <w:tab w:val="left" w:pos="0"/>
              </w:tabs>
              <w:kinsoku/>
              <w:wordWrap/>
              <w:overflowPunct/>
              <w:topLinePunct w:val="0"/>
              <w:autoSpaceDE/>
              <w:autoSpaceDN/>
              <w:bidi w:val="0"/>
              <w:adjustRightInd w:val="0"/>
              <w:snapToGrid w:val="0"/>
              <w:spacing w:line="240" w:lineRule="auto"/>
              <w:textAlignment w:val="auto"/>
              <w:rPr>
                <w:rFonts w:hint="eastAsia" w:ascii="宋体" w:hAnsi="宋体" w:eastAsia="宋体" w:cs="宋体"/>
                <w:bCs/>
                <w:color w:val="auto"/>
                <w:sz w:val="24"/>
                <w:szCs w:val="24"/>
                <w:highlight w:val="none"/>
              </w:rPr>
            </w:pPr>
          </w:p>
        </w:tc>
        <w:tc>
          <w:tcPr>
            <w:tcW w:w="1165" w:type="dxa"/>
            <w:vAlign w:val="center"/>
          </w:tcPr>
          <w:p w14:paraId="71A4034A">
            <w:pPr>
              <w:keepNext w:val="0"/>
              <w:keepLines w:val="0"/>
              <w:pageBreakBefore w:val="0"/>
              <w:widowControl w:val="0"/>
              <w:tabs>
                <w:tab w:val="left" w:pos="0"/>
              </w:tabs>
              <w:kinsoku/>
              <w:wordWrap/>
              <w:overflowPunct/>
              <w:topLinePunct w:val="0"/>
              <w:autoSpaceDE/>
              <w:autoSpaceDN/>
              <w:bidi w:val="0"/>
              <w:adjustRightInd w:val="0"/>
              <w:snapToGrid w:val="0"/>
              <w:spacing w:line="240" w:lineRule="auto"/>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本项目专门面向</w:t>
            </w:r>
            <w:r>
              <w:rPr>
                <w:rFonts w:hint="eastAsia" w:ascii="宋体" w:hAnsi="宋体" w:eastAsia="宋体" w:cs="宋体"/>
                <w:bCs/>
                <w:color w:val="auto"/>
                <w:sz w:val="24"/>
                <w:szCs w:val="24"/>
                <w:highlight w:val="none"/>
                <w:lang w:val="en-US" w:eastAsia="zh-CN"/>
              </w:rPr>
              <w:t>中小</w:t>
            </w:r>
            <w:r>
              <w:rPr>
                <w:rFonts w:hint="eastAsia" w:ascii="宋体" w:hAnsi="宋体" w:eastAsia="宋体" w:cs="宋体"/>
                <w:bCs/>
                <w:color w:val="auto"/>
                <w:sz w:val="24"/>
                <w:szCs w:val="24"/>
                <w:highlight w:val="none"/>
              </w:rPr>
              <w:t>企业采购</w:t>
            </w:r>
          </w:p>
        </w:tc>
        <w:tc>
          <w:tcPr>
            <w:tcW w:w="6423" w:type="dxa"/>
            <w:vAlign w:val="center"/>
          </w:tcPr>
          <w:p w14:paraId="029265DC">
            <w:pPr>
              <w:keepNext w:val="0"/>
              <w:keepLines w:val="0"/>
              <w:pageBreakBefore w:val="0"/>
              <w:widowControl w:val="0"/>
              <w:tabs>
                <w:tab w:val="left" w:pos="0"/>
              </w:tabs>
              <w:kinsoku/>
              <w:wordWrap/>
              <w:overflowPunct/>
              <w:topLinePunct w:val="0"/>
              <w:autoSpaceDE/>
              <w:autoSpaceDN/>
              <w:bidi w:val="0"/>
              <w:adjustRightInd w:val="0"/>
              <w:snapToGrid w:val="0"/>
              <w:spacing w:line="240" w:lineRule="auto"/>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供应商应为</w:t>
            </w:r>
            <w:r>
              <w:rPr>
                <w:rFonts w:hint="eastAsia" w:ascii="宋体" w:hAnsi="宋体" w:eastAsia="宋体" w:cs="宋体"/>
                <w:bCs/>
                <w:color w:val="auto"/>
                <w:sz w:val="24"/>
                <w:szCs w:val="24"/>
                <w:highlight w:val="none"/>
                <w:lang w:eastAsia="zh-CN"/>
              </w:rPr>
              <w:t>中小</w:t>
            </w:r>
            <w:r>
              <w:rPr>
                <w:rFonts w:hint="eastAsia" w:ascii="宋体" w:hAnsi="宋体" w:eastAsia="宋体" w:cs="宋体"/>
                <w:bCs/>
                <w:color w:val="auto"/>
                <w:sz w:val="24"/>
                <w:szCs w:val="24"/>
                <w:highlight w:val="none"/>
              </w:rPr>
              <w:t>企业或监狱企业或残疾人福利性单位。供应商为</w:t>
            </w:r>
            <w:r>
              <w:rPr>
                <w:rFonts w:hint="eastAsia" w:ascii="宋体" w:hAnsi="宋体" w:eastAsia="宋体" w:cs="宋体"/>
                <w:bCs/>
                <w:color w:val="auto"/>
                <w:sz w:val="24"/>
                <w:szCs w:val="24"/>
                <w:highlight w:val="none"/>
                <w:lang w:eastAsia="zh-CN"/>
              </w:rPr>
              <w:t>中型、</w:t>
            </w:r>
            <w:r>
              <w:rPr>
                <w:rFonts w:hint="eastAsia" w:ascii="宋体" w:hAnsi="宋体" w:eastAsia="宋体" w:cs="宋体"/>
                <w:bCs/>
                <w:color w:val="auto"/>
                <w:sz w:val="24"/>
                <w:szCs w:val="24"/>
                <w:highlight w:val="none"/>
              </w:rPr>
              <w:t>小型、微型企业的，提供《中小企业声明函》；供应商为监狱企业的，应提供监狱企业的证明文件；供应商为残疾人福利性单位的，应提供《残疾人福利性单位声明函》。</w:t>
            </w:r>
          </w:p>
        </w:tc>
      </w:tr>
      <w:tr w14:paraId="06442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4" w:type="dxa"/>
            <w:vMerge w:val="continue"/>
          </w:tcPr>
          <w:p w14:paraId="12C850E8">
            <w:pPr>
              <w:keepNext w:val="0"/>
              <w:keepLines w:val="0"/>
              <w:pageBreakBefore w:val="0"/>
              <w:widowControl w:val="0"/>
              <w:tabs>
                <w:tab w:val="left" w:pos="0"/>
              </w:tabs>
              <w:kinsoku/>
              <w:wordWrap/>
              <w:overflowPunct/>
              <w:topLinePunct w:val="0"/>
              <w:autoSpaceDE/>
              <w:autoSpaceDN/>
              <w:bidi w:val="0"/>
              <w:adjustRightInd w:val="0"/>
              <w:snapToGrid w:val="0"/>
              <w:spacing w:line="240" w:lineRule="auto"/>
              <w:textAlignment w:val="auto"/>
              <w:rPr>
                <w:rFonts w:hint="eastAsia" w:ascii="宋体" w:hAnsi="宋体" w:eastAsia="宋体" w:cs="宋体"/>
                <w:bCs/>
                <w:color w:val="auto"/>
                <w:sz w:val="24"/>
                <w:szCs w:val="24"/>
                <w:highlight w:val="none"/>
              </w:rPr>
            </w:pPr>
          </w:p>
        </w:tc>
        <w:tc>
          <w:tcPr>
            <w:tcW w:w="600" w:type="dxa"/>
            <w:vMerge w:val="continue"/>
          </w:tcPr>
          <w:p w14:paraId="7A6A7842">
            <w:pPr>
              <w:keepNext w:val="0"/>
              <w:keepLines w:val="0"/>
              <w:pageBreakBefore w:val="0"/>
              <w:widowControl w:val="0"/>
              <w:tabs>
                <w:tab w:val="left" w:pos="0"/>
              </w:tabs>
              <w:kinsoku/>
              <w:wordWrap/>
              <w:overflowPunct/>
              <w:topLinePunct w:val="0"/>
              <w:autoSpaceDE/>
              <w:autoSpaceDN/>
              <w:bidi w:val="0"/>
              <w:adjustRightInd w:val="0"/>
              <w:snapToGrid w:val="0"/>
              <w:spacing w:line="240" w:lineRule="auto"/>
              <w:textAlignment w:val="auto"/>
              <w:rPr>
                <w:rFonts w:hint="eastAsia" w:ascii="宋体" w:hAnsi="宋体" w:eastAsia="宋体" w:cs="宋体"/>
                <w:bCs/>
                <w:color w:val="auto"/>
                <w:sz w:val="24"/>
                <w:szCs w:val="24"/>
                <w:highlight w:val="none"/>
              </w:rPr>
            </w:pPr>
          </w:p>
        </w:tc>
        <w:tc>
          <w:tcPr>
            <w:tcW w:w="567" w:type="dxa"/>
            <w:vMerge w:val="continue"/>
          </w:tcPr>
          <w:p w14:paraId="61947DC0">
            <w:pPr>
              <w:keepNext w:val="0"/>
              <w:keepLines w:val="0"/>
              <w:pageBreakBefore w:val="0"/>
              <w:widowControl w:val="0"/>
              <w:tabs>
                <w:tab w:val="left" w:pos="0"/>
              </w:tabs>
              <w:kinsoku/>
              <w:wordWrap/>
              <w:overflowPunct/>
              <w:topLinePunct w:val="0"/>
              <w:autoSpaceDE/>
              <w:autoSpaceDN/>
              <w:bidi w:val="0"/>
              <w:adjustRightInd w:val="0"/>
              <w:snapToGrid w:val="0"/>
              <w:spacing w:line="240" w:lineRule="auto"/>
              <w:textAlignment w:val="auto"/>
              <w:rPr>
                <w:rFonts w:hint="eastAsia" w:ascii="宋体" w:hAnsi="宋体" w:eastAsia="宋体" w:cs="宋体"/>
                <w:bCs/>
                <w:color w:val="auto"/>
                <w:sz w:val="24"/>
                <w:szCs w:val="24"/>
                <w:highlight w:val="none"/>
              </w:rPr>
            </w:pPr>
          </w:p>
        </w:tc>
        <w:tc>
          <w:tcPr>
            <w:tcW w:w="1165" w:type="dxa"/>
            <w:vAlign w:val="center"/>
          </w:tcPr>
          <w:p w14:paraId="18A91FAB">
            <w:pPr>
              <w:keepNext w:val="0"/>
              <w:keepLines w:val="0"/>
              <w:pageBreakBefore w:val="0"/>
              <w:widowControl w:val="0"/>
              <w:tabs>
                <w:tab w:val="left" w:pos="0"/>
              </w:tabs>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报价唯一</w:t>
            </w:r>
          </w:p>
        </w:tc>
        <w:tc>
          <w:tcPr>
            <w:tcW w:w="6423" w:type="dxa"/>
            <w:vAlign w:val="center"/>
          </w:tcPr>
          <w:p w14:paraId="2B30B2B2">
            <w:pPr>
              <w:keepNext w:val="0"/>
              <w:keepLines w:val="0"/>
              <w:pageBreakBefore w:val="0"/>
              <w:widowControl w:val="0"/>
              <w:tabs>
                <w:tab w:val="left" w:pos="0"/>
              </w:tabs>
              <w:kinsoku/>
              <w:wordWrap/>
              <w:overflowPunct/>
              <w:topLinePunct w:val="0"/>
              <w:autoSpaceDE/>
              <w:autoSpaceDN/>
              <w:bidi w:val="0"/>
              <w:adjustRightInd w:val="0"/>
              <w:snapToGrid w:val="0"/>
              <w:spacing w:line="240" w:lineRule="auto"/>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只能有一个有效报价，不得提交选择性报价，按要求提交二次或多次报价，且每轮报价不超过采购预算金额或最高限价或磋商小组认为低于成本价的报价。</w:t>
            </w:r>
          </w:p>
        </w:tc>
      </w:tr>
      <w:tr w14:paraId="0964F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764" w:type="dxa"/>
            <w:vMerge w:val="continue"/>
            <w:vAlign w:val="center"/>
          </w:tcPr>
          <w:p w14:paraId="218C1FDC">
            <w:pPr>
              <w:keepNext w:val="0"/>
              <w:keepLines w:val="0"/>
              <w:pageBreakBefore w:val="0"/>
              <w:widowControl w:val="0"/>
              <w:tabs>
                <w:tab w:val="left" w:pos="0"/>
              </w:tabs>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Cs/>
                <w:color w:val="auto"/>
                <w:sz w:val="24"/>
                <w:szCs w:val="24"/>
                <w:highlight w:val="none"/>
              </w:rPr>
            </w:pPr>
          </w:p>
        </w:tc>
        <w:tc>
          <w:tcPr>
            <w:tcW w:w="600" w:type="dxa"/>
            <w:vMerge w:val="continue"/>
            <w:vAlign w:val="center"/>
          </w:tcPr>
          <w:p w14:paraId="17AEF31F">
            <w:pPr>
              <w:keepNext w:val="0"/>
              <w:keepLines w:val="0"/>
              <w:pageBreakBefore w:val="0"/>
              <w:widowControl w:val="0"/>
              <w:tabs>
                <w:tab w:val="left" w:pos="0"/>
              </w:tabs>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Cs/>
                <w:color w:val="auto"/>
                <w:sz w:val="24"/>
                <w:szCs w:val="24"/>
                <w:highlight w:val="none"/>
              </w:rPr>
            </w:pPr>
          </w:p>
        </w:tc>
        <w:tc>
          <w:tcPr>
            <w:tcW w:w="567" w:type="dxa"/>
            <w:vMerge w:val="restart"/>
            <w:vAlign w:val="center"/>
          </w:tcPr>
          <w:p w14:paraId="2DB1A895">
            <w:pPr>
              <w:keepNext w:val="0"/>
              <w:keepLines w:val="0"/>
              <w:pageBreakBefore w:val="0"/>
              <w:widowControl w:val="0"/>
              <w:tabs>
                <w:tab w:val="left" w:pos="0"/>
              </w:tabs>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完整性审查</w:t>
            </w:r>
          </w:p>
        </w:tc>
        <w:tc>
          <w:tcPr>
            <w:tcW w:w="1165" w:type="dxa"/>
            <w:vAlign w:val="center"/>
          </w:tcPr>
          <w:p w14:paraId="139D1813">
            <w:pPr>
              <w:keepNext w:val="0"/>
              <w:keepLines w:val="0"/>
              <w:pageBreakBefore w:val="0"/>
              <w:widowControl w:val="0"/>
              <w:tabs>
                <w:tab w:val="left" w:pos="0"/>
              </w:tabs>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磋商响应文件份数</w:t>
            </w:r>
          </w:p>
        </w:tc>
        <w:tc>
          <w:tcPr>
            <w:tcW w:w="6423" w:type="dxa"/>
            <w:vAlign w:val="center"/>
          </w:tcPr>
          <w:p w14:paraId="0CB1505F">
            <w:pPr>
              <w:keepNext w:val="0"/>
              <w:keepLines w:val="0"/>
              <w:pageBreakBefore w:val="0"/>
              <w:widowControl w:val="0"/>
              <w:tabs>
                <w:tab w:val="left" w:pos="0"/>
              </w:tabs>
              <w:kinsoku/>
              <w:wordWrap/>
              <w:overflowPunct/>
              <w:topLinePunct w:val="0"/>
              <w:autoSpaceDE/>
              <w:autoSpaceDN/>
              <w:bidi w:val="0"/>
              <w:adjustRightInd w:val="0"/>
              <w:snapToGrid w:val="0"/>
              <w:spacing w:line="240" w:lineRule="auto"/>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应符合“供应商须知前附表”规定的正本、副本、电子文件数量</w:t>
            </w:r>
          </w:p>
        </w:tc>
      </w:tr>
      <w:tr w14:paraId="6C87E7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trPr>
        <w:tc>
          <w:tcPr>
            <w:tcW w:w="764" w:type="dxa"/>
            <w:vMerge w:val="continue"/>
          </w:tcPr>
          <w:p w14:paraId="01E0088B">
            <w:pPr>
              <w:keepNext w:val="0"/>
              <w:keepLines w:val="0"/>
              <w:pageBreakBefore w:val="0"/>
              <w:widowControl w:val="0"/>
              <w:tabs>
                <w:tab w:val="left" w:pos="0"/>
              </w:tabs>
              <w:kinsoku/>
              <w:wordWrap/>
              <w:overflowPunct/>
              <w:topLinePunct w:val="0"/>
              <w:autoSpaceDE/>
              <w:autoSpaceDN/>
              <w:bidi w:val="0"/>
              <w:adjustRightInd w:val="0"/>
              <w:snapToGrid w:val="0"/>
              <w:spacing w:line="240" w:lineRule="auto"/>
              <w:textAlignment w:val="auto"/>
              <w:rPr>
                <w:rFonts w:hint="eastAsia" w:ascii="宋体" w:hAnsi="宋体" w:eastAsia="宋体" w:cs="宋体"/>
                <w:bCs/>
                <w:color w:val="auto"/>
                <w:sz w:val="24"/>
                <w:szCs w:val="24"/>
                <w:highlight w:val="none"/>
              </w:rPr>
            </w:pPr>
          </w:p>
        </w:tc>
        <w:tc>
          <w:tcPr>
            <w:tcW w:w="600" w:type="dxa"/>
            <w:vMerge w:val="continue"/>
          </w:tcPr>
          <w:p w14:paraId="0AB479F1">
            <w:pPr>
              <w:keepNext w:val="0"/>
              <w:keepLines w:val="0"/>
              <w:pageBreakBefore w:val="0"/>
              <w:widowControl w:val="0"/>
              <w:tabs>
                <w:tab w:val="left" w:pos="0"/>
              </w:tabs>
              <w:kinsoku/>
              <w:wordWrap/>
              <w:overflowPunct/>
              <w:topLinePunct w:val="0"/>
              <w:autoSpaceDE/>
              <w:autoSpaceDN/>
              <w:bidi w:val="0"/>
              <w:adjustRightInd w:val="0"/>
              <w:snapToGrid w:val="0"/>
              <w:spacing w:line="240" w:lineRule="auto"/>
              <w:textAlignment w:val="auto"/>
              <w:rPr>
                <w:rFonts w:hint="eastAsia" w:ascii="宋体" w:hAnsi="宋体" w:eastAsia="宋体" w:cs="宋体"/>
                <w:bCs/>
                <w:color w:val="auto"/>
                <w:sz w:val="24"/>
                <w:szCs w:val="24"/>
                <w:highlight w:val="none"/>
              </w:rPr>
            </w:pPr>
          </w:p>
        </w:tc>
        <w:tc>
          <w:tcPr>
            <w:tcW w:w="567" w:type="dxa"/>
            <w:vMerge w:val="continue"/>
          </w:tcPr>
          <w:p w14:paraId="48B6C3EE">
            <w:pPr>
              <w:keepNext w:val="0"/>
              <w:keepLines w:val="0"/>
              <w:pageBreakBefore w:val="0"/>
              <w:widowControl w:val="0"/>
              <w:tabs>
                <w:tab w:val="left" w:pos="0"/>
              </w:tabs>
              <w:kinsoku/>
              <w:wordWrap/>
              <w:overflowPunct/>
              <w:topLinePunct w:val="0"/>
              <w:autoSpaceDE/>
              <w:autoSpaceDN/>
              <w:bidi w:val="0"/>
              <w:adjustRightInd w:val="0"/>
              <w:snapToGrid w:val="0"/>
              <w:spacing w:line="240" w:lineRule="auto"/>
              <w:textAlignment w:val="auto"/>
              <w:rPr>
                <w:rFonts w:hint="eastAsia" w:ascii="宋体" w:hAnsi="宋体" w:eastAsia="宋体" w:cs="宋体"/>
                <w:bCs/>
                <w:color w:val="auto"/>
                <w:sz w:val="24"/>
                <w:szCs w:val="24"/>
                <w:highlight w:val="none"/>
              </w:rPr>
            </w:pPr>
          </w:p>
        </w:tc>
        <w:tc>
          <w:tcPr>
            <w:tcW w:w="1165" w:type="dxa"/>
            <w:vAlign w:val="center"/>
          </w:tcPr>
          <w:p w14:paraId="268766D5">
            <w:pPr>
              <w:keepNext w:val="0"/>
              <w:keepLines w:val="0"/>
              <w:pageBreakBefore w:val="0"/>
              <w:widowControl w:val="0"/>
              <w:tabs>
                <w:tab w:val="left" w:pos="0"/>
              </w:tabs>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磋商响应文件内容</w:t>
            </w:r>
          </w:p>
        </w:tc>
        <w:tc>
          <w:tcPr>
            <w:tcW w:w="6423" w:type="dxa"/>
            <w:vAlign w:val="center"/>
          </w:tcPr>
          <w:p w14:paraId="3380BAB8">
            <w:pPr>
              <w:keepNext w:val="0"/>
              <w:keepLines w:val="0"/>
              <w:pageBreakBefore w:val="0"/>
              <w:widowControl w:val="0"/>
              <w:tabs>
                <w:tab w:val="left" w:pos="0"/>
              </w:tabs>
              <w:kinsoku/>
              <w:wordWrap/>
              <w:overflowPunct/>
              <w:topLinePunct w:val="0"/>
              <w:autoSpaceDE/>
              <w:autoSpaceDN/>
              <w:bidi w:val="0"/>
              <w:adjustRightInd w:val="0"/>
              <w:snapToGrid w:val="0"/>
              <w:spacing w:line="240" w:lineRule="auto"/>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磋商响应文件内容符合磋商文件要求</w:t>
            </w:r>
          </w:p>
        </w:tc>
      </w:tr>
      <w:tr w14:paraId="717869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764" w:type="dxa"/>
            <w:vMerge w:val="continue"/>
            <w:vAlign w:val="center"/>
          </w:tcPr>
          <w:p w14:paraId="34C17999">
            <w:pPr>
              <w:keepNext w:val="0"/>
              <w:keepLines w:val="0"/>
              <w:pageBreakBefore w:val="0"/>
              <w:widowControl w:val="0"/>
              <w:tabs>
                <w:tab w:val="left" w:pos="0"/>
              </w:tabs>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Cs/>
                <w:color w:val="auto"/>
                <w:sz w:val="24"/>
                <w:szCs w:val="24"/>
                <w:highlight w:val="none"/>
              </w:rPr>
            </w:pPr>
          </w:p>
        </w:tc>
        <w:tc>
          <w:tcPr>
            <w:tcW w:w="600" w:type="dxa"/>
            <w:vMerge w:val="continue"/>
            <w:vAlign w:val="center"/>
          </w:tcPr>
          <w:p w14:paraId="7D62A989">
            <w:pPr>
              <w:keepNext w:val="0"/>
              <w:keepLines w:val="0"/>
              <w:pageBreakBefore w:val="0"/>
              <w:widowControl w:val="0"/>
              <w:tabs>
                <w:tab w:val="left" w:pos="0"/>
              </w:tabs>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Cs/>
                <w:color w:val="auto"/>
                <w:sz w:val="24"/>
                <w:szCs w:val="24"/>
                <w:highlight w:val="none"/>
              </w:rPr>
            </w:pPr>
          </w:p>
        </w:tc>
        <w:tc>
          <w:tcPr>
            <w:tcW w:w="567" w:type="dxa"/>
            <w:vMerge w:val="restart"/>
            <w:vAlign w:val="center"/>
          </w:tcPr>
          <w:p w14:paraId="4D0EED7F">
            <w:pPr>
              <w:keepNext w:val="0"/>
              <w:keepLines w:val="0"/>
              <w:pageBreakBefore w:val="0"/>
              <w:widowControl w:val="0"/>
              <w:tabs>
                <w:tab w:val="left" w:pos="0"/>
              </w:tabs>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响应性审查</w:t>
            </w:r>
          </w:p>
        </w:tc>
        <w:tc>
          <w:tcPr>
            <w:tcW w:w="1165" w:type="dxa"/>
            <w:vAlign w:val="center"/>
          </w:tcPr>
          <w:p w14:paraId="50B9FD5F">
            <w:pPr>
              <w:keepNext w:val="0"/>
              <w:keepLines w:val="0"/>
              <w:pageBreakBefore w:val="0"/>
              <w:widowControl w:val="0"/>
              <w:tabs>
                <w:tab w:val="left" w:pos="0"/>
              </w:tabs>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对磋商文件响应程度</w:t>
            </w:r>
          </w:p>
        </w:tc>
        <w:tc>
          <w:tcPr>
            <w:tcW w:w="6423" w:type="dxa"/>
            <w:vAlign w:val="center"/>
          </w:tcPr>
          <w:p w14:paraId="0A3A165B">
            <w:pPr>
              <w:keepNext w:val="0"/>
              <w:keepLines w:val="0"/>
              <w:pageBreakBefore w:val="0"/>
              <w:widowControl w:val="0"/>
              <w:tabs>
                <w:tab w:val="left" w:pos="0"/>
              </w:tabs>
              <w:kinsoku/>
              <w:wordWrap/>
              <w:overflowPunct/>
              <w:topLinePunct w:val="0"/>
              <w:autoSpaceDE/>
              <w:autoSpaceDN/>
              <w:bidi w:val="0"/>
              <w:adjustRightInd w:val="0"/>
              <w:snapToGrid w:val="0"/>
              <w:spacing w:line="240" w:lineRule="auto"/>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要求实质性条款全部响应，不能有采购人不能接受的附加条件</w:t>
            </w:r>
          </w:p>
        </w:tc>
      </w:tr>
      <w:tr w14:paraId="0DD818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764" w:type="dxa"/>
            <w:vMerge w:val="continue"/>
          </w:tcPr>
          <w:p w14:paraId="337A78F9">
            <w:pPr>
              <w:keepNext w:val="0"/>
              <w:keepLines w:val="0"/>
              <w:pageBreakBefore w:val="0"/>
              <w:widowControl w:val="0"/>
              <w:tabs>
                <w:tab w:val="left" w:pos="0"/>
              </w:tabs>
              <w:kinsoku/>
              <w:wordWrap/>
              <w:overflowPunct/>
              <w:topLinePunct w:val="0"/>
              <w:autoSpaceDE/>
              <w:autoSpaceDN/>
              <w:bidi w:val="0"/>
              <w:adjustRightInd w:val="0"/>
              <w:snapToGrid w:val="0"/>
              <w:spacing w:line="240" w:lineRule="auto"/>
              <w:textAlignment w:val="auto"/>
              <w:rPr>
                <w:rFonts w:hint="eastAsia" w:ascii="宋体" w:hAnsi="宋体" w:eastAsia="宋体" w:cs="宋体"/>
                <w:bCs/>
                <w:color w:val="auto"/>
                <w:sz w:val="24"/>
                <w:szCs w:val="24"/>
                <w:highlight w:val="none"/>
              </w:rPr>
            </w:pPr>
          </w:p>
        </w:tc>
        <w:tc>
          <w:tcPr>
            <w:tcW w:w="600" w:type="dxa"/>
            <w:vMerge w:val="continue"/>
          </w:tcPr>
          <w:p w14:paraId="7C7FB69B">
            <w:pPr>
              <w:keepNext w:val="0"/>
              <w:keepLines w:val="0"/>
              <w:pageBreakBefore w:val="0"/>
              <w:widowControl w:val="0"/>
              <w:tabs>
                <w:tab w:val="left" w:pos="0"/>
              </w:tabs>
              <w:kinsoku/>
              <w:wordWrap/>
              <w:overflowPunct/>
              <w:topLinePunct w:val="0"/>
              <w:autoSpaceDE/>
              <w:autoSpaceDN/>
              <w:bidi w:val="0"/>
              <w:adjustRightInd w:val="0"/>
              <w:snapToGrid w:val="0"/>
              <w:spacing w:line="240" w:lineRule="auto"/>
              <w:textAlignment w:val="auto"/>
              <w:rPr>
                <w:rFonts w:hint="eastAsia" w:ascii="宋体" w:hAnsi="宋体" w:eastAsia="宋体" w:cs="宋体"/>
                <w:bCs/>
                <w:color w:val="auto"/>
                <w:sz w:val="24"/>
                <w:szCs w:val="24"/>
                <w:highlight w:val="none"/>
              </w:rPr>
            </w:pPr>
          </w:p>
        </w:tc>
        <w:tc>
          <w:tcPr>
            <w:tcW w:w="567" w:type="dxa"/>
            <w:vMerge w:val="continue"/>
          </w:tcPr>
          <w:p w14:paraId="4A8D4375">
            <w:pPr>
              <w:keepNext w:val="0"/>
              <w:keepLines w:val="0"/>
              <w:pageBreakBefore w:val="0"/>
              <w:widowControl w:val="0"/>
              <w:tabs>
                <w:tab w:val="left" w:pos="0"/>
              </w:tabs>
              <w:kinsoku/>
              <w:wordWrap/>
              <w:overflowPunct/>
              <w:topLinePunct w:val="0"/>
              <w:autoSpaceDE/>
              <w:autoSpaceDN/>
              <w:bidi w:val="0"/>
              <w:adjustRightInd w:val="0"/>
              <w:snapToGrid w:val="0"/>
              <w:spacing w:line="240" w:lineRule="auto"/>
              <w:textAlignment w:val="auto"/>
              <w:rPr>
                <w:rFonts w:hint="eastAsia" w:ascii="宋体" w:hAnsi="宋体" w:eastAsia="宋体" w:cs="宋体"/>
                <w:bCs/>
                <w:color w:val="auto"/>
                <w:sz w:val="24"/>
                <w:szCs w:val="24"/>
                <w:highlight w:val="none"/>
              </w:rPr>
            </w:pPr>
          </w:p>
        </w:tc>
        <w:tc>
          <w:tcPr>
            <w:tcW w:w="1165" w:type="dxa"/>
            <w:vAlign w:val="center"/>
          </w:tcPr>
          <w:p w14:paraId="2861AFC1">
            <w:pPr>
              <w:keepNext w:val="0"/>
              <w:keepLines w:val="0"/>
              <w:pageBreakBefore w:val="0"/>
              <w:widowControl w:val="0"/>
              <w:tabs>
                <w:tab w:val="left" w:pos="0"/>
              </w:tabs>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服务期限</w:t>
            </w:r>
          </w:p>
        </w:tc>
        <w:tc>
          <w:tcPr>
            <w:tcW w:w="6423" w:type="dxa"/>
            <w:vAlign w:val="center"/>
          </w:tcPr>
          <w:p w14:paraId="46A04732">
            <w:pPr>
              <w:keepNext w:val="0"/>
              <w:keepLines w:val="0"/>
              <w:pageBreakBefore w:val="0"/>
              <w:widowControl w:val="0"/>
              <w:tabs>
                <w:tab w:val="left" w:pos="0"/>
              </w:tabs>
              <w:kinsoku/>
              <w:wordWrap/>
              <w:overflowPunct/>
              <w:topLinePunct w:val="0"/>
              <w:autoSpaceDE/>
              <w:autoSpaceDN/>
              <w:bidi w:val="0"/>
              <w:adjustRightInd w:val="0"/>
              <w:snapToGrid w:val="0"/>
              <w:spacing w:line="240" w:lineRule="auto"/>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应满足磋商文件中要求的服务期</w:t>
            </w:r>
          </w:p>
        </w:tc>
      </w:tr>
      <w:tr w14:paraId="3107A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4" w:type="dxa"/>
            <w:vMerge w:val="continue"/>
          </w:tcPr>
          <w:p w14:paraId="3642805E">
            <w:pPr>
              <w:keepNext w:val="0"/>
              <w:keepLines w:val="0"/>
              <w:pageBreakBefore w:val="0"/>
              <w:widowControl w:val="0"/>
              <w:tabs>
                <w:tab w:val="left" w:pos="0"/>
              </w:tabs>
              <w:kinsoku/>
              <w:wordWrap/>
              <w:overflowPunct/>
              <w:topLinePunct w:val="0"/>
              <w:autoSpaceDE/>
              <w:autoSpaceDN/>
              <w:bidi w:val="0"/>
              <w:adjustRightInd w:val="0"/>
              <w:snapToGrid w:val="0"/>
              <w:spacing w:line="240" w:lineRule="auto"/>
              <w:textAlignment w:val="auto"/>
              <w:rPr>
                <w:rFonts w:hint="eastAsia" w:ascii="宋体" w:hAnsi="宋体" w:eastAsia="宋体" w:cs="宋体"/>
                <w:bCs/>
                <w:color w:val="auto"/>
                <w:sz w:val="24"/>
                <w:szCs w:val="24"/>
                <w:highlight w:val="none"/>
              </w:rPr>
            </w:pPr>
          </w:p>
        </w:tc>
        <w:tc>
          <w:tcPr>
            <w:tcW w:w="600" w:type="dxa"/>
            <w:vMerge w:val="continue"/>
          </w:tcPr>
          <w:p w14:paraId="30435850">
            <w:pPr>
              <w:keepNext w:val="0"/>
              <w:keepLines w:val="0"/>
              <w:pageBreakBefore w:val="0"/>
              <w:widowControl w:val="0"/>
              <w:tabs>
                <w:tab w:val="left" w:pos="0"/>
              </w:tabs>
              <w:kinsoku/>
              <w:wordWrap/>
              <w:overflowPunct/>
              <w:topLinePunct w:val="0"/>
              <w:autoSpaceDE/>
              <w:autoSpaceDN/>
              <w:bidi w:val="0"/>
              <w:adjustRightInd w:val="0"/>
              <w:snapToGrid w:val="0"/>
              <w:spacing w:line="240" w:lineRule="auto"/>
              <w:textAlignment w:val="auto"/>
              <w:rPr>
                <w:rFonts w:hint="eastAsia" w:ascii="宋体" w:hAnsi="宋体" w:eastAsia="宋体" w:cs="宋体"/>
                <w:bCs/>
                <w:color w:val="auto"/>
                <w:sz w:val="24"/>
                <w:szCs w:val="24"/>
                <w:highlight w:val="none"/>
              </w:rPr>
            </w:pPr>
          </w:p>
        </w:tc>
        <w:tc>
          <w:tcPr>
            <w:tcW w:w="567" w:type="dxa"/>
            <w:vMerge w:val="continue"/>
          </w:tcPr>
          <w:p w14:paraId="229FB773">
            <w:pPr>
              <w:keepNext w:val="0"/>
              <w:keepLines w:val="0"/>
              <w:pageBreakBefore w:val="0"/>
              <w:widowControl w:val="0"/>
              <w:tabs>
                <w:tab w:val="left" w:pos="0"/>
              </w:tabs>
              <w:kinsoku/>
              <w:wordWrap/>
              <w:overflowPunct/>
              <w:topLinePunct w:val="0"/>
              <w:autoSpaceDE/>
              <w:autoSpaceDN/>
              <w:bidi w:val="0"/>
              <w:adjustRightInd w:val="0"/>
              <w:snapToGrid w:val="0"/>
              <w:spacing w:line="240" w:lineRule="auto"/>
              <w:textAlignment w:val="auto"/>
              <w:rPr>
                <w:rFonts w:hint="eastAsia" w:ascii="宋体" w:hAnsi="宋体" w:eastAsia="宋体" w:cs="宋体"/>
                <w:bCs/>
                <w:color w:val="auto"/>
                <w:sz w:val="24"/>
                <w:szCs w:val="24"/>
                <w:highlight w:val="none"/>
              </w:rPr>
            </w:pPr>
          </w:p>
        </w:tc>
        <w:tc>
          <w:tcPr>
            <w:tcW w:w="1165" w:type="dxa"/>
            <w:vAlign w:val="center"/>
          </w:tcPr>
          <w:p w14:paraId="644D8E11">
            <w:pPr>
              <w:keepNext w:val="0"/>
              <w:keepLines w:val="0"/>
              <w:pageBreakBefore w:val="0"/>
              <w:widowControl w:val="0"/>
              <w:tabs>
                <w:tab w:val="left" w:pos="0"/>
              </w:tabs>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磋商有效期</w:t>
            </w:r>
          </w:p>
        </w:tc>
        <w:tc>
          <w:tcPr>
            <w:tcW w:w="6423" w:type="dxa"/>
            <w:vAlign w:val="center"/>
          </w:tcPr>
          <w:p w14:paraId="0E501379">
            <w:pPr>
              <w:keepNext w:val="0"/>
              <w:keepLines w:val="0"/>
              <w:pageBreakBefore w:val="0"/>
              <w:widowControl w:val="0"/>
              <w:tabs>
                <w:tab w:val="left" w:pos="0"/>
              </w:tabs>
              <w:kinsoku/>
              <w:wordWrap/>
              <w:overflowPunct/>
              <w:topLinePunct w:val="0"/>
              <w:autoSpaceDE/>
              <w:autoSpaceDN/>
              <w:bidi w:val="0"/>
              <w:adjustRightInd w:val="0"/>
              <w:snapToGrid w:val="0"/>
              <w:spacing w:line="240" w:lineRule="auto"/>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应满足磋商文件中的规定</w:t>
            </w:r>
          </w:p>
        </w:tc>
      </w:tr>
    </w:tbl>
    <w:p w14:paraId="74977EA3">
      <w:pPr>
        <w:rPr>
          <w:color w:val="auto"/>
          <w:highlight w:val="none"/>
        </w:rPr>
      </w:pPr>
    </w:p>
    <w:p w14:paraId="0A3A5726">
      <w:pPr>
        <w:spacing w:line="360" w:lineRule="auto"/>
        <w:rPr>
          <w:rFonts w:hint="eastAsia" w:cs="仿宋" w:asciiTheme="minorEastAsia" w:hAnsiTheme="minorEastAsia" w:eastAsiaTheme="minorEastAsia"/>
          <w:b/>
          <w:color w:val="auto"/>
          <w:spacing w:val="4"/>
          <w:szCs w:val="24"/>
          <w:highlight w:val="none"/>
        </w:rPr>
      </w:pPr>
      <w:r>
        <w:rPr>
          <w:rFonts w:hint="eastAsia" w:cs="仿宋" w:asciiTheme="minorEastAsia" w:hAnsiTheme="minorEastAsia" w:eastAsiaTheme="minorEastAsia"/>
          <w:b/>
          <w:color w:val="auto"/>
          <w:spacing w:val="4"/>
          <w:szCs w:val="24"/>
          <w:highlight w:val="none"/>
        </w:rPr>
        <w:br w:type="page"/>
      </w:r>
      <w:r>
        <w:rPr>
          <w:rFonts w:hint="eastAsia" w:cs="仿宋" w:asciiTheme="minorEastAsia" w:hAnsiTheme="minorEastAsia" w:eastAsiaTheme="minorEastAsia"/>
          <w:b/>
          <w:color w:val="auto"/>
          <w:spacing w:val="4"/>
          <w:szCs w:val="24"/>
          <w:highlight w:val="none"/>
        </w:rPr>
        <w:t>附件2：</w:t>
      </w:r>
    </w:p>
    <w:p w14:paraId="7B2DFC75">
      <w:pPr>
        <w:spacing w:line="360" w:lineRule="auto"/>
        <w:jc w:val="center"/>
        <w:rPr>
          <w:rFonts w:hint="eastAsia" w:cs="仿宋" w:asciiTheme="minorEastAsia" w:hAnsiTheme="minorEastAsia" w:eastAsiaTheme="minorEastAsia"/>
          <w:b/>
          <w:color w:val="auto"/>
          <w:spacing w:val="4"/>
          <w:szCs w:val="24"/>
          <w:highlight w:val="none"/>
        </w:rPr>
      </w:pPr>
      <w:r>
        <w:rPr>
          <w:rFonts w:hint="eastAsia" w:cs="仿宋" w:asciiTheme="minorEastAsia" w:hAnsiTheme="minorEastAsia" w:eastAsiaTheme="minorEastAsia"/>
          <w:b/>
          <w:color w:val="auto"/>
          <w:spacing w:val="4"/>
          <w:szCs w:val="24"/>
          <w:highlight w:val="none"/>
        </w:rPr>
        <w:t>评标因素及权重分值表</w:t>
      </w:r>
    </w:p>
    <w:tbl>
      <w:tblPr>
        <w:tblStyle w:val="48"/>
        <w:tblW w:w="486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1"/>
        <w:gridCol w:w="731"/>
        <w:gridCol w:w="6130"/>
        <w:gridCol w:w="838"/>
        <w:gridCol w:w="825"/>
      </w:tblGrid>
      <w:tr w14:paraId="1CC13C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3" w:hRule="atLeast"/>
          <w:jc w:val="center"/>
        </w:trPr>
        <w:tc>
          <w:tcPr>
            <w:tcW w:w="430" w:type="pct"/>
            <w:vAlign w:val="center"/>
          </w:tcPr>
          <w:p w14:paraId="19C1A2EB">
            <w:pPr>
              <w:pStyle w:val="26"/>
              <w:spacing w:line="240" w:lineRule="auto"/>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类别</w:t>
            </w:r>
          </w:p>
        </w:tc>
        <w:tc>
          <w:tcPr>
            <w:tcW w:w="392" w:type="pct"/>
            <w:vAlign w:val="center"/>
          </w:tcPr>
          <w:p w14:paraId="7D5C2FF2">
            <w:pPr>
              <w:spacing w:line="240" w:lineRule="auto"/>
              <w:jc w:val="center"/>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总分</w:t>
            </w:r>
          </w:p>
        </w:tc>
        <w:tc>
          <w:tcPr>
            <w:tcW w:w="3286" w:type="pct"/>
            <w:vAlign w:val="center"/>
          </w:tcPr>
          <w:p w14:paraId="25DB38A9">
            <w:pPr>
              <w:spacing w:line="240" w:lineRule="auto"/>
              <w:jc w:val="center"/>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评标因素</w:t>
            </w:r>
          </w:p>
        </w:tc>
        <w:tc>
          <w:tcPr>
            <w:tcW w:w="449" w:type="pct"/>
            <w:vAlign w:val="center"/>
          </w:tcPr>
          <w:p w14:paraId="08BD7B74">
            <w:pPr>
              <w:spacing w:line="240" w:lineRule="auto"/>
              <w:jc w:val="center"/>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最高</w:t>
            </w:r>
          </w:p>
          <w:p w14:paraId="014D67E3">
            <w:pPr>
              <w:spacing w:line="240" w:lineRule="auto"/>
              <w:jc w:val="center"/>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得分</w:t>
            </w:r>
          </w:p>
        </w:tc>
        <w:tc>
          <w:tcPr>
            <w:tcW w:w="442" w:type="pct"/>
            <w:vMerge w:val="restart"/>
            <w:vAlign w:val="center"/>
          </w:tcPr>
          <w:p w14:paraId="26C69B86">
            <w:pPr>
              <w:spacing w:line="240" w:lineRule="auto"/>
              <w:jc w:val="center"/>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根</w:t>
            </w:r>
          </w:p>
          <w:p w14:paraId="2F4FAB3F">
            <w:pPr>
              <w:spacing w:line="240" w:lineRule="auto"/>
              <w:jc w:val="center"/>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据</w:t>
            </w:r>
          </w:p>
          <w:p w14:paraId="2A53672E">
            <w:pPr>
              <w:spacing w:line="240" w:lineRule="auto"/>
              <w:jc w:val="center"/>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竞</w:t>
            </w:r>
          </w:p>
          <w:p w14:paraId="5FFA26C4">
            <w:pPr>
              <w:spacing w:line="240" w:lineRule="auto"/>
              <w:jc w:val="center"/>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争</w:t>
            </w:r>
          </w:p>
          <w:p w14:paraId="0E4B7DA2">
            <w:pPr>
              <w:spacing w:line="240" w:lineRule="auto"/>
              <w:jc w:val="center"/>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性</w:t>
            </w:r>
          </w:p>
          <w:p w14:paraId="1C4F47DE">
            <w:pPr>
              <w:spacing w:line="240" w:lineRule="auto"/>
              <w:jc w:val="center"/>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磋</w:t>
            </w:r>
          </w:p>
          <w:p w14:paraId="0740A655">
            <w:pPr>
              <w:spacing w:line="240" w:lineRule="auto"/>
              <w:jc w:val="center"/>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商</w:t>
            </w:r>
          </w:p>
          <w:p w14:paraId="5D0D15A0">
            <w:pPr>
              <w:spacing w:line="240" w:lineRule="auto"/>
              <w:jc w:val="center"/>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响</w:t>
            </w:r>
          </w:p>
          <w:p w14:paraId="68F90FC0">
            <w:pPr>
              <w:spacing w:line="240" w:lineRule="auto"/>
              <w:jc w:val="center"/>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应</w:t>
            </w:r>
          </w:p>
          <w:p w14:paraId="49F52CE6">
            <w:pPr>
              <w:spacing w:line="240" w:lineRule="auto"/>
              <w:jc w:val="center"/>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文</w:t>
            </w:r>
          </w:p>
          <w:p w14:paraId="18AF91AB">
            <w:pPr>
              <w:spacing w:line="240" w:lineRule="auto"/>
              <w:jc w:val="center"/>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件</w:t>
            </w:r>
          </w:p>
          <w:p w14:paraId="0C33D4D7">
            <w:pPr>
              <w:spacing w:line="240" w:lineRule="auto"/>
              <w:jc w:val="center"/>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的</w:t>
            </w:r>
          </w:p>
          <w:p w14:paraId="76D0DE64">
            <w:pPr>
              <w:spacing w:line="240" w:lineRule="auto"/>
              <w:jc w:val="center"/>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响</w:t>
            </w:r>
          </w:p>
          <w:p w14:paraId="66AF7530">
            <w:pPr>
              <w:spacing w:line="240" w:lineRule="auto"/>
              <w:jc w:val="center"/>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应</w:t>
            </w:r>
          </w:p>
          <w:p w14:paraId="18FCCB3B">
            <w:pPr>
              <w:spacing w:line="240" w:lineRule="auto"/>
              <w:jc w:val="center"/>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程  度</w:t>
            </w:r>
          </w:p>
          <w:p w14:paraId="27D34AB3">
            <w:pPr>
              <w:spacing w:line="240" w:lineRule="auto"/>
              <w:jc w:val="center"/>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按</w:t>
            </w:r>
          </w:p>
          <w:p w14:paraId="2C1F59A2">
            <w:pPr>
              <w:spacing w:line="240" w:lineRule="auto"/>
              <w:jc w:val="center"/>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差</w:t>
            </w:r>
          </w:p>
          <w:p w14:paraId="56F7B78B">
            <w:pPr>
              <w:spacing w:line="240" w:lineRule="auto"/>
              <w:jc w:val="center"/>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别</w:t>
            </w:r>
          </w:p>
          <w:p w14:paraId="59B34028">
            <w:pPr>
              <w:spacing w:line="240" w:lineRule="auto"/>
              <w:jc w:val="center"/>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计</w:t>
            </w:r>
          </w:p>
          <w:p w14:paraId="36D7F1B5">
            <w:pPr>
              <w:spacing w:line="240" w:lineRule="auto"/>
              <w:jc w:val="center"/>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分</w:t>
            </w:r>
          </w:p>
          <w:p w14:paraId="3A8AF5B8">
            <w:pPr>
              <w:spacing w:line="240" w:lineRule="auto"/>
              <w:jc w:val="center"/>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w:t>
            </w:r>
          </w:p>
          <w:p w14:paraId="41952C6A">
            <w:pPr>
              <w:widowControl/>
              <w:spacing w:line="240" w:lineRule="auto"/>
              <w:jc w:val="center"/>
              <w:rPr>
                <w:rFonts w:hint="eastAsia" w:ascii="宋体" w:hAnsi="宋体" w:eastAsia="宋体" w:cs="宋体"/>
                <w:b/>
                <w:bCs/>
                <w:color w:val="auto"/>
                <w:sz w:val="21"/>
                <w:szCs w:val="21"/>
                <w:highlight w:val="none"/>
              </w:rPr>
            </w:pPr>
          </w:p>
        </w:tc>
      </w:tr>
      <w:tr w14:paraId="22D27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jc w:val="center"/>
        </w:trPr>
        <w:tc>
          <w:tcPr>
            <w:tcW w:w="430" w:type="pct"/>
            <w:vAlign w:val="center"/>
          </w:tcPr>
          <w:p w14:paraId="6C76A60A">
            <w:pPr>
              <w:spacing w:line="240" w:lineRule="auto"/>
              <w:jc w:val="center"/>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磋商价格</w:t>
            </w:r>
          </w:p>
        </w:tc>
        <w:tc>
          <w:tcPr>
            <w:tcW w:w="392" w:type="pct"/>
            <w:vAlign w:val="center"/>
          </w:tcPr>
          <w:p w14:paraId="734AB2AD">
            <w:pPr>
              <w:spacing w:line="240" w:lineRule="auto"/>
              <w:rPr>
                <w:rFonts w:hint="eastAsia" w:ascii="宋体" w:hAnsi="宋体" w:eastAsia="宋体" w:cs="宋体"/>
                <w:b/>
                <w:color w:val="auto"/>
                <w:szCs w:val="24"/>
                <w:highlight w:val="none"/>
              </w:rPr>
            </w:pPr>
            <w:r>
              <w:rPr>
                <w:rFonts w:hint="eastAsia" w:hAnsi="宋体" w:cs="宋体"/>
                <w:b/>
                <w:color w:val="auto"/>
                <w:szCs w:val="24"/>
                <w:highlight w:val="none"/>
                <w:lang w:val="en-US" w:eastAsia="zh-CN"/>
              </w:rPr>
              <w:t>25</w:t>
            </w:r>
            <w:r>
              <w:rPr>
                <w:rFonts w:hint="eastAsia" w:ascii="宋体" w:hAnsi="宋体" w:eastAsia="宋体" w:cs="宋体"/>
                <w:b/>
                <w:color w:val="auto"/>
                <w:szCs w:val="24"/>
                <w:highlight w:val="none"/>
              </w:rPr>
              <w:t>分</w:t>
            </w:r>
          </w:p>
        </w:tc>
        <w:tc>
          <w:tcPr>
            <w:tcW w:w="3286" w:type="pct"/>
            <w:vAlign w:val="center"/>
          </w:tcPr>
          <w:p w14:paraId="4B58DBD8">
            <w:pPr>
              <w:widowControl/>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1.经初审合格的磋商响应文件，通过符合性审查的磋商报价为有效磋商价。对符合政策性扣减的有效磋商报价进行政策性扣减，并依据扣减后的价格（评审价格）进行价格评审。</w:t>
            </w:r>
          </w:p>
          <w:p w14:paraId="54F6EA16">
            <w:pPr>
              <w:widowControl/>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2.满足磋商文件实质性要求且最终报价最低的供应商的价格为磋商基准价，其价格分为满分</w:t>
            </w:r>
            <w:r>
              <w:rPr>
                <w:rFonts w:hint="eastAsia" w:hAnsi="宋体" w:cs="宋体"/>
                <w:color w:val="auto"/>
                <w:highlight w:val="none"/>
                <w:lang w:val="en-US" w:eastAsia="zh-CN"/>
              </w:rPr>
              <w:t>25</w:t>
            </w:r>
            <w:r>
              <w:rPr>
                <w:rFonts w:hint="eastAsia" w:ascii="宋体" w:hAnsi="宋体" w:eastAsia="宋体" w:cs="宋体"/>
                <w:color w:val="auto"/>
                <w:highlight w:val="none"/>
              </w:rPr>
              <w:t>分。</w:t>
            </w:r>
          </w:p>
          <w:p w14:paraId="1B2BA2EC">
            <w:pPr>
              <w:widowControl/>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3.磋商报价得分=（磋商基准价/最终磋商报价）×</w:t>
            </w:r>
            <w:r>
              <w:rPr>
                <w:rFonts w:hint="eastAsia" w:hAnsi="宋体" w:cs="宋体"/>
                <w:color w:val="auto"/>
                <w:highlight w:val="none"/>
                <w:lang w:val="en-US" w:eastAsia="zh-CN"/>
              </w:rPr>
              <w:t>25</w:t>
            </w:r>
            <w:r>
              <w:rPr>
                <w:rFonts w:hint="eastAsia" w:ascii="宋体" w:hAnsi="宋体" w:eastAsia="宋体" w:cs="宋体"/>
                <w:color w:val="auto"/>
                <w:highlight w:val="none"/>
              </w:rPr>
              <w:t>的公式计算得分。</w:t>
            </w:r>
          </w:p>
        </w:tc>
        <w:tc>
          <w:tcPr>
            <w:tcW w:w="449" w:type="pct"/>
            <w:vAlign w:val="center"/>
          </w:tcPr>
          <w:p w14:paraId="196BC6B2">
            <w:pPr>
              <w:spacing w:line="240" w:lineRule="auto"/>
              <w:jc w:val="center"/>
              <w:rPr>
                <w:rFonts w:hint="eastAsia" w:ascii="宋体" w:hAnsi="宋体" w:eastAsia="宋体" w:cs="宋体"/>
                <w:color w:val="auto"/>
                <w:szCs w:val="24"/>
                <w:highlight w:val="none"/>
              </w:rPr>
            </w:pPr>
            <w:r>
              <w:rPr>
                <w:rFonts w:hint="eastAsia" w:hAnsi="宋体" w:cs="宋体"/>
                <w:color w:val="auto"/>
                <w:szCs w:val="24"/>
                <w:highlight w:val="none"/>
                <w:lang w:val="en-US" w:eastAsia="zh-CN"/>
              </w:rPr>
              <w:t>25</w:t>
            </w:r>
            <w:r>
              <w:rPr>
                <w:rFonts w:hint="eastAsia" w:ascii="宋体" w:hAnsi="宋体" w:eastAsia="宋体" w:cs="宋体"/>
                <w:color w:val="auto"/>
                <w:szCs w:val="24"/>
                <w:highlight w:val="none"/>
              </w:rPr>
              <w:t>分</w:t>
            </w:r>
          </w:p>
        </w:tc>
        <w:tc>
          <w:tcPr>
            <w:tcW w:w="442" w:type="pct"/>
            <w:vMerge w:val="continue"/>
            <w:vAlign w:val="center"/>
          </w:tcPr>
          <w:p w14:paraId="0AB8D1BC">
            <w:pPr>
              <w:spacing w:line="240" w:lineRule="auto"/>
              <w:jc w:val="center"/>
              <w:rPr>
                <w:rFonts w:hint="eastAsia" w:ascii="宋体" w:hAnsi="宋体" w:eastAsia="宋体" w:cs="宋体"/>
                <w:color w:val="auto"/>
                <w:sz w:val="21"/>
                <w:szCs w:val="21"/>
                <w:highlight w:val="none"/>
              </w:rPr>
            </w:pPr>
          </w:p>
        </w:tc>
      </w:tr>
      <w:tr w14:paraId="7BADB7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jc w:val="center"/>
        </w:trPr>
        <w:tc>
          <w:tcPr>
            <w:tcW w:w="430" w:type="pct"/>
            <w:vMerge w:val="restart"/>
            <w:vAlign w:val="center"/>
          </w:tcPr>
          <w:p w14:paraId="04E3B43C">
            <w:pPr>
              <w:spacing w:line="240" w:lineRule="auto"/>
              <w:rPr>
                <w:rFonts w:hint="eastAsia" w:ascii="宋体" w:hAnsi="宋体" w:eastAsia="宋体" w:cs="宋体"/>
                <w:b/>
                <w:color w:val="auto"/>
                <w:szCs w:val="24"/>
                <w:highlight w:val="none"/>
                <w:lang w:val="en-US" w:eastAsia="zh-CN"/>
              </w:rPr>
            </w:pPr>
            <w:r>
              <w:rPr>
                <w:rFonts w:hint="eastAsia" w:ascii="宋体" w:hAnsi="宋体" w:eastAsia="宋体" w:cs="宋体"/>
                <w:b/>
                <w:color w:val="auto"/>
                <w:szCs w:val="24"/>
                <w:highlight w:val="none"/>
                <w:lang w:val="en-US" w:eastAsia="zh-CN"/>
              </w:rPr>
              <w:t>详细</w:t>
            </w:r>
          </w:p>
          <w:p w14:paraId="4F52D59B">
            <w:pPr>
              <w:spacing w:line="24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评审</w:t>
            </w:r>
          </w:p>
        </w:tc>
        <w:tc>
          <w:tcPr>
            <w:tcW w:w="392" w:type="pct"/>
            <w:vMerge w:val="restart"/>
            <w:vAlign w:val="center"/>
          </w:tcPr>
          <w:p w14:paraId="6C1FF4B7">
            <w:pPr>
              <w:spacing w:line="240" w:lineRule="auto"/>
              <w:rPr>
                <w:rFonts w:hint="eastAsia" w:ascii="宋体" w:hAnsi="宋体" w:eastAsia="宋体" w:cs="宋体"/>
                <w:color w:val="auto"/>
                <w:szCs w:val="24"/>
                <w:highlight w:val="none"/>
              </w:rPr>
            </w:pPr>
            <w:r>
              <w:rPr>
                <w:rFonts w:hint="eastAsia" w:hAnsi="宋体" w:cs="宋体"/>
                <w:b/>
                <w:bCs/>
                <w:color w:val="auto"/>
                <w:szCs w:val="24"/>
                <w:highlight w:val="none"/>
                <w:lang w:val="en-US" w:eastAsia="zh-CN"/>
              </w:rPr>
              <w:t>70</w:t>
            </w:r>
            <w:r>
              <w:rPr>
                <w:rFonts w:hint="eastAsia" w:ascii="宋体" w:hAnsi="宋体" w:eastAsia="宋体" w:cs="宋体"/>
                <w:b/>
                <w:bCs/>
                <w:color w:val="auto"/>
                <w:szCs w:val="24"/>
                <w:highlight w:val="none"/>
              </w:rPr>
              <w:t>分</w:t>
            </w:r>
          </w:p>
        </w:tc>
        <w:tc>
          <w:tcPr>
            <w:tcW w:w="3286" w:type="pct"/>
            <w:vAlign w:val="center"/>
          </w:tcPr>
          <w:p w14:paraId="211F0EE0">
            <w:pPr>
              <w:widowControl/>
              <w:spacing w:line="240" w:lineRule="auto"/>
              <w:rPr>
                <w:rFonts w:hint="eastAsia" w:ascii="宋体" w:hAnsi="宋体" w:eastAsia="宋体" w:cs="宋体"/>
                <w:color w:val="auto"/>
                <w:highlight w:val="none"/>
                <w:lang w:val="en-US" w:eastAsia="zh-CN"/>
              </w:rPr>
            </w:pPr>
            <w:r>
              <w:rPr>
                <w:rFonts w:hint="eastAsia" w:ascii="宋体" w:hAnsi="宋体" w:eastAsia="宋体" w:cs="宋体"/>
                <w:b/>
                <w:bCs/>
                <w:color w:val="auto"/>
                <w:sz w:val="24"/>
                <w:szCs w:val="24"/>
                <w:highlight w:val="none"/>
                <w:lang w:eastAsia="zh-CN"/>
              </w:rPr>
              <w:t>整体餐饮服务实施方案：</w:t>
            </w:r>
          </w:p>
          <w:p w14:paraId="10E95F03">
            <w:pPr>
              <w:widowControl/>
              <w:numPr>
                <w:ilvl w:val="0"/>
                <w:numId w:val="7"/>
              </w:numPr>
              <w:spacing w:line="240" w:lineRule="auto"/>
              <w:ind w:leftChars="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评审内容 根据供应商针对本项目的管理服务措施，具有规范的管理服务流程，（包含但不限于：①管理架构；②工作流程；③自检制度；④消毒管理方案；⑤卫生管理），按其响应程度进行综合赋分。 </w:t>
            </w:r>
          </w:p>
          <w:p w14:paraId="42E50497">
            <w:pPr>
              <w:widowControl/>
              <w:numPr>
                <w:ilvl w:val="0"/>
                <w:numId w:val="7"/>
              </w:numPr>
              <w:spacing w:line="240" w:lineRule="auto"/>
              <w:ind w:left="0" w:leftChars="0" w:firstLine="0" w:firstLineChars="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评审标准 完整性：方案须全面，对评审内容中的各项要求有详细描述及说明； 可实施性：切合本项目实际情况，实施步骤清晰、合理； 针对性：方案能够紧扣项目实际情况，内容科学合理。 </w:t>
            </w:r>
          </w:p>
          <w:p w14:paraId="150FDF98">
            <w:pPr>
              <w:widowControl/>
              <w:numPr>
                <w:ilvl w:val="0"/>
                <w:numId w:val="0"/>
              </w:numPr>
              <w:spacing w:line="240" w:lineRule="auto"/>
              <w:ind w:leftChars="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三、赋分标准 1、供应商制定的方案对项目要求理解准确，内容齐全、结构完整、表述准确、条理清晰得1</w:t>
            </w:r>
            <w:r>
              <w:rPr>
                <w:rFonts w:hint="eastAsia" w:hAnsi="宋体" w:cs="宋体"/>
                <w:color w:val="auto"/>
                <w:highlight w:val="none"/>
                <w:lang w:val="en-US" w:eastAsia="zh-CN"/>
              </w:rPr>
              <w:t>5</w:t>
            </w:r>
            <w:r>
              <w:rPr>
                <w:rFonts w:hint="eastAsia" w:ascii="宋体" w:hAnsi="宋体" w:eastAsia="宋体" w:cs="宋体"/>
                <w:color w:val="auto"/>
                <w:highlight w:val="none"/>
                <w:lang w:val="en-US" w:eastAsia="zh-CN"/>
              </w:rPr>
              <w:t>.0分，评审内容每缺失一项，扣3.0分。 2、根据评审标准对供应商方案进行评审，每项评审内容有一处存在缺陷的扣1.0分。 备注：缺陷是指内容不合理、虽有内容但不完善、内容表述前后不一致、套用其他项目方案或与项目需求不匹配及其他不利于项目实施的等任意一种情形。</w:t>
            </w:r>
          </w:p>
        </w:tc>
        <w:tc>
          <w:tcPr>
            <w:tcW w:w="449" w:type="pct"/>
            <w:vAlign w:val="center"/>
          </w:tcPr>
          <w:p w14:paraId="11494037">
            <w:pPr>
              <w:spacing w:line="240" w:lineRule="auto"/>
              <w:jc w:val="center"/>
              <w:rPr>
                <w:rFonts w:hint="eastAsia" w:ascii="宋体" w:hAnsi="宋体" w:eastAsia="宋体" w:cs="宋体"/>
                <w:color w:val="auto"/>
                <w:szCs w:val="24"/>
                <w:highlight w:val="none"/>
              </w:rPr>
            </w:pPr>
            <w:r>
              <w:rPr>
                <w:rFonts w:hint="eastAsia" w:hAnsi="宋体" w:cs="宋体"/>
                <w:color w:val="auto"/>
                <w:highlight w:val="none"/>
                <w:lang w:val="en-US" w:eastAsia="zh-CN"/>
              </w:rPr>
              <w:t>15</w:t>
            </w:r>
            <w:r>
              <w:rPr>
                <w:rFonts w:hint="eastAsia" w:ascii="宋体" w:hAnsi="宋体" w:eastAsia="宋体" w:cs="宋体"/>
                <w:color w:val="auto"/>
                <w:highlight w:val="none"/>
              </w:rPr>
              <w:t>分</w:t>
            </w:r>
          </w:p>
        </w:tc>
        <w:tc>
          <w:tcPr>
            <w:tcW w:w="442" w:type="pct"/>
            <w:vMerge w:val="continue"/>
            <w:vAlign w:val="center"/>
          </w:tcPr>
          <w:p w14:paraId="74613C3C">
            <w:pPr>
              <w:spacing w:line="240" w:lineRule="auto"/>
              <w:jc w:val="center"/>
              <w:rPr>
                <w:rFonts w:hint="eastAsia" w:ascii="宋体" w:hAnsi="宋体" w:eastAsia="宋体" w:cs="宋体"/>
                <w:color w:val="auto"/>
                <w:sz w:val="21"/>
                <w:szCs w:val="21"/>
                <w:highlight w:val="none"/>
              </w:rPr>
            </w:pPr>
          </w:p>
        </w:tc>
      </w:tr>
      <w:tr w14:paraId="41F68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 w:hRule="atLeast"/>
          <w:jc w:val="center"/>
        </w:trPr>
        <w:tc>
          <w:tcPr>
            <w:tcW w:w="430" w:type="pct"/>
            <w:vMerge w:val="continue"/>
            <w:vAlign w:val="center"/>
          </w:tcPr>
          <w:p w14:paraId="7B41735B">
            <w:pPr>
              <w:spacing w:line="240" w:lineRule="auto"/>
              <w:rPr>
                <w:rFonts w:hint="eastAsia" w:ascii="宋体" w:hAnsi="宋体" w:eastAsia="宋体" w:cs="宋体"/>
                <w:b/>
                <w:color w:val="auto"/>
                <w:szCs w:val="24"/>
                <w:highlight w:val="none"/>
              </w:rPr>
            </w:pPr>
          </w:p>
        </w:tc>
        <w:tc>
          <w:tcPr>
            <w:tcW w:w="392" w:type="pct"/>
            <w:vMerge w:val="continue"/>
            <w:vAlign w:val="center"/>
          </w:tcPr>
          <w:p w14:paraId="39350BD8">
            <w:pPr>
              <w:spacing w:line="240" w:lineRule="auto"/>
              <w:rPr>
                <w:rFonts w:hint="eastAsia" w:ascii="宋体" w:hAnsi="宋体" w:eastAsia="宋体" w:cs="宋体"/>
                <w:b/>
                <w:bCs/>
                <w:color w:val="auto"/>
                <w:szCs w:val="24"/>
                <w:highlight w:val="none"/>
              </w:rPr>
            </w:pPr>
          </w:p>
        </w:tc>
        <w:tc>
          <w:tcPr>
            <w:tcW w:w="3286" w:type="pct"/>
            <w:vAlign w:val="center"/>
          </w:tcPr>
          <w:p w14:paraId="230E8610">
            <w:pPr>
              <w:pStyle w:val="29"/>
              <w:keepNext w:val="0"/>
              <w:keepLines w:val="0"/>
              <w:pageBreakBefore w:val="0"/>
              <w:numPr>
                <w:ilvl w:val="0"/>
                <w:numId w:val="0"/>
              </w:numPr>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应急预案：</w:t>
            </w:r>
          </w:p>
          <w:p w14:paraId="18650AAD">
            <w:pPr>
              <w:pStyle w:val="29"/>
              <w:keepNext w:val="0"/>
              <w:keepLines w:val="0"/>
              <w:pageBreakBefore w:val="0"/>
              <w:numPr>
                <w:ilvl w:val="0"/>
                <w:numId w:val="8"/>
              </w:numPr>
              <w:kinsoku/>
              <w:wordWrap/>
              <w:overflowPunct/>
              <w:topLinePunct w:val="0"/>
              <w:autoSpaceDE/>
              <w:autoSpaceDN/>
              <w:bidi w:val="0"/>
              <w:adjustRightInd/>
              <w:snapToGrid/>
              <w:spacing w:line="240" w:lineRule="auto"/>
              <w:textAlignment w:val="auto"/>
              <w:rPr>
                <w:rFonts w:hint="default" w:ascii="宋体" w:hAnsi="宋体" w:eastAsia="宋体" w:cs="宋体"/>
                <w:color w:val="auto"/>
                <w:kern w:val="0"/>
                <w:sz w:val="24"/>
                <w:szCs w:val="20"/>
                <w:highlight w:val="none"/>
                <w:lang w:val="en-US" w:eastAsia="zh-CN" w:bidi="ar-SA"/>
              </w:rPr>
            </w:pPr>
            <w:r>
              <w:rPr>
                <w:rFonts w:hint="default" w:ascii="宋体" w:hAnsi="宋体" w:eastAsia="宋体" w:cs="宋体"/>
                <w:color w:val="auto"/>
                <w:kern w:val="0"/>
                <w:sz w:val="24"/>
                <w:szCs w:val="20"/>
                <w:highlight w:val="none"/>
                <w:lang w:val="en-US" w:eastAsia="zh-CN" w:bidi="ar-SA"/>
              </w:rPr>
              <w:t>评审内容 针对采购需求提出适用于本项目的应急处理方案，方案包括：①突发事件；②停水停电供餐预案；③火灾、中暑应急预；④传染病防治应急预案；⑤食物中毒应急预案</w:t>
            </w:r>
          </w:p>
          <w:p w14:paraId="74DC5729">
            <w:pPr>
              <w:pStyle w:val="29"/>
              <w:keepNext w:val="0"/>
              <w:keepLines w:val="0"/>
              <w:pageBreakBefore w:val="0"/>
              <w:numPr>
                <w:ilvl w:val="0"/>
                <w:numId w:val="8"/>
              </w:numPr>
              <w:kinsoku/>
              <w:wordWrap/>
              <w:overflowPunct/>
              <w:topLinePunct w:val="0"/>
              <w:autoSpaceDE/>
              <w:autoSpaceDN/>
              <w:bidi w:val="0"/>
              <w:adjustRightInd/>
              <w:snapToGrid/>
              <w:spacing w:line="240" w:lineRule="auto"/>
              <w:ind w:left="0" w:leftChars="0" w:firstLine="0" w:firstLineChars="0"/>
              <w:textAlignment w:val="auto"/>
              <w:rPr>
                <w:rFonts w:hint="default" w:ascii="宋体" w:hAnsi="宋体" w:eastAsia="宋体" w:cs="宋体"/>
                <w:color w:val="auto"/>
                <w:kern w:val="0"/>
                <w:sz w:val="24"/>
                <w:szCs w:val="20"/>
                <w:highlight w:val="none"/>
                <w:lang w:val="en-US" w:eastAsia="zh-CN" w:bidi="ar-SA"/>
              </w:rPr>
            </w:pPr>
            <w:r>
              <w:rPr>
                <w:rFonts w:hint="default" w:ascii="宋体" w:hAnsi="宋体" w:eastAsia="宋体" w:cs="宋体"/>
                <w:color w:val="auto"/>
                <w:kern w:val="0"/>
                <w:sz w:val="24"/>
                <w:szCs w:val="20"/>
                <w:highlight w:val="none"/>
                <w:lang w:val="en-US" w:eastAsia="zh-CN" w:bidi="ar-SA"/>
              </w:rPr>
              <w:t xml:space="preserve">评审标准 1、完整性：方案必须全面，对评审内容中的各项要求有详细描述； 2、可实施性：切合本项目实际情况，提出步骤清晰、合理的方案； 3、针对性：方案能够紧扣项目实际情况，内容科学合理。 </w:t>
            </w:r>
          </w:p>
          <w:p w14:paraId="43162A9D">
            <w:pPr>
              <w:pStyle w:val="29"/>
              <w:keepNext w:val="0"/>
              <w:keepLines w:val="0"/>
              <w:pageBreakBefore w:val="0"/>
              <w:numPr>
                <w:ilvl w:val="0"/>
                <w:numId w:val="0"/>
              </w:numPr>
              <w:kinsoku/>
              <w:wordWrap/>
              <w:overflowPunct/>
              <w:topLinePunct w:val="0"/>
              <w:autoSpaceDE/>
              <w:autoSpaceDN/>
              <w:bidi w:val="0"/>
              <w:adjustRightInd/>
              <w:snapToGrid/>
              <w:spacing w:line="240" w:lineRule="auto"/>
              <w:ind w:leftChars="0"/>
              <w:textAlignment w:val="auto"/>
              <w:rPr>
                <w:rFonts w:hint="default" w:ascii="宋体" w:hAnsi="宋体" w:eastAsia="宋体" w:cs="宋体"/>
                <w:color w:val="auto"/>
                <w:sz w:val="24"/>
                <w:highlight w:val="none"/>
                <w:lang w:val="en-US" w:eastAsia="zh-CN" w:bidi="ar-SA"/>
              </w:rPr>
            </w:pPr>
            <w:r>
              <w:rPr>
                <w:rFonts w:hint="default" w:ascii="宋体" w:hAnsi="宋体" w:eastAsia="宋体" w:cs="宋体"/>
                <w:color w:val="auto"/>
                <w:kern w:val="0"/>
                <w:sz w:val="24"/>
                <w:szCs w:val="20"/>
                <w:highlight w:val="none"/>
                <w:lang w:val="en-US" w:eastAsia="zh-CN" w:bidi="ar-SA"/>
              </w:rPr>
              <w:t>三、赋分标准（满分15分） ①突发事件：每完全满足一个评审标准得1分，满分3分</w:t>
            </w:r>
            <w:r>
              <w:rPr>
                <w:rFonts w:hint="eastAsia" w:ascii="宋体" w:hAnsi="宋体" w:eastAsia="宋体" w:cs="宋体"/>
                <w:color w:val="auto"/>
                <w:kern w:val="0"/>
                <w:sz w:val="24"/>
                <w:szCs w:val="20"/>
                <w:highlight w:val="none"/>
                <w:lang w:val="en-US" w:eastAsia="zh-CN" w:bidi="ar-SA"/>
              </w:rPr>
              <w:t>，</w:t>
            </w:r>
            <w:r>
              <w:rPr>
                <w:rFonts w:hint="default" w:ascii="宋体" w:hAnsi="宋体" w:eastAsia="宋体" w:cs="宋体"/>
                <w:color w:val="auto"/>
                <w:kern w:val="0"/>
                <w:sz w:val="24"/>
                <w:szCs w:val="20"/>
                <w:highlight w:val="none"/>
                <w:lang w:val="en-US" w:eastAsia="zh-CN" w:bidi="ar-SA"/>
              </w:rPr>
              <w:t xml:space="preserve">每有一处内容存在缺陷，扣 </w:t>
            </w:r>
            <w:r>
              <w:rPr>
                <w:rFonts w:hint="eastAsia" w:ascii="宋体" w:hAnsi="宋体" w:eastAsia="宋体" w:cs="宋体"/>
                <w:color w:val="auto"/>
                <w:kern w:val="0"/>
                <w:sz w:val="24"/>
                <w:szCs w:val="20"/>
                <w:highlight w:val="none"/>
                <w:lang w:val="en-US" w:eastAsia="zh-CN" w:bidi="ar-SA"/>
              </w:rPr>
              <w:t>1</w:t>
            </w:r>
            <w:r>
              <w:rPr>
                <w:rFonts w:hint="default" w:ascii="宋体" w:hAnsi="宋体" w:eastAsia="宋体" w:cs="宋体"/>
                <w:color w:val="auto"/>
                <w:kern w:val="0"/>
                <w:sz w:val="24"/>
                <w:szCs w:val="20"/>
                <w:highlight w:val="none"/>
                <w:lang w:val="en-US" w:eastAsia="zh-CN" w:bidi="ar-SA"/>
              </w:rPr>
              <w:t>分； ②停水停电供餐预案：每完全满足一个评审标准得1分，满分3分</w:t>
            </w:r>
            <w:r>
              <w:rPr>
                <w:rFonts w:hint="eastAsia" w:ascii="宋体" w:hAnsi="宋体" w:eastAsia="宋体" w:cs="宋体"/>
                <w:color w:val="auto"/>
                <w:kern w:val="0"/>
                <w:sz w:val="24"/>
                <w:szCs w:val="20"/>
                <w:highlight w:val="none"/>
                <w:lang w:val="en-US" w:eastAsia="zh-CN" w:bidi="ar-SA"/>
              </w:rPr>
              <w:t>，</w:t>
            </w:r>
            <w:r>
              <w:rPr>
                <w:rFonts w:hint="default" w:ascii="宋体" w:hAnsi="宋体" w:eastAsia="宋体" w:cs="宋体"/>
                <w:color w:val="auto"/>
                <w:kern w:val="0"/>
                <w:sz w:val="24"/>
                <w:szCs w:val="20"/>
                <w:highlight w:val="none"/>
                <w:lang w:val="en-US" w:eastAsia="zh-CN" w:bidi="ar-SA"/>
              </w:rPr>
              <w:t xml:space="preserve">每有一处内容存在缺陷，扣 </w:t>
            </w:r>
            <w:r>
              <w:rPr>
                <w:rFonts w:hint="eastAsia" w:ascii="宋体" w:hAnsi="宋体" w:eastAsia="宋体" w:cs="宋体"/>
                <w:color w:val="auto"/>
                <w:kern w:val="0"/>
                <w:sz w:val="24"/>
                <w:szCs w:val="20"/>
                <w:highlight w:val="none"/>
                <w:lang w:val="en-US" w:eastAsia="zh-CN" w:bidi="ar-SA"/>
              </w:rPr>
              <w:t>1</w:t>
            </w:r>
            <w:r>
              <w:rPr>
                <w:rFonts w:hint="default" w:ascii="宋体" w:hAnsi="宋体" w:eastAsia="宋体" w:cs="宋体"/>
                <w:color w:val="auto"/>
                <w:kern w:val="0"/>
                <w:sz w:val="24"/>
                <w:szCs w:val="20"/>
                <w:highlight w:val="none"/>
                <w:lang w:val="en-US" w:eastAsia="zh-CN" w:bidi="ar-SA"/>
              </w:rPr>
              <w:t>分； ③火灾、中暑应急预：每完全满足一个评审标准得1分，满分3分</w:t>
            </w:r>
            <w:r>
              <w:rPr>
                <w:rFonts w:hint="eastAsia" w:ascii="宋体" w:hAnsi="宋体" w:eastAsia="宋体" w:cs="宋体"/>
                <w:color w:val="auto"/>
                <w:kern w:val="0"/>
                <w:sz w:val="24"/>
                <w:szCs w:val="20"/>
                <w:highlight w:val="none"/>
                <w:lang w:val="en-US" w:eastAsia="zh-CN" w:bidi="ar-SA"/>
              </w:rPr>
              <w:t>，</w:t>
            </w:r>
            <w:r>
              <w:rPr>
                <w:rFonts w:hint="default" w:ascii="宋体" w:hAnsi="宋体" w:eastAsia="宋体" w:cs="宋体"/>
                <w:color w:val="auto"/>
                <w:kern w:val="0"/>
                <w:sz w:val="24"/>
                <w:szCs w:val="20"/>
                <w:highlight w:val="none"/>
                <w:lang w:val="en-US" w:eastAsia="zh-CN" w:bidi="ar-SA"/>
              </w:rPr>
              <w:t xml:space="preserve">每有一处内容存在缺陷，扣 </w:t>
            </w:r>
            <w:r>
              <w:rPr>
                <w:rFonts w:hint="eastAsia" w:ascii="宋体" w:hAnsi="宋体" w:eastAsia="宋体" w:cs="宋体"/>
                <w:color w:val="auto"/>
                <w:kern w:val="0"/>
                <w:sz w:val="24"/>
                <w:szCs w:val="20"/>
                <w:highlight w:val="none"/>
                <w:lang w:val="en-US" w:eastAsia="zh-CN" w:bidi="ar-SA"/>
              </w:rPr>
              <w:t>1</w:t>
            </w:r>
            <w:r>
              <w:rPr>
                <w:rFonts w:hint="default" w:ascii="宋体" w:hAnsi="宋体" w:eastAsia="宋体" w:cs="宋体"/>
                <w:color w:val="auto"/>
                <w:kern w:val="0"/>
                <w:sz w:val="24"/>
                <w:szCs w:val="20"/>
                <w:highlight w:val="none"/>
                <w:lang w:val="en-US" w:eastAsia="zh-CN" w:bidi="ar-SA"/>
              </w:rPr>
              <w:t>分； ④传染病防治应急预案：每完全满足一个评审标准得1分，满分3分</w:t>
            </w:r>
            <w:r>
              <w:rPr>
                <w:rFonts w:hint="eastAsia" w:ascii="宋体" w:hAnsi="宋体" w:eastAsia="宋体" w:cs="宋体"/>
                <w:color w:val="auto"/>
                <w:kern w:val="0"/>
                <w:sz w:val="24"/>
                <w:szCs w:val="20"/>
                <w:highlight w:val="none"/>
                <w:lang w:val="en-US" w:eastAsia="zh-CN" w:bidi="ar-SA"/>
              </w:rPr>
              <w:t>，</w:t>
            </w:r>
            <w:r>
              <w:rPr>
                <w:rFonts w:hint="default" w:ascii="宋体" w:hAnsi="宋体" w:eastAsia="宋体" w:cs="宋体"/>
                <w:color w:val="auto"/>
                <w:kern w:val="0"/>
                <w:sz w:val="24"/>
                <w:szCs w:val="20"/>
                <w:highlight w:val="none"/>
                <w:lang w:val="en-US" w:eastAsia="zh-CN" w:bidi="ar-SA"/>
              </w:rPr>
              <w:t xml:space="preserve">每有一处内容存在缺陷，扣 </w:t>
            </w:r>
            <w:r>
              <w:rPr>
                <w:rFonts w:hint="eastAsia" w:ascii="宋体" w:hAnsi="宋体" w:eastAsia="宋体" w:cs="宋体"/>
                <w:color w:val="auto"/>
                <w:kern w:val="0"/>
                <w:sz w:val="24"/>
                <w:szCs w:val="20"/>
                <w:highlight w:val="none"/>
                <w:lang w:val="en-US" w:eastAsia="zh-CN" w:bidi="ar-SA"/>
              </w:rPr>
              <w:t>1</w:t>
            </w:r>
            <w:r>
              <w:rPr>
                <w:rFonts w:hint="default" w:ascii="宋体" w:hAnsi="宋体" w:eastAsia="宋体" w:cs="宋体"/>
                <w:color w:val="auto"/>
                <w:kern w:val="0"/>
                <w:sz w:val="24"/>
                <w:szCs w:val="20"/>
                <w:highlight w:val="none"/>
                <w:lang w:val="en-US" w:eastAsia="zh-CN" w:bidi="ar-SA"/>
              </w:rPr>
              <w:t>分； ⑤食物中毒应急预案：每完全满足一个评审标准得1分，满分3分</w:t>
            </w:r>
            <w:r>
              <w:rPr>
                <w:rFonts w:hint="eastAsia" w:ascii="宋体" w:hAnsi="宋体" w:eastAsia="宋体" w:cs="宋体"/>
                <w:color w:val="auto"/>
                <w:kern w:val="0"/>
                <w:sz w:val="24"/>
                <w:szCs w:val="20"/>
                <w:highlight w:val="none"/>
                <w:lang w:val="en-US" w:eastAsia="zh-CN" w:bidi="ar-SA"/>
              </w:rPr>
              <w:t>，</w:t>
            </w:r>
            <w:r>
              <w:rPr>
                <w:rFonts w:hint="default" w:ascii="宋体" w:hAnsi="宋体" w:eastAsia="宋体" w:cs="宋体"/>
                <w:color w:val="auto"/>
                <w:kern w:val="0"/>
                <w:sz w:val="24"/>
                <w:szCs w:val="20"/>
                <w:highlight w:val="none"/>
                <w:lang w:val="en-US" w:eastAsia="zh-CN" w:bidi="ar-SA"/>
              </w:rPr>
              <w:t xml:space="preserve">每有一处内容存在缺陷，扣 </w:t>
            </w:r>
            <w:r>
              <w:rPr>
                <w:rFonts w:hint="eastAsia" w:ascii="宋体" w:hAnsi="宋体" w:eastAsia="宋体" w:cs="宋体"/>
                <w:color w:val="auto"/>
                <w:kern w:val="0"/>
                <w:sz w:val="24"/>
                <w:szCs w:val="20"/>
                <w:highlight w:val="none"/>
                <w:lang w:val="en-US" w:eastAsia="zh-CN" w:bidi="ar-SA"/>
              </w:rPr>
              <w:t>1</w:t>
            </w:r>
            <w:r>
              <w:rPr>
                <w:rFonts w:hint="default" w:ascii="宋体" w:hAnsi="宋体" w:eastAsia="宋体" w:cs="宋体"/>
                <w:color w:val="auto"/>
                <w:kern w:val="0"/>
                <w:sz w:val="24"/>
                <w:szCs w:val="20"/>
                <w:highlight w:val="none"/>
                <w:lang w:val="en-US" w:eastAsia="zh-CN" w:bidi="ar-SA"/>
              </w:rPr>
              <w:t>分。</w:t>
            </w:r>
          </w:p>
        </w:tc>
        <w:tc>
          <w:tcPr>
            <w:tcW w:w="449" w:type="pct"/>
            <w:vAlign w:val="center"/>
          </w:tcPr>
          <w:p w14:paraId="35B9BCA3">
            <w:pPr>
              <w:spacing w:line="240" w:lineRule="auto"/>
              <w:jc w:val="center"/>
              <w:rPr>
                <w:rFonts w:hint="eastAsia" w:ascii="宋体" w:hAnsi="宋体" w:eastAsia="宋体" w:cs="宋体"/>
                <w:color w:val="auto"/>
                <w:szCs w:val="24"/>
                <w:highlight w:val="none"/>
                <w:lang w:val="en-US"/>
              </w:rPr>
            </w:pPr>
            <w:r>
              <w:rPr>
                <w:rFonts w:hint="eastAsia" w:hAnsi="宋体" w:cs="宋体"/>
                <w:color w:val="auto"/>
                <w:highlight w:val="none"/>
                <w:lang w:val="en-US" w:eastAsia="zh-CN"/>
              </w:rPr>
              <w:t>15</w:t>
            </w:r>
            <w:r>
              <w:rPr>
                <w:rFonts w:hint="eastAsia" w:ascii="宋体" w:hAnsi="宋体" w:eastAsia="宋体" w:cs="宋体"/>
                <w:color w:val="auto"/>
                <w:highlight w:val="none"/>
                <w:lang w:val="en-US" w:eastAsia="zh-CN"/>
              </w:rPr>
              <w:t>分</w:t>
            </w:r>
          </w:p>
        </w:tc>
        <w:tc>
          <w:tcPr>
            <w:tcW w:w="442" w:type="pct"/>
            <w:vMerge w:val="continue"/>
            <w:vAlign w:val="center"/>
          </w:tcPr>
          <w:p w14:paraId="6F136F19">
            <w:pPr>
              <w:spacing w:line="240" w:lineRule="auto"/>
              <w:jc w:val="center"/>
              <w:rPr>
                <w:rFonts w:hint="eastAsia" w:ascii="宋体" w:hAnsi="宋体" w:eastAsia="宋体" w:cs="宋体"/>
                <w:color w:val="auto"/>
                <w:sz w:val="21"/>
                <w:szCs w:val="21"/>
                <w:highlight w:val="none"/>
              </w:rPr>
            </w:pPr>
          </w:p>
        </w:tc>
      </w:tr>
      <w:tr w14:paraId="0EBD7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430" w:type="pct"/>
            <w:vMerge w:val="continue"/>
            <w:vAlign w:val="center"/>
          </w:tcPr>
          <w:p w14:paraId="58401807">
            <w:pPr>
              <w:spacing w:line="240" w:lineRule="auto"/>
              <w:rPr>
                <w:rFonts w:hint="eastAsia" w:ascii="宋体" w:hAnsi="宋体" w:eastAsia="宋体" w:cs="宋体"/>
                <w:b/>
                <w:color w:val="auto"/>
                <w:szCs w:val="24"/>
                <w:highlight w:val="none"/>
              </w:rPr>
            </w:pPr>
          </w:p>
        </w:tc>
        <w:tc>
          <w:tcPr>
            <w:tcW w:w="392" w:type="pct"/>
            <w:vMerge w:val="continue"/>
            <w:vAlign w:val="center"/>
          </w:tcPr>
          <w:p w14:paraId="044A80A4">
            <w:pPr>
              <w:spacing w:line="240" w:lineRule="auto"/>
              <w:rPr>
                <w:rFonts w:hint="eastAsia" w:ascii="宋体" w:hAnsi="宋体" w:eastAsia="宋体" w:cs="宋体"/>
                <w:b/>
                <w:bCs/>
                <w:color w:val="auto"/>
                <w:szCs w:val="24"/>
                <w:highlight w:val="none"/>
              </w:rPr>
            </w:pPr>
          </w:p>
        </w:tc>
        <w:tc>
          <w:tcPr>
            <w:tcW w:w="3286" w:type="pct"/>
            <w:vAlign w:val="center"/>
          </w:tcPr>
          <w:p w14:paraId="375E854A">
            <w:pPr>
              <w:pStyle w:val="29"/>
              <w:keepNext w:val="0"/>
              <w:keepLines w:val="0"/>
              <w:pageBreakBefore w:val="0"/>
              <w:numPr>
                <w:ilvl w:val="0"/>
                <w:numId w:val="0"/>
              </w:numPr>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食品安全与卫生管理方案：</w:t>
            </w:r>
          </w:p>
          <w:p w14:paraId="15ACBC0E">
            <w:pPr>
              <w:pStyle w:val="29"/>
              <w:keepNext w:val="0"/>
              <w:keepLines w:val="0"/>
              <w:pageBreakBefore w:val="0"/>
              <w:numPr>
                <w:ilvl w:val="0"/>
                <w:numId w:val="9"/>
              </w:numPr>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评审内容 针对采购需求提出适用于本项目的应急处理方案，方案包括：①食品安全体系；②安全卫生管理措施；③食品安全培训与监督。 </w:t>
            </w:r>
          </w:p>
          <w:p w14:paraId="1BCB3FD1">
            <w:pPr>
              <w:pStyle w:val="29"/>
              <w:keepNext w:val="0"/>
              <w:keepLines w:val="0"/>
              <w:pageBreakBefore w:val="0"/>
              <w:numPr>
                <w:ilvl w:val="0"/>
                <w:numId w:val="9"/>
              </w:numPr>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评审标准 1、完整性：方案必须全面，对评审内容中的各项要求有详细描述； 2、可实施性：切合本项目实际情况，提出步骤清晰、合理的方案； 3、针对性：方案能够紧扣项目实际情况，内容科学合理。 </w:t>
            </w:r>
          </w:p>
          <w:p w14:paraId="3884EE04">
            <w:pPr>
              <w:pStyle w:val="29"/>
              <w:keepNext w:val="0"/>
              <w:keepLines w:val="0"/>
              <w:pageBreakBefore w:val="0"/>
              <w:numPr>
                <w:ilvl w:val="0"/>
                <w:numId w:val="0"/>
              </w:numPr>
              <w:kinsoku/>
              <w:wordWrap/>
              <w:overflowPunct/>
              <w:topLinePunct w:val="0"/>
              <w:autoSpaceDE/>
              <w:autoSpaceDN/>
              <w:bidi w:val="0"/>
              <w:adjustRightInd/>
              <w:snapToGrid/>
              <w:spacing w:line="240" w:lineRule="auto"/>
              <w:ind w:left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三、赋分标准（满分9分） ①食品安全体系：每完全满足一个评审标准得1分，满分3分</w:t>
            </w:r>
            <w:r>
              <w:rPr>
                <w:rFonts w:hint="eastAsia" w:ascii="宋体" w:hAnsi="宋体" w:eastAsia="宋体" w:cs="宋体"/>
                <w:color w:val="auto"/>
                <w:kern w:val="0"/>
                <w:sz w:val="24"/>
                <w:szCs w:val="20"/>
                <w:highlight w:val="none"/>
                <w:lang w:val="en-US" w:eastAsia="zh-CN" w:bidi="ar-SA"/>
              </w:rPr>
              <w:t>，</w:t>
            </w:r>
            <w:r>
              <w:rPr>
                <w:rFonts w:hint="default" w:ascii="宋体" w:hAnsi="宋体" w:eastAsia="宋体" w:cs="宋体"/>
                <w:color w:val="auto"/>
                <w:kern w:val="0"/>
                <w:sz w:val="24"/>
                <w:szCs w:val="20"/>
                <w:highlight w:val="none"/>
                <w:lang w:val="en-US" w:eastAsia="zh-CN" w:bidi="ar-SA"/>
              </w:rPr>
              <w:t xml:space="preserve">每有一处内容存在缺陷，扣 </w:t>
            </w:r>
            <w:r>
              <w:rPr>
                <w:rFonts w:hint="eastAsia" w:ascii="宋体" w:hAnsi="宋体" w:eastAsia="宋体" w:cs="宋体"/>
                <w:color w:val="auto"/>
                <w:kern w:val="0"/>
                <w:sz w:val="24"/>
                <w:szCs w:val="20"/>
                <w:highlight w:val="none"/>
                <w:lang w:val="en-US" w:eastAsia="zh-CN" w:bidi="ar-SA"/>
              </w:rPr>
              <w:t>1</w:t>
            </w:r>
            <w:r>
              <w:rPr>
                <w:rFonts w:hint="default" w:ascii="宋体" w:hAnsi="宋体" w:eastAsia="宋体" w:cs="宋体"/>
                <w:color w:val="auto"/>
                <w:kern w:val="0"/>
                <w:sz w:val="24"/>
                <w:szCs w:val="20"/>
                <w:highlight w:val="none"/>
                <w:lang w:val="en-US" w:eastAsia="zh-CN" w:bidi="ar-SA"/>
              </w:rPr>
              <w:t>分</w:t>
            </w:r>
            <w:r>
              <w:rPr>
                <w:rFonts w:hint="eastAsia" w:ascii="宋体" w:hAnsi="宋体" w:eastAsia="宋体" w:cs="宋体"/>
                <w:color w:val="auto"/>
                <w:sz w:val="24"/>
                <w:szCs w:val="24"/>
                <w:highlight w:val="none"/>
                <w:lang w:val="en-US" w:eastAsia="zh-CN"/>
              </w:rPr>
              <w:t>； ②安全卫生管理措施：每完全满足一个评审标准得1分，满分3分</w:t>
            </w:r>
            <w:r>
              <w:rPr>
                <w:rFonts w:hint="eastAsia" w:ascii="宋体" w:hAnsi="宋体" w:eastAsia="宋体" w:cs="宋体"/>
                <w:color w:val="auto"/>
                <w:kern w:val="0"/>
                <w:sz w:val="24"/>
                <w:szCs w:val="20"/>
                <w:highlight w:val="none"/>
                <w:lang w:val="en-US" w:eastAsia="zh-CN" w:bidi="ar-SA"/>
              </w:rPr>
              <w:t>，</w:t>
            </w:r>
            <w:r>
              <w:rPr>
                <w:rFonts w:hint="default" w:ascii="宋体" w:hAnsi="宋体" w:eastAsia="宋体" w:cs="宋体"/>
                <w:color w:val="auto"/>
                <w:kern w:val="0"/>
                <w:sz w:val="24"/>
                <w:szCs w:val="20"/>
                <w:highlight w:val="none"/>
                <w:lang w:val="en-US" w:eastAsia="zh-CN" w:bidi="ar-SA"/>
              </w:rPr>
              <w:t xml:space="preserve">每有一处内容存在缺陷，扣 </w:t>
            </w:r>
            <w:r>
              <w:rPr>
                <w:rFonts w:hint="eastAsia" w:ascii="宋体" w:hAnsi="宋体" w:eastAsia="宋体" w:cs="宋体"/>
                <w:color w:val="auto"/>
                <w:kern w:val="0"/>
                <w:sz w:val="24"/>
                <w:szCs w:val="20"/>
                <w:highlight w:val="none"/>
                <w:lang w:val="en-US" w:eastAsia="zh-CN" w:bidi="ar-SA"/>
              </w:rPr>
              <w:t>1</w:t>
            </w:r>
            <w:r>
              <w:rPr>
                <w:rFonts w:hint="default" w:ascii="宋体" w:hAnsi="宋体" w:eastAsia="宋体" w:cs="宋体"/>
                <w:color w:val="auto"/>
                <w:kern w:val="0"/>
                <w:sz w:val="24"/>
                <w:szCs w:val="20"/>
                <w:highlight w:val="none"/>
                <w:lang w:val="en-US" w:eastAsia="zh-CN" w:bidi="ar-SA"/>
              </w:rPr>
              <w:t>分</w:t>
            </w:r>
            <w:r>
              <w:rPr>
                <w:rFonts w:hint="eastAsia" w:ascii="宋体" w:hAnsi="宋体" w:eastAsia="宋体" w:cs="宋体"/>
                <w:color w:val="auto"/>
                <w:sz w:val="24"/>
                <w:szCs w:val="24"/>
                <w:highlight w:val="none"/>
                <w:lang w:val="en-US" w:eastAsia="zh-CN"/>
              </w:rPr>
              <w:t>； ③食品安全培训与监督：每完全满足一个评审标准得1分，满分3分</w:t>
            </w:r>
            <w:r>
              <w:rPr>
                <w:rFonts w:hint="eastAsia" w:ascii="宋体" w:hAnsi="宋体" w:eastAsia="宋体" w:cs="宋体"/>
                <w:color w:val="auto"/>
                <w:kern w:val="0"/>
                <w:sz w:val="24"/>
                <w:szCs w:val="20"/>
                <w:highlight w:val="none"/>
                <w:lang w:val="en-US" w:eastAsia="zh-CN" w:bidi="ar-SA"/>
              </w:rPr>
              <w:t>，</w:t>
            </w:r>
            <w:r>
              <w:rPr>
                <w:rFonts w:hint="default" w:ascii="宋体" w:hAnsi="宋体" w:eastAsia="宋体" w:cs="宋体"/>
                <w:color w:val="auto"/>
                <w:kern w:val="0"/>
                <w:sz w:val="24"/>
                <w:szCs w:val="20"/>
                <w:highlight w:val="none"/>
                <w:lang w:val="en-US" w:eastAsia="zh-CN" w:bidi="ar-SA"/>
              </w:rPr>
              <w:t xml:space="preserve">每有一处内容存在缺陷，扣 </w:t>
            </w:r>
            <w:r>
              <w:rPr>
                <w:rFonts w:hint="eastAsia" w:ascii="宋体" w:hAnsi="宋体" w:eastAsia="宋体" w:cs="宋体"/>
                <w:color w:val="auto"/>
                <w:kern w:val="0"/>
                <w:sz w:val="24"/>
                <w:szCs w:val="20"/>
                <w:highlight w:val="none"/>
                <w:lang w:val="en-US" w:eastAsia="zh-CN" w:bidi="ar-SA"/>
              </w:rPr>
              <w:t>1</w:t>
            </w:r>
            <w:r>
              <w:rPr>
                <w:rFonts w:hint="default" w:ascii="宋体" w:hAnsi="宋体" w:eastAsia="宋体" w:cs="宋体"/>
                <w:color w:val="auto"/>
                <w:kern w:val="0"/>
                <w:sz w:val="24"/>
                <w:szCs w:val="20"/>
                <w:highlight w:val="none"/>
                <w:lang w:val="en-US" w:eastAsia="zh-CN" w:bidi="ar-SA"/>
              </w:rPr>
              <w:t>分</w:t>
            </w:r>
            <w:r>
              <w:rPr>
                <w:rFonts w:hint="eastAsia" w:ascii="宋体" w:hAnsi="宋体" w:eastAsia="宋体" w:cs="宋体"/>
                <w:color w:val="auto"/>
                <w:sz w:val="24"/>
                <w:szCs w:val="24"/>
                <w:highlight w:val="none"/>
                <w:lang w:val="en-US" w:eastAsia="zh-CN"/>
              </w:rPr>
              <w:t>。</w:t>
            </w:r>
          </w:p>
        </w:tc>
        <w:tc>
          <w:tcPr>
            <w:tcW w:w="449" w:type="pct"/>
            <w:vAlign w:val="center"/>
          </w:tcPr>
          <w:p w14:paraId="2E2804F3">
            <w:pPr>
              <w:spacing w:line="240" w:lineRule="auto"/>
              <w:jc w:val="center"/>
              <w:rPr>
                <w:rFonts w:hint="eastAsia" w:ascii="宋体" w:hAnsi="宋体" w:eastAsia="宋体" w:cs="宋体"/>
                <w:color w:val="auto"/>
                <w:szCs w:val="24"/>
                <w:highlight w:val="none"/>
              </w:rPr>
            </w:pPr>
            <w:r>
              <w:rPr>
                <w:rFonts w:hint="eastAsia" w:hAnsi="宋体" w:cs="宋体"/>
                <w:color w:val="auto"/>
                <w:szCs w:val="24"/>
                <w:highlight w:val="none"/>
                <w:lang w:val="en-US" w:eastAsia="zh-CN"/>
              </w:rPr>
              <w:t>9</w:t>
            </w:r>
            <w:r>
              <w:rPr>
                <w:rFonts w:hint="eastAsia" w:ascii="宋体" w:hAnsi="宋体" w:eastAsia="宋体" w:cs="宋体"/>
                <w:color w:val="auto"/>
                <w:szCs w:val="24"/>
                <w:highlight w:val="none"/>
              </w:rPr>
              <w:t>分</w:t>
            </w:r>
          </w:p>
        </w:tc>
        <w:tc>
          <w:tcPr>
            <w:tcW w:w="442" w:type="pct"/>
            <w:vMerge w:val="continue"/>
            <w:vAlign w:val="center"/>
          </w:tcPr>
          <w:p w14:paraId="7E8247F6">
            <w:pPr>
              <w:spacing w:line="240" w:lineRule="auto"/>
              <w:jc w:val="center"/>
              <w:rPr>
                <w:rFonts w:hint="eastAsia" w:ascii="宋体" w:hAnsi="宋体" w:eastAsia="宋体" w:cs="宋体"/>
                <w:color w:val="auto"/>
                <w:sz w:val="21"/>
                <w:szCs w:val="21"/>
                <w:highlight w:val="none"/>
              </w:rPr>
            </w:pPr>
          </w:p>
        </w:tc>
      </w:tr>
      <w:tr w14:paraId="20F596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3" w:hRule="atLeast"/>
          <w:jc w:val="center"/>
        </w:trPr>
        <w:tc>
          <w:tcPr>
            <w:tcW w:w="430" w:type="pct"/>
            <w:vMerge w:val="continue"/>
            <w:vAlign w:val="center"/>
          </w:tcPr>
          <w:p w14:paraId="31B1D6D9">
            <w:pPr>
              <w:spacing w:line="240" w:lineRule="auto"/>
              <w:rPr>
                <w:rFonts w:hint="eastAsia" w:ascii="宋体" w:hAnsi="宋体" w:eastAsia="宋体" w:cs="宋体"/>
                <w:b/>
                <w:color w:val="auto"/>
                <w:szCs w:val="24"/>
                <w:highlight w:val="none"/>
              </w:rPr>
            </w:pPr>
          </w:p>
        </w:tc>
        <w:tc>
          <w:tcPr>
            <w:tcW w:w="392" w:type="pct"/>
            <w:vMerge w:val="continue"/>
            <w:vAlign w:val="center"/>
          </w:tcPr>
          <w:p w14:paraId="5465A54E">
            <w:pPr>
              <w:spacing w:line="240" w:lineRule="auto"/>
              <w:rPr>
                <w:rFonts w:hint="eastAsia" w:ascii="宋体" w:hAnsi="宋体" w:eastAsia="宋体" w:cs="宋体"/>
                <w:b/>
                <w:bCs/>
                <w:color w:val="auto"/>
                <w:szCs w:val="24"/>
                <w:highlight w:val="none"/>
              </w:rPr>
            </w:pPr>
          </w:p>
        </w:tc>
        <w:tc>
          <w:tcPr>
            <w:tcW w:w="3286" w:type="pct"/>
            <w:vAlign w:val="center"/>
          </w:tcPr>
          <w:p w14:paraId="6C8408A6">
            <w:pPr>
              <w:pStyle w:val="29"/>
              <w:keepNext w:val="0"/>
              <w:keepLines w:val="0"/>
              <w:pageBreakBefore w:val="0"/>
              <w:numPr>
                <w:ilvl w:val="0"/>
                <w:numId w:val="0"/>
              </w:numPr>
              <w:kinsoku/>
              <w:wordWrap/>
              <w:overflowPunct/>
              <w:topLinePunct w:val="0"/>
              <w:autoSpaceDE/>
              <w:autoSpaceDN/>
              <w:bidi w:val="0"/>
              <w:adjustRightInd/>
              <w:snapToGrid/>
              <w:spacing w:line="240" w:lineRule="auto"/>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劳保与工器具配置：</w:t>
            </w:r>
          </w:p>
          <w:p w14:paraId="29CD90A6">
            <w:pPr>
              <w:pStyle w:val="29"/>
              <w:keepNext w:val="0"/>
              <w:keepLines w:val="0"/>
              <w:pageBreakBefore w:val="0"/>
              <w:numPr>
                <w:ilvl w:val="0"/>
                <w:numId w:val="10"/>
              </w:numPr>
              <w:kinsoku/>
              <w:wordWrap/>
              <w:overflowPunct/>
              <w:topLinePunct w:val="0"/>
              <w:autoSpaceDE/>
              <w:autoSpaceDN/>
              <w:bidi w:val="0"/>
              <w:adjustRightInd/>
              <w:snapToGrid/>
              <w:spacing w:line="240" w:lineRule="auto"/>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评审内容：供应商提供拟派驻本项目的人员所需劳保用品及工器具清单。 </w:t>
            </w:r>
          </w:p>
          <w:p w14:paraId="14B6356F">
            <w:pPr>
              <w:pStyle w:val="29"/>
              <w:keepNext w:val="0"/>
              <w:keepLines w:val="0"/>
              <w:pageBreakBefore w:val="0"/>
              <w:numPr>
                <w:ilvl w:val="0"/>
                <w:numId w:val="0"/>
              </w:numPr>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二、赋分标准（满分4分）： 1. 个人防护用品（2分）：提供《劳保用品配置清单》（含工作服、帽、鞋、手套），每类0.5分。 2. 专项作业工器具（2分）：提供《工器具清单》（含留样盒、分类砧板、专用刀具、色标抹布），每类0.5分。 未提供该项内容不得分。</w:t>
            </w:r>
          </w:p>
        </w:tc>
        <w:tc>
          <w:tcPr>
            <w:tcW w:w="449" w:type="pct"/>
            <w:vAlign w:val="center"/>
          </w:tcPr>
          <w:p w14:paraId="710E68EC">
            <w:pPr>
              <w:spacing w:line="240" w:lineRule="auto"/>
              <w:ind w:left="-108" w:leftChars="-45"/>
              <w:jc w:val="center"/>
              <w:rPr>
                <w:rFonts w:hint="eastAsia" w:ascii="宋体" w:hAnsi="宋体" w:eastAsia="宋体" w:cs="宋体"/>
                <w:color w:val="auto"/>
                <w:szCs w:val="24"/>
                <w:highlight w:val="none"/>
              </w:rPr>
            </w:pPr>
            <w:r>
              <w:rPr>
                <w:rFonts w:hint="eastAsia" w:hAnsi="宋体" w:cs="宋体"/>
                <w:color w:val="auto"/>
                <w:szCs w:val="24"/>
                <w:highlight w:val="none"/>
                <w:lang w:val="en-US" w:eastAsia="zh-CN"/>
              </w:rPr>
              <w:t>4</w:t>
            </w:r>
            <w:r>
              <w:rPr>
                <w:rFonts w:hint="eastAsia" w:ascii="宋体" w:hAnsi="宋体" w:eastAsia="宋体" w:cs="宋体"/>
                <w:color w:val="auto"/>
                <w:szCs w:val="24"/>
                <w:highlight w:val="none"/>
              </w:rPr>
              <w:t>分</w:t>
            </w:r>
          </w:p>
        </w:tc>
        <w:tc>
          <w:tcPr>
            <w:tcW w:w="442" w:type="pct"/>
            <w:vMerge w:val="continue"/>
            <w:vAlign w:val="center"/>
          </w:tcPr>
          <w:p w14:paraId="25B51A9C">
            <w:pPr>
              <w:spacing w:line="240" w:lineRule="auto"/>
              <w:jc w:val="center"/>
              <w:rPr>
                <w:rFonts w:hint="eastAsia" w:ascii="宋体" w:hAnsi="宋体" w:eastAsia="宋体" w:cs="宋体"/>
                <w:color w:val="auto"/>
                <w:sz w:val="21"/>
                <w:szCs w:val="21"/>
                <w:highlight w:val="none"/>
              </w:rPr>
            </w:pPr>
          </w:p>
        </w:tc>
      </w:tr>
      <w:tr w14:paraId="6495B0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3" w:hRule="atLeast"/>
          <w:jc w:val="center"/>
        </w:trPr>
        <w:tc>
          <w:tcPr>
            <w:tcW w:w="430" w:type="pct"/>
            <w:vMerge w:val="continue"/>
            <w:vAlign w:val="center"/>
          </w:tcPr>
          <w:p w14:paraId="6A1C7F3E">
            <w:pPr>
              <w:spacing w:line="240" w:lineRule="auto"/>
              <w:rPr>
                <w:rFonts w:hint="eastAsia" w:ascii="宋体" w:hAnsi="宋体" w:eastAsia="宋体" w:cs="宋体"/>
                <w:b/>
                <w:color w:val="auto"/>
                <w:szCs w:val="24"/>
                <w:highlight w:val="none"/>
              </w:rPr>
            </w:pPr>
          </w:p>
        </w:tc>
        <w:tc>
          <w:tcPr>
            <w:tcW w:w="392" w:type="pct"/>
            <w:vMerge w:val="continue"/>
            <w:vAlign w:val="center"/>
          </w:tcPr>
          <w:p w14:paraId="1D0E1CED">
            <w:pPr>
              <w:spacing w:line="240" w:lineRule="auto"/>
              <w:rPr>
                <w:rFonts w:hint="eastAsia" w:ascii="宋体" w:hAnsi="宋体" w:eastAsia="宋体" w:cs="宋体"/>
                <w:b/>
                <w:bCs/>
                <w:color w:val="auto"/>
                <w:szCs w:val="24"/>
                <w:highlight w:val="none"/>
              </w:rPr>
            </w:pPr>
          </w:p>
        </w:tc>
        <w:tc>
          <w:tcPr>
            <w:tcW w:w="3286" w:type="pct"/>
            <w:vAlign w:val="center"/>
          </w:tcPr>
          <w:p w14:paraId="20A16E5C">
            <w:pPr>
              <w:pStyle w:val="29"/>
              <w:keepNext w:val="0"/>
              <w:keepLines w:val="0"/>
              <w:pageBreakBefore w:val="0"/>
              <w:numPr>
                <w:ilvl w:val="0"/>
                <w:numId w:val="0"/>
              </w:numPr>
              <w:kinsoku/>
              <w:wordWrap/>
              <w:overflowPunct/>
              <w:topLinePunct w:val="0"/>
              <w:autoSpaceDE/>
              <w:autoSpaceDN/>
              <w:bidi w:val="0"/>
              <w:adjustRightInd/>
              <w:snapToGrid/>
              <w:spacing w:line="240" w:lineRule="auto"/>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食品安全：</w:t>
            </w:r>
          </w:p>
          <w:p w14:paraId="7DA63795">
            <w:pPr>
              <w:pStyle w:val="29"/>
              <w:keepNext w:val="0"/>
              <w:keepLines w:val="0"/>
              <w:pageBreakBefore w:val="0"/>
              <w:numPr>
                <w:ilvl w:val="0"/>
                <w:numId w:val="11"/>
              </w:numPr>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供应商出具近3年无市场监管部门食品安全处罚记录承诺得2.0分，无承诺或存在处罚记录得0分。</w:t>
            </w:r>
          </w:p>
          <w:p w14:paraId="68097865">
            <w:pPr>
              <w:pStyle w:val="29"/>
              <w:keepNext w:val="0"/>
              <w:keepLines w:val="0"/>
              <w:pageBreakBefore w:val="0"/>
              <w:numPr>
                <w:ilvl w:val="0"/>
                <w:numId w:val="0"/>
              </w:numPr>
              <w:kinsoku/>
              <w:wordWrap/>
              <w:overflowPunct/>
              <w:topLinePunct w:val="0"/>
              <w:autoSpaceDE/>
              <w:autoSpaceDN/>
              <w:bidi w:val="0"/>
              <w:adjustRightInd/>
              <w:snapToGrid/>
              <w:spacing w:line="240" w:lineRule="auto"/>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2、供应商出具近3年无食品安全事故承诺得2.0分，无承诺或存在安全事故得0分。</w:t>
            </w:r>
          </w:p>
        </w:tc>
        <w:tc>
          <w:tcPr>
            <w:tcW w:w="449" w:type="pct"/>
            <w:vAlign w:val="center"/>
          </w:tcPr>
          <w:p w14:paraId="592E5A4F">
            <w:pPr>
              <w:spacing w:line="240" w:lineRule="auto"/>
              <w:ind w:left="-108" w:leftChars="-45"/>
              <w:jc w:val="center"/>
              <w:rPr>
                <w:rFonts w:hint="default" w:hAnsi="宋体" w:cs="宋体"/>
                <w:color w:val="auto"/>
                <w:szCs w:val="24"/>
                <w:highlight w:val="none"/>
                <w:lang w:val="en-US" w:eastAsia="zh-CN"/>
              </w:rPr>
            </w:pPr>
            <w:r>
              <w:rPr>
                <w:rFonts w:hint="eastAsia" w:hAnsi="宋体" w:cs="宋体"/>
                <w:color w:val="auto"/>
                <w:szCs w:val="24"/>
                <w:highlight w:val="none"/>
                <w:lang w:val="en-US" w:eastAsia="zh-CN"/>
              </w:rPr>
              <w:t>4分</w:t>
            </w:r>
          </w:p>
        </w:tc>
        <w:tc>
          <w:tcPr>
            <w:tcW w:w="442" w:type="pct"/>
            <w:vMerge w:val="continue"/>
            <w:vAlign w:val="center"/>
          </w:tcPr>
          <w:p w14:paraId="7E6174BE">
            <w:pPr>
              <w:spacing w:line="240" w:lineRule="auto"/>
              <w:jc w:val="center"/>
              <w:rPr>
                <w:rFonts w:hint="eastAsia" w:ascii="宋体" w:hAnsi="宋体" w:eastAsia="宋体" w:cs="宋体"/>
                <w:color w:val="auto"/>
                <w:sz w:val="21"/>
                <w:szCs w:val="21"/>
                <w:highlight w:val="none"/>
              </w:rPr>
            </w:pPr>
          </w:p>
        </w:tc>
      </w:tr>
      <w:tr w14:paraId="5F468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3" w:hRule="atLeast"/>
          <w:jc w:val="center"/>
        </w:trPr>
        <w:tc>
          <w:tcPr>
            <w:tcW w:w="430" w:type="pct"/>
            <w:vMerge w:val="continue"/>
            <w:vAlign w:val="center"/>
          </w:tcPr>
          <w:p w14:paraId="292114D2">
            <w:pPr>
              <w:spacing w:line="240" w:lineRule="auto"/>
              <w:rPr>
                <w:rFonts w:hint="eastAsia" w:ascii="宋体" w:hAnsi="宋体" w:eastAsia="宋体" w:cs="宋体"/>
                <w:b/>
                <w:color w:val="auto"/>
                <w:szCs w:val="24"/>
                <w:highlight w:val="none"/>
              </w:rPr>
            </w:pPr>
          </w:p>
        </w:tc>
        <w:tc>
          <w:tcPr>
            <w:tcW w:w="392" w:type="pct"/>
            <w:vMerge w:val="continue"/>
            <w:vAlign w:val="center"/>
          </w:tcPr>
          <w:p w14:paraId="1452991F">
            <w:pPr>
              <w:spacing w:line="240" w:lineRule="auto"/>
              <w:rPr>
                <w:rFonts w:hint="eastAsia" w:ascii="宋体" w:hAnsi="宋体" w:eastAsia="宋体" w:cs="宋体"/>
                <w:b/>
                <w:bCs/>
                <w:color w:val="auto"/>
                <w:szCs w:val="24"/>
                <w:highlight w:val="none"/>
              </w:rPr>
            </w:pPr>
          </w:p>
        </w:tc>
        <w:tc>
          <w:tcPr>
            <w:tcW w:w="3286" w:type="pct"/>
            <w:vAlign w:val="center"/>
          </w:tcPr>
          <w:p w14:paraId="42AB506E">
            <w:pPr>
              <w:pStyle w:val="29"/>
              <w:keepNext w:val="0"/>
              <w:keepLines w:val="0"/>
              <w:pageBreakBefore w:val="0"/>
              <w:numPr>
                <w:ilvl w:val="0"/>
                <w:numId w:val="0"/>
              </w:numPr>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val="en-US" w:eastAsia="zh-CN"/>
              </w:rPr>
              <w:t>服务承诺：</w:t>
            </w:r>
          </w:p>
          <w:p w14:paraId="5A0E1A93">
            <w:pPr>
              <w:pStyle w:val="29"/>
              <w:keepNext w:val="0"/>
              <w:keepLines w:val="0"/>
              <w:pageBreakBefore w:val="0"/>
              <w:numPr>
                <w:ilvl w:val="0"/>
                <w:numId w:val="0"/>
              </w:numPr>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针对本项⽬提供： ①服务的响应时间承诺； ②所提供服务的重点及难点解决措施承诺； ③安全质量承诺； 每提供1个承诺得2分，满分6分</w:t>
            </w:r>
            <w:r>
              <w:rPr>
                <w:rFonts w:hint="eastAsia" w:ascii="宋体" w:hAnsi="宋体" w:cs="宋体"/>
                <w:color w:val="auto"/>
                <w:sz w:val="24"/>
                <w:szCs w:val="24"/>
                <w:highlight w:val="none"/>
                <w:lang w:val="en-US" w:eastAsia="zh-CN"/>
              </w:rPr>
              <w:t>，未提供不得分。</w:t>
            </w:r>
          </w:p>
        </w:tc>
        <w:tc>
          <w:tcPr>
            <w:tcW w:w="449" w:type="pct"/>
            <w:vAlign w:val="center"/>
          </w:tcPr>
          <w:p w14:paraId="1DCCB07F">
            <w:pPr>
              <w:spacing w:line="240" w:lineRule="auto"/>
              <w:ind w:left="-108" w:leftChars="-45"/>
              <w:jc w:val="center"/>
              <w:rPr>
                <w:rFonts w:hint="eastAsia" w:ascii="宋体" w:hAnsi="宋体" w:eastAsia="宋体" w:cs="宋体"/>
                <w:color w:val="auto"/>
                <w:szCs w:val="24"/>
                <w:highlight w:val="none"/>
              </w:rPr>
            </w:pPr>
            <w:r>
              <w:rPr>
                <w:rFonts w:hint="eastAsia" w:hAnsi="宋体" w:cs="宋体"/>
                <w:color w:val="auto"/>
                <w:szCs w:val="24"/>
                <w:highlight w:val="none"/>
                <w:lang w:val="en-US" w:eastAsia="zh-CN"/>
              </w:rPr>
              <w:t>6</w:t>
            </w:r>
            <w:r>
              <w:rPr>
                <w:rFonts w:hint="eastAsia" w:ascii="宋体" w:hAnsi="宋体" w:eastAsia="宋体" w:cs="宋体"/>
                <w:color w:val="auto"/>
                <w:szCs w:val="24"/>
                <w:highlight w:val="none"/>
              </w:rPr>
              <w:t>分</w:t>
            </w:r>
          </w:p>
        </w:tc>
        <w:tc>
          <w:tcPr>
            <w:tcW w:w="442" w:type="pct"/>
            <w:vMerge w:val="continue"/>
            <w:vAlign w:val="center"/>
          </w:tcPr>
          <w:p w14:paraId="2CA434D3">
            <w:pPr>
              <w:spacing w:line="240" w:lineRule="auto"/>
              <w:jc w:val="center"/>
              <w:rPr>
                <w:rFonts w:hint="eastAsia" w:ascii="宋体" w:hAnsi="宋体" w:eastAsia="宋体" w:cs="宋体"/>
                <w:color w:val="auto"/>
                <w:sz w:val="21"/>
                <w:szCs w:val="21"/>
                <w:highlight w:val="none"/>
              </w:rPr>
            </w:pPr>
          </w:p>
        </w:tc>
      </w:tr>
      <w:tr w14:paraId="67AFC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3" w:hRule="atLeast"/>
          <w:jc w:val="center"/>
        </w:trPr>
        <w:tc>
          <w:tcPr>
            <w:tcW w:w="430" w:type="pct"/>
            <w:vMerge w:val="continue"/>
            <w:vAlign w:val="center"/>
          </w:tcPr>
          <w:p w14:paraId="2E77922D">
            <w:pPr>
              <w:spacing w:line="240" w:lineRule="auto"/>
              <w:rPr>
                <w:rFonts w:hint="eastAsia" w:ascii="宋体" w:hAnsi="宋体" w:eastAsia="宋体" w:cs="宋体"/>
                <w:b/>
                <w:color w:val="auto"/>
                <w:szCs w:val="24"/>
                <w:highlight w:val="none"/>
              </w:rPr>
            </w:pPr>
          </w:p>
        </w:tc>
        <w:tc>
          <w:tcPr>
            <w:tcW w:w="392" w:type="pct"/>
            <w:vMerge w:val="continue"/>
            <w:vAlign w:val="center"/>
          </w:tcPr>
          <w:p w14:paraId="32909FDC">
            <w:pPr>
              <w:spacing w:line="240" w:lineRule="auto"/>
              <w:rPr>
                <w:rFonts w:hint="eastAsia" w:ascii="宋体" w:hAnsi="宋体" w:eastAsia="宋体" w:cs="宋体"/>
                <w:b/>
                <w:bCs/>
                <w:color w:val="auto"/>
                <w:szCs w:val="24"/>
                <w:highlight w:val="none"/>
              </w:rPr>
            </w:pPr>
          </w:p>
        </w:tc>
        <w:tc>
          <w:tcPr>
            <w:tcW w:w="3286" w:type="pct"/>
            <w:vAlign w:val="center"/>
          </w:tcPr>
          <w:p w14:paraId="5EC48FAA">
            <w:pPr>
              <w:pStyle w:val="29"/>
              <w:keepNext w:val="0"/>
              <w:keepLines w:val="0"/>
              <w:pageBreakBefore w:val="0"/>
              <w:numPr>
                <w:ilvl w:val="0"/>
                <w:numId w:val="0"/>
              </w:numPr>
              <w:kinsoku/>
              <w:wordWrap/>
              <w:overflowPunct/>
              <w:topLinePunct w:val="0"/>
              <w:autoSpaceDE/>
              <w:autoSpaceDN/>
              <w:bidi w:val="0"/>
              <w:adjustRightInd/>
              <w:snapToGrid/>
              <w:spacing w:line="240" w:lineRule="auto"/>
              <w:textAlignment w:val="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人员配置：</w:t>
            </w:r>
          </w:p>
          <w:p w14:paraId="585468F0">
            <w:pPr>
              <w:pStyle w:val="29"/>
              <w:keepNext w:val="0"/>
              <w:keepLines w:val="0"/>
              <w:pageBreakBefore w:val="0"/>
              <w:numPr>
                <w:ilvl w:val="0"/>
                <w:numId w:val="12"/>
              </w:numPr>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承诺拟派的食堂工作人员均具有</w:t>
            </w:r>
            <w:r>
              <w:rPr>
                <w:rFonts w:hint="eastAsia" w:ascii="宋体" w:hAnsi="宋体" w:eastAsia="宋体" w:cs="宋体"/>
                <w:color w:val="auto"/>
                <w:sz w:val="24"/>
                <w:szCs w:val="24"/>
                <w:highlight w:val="none"/>
                <w:lang w:eastAsia="zh-CN"/>
              </w:rPr>
              <w:t>健康证得</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分，</w:t>
            </w:r>
            <w:r>
              <w:rPr>
                <w:rFonts w:hint="eastAsia" w:ascii="宋体" w:hAnsi="宋体" w:cs="宋体"/>
                <w:color w:val="auto"/>
                <w:sz w:val="24"/>
                <w:szCs w:val="24"/>
                <w:highlight w:val="none"/>
                <w:lang w:eastAsia="zh-CN"/>
              </w:rPr>
              <w:t>未</w:t>
            </w:r>
            <w:r>
              <w:rPr>
                <w:rFonts w:hint="eastAsia" w:ascii="宋体" w:hAnsi="宋体" w:eastAsia="宋体" w:cs="宋体"/>
                <w:color w:val="auto"/>
                <w:sz w:val="24"/>
                <w:szCs w:val="24"/>
                <w:highlight w:val="none"/>
                <w:lang w:eastAsia="zh-CN"/>
              </w:rPr>
              <w:t xml:space="preserve">提供不得分； </w:t>
            </w:r>
          </w:p>
          <w:p w14:paraId="290A97C9">
            <w:pPr>
              <w:pStyle w:val="29"/>
              <w:keepNext w:val="0"/>
              <w:keepLines w:val="0"/>
              <w:pageBreakBefore w:val="0"/>
              <w:numPr>
                <w:ilvl w:val="0"/>
                <w:numId w:val="0"/>
              </w:numPr>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2、拟派</w:t>
            </w:r>
            <w:r>
              <w:rPr>
                <w:rFonts w:hint="eastAsia" w:ascii="宋体" w:hAnsi="宋体" w:cs="宋体"/>
                <w:color w:val="auto"/>
                <w:sz w:val="24"/>
                <w:szCs w:val="24"/>
                <w:highlight w:val="none"/>
                <w:lang w:eastAsia="zh-CN"/>
              </w:rPr>
              <w:t>的食堂工作人员具有</w:t>
            </w:r>
            <w:r>
              <w:rPr>
                <w:rFonts w:hint="eastAsia" w:ascii="宋体" w:hAnsi="宋体" w:eastAsia="宋体" w:cs="宋体"/>
                <w:color w:val="auto"/>
                <w:sz w:val="24"/>
                <w:szCs w:val="24"/>
                <w:highlight w:val="none"/>
                <w:lang w:eastAsia="zh-CN"/>
              </w:rPr>
              <w:t>具有本公司缴纳社保</w:t>
            </w:r>
            <w:r>
              <w:rPr>
                <w:rFonts w:hint="eastAsia" w:ascii="宋体" w:hAnsi="宋体" w:cs="宋体"/>
                <w:color w:val="auto"/>
                <w:sz w:val="24"/>
                <w:szCs w:val="24"/>
                <w:highlight w:val="none"/>
                <w:lang w:eastAsia="zh-CN"/>
              </w:rPr>
              <w:t>的得</w:t>
            </w:r>
            <w:r>
              <w:rPr>
                <w:rFonts w:hint="eastAsia" w:ascii="宋体" w:hAnsi="宋体" w:eastAsia="宋体" w:cs="宋体"/>
                <w:color w:val="auto"/>
                <w:sz w:val="24"/>
                <w:szCs w:val="24"/>
                <w:highlight w:val="none"/>
                <w:lang w:eastAsia="zh-CN"/>
              </w:rPr>
              <w:t>2分，不提供不得分。</w:t>
            </w:r>
          </w:p>
        </w:tc>
        <w:tc>
          <w:tcPr>
            <w:tcW w:w="449" w:type="pct"/>
            <w:vAlign w:val="center"/>
          </w:tcPr>
          <w:p w14:paraId="11CA309D">
            <w:pPr>
              <w:spacing w:line="240" w:lineRule="auto"/>
              <w:ind w:left="-108" w:leftChars="-45"/>
              <w:jc w:val="center"/>
              <w:rPr>
                <w:rFonts w:hint="default" w:hAnsi="宋体" w:cs="宋体"/>
                <w:color w:val="auto"/>
                <w:szCs w:val="24"/>
                <w:highlight w:val="none"/>
                <w:lang w:val="en-US" w:eastAsia="zh-CN"/>
              </w:rPr>
            </w:pPr>
            <w:r>
              <w:rPr>
                <w:rFonts w:hint="eastAsia" w:hAnsi="宋体" w:cs="宋体"/>
                <w:color w:val="auto"/>
                <w:szCs w:val="24"/>
                <w:highlight w:val="none"/>
                <w:lang w:val="en-US" w:eastAsia="zh-CN"/>
              </w:rPr>
              <w:t>7分</w:t>
            </w:r>
          </w:p>
        </w:tc>
        <w:tc>
          <w:tcPr>
            <w:tcW w:w="442" w:type="pct"/>
            <w:vMerge w:val="continue"/>
            <w:vAlign w:val="center"/>
          </w:tcPr>
          <w:p w14:paraId="31BFB1AA">
            <w:pPr>
              <w:spacing w:line="240" w:lineRule="auto"/>
              <w:jc w:val="center"/>
              <w:rPr>
                <w:rFonts w:hint="eastAsia" w:ascii="宋体" w:hAnsi="宋体" w:eastAsia="宋体" w:cs="宋体"/>
                <w:color w:val="auto"/>
                <w:sz w:val="21"/>
                <w:szCs w:val="21"/>
                <w:highlight w:val="none"/>
              </w:rPr>
            </w:pPr>
          </w:p>
        </w:tc>
      </w:tr>
      <w:tr w14:paraId="6BADD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430" w:type="pct"/>
            <w:vMerge w:val="continue"/>
            <w:vAlign w:val="center"/>
          </w:tcPr>
          <w:p w14:paraId="460838B2">
            <w:pPr>
              <w:spacing w:line="240" w:lineRule="auto"/>
              <w:rPr>
                <w:rFonts w:hint="eastAsia" w:ascii="宋体" w:hAnsi="宋体" w:eastAsia="宋体" w:cs="宋体"/>
                <w:b/>
                <w:color w:val="auto"/>
                <w:szCs w:val="24"/>
                <w:highlight w:val="none"/>
              </w:rPr>
            </w:pPr>
          </w:p>
        </w:tc>
        <w:tc>
          <w:tcPr>
            <w:tcW w:w="392" w:type="pct"/>
            <w:vMerge w:val="continue"/>
            <w:vAlign w:val="center"/>
          </w:tcPr>
          <w:p w14:paraId="122C1E22">
            <w:pPr>
              <w:spacing w:line="240" w:lineRule="auto"/>
              <w:rPr>
                <w:rFonts w:hint="eastAsia" w:ascii="宋体" w:hAnsi="宋体" w:eastAsia="宋体" w:cs="宋体"/>
                <w:b/>
                <w:bCs/>
                <w:color w:val="auto"/>
                <w:szCs w:val="24"/>
                <w:highlight w:val="none"/>
              </w:rPr>
            </w:pPr>
          </w:p>
        </w:tc>
        <w:tc>
          <w:tcPr>
            <w:tcW w:w="3286" w:type="pct"/>
            <w:vAlign w:val="center"/>
          </w:tcPr>
          <w:p w14:paraId="006ED595">
            <w:pPr>
              <w:pStyle w:val="29"/>
              <w:keepNext w:val="0"/>
              <w:keepLines w:val="0"/>
              <w:pageBreakBefore w:val="0"/>
              <w:numPr>
                <w:ilvl w:val="0"/>
                <w:numId w:val="0"/>
              </w:numPr>
              <w:kinsoku/>
              <w:wordWrap/>
              <w:overflowPunct/>
              <w:topLinePunct w:val="0"/>
              <w:autoSpaceDE/>
              <w:autoSpaceDN/>
              <w:bidi w:val="0"/>
              <w:adjustRightInd/>
              <w:snapToGrid/>
              <w:spacing w:line="240" w:lineRule="auto"/>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食材溯源、留样、消毒标准化制度：</w:t>
            </w:r>
          </w:p>
          <w:p w14:paraId="7066B409">
            <w:pPr>
              <w:pStyle w:val="29"/>
              <w:keepNext w:val="0"/>
              <w:keepLines w:val="0"/>
              <w:pageBreakBefore w:val="0"/>
              <w:numPr>
                <w:ilvl w:val="0"/>
                <w:numId w:val="0"/>
              </w:numPr>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采购索证索票、48 小时留样、餐具热力消毒、虫害消杀、食材分区存放全套制度得10分；缺一项扣2分，未提供不得分。</w:t>
            </w:r>
          </w:p>
        </w:tc>
        <w:tc>
          <w:tcPr>
            <w:tcW w:w="449" w:type="pct"/>
            <w:vAlign w:val="center"/>
          </w:tcPr>
          <w:p w14:paraId="223C2763">
            <w:pPr>
              <w:spacing w:line="240" w:lineRule="auto"/>
              <w:jc w:val="center"/>
              <w:rPr>
                <w:rFonts w:hint="eastAsia" w:ascii="宋体" w:hAnsi="宋体" w:eastAsia="宋体" w:cs="宋体"/>
                <w:color w:val="auto"/>
                <w:szCs w:val="24"/>
                <w:highlight w:val="none"/>
              </w:rPr>
            </w:pPr>
            <w:r>
              <w:rPr>
                <w:rFonts w:hint="eastAsia" w:hAnsi="宋体" w:cs="宋体"/>
                <w:color w:val="auto"/>
                <w:szCs w:val="24"/>
                <w:highlight w:val="none"/>
                <w:lang w:val="en-US" w:eastAsia="zh-CN"/>
              </w:rPr>
              <w:t>10</w:t>
            </w:r>
            <w:r>
              <w:rPr>
                <w:rFonts w:hint="eastAsia" w:ascii="宋体" w:hAnsi="宋体" w:eastAsia="宋体" w:cs="宋体"/>
                <w:color w:val="auto"/>
                <w:szCs w:val="24"/>
                <w:highlight w:val="none"/>
              </w:rPr>
              <w:t>分</w:t>
            </w:r>
          </w:p>
        </w:tc>
        <w:tc>
          <w:tcPr>
            <w:tcW w:w="442" w:type="pct"/>
            <w:vMerge w:val="continue"/>
            <w:vAlign w:val="center"/>
          </w:tcPr>
          <w:p w14:paraId="54B9146A">
            <w:pPr>
              <w:spacing w:line="240" w:lineRule="auto"/>
              <w:jc w:val="center"/>
              <w:rPr>
                <w:rFonts w:hint="eastAsia" w:ascii="宋体" w:hAnsi="宋体" w:eastAsia="宋体" w:cs="宋体"/>
                <w:color w:val="auto"/>
                <w:sz w:val="21"/>
                <w:szCs w:val="21"/>
                <w:highlight w:val="none"/>
              </w:rPr>
            </w:pPr>
          </w:p>
        </w:tc>
      </w:tr>
      <w:tr w14:paraId="33B8F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3" w:hRule="atLeast"/>
          <w:jc w:val="center"/>
        </w:trPr>
        <w:tc>
          <w:tcPr>
            <w:tcW w:w="430" w:type="pct"/>
            <w:vAlign w:val="center"/>
          </w:tcPr>
          <w:p w14:paraId="7F8116F7">
            <w:pPr>
              <w:spacing w:line="240" w:lineRule="auto"/>
              <w:jc w:val="center"/>
              <w:rPr>
                <w:rFonts w:hint="eastAsia" w:ascii="宋体" w:hAnsi="宋体" w:eastAsia="宋体" w:cs="宋体"/>
                <w:b/>
                <w:color w:val="auto"/>
                <w:szCs w:val="24"/>
                <w:highlight w:val="none"/>
                <w:lang w:eastAsia="zh-CN"/>
              </w:rPr>
            </w:pPr>
            <w:r>
              <w:rPr>
                <w:rFonts w:hint="eastAsia" w:ascii="宋体" w:hAnsi="宋体" w:eastAsia="宋体" w:cs="宋体"/>
                <w:b/>
                <w:color w:val="auto"/>
                <w:szCs w:val="24"/>
                <w:highlight w:val="none"/>
                <w:lang w:val="en-US" w:eastAsia="zh-CN"/>
              </w:rPr>
              <w:t>业绩</w:t>
            </w:r>
          </w:p>
        </w:tc>
        <w:tc>
          <w:tcPr>
            <w:tcW w:w="392" w:type="pct"/>
            <w:vAlign w:val="center"/>
          </w:tcPr>
          <w:p w14:paraId="03EFB5DA">
            <w:pPr>
              <w:spacing w:line="240" w:lineRule="auto"/>
              <w:rPr>
                <w:rFonts w:hint="eastAsia" w:ascii="宋体" w:hAnsi="宋体" w:eastAsia="宋体" w:cs="宋体"/>
                <w:b/>
                <w:bCs/>
                <w:color w:val="auto"/>
                <w:szCs w:val="24"/>
                <w:highlight w:val="none"/>
              </w:rPr>
            </w:pPr>
            <w:r>
              <w:rPr>
                <w:rFonts w:hint="eastAsia" w:hAnsi="宋体" w:cs="宋体"/>
                <w:b/>
                <w:bCs/>
                <w:color w:val="auto"/>
                <w:szCs w:val="24"/>
                <w:highlight w:val="none"/>
                <w:lang w:val="en-US" w:eastAsia="zh-CN"/>
              </w:rPr>
              <w:t>5</w:t>
            </w:r>
            <w:r>
              <w:rPr>
                <w:rFonts w:hint="eastAsia" w:ascii="宋体" w:hAnsi="宋体" w:eastAsia="宋体" w:cs="宋体"/>
                <w:b/>
                <w:bCs/>
                <w:color w:val="auto"/>
                <w:szCs w:val="24"/>
                <w:highlight w:val="none"/>
              </w:rPr>
              <w:t>分</w:t>
            </w:r>
          </w:p>
        </w:tc>
        <w:tc>
          <w:tcPr>
            <w:tcW w:w="3286" w:type="pct"/>
            <w:vAlign w:val="center"/>
          </w:tcPr>
          <w:p w14:paraId="22145DCF">
            <w:pPr>
              <w:spacing w:line="24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供应商提供自202</w:t>
            </w:r>
            <w:r>
              <w:rPr>
                <w:rFonts w:hint="eastAsia" w:ascii="宋体" w:hAnsi="宋体" w:eastAsia="宋体" w:cs="宋体"/>
                <w:color w:val="auto"/>
                <w:szCs w:val="24"/>
                <w:highlight w:val="none"/>
                <w:lang w:val="en-US" w:eastAsia="zh-CN"/>
              </w:rPr>
              <w:t>3</w:t>
            </w:r>
            <w:r>
              <w:rPr>
                <w:rFonts w:hint="eastAsia" w:ascii="宋体" w:hAnsi="宋体" w:eastAsia="宋体" w:cs="宋体"/>
                <w:color w:val="auto"/>
                <w:szCs w:val="24"/>
                <w:highlight w:val="none"/>
              </w:rPr>
              <w:t>年1月</w:t>
            </w:r>
            <w:r>
              <w:rPr>
                <w:rFonts w:hint="eastAsia" w:ascii="宋体" w:hAnsi="宋体" w:eastAsia="宋体" w:cs="宋体"/>
                <w:color w:val="auto"/>
                <w:szCs w:val="24"/>
                <w:highlight w:val="none"/>
                <w:lang w:val="en-US" w:eastAsia="zh-CN"/>
              </w:rPr>
              <w:t>1日</w:t>
            </w:r>
            <w:r>
              <w:rPr>
                <w:rFonts w:hint="eastAsia" w:ascii="宋体" w:hAnsi="宋体" w:eastAsia="宋体" w:cs="宋体"/>
                <w:color w:val="auto"/>
                <w:szCs w:val="24"/>
                <w:highlight w:val="none"/>
              </w:rPr>
              <w:t>至今类似项目业绩（需附合同复印件并加盖公章或</w:t>
            </w: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lang w:val="en-US" w:eastAsia="zh-CN"/>
              </w:rPr>
              <w:t>中标</w:t>
            </w: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lang w:val="en-US" w:eastAsia="zh-CN"/>
              </w:rPr>
              <w:t>成交</w:t>
            </w:r>
            <w:r>
              <w:rPr>
                <w:rFonts w:hint="eastAsia" w:ascii="宋体" w:hAnsi="宋体" w:eastAsia="宋体" w:cs="宋体"/>
                <w:color w:val="auto"/>
                <w:szCs w:val="24"/>
                <w:highlight w:val="none"/>
              </w:rPr>
              <w:t>通知书复印件，时间以合同签订时间</w:t>
            </w:r>
            <w:r>
              <w:rPr>
                <w:rFonts w:hint="eastAsia" w:ascii="宋体" w:hAnsi="宋体" w:eastAsia="宋体" w:cs="宋体"/>
                <w:color w:val="auto"/>
                <w:szCs w:val="24"/>
                <w:highlight w:val="none"/>
                <w:lang w:eastAsia="zh-CN"/>
              </w:rPr>
              <w:t>或（</w:t>
            </w:r>
            <w:r>
              <w:rPr>
                <w:rFonts w:hint="eastAsia" w:ascii="宋体" w:hAnsi="宋体" w:eastAsia="宋体" w:cs="宋体"/>
                <w:color w:val="auto"/>
                <w:szCs w:val="24"/>
                <w:highlight w:val="none"/>
                <w:lang w:val="en-US" w:eastAsia="zh-CN"/>
              </w:rPr>
              <w:t>中标</w:t>
            </w: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lang w:val="en-US" w:eastAsia="zh-CN"/>
              </w:rPr>
              <w:t>成交</w:t>
            </w:r>
            <w:r>
              <w:rPr>
                <w:rFonts w:hint="eastAsia" w:ascii="宋体" w:hAnsi="宋体" w:eastAsia="宋体" w:cs="宋体"/>
                <w:color w:val="auto"/>
                <w:szCs w:val="24"/>
                <w:highlight w:val="none"/>
              </w:rPr>
              <w:t>通知书</w:t>
            </w:r>
            <w:r>
              <w:rPr>
                <w:rFonts w:hint="eastAsia" w:ascii="宋体" w:hAnsi="宋体" w:eastAsia="宋体" w:cs="宋体"/>
                <w:color w:val="auto"/>
                <w:szCs w:val="24"/>
                <w:highlight w:val="none"/>
                <w:lang w:eastAsia="zh-CN"/>
              </w:rPr>
              <w:t>落款时间</w:t>
            </w:r>
            <w:r>
              <w:rPr>
                <w:rFonts w:hint="eastAsia" w:ascii="宋体" w:hAnsi="宋体" w:eastAsia="宋体" w:cs="宋体"/>
                <w:color w:val="auto"/>
                <w:szCs w:val="24"/>
                <w:highlight w:val="none"/>
              </w:rPr>
              <w:t>为准），每提供一个业绩得</w:t>
            </w:r>
            <w:r>
              <w:rPr>
                <w:rFonts w:hint="eastAsia" w:hAnsi="宋体" w:cs="宋体"/>
                <w:color w:val="auto"/>
                <w:szCs w:val="24"/>
                <w:highlight w:val="none"/>
                <w:lang w:val="en-US" w:eastAsia="zh-CN"/>
              </w:rPr>
              <w:t>2.5</w:t>
            </w:r>
            <w:r>
              <w:rPr>
                <w:rFonts w:hint="eastAsia" w:ascii="宋体" w:hAnsi="宋体" w:eastAsia="宋体" w:cs="宋体"/>
                <w:color w:val="auto"/>
                <w:szCs w:val="24"/>
                <w:highlight w:val="none"/>
              </w:rPr>
              <w:t>分，满分</w:t>
            </w:r>
            <w:r>
              <w:rPr>
                <w:rFonts w:hint="eastAsia" w:hAnsi="宋体" w:cs="宋体"/>
                <w:color w:val="auto"/>
                <w:szCs w:val="24"/>
                <w:highlight w:val="none"/>
                <w:lang w:val="en-US" w:eastAsia="zh-CN"/>
              </w:rPr>
              <w:t>5</w:t>
            </w:r>
            <w:r>
              <w:rPr>
                <w:rFonts w:hint="eastAsia" w:ascii="宋体" w:hAnsi="宋体" w:eastAsia="宋体" w:cs="宋体"/>
                <w:color w:val="auto"/>
                <w:szCs w:val="24"/>
                <w:highlight w:val="none"/>
              </w:rPr>
              <w:t>分。</w:t>
            </w:r>
          </w:p>
        </w:tc>
        <w:tc>
          <w:tcPr>
            <w:tcW w:w="449" w:type="pct"/>
            <w:vAlign w:val="center"/>
          </w:tcPr>
          <w:p w14:paraId="23E28203">
            <w:pPr>
              <w:spacing w:line="240" w:lineRule="auto"/>
              <w:jc w:val="center"/>
              <w:rPr>
                <w:rFonts w:hint="eastAsia" w:ascii="宋体" w:hAnsi="宋体" w:eastAsia="宋体" w:cs="宋体"/>
                <w:color w:val="auto"/>
                <w:szCs w:val="24"/>
                <w:highlight w:val="none"/>
              </w:rPr>
            </w:pPr>
            <w:r>
              <w:rPr>
                <w:rFonts w:hint="eastAsia" w:hAnsi="宋体" w:cs="宋体"/>
                <w:color w:val="auto"/>
                <w:szCs w:val="24"/>
                <w:highlight w:val="none"/>
                <w:lang w:val="en-US" w:eastAsia="zh-CN"/>
              </w:rPr>
              <w:t>5</w:t>
            </w:r>
            <w:r>
              <w:rPr>
                <w:rFonts w:hint="eastAsia" w:ascii="宋体" w:hAnsi="宋体" w:eastAsia="宋体" w:cs="宋体"/>
                <w:color w:val="auto"/>
                <w:szCs w:val="24"/>
                <w:highlight w:val="none"/>
              </w:rPr>
              <w:t>分</w:t>
            </w:r>
          </w:p>
        </w:tc>
        <w:tc>
          <w:tcPr>
            <w:tcW w:w="442" w:type="pct"/>
            <w:vMerge w:val="continue"/>
            <w:vAlign w:val="center"/>
          </w:tcPr>
          <w:p w14:paraId="099F9F93">
            <w:pPr>
              <w:spacing w:line="240" w:lineRule="auto"/>
              <w:jc w:val="center"/>
              <w:rPr>
                <w:rFonts w:hint="eastAsia" w:ascii="宋体" w:hAnsi="宋体" w:eastAsia="宋体" w:cs="宋体"/>
                <w:color w:val="auto"/>
                <w:sz w:val="21"/>
                <w:szCs w:val="21"/>
                <w:highlight w:val="none"/>
              </w:rPr>
            </w:pPr>
          </w:p>
        </w:tc>
      </w:tr>
      <w:tr w14:paraId="015824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3" w:hRule="atLeast"/>
          <w:jc w:val="center"/>
        </w:trPr>
        <w:tc>
          <w:tcPr>
            <w:tcW w:w="430" w:type="pct"/>
            <w:vAlign w:val="center"/>
          </w:tcPr>
          <w:p w14:paraId="6CD2ACE0">
            <w:pPr>
              <w:spacing w:line="240" w:lineRule="auto"/>
              <w:jc w:val="center"/>
              <w:rPr>
                <w:rFonts w:hint="eastAsia" w:ascii="宋体" w:hAnsi="宋体" w:eastAsia="仿宋_GB2312" w:cs="宋体"/>
                <w:b/>
                <w:color w:val="auto"/>
                <w:szCs w:val="24"/>
                <w:highlight w:val="none"/>
                <w:lang w:val="en-US" w:eastAsia="zh-CN"/>
              </w:rPr>
            </w:pPr>
            <w:r>
              <w:rPr>
                <w:rFonts w:ascii="仿宋_GB2312" w:hAnsi="仿宋_GB2312" w:eastAsia="仿宋_GB2312" w:cs="仿宋_GB2312"/>
                <w:highlight w:val="none"/>
              </w:rPr>
              <w:t>异常低价审查</w:t>
            </w:r>
          </w:p>
        </w:tc>
        <w:tc>
          <w:tcPr>
            <w:tcW w:w="392" w:type="pct"/>
            <w:vAlign w:val="center"/>
          </w:tcPr>
          <w:p w14:paraId="38659967">
            <w:pPr>
              <w:spacing w:line="240" w:lineRule="auto"/>
              <w:rPr>
                <w:rFonts w:hint="default" w:hAnsi="宋体" w:cs="宋体"/>
                <w:b/>
                <w:bCs/>
                <w:color w:val="auto"/>
                <w:szCs w:val="24"/>
                <w:highlight w:val="none"/>
                <w:lang w:val="en-US" w:eastAsia="zh-CN"/>
              </w:rPr>
            </w:pPr>
            <w:r>
              <w:rPr>
                <w:rFonts w:hint="eastAsia" w:hAnsi="宋体" w:cs="宋体"/>
                <w:b/>
                <w:bCs/>
                <w:color w:val="auto"/>
                <w:szCs w:val="24"/>
                <w:highlight w:val="none"/>
                <w:lang w:val="en-US" w:eastAsia="zh-CN"/>
              </w:rPr>
              <w:t>0分</w:t>
            </w:r>
          </w:p>
        </w:tc>
        <w:tc>
          <w:tcPr>
            <w:tcW w:w="3286" w:type="pct"/>
            <w:vAlign w:val="center"/>
          </w:tcPr>
          <w:p w14:paraId="7DAAC023">
            <w:pPr>
              <w:spacing w:line="24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根据《关于推动解决政府采购异常低价问题的通知》（财库〔2026〕2号）等相关规定，政府采购评审中出现下列情形之一的，评审委员会应当启动异常低价投标（响应）审查程序： （1）投标（响应）报价低于全部通过符合性审查供应商投标（响应）报价平均值50%的，即投标（响应）报价&lt;全部通过符合性审查供应商投标（响应）报价平均值×50%。 （2）投标（响应）报价低于通过符合性审查且报价次低供应商投标（响应）报价50%的，即投标（响应）报价&lt;通过符合性审查且报价次低供应商投标（响应）报价×50%。 （3）投标（响应）报价低于最高限价45%的，即投标（响应）报价&lt;最高限价×45%。 （4）评标委员会认为投标人的报价明显低于其他通过符合性审查投标人的报价（数量报价下，投标人的报价明显高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 评审委员会启动异常低价投标（响应）审查后，应当要求相关供应商在评审现场合理的时间内提供书面说明及必要的证明材料，对投标（响应）价格作出解释。</w:t>
            </w:r>
          </w:p>
        </w:tc>
        <w:tc>
          <w:tcPr>
            <w:tcW w:w="449" w:type="pct"/>
            <w:vAlign w:val="center"/>
          </w:tcPr>
          <w:p w14:paraId="3BFE74A3">
            <w:pPr>
              <w:spacing w:line="240" w:lineRule="auto"/>
              <w:jc w:val="center"/>
              <w:rPr>
                <w:rFonts w:hint="default" w:hAnsi="宋体" w:cs="宋体"/>
                <w:color w:val="auto"/>
                <w:szCs w:val="24"/>
                <w:highlight w:val="none"/>
                <w:lang w:val="en-US" w:eastAsia="zh-CN"/>
              </w:rPr>
            </w:pPr>
            <w:r>
              <w:rPr>
                <w:rFonts w:hint="eastAsia" w:hAnsi="宋体" w:cs="宋体"/>
                <w:color w:val="auto"/>
                <w:szCs w:val="24"/>
                <w:highlight w:val="none"/>
                <w:lang w:val="en-US" w:eastAsia="zh-CN"/>
              </w:rPr>
              <w:t>0分</w:t>
            </w:r>
          </w:p>
        </w:tc>
        <w:tc>
          <w:tcPr>
            <w:tcW w:w="442" w:type="pct"/>
            <w:vAlign w:val="center"/>
          </w:tcPr>
          <w:p w14:paraId="1E076BAF">
            <w:pPr>
              <w:spacing w:line="240" w:lineRule="auto"/>
              <w:jc w:val="center"/>
              <w:rPr>
                <w:rFonts w:hint="eastAsia" w:ascii="宋体" w:hAnsi="宋体" w:eastAsia="宋体" w:cs="宋体"/>
                <w:color w:val="auto"/>
                <w:sz w:val="21"/>
                <w:szCs w:val="21"/>
                <w:highlight w:val="none"/>
              </w:rPr>
            </w:pPr>
          </w:p>
        </w:tc>
      </w:tr>
      <w:tr w14:paraId="36F84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96" w:hRule="atLeast"/>
          <w:jc w:val="center"/>
        </w:trPr>
        <w:tc>
          <w:tcPr>
            <w:tcW w:w="430" w:type="pct"/>
            <w:vAlign w:val="center"/>
          </w:tcPr>
          <w:p w14:paraId="77ACE1B5">
            <w:pPr>
              <w:spacing w:line="240" w:lineRule="auto"/>
              <w:jc w:val="center"/>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备注</w:t>
            </w:r>
          </w:p>
        </w:tc>
        <w:tc>
          <w:tcPr>
            <w:tcW w:w="4569" w:type="pct"/>
            <w:gridSpan w:val="4"/>
            <w:tcBorders>
              <w:top w:val="single" w:color="auto" w:sz="4" w:space="0"/>
              <w:bottom w:val="single" w:color="auto" w:sz="4" w:space="0"/>
            </w:tcBorders>
          </w:tcPr>
          <w:p w14:paraId="729637BF">
            <w:pPr>
              <w:spacing w:line="24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1.各磋商小组成员应按照本评标方法独立打分。</w:t>
            </w:r>
          </w:p>
          <w:p w14:paraId="73AB75FF">
            <w:pPr>
              <w:spacing w:line="24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2.分项评分超出评分标准范围或磋商小组成员对客观评审因素评分不一致时，采购代理机构可以要求磋商小组复核或者书面说明理由，磋商小组拒绝的，应予记录并向本级财政部门报告。</w:t>
            </w:r>
          </w:p>
          <w:p w14:paraId="0CD2A539">
            <w:pPr>
              <w:spacing w:line="24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3.若出现综合得分并列时，比较磋商价格，价格低的排序在前；若价格得分仍相同，比较技术得分，此分项得分高者排序在前；若技术得分仍相同，则由全体磋商小组成员无记名投票，得票高者排序在前。</w:t>
            </w:r>
          </w:p>
          <w:p w14:paraId="66D9D6D7">
            <w:pPr>
              <w:spacing w:line="24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4.各种计算采用插入法，数字均保留两位小数，第三位“四舍五入”。</w:t>
            </w:r>
          </w:p>
          <w:p w14:paraId="777854FE">
            <w:pPr>
              <w:spacing w:line="24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5.评标过程中，若出现特殊情况时，由磋商小组决定暂停评标，并提出具体处理意见。</w:t>
            </w:r>
          </w:p>
        </w:tc>
      </w:tr>
      <w:bookmarkEnd w:id="40"/>
      <w:bookmarkEnd w:id="104"/>
      <w:bookmarkEnd w:id="105"/>
      <w:bookmarkEnd w:id="106"/>
      <w:bookmarkEnd w:id="107"/>
      <w:bookmarkEnd w:id="108"/>
      <w:bookmarkEnd w:id="109"/>
      <w:bookmarkEnd w:id="110"/>
    </w:tbl>
    <w:p w14:paraId="5D0B2563">
      <w:pPr>
        <w:pStyle w:val="3"/>
        <w:keepNext w:val="0"/>
        <w:keepLines/>
        <w:pageBreakBefore/>
        <w:spacing w:before="156" w:beforeLines="50" w:after="156" w:afterLines="50"/>
        <w:jc w:val="center"/>
        <w:rPr>
          <w:rFonts w:hint="eastAsia" w:cs="仿宋" w:asciiTheme="minorEastAsia" w:hAnsiTheme="minorEastAsia" w:eastAsiaTheme="minorEastAsia"/>
          <w:bCs/>
          <w:color w:val="auto"/>
          <w:sz w:val="36"/>
          <w:szCs w:val="36"/>
          <w:highlight w:val="none"/>
        </w:rPr>
      </w:pPr>
      <w:bookmarkStart w:id="112" w:name="_Toc403077646"/>
      <w:bookmarkStart w:id="113" w:name="_Toc27437"/>
      <w:bookmarkStart w:id="114" w:name="_Toc423973079"/>
      <w:bookmarkStart w:id="115" w:name="_Toc31796"/>
      <w:bookmarkStart w:id="116" w:name="_Toc363474025"/>
      <w:bookmarkStart w:id="117" w:name="_Toc5084"/>
      <w:r>
        <w:rPr>
          <w:rFonts w:hint="eastAsia" w:cs="仿宋" w:asciiTheme="minorEastAsia" w:hAnsiTheme="minorEastAsia" w:eastAsiaTheme="minorEastAsia"/>
          <w:bCs/>
          <w:color w:val="auto"/>
          <w:sz w:val="36"/>
          <w:szCs w:val="36"/>
          <w:highlight w:val="none"/>
        </w:rPr>
        <w:t>第六章 竞争性磋商响应文件格式</w:t>
      </w:r>
      <w:bookmarkEnd w:id="112"/>
      <w:bookmarkEnd w:id="113"/>
      <w:bookmarkEnd w:id="114"/>
      <w:bookmarkEnd w:id="115"/>
      <w:bookmarkEnd w:id="116"/>
      <w:bookmarkEnd w:id="117"/>
    </w:p>
    <w:p w14:paraId="0FA621C8">
      <w:pPr>
        <w:pStyle w:val="24"/>
        <w:rPr>
          <w:color w:val="auto"/>
          <w:highlight w:val="none"/>
        </w:rPr>
      </w:pPr>
    </w:p>
    <w:p w14:paraId="736AAED3">
      <w:pPr>
        <w:rPr>
          <w:rFonts w:hint="eastAsia" w:cs="仿宋" w:asciiTheme="minorEastAsia" w:hAnsiTheme="minorEastAsia" w:eastAsiaTheme="minorEastAsia"/>
          <w:b/>
          <w:bCs/>
          <w:color w:val="auto"/>
          <w:sz w:val="32"/>
          <w:szCs w:val="32"/>
          <w:highlight w:val="none"/>
        </w:rPr>
      </w:pPr>
    </w:p>
    <w:p w14:paraId="5EC1C531">
      <w:pPr>
        <w:pStyle w:val="29"/>
        <w:rPr>
          <w:color w:val="auto"/>
          <w:highlight w:val="none"/>
        </w:rPr>
      </w:pPr>
    </w:p>
    <w:p w14:paraId="4AB6E269">
      <w:pPr>
        <w:rPr>
          <w:rFonts w:hint="eastAsia" w:cs="仿宋" w:asciiTheme="minorEastAsia" w:hAnsiTheme="minorEastAsia" w:eastAsiaTheme="minorEastAsia"/>
          <w:b/>
          <w:color w:val="auto"/>
          <w:sz w:val="32"/>
          <w:szCs w:val="32"/>
          <w:highlight w:val="none"/>
          <w:lang w:eastAsia="zh-CN"/>
        </w:rPr>
      </w:pPr>
      <w:r>
        <w:rPr>
          <w:rFonts w:hint="eastAsia" w:cs="仿宋" w:asciiTheme="minorEastAsia" w:hAnsiTheme="minorEastAsia" w:eastAsiaTheme="minorEastAsia"/>
          <w:b/>
          <w:bCs/>
          <w:color w:val="auto"/>
          <w:sz w:val="32"/>
          <w:szCs w:val="32"/>
          <w:highlight w:val="none"/>
        </w:rPr>
        <w:t>项目编号：</w:t>
      </w:r>
      <w:r>
        <w:rPr>
          <w:rFonts w:hint="eastAsia" w:cs="仿宋" w:asciiTheme="minorEastAsia" w:hAnsiTheme="minorEastAsia" w:eastAsiaTheme="minorEastAsia"/>
          <w:b/>
          <w:bCs/>
          <w:color w:val="auto"/>
          <w:sz w:val="32"/>
          <w:szCs w:val="32"/>
          <w:highlight w:val="none"/>
          <w:lang w:eastAsia="zh-CN"/>
        </w:rPr>
        <w:t>ZJZB-2026-035</w:t>
      </w:r>
    </w:p>
    <w:p w14:paraId="6518A86A">
      <w:pPr>
        <w:jc w:val="right"/>
        <w:rPr>
          <w:rFonts w:hint="eastAsia" w:cs="仿宋" w:asciiTheme="minorEastAsia" w:hAnsiTheme="minorEastAsia" w:eastAsiaTheme="minorEastAsia"/>
          <w:b/>
          <w:color w:val="auto"/>
          <w:sz w:val="32"/>
          <w:szCs w:val="32"/>
          <w:highlight w:val="none"/>
        </w:rPr>
      </w:pPr>
      <w:r>
        <w:rPr>
          <w:rFonts w:hint="eastAsia" w:cs="仿宋" w:asciiTheme="minorEastAsia" w:hAnsiTheme="minorEastAsia" w:eastAsiaTheme="minorEastAsia"/>
          <w:b/>
          <w:color w:val="auto"/>
          <w:sz w:val="32"/>
          <w:szCs w:val="32"/>
          <w:highlight w:val="none"/>
        </w:rPr>
        <w:t>（正本/副本）</w:t>
      </w:r>
    </w:p>
    <w:p w14:paraId="7E01D547">
      <w:pPr>
        <w:jc w:val="right"/>
        <w:rPr>
          <w:rFonts w:hint="eastAsia" w:cs="仿宋" w:asciiTheme="minorEastAsia" w:hAnsiTheme="minorEastAsia" w:eastAsiaTheme="minorEastAsia"/>
          <w:b/>
          <w:color w:val="auto"/>
          <w:sz w:val="32"/>
          <w:szCs w:val="32"/>
          <w:highlight w:val="none"/>
        </w:rPr>
      </w:pPr>
    </w:p>
    <w:p w14:paraId="275FFEC7">
      <w:pPr>
        <w:pStyle w:val="24"/>
        <w:rPr>
          <w:color w:val="auto"/>
          <w:highlight w:val="none"/>
        </w:rPr>
      </w:pPr>
    </w:p>
    <w:p w14:paraId="583EA3FD">
      <w:pPr>
        <w:rPr>
          <w:rFonts w:hint="eastAsia" w:cs="仿宋" w:asciiTheme="minorEastAsia" w:hAnsiTheme="minorEastAsia" w:eastAsiaTheme="minorEastAsia"/>
          <w:b/>
          <w:color w:val="auto"/>
          <w:sz w:val="48"/>
          <w:szCs w:val="48"/>
          <w:highlight w:val="none"/>
          <w:lang w:val="en-US" w:eastAsia="zh-CN"/>
        </w:rPr>
      </w:pPr>
    </w:p>
    <w:p w14:paraId="1855672B">
      <w:pPr>
        <w:rPr>
          <w:rFonts w:hint="eastAsia" w:cs="仿宋" w:asciiTheme="minorEastAsia" w:hAnsiTheme="minorEastAsia" w:eastAsiaTheme="minorEastAsia"/>
          <w:b/>
          <w:color w:val="auto"/>
          <w:sz w:val="52"/>
          <w:szCs w:val="52"/>
          <w:highlight w:val="none"/>
        </w:rPr>
      </w:pPr>
      <w:r>
        <w:rPr>
          <w:rFonts w:hint="eastAsia" w:cs="仿宋" w:asciiTheme="minorEastAsia" w:hAnsiTheme="minorEastAsia" w:eastAsiaTheme="minorEastAsia"/>
          <w:b/>
          <w:color w:val="auto"/>
          <w:sz w:val="48"/>
          <w:szCs w:val="48"/>
          <w:highlight w:val="none"/>
          <w:lang w:val="en-US" w:eastAsia="zh-CN"/>
        </w:rPr>
        <w:t>2026年度蓝田县政府大院机关食堂服务项目</w:t>
      </w:r>
    </w:p>
    <w:p w14:paraId="1F638BC1">
      <w:pPr>
        <w:pStyle w:val="2"/>
        <w:rPr>
          <w:rFonts w:hint="eastAsia" w:cs="仿宋" w:asciiTheme="minorEastAsia" w:hAnsiTheme="minorEastAsia" w:eastAsiaTheme="minorEastAsia"/>
          <w:color w:val="auto"/>
          <w:highlight w:val="none"/>
        </w:rPr>
      </w:pPr>
    </w:p>
    <w:p w14:paraId="3A8340EE">
      <w:pPr>
        <w:jc w:val="center"/>
        <w:rPr>
          <w:rFonts w:hint="eastAsia" w:cs="仿宋" w:asciiTheme="minorEastAsia" w:hAnsiTheme="minorEastAsia" w:eastAsiaTheme="minorEastAsia"/>
          <w:b/>
          <w:color w:val="auto"/>
          <w:sz w:val="52"/>
          <w:szCs w:val="52"/>
          <w:highlight w:val="none"/>
        </w:rPr>
      </w:pPr>
    </w:p>
    <w:p w14:paraId="0A7543FB">
      <w:pPr>
        <w:jc w:val="center"/>
        <w:rPr>
          <w:rFonts w:hint="eastAsia" w:cs="仿宋" w:asciiTheme="minorEastAsia" w:hAnsiTheme="minorEastAsia" w:eastAsiaTheme="minorEastAsia"/>
          <w:b/>
          <w:color w:val="auto"/>
          <w:sz w:val="52"/>
          <w:szCs w:val="52"/>
          <w:highlight w:val="none"/>
        </w:rPr>
      </w:pPr>
    </w:p>
    <w:p w14:paraId="48F52841">
      <w:pPr>
        <w:jc w:val="center"/>
        <w:rPr>
          <w:rFonts w:hint="eastAsia" w:cs="仿宋" w:asciiTheme="minorEastAsia" w:hAnsiTheme="minorEastAsia" w:eastAsiaTheme="minorEastAsia"/>
          <w:b/>
          <w:color w:val="auto"/>
          <w:sz w:val="52"/>
          <w:szCs w:val="52"/>
          <w:highlight w:val="none"/>
        </w:rPr>
      </w:pPr>
      <w:r>
        <w:rPr>
          <w:rFonts w:hint="eastAsia" w:cs="仿宋" w:asciiTheme="minorEastAsia" w:hAnsiTheme="minorEastAsia" w:eastAsiaTheme="minorEastAsia"/>
          <w:b/>
          <w:color w:val="auto"/>
          <w:sz w:val="52"/>
          <w:szCs w:val="52"/>
          <w:highlight w:val="none"/>
        </w:rPr>
        <w:t>竞争性磋商响应文件</w:t>
      </w:r>
    </w:p>
    <w:p w14:paraId="6D036853">
      <w:pPr>
        <w:rPr>
          <w:rFonts w:hint="eastAsia" w:cs="仿宋" w:asciiTheme="minorEastAsia" w:hAnsiTheme="minorEastAsia" w:eastAsiaTheme="minorEastAsia"/>
          <w:b/>
          <w:color w:val="auto"/>
          <w:sz w:val="36"/>
          <w:szCs w:val="36"/>
          <w:highlight w:val="none"/>
        </w:rPr>
      </w:pPr>
    </w:p>
    <w:p w14:paraId="36C636B5">
      <w:pPr>
        <w:rPr>
          <w:rFonts w:hint="eastAsia" w:cs="仿宋" w:asciiTheme="minorEastAsia" w:hAnsiTheme="minorEastAsia" w:eastAsiaTheme="minorEastAsia"/>
          <w:b/>
          <w:color w:val="auto"/>
          <w:sz w:val="36"/>
          <w:szCs w:val="36"/>
          <w:highlight w:val="none"/>
        </w:rPr>
      </w:pPr>
    </w:p>
    <w:p w14:paraId="6D2D9D49">
      <w:pPr>
        <w:rPr>
          <w:rFonts w:hint="eastAsia" w:cs="仿宋" w:asciiTheme="minorEastAsia" w:hAnsiTheme="minorEastAsia" w:eastAsiaTheme="minorEastAsia"/>
          <w:color w:val="auto"/>
          <w:highlight w:val="none"/>
        </w:rPr>
      </w:pPr>
    </w:p>
    <w:p w14:paraId="09F7EA11">
      <w:pPr>
        <w:tabs>
          <w:tab w:val="center" w:pos="5346"/>
        </w:tabs>
        <w:spacing w:line="480" w:lineRule="auto"/>
        <w:jc w:val="center"/>
        <w:rPr>
          <w:rFonts w:hint="eastAsia" w:cs="仿宋" w:asciiTheme="minorEastAsia" w:hAnsiTheme="minorEastAsia" w:eastAsiaTheme="minorEastAsia"/>
          <w:b/>
          <w:color w:val="auto"/>
          <w:sz w:val="32"/>
          <w:szCs w:val="32"/>
          <w:highlight w:val="none"/>
        </w:rPr>
      </w:pPr>
    </w:p>
    <w:p w14:paraId="0477B115">
      <w:pPr>
        <w:tabs>
          <w:tab w:val="center" w:pos="5346"/>
        </w:tabs>
        <w:spacing w:line="480" w:lineRule="auto"/>
        <w:jc w:val="center"/>
        <w:rPr>
          <w:rFonts w:hint="eastAsia" w:cs="仿宋" w:asciiTheme="minorEastAsia" w:hAnsiTheme="minorEastAsia" w:eastAsiaTheme="minorEastAsia"/>
          <w:b/>
          <w:color w:val="auto"/>
          <w:sz w:val="32"/>
          <w:szCs w:val="32"/>
          <w:highlight w:val="none"/>
        </w:rPr>
      </w:pPr>
    </w:p>
    <w:p w14:paraId="1BF4853F">
      <w:pPr>
        <w:tabs>
          <w:tab w:val="center" w:pos="5346"/>
        </w:tabs>
        <w:spacing w:line="480" w:lineRule="auto"/>
        <w:jc w:val="center"/>
        <w:rPr>
          <w:rFonts w:hint="eastAsia" w:cs="仿宋" w:asciiTheme="minorEastAsia" w:hAnsiTheme="minorEastAsia" w:eastAsiaTheme="minorEastAsia"/>
          <w:b/>
          <w:color w:val="auto"/>
          <w:sz w:val="32"/>
          <w:szCs w:val="32"/>
          <w:highlight w:val="none"/>
        </w:rPr>
      </w:pPr>
    </w:p>
    <w:p w14:paraId="06DB3B10">
      <w:pPr>
        <w:tabs>
          <w:tab w:val="center" w:pos="5346"/>
        </w:tabs>
        <w:spacing w:line="480" w:lineRule="auto"/>
        <w:jc w:val="center"/>
        <w:rPr>
          <w:rFonts w:hint="eastAsia" w:cs="仿宋" w:asciiTheme="minorEastAsia" w:hAnsiTheme="minorEastAsia" w:eastAsiaTheme="minorEastAsia"/>
          <w:b/>
          <w:color w:val="auto"/>
          <w:sz w:val="32"/>
          <w:szCs w:val="32"/>
          <w:highlight w:val="none"/>
        </w:rPr>
      </w:pPr>
      <w:r>
        <w:rPr>
          <w:rFonts w:hint="eastAsia" w:cs="仿宋" w:asciiTheme="minorEastAsia" w:hAnsiTheme="minorEastAsia" w:eastAsiaTheme="minorEastAsia"/>
          <w:b/>
          <w:color w:val="auto"/>
          <w:sz w:val="32"/>
          <w:szCs w:val="32"/>
          <w:highlight w:val="none"/>
        </w:rPr>
        <w:t>供应商名称（公章）</w:t>
      </w:r>
    </w:p>
    <w:p w14:paraId="237580B9">
      <w:pPr>
        <w:jc w:val="center"/>
        <w:rPr>
          <w:rFonts w:hint="eastAsia" w:cs="仿宋" w:asciiTheme="minorEastAsia" w:hAnsiTheme="minorEastAsia" w:eastAsiaTheme="minorEastAsia"/>
          <w:b/>
          <w:color w:val="auto"/>
          <w:sz w:val="32"/>
          <w:szCs w:val="32"/>
          <w:highlight w:val="none"/>
        </w:rPr>
      </w:pPr>
      <w:r>
        <w:rPr>
          <w:rFonts w:hint="eastAsia" w:cs="仿宋" w:asciiTheme="minorEastAsia" w:hAnsiTheme="minorEastAsia" w:eastAsiaTheme="minorEastAsia"/>
          <w:b/>
          <w:color w:val="auto"/>
          <w:sz w:val="32"/>
          <w:szCs w:val="32"/>
          <w:highlight w:val="none"/>
        </w:rPr>
        <w:t>年   月</w:t>
      </w:r>
      <w:bookmarkStart w:id="118" w:name="_Toc344572156"/>
      <w:r>
        <w:rPr>
          <w:rFonts w:hint="eastAsia" w:cs="仿宋" w:asciiTheme="minorEastAsia" w:hAnsiTheme="minorEastAsia" w:eastAsiaTheme="minorEastAsia"/>
          <w:b/>
          <w:color w:val="auto"/>
          <w:sz w:val="32"/>
          <w:szCs w:val="32"/>
          <w:highlight w:val="none"/>
        </w:rPr>
        <w:t xml:space="preserve">   日</w:t>
      </w:r>
    </w:p>
    <w:p w14:paraId="5D3513F6">
      <w:pPr>
        <w:widowControl/>
        <w:jc w:val="center"/>
        <w:rPr>
          <w:rFonts w:hint="eastAsia" w:cs="仿宋" w:asciiTheme="minorEastAsia" w:hAnsiTheme="minorEastAsia" w:eastAsiaTheme="minorEastAsia"/>
          <w:b/>
          <w:color w:val="auto"/>
          <w:sz w:val="44"/>
          <w:highlight w:val="none"/>
        </w:rPr>
      </w:pPr>
      <w:r>
        <w:rPr>
          <w:rFonts w:hint="eastAsia" w:cs="仿宋" w:asciiTheme="minorEastAsia" w:hAnsiTheme="minorEastAsia" w:eastAsiaTheme="minorEastAsia"/>
          <w:b/>
          <w:color w:val="auto"/>
          <w:sz w:val="44"/>
          <w:highlight w:val="none"/>
        </w:rPr>
        <w:br w:type="page"/>
      </w:r>
      <w:r>
        <w:rPr>
          <w:rFonts w:hint="eastAsia" w:cs="仿宋" w:asciiTheme="minorEastAsia" w:hAnsiTheme="minorEastAsia" w:eastAsiaTheme="minorEastAsia"/>
          <w:b/>
          <w:color w:val="auto"/>
          <w:sz w:val="44"/>
          <w:highlight w:val="none"/>
        </w:rPr>
        <w:t>目  录</w:t>
      </w:r>
    </w:p>
    <w:p w14:paraId="584BA7DF">
      <w:pPr>
        <w:pStyle w:val="2"/>
        <w:rPr>
          <w:rFonts w:hint="eastAsia" w:cs="仿宋" w:asciiTheme="minorEastAsia" w:hAnsiTheme="minorEastAsia" w:eastAsiaTheme="minorEastAsia"/>
          <w:color w:val="auto"/>
          <w:highlight w:val="none"/>
        </w:rPr>
      </w:pPr>
    </w:p>
    <w:bookmarkEnd w:id="118"/>
    <w:p w14:paraId="6973F83E">
      <w:pPr>
        <w:spacing w:line="900" w:lineRule="exact"/>
        <w:ind w:firstLine="496" w:firstLineChars="200"/>
        <w:jc w:val="left"/>
        <w:rPr>
          <w:rFonts w:hint="eastAsia" w:cs="仿宋" w:asciiTheme="minorEastAsia" w:hAnsiTheme="minorEastAsia" w:eastAsiaTheme="minorEastAsia"/>
          <w:color w:val="auto"/>
          <w:spacing w:val="4"/>
          <w:szCs w:val="24"/>
          <w:highlight w:val="none"/>
        </w:rPr>
      </w:pPr>
      <w:bookmarkStart w:id="119" w:name="_Toc29316"/>
      <w:bookmarkStart w:id="120" w:name="_Toc363474027"/>
      <w:bookmarkStart w:id="121" w:name="_Toc25120"/>
      <w:bookmarkStart w:id="122" w:name="_Toc403077648"/>
      <w:bookmarkStart w:id="123" w:name="_Toc204524343"/>
      <w:r>
        <w:rPr>
          <w:rFonts w:hint="eastAsia" w:cs="仿宋" w:asciiTheme="minorEastAsia" w:hAnsiTheme="minorEastAsia" w:eastAsiaTheme="minorEastAsia"/>
          <w:color w:val="auto"/>
          <w:spacing w:val="4"/>
          <w:szCs w:val="24"/>
          <w:highlight w:val="none"/>
        </w:rPr>
        <w:t>一、磋商响应函</w:t>
      </w:r>
    </w:p>
    <w:p w14:paraId="21074163">
      <w:pPr>
        <w:spacing w:line="900" w:lineRule="exact"/>
        <w:ind w:firstLine="496" w:firstLineChars="200"/>
        <w:jc w:val="left"/>
        <w:rPr>
          <w:rFonts w:hint="eastAsia" w:cs="仿宋" w:asciiTheme="minorEastAsia" w:hAnsiTheme="minorEastAsia" w:eastAsiaTheme="minorEastAsia"/>
          <w:color w:val="auto"/>
          <w:spacing w:val="4"/>
          <w:szCs w:val="24"/>
          <w:highlight w:val="none"/>
        </w:rPr>
      </w:pPr>
      <w:r>
        <w:rPr>
          <w:rFonts w:hint="eastAsia" w:cs="仿宋" w:asciiTheme="minorEastAsia" w:hAnsiTheme="minorEastAsia" w:eastAsiaTheme="minorEastAsia"/>
          <w:color w:val="auto"/>
          <w:spacing w:val="4"/>
          <w:szCs w:val="24"/>
          <w:highlight w:val="none"/>
        </w:rPr>
        <w:t>二、磋商报价表</w:t>
      </w:r>
    </w:p>
    <w:p w14:paraId="2E6424CB">
      <w:pPr>
        <w:spacing w:line="900" w:lineRule="exact"/>
        <w:ind w:firstLine="496" w:firstLineChars="200"/>
        <w:jc w:val="left"/>
        <w:rPr>
          <w:rFonts w:hint="eastAsia" w:cs="仿宋" w:asciiTheme="minorEastAsia" w:hAnsiTheme="minorEastAsia" w:eastAsiaTheme="minorEastAsia"/>
          <w:color w:val="auto"/>
          <w:spacing w:val="4"/>
          <w:szCs w:val="24"/>
          <w:highlight w:val="none"/>
        </w:rPr>
      </w:pPr>
      <w:r>
        <w:rPr>
          <w:rFonts w:hint="eastAsia" w:cs="仿宋" w:asciiTheme="minorEastAsia" w:hAnsiTheme="minorEastAsia" w:eastAsiaTheme="minorEastAsia"/>
          <w:color w:val="auto"/>
          <w:spacing w:val="4"/>
          <w:szCs w:val="24"/>
          <w:highlight w:val="none"/>
        </w:rPr>
        <w:t>三、磋商方案说明书</w:t>
      </w:r>
    </w:p>
    <w:p w14:paraId="12E26293">
      <w:pPr>
        <w:spacing w:line="900" w:lineRule="exact"/>
        <w:ind w:firstLine="496" w:firstLineChars="200"/>
        <w:jc w:val="left"/>
        <w:rPr>
          <w:rFonts w:hint="eastAsia" w:cs="仿宋" w:asciiTheme="minorEastAsia" w:hAnsiTheme="minorEastAsia" w:eastAsiaTheme="minorEastAsia"/>
          <w:color w:val="auto"/>
          <w:spacing w:val="4"/>
          <w:szCs w:val="24"/>
          <w:highlight w:val="none"/>
          <w:lang w:eastAsia="zh-CN"/>
        </w:rPr>
      </w:pPr>
      <w:r>
        <w:rPr>
          <w:rFonts w:hint="eastAsia" w:cs="仿宋" w:asciiTheme="minorEastAsia" w:hAnsiTheme="minorEastAsia" w:eastAsiaTheme="minorEastAsia"/>
          <w:color w:val="auto"/>
          <w:spacing w:val="4"/>
          <w:szCs w:val="24"/>
          <w:highlight w:val="none"/>
          <w:lang w:eastAsia="zh-CN"/>
        </w:rPr>
        <w:t>四、服务应答表</w:t>
      </w:r>
    </w:p>
    <w:p w14:paraId="1136A8AD">
      <w:pPr>
        <w:spacing w:line="900" w:lineRule="exact"/>
        <w:ind w:firstLine="496" w:firstLineChars="200"/>
        <w:jc w:val="left"/>
        <w:rPr>
          <w:rFonts w:hint="eastAsia"/>
          <w:highlight w:val="none"/>
        </w:rPr>
      </w:pPr>
      <w:r>
        <w:rPr>
          <w:rFonts w:hint="eastAsia" w:cs="仿宋" w:asciiTheme="minorEastAsia" w:hAnsiTheme="minorEastAsia" w:eastAsiaTheme="minorEastAsia"/>
          <w:color w:val="auto"/>
          <w:spacing w:val="4"/>
          <w:szCs w:val="24"/>
          <w:highlight w:val="none"/>
          <w:lang w:eastAsia="zh-CN"/>
        </w:rPr>
        <w:t>五</w:t>
      </w:r>
      <w:r>
        <w:rPr>
          <w:rFonts w:hint="eastAsia" w:cs="仿宋" w:asciiTheme="minorEastAsia" w:hAnsiTheme="minorEastAsia" w:eastAsiaTheme="minorEastAsia"/>
          <w:color w:val="auto"/>
          <w:spacing w:val="4"/>
          <w:szCs w:val="24"/>
          <w:highlight w:val="none"/>
        </w:rPr>
        <w:t>、商务响应说明书</w:t>
      </w:r>
    </w:p>
    <w:p w14:paraId="1C1A0F01">
      <w:pPr>
        <w:spacing w:line="900" w:lineRule="exact"/>
        <w:ind w:firstLine="496" w:firstLineChars="200"/>
        <w:jc w:val="left"/>
        <w:rPr>
          <w:rFonts w:hint="eastAsia" w:cs="仿宋" w:asciiTheme="minorEastAsia" w:hAnsiTheme="minorEastAsia" w:eastAsiaTheme="minorEastAsia"/>
          <w:color w:val="auto"/>
          <w:spacing w:val="4"/>
          <w:szCs w:val="24"/>
          <w:highlight w:val="none"/>
        </w:rPr>
      </w:pPr>
      <w:r>
        <w:rPr>
          <w:rFonts w:hint="eastAsia" w:cs="仿宋" w:asciiTheme="minorEastAsia" w:hAnsiTheme="minorEastAsia" w:eastAsiaTheme="minorEastAsia"/>
          <w:color w:val="auto"/>
          <w:spacing w:val="4"/>
          <w:szCs w:val="24"/>
          <w:highlight w:val="none"/>
          <w:lang w:eastAsia="zh-CN"/>
        </w:rPr>
        <w:t>六</w:t>
      </w:r>
      <w:r>
        <w:rPr>
          <w:rFonts w:hint="eastAsia" w:cs="仿宋" w:asciiTheme="minorEastAsia" w:hAnsiTheme="minorEastAsia" w:eastAsiaTheme="minorEastAsia"/>
          <w:color w:val="auto"/>
          <w:spacing w:val="4"/>
          <w:szCs w:val="24"/>
          <w:highlight w:val="none"/>
        </w:rPr>
        <w:t>、供应商承诺书</w:t>
      </w:r>
    </w:p>
    <w:p w14:paraId="2EBE5F59">
      <w:pPr>
        <w:spacing w:line="900" w:lineRule="exact"/>
        <w:ind w:firstLine="496" w:firstLineChars="200"/>
        <w:jc w:val="left"/>
        <w:rPr>
          <w:rFonts w:hint="eastAsia" w:cs="仿宋" w:asciiTheme="minorEastAsia" w:hAnsiTheme="minorEastAsia" w:eastAsiaTheme="minorEastAsia"/>
          <w:color w:val="auto"/>
          <w:spacing w:val="4"/>
          <w:szCs w:val="24"/>
          <w:highlight w:val="none"/>
        </w:rPr>
      </w:pPr>
      <w:r>
        <w:rPr>
          <w:rFonts w:hint="eastAsia" w:cs="仿宋" w:asciiTheme="minorEastAsia" w:hAnsiTheme="minorEastAsia" w:eastAsiaTheme="minorEastAsia"/>
          <w:color w:val="auto"/>
          <w:spacing w:val="4"/>
          <w:szCs w:val="24"/>
          <w:highlight w:val="none"/>
          <w:lang w:eastAsia="zh-CN"/>
        </w:rPr>
        <w:t>七</w:t>
      </w:r>
      <w:r>
        <w:rPr>
          <w:rFonts w:hint="eastAsia" w:cs="仿宋" w:asciiTheme="minorEastAsia" w:hAnsiTheme="minorEastAsia" w:eastAsiaTheme="minorEastAsia"/>
          <w:color w:val="auto"/>
          <w:spacing w:val="4"/>
          <w:szCs w:val="24"/>
          <w:highlight w:val="none"/>
        </w:rPr>
        <w:t>、资格证明文件</w:t>
      </w:r>
    </w:p>
    <w:p w14:paraId="585CA5D5">
      <w:pPr>
        <w:spacing w:line="900" w:lineRule="exact"/>
        <w:ind w:firstLine="496" w:firstLineChars="200"/>
        <w:jc w:val="left"/>
        <w:rPr>
          <w:rFonts w:hint="eastAsia" w:cs="仿宋" w:asciiTheme="minorEastAsia" w:hAnsiTheme="minorEastAsia" w:eastAsiaTheme="minorEastAsia"/>
          <w:color w:val="auto"/>
          <w:spacing w:val="4"/>
          <w:szCs w:val="24"/>
          <w:highlight w:val="none"/>
        </w:rPr>
      </w:pPr>
      <w:r>
        <w:rPr>
          <w:rFonts w:hint="eastAsia" w:cs="仿宋" w:asciiTheme="minorEastAsia" w:hAnsiTheme="minorEastAsia" w:eastAsiaTheme="minorEastAsia"/>
          <w:color w:val="auto"/>
          <w:spacing w:val="4"/>
          <w:szCs w:val="24"/>
          <w:highlight w:val="none"/>
          <w:lang w:eastAsia="zh-CN"/>
        </w:rPr>
        <w:t>八</w:t>
      </w:r>
      <w:r>
        <w:rPr>
          <w:rFonts w:hint="eastAsia" w:cs="仿宋" w:asciiTheme="minorEastAsia" w:hAnsiTheme="minorEastAsia" w:eastAsiaTheme="minorEastAsia"/>
          <w:color w:val="auto"/>
          <w:spacing w:val="4"/>
          <w:szCs w:val="24"/>
          <w:highlight w:val="none"/>
        </w:rPr>
        <w:t>、其它资料</w:t>
      </w:r>
    </w:p>
    <w:p w14:paraId="7552C7AC">
      <w:pPr>
        <w:rPr>
          <w:color w:val="auto"/>
          <w:highlight w:val="none"/>
        </w:rPr>
      </w:pPr>
    </w:p>
    <w:p w14:paraId="03C315E3">
      <w:pPr>
        <w:spacing w:line="520" w:lineRule="exact"/>
        <w:jc w:val="center"/>
        <w:outlineLvl w:val="1"/>
        <w:rPr>
          <w:rFonts w:hint="eastAsia" w:cs="仿宋" w:asciiTheme="minorEastAsia" w:hAnsiTheme="minorEastAsia" w:eastAsiaTheme="minorEastAsia"/>
          <w:b/>
          <w:color w:val="auto"/>
          <w:sz w:val="32"/>
          <w:szCs w:val="32"/>
          <w:highlight w:val="none"/>
        </w:rPr>
      </w:pPr>
      <w:r>
        <w:rPr>
          <w:rFonts w:hint="eastAsia" w:cs="仿宋" w:asciiTheme="minorEastAsia" w:hAnsiTheme="minorEastAsia" w:eastAsiaTheme="minorEastAsia"/>
          <w:color w:val="auto"/>
          <w:highlight w:val="none"/>
        </w:rPr>
        <w:br w:type="page"/>
      </w:r>
      <w:r>
        <w:rPr>
          <w:rFonts w:hint="eastAsia" w:cs="仿宋" w:asciiTheme="minorEastAsia" w:hAnsiTheme="minorEastAsia" w:eastAsiaTheme="minorEastAsia"/>
          <w:b/>
          <w:color w:val="auto"/>
          <w:sz w:val="32"/>
          <w:szCs w:val="32"/>
          <w:highlight w:val="none"/>
        </w:rPr>
        <w:t>一、磋商响应函</w:t>
      </w:r>
      <w:bookmarkEnd w:id="119"/>
      <w:bookmarkEnd w:id="120"/>
      <w:bookmarkEnd w:id="121"/>
      <w:bookmarkEnd w:id="122"/>
    </w:p>
    <w:p w14:paraId="60964DFA">
      <w:pPr>
        <w:spacing w:line="360" w:lineRule="auto"/>
        <w:jc w:val="left"/>
        <w:rPr>
          <w:rFonts w:hint="eastAsia" w:cs="仿宋" w:asciiTheme="minorEastAsia" w:hAnsiTheme="minorEastAsia" w:eastAsiaTheme="minorEastAsia"/>
          <w:color w:val="auto"/>
          <w:spacing w:val="4"/>
          <w:szCs w:val="24"/>
          <w:highlight w:val="none"/>
        </w:rPr>
      </w:pPr>
    </w:p>
    <w:p w14:paraId="6E2B5771">
      <w:pPr>
        <w:spacing w:line="360" w:lineRule="auto"/>
        <w:jc w:val="left"/>
        <w:rPr>
          <w:rFonts w:hint="eastAsia" w:cs="仿宋" w:asciiTheme="minorEastAsia" w:hAnsiTheme="minorEastAsia" w:eastAsiaTheme="minorEastAsia"/>
          <w:color w:val="auto"/>
          <w:spacing w:val="4"/>
          <w:szCs w:val="24"/>
          <w:highlight w:val="none"/>
          <w:lang w:eastAsia="zh-CN"/>
        </w:rPr>
      </w:pPr>
      <w:r>
        <w:rPr>
          <w:rFonts w:hint="eastAsia" w:cs="仿宋" w:asciiTheme="minorEastAsia" w:hAnsiTheme="minorEastAsia" w:eastAsiaTheme="minorEastAsia"/>
          <w:color w:val="auto"/>
          <w:spacing w:val="4"/>
          <w:szCs w:val="24"/>
          <w:highlight w:val="none"/>
        </w:rPr>
        <w:t>致：</w:t>
      </w:r>
      <w:r>
        <w:rPr>
          <w:rFonts w:hint="eastAsia" w:cs="仿宋" w:asciiTheme="minorEastAsia" w:hAnsiTheme="minorEastAsia" w:eastAsiaTheme="minorEastAsia"/>
          <w:color w:val="auto"/>
          <w:spacing w:val="4"/>
          <w:szCs w:val="24"/>
          <w:highlight w:val="none"/>
          <w:u w:val="single"/>
        </w:rPr>
        <w:t>采购人</w:t>
      </w:r>
      <w:r>
        <w:rPr>
          <w:rFonts w:cs="仿宋" w:asciiTheme="minorEastAsia" w:hAnsiTheme="minorEastAsia" w:eastAsiaTheme="minorEastAsia"/>
          <w:color w:val="auto"/>
          <w:spacing w:val="4"/>
          <w:szCs w:val="24"/>
          <w:highlight w:val="none"/>
          <w:u w:val="single"/>
        </w:rPr>
        <w:t>名称</w:t>
      </w:r>
      <w:r>
        <w:rPr>
          <w:rFonts w:hint="eastAsia" w:cs="仿宋" w:asciiTheme="minorEastAsia" w:hAnsiTheme="minorEastAsia" w:eastAsiaTheme="minorEastAsia"/>
          <w:color w:val="auto"/>
          <w:spacing w:val="4"/>
          <w:szCs w:val="24"/>
          <w:highlight w:val="none"/>
          <w:u w:val="single"/>
        </w:rPr>
        <w:t>/</w:t>
      </w:r>
      <w:r>
        <w:rPr>
          <w:rFonts w:hint="eastAsia" w:cs="仿宋" w:asciiTheme="minorEastAsia" w:hAnsiTheme="minorEastAsia" w:eastAsiaTheme="minorEastAsia"/>
          <w:color w:val="auto"/>
          <w:spacing w:val="4"/>
          <w:szCs w:val="24"/>
          <w:highlight w:val="none"/>
          <w:u w:val="single"/>
          <w:lang w:eastAsia="zh-CN"/>
        </w:rPr>
        <w:t>致君项目管理有限公司</w:t>
      </w:r>
    </w:p>
    <w:p w14:paraId="51CE8EE0">
      <w:pPr>
        <w:spacing w:line="360" w:lineRule="auto"/>
        <w:ind w:firstLine="496" w:firstLineChars="200"/>
        <w:rPr>
          <w:rFonts w:hint="eastAsia" w:cs="仿宋" w:asciiTheme="minorEastAsia" w:hAnsiTheme="minorEastAsia" w:eastAsiaTheme="minorEastAsia"/>
          <w:color w:val="auto"/>
          <w:spacing w:val="4"/>
          <w:szCs w:val="24"/>
          <w:highlight w:val="none"/>
        </w:rPr>
      </w:pPr>
      <w:r>
        <w:rPr>
          <w:rFonts w:hint="eastAsia" w:cs="仿宋" w:asciiTheme="minorEastAsia" w:hAnsiTheme="minorEastAsia" w:eastAsiaTheme="minorEastAsia"/>
          <w:color w:val="auto"/>
          <w:spacing w:val="4"/>
          <w:szCs w:val="24"/>
          <w:highlight w:val="none"/>
        </w:rPr>
        <w:t>我方收到</w:t>
      </w:r>
      <w:r>
        <w:rPr>
          <w:rFonts w:hint="eastAsia" w:cs="仿宋" w:asciiTheme="minorEastAsia" w:hAnsiTheme="minorEastAsia" w:eastAsiaTheme="minorEastAsia"/>
          <w:color w:val="auto"/>
          <w:spacing w:val="4"/>
          <w:szCs w:val="24"/>
          <w:highlight w:val="none"/>
          <w:u w:val="single"/>
        </w:rPr>
        <w:t xml:space="preserve">  </w:t>
      </w:r>
      <w:r>
        <w:rPr>
          <w:rFonts w:hint="eastAsia" w:cs="仿宋" w:asciiTheme="minorEastAsia" w:hAnsiTheme="minorEastAsia" w:eastAsiaTheme="minorEastAsia"/>
          <w:color w:val="auto"/>
          <w:spacing w:val="4"/>
          <w:szCs w:val="24"/>
          <w:highlight w:val="none"/>
          <w:u w:val="single"/>
          <w:lang w:val="en-US" w:eastAsia="zh-CN"/>
        </w:rPr>
        <w:t xml:space="preserve">           </w:t>
      </w:r>
      <w:r>
        <w:rPr>
          <w:rFonts w:hint="eastAsia" w:cs="仿宋" w:asciiTheme="minorEastAsia" w:hAnsiTheme="minorEastAsia" w:eastAsiaTheme="minorEastAsia"/>
          <w:color w:val="auto"/>
          <w:spacing w:val="4"/>
          <w:szCs w:val="24"/>
          <w:highlight w:val="none"/>
          <w:u w:val="none"/>
        </w:rPr>
        <w:t>（项目名称</w:t>
      </w:r>
      <w:r>
        <w:rPr>
          <w:rFonts w:hint="eastAsia" w:cs="仿宋" w:asciiTheme="minorEastAsia" w:hAnsiTheme="minorEastAsia" w:eastAsiaTheme="minorEastAsia"/>
          <w:color w:val="auto"/>
          <w:spacing w:val="4"/>
          <w:szCs w:val="24"/>
          <w:highlight w:val="none"/>
          <w:u w:val="none"/>
          <w:lang w:eastAsia="zh-CN"/>
        </w:rPr>
        <w:t>）</w:t>
      </w:r>
      <w:r>
        <w:rPr>
          <w:rFonts w:hint="eastAsia" w:cs="仿宋" w:asciiTheme="minorEastAsia" w:hAnsiTheme="minorEastAsia" w:eastAsiaTheme="minorEastAsia"/>
          <w:color w:val="auto"/>
          <w:spacing w:val="4"/>
          <w:szCs w:val="24"/>
          <w:highlight w:val="none"/>
          <w:u w:val="single"/>
        </w:rPr>
        <w:t xml:space="preserve">    </w:t>
      </w:r>
      <w:r>
        <w:rPr>
          <w:rFonts w:hint="eastAsia" w:cs="仿宋" w:asciiTheme="minorEastAsia" w:hAnsiTheme="minorEastAsia" w:eastAsiaTheme="minorEastAsia"/>
          <w:color w:val="auto"/>
          <w:spacing w:val="4"/>
          <w:szCs w:val="24"/>
          <w:highlight w:val="none"/>
          <w:u w:val="single"/>
          <w:lang w:val="en-US" w:eastAsia="zh-CN"/>
        </w:rPr>
        <w:t xml:space="preserve">         </w:t>
      </w:r>
      <w:r>
        <w:rPr>
          <w:rFonts w:hint="eastAsia" w:cs="仿宋" w:asciiTheme="minorEastAsia" w:hAnsiTheme="minorEastAsia" w:eastAsiaTheme="minorEastAsia"/>
          <w:color w:val="auto"/>
          <w:spacing w:val="4"/>
          <w:szCs w:val="24"/>
          <w:highlight w:val="none"/>
          <w:u w:val="none"/>
          <w:lang w:eastAsia="zh-CN"/>
        </w:rPr>
        <w:t>（</w:t>
      </w:r>
      <w:r>
        <w:rPr>
          <w:rFonts w:hint="eastAsia" w:cs="仿宋" w:asciiTheme="minorEastAsia" w:hAnsiTheme="minorEastAsia" w:eastAsiaTheme="minorEastAsia"/>
          <w:color w:val="auto"/>
          <w:spacing w:val="4"/>
          <w:szCs w:val="24"/>
          <w:highlight w:val="none"/>
          <w:u w:val="none"/>
        </w:rPr>
        <w:t>项目编号</w:t>
      </w:r>
      <w:r>
        <w:rPr>
          <w:rFonts w:hint="eastAsia" w:cs="仿宋" w:asciiTheme="minorEastAsia" w:hAnsiTheme="minorEastAsia" w:eastAsiaTheme="minorEastAsia"/>
          <w:color w:val="auto"/>
          <w:spacing w:val="4"/>
          <w:szCs w:val="24"/>
          <w:highlight w:val="none"/>
          <w:u w:val="none"/>
          <w:lang w:eastAsia="zh-CN"/>
        </w:rPr>
        <w:t>）</w:t>
      </w:r>
      <w:r>
        <w:rPr>
          <w:rFonts w:hint="eastAsia" w:cs="仿宋" w:asciiTheme="minorEastAsia" w:hAnsiTheme="minorEastAsia" w:eastAsiaTheme="minorEastAsia"/>
          <w:color w:val="auto"/>
          <w:spacing w:val="4"/>
          <w:szCs w:val="24"/>
          <w:highlight w:val="none"/>
        </w:rPr>
        <w:t>磋商文件，经我公司详细研究，我公司决定参加本项目的磋商活动。为此，我方郑重声明以下诸点，并愿意承担相应的法律责任。</w:t>
      </w:r>
    </w:p>
    <w:p w14:paraId="17C4BEBE">
      <w:pPr>
        <w:spacing w:line="360" w:lineRule="auto"/>
        <w:ind w:firstLine="496" w:firstLineChars="200"/>
        <w:rPr>
          <w:rFonts w:hint="eastAsia" w:cs="仿宋" w:asciiTheme="minorEastAsia" w:hAnsiTheme="minorEastAsia" w:eastAsiaTheme="minorEastAsia"/>
          <w:color w:val="auto"/>
          <w:spacing w:val="4"/>
          <w:szCs w:val="24"/>
          <w:highlight w:val="none"/>
        </w:rPr>
      </w:pPr>
      <w:r>
        <w:rPr>
          <w:rFonts w:hint="eastAsia" w:cs="仿宋" w:asciiTheme="minorEastAsia" w:hAnsiTheme="minorEastAsia" w:eastAsiaTheme="minorEastAsia"/>
          <w:color w:val="auto"/>
          <w:spacing w:val="4"/>
          <w:szCs w:val="24"/>
          <w:highlight w:val="none"/>
        </w:rPr>
        <w:t>1.我方愿意按照磋商文件中的一切要求，提供相应</w:t>
      </w:r>
      <w:r>
        <w:rPr>
          <w:rFonts w:hint="eastAsia" w:cs="仿宋" w:asciiTheme="minorEastAsia" w:hAnsiTheme="minorEastAsia" w:eastAsiaTheme="minorEastAsia"/>
          <w:color w:val="auto"/>
          <w:spacing w:val="4"/>
          <w:szCs w:val="24"/>
          <w:highlight w:val="none"/>
          <w:lang w:eastAsia="zh-CN"/>
        </w:rPr>
        <w:t>服务</w:t>
      </w:r>
      <w:r>
        <w:rPr>
          <w:rFonts w:hint="eastAsia" w:cs="仿宋" w:asciiTheme="minorEastAsia" w:hAnsiTheme="minorEastAsia" w:eastAsiaTheme="minorEastAsia"/>
          <w:color w:val="auto"/>
          <w:spacing w:val="4"/>
          <w:szCs w:val="24"/>
          <w:highlight w:val="none"/>
        </w:rPr>
        <w:t>，完成合同的责任和义务。</w:t>
      </w:r>
    </w:p>
    <w:p w14:paraId="04FA1A12">
      <w:pPr>
        <w:spacing w:line="360" w:lineRule="auto"/>
        <w:ind w:firstLine="496" w:firstLineChars="200"/>
        <w:rPr>
          <w:rFonts w:hint="eastAsia" w:cs="仿宋" w:asciiTheme="minorEastAsia" w:hAnsiTheme="minorEastAsia" w:eastAsiaTheme="minorEastAsia"/>
          <w:color w:val="auto"/>
          <w:spacing w:val="4"/>
          <w:szCs w:val="24"/>
          <w:highlight w:val="none"/>
        </w:rPr>
      </w:pPr>
      <w:r>
        <w:rPr>
          <w:rFonts w:hint="eastAsia" w:cs="仿宋" w:asciiTheme="minorEastAsia" w:hAnsiTheme="minorEastAsia" w:eastAsiaTheme="minorEastAsia"/>
          <w:color w:val="auto"/>
          <w:spacing w:val="4"/>
          <w:szCs w:val="24"/>
          <w:highlight w:val="none"/>
        </w:rPr>
        <w:t>2.我方提交的响应文件为正本</w:t>
      </w:r>
      <w:r>
        <w:rPr>
          <w:rFonts w:hint="eastAsia" w:cs="仿宋" w:asciiTheme="minorEastAsia" w:hAnsiTheme="minorEastAsia" w:eastAsiaTheme="minorEastAsia"/>
          <w:color w:val="auto"/>
          <w:spacing w:val="4"/>
          <w:szCs w:val="24"/>
          <w:highlight w:val="none"/>
          <w:u w:val="single"/>
        </w:rPr>
        <w:t xml:space="preserve"> </w:t>
      </w:r>
      <w:r>
        <w:rPr>
          <w:rFonts w:hint="eastAsia" w:cs="仿宋" w:asciiTheme="minorEastAsia" w:hAnsiTheme="minorEastAsia" w:eastAsiaTheme="minorEastAsia"/>
          <w:color w:val="auto"/>
          <w:spacing w:val="4"/>
          <w:szCs w:val="24"/>
          <w:highlight w:val="none"/>
          <w:u w:val="single"/>
          <w:lang w:val="en-US" w:eastAsia="zh-CN"/>
        </w:rPr>
        <w:t xml:space="preserve"> </w:t>
      </w:r>
      <w:r>
        <w:rPr>
          <w:rFonts w:hint="eastAsia" w:cs="仿宋" w:asciiTheme="minorEastAsia" w:hAnsiTheme="minorEastAsia" w:eastAsiaTheme="minorEastAsia"/>
          <w:color w:val="auto"/>
          <w:spacing w:val="4"/>
          <w:szCs w:val="24"/>
          <w:highlight w:val="none"/>
          <w:u w:val="single"/>
        </w:rPr>
        <w:t xml:space="preserve">  </w:t>
      </w:r>
      <w:r>
        <w:rPr>
          <w:rFonts w:hint="eastAsia" w:cs="仿宋" w:asciiTheme="minorEastAsia" w:hAnsiTheme="minorEastAsia" w:eastAsiaTheme="minorEastAsia"/>
          <w:color w:val="auto"/>
          <w:spacing w:val="4"/>
          <w:szCs w:val="24"/>
          <w:highlight w:val="none"/>
        </w:rPr>
        <w:t>份，副本</w:t>
      </w:r>
      <w:r>
        <w:rPr>
          <w:rFonts w:hint="eastAsia" w:cs="仿宋" w:asciiTheme="minorEastAsia" w:hAnsiTheme="minorEastAsia" w:eastAsiaTheme="minorEastAsia"/>
          <w:color w:val="auto"/>
          <w:spacing w:val="4"/>
          <w:szCs w:val="24"/>
          <w:highlight w:val="none"/>
          <w:u w:val="single"/>
        </w:rPr>
        <w:t xml:space="preserve">   </w:t>
      </w:r>
      <w:r>
        <w:rPr>
          <w:rFonts w:hint="eastAsia" w:cs="仿宋" w:asciiTheme="minorEastAsia" w:hAnsiTheme="minorEastAsia" w:eastAsiaTheme="minorEastAsia"/>
          <w:color w:val="auto"/>
          <w:spacing w:val="4"/>
          <w:szCs w:val="24"/>
          <w:highlight w:val="none"/>
        </w:rPr>
        <w:t>份，电子版文件</w:t>
      </w:r>
      <w:r>
        <w:rPr>
          <w:rFonts w:hint="eastAsia" w:cs="仿宋" w:asciiTheme="minorEastAsia" w:hAnsiTheme="minorEastAsia" w:eastAsiaTheme="minorEastAsia"/>
          <w:color w:val="auto"/>
          <w:spacing w:val="4"/>
          <w:szCs w:val="24"/>
          <w:highlight w:val="none"/>
          <w:u w:val="single"/>
        </w:rPr>
        <w:t xml:space="preserve">   </w:t>
      </w:r>
      <w:r>
        <w:rPr>
          <w:rFonts w:hint="eastAsia" w:cs="仿宋" w:asciiTheme="minorEastAsia" w:hAnsiTheme="minorEastAsia" w:eastAsiaTheme="minorEastAsia"/>
          <w:color w:val="auto"/>
          <w:spacing w:val="4"/>
          <w:szCs w:val="24"/>
          <w:highlight w:val="none"/>
        </w:rPr>
        <w:t>份（U盘</w:t>
      </w:r>
      <w:r>
        <w:rPr>
          <w:rFonts w:hint="eastAsia" w:cs="仿宋" w:asciiTheme="minorEastAsia" w:hAnsiTheme="minorEastAsia" w:eastAsiaTheme="minorEastAsia"/>
          <w:color w:val="auto"/>
          <w:spacing w:val="4"/>
          <w:szCs w:val="24"/>
          <w:highlight w:val="none"/>
          <w:u w:val="single"/>
        </w:rPr>
        <w:t xml:space="preserve">   </w:t>
      </w:r>
      <w:r>
        <w:rPr>
          <w:rFonts w:hint="eastAsia" w:cs="仿宋" w:asciiTheme="minorEastAsia" w:hAnsiTheme="minorEastAsia" w:eastAsiaTheme="minorEastAsia"/>
          <w:color w:val="auto"/>
          <w:spacing w:val="4"/>
          <w:szCs w:val="24"/>
          <w:highlight w:val="none"/>
        </w:rPr>
        <w:t>份）。</w:t>
      </w:r>
    </w:p>
    <w:p w14:paraId="115F1A56">
      <w:pPr>
        <w:spacing w:line="360" w:lineRule="auto"/>
        <w:ind w:firstLine="496" w:firstLineChars="200"/>
        <w:rPr>
          <w:rFonts w:hint="eastAsia" w:cs="仿宋" w:asciiTheme="minorEastAsia" w:hAnsiTheme="minorEastAsia" w:eastAsiaTheme="minorEastAsia"/>
          <w:color w:val="auto"/>
          <w:spacing w:val="4"/>
          <w:szCs w:val="24"/>
          <w:highlight w:val="none"/>
        </w:rPr>
      </w:pPr>
      <w:r>
        <w:rPr>
          <w:rFonts w:hint="eastAsia" w:cs="仿宋" w:asciiTheme="minorEastAsia" w:hAnsiTheme="minorEastAsia" w:eastAsiaTheme="minorEastAsia"/>
          <w:color w:val="auto"/>
          <w:spacing w:val="4"/>
          <w:szCs w:val="24"/>
          <w:highlight w:val="none"/>
        </w:rPr>
        <w:t>3.我方已详细阅读了本项目磋商文件，完全理解并同意放弃提出含糊不清和误解问题的权力。</w:t>
      </w:r>
    </w:p>
    <w:p w14:paraId="6B27AE6A">
      <w:pPr>
        <w:spacing w:line="360" w:lineRule="auto"/>
        <w:ind w:firstLine="496" w:firstLineChars="200"/>
        <w:rPr>
          <w:rFonts w:hint="eastAsia" w:cs="仿宋" w:asciiTheme="minorEastAsia" w:hAnsiTheme="minorEastAsia" w:eastAsiaTheme="minorEastAsia"/>
          <w:color w:val="auto"/>
          <w:spacing w:val="4"/>
          <w:szCs w:val="24"/>
          <w:highlight w:val="none"/>
        </w:rPr>
      </w:pPr>
      <w:r>
        <w:rPr>
          <w:rFonts w:hint="eastAsia" w:cs="仿宋" w:asciiTheme="minorEastAsia" w:hAnsiTheme="minorEastAsia" w:eastAsiaTheme="minorEastAsia"/>
          <w:color w:val="auto"/>
          <w:spacing w:val="4"/>
          <w:szCs w:val="24"/>
          <w:highlight w:val="none"/>
        </w:rPr>
        <w:t>4.我方同意向贵方提供可能要求的、与本次磋商有关的任何证据资料。</w:t>
      </w:r>
    </w:p>
    <w:p w14:paraId="68806453">
      <w:pPr>
        <w:spacing w:line="360" w:lineRule="auto"/>
        <w:ind w:firstLine="496" w:firstLineChars="200"/>
        <w:rPr>
          <w:rFonts w:hint="eastAsia" w:cs="仿宋" w:asciiTheme="minorEastAsia" w:hAnsiTheme="minorEastAsia" w:eastAsiaTheme="minorEastAsia"/>
          <w:color w:val="auto"/>
          <w:spacing w:val="4"/>
          <w:szCs w:val="24"/>
          <w:highlight w:val="none"/>
        </w:rPr>
      </w:pPr>
      <w:r>
        <w:rPr>
          <w:rFonts w:hint="eastAsia" w:cs="仿宋" w:asciiTheme="minorEastAsia" w:hAnsiTheme="minorEastAsia" w:eastAsiaTheme="minorEastAsia"/>
          <w:color w:val="auto"/>
          <w:spacing w:val="4"/>
          <w:szCs w:val="24"/>
          <w:highlight w:val="none"/>
          <w:lang w:val="en-US" w:eastAsia="zh-CN"/>
        </w:rPr>
        <w:t>5</w:t>
      </w:r>
      <w:r>
        <w:rPr>
          <w:rFonts w:hint="eastAsia" w:cs="仿宋" w:asciiTheme="minorEastAsia" w:hAnsiTheme="minorEastAsia" w:eastAsiaTheme="minorEastAsia"/>
          <w:color w:val="auto"/>
          <w:spacing w:val="4"/>
          <w:szCs w:val="24"/>
          <w:highlight w:val="none"/>
        </w:rPr>
        <w:t>.我方的响应文件在响应文件递交截止时间之日起</w:t>
      </w:r>
      <w:r>
        <w:rPr>
          <w:rFonts w:hint="eastAsia" w:cs="仿宋" w:asciiTheme="minorEastAsia" w:hAnsiTheme="minorEastAsia" w:eastAsiaTheme="minorEastAsia"/>
          <w:color w:val="auto"/>
          <w:spacing w:val="4"/>
          <w:szCs w:val="24"/>
          <w:highlight w:val="none"/>
          <w:u w:val="single"/>
        </w:rPr>
        <w:t xml:space="preserve"> 90 </w:t>
      </w:r>
      <w:r>
        <w:rPr>
          <w:rFonts w:hint="eastAsia" w:cs="仿宋" w:asciiTheme="minorEastAsia" w:hAnsiTheme="minorEastAsia" w:eastAsiaTheme="minorEastAsia"/>
          <w:color w:val="auto"/>
          <w:spacing w:val="4"/>
          <w:szCs w:val="24"/>
          <w:highlight w:val="none"/>
        </w:rPr>
        <w:t>天有效。</w:t>
      </w:r>
    </w:p>
    <w:p w14:paraId="3352CA8F">
      <w:pPr>
        <w:spacing w:line="360" w:lineRule="auto"/>
        <w:ind w:firstLine="496" w:firstLineChars="200"/>
        <w:rPr>
          <w:rFonts w:hint="eastAsia" w:cs="仿宋" w:asciiTheme="minorEastAsia" w:hAnsiTheme="minorEastAsia" w:eastAsiaTheme="minorEastAsia"/>
          <w:color w:val="auto"/>
          <w:spacing w:val="4"/>
          <w:szCs w:val="24"/>
          <w:highlight w:val="none"/>
        </w:rPr>
      </w:pPr>
      <w:r>
        <w:rPr>
          <w:rFonts w:hint="eastAsia" w:cs="仿宋" w:asciiTheme="minorEastAsia" w:hAnsiTheme="minorEastAsia" w:eastAsiaTheme="minorEastAsia"/>
          <w:color w:val="auto"/>
          <w:spacing w:val="4"/>
          <w:szCs w:val="24"/>
          <w:highlight w:val="none"/>
          <w:lang w:val="en-US" w:eastAsia="zh-CN"/>
        </w:rPr>
        <w:t>6</w:t>
      </w:r>
      <w:r>
        <w:rPr>
          <w:rFonts w:hint="eastAsia" w:cs="仿宋" w:asciiTheme="minorEastAsia" w:hAnsiTheme="minorEastAsia" w:eastAsiaTheme="minorEastAsia"/>
          <w:color w:val="auto"/>
          <w:spacing w:val="4"/>
          <w:szCs w:val="24"/>
          <w:highlight w:val="none"/>
        </w:rPr>
        <w:t>.如果我方一旦成交，我方将保证按本项目磋商文件要求完成全部内容，且质量达到现行合格标准，符合国家、行业、地方规定以及磋商文件规定标准要求。</w:t>
      </w:r>
    </w:p>
    <w:p w14:paraId="28BAD517">
      <w:pPr>
        <w:spacing w:line="360" w:lineRule="auto"/>
        <w:ind w:firstLine="496" w:firstLineChars="200"/>
        <w:rPr>
          <w:rFonts w:hint="eastAsia" w:cs="仿宋" w:asciiTheme="minorEastAsia" w:hAnsiTheme="minorEastAsia" w:eastAsiaTheme="minorEastAsia"/>
          <w:color w:val="auto"/>
          <w:spacing w:val="4"/>
          <w:szCs w:val="24"/>
          <w:highlight w:val="none"/>
        </w:rPr>
      </w:pPr>
      <w:r>
        <w:rPr>
          <w:rFonts w:hint="eastAsia" w:cs="仿宋" w:asciiTheme="minorEastAsia" w:hAnsiTheme="minorEastAsia" w:eastAsiaTheme="minorEastAsia"/>
          <w:color w:val="auto"/>
          <w:spacing w:val="4"/>
          <w:szCs w:val="24"/>
          <w:highlight w:val="none"/>
          <w:lang w:val="en-US" w:eastAsia="zh-CN"/>
        </w:rPr>
        <w:t>7</w:t>
      </w:r>
      <w:r>
        <w:rPr>
          <w:rFonts w:hint="eastAsia" w:cs="仿宋" w:asciiTheme="minorEastAsia" w:hAnsiTheme="minorEastAsia" w:eastAsiaTheme="minorEastAsia"/>
          <w:color w:val="auto"/>
          <w:spacing w:val="4"/>
          <w:szCs w:val="24"/>
          <w:highlight w:val="none"/>
        </w:rPr>
        <w:t>.我方完全接受并响应磋商文件、答疑文件、评审办法、采购预算及限价等关于本项目相关文件的要求，严格遵守磋商过程的时间安排、程序安排等细节，对此无任何异议。</w:t>
      </w:r>
    </w:p>
    <w:p w14:paraId="7DF82004">
      <w:pPr>
        <w:spacing w:line="360" w:lineRule="auto"/>
        <w:ind w:firstLine="496" w:firstLineChars="200"/>
        <w:rPr>
          <w:rFonts w:hint="eastAsia" w:cs="仿宋" w:asciiTheme="minorEastAsia" w:hAnsiTheme="minorEastAsia" w:eastAsiaTheme="minorEastAsia"/>
          <w:color w:val="auto"/>
          <w:spacing w:val="4"/>
          <w:szCs w:val="24"/>
          <w:highlight w:val="none"/>
          <w:lang w:val="en-US" w:eastAsia="zh-CN"/>
        </w:rPr>
      </w:pPr>
      <w:r>
        <w:rPr>
          <w:rFonts w:hint="eastAsia" w:cs="仿宋" w:asciiTheme="minorEastAsia" w:hAnsiTheme="minorEastAsia" w:eastAsiaTheme="minorEastAsia"/>
          <w:color w:val="auto"/>
          <w:spacing w:val="4"/>
          <w:szCs w:val="24"/>
          <w:highlight w:val="none"/>
          <w:lang w:val="en-US" w:eastAsia="zh-CN"/>
        </w:rPr>
        <w:t>8.我方符合《中华人民共和国政府采购法》第二十二条的规定。</w:t>
      </w:r>
    </w:p>
    <w:p w14:paraId="460C6FD3">
      <w:pPr>
        <w:spacing w:line="360" w:lineRule="auto"/>
        <w:ind w:firstLine="496" w:firstLineChars="200"/>
        <w:rPr>
          <w:rFonts w:hint="eastAsia" w:cs="仿宋" w:asciiTheme="minorEastAsia" w:hAnsiTheme="minorEastAsia" w:eastAsiaTheme="minorEastAsia"/>
          <w:color w:val="auto"/>
          <w:spacing w:val="4"/>
          <w:szCs w:val="24"/>
          <w:highlight w:val="none"/>
          <w:lang w:val="en-US" w:eastAsia="zh-CN"/>
        </w:rPr>
      </w:pPr>
      <w:r>
        <w:rPr>
          <w:rFonts w:hint="eastAsia" w:cs="仿宋" w:asciiTheme="minorEastAsia" w:hAnsiTheme="minorEastAsia" w:eastAsiaTheme="minorEastAsia"/>
          <w:color w:val="auto"/>
          <w:spacing w:val="4"/>
          <w:szCs w:val="24"/>
          <w:highlight w:val="none"/>
          <w:lang w:val="en-US" w:eastAsia="zh-CN"/>
        </w:rPr>
        <w:t>9.所有关于本次磋商的函电，请按下列地址联系：</w:t>
      </w:r>
    </w:p>
    <w:p w14:paraId="7CBCBC6F">
      <w:pPr>
        <w:adjustRightInd w:val="0"/>
        <w:snapToGrid w:val="0"/>
        <w:spacing w:line="336" w:lineRule="auto"/>
        <w:ind w:firstLine="480" w:firstLineChars="200"/>
        <w:rPr>
          <w:rFonts w:hint="eastAsia" w:ascii="仿宋" w:hAnsi="仿宋" w:eastAsia="仿宋" w:cs="仿宋"/>
          <w:bCs/>
          <w:szCs w:val="24"/>
          <w:highlight w:val="none"/>
        </w:rPr>
      </w:pPr>
    </w:p>
    <w:p w14:paraId="62AC1C6E">
      <w:pPr>
        <w:adjustRightInd w:val="0"/>
        <w:snapToGrid w:val="0"/>
        <w:spacing w:line="336" w:lineRule="auto"/>
        <w:ind w:firstLine="480" w:firstLineChars="200"/>
        <w:rPr>
          <w:rFonts w:hint="eastAsia" w:ascii="宋体" w:hAnsi="宋体" w:eastAsia="宋体" w:cs="宋体"/>
          <w:bCs/>
          <w:highlight w:val="none"/>
        </w:rPr>
      </w:pPr>
      <w:r>
        <w:rPr>
          <w:rFonts w:hint="eastAsia" w:ascii="宋体" w:hAnsi="宋体" w:eastAsia="宋体" w:cs="宋体"/>
          <w:bCs/>
          <w:szCs w:val="24"/>
          <w:highlight w:val="none"/>
        </w:rPr>
        <w:t>供应商名称</w:t>
      </w:r>
      <w:r>
        <w:rPr>
          <w:rFonts w:hint="eastAsia" w:ascii="宋体" w:hAnsi="宋体" w:eastAsia="宋体" w:cs="宋体"/>
          <w:bCs/>
          <w:highlight w:val="none"/>
        </w:rPr>
        <w:t>：</w:t>
      </w:r>
      <w:r>
        <w:rPr>
          <w:rFonts w:hint="eastAsia" w:ascii="宋体" w:hAnsi="宋体" w:eastAsia="宋体" w:cs="宋体"/>
          <w:bCs/>
          <w:highlight w:val="none"/>
          <w:u w:val="single"/>
        </w:rPr>
        <w:t xml:space="preserve">                    </w:t>
      </w:r>
      <w:r>
        <w:rPr>
          <w:rFonts w:hint="eastAsia" w:ascii="宋体" w:hAnsi="宋体" w:eastAsia="宋体" w:cs="宋体"/>
          <w:bCs/>
          <w:highlight w:val="none"/>
        </w:rPr>
        <w:t xml:space="preserve">（盖章） </w:t>
      </w:r>
    </w:p>
    <w:p w14:paraId="780C8627">
      <w:pPr>
        <w:adjustRightInd w:val="0"/>
        <w:snapToGrid w:val="0"/>
        <w:spacing w:line="336" w:lineRule="auto"/>
        <w:ind w:firstLine="480" w:firstLineChars="200"/>
        <w:rPr>
          <w:rFonts w:hint="eastAsia" w:ascii="宋体" w:hAnsi="宋体" w:eastAsia="宋体" w:cs="宋体"/>
          <w:bCs/>
          <w:highlight w:val="none"/>
        </w:rPr>
      </w:pPr>
      <w:r>
        <w:rPr>
          <w:rFonts w:hint="eastAsia" w:ascii="宋体" w:hAnsi="宋体" w:eastAsia="宋体" w:cs="宋体"/>
          <w:bCs/>
          <w:highlight w:val="none"/>
        </w:rPr>
        <w:t>法定代表人或被授权人：</w:t>
      </w:r>
      <w:r>
        <w:rPr>
          <w:rFonts w:hint="eastAsia" w:ascii="宋体" w:hAnsi="宋体" w:eastAsia="宋体" w:cs="宋体"/>
          <w:bCs/>
          <w:highlight w:val="none"/>
          <w:u w:val="single"/>
        </w:rPr>
        <w:t xml:space="preserve">          </w:t>
      </w:r>
      <w:r>
        <w:rPr>
          <w:rFonts w:hint="eastAsia" w:ascii="宋体" w:hAnsi="宋体" w:eastAsia="宋体" w:cs="宋体"/>
          <w:bCs/>
          <w:highlight w:val="none"/>
        </w:rPr>
        <w:t>（签字或盖章）</w:t>
      </w:r>
    </w:p>
    <w:p w14:paraId="69692657">
      <w:pPr>
        <w:adjustRightInd w:val="0"/>
        <w:snapToGrid w:val="0"/>
        <w:spacing w:line="336" w:lineRule="auto"/>
        <w:ind w:firstLine="480" w:firstLineChars="200"/>
        <w:rPr>
          <w:rFonts w:hint="eastAsia" w:ascii="宋体" w:hAnsi="宋体" w:eastAsia="宋体" w:cs="宋体"/>
          <w:bCs/>
          <w:highlight w:val="none"/>
        </w:rPr>
      </w:pPr>
      <w:r>
        <w:rPr>
          <w:rFonts w:hint="eastAsia" w:ascii="宋体" w:hAnsi="宋体" w:eastAsia="宋体" w:cs="宋体"/>
          <w:bCs/>
          <w:highlight w:val="none"/>
        </w:rPr>
        <w:t>地    址：</w:t>
      </w:r>
      <w:r>
        <w:rPr>
          <w:rFonts w:hint="eastAsia" w:ascii="宋体" w:hAnsi="宋体" w:eastAsia="宋体" w:cs="宋体"/>
          <w:bCs/>
          <w:highlight w:val="none"/>
          <w:u w:val="single"/>
        </w:rPr>
        <w:t xml:space="preserve">                      </w:t>
      </w:r>
    </w:p>
    <w:p w14:paraId="28FC01C1">
      <w:pPr>
        <w:adjustRightInd w:val="0"/>
        <w:snapToGrid w:val="0"/>
        <w:spacing w:line="336" w:lineRule="auto"/>
        <w:ind w:firstLine="480" w:firstLineChars="200"/>
        <w:rPr>
          <w:rFonts w:hint="eastAsia" w:ascii="宋体" w:hAnsi="宋体" w:eastAsia="宋体" w:cs="宋体"/>
          <w:bCs/>
          <w:highlight w:val="none"/>
          <w:u w:val="single"/>
        </w:rPr>
      </w:pPr>
      <w:r>
        <w:rPr>
          <w:rFonts w:hint="eastAsia" w:ascii="宋体" w:hAnsi="宋体" w:eastAsia="宋体" w:cs="宋体"/>
          <w:bCs/>
          <w:highlight w:val="none"/>
        </w:rPr>
        <w:t>开户银行：</w:t>
      </w:r>
      <w:r>
        <w:rPr>
          <w:rFonts w:hint="eastAsia" w:ascii="宋体" w:hAnsi="宋体" w:eastAsia="宋体" w:cs="宋体"/>
          <w:bCs/>
          <w:highlight w:val="none"/>
          <w:u w:val="single"/>
        </w:rPr>
        <w:t xml:space="preserve">                      </w:t>
      </w:r>
    </w:p>
    <w:p w14:paraId="2878A7D1">
      <w:pPr>
        <w:adjustRightInd w:val="0"/>
        <w:snapToGrid w:val="0"/>
        <w:spacing w:line="336" w:lineRule="auto"/>
        <w:ind w:firstLine="480" w:firstLineChars="200"/>
        <w:rPr>
          <w:rFonts w:hint="eastAsia" w:ascii="宋体" w:hAnsi="宋体" w:eastAsia="宋体" w:cs="宋体"/>
          <w:bCs/>
          <w:highlight w:val="none"/>
          <w:u w:val="single"/>
        </w:rPr>
      </w:pPr>
      <w:r>
        <w:rPr>
          <w:rFonts w:hint="eastAsia" w:ascii="宋体" w:hAnsi="宋体" w:eastAsia="宋体" w:cs="宋体"/>
          <w:bCs/>
          <w:highlight w:val="none"/>
        </w:rPr>
        <w:t>帐    号：</w:t>
      </w:r>
      <w:r>
        <w:rPr>
          <w:rFonts w:hint="eastAsia" w:ascii="宋体" w:hAnsi="宋体" w:eastAsia="宋体" w:cs="宋体"/>
          <w:bCs/>
          <w:highlight w:val="none"/>
          <w:u w:val="single"/>
        </w:rPr>
        <w:t xml:space="preserve">                      </w:t>
      </w:r>
    </w:p>
    <w:p w14:paraId="2E186DF3">
      <w:pPr>
        <w:adjustRightInd w:val="0"/>
        <w:snapToGrid w:val="0"/>
        <w:spacing w:line="336" w:lineRule="auto"/>
        <w:ind w:firstLine="480" w:firstLineChars="200"/>
        <w:rPr>
          <w:rFonts w:hint="eastAsia" w:ascii="宋体" w:hAnsi="宋体" w:eastAsia="宋体" w:cs="宋体"/>
          <w:bCs/>
          <w:highlight w:val="none"/>
          <w:u w:val="single"/>
        </w:rPr>
      </w:pPr>
      <w:r>
        <w:rPr>
          <w:rFonts w:hint="eastAsia" w:ascii="宋体" w:hAnsi="宋体" w:eastAsia="宋体" w:cs="宋体"/>
          <w:bCs/>
          <w:highlight w:val="none"/>
        </w:rPr>
        <w:t>电    话：</w:t>
      </w:r>
      <w:r>
        <w:rPr>
          <w:rFonts w:hint="eastAsia" w:ascii="宋体" w:hAnsi="宋体" w:eastAsia="宋体" w:cs="宋体"/>
          <w:bCs/>
          <w:highlight w:val="none"/>
          <w:u w:val="single"/>
        </w:rPr>
        <w:t xml:space="preserve">                      </w:t>
      </w:r>
    </w:p>
    <w:p w14:paraId="2078477A">
      <w:pPr>
        <w:adjustRightInd w:val="0"/>
        <w:snapToGrid w:val="0"/>
        <w:spacing w:line="336" w:lineRule="auto"/>
        <w:jc w:val="right"/>
        <w:rPr>
          <w:rFonts w:hint="eastAsia" w:ascii="仿宋" w:hAnsi="仿宋" w:eastAsia="仿宋" w:cs="仿宋"/>
          <w:bCs/>
          <w:highlight w:val="none"/>
          <w:u w:val="single"/>
        </w:rPr>
      </w:pPr>
    </w:p>
    <w:p w14:paraId="6CA0CEC9">
      <w:pPr>
        <w:pStyle w:val="24"/>
        <w:jc w:val="right"/>
        <w:rPr>
          <w:rFonts w:hint="eastAsia" w:ascii="宋体" w:hAnsi="宋体" w:eastAsia="宋体" w:cs="宋体"/>
          <w:color w:val="auto"/>
          <w:sz w:val="24"/>
          <w:szCs w:val="22"/>
          <w:highlight w:val="none"/>
        </w:rPr>
      </w:pPr>
      <w:r>
        <w:rPr>
          <w:rFonts w:hint="eastAsia" w:ascii="宋体" w:hAnsi="宋体" w:eastAsia="宋体" w:cs="宋体"/>
          <w:bCs/>
          <w:sz w:val="24"/>
          <w:szCs w:val="22"/>
          <w:highlight w:val="none"/>
          <w:u w:val="single"/>
        </w:rPr>
        <w:t xml:space="preserve">    </w:t>
      </w:r>
      <w:r>
        <w:rPr>
          <w:rFonts w:hint="eastAsia" w:ascii="宋体" w:hAnsi="宋体" w:eastAsia="宋体" w:cs="宋体"/>
          <w:bCs/>
          <w:sz w:val="24"/>
          <w:szCs w:val="22"/>
          <w:highlight w:val="none"/>
        </w:rPr>
        <w:t>年</w:t>
      </w:r>
      <w:r>
        <w:rPr>
          <w:rFonts w:hint="eastAsia" w:ascii="宋体" w:hAnsi="宋体" w:eastAsia="宋体" w:cs="宋体"/>
          <w:bCs/>
          <w:sz w:val="24"/>
          <w:szCs w:val="22"/>
          <w:highlight w:val="none"/>
          <w:u w:val="single"/>
        </w:rPr>
        <w:t xml:space="preserve">    </w:t>
      </w:r>
      <w:r>
        <w:rPr>
          <w:rFonts w:hint="eastAsia" w:ascii="宋体" w:hAnsi="宋体" w:eastAsia="宋体" w:cs="宋体"/>
          <w:bCs/>
          <w:sz w:val="24"/>
          <w:szCs w:val="22"/>
          <w:highlight w:val="none"/>
        </w:rPr>
        <w:t>月</w:t>
      </w:r>
      <w:r>
        <w:rPr>
          <w:rFonts w:hint="eastAsia" w:ascii="宋体" w:hAnsi="宋体" w:eastAsia="宋体" w:cs="宋体"/>
          <w:bCs/>
          <w:sz w:val="24"/>
          <w:szCs w:val="22"/>
          <w:highlight w:val="none"/>
          <w:u w:val="single"/>
        </w:rPr>
        <w:t xml:space="preserve">    </w:t>
      </w:r>
      <w:r>
        <w:rPr>
          <w:rFonts w:hint="eastAsia" w:ascii="宋体" w:hAnsi="宋体" w:eastAsia="宋体" w:cs="宋体"/>
          <w:bCs/>
          <w:sz w:val="24"/>
          <w:szCs w:val="22"/>
          <w:highlight w:val="none"/>
        </w:rPr>
        <w:t>日</w:t>
      </w:r>
    </w:p>
    <w:p w14:paraId="087CD622">
      <w:pPr>
        <w:pStyle w:val="24"/>
        <w:rPr>
          <w:color w:val="auto"/>
          <w:highlight w:val="none"/>
        </w:rPr>
      </w:pPr>
    </w:p>
    <w:p w14:paraId="382F8269">
      <w:pPr>
        <w:pStyle w:val="24"/>
        <w:rPr>
          <w:color w:val="auto"/>
          <w:highlight w:val="none"/>
        </w:rPr>
      </w:pPr>
    </w:p>
    <w:p w14:paraId="11AAC87E">
      <w:pPr>
        <w:pStyle w:val="24"/>
        <w:rPr>
          <w:color w:val="auto"/>
          <w:highlight w:val="none"/>
        </w:rPr>
      </w:pPr>
    </w:p>
    <w:p w14:paraId="5FDA5526">
      <w:pPr>
        <w:pStyle w:val="24"/>
        <w:rPr>
          <w:color w:val="auto"/>
          <w:highlight w:val="none"/>
        </w:rPr>
      </w:pPr>
    </w:p>
    <w:p w14:paraId="560188AA">
      <w:pPr>
        <w:pStyle w:val="24"/>
        <w:rPr>
          <w:color w:val="auto"/>
          <w:highlight w:val="none"/>
        </w:rPr>
      </w:pPr>
    </w:p>
    <w:p w14:paraId="13E4D740">
      <w:pPr>
        <w:widowControl/>
        <w:jc w:val="center"/>
        <w:rPr>
          <w:color w:val="auto"/>
          <w:sz w:val="32"/>
          <w:szCs w:val="32"/>
          <w:highlight w:val="none"/>
        </w:rPr>
      </w:pPr>
      <w:bookmarkStart w:id="124" w:name="_Toc21618"/>
      <w:bookmarkStart w:id="125" w:name="_Toc6856"/>
      <w:bookmarkStart w:id="126" w:name="_Toc403077651"/>
      <w:bookmarkStart w:id="127" w:name="_Toc363474030"/>
      <w:r>
        <w:rPr>
          <w:rFonts w:hint="eastAsia"/>
          <w:b/>
          <w:bCs/>
          <w:color w:val="auto"/>
          <w:sz w:val="32"/>
          <w:szCs w:val="32"/>
          <w:highlight w:val="none"/>
        </w:rPr>
        <w:t>二、磋商报价表</w:t>
      </w:r>
    </w:p>
    <w:p w14:paraId="4D225E88">
      <w:pPr>
        <w:jc w:val="center"/>
        <w:rPr>
          <w:rFonts w:hint="eastAsia" w:hAnsi="宋体" w:cs="宋体"/>
          <w:b/>
          <w:bCs/>
          <w:color w:val="auto"/>
          <w:sz w:val="30"/>
          <w:szCs w:val="30"/>
          <w:highlight w:val="none"/>
        </w:rPr>
      </w:pPr>
      <w:r>
        <w:rPr>
          <w:rFonts w:hint="eastAsia" w:hAnsi="宋体" w:cs="宋体"/>
          <w:b/>
          <w:bCs/>
          <w:color w:val="auto"/>
          <w:sz w:val="30"/>
          <w:szCs w:val="30"/>
          <w:highlight w:val="none"/>
          <w:lang w:val="en-US" w:eastAsia="zh-CN"/>
        </w:rPr>
        <w:t>2.1</w:t>
      </w:r>
      <w:r>
        <w:rPr>
          <w:rFonts w:hint="eastAsia" w:hAnsi="宋体" w:cs="宋体"/>
          <w:b/>
          <w:bCs/>
          <w:color w:val="auto"/>
          <w:sz w:val="30"/>
          <w:szCs w:val="30"/>
          <w:highlight w:val="none"/>
        </w:rPr>
        <w:t>报价一览表</w:t>
      </w:r>
    </w:p>
    <w:p w14:paraId="784F0868">
      <w:pPr>
        <w:spacing w:line="360" w:lineRule="auto"/>
        <w:jc w:val="left"/>
        <w:rPr>
          <w:rFonts w:hint="eastAsia" w:hAnsi="宋体" w:cs="宋体"/>
          <w:bCs/>
          <w:color w:val="auto"/>
          <w:szCs w:val="24"/>
          <w:highlight w:val="none"/>
        </w:rPr>
      </w:pPr>
      <w:r>
        <w:rPr>
          <w:rFonts w:hint="eastAsia" w:hAnsi="宋体" w:cs="宋体"/>
          <w:bCs/>
          <w:color w:val="auto"/>
          <w:szCs w:val="24"/>
          <w:highlight w:val="none"/>
        </w:rPr>
        <w:t>项目名称：</w:t>
      </w:r>
    </w:p>
    <w:p w14:paraId="0B0274C5">
      <w:pPr>
        <w:spacing w:line="360" w:lineRule="auto"/>
        <w:jc w:val="left"/>
        <w:rPr>
          <w:rFonts w:hint="eastAsia" w:hAnsi="宋体" w:cs="宋体"/>
          <w:bCs/>
          <w:color w:val="auto"/>
          <w:szCs w:val="24"/>
          <w:highlight w:val="none"/>
        </w:rPr>
      </w:pPr>
      <w:r>
        <w:rPr>
          <w:rFonts w:hint="eastAsia" w:hAnsi="宋体" w:cs="宋体"/>
          <w:bCs/>
          <w:color w:val="auto"/>
          <w:szCs w:val="24"/>
          <w:highlight w:val="none"/>
        </w:rPr>
        <w:t>项目编号：</w:t>
      </w:r>
    </w:p>
    <w:tbl>
      <w:tblPr>
        <w:tblStyle w:val="48"/>
        <w:tblpPr w:leftFromText="180" w:rightFromText="180" w:vertAnchor="text" w:horzAnchor="page" w:tblpX="1173" w:tblpY="335"/>
        <w:tblOverlap w:val="never"/>
        <w:tblW w:w="94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28"/>
        <w:gridCol w:w="3722"/>
        <w:gridCol w:w="1769"/>
      </w:tblGrid>
      <w:tr w14:paraId="13E255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4" w:hRule="atLeast"/>
        </w:trPr>
        <w:tc>
          <w:tcPr>
            <w:tcW w:w="3928" w:type="dxa"/>
            <w:vAlign w:val="center"/>
          </w:tcPr>
          <w:p w14:paraId="40FBA32F">
            <w:pPr>
              <w:jc w:val="center"/>
              <w:rPr>
                <w:rFonts w:hint="eastAsia" w:hAnsi="宋体" w:cs="宋体"/>
                <w:color w:val="auto"/>
                <w:szCs w:val="24"/>
                <w:highlight w:val="none"/>
              </w:rPr>
            </w:pPr>
            <w:r>
              <w:rPr>
                <w:rFonts w:hint="eastAsia" w:hAnsi="宋体"/>
                <w:highlight w:val="none"/>
              </w:rPr>
              <w:t>磋商报价</w:t>
            </w:r>
          </w:p>
        </w:tc>
        <w:tc>
          <w:tcPr>
            <w:tcW w:w="3722" w:type="dxa"/>
            <w:vAlign w:val="center"/>
          </w:tcPr>
          <w:p w14:paraId="10B008BC">
            <w:pPr>
              <w:jc w:val="center"/>
              <w:rPr>
                <w:rFonts w:hint="eastAsia" w:hAnsi="宋体" w:cs="宋体"/>
                <w:color w:val="auto"/>
                <w:szCs w:val="24"/>
                <w:highlight w:val="none"/>
              </w:rPr>
            </w:pPr>
            <w:r>
              <w:rPr>
                <w:rFonts w:hint="eastAsia" w:hAnsi="宋体" w:cs="宋体"/>
                <w:color w:val="auto"/>
                <w:szCs w:val="24"/>
                <w:highlight w:val="none"/>
                <w:lang w:val="en-US" w:eastAsia="zh-CN"/>
              </w:rPr>
              <w:t>服务期限</w:t>
            </w:r>
          </w:p>
        </w:tc>
        <w:tc>
          <w:tcPr>
            <w:tcW w:w="1769" w:type="dxa"/>
            <w:vAlign w:val="center"/>
          </w:tcPr>
          <w:p w14:paraId="4C4BD2C9">
            <w:pPr>
              <w:jc w:val="center"/>
              <w:rPr>
                <w:rFonts w:hint="eastAsia" w:hAnsi="宋体" w:cs="宋体"/>
                <w:color w:val="auto"/>
                <w:szCs w:val="24"/>
                <w:highlight w:val="none"/>
              </w:rPr>
            </w:pPr>
            <w:r>
              <w:rPr>
                <w:rFonts w:hint="eastAsia" w:hAnsi="宋体" w:cs="宋体"/>
                <w:color w:val="auto"/>
                <w:szCs w:val="24"/>
                <w:highlight w:val="none"/>
              </w:rPr>
              <w:t>备注</w:t>
            </w:r>
          </w:p>
        </w:tc>
      </w:tr>
      <w:tr w14:paraId="47889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8" w:hRule="atLeast"/>
        </w:trPr>
        <w:tc>
          <w:tcPr>
            <w:tcW w:w="3928" w:type="dxa"/>
            <w:vAlign w:val="center"/>
          </w:tcPr>
          <w:p w14:paraId="285E44D8">
            <w:pPr>
              <w:jc w:val="both"/>
              <w:rPr>
                <w:rFonts w:hint="eastAsia" w:hAnsi="宋体" w:cs="宋体"/>
                <w:color w:val="auto"/>
                <w:szCs w:val="24"/>
                <w:highlight w:val="none"/>
                <w:u w:val="single"/>
              </w:rPr>
            </w:pPr>
            <w:r>
              <w:rPr>
                <w:rFonts w:hint="eastAsia" w:hAnsi="宋体" w:cs="宋体"/>
                <w:color w:val="auto"/>
                <w:szCs w:val="24"/>
                <w:highlight w:val="none"/>
              </w:rPr>
              <w:t>大写：</w:t>
            </w:r>
            <w:r>
              <w:rPr>
                <w:rFonts w:hint="eastAsia" w:hAnsi="宋体" w:cs="宋体"/>
                <w:color w:val="auto"/>
                <w:szCs w:val="24"/>
                <w:highlight w:val="none"/>
                <w:u w:val="single"/>
              </w:rPr>
              <w:t xml:space="preserve">       </w:t>
            </w:r>
            <w:r>
              <w:rPr>
                <w:rFonts w:hint="eastAsia" w:hAnsi="宋体" w:cs="宋体"/>
                <w:color w:val="auto"/>
                <w:szCs w:val="24"/>
                <w:highlight w:val="none"/>
                <w:u w:val="single"/>
                <w:lang w:val="en-US" w:eastAsia="zh-CN"/>
              </w:rPr>
              <w:t xml:space="preserve">         </w:t>
            </w:r>
            <w:r>
              <w:rPr>
                <w:rFonts w:hint="eastAsia" w:hAnsi="宋体" w:cs="宋体"/>
                <w:color w:val="auto"/>
                <w:szCs w:val="24"/>
                <w:highlight w:val="none"/>
                <w:u w:val="single"/>
              </w:rPr>
              <w:t xml:space="preserve"> </w:t>
            </w:r>
          </w:p>
          <w:p w14:paraId="1338392F">
            <w:pPr>
              <w:jc w:val="both"/>
              <w:rPr>
                <w:rFonts w:hint="eastAsia" w:hAnsi="宋体" w:cs="宋体"/>
                <w:color w:val="auto"/>
                <w:szCs w:val="24"/>
                <w:highlight w:val="none"/>
                <w:u w:val="none"/>
                <w:lang w:eastAsia="zh-CN"/>
              </w:rPr>
            </w:pPr>
          </w:p>
          <w:p w14:paraId="6CFA6343">
            <w:pPr>
              <w:jc w:val="both"/>
              <w:rPr>
                <w:rFonts w:hint="eastAsia" w:hAnsi="宋体" w:cs="宋体"/>
                <w:color w:val="auto"/>
                <w:szCs w:val="24"/>
                <w:highlight w:val="none"/>
              </w:rPr>
            </w:pPr>
            <w:r>
              <w:rPr>
                <w:rFonts w:hint="eastAsia" w:hAnsi="宋体" w:cs="宋体"/>
                <w:color w:val="auto"/>
                <w:szCs w:val="24"/>
                <w:highlight w:val="none"/>
                <w:u w:val="none"/>
                <w:lang w:eastAsia="zh-CN"/>
              </w:rPr>
              <w:t>小写：</w:t>
            </w:r>
            <w:r>
              <w:rPr>
                <w:rFonts w:hint="eastAsia" w:hAnsi="宋体" w:cs="宋体"/>
                <w:color w:val="auto"/>
                <w:szCs w:val="24"/>
                <w:highlight w:val="none"/>
                <w:u w:val="single"/>
              </w:rPr>
              <w:t xml:space="preserve">    </w:t>
            </w:r>
            <w:r>
              <w:rPr>
                <w:rFonts w:hint="eastAsia" w:hAnsi="宋体" w:cs="宋体"/>
                <w:color w:val="auto"/>
                <w:szCs w:val="24"/>
                <w:highlight w:val="none"/>
                <w:u w:val="single"/>
                <w:lang w:val="en-US" w:eastAsia="zh-CN"/>
              </w:rPr>
              <w:t xml:space="preserve">         </w:t>
            </w:r>
            <w:r>
              <w:rPr>
                <w:rFonts w:hint="eastAsia" w:hAnsi="宋体" w:cs="宋体"/>
                <w:color w:val="auto"/>
                <w:szCs w:val="24"/>
                <w:highlight w:val="none"/>
                <w:u w:val="single"/>
              </w:rPr>
              <w:t xml:space="preserve">   </w:t>
            </w:r>
          </w:p>
        </w:tc>
        <w:tc>
          <w:tcPr>
            <w:tcW w:w="3722" w:type="dxa"/>
            <w:vAlign w:val="center"/>
          </w:tcPr>
          <w:p w14:paraId="5CBEE046">
            <w:pPr>
              <w:jc w:val="center"/>
              <w:rPr>
                <w:rFonts w:hint="eastAsia" w:hAnsi="宋体" w:cs="宋体"/>
                <w:color w:val="auto"/>
                <w:szCs w:val="24"/>
                <w:highlight w:val="none"/>
              </w:rPr>
            </w:pPr>
          </w:p>
        </w:tc>
        <w:tc>
          <w:tcPr>
            <w:tcW w:w="1769" w:type="dxa"/>
            <w:vAlign w:val="center"/>
          </w:tcPr>
          <w:p w14:paraId="21AEBCAA">
            <w:pPr>
              <w:jc w:val="center"/>
              <w:rPr>
                <w:rFonts w:hint="eastAsia" w:hAnsi="宋体" w:cs="宋体"/>
                <w:color w:val="auto"/>
                <w:szCs w:val="24"/>
                <w:highlight w:val="none"/>
              </w:rPr>
            </w:pPr>
          </w:p>
        </w:tc>
      </w:tr>
    </w:tbl>
    <w:p w14:paraId="3869E4F7">
      <w:pPr>
        <w:adjustRightInd w:val="0"/>
        <w:ind w:firstLine="480" w:firstLineChars="200"/>
        <w:jc w:val="left"/>
        <w:rPr>
          <w:rFonts w:hint="eastAsia" w:hAnsi="宋体" w:cs="宋体"/>
          <w:color w:val="auto"/>
          <w:szCs w:val="24"/>
          <w:highlight w:val="none"/>
          <w:lang w:eastAsia="zh-CN"/>
        </w:rPr>
      </w:pPr>
    </w:p>
    <w:p w14:paraId="1CE110FF">
      <w:pPr>
        <w:adjustRightInd w:val="0"/>
        <w:ind w:firstLine="480" w:firstLineChars="200"/>
        <w:jc w:val="left"/>
        <w:rPr>
          <w:rFonts w:hint="eastAsia" w:hAnsi="宋体" w:cs="宋体"/>
          <w:color w:val="auto"/>
          <w:szCs w:val="24"/>
          <w:highlight w:val="none"/>
          <w:lang w:eastAsia="zh-CN"/>
        </w:rPr>
      </w:pPr>
    </w:p>
    <w:p w14:paraId="2C813454">
      <w:pPr>
        <w:adjustRightInd w:val="0"/>
        <w:jc w:val="left"/>
        <w:rPr>
          <w:rFonts w:hint="eastAsia" w:hAnsi="宋体" w:cs="宋体"/>
          <w:color w:val="auto"/>
          <w:szCs w:val="24"/>
          <w:highlight w:val="none"/>
          <w:lang w:eastAsia="zh-CN"/>
        </w:rPr>
      </w:pPr>
      <w:r>
        <w:rPr>
          <w:rFonts w:hint="eastAsia" w:hAnsi="宋体" w:cs="宋体"/>
          <w:color w:val="auto"/>
          <w:szCs w:val="24"/>
          <w:highlight w:val="none"/>
          <w:lang w:eastAsia="zh-CN"/>
        </w:rPr>
        <w:t>注：</w:t>
      </w:r>
    </w:p>
    <w:p w14:paraId="6FCB0391">
      <w:pPr>
        <w:adjustRightInd w:val="0"/>
        <w:ind w:firstLine="480" w:firstLineChars="200"/>
        <w:jc w:val="left"/>
        <w:rPr>
          <w:rFonts w:hint="eastAsia" w:ascii="宋体" w:hAnsi="宋体" w:eastAsia="宋体"/>
          <w:sz w:val="24"/>
          <w:szCs w:val="24"/>
          <w:highlight w:val="none"/>
          <w:lang w:val="en-US" w:eastAsia="zh-CN"/>
        </w:rPr>
      </w:pPr>
      <w:r>
        <w:rPr>
          <w:rFonts w:hint="eastAsia" w:ascii="宋体" w:hAnsi="宋体" w:cs="宋体"/>
          <w:sz w:val="24"/>
          <w:highlight w:val="none"/>
        </w:rPr>
        <w:t>1.</w:t>
      </w:r>
      <w:r>
        <w:rPr>
          <w:rFonts w:hint="eastAsia" w:ascii="宋体" w:hAnsi="宋体"/>
          <w:sz w:val="24"/>
          <w:highlight w:val="none"/>
        </w:rPr>
        <w:t>投标报价应包括</w:t>
      </w:r>
      <w:r>
        <w:rPr>
          <w:rFonts w:hint="eastAsia" w:ascii="宋体" w:hAnsi="宋体"/>
          <w:color w:val="000000"/>
          <w:sz w:val="24"/>
          <w:highlight w:val="none"/>
        </w:rPr>
        <w:t>但不限于</w:t>
      </w:r>
      <w:r>
        <w:rPr>
          <w:rFonts w:hint="eastAsia" w:ascii="宋体" w:hAnsi="宋体" w:eastAsia="宋体"/>
          <w:sz w:val="24"/>
          <w:szCs w:val="24"/>
          <w:highlight w:val="none"/>
          <w:lang w:val="en-US" w:eastAsia="zh-CN"/>
        </w:rPr>
        <w:t>：项目所需的人工费、间接费用、运输费</w:t>
      </w:r>
      <w:r>
        <w:rPr>
          <w:rFonts w:hint="eastAsia" w:hAnsi="宋体"/>
          <w:sz w:val="24"/>
          <w:szCs w:val="24"/>
          <w:highlight w:val="none"/>
          <w:lang w:val="en-US" w:eastAsia="zh-CN"/>
        </w:rPr>
        <w:t>（含保险）</w:t>
      </w:r>
      <w:r>
        <w:rPr>
          <w:rFonts w:hint="eastAsia" w:ascii="宋体" w:hAnsi="宋体" w:eastAsia="宋体"/>
          <w:sz w:val="24"/>
          <w:szCs w:val="24"/>
          <w:highlight w:val="none"/>
          <w:lang w:val="en-US" w:eastAsia="zh-CN"/>
        </w:rPr>
        <w:t>、搬运费、员工工资、耗材、利润及增值税、后续服务费用等相关一切费用。</w:t>
      </w:r>
    </w:p>
    <w:p w14:paraId="65C567D0">
      <w:pPr>
        <w:pStyle w:val="2"/>
        <w:ind w:firstLine="480" w:firstLineChars="200"/>
        <w:rPr>
          <w:rFonts w:hint="default"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2.表内报价内容以元为单位，精确到小数点后两位。</w:t>
      </w:r>
    </w:p>
    <w:p w14:paraId="5E86CCA5">
      <w:pPr>
        <w:spacing w:line="600" w:lineRule="auto"/>
        <w:ind w:right="617" w:rightChars="257"/>
        <w:jc w:val="left"/>
        <w:rPr>
          <w:rFonts w:hint="eastAsia" w:hAnsi="宋体" w:eastAsia="宋体" w:cs="宋体"/>
          <w:color w:val="auto"/>
          <w:szCs w:val="24"/>
          <w:highlight w:val="none"/>
          <w:lang w:eastAsia="zh-CN"/>
        </w:rPr>
      </w:pPr>
    </w:p>
    <w:p w14:paraId="73ABE042">
      <w:pPr>
        <w:spacing w:line="600" w:lineRule="auto"/>
        <w:ind w:right="617" w:rightChars="257"/>
        <w:jc w:val="left"/>
        <w:rPr>
          <w:rFonts w:hint="eastAsia" w:hAnsi="宋体" w:cs="宋体"/>
          <w:color w:val="auto"/>
          <w:szCs w:val="24"/>
          <w:highlight w:val="none"/>
        </w:rPr>
      </w:pPr>
      <w:r>
        <w:rPr>
          <w:rFonts w:hint="eastAsia" w:hAnsi="宋体" w:cs="宋体"/>
          <w:color w:val="auto"/>
          <w:szCs w:val="24"/>
          <w:highlight w:val="none"/>
        </w:rPr>
        <w:t>供应商名称：</w:t>
      </w:r>
      <w:r>
        <w:rPr>
          <w:rFonts w:hint="eastAsia" w:hAnsi="宋体" w:cs="宋体"/>
          <w:color w:val="auto"/>
          <w:szCs w:val="24"/>
          <w:highlight w:val="none"/>
          <w:u w:val="single"/>
        </w:rPr>
        <w:t xml:space="preserve">      （加盖单位公章）      </w:t>
      </w:r>
    </w:p>
    <w:p w14:paraId="23C74B99">
      <w:pPr>
        <w:spacing w:line="600" w:lineRule="auto"/>
        <w:jc w:val="left"/>
        <w:rPr>
          <w:rFonts w:hint="eastAsia" w:hAnsi="宋体" w:cs="宋体"/>
          <w:color w:val="auto"/>
          <w:spacing w:val="4"/>
          <w:highlight w:val="none"/>
        </w:rPr>
      </w:pPr>
      <w:r>
        <w:rPr>
          <w:rFonts w:hint="eastAsia" w:hAnsi="宋体" w:cs="宋体"/>
          <w:color w:val="auto"/>
          <w:spacing w:val="4"/>
          <w:highlight w:val="none"/>
        </w:rPr>
        <w:t>法定代表人或被授权人：</w:t>
      </w:r>
      <w:r>
        <w:rPr>
          <w:rFonts w:hint="eastAsia" w:hAnsi="宋体" w:cs="宋体"/>
          <w:color w:val="auto"/>
          <w:spacing w:val="4"/>
          <w:highlight w:val="none"/>
          <w:u w:val="single"/>
        </w:rPr>
        <w:t xml:space="preserve">      </w:t>
      </w:r>
      <w:r>
        <w:rPr>
          <w:rFonts w:hint="eastAsia" w:hAnsi="宋体" w:cs="宋体"/>
          <w:color w:val="auto"/>
          <w:spacing w:val="4"/>
          <w:highlight w:val="none"/>
        </w:rPr>
        <w:t>（签字或盖章）</w:t>
      </w:r>
    </w:p>
    <w:p w14:paraId="2FABFDBB">
      <w:pPr>
        <w:spacing w:line="600" w:lineRule="auto"/>
        <w:ind w:right="617" w:rightChars="257"/>
        <w:rPr>
          <w:rFonts w:hint="eastAsia" w:hAnsi="宋体" w:cs="宋体"/>
          <w:color w:val="auto"/>
          <w:szCs w:val="24"/>
          <w:highlight w:val="none"/>
        </w:rPr>
      </w:pPr>
      <w:r>
        <w:rPr>
          <w:rFonts w:hint="eastAsia" w:hAnsi="宋体" w:cs="宋体"/>
          <w:color w:val="auto"/>
          <w:szCs w:val="24"/>
          <w:highlight w:val="none"/>
        </w:rPr>
        <w:t>日    期：</w:t>
      </w:r>
    </w:p>
    <w:p w14:paraId="7431BDE8">
      <w:pPr>
        <w:jc w:val="center"/>
        <w:rPr>
          <w:rFonts w:hint="eastAsia" w:hAnsi="宋体" w:cs="宋体"/>
          <w:color w:val="auto"/>
          <w:szCs w:val="24"/>
          <w:highlight w:val="none"/>
        </w:rPr>
      </w:pPr>
    </w:p>
    <w:p w14:paraId="7332D032">
      <w:pPr>
        <w:rPr>
          <w:rFonts w:hint="eastAsia"/>
          <w:color w:val="auto"/>
          <w:sz w:val="32"/>
          <w:highlight w:val="none"/>
        </w:rPr>
      </w:pPr>
      <w:r>
        <w:rPr>
          <w:rFonts w:hint="eastAsia"/>
          <w:color w:val="auto"/>
          <w:sz w:val="32"/>
          <w:highlight w:val="none"/>
        </w:rPr>
        <w:br w:type="page"/>
      </w:r>
    </w:p>
    <w:p w14:paraId="4719A7F9">
      <w:pPr>
        <w:pStyle w:val="4"/>
        <w:keepLines w:val="0"/>
        <w:widowControl w:val="0"/>
        <w:spacing w:before="312" w:beforeLines="100"/>
        <w:jc w:val="center"/>
        <w:rPr>
          <w:color w:val="auto"/>
          <w:sz w:val="32"/>
          <w:highlight w:val="none"/>
        </w:rPr>
      </w:pPr>
      <w:r>
        <w:rPr>
          <w:rFonts w:hint="eastAsia"/>
          <w:color w:val="auto"/>
          <w:sz w:val="32"/>
          <w:highlight w:val="none"/>
        </w:rPr>
        <w:t>三、磋商方案说明书</w:t>
      </w:r>
    </w:p>
    <w:p w14:paraId="671746A8">
      <w:pPr>
        <w:spacing w:line="480" w:lineRule="auto"/>
        <w:ind w:firstLine="480" w:firstLineChars="200"/>
        <w:rPr>
          <w:rFonts w:hint="eastAsia" w:hAnsi="宋体" w:cs="宋体"/>
          <w:color w:val="auto"/>
          <w:szCs w:val="24"/>
          <w:highlight w:val="none"/>
          <w:lang w:eastAsia="zh-CN"/>
        </w:rPr>
      </w:pPr>
      <w:r>
        <w:rPr>
          <w:rFonts w:hint="eastAsia" w:hAnsi="宋体" w:cs="宋体"/>
          <w:color w:val="auto"/>
          <w:szCs w:val="24"/>
          <w:highlight w:val="none"/>
        </w:rPr>
        <w:t>注：供应商依据磋商文件中评审方法附件2“</w:t>
      </w:r>
      <w:r>
        <w:rPr>
          <w:rFonts w:hint="eastAsia" w:hAnsi="宋体"/>
          <w:b/>
          <w:color w:val="auto"/>
          <w:spacing w:val="4"/>
          <w:szCs w:val="24"/>
          <w:highlight w:val="none"/>
        </w:rPr>
        <w:t>评标因素及权重分值表</w:t>
      </w:r>
      <w:r>
        <w:rPr>
          <w:rFonts w:hint="eastAsia" w:hAnsi="宋体" w:cs="宋体"/>
          <w:color w:val="auto"/>
          <w:szCs w:val="24"/>
          <w:highlight w:val="none"/>
        </w:rPr>
        <w:t>”相关内容，结合“第四章竞争性磋商内容及服务要求”而编写，</w:t>
      </w:r>
      <w:r>
        <w:rPr>
          <w:rFonts w:hint="eastAsia" w:hAnsi="宋体" w:cs="宋体"/>
          <w:color w:val="auto"/>
          <w:szCs w:val="24"/>
          <w:highlight w:val="none"/>
          <w:lang w:eastAsia="zh-CN"/>
        </w:rPr>
        <w:t>包含但不限于：</w:t>
      </w:r>
    </w:p>
    <w:p w14:paraId="44DF3A91">
      <w:pPr>
        <w:pStyle w:val="2"/>
        <w:rPr>
          <w:rFonts w:hint="eastAsia"/>
          <w:highlight w:val="none"/>
          <w:lang w:eastAsia="zh-CN"/>
        </w:rPr>
      </w:pPr>
    </w:p>
    <w:p w14:paraId="18C67971">
      <w:pPr>
        <w:numPr>
          <w:ilvl w:val="0"/>
          <w:numId w:val="13"/>
        </w:numP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eastAsia="zh-CN"/>
        </w:rPr>
        <w:t>整体餐饮服务实施方案；</w:t>
      </w:r>
    </w:p>
    <w:p w14:paraId="3BCFD4E1">
      <w:pPr>
        <w:numPr>
          <w:ilvl w:val="0"/>
          <w:numId w:val="13"/>
        </w:numPr>
        <w:spacing w:line="360" w:lineRule="auto"/>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应急预案；</w:t>
      </w:r>
    </w:p>
    <w:p w14:paraId="61A80E67">
      <w:pPr>
        <w:numPr>
          <w:ilvl w:val="0"/>
          <w:numId w:val="13"/>
        </w:numPr>
        <w:spacing w:line="360" w:lineRule="auto"/>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食品安全与卫生管理方案；</w:t>
      </w:r>
    </w:p>
    <w:p w14:paraId="303E50E6">
      <w:pPr>
        <w:numPr>
          <w:ilvl w:val="0"/>
          <w:numId w:val="13"/>
        </w:numP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劳保与工器具配置；</w:t>
      </w:r>
    </w:p>
    <w:p w14:paraId="3EF41FD5">
      <w:pPr>
        <w:numPr>
          <w:ilvl w:val="0"/>
          <w:numId w:val="13"/>
        </w:numP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食品安全；</w:t>
      </w:r>
    </w:p>
    <w:p w14:paraId="15654BA2">
      <w:pPr>
        <w:numPr>
          <w:ilvl w:val="0"/>
          <w:numId w:val="13"/>
        </w:numPr>
        <w:spacing w:line="360" w:lineRule="auto"/>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服务承诺；</w:t>
      </w:r>
    </w:p>
    <w:p w14:paraId="234A0629">
      <w:pPr>
        <w:numPr>
          <w:ilvl w:val="0"/>
          <w:numId w:val="13"/>
        </w:numPr>
        <w:spacing w:line="360" w:lineRule="auto"/>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人员配置；</w:t>
      </w:r>
    </w:p>
    <w:p w14:paraId="0727324D">
      <w:pPr>
        <w:numPr>
          <w:ilvl w:val="0"/>
          <w:numId w:val="13"/>
        </w:numPr>
        <w:spacing w:line="360" w:lineRule="auto"/>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食材溯源、留样、消毒标准化制度；</w:t>
      </w:r>
    </w:p>
    <w:p w14:paraId="7D887DEA">
      <w:pPr>
        <w:pStyle w:val="2"/>
        <w:numPr>
          <w:ilvl w:val="0"/>
          <w:numId w:val="13"/>
        </w:numPr>
        <w:spacing w:line="360" w:lineRule="auto"/>
        <w:ind w:left="0" w:leftChars="0"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业绩。（详见附件1）</w:t>
      </w:r>
    </w:p>
    <w:p w14:paraId="7046C612">
      <w:pPr>
        <w:numPr>
          <w:ilvl w:val="0"/>
          <w:numId w:val="0"/>
        </w:numPr>
        <w:ind w:leftChars="200"/>
        <w:rPr>
          <w:rFonts w:hint="eastAsia"/>
          <w:highlight w:val="none"/>
          <w:lang w:val="en-US" w:eastAsia="zh-CN"/>
        </w:rPr>
      </w:pPr>
    </w:p>
    <w:p w14:paraId="54E732B9">
      <w:pPr>
        <w:numPr>
          <w:ilvl w:val="0"/>
          <w:numId w:val="0"/>
        </w:numPr>
        <w:ind w:leftChars="200"/>
        <w:rPr>
          <w:rFonts w:hint="eastAsia"/>
          <w:highlight w:val="none"/>
          <w:lang w:val="en-US" w:eastAsia="zh-CN"/>
        </w:rPr>
      </w:pPr>
    </w:p>
    <w:p w14:paraId="071927A9">
      <w:pPr>
        <w:numPr>
          <w:ilvl w:val="0"/>
          <w:numId w:val="0"/>
        </w:numPr>
        <w:ind w:leftChars="200"/>
        <w:rPr>
          <w:rFonts w:hint="eastAsia" w:eastAsia="宋体"/>
          <w:highlight w:val="none"/>
          <w:lang w:val="en-US" w:eastAsia="zh-CN"/>
        </w:rPr>
      </w:pPr>
      <w:r>
        <w:rPr>
          <w:rFonts w:hint="eastAsia"/>
          <w:highlight w:val="none"/>
          <w:lang w:val="en-US" w:eastAsia="zh-CN"/>
        </w:rPr>
        <w:t>格式自拟。</w:t>
      </w:r>
    </w:p>
    <w:p w14:paraId="56E13591">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br w:type="page"/>
      </w:r>
    </w:p>
    <w:p w14:paraId="740826A5">
      <w:pPr>
        <w:pStyle w:val="2"/>
        <w:rPr>
          <w:rFonts w:hint="eastAsia"/>
          <w:highlight w:val="none"/>
        </w:rPr>
      </w:pPr>
    </w:p>
    <w:p w14:paraId="161F7996">
      <w:pPr>
        <w:spacing w:line="480" w:lineRule="exact"/>
        <w:jc w:val="left"/>
        <w:outlineLvl w:val="1"/>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eastAsia="zh-CN"/>
        </w:rPr>
        <w:t>附件</w:t>
      </w:r>
      <w:r>
        <w:rPr>
          <w:rFonts w:hint="eastAsia" w:ascii="宋体" w:hAnsi="宋体" w:eastAsia="宋体" w:cs="宋体"/>
          <w:b/>
          <w:bCs/>
          <w:sz w:val="24"/>
          <w:szCs w:val="24"/>
          <w:highlight w:val="none"/>
          <w:lang w:val="en-US" w:eastAsia="zh-CN"/>
        </w:rPr>
        <w:t>1：</w:t>
      </w:r>
    </w:p>
    <w:p w14:paraId="736ED0C3">
      <w:pPr>
        <w:spacing w:line="480" w:lineRule="exact"/>
        <w:jc w:val="center"/>
        <w:outlineLvl w:val="1"/>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供应商的业绩材料</w:t>
      </w:r>
    </w:p>
    <w:p w14:paraId="07EA76D6">
      <w:pPr>
        <w:jc w:val="center"/>
        <w:rPr>
          <w:rFonts w:ascii="宋体" w:hAnsi="宋体" w:cs="宋体"/>
          <w:b/>
          <w:sz w:val="24"/>
          <w:highlight w:val="none"/>
        </w:rPr>
      </w:pPr>
    </w:p>
    <w:tbl>
      <w:tblPr>
        <w:tblStyle w:val="216"/>
        <w:tblW w:w="9138" w:type="dxa"/>
        <w:tblInd w:w="1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12"/>
        <w:gridCol w:w="1615"/>
        <w:gridCol w:w="2103"/>
        <w:gridCol w:w="2019"/>
        <w:gridCol w:w="2489"/>
      </w:tblGrid>
      <w:tr w14:paraId="6E0B73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0" w:hRule="atLeast"/>
        </w:trPr>
        <w:tc>
          <w:tcPr>
            <w:tcW w:w="912" w:type="dxa"/>
            <w:tcBorders>
              <w:top w:val="single" w:color="000000" w:sz="10" w:space="0"/>
              <w:left w:val="single" w:color="000000" w:sz="10" w:space="0"/>
            </w:tcBorders>
            <w:vAlign w:val="top"/>
          </w:tcPr>
          <w:p w14:paraId="131C557B">
            <w:pPr>
              <w:pStyle w:val="215"/>
              <w:spacing w:before="157" w:line="222" w:lineRule="auto"/>
              <w:ind w:left="213"/>
              <w:rPr>
                <w:highlight w:val="none"/>
              </w:rPr>
            </w:pPr>
            <w:r>
              <w:rPr>
                <w:b/>
                <w:bCs/>
                <w:spacing w:val="-11"/>
                <w:highlight w:val="none"/>
              </w:rPr>
              <w:t>序号</w:t>
            </w:r>
          </w:p>
        </w:tc>
        <w:tc>
          <w:tcPr>
            <w:tcW w:w="1615" w:type="dxa"/>
            <w:tcBorders>
              <w:top w:val="single" w:color="000000" w:sz="10" w:space="0"/>
            </w:tcBorders>
            <w:vAlign w:val="top"/>
          </w:tcPr>
          <w:p w14:paraId="21C6B042">
            <w:pPr>
              <w:pStyle w:val="215"/>
              <w:spacing w:before="157" w:line="221" w:lineRule="auto"/>
              <w:ind w:left="331"/>
              <w:rPr>
                <w:highlight w:val="none"/>
              </w:rPr>
            </w:pPr>
            <w:r>
              <w:rPr>
                <w:b/>
                <w:bCs/>
                <w:spacing w:val="-6"/>
                <w:highlight w:val="none"/>
              </w:rPr>
              <w:t>用户名称</w:t>
            </w:r>
          </w:p>
        </w:tc>
        <w:tc>
          <w:tcPr>
            <w:tcW w:w="2103" w:type="dxa"/>
            <w:tcBorders>
              <w:top w:val="single" w:color="000000" w:sz="10" w:space="0"/>
            </w:tcBorders>
            <w:vAlign w:val="top"/>
          </w:tcPr>
          <w:p w14:paraId="38BFB069">
            <w:pPr>
              <w:pStyle w:val="215"/>
              <w:spacing w:before="157" w:line="221" w:lineRule="auto"/>
              <w:ind w:left="580"/>
              <w:rPr>
                <w:highlight w:val="none"/>
              </w:rPr>
            </w:pPr>
            <w:r>
              <w:rPr>
                <w:b/>
                <w:bCs/>
                <w:spacing w:val="-7"/>
                <w:highlight w:val="none"/>
              </w:rPr>
              <w:t>项目名称</w:t>
            </w:r>
          </w:p>
        </w:tc>
        <w:tc>
          <w:tcPr>
            <w:tcW w:w="2019" w:type="dxa"/>
            <w:tcBorders>
              <w:top w:val="single" w:color="000000" w:sz="10" w:space="0"/>
            </w:tcBorders>
            <w:vAlign w:val="top"/>
          </w:tcPr>
          <w:p w14:paraId="7A63A0C7">
            <w:pPr>
              <w:pStyle w:val="215"/>
              <w:spacing w:before="157" w:line="223" w:lineRule="auto"/>
              <w:ind w:left="551"/>
              <w:rPr>
                <w:highlight w:val="none"/>
              </w:rPr>
            </w:pPr>
            <w:r>
              <w:rPr>
                <w:b/>
                <w:bCs/>
                <w:spacing w:val="-8"/>
                <w:highlight w:val="none"/>
              </w:rPr>
              <w:t>金额</w:t>
            </w:r>
          </w:p>
        </w:tc>
        <w:tc>
          <w:tcPr>
            <w:tcW w:w="2489" w:type="dxa"/>
            <w:tcBorders>
              <w:top w:val="single" w:color="000000" w:sz="10" w:space="0"/>
              <w:right w:val="single" w:color="000000" w:sz="10" w:space="0"/>
            </w:tcBorders>
            <w:vAlign w:val="top"/>
          </w:tcPr>
          <w:p w14:paraId="03F1BD36">
            <w:pPr>
              <w:pStyle w:val="215"/>
              <w:spacing w:before="157" w:line="223" w:lineRule="auto"/>
              <w:ind w:left="543"/>
              <w:rPr>
                <w:highlight w:val="none"/>
              </w:rPr>
            </w:pPr>
            <w:r>
              <w:rPr>
                <w:rFonts w:hint="eastAsia"/>
                <w:b/>
                <w:bCs/>
                <w:spacing w:val="-6"/>
                <w:highlight w:val="none"/>
                <w:lang w:eastAsia="zh-CN"/>
              </w:rPr>
              <w:t>合同签订</w:t>
            </w:r>
            <w:r>
              <w:rPr>
                <w:b/>
                <w:bCs/>
                <w:spacing w:val="-6"/>
                <w:highlight w:val="none"/>
              </w:rPr>
              <w:t>时间</w:t>
            </w:r>
          </w:p>
        </w:tc>
      </w:tr>
      <w:tr w14:paraId="452A30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6" w:hRule="atLeast"/>
        </w:trPr>
        <w:tc>
          <w:tcPr>
            <w:tcW w:w="912" w:type="dxa"/>
            <w:tcBorders>
              <w:left w:val="single" w:color="000000" w:sz="10" w:space="0"/>
            </w:tcBorders>
            <w:vAlign w:val="top"/>
          </w:tcPr>
          <w:p w14:paraId="431A9037">
            <w:pPr>
              <w:rPr>
                <w:rFonts w:ascii="Arial"/>
                <w:sz w:val="21"/>
                <w:highlight w:val="none"/>
              </w:rPr>
            </w:pPr>
          </w:p>
        </w:tc>
        <w:tc>
          <w:tcPr>
            <w:tcW w:w="1615" w:type="dxa"/>
            <w:vAlign w:val="top"/>
          </w:tcPr>
          <w:p w14:paraId="5D052CFA">
            <w:pPr>
              <w:rPr>
                <w:rFonts w:ascii="Arial"/>
                <w:sz w:val="21"/>
                <w:highlight w:val="none"/>
              </w:rPr>
            </w:pPr>
          </w:p>
        </w:tc>
        <w:tc>
          <w:tcPr>
            <w:tcW w:w="2103" w:type="dxa"/>
            <w:vAlign w:val="top"/>
          </w:tcPr>
          <w:p w14:paraId="149718CB">
            <w:pPr>
              <w:rPr>
                <w:rFonts w:ascii="Arial"/>
                <w:sz w:val="21"/>
                <w:highlight w:val="none"/>
              </w:rPr>
            </w:pPr>
          </w:p>
        </w:tc>
        <w:tc>
          <w:tcPr>
            <w:tcW w:w="2019" w:type="dxa"/>
            <w:vAlign w:val="top"/>
          </w:tcPr>
          <w:p w14:paraId="2220EF0F">
            <w:pPr>
              <w:rPr>
                <w:rFonts w:ascii="Arial"/>
                <w:sz w:val="21"/>
                <w:highlight w:val="none"/>
              </w:rPr>
            </w:pPr>
          </w:p>
        </w:tc>
        <w:tc>
          <w:tcPr>
            <w:tcW w:w="2489" w:type="dxa"/>
            <w:tcBorders>
              <w:right w:val="single" w:color="000000" w:sz="10" w:space="0"/>
            </w:tcBorders>
            <w:vAlign w:val="top"/>
          </w:tcPr>
          <w:p w14:paraId="1E65D908">
            <w:pPr>
              <w:rPr>
                <w:rFonts w:ascii="Arial"/>
                <w:sz w:val="21"/>
                <w:highlight w:val="none"/>
              </w:rPr>
            </w:pPr>
          </w:p>
        </w:tc>
      </w:tr>
      <w:tr w14:paraId="0FB5F3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6" w:hRule="atLeast"/>
        </w:trPr>
        <w:tc>
          <w:tcPr>
            <w:tcW w:w="912" w:type="dxa"/>
            <w:tcBorders>
              <w:left w:val="single" w:color="000000" w:sz="10" w:space="0"/>
            </w:tcBorders>
            <w:vAlign w:val="top"/>
          </w:tcPr>
          <w:p w14:paraId="586BC240">
            <w:pPr>
              <w:rPr>
                <w:rFonts w:ascii="Arial"/>
                <w:sz w:val="21"/>
                <w:highlight w:val="none"/>
              </w:rPr>
            </w:pPr>
          </w:p>
        </w:tc>
        <w:tc>
          <w:tcPr>
            <w:tcW w:w="1615" w:type="dxa"/>
            <w:vAlign w:val="top"/>
          </w:tcPr>
          <w:p w14:paraId="7898D886">
            <w:pPr>
              <w:rPr>
                <w:rFonts w:ascii="Arial"/>
                <w:sz w:val="21"/>
                <w:highlight w:val="none"/>
              </w:rPr>
            </w:pPr>
          </w:p>
        </w:tc>
        <w:tc>
          <w:tcPr>
            <w:tcW w:w="2103" w:type="dxa"/>
            <w:vAlign w:val="top"/>
          </w:tcPr>
          <w:p w14:paraId="034F4628">
            <w:pPr>
              <w:rPr>
                <w:rFonts w:ascii="Arial"/>
                <w:sz w:val="21"/>
                <w:highlight w:val="none"/>
              </w:rPr>
            </w:pPr>
          </w:p>
        </w:tc>
        <w:tc>
          <w:tcPr>
            <w:tcW w:w="2019" w:type="dxa"/>
            <w:vAlign w:val="top"/>
          </w:tcPr>
          <w:p w14:paraId="5A8E534C">
            <w:pPr>
              <w:rPr>
                <w:rFonts w:ascii="Arial"/>
                <w:sz w:val="21"/>
                <w:highlight w:val="none"/>
              </w:rPr>
            </w:pPr>
          </w:p>
        </w:tc>
        <w:tc>
          <w:tcPr>
            <w:tcW w:w="2489" w:type="dxa"/>
            <w:tcBorders>
              <w:right w:val="single" w:color="000000" w:sz="10" w:space="0"/>
            </w:tcBorders>
            <w:vAlign w:val="top"/>
          </w:tcPr>
          <w:p w14:paraId="4C29A53C">
            <w:pPr>
              <w:rPr>
                <w:rFonts w:ascii="Arial"/>
                <w:sz w:val="21"/>
                <w:highlight w:val="none"/>
              </w:rPr>
            </w:pPr>
          </w:p>
        </w:tc>
      </w:tr>
      <w:tr w14:paraId="0CF2AB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2" w:hRule="atLeast"/>
        </w:trPr>
        <w:tc>
          <w:tcPr>
            <w:tcW w:w="912" w:type="dxa"/>
            <w:tcBorders>
              <w:left w:val="single" w:color="000000" w:sz="10" w:space="0"/>
            </w:tcBorders>
            <w:vAlign w:val="top"/>
          </w:tcPr>
          <w:p w14:paraId="13E264E1">
            <w:pPr>
              <w:rPr>
                <w:rFonts w:ascii="Arial"/>
                <w:sz w:val="21"/>
                <w:highlight w:val="none"/>
              </w:rPr>
            </w:pPr>
          </w:p>
        </w:tc>
        <w:tc>
          <w:tcPr>
            <w:tcW w:w="1615" w:type="dxa"/>
            <w:vAlign w:val="top"/>
          </w:tcPr>
          <w:p w14:paraId="1AA8FB17">
            <w:pPr>
              <w:rPr>
                <w:rFonts w:ascii="Arial"/>
                <w:sz w:val="21"/>
                <w:highlight w:val="none"/>
              </w:rPr>
            </w:pPr>
          </w:p>
        </w:tc>
        <w:tc>
          <w:tcPr>
            <w:tcW w:w="2103" w:type="dxa"/>
            <w:vAlign w:val="top"/>
          </w:tcPr>
          <w:p w14:paraId="5DA6DB82">
            <w:pPr>
              <w:rPr>
                <w:rFonts w:ascii="Arial"/>
                <w:sz w:val="21"/>
                <w:highlight w:val="none"/>
              </w:rPr>
            </w:pPr>
          </w:p>
        </w:tc>
        <w:tc>
          <w:tcPr>
            <w:tcW w:w="2019" w:type="dxa"/>
            <w:vAlign w:val="top"/>
          </w:tcPr>
          <w:p w14:paraId="74333A6D">
            <w:pPr>
              <w:rPr>
                <w:rFonts w:ascii="Arial"/>
                <w:sz w:val="21"/>
                <w:highlight w:val="none"/>
              </w:rPr>
            </w:pPr>
          </w:p>
        </w:tc>
        <w:tc>
          <w:tcPr>
            <w:tcW w:w="2489" w:type="dxa"/>
            <w:tcBorders>
              <w:right w:val="single" w:color="000000" w:sz="10" w:space="0"/>
            </w:tcBorders>
            <w:vAlign w:val="top"/>
          </w:tcPr>
          <w:p w14:paraId="0BB8A6B0">
            <w:pPr>
              <w:rPr>
                <w:rFonts w:ascii="Arial"/>
                <w:sz w:val="21"/>
                <w:highlight w:val="none"/>
              </w:rPr>
            </w:pPr>
          </w:p>
        </w:tc>
      </w:tr>
      <w:tr w14:paraId="726DE6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7" w:hRule="atLeast"/>
        </w:trPr>
        <w:tc>
          <w:tcPr>
            <w:tcW w:w="912" w:type="dxa"/>
            <w:tcBorders>
              <w:left w:val="single" w:color="000000" w:sz="10" w:space="0"/>
            </w:tcBorders>
            <w:vAlign w:val="top"/>
          </w:tcPr>
          <w:p w14:paraId="31D80D12">
            <w:pPr>
              <w:rPr>
                <w:rFonts w:ascii="Arial"/>
                <w:sz w:val="21"/>
                <w:highlight w:val="none"/>
              </w:rPr>
            </w:pPr>
          </w:p>
        </w:tc>
        <w:tc>
          <w:tcPr>
            <w:tcW w:w="1615" w:type="dxa"/>
            <w:vAlign w:val="top"/>
          </w:tcPr>
          <w:p w14:paraId="0BD6CEF6">
            <w:pPr>
              <w:rPr>
                <w:rFonts w:ascii="Arial"/>
                <w:sz w:val="21"/>
                <w:highlight w:val="none"/>
              </w:rPr>
            </w:pPr>
          </w:p>
        </w:tc>
        <w:tc>
          <w:tcPr>
            <w:tcW w:w="2103" w:type="dxa"/>
            <w:vAlign w:val="top"/>
          </w:tcPr>
          <w:p w14:paraId="08DEAB75">
            <w:pPr>
              <w:rPr>
                <w:rFonts w:ascii="Arial"/>
                <w:sz w:val="21"/>
                <w:highlight w:val="none"/>
              </w:rPr>
            </w:pPr>
          </w:p>
        </w:tc>
        <w:tc>
          <w:tcPr>
            <w:tcW w:w="2019" w:type="dxa"/>
            <w:vAlign w:val="top"/>
          </w:tcPr>
          <w:p w14:paraId="308AB278">
            <w:pPr>
              <w:rPr>
                <w:rFonts w:ascii="Arial"/>
                <w:sz w:val="21"/>
                <w:highlight w:val="none"/>
              </w:rPr>
            </w:pPr>
          </w:p>
        </w:tc>
        <w:tc>
          <w:tcPr>
            <w:tcW w:w="2489" w:type="dxa"/>
            <w:tcBorders>
              <w:right w:val="single" w:color="000000" w:sz="10" w:space="0"/>
            </w:tcBorders>
            <w:vAlign w:val="top"/>
          </w:tcPr>
          <w:p w14:paraId="0FE4C811">
            <w:pPr>
              <w:rPr>
                <w:rFonts w:ascii="Arial"/>
                <w:sz w:val="21"/>
                <w:highlight w:val="none"/>
              </w:rPr>
            </w:pPr>
          </w:p>
        </w:tc>
      </w:tr>
      <w:tr w14:paraId="581807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7" w:hRule="atLeast"/>
        </w:trPr>
        <w:tc>
          <w:tcPr>
            <w:tcW w:w="912" w:type="dxa"/>
            <w:tcBorders>
              <w:left w:val="single" w:color="000000" w:sz="10" w:space="0"/>
            </w:tcBorders>
            <w:vAlign w:val="top"/>
          </w:tcPr>
          <w:p w14:paraId="42141146">
            <w:pPr>
              <w:rPr>
                <w:rFonts w:ascii="Arial"/>
                <w:sz w:val="21"/>
                <w:highlight w:val="none"/>
              </w:rPr>
            </w:pPr>
          </w:p>
        </w:tc>
        <w:tc>
          <w:tcPr>
            <w:tcW w:w="1615" w:type="dxa"/>
            <w:vAlign w:val="top"/>
          </w:tcPr>
          <w:p w14:paraId="4C099951">
            <w:pPr>
              <w:rPr>
                <w:rFonts w:ascii="Arial"/>
                <w:sz w:val="21"/>
                <w:highlight w:val="none"/>
              </w:rPr>
            </w:pPr>
          </w:p>
        </w:tc>
        <w:tc>
          <w:tcPr>
            <w:tcW w:w="2103" w:type="dxa"/>
            <w:vAlign w:val="top"/>
          </w:tcPr>
          <w:p w14:paraId="2460F937">
            <w:pPr>
              <w:rPr>
                <w:rFonts w:ascii="Arial"/>
                <w:sz w:val="21"/>
                <w:highlight w:val="none"/>
              </w:rPr>
            </w:pPr>
          </w:p>
        </w:tc>
        <w:tc>
          <w:tcPr>
            <w:tcW w:w="2019" w:type="dxa"/>
            <w:vAlign w:val="top"/>
          </w:tcPr>
          <w:p w14:paraId="3783A438">
            <w:pPr>
              <w:rPr>
                <w:rFonts w:ascii="Arial"/>
                <w:sz w:val="21"/>
                <w:highlight w:val="none"/>
              </w:rPr>
            </w:pPr>
          </w:p>
        </w:tc>
        <w:tc>
          <w:tcPr>
            <w:tcW w:w="2489" w:type="dxa"/>
            <w:tcBorders>
              <w:right w:val="single" w:color="000000" w:sz="10" w:space="0"/>
            </w:tcBorders>
            <w:vAlign w:val="top"/>
          </w:tcPr>
          <w:p w14:paraId="375A41E7">
            <w:pPr>
              <w:rPr>
                <w:rFonts w:ascii="Arial"/>
                <w:sz w:val="21"/>
                <w:highlight w:val="none"/>
              </w:rPr>
            </w:pPr>
          </w:p>
        </w:tc>
      </w:tr>
      <w:tr w14:paraId="72C2E7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7" w:hRule="atLeast"/>
        </w:trPr>
        <w:tc>
          <w:tcPr>
            <w:tcW w:w="912" w:type="dxa"/>
            <w:tcBorders>
              <w:left w:val="single" w:color="000000" w:sz="10" w:space="0"/>
            </w:tcBorders>
            <w:vAlign w:val="top"/>
          </w:tcPr>
          <w:p w14:paraId="065A9E10">
            <w:pPr>
              <w:rPr>
                <w:rFonts w:ascii="Arial"/>
                <w:sz w:val="21"/>
                <w:highlight w:val="none"/>
              </w:rPr>
            </w:pPr>
          </w:p>
        </w:tc>
        <w:tc>
          <w:tcPr>
            <w:tcW w:w="1615" w:type="dxa"/>
            <w:vAlign w:val="top"/>
          </w:tcPr>
          <w:p w14:paraId="257E93EC">
            <w:pPr>
              <w:rPr>
                <w:rFonts w:ascii="Arial"/>
                <w:sz w:val="21"/>
                <w:highlight w:val="none"/>
              </w:rPr>
            </w:pPr>
          </w:p>
        </w:tc>
        <w:tc>
          <w:tcPr>
            <w:tcW w:w="2103" w:type="dxa"/>
            <w:vAlign w:val="top"/>
          </w:tcPr>
          <w:p w14:paraId="6C645915">
            <w:pPr>
              <w:rPr>
                <w:rFonts w:ascii="Arial"/>
                <w:sz w:val="21"/>
                <w:highlight w:val="none"/>
              </w:rPr>
            </w:pPr>
          </w:p>
        </w:tc>
        <w:tc>
          <w:tcPr>
            <w:tcW w:w="2019" w:type="dxa"/>
            <w:vAlign w:val="top"/>
          </w:tcPr>
          <w:p w14:paraId="3CDA0E70">
            <w:pPr>
              <w:rPr>
                <w:rFonts w:ascii="Arial"/>
                <w:sz w:val="21"/>
                <w:highlight w:val="none"/>
              </w:rPr>
            </w:pPr>
          </w:p>
        </w:tc>
        <w:tc>
          <w:tcPr>
            <w:tcW w:w="2489" w:type="dxa"/>
            <w:tcBorders>
              <w:right w:val="single" w:color="000000" w:sz="10" w:space="0"/>
            </w:tcBorders>
            <w:vAlign w:val="top"/>
          </w:tcPr>
          <w:p w14:paraId="64360429">
            <w:pPr>
              <w:rPr>
                <w:rFonts w:ascii="Arial"/>
                <w:sz w:val="21"/>
                <w:highlight w:val="none"/>
              </w:rPr>
            </w:pPr>
          </w:p>
        </w:tc>
      </w:tr>
      <w:tr w14:paraId="3A42D4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2" w:hRule="atLeast"/>
        </w:trPr>
        <w:tc>
          <w:tcPr>
            <w:tcW w:w="912" w:type="dxa"/>
            <w:tcBorders>
              <w:left w:val="single" w:color="000000" w:sz="10" w:space="0"/>
            </w:tcBorders>
            <w:vAlign w:val="top"/>
          </w:tcPr>
          <w:p w14:paraId="43D14DE8">
            <w:pPr>
              <w:rPr>
                <w:rFonts w:ascii="Arial"/>
                <w:sz w:val="21"/>
                <w:highlight w:val="none"/>
              </w:rPr>
            </w:pPr>
          </w:p>
        </w:tc>
        <w:tc>
          <w:tcPr>
            <w:tcW w:w="1615" w:type="dxa"/>
            <w:vAlign w:val="top"/>
          </w:tcPr>
          <w:p w14:paraId="1523300C">
            <w:pPr>
              <w:rPr>
                <w:rFonts w:ascii="Arial"/>
                <w:sz w:val="21"/>
                <w:highlight w:val="none"/>
              </w:rPr>
            </w:pPr>
          </w:p>
        </w:tc>
        <w:tc>
          <w:tcPr>
            <w:tcW w:w="2103" w:type="dxa"/>
            <w:vAlign w:val="top"/>
          </w:tcPr>
          <w:p w14:paraId="24151705">
            <w:pPr>
              <w:rPr>
                <w:rFonts w:ascii="Arial"/>
                <w:sz w:val="21"/>
                <w:highlight w:val="none"/>
              </w:rPr>
            </w:pPr>
          </w:p>
        </w:tc>
        <w:tc>
          <w:tcPr>
            <w:tcW w:w="2019" w:type="dxa"/>
            <w:vAlign w:val="top"/>
          </w:tcPr>
          <w:p w14:paraId="478D9BBD">
            <w:pPr>
              <w:rPr>
                <w:rFonts w:ascii="Arial"/>
                <w:sz w:val="21"/>
                <w:highlight w:val="none"/>
              </w:rPr>
            </w:pPr>
          </w:p>
        </w:tc>
        <w:tc>
          <w:tcPr>
            <w:tcW w:w="2489" w:type="dxa"/>
            <w:tcBorders>
              <w:right w:val="single" w:color="000000" w:sz="10" w:space="0"/>
            </w:tcBorders>
            <w:vAlign w:val="top"/>
          </w:tcPr>
          <w:p w14:paraId="34A78DB5">
            <w:pPr>
              <w:rPr>
                <w:rFonts w:ascii="Arial"/>
                <w:sz w:val="21"/>
                <w:highlight w:val="none"/>
              </w:rPr>
            </w:pPr>
          </w:p>
        </w:tc>
      </w:tr>
      <w:tr w14:paraId="0722CD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7" w:hRule="atLeast"/>
        </w:trPr>
        <w:tc>
          <w:tcPr>
            <w:tcW w:w="912" w:type="dxa"/>
            <w:tcBorders>
              <w:left w:val="single" w:color="000000" w:sz="10" w:space="0"/>
            </w:tcBorders>
            <w:vAlign w:val="top"/>
          </w:tcPr>
          <w:p w14:paraId="5AFD4D49">
            <w:pPr>
              <w:rPr>
                <w:rFonts w:ascii="Arial"/>
                <w:sz w:val="21"/>
                <w:highlight w:val="none"/>
              </w:rPr>
            </w:pPr>
          </w:p>
        </w:tc>
        <w:tc>
          <w:tcPr>
            <w:tcW w:w="1615" w:type="dxa"/>
            <w:vAlign w:val="top"/>
          </w:tcPr>
          <w:p w14:paraId="2A6A861D">
            <w:pPr>
              <w:rPr>
                <w:rFonts w:ascii="Arial"/>
                <w:sz w:val="21"/>
                <w:highlight w:val="none"/>
              </w:rPr>
            </w:pPr>
          </w:p>
        </w:tc>
        <w:tc>
          <w:tcPr>
            <w:tcW w:w="2103" w:type="dxa"/>
            <w:vAlign w:val="top"/>
          </w:tcPr>
          <w:p w14:paraId="309D9280">
            <w:pPr>
              <w:rPr>
                <w:rFonts w:ascii="Arial"/>
                <w:sz w:val="21"/>
                <w:highlight w:val="none"/>
              </w:rPr>
            </w:pPr>
          </w:p>
        </w:tc>
        <w:tc>
          <w:tcPr>
            <w:tcW w:w="2019" w:type="dxa"/>
            <w:vAlign w:val="top"/>
          </w:tcPr>
          <w:p w14:paraId="5DF95FB1">
            <w:pPr>
              <w:rPr>
                <w:rFonts w:ascii="Arial"/>
                <w:sz w:val="21"/>
                <w:highlight w:val="none"/>
              </w:rPr>
            </w:pPr>
          </w:p>
        </w:tc>
        <w:tc>
          <w:tcPr>
            <w:tcW w:w="2489" w:type="dxa"/>
            <w:tcBorders>
              <w:right w:val="single" w:color="000000" w:sz="10" w:space="0"/>
            </w:tcBorders>
            <w:vAlign w:val="top"/>
          </w:tcPr>
          <w:p w14:paraId="63A77B1D">
            <w:pPr>
              <w:rPr>
                <w:rFonts w:ascii="Arial"/>
                <w:sz w:val="21"/>
                <w:highlight w:val="none"/>
              </w:rPr>
            </w:pPr>
          </w:p>
        </w:tc>
      </w:tr>
      <w:tr w14:paraId="2B8C96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7" w:hRule="atLeast"/>
        </w:trPr>
        <w:tc>
          <w:tcPr>
            <w:tcW w:w="912" w:type="dxa"/>
            <w:tcBorders>
              <w:left w:val="single" w:color="000000" w:sz="10" w:space="0"/>
            </w:tcBorders>
            <w:vAlign w:val="top"/>
          </w:tcPr>
          <w:p w14:paraId="10E8C65E">
            <w:pPr>
              <w:rPr>
                <w:rFonts w:ascii="Arial"/>
                <w:sz w:val="21"/>
                <w:highlight w:val="none"/>
              </w:rPr>
            </w:pPr>
          </w:p>
        </w:tc>
        <w:tc>
          <w:tcPr>
            <w:tcW w:w="1615" w:type="dxa"/>
            <w:vAlign w:val="top"/>
          </w:tcPr>
          <w:p w14:paraId="492C09D7">
            <w:pPr>
              <w:rPr>
                <w:rFonts w:ascii="Arial"/>
                <w:sz w:val="21"/>
                <w:highlight w:val="none"/>
              </w:rPr>
            </w:pPr>
          </w:p>
        </w:tc>
        <w:tc>
          <w:tcPr>
            <w:tcW w:w="2103" w:type="dxa"/>
            <w:vAlign w:val="top"/>
          </w:tcPr>
          <w:p w14:paraId="4049A719">
            <w:pPr>
              <w:rPr>
                <w:rFonts w:ascii="Arial"/>
                <w:sz w:val="21"/>
                <w:highlight w:val="none"/>
              </w:rPr>
            </w:pPr>
          </w:p>
        </w:tc>
        <w:tc>
          <w:tcPr>
            <w:tcW w:w="2019" w:type="dxa"/>
            <w:vAlign w:val="top"/>
          </w:tcPr>
          <w:p w14:paraId="4AD24D2B">
            <w:pPr>
              <w:rPr>
                <w:rFonts w:ascii="Arial"/>
                <w:sz w:val="21"/>
                <w:highlight w:val="none"/>
              </w:rPr>
            </w:pPr>
          </w:p>
        </w:tc>
        <w:tc>
          <w:tcPr>
            <w:tcW w:w="2489" w:type="dxa"/>
            <w:tcBorders>
              <w:right w:val="single" w:color="000000" w:sz="10" w:space="0"/>
            </w:tcBorders>
            <w:vAlign w:val="top"/>
          </w:tcPr>
          <w:p w14:paraId="5C4A41C4">
            <w:pPr>
              <w:rPr>
                <w:rFonts w:ascii="Arial"/>
                <w:sz w:val="21"/>
                <w:highlight w:val="none"/>
              </w:rPr>
            </w:pPr>
          </w:p>
        </w:tc>
      </w:tr>
      <w:tr w14:paraId="29273C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0" w:hRule="atLeast"/>
        </w:trPr>
        <w:tc>
          <w:tcPr>
            <w:tcW w:w="912" w:type="dxa"/>
            <w:tcBorders>
              <w:left w:val="single" w:color="000000" w:sz="10" w:space="0"/>
              <w:bottom w:val="single" w:color="000000" w:sz="10" w:space="0"/>
            </w:tcBorders>
            <w:vAlign w:val="top"/>
          </w:tcPr>
          <w:p w14:paraId="702F8B8A">
            <w:pPr>
              <w:rPr>
                <w:rFonts w:ascii="Arial"/>
                <w:sz w:val="21"/>
                <w:highlight w:val="none"/>
              </w:rPr>
            </w:pPr>
          </w:p>
        </w:tc>
        <w:tc>
          <w:tcPr>
            <w:tcW w:w="1615" w:type="dxa"/>
            <w:tcBorders>
              <w:bottom w:val="single" w:color="000000" w:sz="10" w:space="0"/>
            </w:tcBorders>
            <w:vAlign w:val="top"/>
          </w:tcPr>
          <w:p w14:paraId="1B1D0B1D">
            <w:pPr>
              <w:rPr>
                <w:rFonts w:ascii="Arial"/>
                <w:sz w:val="21"/>
                <w:highlight w:val="none"/>
              </w:rPr>
            </w:pPr>
          </w:p>
        </w:tc>
        <w:tc>
          <w:tcPr>
            <w:tcW w:w="2103" w:type="dxa"/>
            <w:tcBorders>
              <w:bottom w:val="single" w:color="000000" w:sz="10" w:space="0"/>
            </w:tcBorders>
            <w:vAlign w:val="top"/>
          </w:tcPr>
          <w:p w14:paraId="5FA9B4AB">
            <w:pPr>
              <w:rPr>
                <w:rFonts w:ascii="Arial"/>
                <w:sz w:val="21"/>
                <w:highlight w:val="none"/>
              </w:rPr>
            </w:pPr>
          </w:p>
        </w:tc>
        <w:tc>
          <w:tcPr>
            <w:tcW w:w="2019" w:type="dxa"/>
            <w:tcBorders>
              <w:bottom w:val="single" w:color="000000" w:sz="10" w:space="0"/>
            </w:tcBorders>
            <w:vAlign w:val="top"/>
          </w:tcPr>
          <w:p w14:paraId="0232FB70">
            <w:pPr>
              <w:rPr>
                <w:rFonts w:ascii="Arial"/>
                <w:sz w:val="21"/>
                <w:highlight w:val="none"/>
              </w:rPr>
            </w:pPr>
          </w:p>
        </w:tc>
        <w:tc>
          <w:tcPr>
            <w:tcW w:w="2489" w:type="dxa"/>
            <w:tcBorders>
              <w:bottom w:val="single" w:color="000000" w:sz="10" w:space="0"/>
              <w:right w:val="single" w:color="000000" w:sz="10" w:space="0"/>
            </w:tcBorders>
            <w:vAlign w:val="top"/>
          </w:tcPr>
          <w:p w14:paraId="36FE2C99">
            <w:pPr>
              <w:rPr>
                <w:rFonts w:ascii="Arial"/>
                <w:sz w:val="21"/>
                <w:highlight w:val="none"/>
              </w:rPr>
            </w:pPr>
          </w:p>
        </w:tc>
      </w:tr>
    </w:tbl>
    <w:p w14:paraId="41E2E3B4">
      <w:pPr>
        <w:autoSpaceDE w:val="0"/>
        <w:autoSpaceDN w:val="0"/>
        <w:spacing w:line="360" w:lineRule="auto"/>
        <w:rPr>
          <w:rFonts w:ascii="宋体" w:hAnsi="宋体"/>
          <w:sz w:val="22"/>
          <w:szCs w:val="20"/>
          <w:highlight w:val="none"/>
        </w:rPr>
      </w:pPr>
      <w:r>
        <w:rPr>
          <w:rFonts w:hint="eastAsia" w:ascii="宋体" w:hAnsi="宋体" w:cs="宋体"/>
          <w:color w:val="000000"/>
          <w:sz w:val="22"/>
          <w:szCs w:val="20"/>
          <w:highlight w:val="none"/>
        </w:rPr>
        <w:t>说明：供应商提供自2023年1月1日至今类似项目业绩（需附合同复印件并加盖公章或（中标）成交通知书复印件，时间以合同签订时间或（中标）成交通知书落款时间为准）</w:t>
      </w:r>
      <w:r>
        <w:rPr>
          <w:rFonts w:hint="eastAsia" w:ascii="宋体" w:hAnsi="宋体" w:eastAsia="宋体" w:cs="宋体"/>
          <w:color w:val="auto"/>
          <w:sz w:val="22"/>
          <w:szCs w:val="22"/>
          <w:highlight w:val="none"/>
        </w:rPr>
        <w:t>。</w:t>
      </w:r>
    </w:p>
    <w:p w14:paraId="4C234B92">
      <w:pPr>
        <w:rPr>
          <w:rFonts w:hint="eastAsia" w:ascii="宋体" w:hAnsi="宋体"/>
          <w:sz w:val="24"/>
          <w:highlight w:val="none"/>
        </w:rPr>
      </w:pPr>
    </w:p>
    <w:p w14:paraId="1576081A">
      <w:pPr>
        <w:rPr>
          <w:highlight w:val="none"/>
        </w:rPr>
      </w:pPr>
      <w:r>
        <w:rPr>
          <w:rFonts w:hint="eastAsia" w:ascii="宋体" w:hAnsi="宋体"/>
          <w:sz w:val="24"/>
          <w:highlight w:val="none"/>
        </w:rPr>
        <w:t>供 应 商：</w:t>
      </w:r>
      <w:r>
        <w:rPr>
          <w:rFonts w:hint="eastAsia" w:ascii="宋体" w:hAnsi="宋体"/>
          <w:sz w:val="24"/>
          <w:highlight w:val="none"/>
          <w:u w:val="single"/>
        </w:rPr>
        <w:t xml:space="preserve">                   </w:t>
      </w:r>
      <w:r>
        <w:rPr>
          <w:rFonts w:hint="eastAsia" w:ascii="宋体" w:hAnsi="宋体"/>
          <w:sz w:val="24"/>
          <w:highlight w:val="none"/>
        </w:rPr>
        <w:t>（盖单位章）</w:t>
      </w:r>
    </w:p>
    <w:p w14:paraId="0B746798">
      <w:pPr>
        <w:rPr>
          <w:rFonts w:hint="eastAsia" w:ascii="宋体" w:hAnsi="宋体"/>
          <w:sz w:val="24"/>
          <w:highlight w:val="none"/>
        </w:rPr>
      </w:pPr>
    </w:p>
    <w:p w14:paraId="244BB2A4">
      <w:pPr>
        <w:rPr>
          <w:rFonts w:ascii="宋体" w:hAnsi="宋体"/>
          <w:sz w:val="24"/>
          <w:highlight w:val="none"/>
        </w:rPr>
      </w:pPr>
      <w:r>
        <w:rPr>
          <w:rFonts w:hint="eastAsia" w:ascii="宋体" w:hAnsi="宋体"/>
          <w:sz w:val="24"/>
          <w:highlight w:val="none"/>
        </w:rPr>
        <w:t>日  期：     年    月    日</w:t>
      </w:r>
    </w:p>
    <w:p w14:paraId="289A4AA3">
      <w:pPr>
        <w:rPr>
          <w:rFonts w:hint="eastAsia" w:eastAsia="宋体" w:cs="Times New Roman"/>
          <w:color w:val="auto"/>
          <w:sz w:val="32"/>
          <w:highlight w:val="none"/>
        </w:rPr>
      </w:pPr>
      <w:r>
        <w:rPr>
          <w:rFonts w:ascii="宋体" w:hAnsi="宋体" w:cs="宋体"/>
          <w:sz w:val="32"/>
          <w:szCs w:val="32"/>
          <w:highlight w:val="none"/>
          <w:u w:val="single"/>
        </w:rPr>
        <w:br w:type="page"/>
      </w:r>
    </w:p>
    <w:p w14:paraId="54EDE7A9">
      <w:pPr>
        <w:pStyle w:val="4"/>
        <w:keepLines w:val="0"/>
        <w:widowControl w:val="0"/>
        <w:spacing w:before="0" w:after="0" w:line="360" w:lineRule="auto"/>
        <w:ind w:left="0"/>
        <w:jc w:val="center"/>
        <w:rPr>
          <w:rFonts w:hint="eastAsia" w:eastAsia="宋体" w:cs="Times New Roman"/>
          <w:color w:val="auto"/>
          <w:sz w:val="32"/>
          <w:highlight w:val="none"/>
        </w:rPr>
      </w:pPr>
      <w:r>
        <w:rPr>
          <w:rFonts w:hint="eastAsia" w:eastAsia="宋体" w:cs="Times New Roman"/>
          <w:color w:val="auto"/>
          <w:sz w:val="32"/>
          <w:highlight w:val="none"/>
          <w:lang w:eastAsia="zh-CN"/>
        </w:rPr>
        <w:t>四、</w:t>
      </w:r>
      <w:r>
        <w:rPr>
          <w:rFonts w:hint="eastAsia" w:eastAsia="宋体" w:cs="Times New Roman"/>
          <w:color w:val="auto"/>
          <w:sz w:val="32"/>
          <w:highlight w:val="none"/>
        </w:rPr>
        <w:t>服务应答表</w:t>
      </w:r>
    </w:p>
    <w:p w14:paraId="45DD1516">
      <w:pPr>
        <w:spacing w:after="120"/>
        <w:ind w:firstLine="120" w:firstLineChars="50"/>
        <w:rPr>
          <w:rFonts w:hint="eastAsia" w:hAnsi="宋体" w:cs="宋体"/>
          <w:b/>
          <w:bCs/>
          <w:color w:val="auto"/>
          <w:szCs w:val="24"/>
          <w:highlight w:val="none"/>
        </w:rPr>
      </w:pPr>
      <w:r>
        <w:rPr>
          <w:rFonts w:hint="eastAsia" w:hAnsi="宋体" w:cs="宋体"/>
          <w:b/>
          <w:bCs/>
          <w:color w:val="auto"/>
          <w:szCs w:val="24"/>
          <w:highlight w:val="none"/>
        </w:rPr>
        <w:t>项目名称：</w:t>
      </w:r>
    </w:p>
    <w:p w14:paraId="14878094">
      <w:pPr>
        <w:spacing w:after="120"/>
        <w:ind w:firstLine="120" w:firstLineChars="50"/>
        <w:rPr>
          <w:b/>
          <w:bCs/>
          <w:color w:val="auto"/>
          <w:szCs w:val="24"/>
          <w:highlight w:val="none"/>
        </w:rPr>
      </w:pPr>
      <w:r>
        <w:rPr>
          <w:rFonts w:hint="eastAsia"/>
          <w:b/>
          <w:bCs/>
          <w:color w:val="auto"/>
          <w:szCs w:val="24"/>
          <w:highlight w:val="none"/>
        </w:rPr>
        <w:t>项目编号：</w:t>
      </w:r>
    </w:p>
    <w:tbl>
      <w:tblPr>
        <w:tblStyle w:val="48"/>
        <w:tblpPr w:leftFromText="180" w:rightFromText="180" w:vertAnchor="text" w:horzAnchor="page" w:tblpX="1687" w:tblpY="418"/>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8"/>
        <w:gridCol w:w="2519"/>
        <w:gridCol w:w="2647"/>
        <w:gridCol w:w="1561"/>
        <w:gridCol w:w="1238"/>
      </w:tblGrid>
      <w:tr w14:paraId="1C27E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7" w:hRule="atLeast"/>
        </w:trPr>
        <w:tc>
          <w:tcPr>
            <w:tcW w:w="1038" w:type="dxa"/>
            <w:vAlign w:val="center"/>
          </w:tcPr>
          <w:p w14:paraId="2D5C6C42">
            <w:pPr>
              <w:pStyle w:val="5"/>
              <w:tabs>
                <w:tab w:val="left" w:pos="6880"/>
              </w:tabs>
              <w:spacing w:line="360" w:lineRule="auto"/>
              <w:ind w:firstLine="0" w:firstLineChars="0"/>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序号</w:t>
            </w:r>
          </w:p>
        </w:tc>
        <w:tc>
          <w:tcPr>
            <w:tcW w:w="2519" w:type="dxa"/>
            <w:vAlign w:val="center"/>
          </w:tcPr>
          <w:p w14:paraId="4DB1E62F">
            <w:pPr>
              <w:pStyle w:val="5"/>
              <w:tabs>
                <w:tab w:val="left" w:pos="6880"/>
              </w:tabs>
              <w:spacing w:line="360" w:lineRule="auto"/>
              <w:ind w:firstLine="0" w:firstLineChars="0"/>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磋商文件要求</w:t>
            </w:r>
          </w:p>
        </w:tc>
        <w:tc>
          <w:tcPr>
            <w:tcW w:w="2647" w:type="dxa"/>
            <w:vAlign w:val="center"/>
          </w:tcPr>
          <w:p w14:paraId="3CD87A7B">
            <w:pPr>
              <w:pStyle w:val="5"/>
              <w:tabs>
                <w:tab w:val="left" w:pos="6880"/>
              </w:tabs>
              <w:spacing w:line="360" w:lineRule="auto"/>
              <w:ind w:firstLine="120" w:firstLineChars="50"/>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磋商响应文件的应答</w:t>
            </w:r>
          </w:p>
        </w:tc>
        <w:tc>
          <w:tcPr>
            <w:tcW w:w="1561" w:type="dxa"/>
            <w:vAlign w:val="center"/>
          </w:tcPr>
          <w:p w14:paraId="57DF9F9E">
            <w:pPr>
              <w:pStyle w:val="5"/>
              <w:tabs>
                <w:tab w:val="left" w:pos="6880"/>
              </w:tabs>
              <w:spacing w:line="360" w:lineRule="auto"/>
              <w:ind w:firstLine="0" w:firstLineChars="0"/>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响应/偏离</w:t>
            </w:r>
          </w:p>
        </w:tc>
        <w:tc>
          <w:tcPr>
            <w:tcW w:w="1238" w:type="dxa"/>
            <w:vAlign w:val="center"/>
          </w:tcPr>
          <w:p w14:paraId="38FB4F8F">
            <w:pPr>
              <w:pStyle w:val="5"/>
              <w:tabs>
                <w:tab w:val="left" w:pos="6880"/>
              </w:tabs>
              <w:spacing w:line="360" w:lineRule="auto"/>
              <w:ind w:firstLine="0" w:firstLineChars="0"/>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备注</w:t>
            </w:r>
          </w:p>
        </w:tc>
      </w:tr>
      <w:tr w14:paraId="474F0C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8" w:type="dxa"/>
            <w:vAlign w:val="center"/>
          </w:tcPr>
          <w:p w14:paraId="42FB3E01">
            <w:pPr>
              <w:pStyle w:val="5"/>
              <w:tabs>
                <w:tab w:val="left" w:pos="34"/>
              </w:tabs>
              <w:spacing w:line="360" w:lineRule="auto"/>
              <w:ind w:left="-108" w:firstLine="0" w:firstLineChars="0"/>
              <w:jc w:val="center"/>
              <w:rPr>
                <w:rFonts w:hint="eastAsia" w:ascii="宋体" w:hAnsi="宋体" w:cs="宋体"/>
                <w:color w:val="auto"/>
                <w:kern w:val="0"/>
                <w:sz w:val="24"/>
                <w:highlight w:val="none"/>
              </w:rPr>
            </w:pPr>
          </w:p>
        </w:tc>
        <w:tc>
          <w:tcPr>
            <w:tcW w:w="2519" w:type="dxa"/>
            <w:vAlign w:val="center"/>
          </w:tcPr>
          <w:p w14:paraId="3B869530">
            <w:pPr>
              <w:pStyle w:val="5"/>
              <w:tabs>
                <w:tab w:val="left" w:pos="6880"/>
              </w:tabs>
              <w:spacing w:line="360" w:lineRule="auto"/>
              <w:ind w:firstLine="480"/>
              <w:rPr>
                <w:rFonts w:hint="eastAsia" w:ascii="宋体" w:hAnsi="宋体" w:cs="宋体"/>
                <w:color w:val="auto"/>
                <w:kern w:val="0"/>
                <w:sz w:val="24"/>
                <w:highlight w:val="none"/>
              </w:rPr>
            </w:pPr>
          </w:p>
        </w:tc>
        <w:tc>
          <w:tcPr>
            <w:tcW w:w="2647" w:type="dxa"/>
            <w:vAlign w:val="center"/>
          </w:tcPr>
          <w:p w14:paraId="351630B3">
            <w:pPr>
              <w:pStyle w:val="5"/>
              <w:tabs>
                <w:tab w:val="left" w:pos="6880"/>
              </w:tabs>
              <w:spacing w:line="360" w:lineRule="auto"/>
              <w:ind w:firstLine="480"/>
              <w:rPr>
                <w:rFonts w:hint="eastAsia" w:ascii="宋体" w:hAnsi="宋体" w:cs="宋体"/>
                <w:color w:val="auto"/>
                <w:kern w:val="0"/>
                <w:sz w:val="24"/>
                <w:highlight w:val="none"/>
              </w:rPr>
            </w:pPr>
          </w:p>
        </w:tc>
        <w:tc>
          <w:tcPr>
            <w:tcW w:w="1561" w:type="dxa"/>
            <w:vAlign w:val="center"/>
          </w:tcPr>
          <w:p w14:paraId="2F5709D6">
            <w:pPr>
              <w:pStyle w:val="5"/>
              <w:tabs>
                <w:tab w:val="left" w:pos="6880"/>
              </w:tabs>
              <w:spacing w:line="360" w:lineRule="auto"/>
              <w:ind w:firstLine="480"/>
              <w:rPr>
                <w:rFonts w:hint="eastAsia" w:ascii="宋体" w:hAnsi="宋体" w:cs="宋体"/>
                <w:color w:val="auto"/>
                <w:kern w:val="0"/>
                <w:sz w:val="24"/>
                <w:highlight w:val="none"/>
              </w:rPr>
            </w:pPr>
          </w:p>
        </w:tc>
        <w:tc>
          <w:tcPr>
            <w:tcW w:w="1238" w:type="dxa"/>
            <w:vAlign w:val="center"/>
          </w:tcPr>
          <w:p w14:paraId="3921232B">
            <w:pPr>
              <w:pStyle w:val="5"/>
              <w:tabs>
                <w:tab w:val="left" w:pos="6880"/>
              </w:tabs>
              <w:spacing w:line="360" w:lineRule="auto"/>
              <w:ind w:firstLine="480"/>
              <w:rPr>
                <w:rFonts w:hint="eastAsia" w:ascii="宋体" w:hAnsi="宋体" w:cs="宋体"/>
                <w:color w:val="auto"/>
                <w:kern w:val="0"/>
                <w:sz w:val="24"/>
                <w:highlight w:val="none"/>
              </w:rPr>
            </w:pPr>
          </w:p>
        </w:tc>
      </w:tr>
      <w:tr w14:paraId="73313B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8" w:type="dxa"/>
            <w:vAlign w:val="center"/>
          </w:tcPr>
          <w:p w14:paraId="3EB0A86F">
            <w:pPr>
              <w:pStyle w:val="5"/>
              <w:tabs>
                <w:tab w:val="left" w:pos="34"/>
              </w:tabs>
              <w:spacing w:line="360" w:lineRule="auto"/>
              <w:ind w:left="-108" w:firstLine="0" w:firstLineChars="0"/>
              <w:jc w:val="center"/>
              <w:rPr>
                <w:rFonts w:hint="eastAsia" w:ascii="宋体" w:hAnsi="宋体" w:cs="宋体"/>
                <w:color w:val="auto"/>
                <w:kern w:val="0"/>
                <w:sz w:val="24"/>
                <w:highlight w:val="none"/>
              </w:rPr>
            </w:pPr>
          </w:p>
        </w:tc>
        <w:tc>
          <w:tcPr>
            <w:tcW w:w="2519" w:type="dxa"/>
            <w:vAlign w:val="center"/>
          </w:tcPr>
          <w:p w14:paraId="1A3A8238">
            <w:pPr>
              <w:pStyle w:val="5"/>
              <w:tabs>
                <w:tab w:val="left" w:pos="6880"/>
              </w:tabs>
              <w:spacing w:line="360" w:lineRule="auto"/>
              <w:ind w:firstLine="480"/>
              <w:rPr>
                <w:rFonts w:hint="eastAsia" w:ascii="宋体" w:hAnsi="宋体" w:cs="宋体"/>
                <w:color w:val="auto"/>
                <w:kern w:val="0"/>
                <w:sz w:val="24"/>
                <w:highlight w:val="none"/>
              </w:rPr>
            </w:pPr>
          </w:p>
        </w:tc>
        <w:tc>
          <w:tcPr>
            <w:tcW w:w="2647" w:type="dxa"/>
            <w:vAlign w:val="center"/>
          </w:tcPr>
          <w:p w14:paraId="51A2544B">
            <w:pPr>
              <w:pStyle w:val="5"/>
              <w:tabs>
                <w:tab w:val="left" w:pos="6880"/>
              </w:tabs>
              <w:spacing w:line="360" w:lineRule="auto"/>
              <w:ind w:firstLine="480"/>
              <w:rPr>
                <w:rFonts w:hint="eastAsia" w:ascii="宋体" w:hAnsi="宋体" w:cs="宋体"/>
                <w:color w:val="auto"/>
                <w:kern w:val="0"/>
                <w:sz w:val="24"/>
                <w:highlight w:val="none"/>
              </w:rPr>
            </w:pPr>
          </w:p>
        </w:tc>
        <w:tc>
          <w:tcPr>
            <w:tcW w:w="1561" w:type="dxa"/>
            <w:vAlign w:val="center"/>
          </w:tcPr>
          <w:p w14:paraId="5B8892B1">
            <w:pPr>
              <w:pStyle w:val="5"/>
              <w:tabs>
                <w:tab w:val="left" w:pos="6880"/>
              </w:tabs>
              <w:spacing w:line="360" w:lineRule="auto"/>
              <w:ind w:firstLine="480"/>
              <w:rPr>
                <w:rFonts w:hint="eastAsia" w:ascii="宋体" w:hAnsi="宋体" w:cs="宋体"/>
                <w:color w:val="auto"/>
                <w:kern w:val="0"/>
                <w:sz w:val="24"/>
                <w:highlight w:val="none"/>
              </w:rPr>
            </w:pPr>
          </w:p>
        </w:tc>
        <w:tc>
          <w:tcPr>
            <w:tcW w:w="1238" w:type="dxa"/>
            <w:vAlign w:val="center"/>
          </w:tcPr>
          <w:p w14:paraId="21707B27">
            <w:pPr>
              <w:pStyle w:val="5"/>
              <w:tabs>
                <w:tab w:val="left" w:pos="6880"/>
              </w:tabs>
              <w:spacing w:line="360" w:lineRule="auto"/>
              <w:ind w:firstLine="480"/>
              <w:rPr>
                <w:rFonts w:hint="eastAsia" w:ascii="宋体" w:hAnsi="宋体" w:cs="宋体"/>
                <w:color w:val="auto"/>
                <w:kern w:val="0"/>
                <w:sz w:val="24"/>
                <w:highlight w:val="none"/>
              </w:rPr>
            </w:pPr>
          </w:p>
        </w:tc>
      </w:tr>
      <w:tr w14:paraId="2DD05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8" w:type="dxa"/>
            <w:vAlign w:val="center"/>
          </w:tcPr>
          <w:p w14:paraId="42C05C52">
            <w:pPr>
              <w:pStyle w:val="5"/>
              <w:tabs>
                <w:tab w:val="left" w:pos="34"/>
              </w:tabs>
              <w:spacing w:line="360" w:lineRule="auto"/>
              <w:ind w:left="-108" w:firstLine="0" w:firstLineChars="0"/>
              <w:jc w:val="center"/>
              <w:rPr>
                <w:rFonts w:hint="eastAsia" w:ascii="宋体" w:hAnsi="宋体" w:cs="宋体"/>
                <w:color w:val="auto"/>
                <w:kern w:val="0"/>
                <w:sz w:val="24"/>
                <w:highlight w:val="none"/>
              </w:rPr>
            </w:pPr>
          </w:p>
        </w:tc>
        <w:tc>
          <w:tcPr>
            <w:tcW w:w="2519" w:type="dxa"/>
            <w:vAlign w:val="center"/>
          </w:tcPr>
          <w:p w14:paraId="68A28C54">
            <w:pPr>
              <w:pStyle w:val="5"/>
              <w:tabs>
                <w:tab w:val="left" w:pos="6880"/>
              </w:tabs>
              <w:spacing w:line="360" w:lineRule="auto"/>
              <w:ind w:firstLine="480"/>
              <w:rPr>
                <w:rFonts w:hint="eastAsia" w:ascii="宋体" w:hAnsi="宋体" w:cs="宋体"/>
                <w:color w:val="auto"/>
                <w:kern w:val="0"/>
                <w:sz w:val="24"/>
                <w:highlight w:val="none"/>
              </w:rPr>
            </w:pPr>
          </w:p>
        </w:tc>
        <w:tc>
          <w:tcPr>
            <w:tcW w:w="2647" w:type="dxa"/>
            <w:vAlign w:val="center"/>
          </w:tcPr>
          <w:p w14:paraId="3EEE6ADA">
            <w:pPr>
              <w:pStyle w:val="5"/>
              <w:tabs>
                <w:tab w:val="left" w:pos="6880"/>
              </w:tabs>
              <w:spacing w:line="360" w:lineRule="auto"/>
              <w:ind w:firstLine="480"/>
              <w:rPr>
                <w:rFonts w:hint="eastAsia" w:ascii="宋体" w:hAnsi="宋体" w:cs="宋体"/>
                <w:color w:val="auto"/>
                <w:kern w:val="0"/>
                <w:sz w:val="24"/>
                <w:highlight w:val="none"/>
              </w:rPr>
            </w:pPr>
          </w:p>
        </w:tc>
        <w:tc>
          <w:tcPr>
            <w:tcW w:w="1561" w:type="dxa"/>
            <w:vAlign w:val="center"/>
          </w:tcPr>
          <w:p w14:paraId="5B85FC18">
            <w:pPr>
              <w:pStyle w:val="5"/>
              <w:tabs>
                <w:tab w:val="left" w:pos="6880"/>
              </w:tabs>
              <w:spacing w:line="360" w:lineRule="auto"/>
              <w:ind w:firstLine="480"/>
              <w:rPr>
                <w:rFonts w:hint="eastAsia" w:ascii="宋体" w:hAnsi="宋体" w:cs="宋体"/>
                <w:color w:val="auto"/>
                <w:kern w:val="0"/>
                <w:sz w:val="24"/>
                <w:highlight w:val="none"/>
              </w:rPr>
            </w:pPr>
          </w:p>
        </w:tc>
        <w:tc>
          <w:tcPr>
            <w:tcW w:w="1238" w:type="dxa"/>
            <w:vAlign w:val="center"/>
          </w:tcPr>
          <w:p w14:paraId="3E2508D3">
            <w:pPr>
              <w:pStyle w:val="5"/>
              <w:tabs>
                <w:tab w:val="left" w:pos="6880"/>
              </w:tabs>
              <w:spacing w:line="360" w:lineRule="auto"/>
              <w:ind w:firstLine="480"/>
              <w:rPr>
                <w:rFonts w:hint="eastAsia" w:ascii="宋体" w:hAnsi="宋体" w:cs="宋体"/>
                <w:color w:val="auto"/>
                <w:kern w:val="0"/>
                <w:sz w:val="24"/>
                <w:highlight w:val="none"/>
              </w:rPr>
            </w:pPr>
          </w:p>
        </w:tc>
      </w:tr>
      <w:tr w14:paraId="376AB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8" w:type="dxa"/>
            <w:vAlign w:val="center"/>
          </w:tcPr>
          <w:p w14:paraId="2C2FA92C">
            <w:pPr>
              <w:pStyle w:val="5"/>
              <w:tabs>
                <w:tab w:val="left" w:pos="34"/>
              </w:tabs>
              <w:spacing w:line="360" w:lineRule="auto"/>
              <w:ind w:left="-108" w:firstLine="0" w:firstLineChars="0"/>
              <w:jc w:val="center"/>
              <w:rPr>
                <w:rFonts w:hint="eastAsia" w:ascii="宋体" w:hAnsi="宋体" w:cs="宋体"/>
                <w:color w:val="auto"/>
                <w:kern w:val="0"/>
                <w:sz w:val="24"/>
                <w:highlight w:val="none"/>
              </w:rPr>
            </w:pPr>
          </w:p>
        </w:tc>
        <w:tc>
          <w:tcPr>
            <w:tcW w:w="2519" w:type="dxa"/>
            <w:vAlign w:val="center"/>
          </w:tcPr>
          <w:p w14:paraId="3B79D82C">
            <w:pPr>
              <w:pStyle w:val="5"/>
              <w:tabs>
                <w:tab w:val="left" w:pos="6880"/>
              </w:tabs>
              <w:spacing w:line="360" w:lineRule="auto"/>
              <w:ind w:firstLine="480"/>
              <w:rPr>
                <w:rFonts w:hint="eastAsia" w:ascii="宋体" w:hAnsi="宋体" w:cs="宋体"/>
                <w:color w:val="auto"/>
                <w:kern w:val="0"/>
                <w:sz w:val="24"/>
                <w:highlight w:val="none"/>
              </w:rPr>
            </w:pPr>
          </w:p>
        </w:tc>
        <w:tc>
          <w:tcPr>
            <w:tcW w:w="2647" w:type="dxa"/>
            <w:vAlign w:val="center"/>
          </w:tcPr>
          <w:p w14:paraId="4C66EBFF">
            <w:pPr>
              <w:pStyle w:val="5"/>
              <w:tabs>
                <w:tab w:val="left" w:pos="6880"/>
              </w:tabs>
              <w:spacing w:line="360" w:lineRule="auto"/>
              <w:ind w:firstLine="480"/>
              <w:rPr>
                <w:rFonts w:hint="eastAsia" w:ascii="宋体" w:hAnsi="宋体" w:cs="宋体"/>
                <w:color w:val="auto"/>
                <w:kern w:val="0"/>
                <w:sz w:val="24"/>
                <w:highlight w:val="none"/>
              </w:rPr>
            </w:pPr>
          </w:p>
        </w:tc>
        <w:tc>
          <w:tcPr>
            <w:tcW w:w="1561" w:type="dxa"/>
            <w:vAlign w:val="center"/>
          </w:tcPr>
          <w:p w14:paraId="23787193">
            <w:pPr>
              <w:pStyle w:val="5"/>
              <w:tabs>
                <w:tab w:val="left" w:pos="6880"/>
              </w:tabs>
              <w:spacing w:line="360" w:lineRule="auto"/>
              <w:ind w:firstLine="480"/>
              <w:rPr>
                <w:rFonts w:hint="eastAsia" w:ascii="宋体" w:hAnsi="宋体" w:cs="宋体"/>
                <w:color w:val="auto"/>
                <w:kern w:val="0"/>
                <w:sz w:val="24"/>
                <w:highlight w:val="none"/>
              </w:rPr>
            </w:pPr>
          </w:p>
        </w:tc>
        <w:tc>
          <w:tcPr>
            <w:tcW w:w="1238" w:type="dxa"/>
            <w:vAlign w:val="center"/>
          </w:tcPr>
          <w:p w14:paraId="5EA9E95F">
            <w:pPr>
              <w:pStyle w:val="5"/>
              <w:tabs>
                <w:tab w:val="left" w:pos="6880"/>
              </w:tabs>
              <w:spacing w:line="360" w:lineRule="auto"/>
              <w:ind w:firstLine="480"/>
              <w:rPr>
                <w:rFonts w:hint="eastAsia" w:ascii="宋体" w:hAnsi="宋体" w:cs="宋体"/>
                <w:color w:val="auto"/>
                <w:kern w:val="0"/>
                <w:sz w:val="24"/>
                <w:highlight w:val="none"/>
              </w:rPr>
            </w:pPr>
          </w:p>
        </w:tc>
      </w:tr>
      <w:tr w14:paraId="0C6AF2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8" w:type="dxa"/>
            <w:vAlign w:val="center"/>
          </w:tcPr>
          <w:p w14:paraId="14857EAA">
            <w:pPr>
              <w:pStyle w:val="5"/>
              <w:tabs>
                <w:tab w:val="left" w:pos="34"/>
              </w:tabs>
              <w:spacing w:line="360" w:lineRule="auto"/>
              <w:ind w:left="-108" w:firstLine="0" w:firstLineChars="0"/>
              <w:jc w:val="center"/>
              <w:rPr>
                <w:rFonts w:hint="eastAsia" w:ascii="宋体" w:hAnsi="宋体" w:cs="宋体"/>
                <w:color w:val="auto"/>
                <w:kern w:val="0"/>
                <w:sz w:val="24"/>
                <w:highlight w:val="none"/>
              </w:rPr>
            </w:pPr>
          </w:p>
        </w:tc>
        <w:tc>
          <w:tcPr>
            <w:tcW w:w="2519" w:type="dxa"/>
            <w:vAlign w:val="center"/>
          </w:tcPr>
          <w:p w14:paraId="6058F5A1">
            <w:pPr>
              <w:pStyle w:val="5"/>
              <w:tabs>
                <w:tab w:val="left" w:pos="6880"/>
              </w:tabs>
              <w:spacing w:line="360" w:lineRule="auto"/>
              <w:ind w:firstLine="480"/>
              <w:rPr>
                <w:rFonts w:hint="eastAsia" w:ascii="宋体" w:hAnsi="宋体" w:cs="宋体"/>
                <w:color w:val="auto"/>
                <w:kern w:val="0"/>
                <w:sz w:val="24"/>
                <w:highlight w:val="none"/>
              </w:rPr>
            </w:pPr>
          </w:p>
        </w:tc>
        <w:tc>
          <w:tcPr>
            <w:tcW w:w="2647" w:type="dxa"/>
            <w:vAlign w:val="center"/>
          </w:tcPr>
          <w:p w14:paraId="4FD41254">
            <w:pPr>
              <w:pStyle w:val="5"/>
              <w:tabs>
                <w:tab w:val="left" w:pos="6880"/>
              </w:tabs>
              <w:spacing w:line="360" w:lineRule="auto"/>
              <w:ind w:firstLine="480"/>
              <w:rPr>
                <w:rFonts w:hint="eastAsia" w:ascii="宋体" w:hAnsi="宋体" w:cs="宋体"/>
                <w:color w:val="auto"/>
                <w:kern w:val="0"/>
                <w:sz w:val="24"/>
                <w:highlight w:val="none"/>
              </w:rPr>
            </w:pPr>
          </w:p>
        </w:tc>
        <w:tc>
          <w:tcPr>
            <w:tcW w:w="1561" w:type="dxa"/>
            <w:vAlign w:val="center"/>
          </w:tcPr>
          <w:p w14:paraId="15D00F7D">
            <w:pPr>
              <w:pStyle w:val="5"/>
              <w:tabs>
                <w:tab w:val="left" w:pos="6880"/>
              </w:tabs>
              <w:spacing w:line="360" w:lineRule="auto"/>
              <w:ind w:firstLine="480"/>
              <w:rPr>
                <w:rFonts w:hint="eastAsia" w:ascii="宋体" w:hAnsi="宋体" w:cs="宋体"/>
                <w:color w:val="auto"/>
                <w:kern w:val="0"/>
                <w:sz w:val="24"/>
                <w:highlight w:val="none"/>
              </w:rPr>
            </w:pPr>
          </w:p>
        </w:tc>
        <w:tc>
          <w:tcPr>
            <w:tcW w:w="1238" w:type="dxa"/>
            <w:vAlign w:val="center"/>
          </w:tcPr>
          <w:p w14:paraId="69EEE242">
            <w:pPr>
              <w:pStyle w:val="5"/>
              <w:tabs>
                <w:tab w:val="left" w:pos="6880"/>
              </w:tabs>
              <w:spacing w:line="360" w:lineRule="auto"/>
              <w:ind w:firstLine="480"/>
              <w:rPr>
                <w:rFonts w:hint="eastAsia" w:ascii="宋体" w:hAnsi="宋体" w:cs="宋体"/>
                <w:color w:val="auto"/>
                <w:kern w:val="0"/>
                <w:sz w:val="24"/>
                <w:highlight w:val="none"/>
              </w:rPr>
            </w:pPr>
          </w:p>
        </w:tc>
      </w:tr>
      <w:tr w14:paraId="779ED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8" w:type="dxa"/>
            <w:vAlign w:val="center"/>
          </w:tcPr>
          <w:p w14:paraId="7DE5908E">
            <w:pPr>
              <w:pStyle w:val="5"/>
              <w:tabs>
                <w:tab w:val="left" w:pos="34"/>
              </w:tabs>
              <w:spacing w:line="360" w:lineRule="auto"/>
              <w:ind w:left="-108" w:firstLine="0" w:firstLineChars="0"/>
              <w:jc w:val="center"/>
              <w:rPr>
                <w:rFonts w:hint="eastAsia" w:ascii="宋体" w:hAnsi="宋体" w:cs="宋体"/>
                <w:color w:val="auto"/>
                <w:kern w:val="0"/>
                <w:sz w:val="24"/>
                <w:highlight w:val="none"/>
              </w:rPr>
            </w:pPr>
          </w:p>
        </w:tc>
        <w:tc>
          <w:tcPr>
            <w:tcW w:w="2519" w:type="dxa"/>
            <w:vAlign w:val="center"/>
          </w:tcPr>
          <w:p w14:paraId="6AE78E0C">
            <w:pPr>
              <w:pStyle w:val="5"/>
              <w:tabs>
                <w:tab w:val="left" w:pos="6880"/>
              </w:tabs>
              <w:spacing w:line="360" w:lineRule="auto"/>
              <w:ind w:firstLine="480"/>
              <w:rPr>
                <w:rFonts w:hint="eastAsia" w:ascii="宋体" w:hAnsi="宋体" w:cs="宋体"/>
                <w:color w:val="auto"/>
                <w:kern w:val="0"/>
                <w:sz w:val="24"/>
                <w:highlight w:val="none"/>
              </w:rPr>
            </w:pPr>
          </w:p>
        </w:tc>
        <w:tc>
          <w:tcPr>
            <w:tcW w:w="2647" w:type="dxa"/>
            <w:vAlign w:val="center"/>
          </w:tcPr>
          <w:p w14:paraId="504142F1">
            <w:pPr>
              <w:pStyle w:val="5"/>
              <w:tabs>
                <w:tab w:val="left" w:pos="6880"/>
              </w:tabs>
              <w:spacing w:line="360" w:lineRule="auto"/>
              <w:ind w:firstLine="480"/>
              <w:rPr>
                <w:rFonts w:hint="eastAsia" w:ascii="宋体" w:hAnsi="宋体" w:cs="宋体"/>
                <w:color w:val="auto"/>
                <w:kern w:val="0"/>
                <w:sz w:val="24"/>
                <w:highlight w:val="none"/>
              </w:rPr>
            </w:pPr>
          </w:p>
        </w:tc>
        <w:tc>
          <w:tcPr>
            <w:tcW w:w="1561" w:type="dxa"/>
            <w:vAlign w:val="center"/>
          </w:tcPr>
          <w:p w14:paraId="72B1F6A2">
            <w:pPr>
              <w:pStyle w:val="5"/>
              <w:tabs>
                <w:tab w:val="left" w:pos="6880"/>
              </w:tabs>
              <w:spacing w:line="360" w:lineRule="auto"/>
              <w:ind w:firstLine="480"/>
              <w:rPr>
                <w:rFonts w:hint="eastAsia" w:ascii="宋体" w:hAnsi="宋体" w:cs="宋体"/>
                <w:color w:val="auto"/>
                <w:kern w:val="0"/>
                <w:sz w:val="24"/>
                <w:highlight w:val="none"/>
              </w:rPr>
            </w:pPr>
          </w:p>
        </w:tc>
        <w:tc>
          <w:tcPr>
            <w:tcW w:w="1238" w:type="dxa"/>
            <w:vAlign w:val="center"/>
          </w:tcPr>
          <w:p w14:paraId="304F91F3">
            <w:pPr>
              <w:pStyle w:val="5"/>
              <w:tabs>
                <w:tab w:val="left" w:pos="6880"/>
              </w:tabs>
              <w:spacing w:line="360" w:lineRule="auto"/>
              <w:ind w:firstLine="480"/>
              <w:rPr>
                <w:rFonts w:hint="eastAsia" w:ascii="宋体" w:hAnsi="宋体" w:cs="宋体"/>
                <w:color w:val="auto"/>
                <w:kern w:val="0"/>
                <w:sz w:val="24"/>
                <w:highlight w:val="none"/>
              </w:rPr>
            </w:pPr>
          </w:p>
        </w:tc>
      </w:tr>
      <w:tr w14:paraId="720F58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8" w:type="dxa"/>
            <w:vAlign w:val="center"/>
          </w:tcPr>
          <w:p w14:paraId="248700C0">
            <w:pPr>
              <w:pStyle w:val="5"/>
              <w:tabs>
                <w:tab w:val="left" w:pos="34"/>
              </w:tabs>
              <w:spacing w:line="360" w:lineRule="auto"/>
              <w:ind w:left="-108" w:firstLine="0" w:firstLineChars="0"/>
              <w:jc w:val="center"/>
              <w:rPr>
                <w:rFonts w:hint="eastAsia" w:ascii="宋体" w:hAnsi="宋体" w:cs="宋体"/>
                <w:color w:val="auto"/>
                <w:kern w:val="0"/>
                <w:sz w:val="24"/>
                <w:highlight w:val="none"/>
              </w:rPr>
            </w:pPr>
          </w:p>
        </w:tc>
        <w:tc>
          <w:tcPr>
            <w:tcW w:w="2519" w:type="dxa"/>
            <w:vAlign w:val="center"/>
          </w:tcPr>
          <w:p w14:paraId="6A348151">
            <w:pPr>
              <w:pStyle w:val="5"/>
              <w:tabs>
                <w:tab w:val="left" w:pos="6880"/>
              </w:tabs>
              <w:spacing w:line="360" w:lineRule="auto"/>
              <w:ind w:firstLine="480"/>
              <w:rPr>
                <w:rFonts w:hint="eastAsia" w:ascii="宋体" w:hAnsi="宋体" w:cs="宋体"/>
                <w:color w:val="auto"/>
                <w:kern w:val="0"/>
                <w:sz w:val="24"/>
                <w:highlight w:val="none"/>
              </w:rPr>
            </w:pPr>
          </w:p>
        </w:tc>
        <w:tc>
          <w:tcPr>
            <w:tcW w:w="2647" w:type="dxa"/>
            <w:vAlign w:val="center"/>
          </w:tcPr>
          <w:p w14:paraId="7B51E9C6">
            <w:pPr>
              <w:pStyle w:val="5"/>
              <w:tabs>
                <w:tab w:val="left" w:pos="6880"/>
              </w:tabs>
              <w:spacing w:line="360" w:lineRule="auto"/>
              <w:ind w:firstLine="480"/>
              <w:rPr>
                <w:rFonts w:hint="eastAsia" w:ascii="宋体" w:hAnsi="宋体" w:cs="宋体"/>
                <w:color w:val="auto"/>
                <w:kern w:val="0"/>
                <w:sz w:val="24"/>
                <w:highlight w:val="none"/>
              </w:rPr>
            </w:pPr>
          </w:p>
        </w:tc>
        <w:tc>
          <w:tcPr>
            <w:tcW w:w="1561" w:type="dxa"/>
            <w:vAlign w:val="center"/>
          </w:tcPr>
          <w:p w14:paraId="1082399C">
            <w:pPr>
              <w:pStyle w:val="5"/>
              <w:tabs>
                <w:tab w:val="left" w:pos="6880"/>
              </w:tabs>
              <w:spacing w:line="360" w:lineRule="auto"/>
              <w:ind w:firstLine="480"/>
              <w:rPr>
                <w:rFonts w:hint="eastAsia" w:ascii="宋体" w:hAnsi="宋体" w:cs="宋体"/>
                <w:color w:val="auto"/>
                <w:kern w:val="0"/>
                <w:sz w:val="24"/>
                <w:highlight w:val="none"/>
              </w:rPr>
            </w:pPr>
          </w:p>
        </w:tc>
        <w:tc>
          <w:tcPr>
            <w:tcW w:w="1238" w:type="dxa"/>
            <w:vAlign w:val="center"/>
          </w:tcPr>
          <w:p w14:paraId="6EE8BFB4">
            <w:pPr>
              <w:pStyle w:val="5"/>
              <w:tabs>
                <w:tab w:val="left" w:pos="6880"/>
              </w:tabs>
              <w:spacing w:line="360" w:lineRule="auto"/>
              <w:ind w:firstLine="480"/>
              <w:rPr>
                <w:rFonts w:hint="eastAsia" w:ascii="宋体" w:hAnsi="宋体" w:cs="宋体"/>
                <w:color w:val="auto"/>
                <w:kern w:val="0"/>
                <w:sz w:val="24"/>
                <w:highlight w:val="none"/>
              </w:rPr>
            </w:pPr>
          </w:p>
        </w:tc>
      </w:tr>
      <w:tr w14:paraId="07052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8" w:type="dxa"/>
            <w:vAlign w:val="center"/>
          </w:tcPr>
          <w:p w14:paraId="51CD6B7C">
            <w:pPr>
              <w:pStyle w:val="5"/>
              <w:tabs>
                <w:tab w:val="left" w:pos="34"/>
              </w:tabs>
              <w:spacing w:line="360" w:lineRule="auto"/>
              <w:ind w:left="-108" w:firstLine="0" w:firstLineChars="0"/>
              <w:jc w:val="center"/>
              <w:rPr>
                <w:rFonts w:hint="eastAsia" w:ascii="宋体" w:hAnsi="宋体" w:cs="宋体"/>
                <w:color w:val="auto"/>
                <w:kern w:val="0"/>
                <w:sz w:val="24"/>
                <w:highlight w:val="none"/>
              </w:rPr>
            </w:pPr>
          </w:p>
        </w:tc>
        <w:tc>
          <w:tcPr>
            <w:tcW w:w="2519" w:type="dxa"/>
            <w:vAlign w:val="center"/>
          </w:tcPr>
          <w:p w14:paraId="50A15FDE">
            <w:pPr>
              <w:pStyle w:val="5"/>
              <w:tabs>
                <w:tab w:val="left" w:pos="6880"/>
              </w:tabs>
              <w:spacing w:line="360" w:lineRule="auto"/>
              <w:ind w:firstLine="480"/>
              <w:rPr>
                <w:rFonts w:hint="eastAsia" w:ascii="宋体" w:hAnsi="宋体" w:cs="宋体"/>
                <w:color w:val="auto"/>
                <w:kern w:val="0"/>
                <w:sz w:val="24"/>
                <w:highlight w:val="none"/>
              </w:rPr>
            </w:pPr>
          </w:p>
        </w:tc>
        <w:tc>
          <w:tcPr>
            <w:tcW w:w="2647" w:type="dxa"/>
            <w:vAlign w:val="center"/>
          </w:tcPr>
          <w:p w14:paraId="59E7B019">
            <w:pPr>
              <w:pStyle w:val="5"/>
              <w:tabs>
                <w:tab w:val="left" w:pos="6880"/>
              </w:tabs>
              <w:spacing w:line="360" w:lineRule="auto"/>
              <w:ind w:firstLine="480"/>
              <w:rPr>
                <w:rFonts w:hint="eastAsia" w:ascii="宋体" w:hAnsi="宋体" w:cs="宋体"/>
                <w:color w:val="auto"/>
                <w:kern w:val="0"/>
                <w:sz w:val="24"/>
                <w:highlight w:val="none"/>
              </w:rPr>
            </w:pPr>
          </w:p>
        </w:tc>
        <w:tc>
          <w:tcPr>
            <w:tcW w:w="1561" w:type="dxa"/>
            <w:vAlign w:val="center"/>
          </w:tcPr>
          <w:p w14:paraId="285B90DD">
            <w:pPr>
              <w:pStyle w:val="5"/>
              <w:tabs>
                <w:tab w:val="left" w:pos="6880"/>
              </w:tabs>
              <w:spacing w:line="360" w:lineRule="auto"/>
              <w:ind w:firstLine="480"/>
              <w:rPr>
                <w:rFonts w:hint="eastAsia" w:ascii="宋体" w:hAnsi="宋体" w:cs="宋体"/>
                <w:color w:val="auto"/>
                <w:kern w:val="0"/>
                <w:sz w:val="24"/>
                <w:highlight w:val="none"/>
              </w:rPr>
            </w:pPr>
          </w:p>
        </w:tc>
        <w:tc>
          <w:tcPr>
            <w:tcW w:w="1238" w:type="dxa"/>
            <w:vAlign w:val="center"/>
          </w:tcPr>
          <w:p w14:paraId="5BD149B2">
            <w:pPr>
              <w:pStyle w:val="5"/>
              <w:tabs>
                <w:tab w:val="left" w:pos="6880"/>
              </w:tabs>
              <w:spacing w:line="360" w:lineRule="auto"/>
              <w:ind w:firstLine="480"/>
              <w:rPr>
                <w:rFonts w:hint="eastAsia" w:ascii="宋体" w:hAnsi="宋体" w:cs="宋体"/>
                <w:color w:val="auto"/>
                <w:kern w:val="0"/>
                <w:sz w:val="24"/>
                <w:highlight w:val="none"/>
              </w:rPr>
            </w:pPr>
          </w:p>
        </w:tc>
      </w:tr>
      <w:tr w14:paraId="52F27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8" w:type="dxa"/>
            <w:vAlign w:val="center"/>
          </w:tcPr>
          <w:p w14:paraId="6B0C7DB3">
            <w:pPr>
              <w:pStyle w:val="5"/>
              <w:tabs>
                <w:tab w:val="left" w:pos="34"/>
              </w:tabs>
              <w:spacing w:line="360" w:lineRule="auto"/>
              <w:ind w:firstLine="120" w:firstLineChars="50"/>
              <w:rPr>
                <w:rFonts w:hint="eastAsia" w:ascii="宋体" w:hAnsi="宋体" w:cs="宋体"/>
                <w:color w:val="auto"/>
                <w:kern w:val="0"/>
                <w:sz w:val="24"/>
                <w:highlight w:val="none"/>
              </w:rPr>
            </w:pPr>
          </w:p>
        </w:tc>
        <w:tc>
          <w:tcPr>
            <w:tcW w:w="2519" w:type="dxa"/>
            <w:vAlign w:val="center"/>
          </w:tcPr>
          <w:p w14:paraId="593F387B">
            <w:pPr>
              <w:pStyle w:val="5"/>
              <w:tabs>
                <w:tab w:val="left" w:pos="6880"/>
              </w:tabs>
              <w:spacing w:line="360" w:lineRule="auto"/>
              <w:ind w:firstLine="480"/>
              <w:rPr>
                <w:rFonts w:hint="eastAsia" w:ascii="宋体" w:hAnsi="宋体" w:cs="宋体"/>
                <w:color w:val="auto"/>
                <w:kern w:val="0"/>
                <w:sz w:val="24"/>
                <w:highlight w:val="none"/>
              </w:rPr>
            </w:pPr>
          </w:p>
        </w:tc>
        <w:tc>
          <w:tcPr>
            <w:tcW w:w="2647" w:type="dxa"/>
            <w:vAlign w:val="center"/>
          </w:tcPr>
          <w:p w14:paraId="6966BBA5">
            <w:pPr>
              <w:pStyle w:val="5"/>
              <w:tabs>
                <w:tab w:val="left" w:pos="6880"/>
              </w:tabs>
              <w:spacing w:line="360" w:lineRule="auto"/>
              <w:ind w:firstLine="480"/>
              <w:rPr>
                <w:rFonts w:hint="eastAsia" w:ascii="宋体" w:hAnsi="宋体" w:cs="宋体"/>
                <w:color w:val="auto"/>
                <w:kern w:val="0"/>
                <w:sz w:val="24"/>
                <w:highlight w:val="none"/>
              </w:rPr>
            </w:pPr>
          </w:p>
        </w:tc>
        <w:tc>
          <w:tcPr>
            <w:tcW w:w="1561" w:type="dxa"/>
            <w:vAlign w:val="center"/>
          </w:tcPr>
          <w:p w14:paraId="2539978A">
            <w:pPr>
              <w:pStyle w:val="5"/>
              <w:tabs>
                <w:tab w:val="left" w:pos="6880"/>
              </w:tabs>
              <w:spacing w:line="360" w:lineRule="auto"/>
              <w:ind w:firstLine="480"/>
              <w:rPr>
                <w:rFonts w:hint="eastAsia" w:ascii="宋体" w:hAnsi="宋体" w:cs="宋体"/>
                <w:color w:val="auto"/>
                <w:kern w:val="0"/>
                <w:sz w:val="24"/>
                <w:highlight w:val="none"/>
              </w:rPr>
            </w:pPr>
          </w:p>
        </w:tc>
        <w:tc>
          <w:tcPr>
            <w:tcW w:w="1238" w:type="dxa"/>
            <w:vAlign w:val="center"/>
          </w:tcPr>
          <w:p w14:paraId="2D774082">
            <w:pPr>
              <w:pStyle w:val="5"/>
              <w:tabs>
                <w:tab w:val="left" w:pos="6880"/>
              </w:tabs>
              <w:spacing w:line="360" w:lineRule="auto"/>
              <w:ind w:firstLine="480"/>
              <w:rPr>
                <w:rFonts w:hint="eastAsia" w:ascii="宋体" w:hAnsi="宋体" w:cs="宋体"/>
                <w:color w:val="auto"/>
                <w:kern w:val="0"/>
                <w:sz w:val="24"/>
                <w:highlight w:val="none"/>
              </w:rPr>
            </w:pPr>
          </w:p>
        </w:tc>
      </w:tr>
      <w:tr w14:paraId="699B6A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8" w:type="dxa"/>
            <w:vAlign w:val="center"/>
          </w:tcPr>
          <w:p w14:paraId="3AE3D1AC">
            <w:pPr>
              <w:pStyle w:val="5"/>
              <w:tabs>
                <w:tab w:val="left" w:pos="34"/>
              </w:tabs>
              <w:spacing w:line="360" w:lineRule="auto"/>
              <w:ind w:firstLine="120" w:firstLineChars="50"/>
              <w:rPr>
                <w:rFonts w:hint="eastAsia" w:ascii="宋体" w:hAnsi="宋体" w:cs="宋体"/>
                <w:color w:val="auto"/>
                <w:kern w:val="0"/>
                <w:sz w:val="24"/>
                <w:highlight w:val="none"/>
              </w:rPr>
            </w:pPr>
          </w:p>
        </w:tc>
        <w:tc>
          <w:tcPr>
            <w:tcW w:w="2519" w:type="dxa"/>
            <w:vAlign w:val="center"/>
          </w:tcPr>
          <w:p w14:paraId="50EF9531">
            <w:pPr>
              <w:pStyle w:val="5"/>
              <w:tabs>
                <w:tab w:val="left" w:pos="6880"/>
              </w:tabs>
              <w:spacing w:line="360" w:lineRule="auto"/>
              <w:ind w:firstLine="480"/>
              <w:rPr>
                <w:rFonts w:hint="eastAsia" w:ascii="宋体" w:hAnsi="宋体" w:cs="宋体"/>
                <w:color w:val="auto"/>
                <w:kern w:val="0"/>
                <w:sz w:val="24"/>
                <w:highlight w:val="none"/>
              </w:rPr>
            </w:pPr>
          </w:p>
        </w:tc>
        <w:tc>
          <w:tcPr>
            <w:tcW w:w="2647" w:type="dxa"/>
            <w:vAlign w:val="center"/>
          </w:tcPr>
          <w:p w14:paraId="123B4D40">
            <w:pPr>
              <w:pStyle w:val="5"/>
              <w:tabs>
                <w:tab w:val="left" w:pos="6880"/>
              </w:tabs>
              <w:spacing w:line="360" w:lineRule="auto"/>
              <w:ind w:firstLine="480"/>
              <w:rPr>
                <w:rFonts w:hint="eastAsia" w:ascii="宋体" w:hAnsi="宋体" w:cs="宋体"/>
                <w:color w:val="auto"/>
                <w:kern w:val="0"/>
                <w:sz w:val="24"/>
                <w:highlight w:val="none"/>
              </w:rPr>
            </w:pPr>
          </w:p>
        </w:tc>
        <w:tc>
          <w:tcPr>
            <w:tcW w:w="1561" w:type="dxa"/>
            <w:vAlign w:val="center"/>
          </w:tcPr>
          <w:p w14:paraId="080F3891">
            <w:pPr>
              <w:pStyle w:val="5"/>
              <w:tabs>
                <w:tab w:val="left" w:pos="6880"/>
              </w:tabs>
              <w:spacing w:line="360" w:lineRule="auto"/>
              <w:ind w:firstLine="480"/>
              <w:rPr>
                <w:rFonts w:hint="eastAsia" w:ascii="宋体" w:hAnsi="宋体" w:cs="宋体"/>
                <w:color w:val="auto"/>
                <w:kern w:val="0"/>
                <w:sz w:val="24"/>
                <w:highlight w:val="none"/>
              </w:rPr>
            </w:pPr>
          </w:p>
        </w:tc>
        <w:tc>
          <w:tcPr>
            <w:tcW w:w="1238" w:type="dxa"/>
            <w:vAlign w:val="center"/>
          </w:tcPr>
          <w:p w14:paraId="4AF9BB83">
            <w:pPr>
              <w:pStyle w:val="5"/>
              <w:tabs>
                <w:tab w:val="left" w:pos="6880"/>
              </w:tabs>
              <w:spacing w:line="360" w:lineRule="auto"/>
              <w:ind w:firstLine="480"/>
              <w:rPr>
                <w:rFonts w:hint="eastAsia" w:ascii="宋体" w:hAnsi="宋体" w:cs="宋体"/>
                <w:color w:val="auto"/>
                <w:kern w:val="0"/>
                <w:sz w:val="24"/>
                <w:highlight w:val="none"/>
              </w:rPr>
            </w:pPr>
          </w:p>
        </w:tc>
      </w:tr>
    </w:tbl>
    <w:p w14:paraId="7AE517DF">
      <w:pPr>
        <w:spacing w:line="400" w:lineRule="exact"/>
        <w:ind w:left="29" w:leftChars="12"/>
        <w:rPr>
          <w:rFonts w:hint="eastAsia" w:hAnsi="宋体" w:cs="宋体"/>
          <w:color w:val="auto"/>
          <w:highlight w:val="none"/>
        </w:rPr>
      </w:pPr>
    </w:p>
    <w:p w14:paraId="2FF77C1F">
      <w:pPr>
        <w:spacing w:line="400" w:lineRule="exact"/>
        <w:ind w:left="29" w:leftChars="12"/>
        <w:rPr>
          <w:rFonts w:hint="eastAsia" w:ascii="宋体" w:hAnsi="宋体" w:eastAsia="宋体" w:cs="宋体"/>
          <w:color w:val="auto"/>
          <w:highlight w:val="none"/>
        </w:rPr>
      </w:pPr>
      <w:r>
        <w:rPr>
          <w:rFonts w:hint="eastAsia" w:hAnsi="宋体" w:cs="宋体"/>
          <w:color w:val="auto"/>
          <w:highlight w:val="none"/>
        </w:rPr>
        <w:t>备注：1.供应商对照磋商文件中第四章磋商内容及服务要求的全部内容和标准要求事项列入此表，</w:t>
      </w:r>
      <w:r>
        <w:rPr>
          <w:rFonts w:hint="eastAsia" w:ascii="宋体" w:hAnsi="宋体" w:eastAsia="宋体" w:cs="宋体"/>
          <w:color w:val="auto"/>
          <w:highlight w:val="none"/>
        </w:rPr>
        <w:t>若与磋商文件要求完全一致的，不用在此表中列出，但必须提交空白表。</w:t>
      </w:r>
    </w:p>
    <w:p w14:paraId="1A6D6BF0">
      <w:pPr>
        <w:spacing w:line="600" w:lineRule="auto"/>
        <w:ind w:right="617" w:rightChars="257"/>
        <w:jc w:val="left"/>
        <w:rPr>
          <w:rFonts w:hint="eastAsia" w:ascii="宋体" w:hAnsi="宋体" w:eastAsia="宋体" w:cs="宋体"/>
          <w:color w:val="auto"/>
          <w:highlight w:val="none"/>
        </w:rPr>
      </w:pPr>
      <w:r>
        <w:rPr>
          <w:rFonts w:hint="eastAsia" w:ascii="宋体" w:hAnsi="宋体" w:eastAsia="宋体" w:cs="宋体"/>
          <w:color w:val="auto"/>
          <w:highlight w:val="none"/>
        </w:rPr>
        <w:t>供应商必须据实填写，不得虚假填写，否则将取消其磋商或成交资格。</w:t>
      </w:r>
    </w:p>
    <w:p w14:paraId="5C9E0BFA">
      <w:pPr>
        <w:spacing w:line="600" w:lineRule="auto"/>
        <w:ind w:right="617" w:rightChars="257"/>
        <w:jc w:val="left"/>
        <w:rPr>
          <w:rFonts w:hint="eastAsia" w:hAnsi="宋体" w:cs="宋体"/>
          <w:color w:val="auto"/>
          <w:highlight w:val="none"/>
          <w:u w:val="single"/>
        </w:rPr>
      </w:pPr>
      <w:r>
        <w:rPr>
          <w:rFonts w:hint="eastAsia" w:hAnsi="宋体" w:cs="宋体"/>
          <w:color w:val="auto"/>
          <w:highlight w:val="none"/>
        </w:rPr>
        <w:t>供应商名称：</w:t>
      </w:r>
      <w:r>
        <w:rPr>
          <w:rFonts w:hint="eastAsia" w:hAnsi="宋体" w:cs="宋体"/>
          <w:color w:val="auto"/>
          <w:highlight w:val="none"/>
          <w:u w:val="single"/>
        </w:rPr>
        <w:t xml:space="preserve">      （加盖单位公章）      </w:t>
      </w:r>
    </w:p>
    <w:p w14:paraId="5C0B7074">
      <w:pPr>
        <w:spacing w:line="600" w:lineRule="auto"/>
        <w:jc w:val="left"/>
        <w:rPr>
          <w:rFonts w:hint="eastAsia" w:hAnsi="宋体" w:cs="宋体"/>
          <w:color w:val="auto"/>
          <w:spacing w:val="4"/>
          <w:highlight w:val="none"/>
        </w:rPr>
      </w:pPr>
      <w:r>
        <w:rPr>
          <w:rFonts w:hint="eastAsia" w:cs="仿宋" w:asciiTheme="minorEastAsia" w:hAnsiTheme="minorEastAsia" w:eastAsiaTheme="minorEastAsia"/>
          <w:color w:val="auto"/>
          <w:spacing w:val="4"/>
          <w:szCs w:val="24"/>
          <w:highlight w:val="none"/>
        </w:rPr>
        <w:t>法定代表人或被授权人</w:t>
      </w:r>
      <w:r>
        <w:rPr>
          <w:rFonts w:hint="eastAsia" w:hAnsi="宋体" w:cs="宋体"/>
          <w:color w:val="auto"/>
          <w:spacing w:val="4"/>
          <w:highlight w:val="none"/>
        </w:rPr>
        <w:t>：</w:t>
      </w:r>
      <w:r>
        <w:rPr>
          <w:rFonts w:hint="eastAsia" w:hAnsi="宋体" w:cs="宋体"/>
          <w:color w:val="auto"/>
          <w:spacing w:val="4"/>
          <w:highlight w:val="none"/>
          <w:u w:val="single"/>
        </w:rPr>
        <w:t xml:space="preserve">          </w:t>
      </w:r>
      <w:r>
        <w:rPr>
          <w:rFonts w:hint="eastAsia" w:hAnsi="宋体" w:cs="宋体"/>
          <w:color w:val="auto"/>
          <w:spacing w:val="4"/>
          <w:highlight w:val="none"/>
        </w:rPr>
        <w:t>（签字或盖章）</w:t>
      </w:r>
    </w:p>
    <w:p w14:paraId="79E15F3A">
      <w:pPr>
        <w:spacing w:line="600" w:lineRule="auto"/>
        <w:ind w:right="617" w:rightChars="257"/>
        <w:rPr>
          <w:rFonts w:hint="eastAsia" w:hAnsi="宋体" w:cs="宋体"/>
          <w:color w:val="auto"/>
          <w:highlight w:val="none"/>
        </w:rPr>
      </w:pPr>
      <w:r>
        <w:rPr>
          <w:rFonts w:hint="eastAsia" w:hAnsi="宋体" w:cs="宋体"/>
          <w:color w:val="auto"/>
          <w:highlight w:val="none"/>
        </w:rPr>
        <w:t>日    期：</w:t>
      </w:r>
    </w:p>
    <w:p w14:paraId="22770C51">
      <w:pPr>
        <w:numPr>
          <w:ilvl w:val="0"/>
          <w:numId w:val="0"/>
        </w:numPr>
        <w:spacing w:line="400" w:lineRule="exact"/>
        <w:rPr>
          <w:rFonts w:hint="eastAsia" w:ascii="宋体" w:hAnsi="宋体" w:eastAsia="宋体" w:cs="宋体"/>
          <w:color w:val="auto"/>
          <w:highlight w:val="none"/>
        </w:rPr>
      </w:pPr>
    </w:p>
    <w:p w14:paraId="79DB5E8F">
      <w:pPr>
        <w:spacing w:line="600" w:lineRule="auto"/>
        <w:ind w:right="617" w:rightChars="257"/>
        <w:rPr>
          <w:rFonts w:hint="eastAsia" w:hAnsi="宋体" w:cs="宋体"/>
          <w:color w:val="auto"/>
          <w:highlight w:val="none"/>
        </w:rPr>
      </w:pPr>
      <w:r>
        <w:rPr>
          <w:rFonts w:hint="eastAsia" w:ascii="宋体" w:hAnsi="宋体" w:eastAsia="宋体" w:cs="宋体"/>
          <w:color w:val="auto"/>
          <w:highlight w:val="none"/>
        </w:rPr>
        <w:br w:type="page"/>
      </w:r>
    </w:p>
    <w:p w14:paraId="56A8F102">
      <w:pPr>
        <w:numPr>
          <w:ilvl w:val="0"/>
          <w:numId w:val="0"/>
        </w:numPr>
        <w:spacing w:line="400" w:lineRule="exact"/>
        <w:rPr>
          <w:rFonts w:hint="eastAsia" w:ascii="宋体" w:hAnsi="宋体" w:eastAsia="宋体" w:cs="宋体"/>
          <w:color w:val="auto"/>
          <w:highlight w:val="none"/>
        </w:rPr>
      </w:pPr>
    </w:p>
    <w:p w14:paraId="675D2195">
      <w:pPr>
        <w:pStyle w:val="4"/>
        <w:keepLines w:val="0"/>
        <w:widowControl w:val="0"/>
        <w:spacing w:before="0" w:after="0" w:line="360" w:lineRule="auto"/>
        <w:ind w:left="0"/>
        <w:jc w:val="center"/>
        <w:rPr>
          <w:color w:val="auto"/>
          <w:sz w:val="32"/>
          <w:highlight w:val="none"/>
        </w:rPr>
      </w:pPr>
      <w:r>
        <w:rPr>
          <w:rFonts w:hint="eastAsia"/>
          <w:color w:val="auto"/>
          <w:sz w:val="32"/>
          <w:highlight w:val="none"/>
          <w:lang w:eastAsia="zh-CN"/>
        </w:rPr>
        <w:t>五</w:t>
      </w:r>
      <w:r>
        <w:rPr>
          <w:rFonts w:hint="eastAsia"/>
          <w:color w:val="auto"/>
          <w:sz w:val="32"/>
          <w:highlight w:val="none"/>
        </w:rPr>
        <w:t>、</w:t>
      </w:r>
      <w:r>
        <w:rPr>
          <w:rFonts w:hint="eastAsia" w:ascii="宋体" w:hAnsi="宋体" w:cs="宋体"/>
          <w:color w:val="auto"/>
          <w:sz w:val="32"/>
          <w:highlight w:val="none"/>
        </w:rPr>
        <w:t>商务条款偏离表</w:t>
      </w:r>
    </w:p>
    <w:p w14:paraId="7ADE3874">
      <w:pPr>
        <w:pStyle w:val="43"/>
        <w:widowControl w:val="0"/>
        <w:spacing w:before="156" w:beforeLines="50" w:beforeAutospacing="0" w:after="156" w:afterLines="50" w:afterAutospacing="0"/>
        <w:ind w:firstLine="480"/>
        <w:rPr>
          <w:rFonts w:hint="eastAsia" w:cs="宋体"/>
          <w:color w:val="auto"/>
          <w:highlight w:val="none"/>
        </w:rPr>
      </w:pPr>
      <w:r>
        <w:rPr>
          <w:rFonts w:hint="eastAsia" w:cs="宋体"/>
          <w:color w:val="auto"/>
          <w:highlight w:val="none"/>
        </w:rPr>
        <w:t>项目名称：</w:t>
      </w:r>
    </w:p>
    <w:p w14:paraId="4487D610">
      <w:pPr>
        <w:pStyle w:val="43"/>
        <w:widowControl w:val="0"/>
        <w:spacing w:before="156" w:beforeLines="50" w:beforeAutospacing="0" w:after="156" w:afterLines="50" w:afterAutospacing="0"/>
        <w:ind w:firstLine="480"/>
        <w:rPr>
          <w:rFonts w:hint="eastAsia" w:cs="宋体"/>
          <w:color w:val="auto"/>
          <w:highlight w:val="none"/>
        </w:rPr>
      </w:pPr>
      <w:r>
        <w:rPr>
          <w:rFonts w:hint="eastAsia" w:cs="宋体"/>
          <w:color w:val="auto"/>
          <w:highlight w:val="none"/>
        </w:rPr>
        <w:t>项目编号：</w:t>
      </w:r>
    </w:p>
    <w:tbl>
      <w:tblPr>
        <w:tblStyle w:val="4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9"/>
        <w:gridCol w:w="2036"/>
        <w:gridCol w:w="2099"/>
        <w:gridCol w:w="2193"/>
        <w:gridCol w:w="1325"/>
        <w:gridCol w:w="994"/>
      </w:tblGrid>
      <w:tr w14:paraId="2D6FA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37" w:hRule="exact"/>
          <w:jc w:val="center"/>
        </w:trPr>
        <w:tc>
          <w:tcPr>
            <w:tcW w:w="485" w:type="pct"/>
            <w:tcBorders>
              <w:top w:val="single" w:color="auto" w:sz="4" w:space="0"/>
              <w:left w:val="single" w:color="auto" w:sz="4" w:space="0"/>
              <w:bottom w:val="single" w:color="auto" w:sz="4" w:space="0"/>
              <w:right w:val="single" w:color="auto" w:sz="4" w:space="0"/>
            </w:tcBorders>
            <w:vAlign w:val="center"/>
          </w:tcPr>
          <w:p w14:paraId="2A2BF6AF">
            <w:pPr>
              <w:pStyle w:val="43"/>
              <w:keepNext w:val="0"/>
              <w:keepLines w:val="0"/>
              <w:pageBreakBefore w:val="0"/>
              <w:widowControl w:val="0"/>
              <w:kinsoku/>
              <w:wordWrap/>
              <w:overflowPunct/>
              <w:topLinePunct w:val="0"/>
              <w:autoSpaceDE/>
              <w:autoSpaceDN/>
              <w:bidi w:val="0"/>
              <w:adjustRightInd w:val="0"/>
              <w:snapToGrid w:val="0"/>
              <w:spacing w:before="0" w:beforeAutospacing="0" w:after="0" w:afterAutospacing="0"/>
              <w:ind w:firstLine="0" w:firstLineChars="0"/>
              <w:jc w:val="center"/>
              <w:textAlignment w:val="auto"/>
              <w:rPr>
                <w:rFonts w:hint="eastAsia" w:cs="宋体"/>
                <w:color w:val="auto"/>
                <w:highlight w:val="none"/>
              </w:rPr>
            </w:pPr>
            <w:r>
              <w:rPr>
                <w:rFonts w:hint="eastAsia" w:cs="宋体"/>
                <w:color w:val="auto"/>
                <w:highlight w:val="none"/>
              </w:rPr>
              <w:t>序号</w:t>
            </w:r>
          </w:p>
        </w:tc>
        <w:tc>
          <w:tcPr>
            <w:tcW w:w="1063" w:type="pct"/>
            <w:tcBorders>
              <w:top w:val="single" w:color="auto" w:sz="4" w:space="0"/>
              <w:left w:val="single" w:color="auto" w:sz="4" w:space="0"/>
              <w:bottom w:val="single" w:color="auto" w:sz="4" w:space="0"/>
              <w:right w:val="single" w:color="auto" w:sz="4" w:space="0"/>
            </w:tcBorders>
            <w:vAlign w:val="center"/>
          </w:tcPr>
          <w:p w14:paraId="73A36D5D">
            <w:pPr>
              <w:pStyle w:val="43"/>
              <w:keepNext w:val="0"/>
              <w:keepLines w:val="0"/>
              <w:pageBreakBefore w:val="0"/>
              <w:widowControl w:val="0"/>
              <w:kinsoku/>
              <w:wordWrap/>
              <w:overflowPunct/>
              <w:topLinePunct w:val="0"/>
              <w:autoSpaceDE/>
              <w:autoSpaceDN/>
              <w:bidi w:val="0"/>
              <w:adjustRightInd w:val="0"/>
              <w:snapToGrid w:val="0"/>
              <w:spacing w:before="0" w:beforeAutospacing="0" w:after="0" w:afterAutospacing="0"/>
              <w:ind w:firstLine="0" w:firstLineChars="0"/>
              <w:jc w:val="center"/>
              <w:textAlignment w:val="auto"/>
              <w:rPr>
                <w:rFonts w:hint="eastAsia" w:cs="宋体"/>
                <w:color w:val="auto"/>
                <w:highlight w:val="none"/>
              </w:rPr>
            </w:pPr>
            <w:r>
              <w:rPr>
                <w:rFonts w:hint="eastAsia" w:cs="宋体"/>
                <w:color w:val="auto"/>
                <w:highlight w:val="none"/>
              </w:rPr>
              <w:t>磋商文件条目号</w:t>
            </w:r>
          </w:p>
        </w:tc>
        <w:tc>
          <w:tcPr>
            <w:tcW w:w="1096" w:type="pct"/>
            <w:tcBorders>
              <w:top w:val="single" w:color="auto" w:sz="4" w:space="0"/>
              <w:left w:val="single" w:color="auto" w:sz="4" w:space="0"/>
              <w:bottom w:val="single" w:color="auto" w:sz="4" w:space="0"/>
              <w:right w:val="single" w:color="auto" w:sz="4" w:space="0"/>
            </w:tcBorders>
            <w:vAlign w:val="center"/>
          </w:tcPr>
          <w:p w14:paraId="5FA78829">
            <w:pPr>
              <w:pStyle w:val="43"/>
              <w:keepNext w:val="0"/>
              <w:keepLines w:val="0"/>
              <w:pageBreakBefore w:val="0"/>
              <w:widowControl w:val="0"/>
              <w:kinsoku/>
              <w:wordWrap/>
              <w:overflowPunct/>
              <w:topLinePunct w:val="0"/>
              <w:autoSpaceDE/>
              <w:autoSpaceDN/>
              <w:bidi w:val="0"/>
              <w:adjustRightInd w:val="0"/>
              <w:snapToGrid w:val="0"/>
              <w:spacing w:before="0" w:beforeAutospacing="0" w:after="0" w:afterAutospacing="0"/>
              <w:ind w:firstLine="0" w:firstLineChars="0"/>
              <w:jc w:val="center"/>
              <w:textAlignment w:val="auto"/>
              <w:rPr>
                <w:rFonts w:hint="eastAsia" w:cs="宋体"/>
                <w:color w:val="auto"/>
                <w:highlight w:val="none"/>
              </w:rPr>
            </w:pPr>
            <w:r>
              <w:rPr>
                <w:rFonts w:hint="eastAsia" w:cs="宋体"/>
                <w:color w:val="auto"/>
                <w:highlight w:val="none"/>
              </w:rPr>
              <w:t>磋商文件的商务条款</w:t>
            </w:r>
          </w:p>
        </w:tc>
        <w:tc>
          <w:tcPr>
            <w:tcW w:w="1145" w:type="pct"/>
            <w:tcBorders>
              <w:top w:val="single" w:color="auto" w:sz="4" w:space="0"/>
              <w:left w:val="single" w:color="auto" w:sz="4" w:space="0"/>
              <w:bottom w:val="single" w:color="auto" w:sz="4" w:space="0"/>
              <w:right w:val="single" w:color="auto" w:sz="4" w:space="0"/>
            </w:tcBorders>
            <w:vAlign w:val="center"/>
          </w:tcPr>
          <w:p w14:paraId="391F8501">
            <w:pPr>
              <w:pStyle w:val="43"/>
              <w:keepNext w:val="0"/>
              <w:keepLines w:val="0"/>
              <w:pageBreakBefore w:val="0"/>
              <w:widowControl w:val="0"/>
              <w:kinsoku/>
              <w:wordWrap/>
              <w:overflowPunct/>
              <w:topLinePunct w:val="0"/>
              <w:autoSpaceDE/>
              <w:autoSpaceDN/>
              <w:bidi w:val="0"/>
              <w:adjustRightInd w:val="0"/>
              <w:snapToGrid w:val="0"/>
              <w:spacing w:before="0" w:beforeAutospacing="0" w:after="0" w:afterAutospacing="0"/>
              <w:ind w:firstLine="0" w:firstLineChars="0"/>
              <w:jc w:val="center"/>
              <w:textAlignment w:val="auto"/>
              <w:rPr>
                <w:rFonts w:hint="eastAsia" w:cs="宋体"/>
                <w:color w:val="auto"/>
                <w:highlight w:val="none"/>
              </w:rPr>
            </w:pPr>
            <w:r>
              <w:rPr>
                <w:rFonts w:hint="eastAsia" w:cs="宋体"/>
                <w:color w:val="auto"/>
                <w:highlight w:val="none"/>
              </w:rPr>
              <w:t>磋商响应文件的商务条款</w:t>
            </w:r>
          </w:p>
        </w:tc>
        <w:tc>
          <w:tcPr>
            <w:tcW w:w="692" w:type="pct"/>
            <w:tcBorders>
              <w:top w:val="single" w:color="auto" w:sz="4" w:space="0"/>
              <w:left w:val="single" w:color="auto" w:sz="4" w:space="0"/>
              <w:bottom w:val="single" w:color="auto" w:sz="4" w:space="0"/>
              <w:right w:val="single" w:color="auto" w:sz="4" w:space="0"/>
            </w:tcBorders>
            <w:vAlign w:val="center"/>
          </w:tcPr>
          <w:p w14:paraId="093E57BA">
            <w:pPr>
              <w:pStyle w:val="43"/>
              <w:keepNext w:val="0"/>
              <w:keepLines w:val="0"/>
              <w:pageBreakBefore w:val="0"/>
              <w:widowControl w:val="0"/>
              <w:kinsoku/>
              <w:wordWrap/>
              <w:overflowPunct/>
              <w:topLinePunct w:val="0"/>
              <w:autoSpaceDE/>
              <w:autoSpaceDN/>
              <w:bidi w:val="0"/>
              <w:adjustRightInd w:val="0"/>
              <w:snapToGrid w:val="0"/>
              <w:spacing w:before="0" w:beforeAutospacing="0" w:after="0" w:afterAutospacing="0"/>
              <w:ind w:firstLine="0" w:firstLineChars="0"/>
              <w:jc w:val="center"/>
              <w:textAlignment w:val="auto"/>
              <w:rPr>
                <w:rFonts w:hint="eastAsia" w:cs="宋体"/>
                <w:color w:val="auto"/>
                <w:highlight w:val="none"/>
              </w:rPr>
            </w:pPr>
            <w:r>
              <w:rPr>
                <w:rFonts w:hint="eastAsia" w:cs="宋体"/>
                <w:color w:val="auto"/>
                <w:highlight w:val="none"/>
              </w:rPr>
              <w:t>偏离</w:t>
            </w:r>
          </w:p>
        </w:tc>
        <w:tc>
          <w:tcPr>
            <w:tcW w:w="519" w:type="pct"/>
            <w:tcBorders>
              <w:top w:val="single" w:color="auto" w:sz="4" w:space="0"/>
              <w:left w:val="single" w:color="auto" w:sz="4" w:space="0"/>
              <w:bottom w:val="single" w:color="auto" w:sz="4" w:space="0"/>
              <w:right w:val="single" w:color="auto" w:sz="4" w:space="0"/>
            </w:tcBorders>
            <w:vAlign w:val="center"/>
          </w:tcPr>
          <w:p w14:paraId="37B81E50">
            <w:pPr>
              <w:pStyle w:val="43"/>
              <w:keepNext w:val="0"/>
              <w:keepLines w:val="0"/>
              <w:pageBreakBefore w:val="0"/>
              <w:widowControl w:val="0"/>
              <w:kinsoku/>
              <w:wordWrap/>
              <w:overflowPunct/>
              <w:topLinePunct w:val="0"/>
              <w:autoSpaceDE/>
              <w:autoSpaceDN/>
              <w:bidi w:val="0"/>
              <w:adjustRightInd w:val="0"/>
              <w:snapToGrid w:val="0"/>
              <w:spacing w:before="0" w:beforeAutospacing="0" w:after="0" w:afterAutospacing="0"/>
              <w:ind w:firstLine="0" w:firstLineChars="0"/>
              <w:jc w:val="center"/>
              <w:textAlignment w:val="auto"/>
              <w:rPr>
                <w:rFonts w:hint="eastAsia" w:cs="宋体"/>
                <w:color w:val="auto"/>
                <w:highlight w:val="none"/>
              </w:rPr>
            </w:pPr>
            <w:r>
              <w:rPr>
                <w:rFonts w:hint="eastAsia" w:cs="宋体"/>
                <w:color w:val="auto"/>
                <w:highlight w:val="none"/>
              </w:rPr>
              <w:t>说明</w:t>
            </w:r>
          </w:p>
        </w:tc>
      </w:tr>
      <w:tr w14:paraId="59B158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485" w:type="pct"/>
            <w:tcBorders>
              <w:top w:val="single" w:color="auto" w:sz="4" w:space="0"/>
              <w:left w:val="single" w:color="auto" w:sz="4" w:space="0"/>
              <w:bottom w:val="single" w:color="auto" w:sz="4" w:space="0"/>
              <w:right w:val="single" w:color="auto" w:sz="4" w:space="0"/>
            </w:tcBorders>
            <w:vAlign w:val="center"/>
          </w:tcPr>
          <w:p w14:paraId="30A0B342">
            <w:pPr>
              <w:pStyle w:val="43"/>
              <w:keepNext w:val="0"/>
              <w:keepLines w:val="0"/>
              <w:pageBreakBefore w:val="0"/>
              <w:widowControl w:val="0"/>
              <w:kinsoku/>
              <w:wordWrap/>
              <w:overflowPunct/>
              <w:topLinePunct w:val="0"/>
              <w:autoSpaceDE/>
              <w:autoSpaceDN/>
              <w:bidi w:val="0"/>
              <w:adjustRightInd w:val="0"/>
              <w:snapToGrid w:val="0"/>
              <w:spacing w:before="0" w:beforeAutospacing="0" w:after="0" w:afterAutospacing="0"/>
              <w:ind w:firstLine="0" w:firstLineChars="0"/>
              <w:jc w:val="center"/>
              <w:textAlignment w:val="auto"/>
              <w:rPr>
                <w:rFonts w:hint="eastAsia" w:cs="宋体"/>
                <w:color w:val="auto"/>
                <w:highlight w:val="none"/>
              </w:rPr>
            </w:pPr>
          </w:p>
        </w:tc>
        <w:tc>
          <w:tcPr>
            <w:tcW w:w="1063" w:type="pct"/>
            <w:tcBorders>
              <w:top w:val="single" w:color="auto" w:sz="4" w:space="0"/>
              <w:left w:val="single" w:color="auto" w:sz="4" w:space="0"/>
              <w:bottom w:val="single" w:color="auto" w:sz="4" w:space="0"/>
              <w:right w:val="single" w:color="auto" w:sz="4" w:space="0"/>
            </w:tcBorders>
            <w:vAlign w:val="center"/>
          </w:tcPr>
          <w:p w14:paraId="2009B741">
            <w:pPr>
              <w:pStyle w:val="43"/>
              <w:keepNext w:val="0"/>
              <w:keepLines w:val="0"/>
              <w:pageBreakBefore w:val="0"/>
              <w:widowControl w:val="0"/>
              <w:kinsoku/>
              <w:wordWrap/>
              <w:overflowPunct/>
              <w:topLinePunct w:val="0"/>
              <w:autoSpaceDE/>
              <w:autoSpaceDN/>
              <w:bidi w:val="0"/>
              <w:adjustRightInd w:val="0"/>
              <w:snapToGrid w:val="0"/>
              <w:spacing w:before="0" w:beforeAutospacing="0" w:after="0" w:afterAutospacing="0"/>
              <w:ind w:firstLine="0" w:firstLineChars="0"/>
              <w:jc w:val="center"/>
              <w:textAlignment w:val="auto"/>
              <w:rPr>
                <w:rFonts w:hint="eastAsia" w:cs="宋体"/>
                <w:color w:val="auto"/>
                <w:highlight w:val="none"/>
              </w:rPr>
            </w:pPr>
          </w:p>
        </w:tc>
        <w:tc>
          <w:tcPr>
            <w:tcW w:w="1096" w:type="pct"/>
            <w:tcBorders>
              <w:top w:val="single" w:color="auto" w:sz="4" w:space="0"/>
              <w:left w:val="single" w:color="auto" w:sz="4" w:space="0"/>
              <w:bottom w:val="single" w:color="auto" w:sz="4" w:space="0"/>
              <w:right w:val="single" w:color="auto" w:sz="4" w:space="0"/>
            </w:tcBorders>
            <w:vAlign w:val="center"/>
          </w:tcPr>
          <w:p w14:paraId="2FC80F02">
            <w:pPr>
              <w:pStyle w:val="43"/>
              <w:keepNext w:val="0"/>
              <w:keepLines w:val="0"/>
              <w:pageBreakBefore w:val="0"/>
              <w:widowControl w:val="0"/>
              <w:kinsoku/>
              <w:wordWrap/>
              <w:overflowPunct/>
              <w:topLinePunct w:val="0"/>
              <w:autoSpaceDE/>
              <w:autoSpaceDN/>
              <w:bidi w:val="0"/>
              <w:adjustRightInd w:val="0"/>
              <w:snapToGrid w:val="0"/>
              <w:spacing w:before="0" w:beforeAutospacing="0" w:after="0" w:afterAutospacing="0"/>
              <w:ind w:firstLine="0" w:firstLineChars="0"/>
              <w:jc w:val="center"/>
              <w:textAlignment w:val="auto"/>
              <w:rPr>
                <w:rFonts w:hint="eastAsia" w:cs="宋体"/>
                <w:color w:val="auto"/>
                <w:highlight w:val="none"/>
              </w:rPr>
            </w:pPr>
          </w:p>
        </w:tc>
        <w:tc>
          <w:tcPr>
            <w:tcW w:w="1145" w:type="pct"/>
            <w:tcBorders>
              <w:top w:val="single" w:color="auto" w:sz="4" w:space="0"/>
              <w:left w:val="single" w:color="auto" w:sz="4" w:space="0"/>
              <w:bottom w:val="single" w:color="auto" w:sz="4" w:space="0"/>
              <w:right w:val="single" w:color="auto" w:sz="4" w:space="0"/>
            </w:tcBorders>
            <w:vAlign w:val="center"/>
          </w:tcPr>
          <w:p w14:paraId="28F483C3">
            <w:pPr>
              <w:pStyle w:val="43"/>
              <w:keepNext w:val="0"/>
              <w:keepLines w:val="0"/>
              <w:pageBreakBefore w:val="0"/>
              <w:widowControl w:val="0"/>
              <w:kinsoku/>
              <w:wordWrap/>
              <w:overflowPunct/>
              <w:topLinePunct w:val="0"/>
              <w:autoSpaceDE/>
              <w:autoSpaceDN/>
              <w:bidi w:val="0"/>
              <w:adjustRightInd w:val="0"/>
              <w:snapToGrid w:val="0"/>
              <w:spacing w:before="0" w:beforeAutospacing="0" w:after="0" w:afterAutospacing="0"/>
              <w:ind w:firstLine="0" w:firstLineChars="0"/>
              <w:jc w:val="center"/>
              <w:textAlignment w:val="auto"/>
              <w:rPr>
                <w:rFonts w:hint="eastAsia" w:cs="宋体"/>
                <w:color w:val="auto"/>
                <w:highlight w:val="none"/>
              </w:rPr>
            </w:pPr>
          </w:p>
        </w:tc>
        <w:tc>
          <w:tcPr>
            <w:tcW w:w="692" w:type="pct"/>
            <w:tcBorders>
              <w:top w:val="single" w:color="auto" w:sz="4" w:space="0"/>
              <w:left w:val="single" w:color="auto" w:sz="4" w:space="0"/>
              <w:bottom w:val="single" w:color="auto" w:sz="4" w:space="0"/>
              <w:right w:val="single" w:color="auto" w:sz="4" w:space="0"/>
            </w:tcBorders>
            <w:vAlign w:val="center"/>
          </w:tcPr>
          <w:p w14:paraId="476FA6FB">
            <w:pPr>
              <w:pStyle w:val="43"/>
              <w:keepNext w:val="0"/>
              <w:keepLines w:val="0"/>
              <w:pageBreakBefore w:val="0"/>
              <w:widowControl w:val="0"/>
              <w:kinsoku/>
              <w:wordWrap/>
              <w:overflowPunct/>
              <w:topLinePunct w:val="0"/>
              <w:autoSpaceDE/>
              <w:autoSpaceDN/>
              <w:bidi w:val="0"/>
              <w:adjustRightInd w:val="0"/>
              <w:snapToGrid w:val="0"/>
              <w:spacing w:before="0" w:beforeAutospacing="0" w:after="0" w:afterAutospacing="0"/>
              <w:ind w:firstLine="0" w:firstLineChars="0"/>
              <w:jc w:val="center"/>
              <w:textAlignment w:val="auto"/>
              <w:rPr>
                <w:rFonts w:hint="eastAsia" w:cs="宋体"/>
                <w:color w:val="auto"/>
                <w:highlight w:val="none"/>
              </w:rPr>
            </w:pPr>
          </w:p>
        </w:tc>
        <w:tc>
          <w:tcPr>
            <w:tcW w:w="519" w:type="pct"/>
            <w:tcBorders>
              <w:top w:val="single" w:color="auto" w:sz="4" w:space="0"/>
              <w:left w:val="single" w:color="auto" w:sz="4" w:space="0"/>
              <w:bottom w:val="single" w:color="auto" w:sz="4" w:space="0"/>
              <w:right w:val="single" w:color="auto" w:sz="4" w:space="0"/>
            </w:tcBorders>
            <w:vAlign w:val="center"/>
          </w:tcPr>
          <w:p w14:paraId="2165CE8A">
            <w:pPr>
              <w:pStyle w:val="43"/>
              <w:keepNext w:val="0"/>
              <w:keepLines w:val="0"/>
              <w:pageBreakBefore w:val="0"/>
              <w:widowControl w:val="0"/>
              <w:kinsoku/>
              <w:wordWrap/>
              <w:overflowPunct/>
              <w:topLinePunct w:val="0"/>
              <w:autoSpaceDE/>
              <w:autoSpaceDN/>
              <w:bidi w:val="0"/>
              <w:adjustRightInd w:val="0"/>
              <w:snapToGrid w:val="0"/>
              <w:spacing w:before="0" w:beforeAutospacing="0" w:after="0" w:afterAutospacing="0"/>
              <w:ind w:firstLine="0" w:firstLineChars="0"/>
              <w:jc w:val="center"/>
              <w:textAlignment w:val="auto"/>
              <w:rPr>
                <w:rFonts w:hint="eastAsia" w:cs="宋体"/>
                <w:color w:val="auto"/>
                <w:highlight w:val="none"/>
              </w:rPr>
            </w:pPr>
          </w:p>
        </w:tc>
      </w:tr>
      <w:tr w14:paraId="1C74B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485" w:type="pct"/>
            <w:tcBorders>
              <w:top w:val="single" w:color="auto" w:sz="4" w:space="0"/>
              <w:left w:val="single" w:color="auto" w:sz="4" w:space="0"/>
              <w:bottom w:val="single" w:color="auto" w:sz="4" w:space="0"/>
              <w:right w:val="single" w:color="auto" w:sz="4" w:space="0"/>
            </w:tcBorders>
            <w:vAlign w:val="center"/>
          </w:tcPr>
          <w:p w14:paraId="039A34B4">
            <w:pPr>
              <w:pStyle w:val="43"/>
              <w:keepNext w:val="0"/>
              <w:keepLines w:val="0"/>
              <w:pageBreakBefore w:val="0"/>
              <w:widowControl w:val="0"/>
              <w:kinsoku/>
              <w:wordWrap/>
              <w:overflowPunct/>
              <w:topLinePunct w:val="0"/>
              <w:autoSpaceDE/>
              <w:autoSpaceDN/>
              <w:bidi w:val="0"/>
              <w:adjustRightInd w:val="0"/>
              <w:snapToGrid w:val="0"/>
              <w:spacing w:before="0" w:beforeAutospacing="0" w:after="0" w:afterAutospacing="0"/>
              <w:ind w:firstLine="0" w:firstLineChars="0"/>
              <w:jc w:val="center"/>
              <w:textAlignment w:val="auto"/>
              <w:rPr>
                <w:rFonts w:hint="eastAsia" w:cs="宋体"/>
                <w:color w:val="auto"/>
                <w:highlight w:val="none"/>
              </w:rPr>
            </w:pPr>
          </w:p>
        </w:tc>
        <w:tc>
          <w:tcPr>
            <w:tcW w:w="1063" w:type="pct"/>
            <w:tcBorders>
              <w:top w:val="single" w:color="auto" w:sz="4" w:space="0"/>
              <w:left w:val="single" w:color="auto" w:sz="4" w:space="0"/>
              <w:bottom w:val="single" w:color="auto" w:sz="4" w:space="0"/>
              <w:right w:val="single" w:color="auto" w:sz="4" w:space="0"/>
            </w:tcBorders>
            <w:vAlign w:val="center"/>
          </w:tcPr>
          <w:p w14:paraId="4DE48E78">
            <w:pPr>
              <w:pStyle w:val="43"/>
              <w:keepNext w:val="0"/>
              <w:keepLines w:val="0"/>
              <w:pageBreakBefore w:val="0"/>
              <w:widowControl w:val="0"/>
              <w:kinsoku/>
              <w:wordWrap/>
              <w:overflowPunct/>
              <w:topLinePunct w:val="0"/>
              <w:autoSpaceDE/>
              <w:autoSpaceDN/>
              <w:bidi w:val="0"/>
              <w:adjustRightInd w:val="0"/>
              <w:snapToGrid w:val="0"/>
              <w:spacing w:before="0" w:beforeAutospacing="0" w:after="0" w:afterAutospacing="0"/>
              <w:ind w:firstLine="0" w:firstLineChars="0"/>
              <w:jc w:val="center"/>
              <w:textAlignment w:val="auto"/>
              <w:rPr>
                <w:rFonts w:hint="eastAsia" w:cs="宋体"/>
                <w:color w:val="auto"/>
                <w:highlight w:val="none"/>
              </w:rPr>
            </w:pPr>
          </w:p>
        </w:tc>
        <w:tc>
          <w:tcPr>
            <w:tcW w:w="1096" w:type="pct"/>
            <w:tcBorders>
              <w:top w:val="single" w:color="auto" w:sz="4" w:space="0"/>
              <w:left w:val="single" w:color="auto" w:sz="4" w:space="0"/>
              <w:bottom w:val="single" w:color="auto" w:sz="4" w:space="0"/>
              <w:right w:val="single" w:color="auto" w:sz="4" w:space="0"/>
            </w:tcBorders>
            <w:vAlign w:val="center"/>
          </w:tcPr>
          <w:p w14:paraId="543A6A75">
            <w:pPr>
              <w:pStyle w:val="43"/>
              <w:keepNext w:val="0"/>
              <w:keepLines w:val="0"/>
              <w:pageBreakBefore w:val="0"/>
              <w:widowControl w:val="0"/>
              <w:kinsoku/>
              <w:wordWrap/>
              <w:overflowPunct/>
              <w:topLinePunct w:val="0"/>
              <w:autoSpaceDE/>
              <w:autoSpaceDN/>
              <w:bidi w:val="0"/>
              <w:adjustRightInd w:val="0"/>
              <w:snapToGrid w:val="0"/>
              <w:spacing w:before="0" w:beforeAutospacing="0" w:after="0" w:afterAutospacing="0"/>
              <w:ind w:firstLine="0" w:firstLineChars="0"/>
              <w:jc w:val="center"/>
              <w:textAlignment w:val="auto"/>
              <w:rPr>
                <w:rFonts w:hint="eastAsia" w:cs="宋体"/>
                <w:color w:val="auto"/>
                <w:highlight w:val="none"/>
              </w:rPr>
            </w:pPr>
          </w:p>
        </w:tc>
        <w:tc>
          <w:tcPr>
            <w:tcW w:w="1145" w:type="pct"/>
            <w:tcBorders>
              <w:top w:val="single" w:color="auto" w:sz="4" w:space="0"/>
              <w:left w:val="single" w:color="auto" w:sz="4" w:space="0"/>
              <w:bottom w:val="single" w:color="auto" w:sz="4" w:space="0"/>
              <w:right w:val="single" w:color="auto" w:sz="4" w:space="0"/>
            </w:tcBorders>
            <w:vAlign w:val="center"/>
          </w:tcPr>
          <w:p w14:paraId="6012F4AD">
            <w:pPr>
              <w:pStyle w:val="43"/>
              <w:keepNext w:val="0"/>
              <w:keepLines w:val="0"/>
              <w:pageBreakBefore w:val="0"/>
              <w:widowControl w:val="0"/>
              <w:kinsoku/>
              <w:wordWrap/>
              <w:overflowPunct/>
              <w:topLinePunct w:val="0"/>
              <w:autoSpaceDE/>
              <w:autoSpaceDN/>
              <w:bidi w:val="0"/>
              <w:adjustRightInd w:val="0"/>
              <w:snapToGrid w:val="0"/>
              <w:spacing w:before="0" w:beforeAutospacing="0" w:after="0" w:afterAutospacing="0"/>
              <w:ind w:firstLine="0" w:firstLineChars="0"/>
              <w:jc w:val="center"/>
              <w:textAlignment w:val="auto"/>
              <w:rPr>
                <w:rFonts w:hint="eastAsia" w:cs="宋体"/>
                <w:color w:val="auto"/>
                <w:highlight w:val="none"/>
              </w:rPr>
            </w:pPr>
          </w:p>
        </w:tc>
        <w:tc>
          <w:tcPr>
            <w:tcW w:w="692" w:type="pct"/>
            <w:tcBorders>
              <w:top w:val="single" w:color="auto" w:sz="4" w:space="0"/>
              <w:left w:val="single" w:color="auto" w:sz="4" w:space="0"/>
              <w:bottom w:val="single" w:color="auto" w:sz="4" w:space="0"/>
              <w:right w:val="single" w:color="auto" w:sz="4" w:space="0"/>
            </w:tcBorders>
            <w:vAlign w:val="center"/>
          </w:tcPr>
          <w:p w14:paraId="52417972">
            <w:pPr>
              <w:pStyle w:val="43"/>
              <w:keepNext w:val="0"/>
              <w:keepLines w:val="0"/>
              <w:pageBreakBefore w:val="0"/>
              <w:widowControl w:val="0"/>
              <w:kinsoku/>
              <w:wordWrap/>
              <w:overflowPunct/>
              <w:topLinePunct w:val="0"/>
              <w:autoSpaceDE/>
              <w:autoSpaceDN/>
              <w:bidi w:val="0"/>
              <w:adjustRightInd w:val="0"/>
              <w:snapToGrid w:val="0"/>
              <w:spacing w:before="0" w:beforeAutospacing="0" w:after="0" w:afterAutospacing="0"/>
              <w:ind w:firstLine="0" w:firstLineChars="0"/>
              <w:jc w:val="center"/>
              <w:textAlignment w:val="auto"/>
              <w:rPr>
                <w:rFonts w:hint="eastAsia" w:cs="宋体"/>
                <w:color w:val="auto"/>
                <w:highlight w:val="none"/>
              </w:rPr>
            </w:pPr>
          </w:p>
        </w:tc>
        <w:tc>
          <w:tcPr>
            <w:tcW w:w="519" w:type="pct"/>
            <w:tcBorders>
              <w:top w:val="single" w:color="auto" w:sz="4" w:space="0"/>
              <w:left w:val="single" w:color="auto" w:sz="4" w:space="0"/>
              <w:bottom w:val="single" w:color="auto" w:sz="4" w:space="0"/>
              <w:right w:val="single" w:color="auto" w:sz="4" w:space="0"/>
            </w:tcBorders>
            <w:vAlign w:val="center"/>
          </w:tcPr>
          <w:p w14:paraId="34DCFA22">
            <w:pPr>
              <w:pStyle w:val="43"/>
              <w:keepNext w:val="0"/>
              <w:keepLines w:val="0"/>
              <w:pageBreakBefore w:val="0"/>
              <w:widowControl w:val="0"/>
              <w:kinsoku/>
              <w:wordWrap/>
              <w:overflowPunct/>
              <w:topLinePunct w:val="0"/>
              <w:autoSpaceDE/>
              <w:autoSpaceDN/>
              <w:bidi w:val="0"/>
              <w:adjustRightInd w:val="0"/>
              <w:snapToGrid w:val="0"/>
              <w:spacing w:before="0" w:beforeAutospacing="0" w:after="0" w:afterAutospacing="0"/>
              <w:ind w:firstLine="0" w:firstLineChars="0"/>
              <w:jc w:val="center"/>
              <w:textAlignment w:val="auto"/>
              <w:rPr>
                <w:rFonts w:hint="eastAsia" w:cs="宋体"/>
                <w:color w:val="auto"/>
                <w:highlight w:val="none"/>
              </w:rPr>
            </w:pPr>
          </w:p>
        </w:tc>
      </w:tr>
      <w:tr w14:paraId="6DA91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485" w:type="pct"/>
            <w:tcBorders>
              <w:top w:val="single" w:color="auto" w:sz="4" w:space="0"/>
              <w:left w:val="single" w:color="auto" w:sz="4" w:space="0"/>
              <w:bottom w:val="single" w:color="auto" w:sz="4" w:space="0"/>
              <w:right w:val="single" w:color="auto" w:sz="4" w:space="0"/>
            </w:tcBorders>
            <w:vAlign w:val="center"/>
          </w:tcPr>
          <w:p w14:paraId="459788FC">
            <w:pPr>
              <w:pStyle w:val="43"/>
              <w:keepNext w:val="0"/>
              <w:keepLines w:val="0"/>
              <w:pageBreakBefore w:val="0"/>
              <w:widowControl w:val="0"/>
              <w:kinsoku/>
              <w:wordWrap/>
              <w:overflowPunct/>
              <w:topLinePunct w:val="0"/>
              <w:autoSpaceDE/>
              <w:autoSpaceDN/>
              <w:bidi w:val="0"/>
              <w:adjustRightInd w:val="0"/>
              <w:snapToGrid w:val="0"/>
              <w:spacing w:before="0" w:beforeAutospacing="0" w:after="0" w:afterAutospacing="0"/>
              <w:ind w:firstLine="0" w:firstLineChars="0"/>
              <w:jc w:val="center"/>
              <w:textAlignment w:val="auto"/>
              <w:rPr>
                <w:rFonts w:hint="eastAsia" w:cs="宋体"/>
                <w:color w:val="auto"/>
                <w:highlight w:val="none"/>
              </w:rPr>
            </w:pPr>
          </w:p>
        </w:tc>
        <w:tc>
          <w:tcPr>
            <w:tcW w:w="1063" w:type="pct"/>
            <w:tcBorders>
              <w:top w:val="single" w:color="auto" w:sz="4" w:space="0"/>
              <w:left w:val="single" w:color="auto" w:sz="4" w:space="0"/>
              <w:bottom w:val="single" w:color="auto" w:sz="4" w:space="0"/>
              <w:right w:val="single" w:color="auto" w:sz="4" w:space="0"/>
            </w:tcBorders>
            <w:vAlign w:val="center"/>
          </w:tcPr>
          <w:p w14:paraId="616EF413">
            <w:pPr>
              <w:pStyle w:val="43"/>
              <w:keepNext w:val="0"/>
              <w:keepLines w:val="0"/>
              <w:pageBreakBefore w:val="0"/>
              <w:widowControl w:val="0"/>
              <w:kinsoku/>
              <w:wordWrap/>
              <w:overflowPunct/>
              <w:topLinePunct w:val="0"/>
              <w:autoSpaceDE/>
              <w:autoSpaceDN/>
              <w:bidi w:val="0"/>
              <w:adjustRightInd w:val="0"/>
              <w:snapToGrid w:val="0"/>
              <w:spacing w:before="0" w:beforeAutospacing="0" w:after="0" w:afterAutospacing="0"/>
              <w:ind w:firstLine="0" w:firstLineChars="0"/>
              <w:jc w:val="center"/>
              <w:textAlignment w:val="auto"/>
              <w:rPr>
                <w:rFonts w:hint="eastAsia" w:cs="宋体"/>
                <w:color w:val="auto"/>
                <w:highlight w:val="none"/>
              </w:rPr>
            </w:pPr>
          </w:p>
        </w:tc>
        <w:tc>
          <w:tcPr>
            <w:tcW w:w="1096" w:type="pct"/>
            <w:tcBorders>
              <w:top w:val="single" w:color="auto" w:sz="4" w:space="0"/>
              <w:left w:val="single" w:color="auto" w:sz="4" w:space="0"/>
              <w:bottom w:val="single" w:color="auto" w:sz="4" w:space="0"/>
              <w:right w:val="single" w:color="auto" w:sz="4" w:space="0"/>
            </w:tcBorders>
            <w:vAlign w:val="center"/>
          </w:tcPr>
          <w:p w14:paraId="78967682">
            <w:pPr>
              <w:pStyle w:val="43"/>
              <w:keepNext w:val="0"/>
              <w:keepLines w:val="0"/>
              <w:pageBreakBefore w:val="0"/>
              <w:widowControl w:val="0"/>
              <w:kinsoku/>
              <w:wordWrap/>
              <w:overflowPunct/>
              <w:topLinePunct w:val="0"/>
              <w:autoSpaceDE/>
              <w:autoSpaceDN/>
              <w:bidi w:val="0"/>
              <w:adjustRightInd w:val="0"/>
              <w:snapToGrid w:val="0"/>
              <w:spacing w:before="0" w:beforeAutospacing="0" w:after="0" w:afterAutospacing="0"/>
              <w:ind w:firstLine="0" w:firstLineChars="0"/>
              <w:jc w:val="center"/>
              <w:textAlignment w:val="auto"/>
              <w:rPr>
                <w:rFonts w:hint="eastAsia" w:cs="宋体"/>
                <w:color w:val="auto"/>
                <w:highlight w:val="none"/>
              </w:rPr>
            </w:pPr>
          </w:p>
        </w:tc>
        <w:tc>
          <w:tcPr>
            <w:tcW w:w="1145" w:type="pct"/>
            <w:tcBorders>
              <w:top w:val="single" w:color="auto" w:sz="4" w:space="0"/>
              <w:left w:val="single" w:color="auto" w:sz="4" w:space="0"/>
              <w:bottom w:val="single" w:color="auto" w:sz="4" w:space="0"/>
              <w:right w:val="single" w:color="auto" w:sz="4" w:space="0"/>
            </w:tcBorders>
            <w:vAlign w:val="center"/>
          </w:tcPr>
          <w:p w14:paraId="3F4D51DD">
            <w:pPr>
              <w:pStyle w:val="43"/>
              <w:keepNext w:val="0"/>
              <w:keepLines w:val="0"/>
              <w:pageBreakBefore w:val="0"/>
              <w:widowControl w:val="0"/>
              <w:kinsoku/>
              <w:wordWrap/>
              <w:overflowPunct/>
              <w:topLinePunct w:val="0"/>
              <w:autoSpaceDE/>
              <w:autoSpaceDN/>
              <w:bidi w:val="0"/>
              <w:adjustRightInd w:val="0"/>
              <w:snapToGrid w:val="0"/>
              <w:spacing w:before="0" w:beforeAutospacing="0" w:after="0" w:afterAutospacing="0"/>
              <w:ind w:firstLine="0" w:firstLineChars="0"/>
              <w:jc w:val="center"/>
              <w:textAlignment w:val="auto"/>
              <w:rPr>
                <w:rFonts w:hint="eastAsia" w:cs="宋体"/>
                <w:color w:val="auto"/>
                <w:highlight w:val="none"/>
              </w:rPr>
            </w:pPr>
          </w:p>
        </w:tc>
        <w:tc>
          <w:tcPr>
            <w:tcW w:w="692" w:type="pct"/>
            <w:tcBorders>
              <w:top w:val="single" w:color="auto" w:sz="4" w:space="0"/>
              <w:left w:val="single" w:color="auto" w:sz="4" w:space="0"/>
              <w:bottom w:val="single" w:color="auto" w:sz="4" w:space="0"/>
              <w:right w:val="single" w:color="auto" w:sz="4" w:space="0"/>
            </w:tcBorders>
            <w:vAlign w:val="center"/>
          </w:tcPr>
          <w:p w14:paraId="144A4FD9">
            <w:pPr>
              <w:pStyle w:val="43"/>
              <w:keepNext w:val="0"/>
              <w:keepLines w:val="0"/>
              <w:pageBreakBefore w:val="0"/>
              <w:widowControl w:val="0"/>
              <w:kinsoku/>
              <w:wordWrap/>
              <w:overflowPunct/>
              <w:topLinePunct w:val="0"/>
              <w:autoSpaceDE/>
              <w:autoSpaceDN/>
              <w:bidi w:val="0"/>
              <w:adjustRightInd w:val="0"/>
              <w:snapToGrid w:val="0"/>
              <w:spacing w:before="0" w:beforeAutospacing="0" w:after="0" w:afterAutospacing="0"/>
              <w:ind w:firstLine="0" w:firstLineChars="0"/>
              <w:jc w:val="center"/>
              <w:textAlignment w:val="auto"/>
              <w:rPr>
                <w:rFonts w:hint="eastAsia" w:cs="宋体"/>
                <w:color w:val="auto"/>
                <w:highlight w:val="none"/>
              </w:rPr>
            </w:pPr>
          </w:p>
        </w:tc>
        <w:tc>
          <w:tcPr>
            <w:tcW w:w="519" w:type="pct"/>
            <w:tcBorders>
              <w:top w:val="single" w:color="auto" w:sz="4" w:space="0"/>
              <w:left w:val="single" w:color="auto" w:sz="4" w:space="0"/>
              <w:bottom w:val="single" w:color="auto" w:sz="4" w:space="0"/>
              <w:right w:val="single" w:color="auto" w:sz="4" w:space="0"/>
            </w:tcBorders>
            <w:vAlign w:val="center"/>
          </w:tcPr>
          <w:p w14:paraId="01E5F308">
            <w:pPr>
              <w:pStyle w:val="43"/>
              <w:keepNext w:val="0"/>
              <w:keepLines w:val="0"/>
              <w:pageBreakBefore w:val="0"/>
              <w:widowControl w:val="0"/>
              <w:kinsoku/>
              <w:wordWrap/>
              <w:overflowPunct/>
              <w:topLinePunct w:val="0"/>
              <w:autoSpaceDE/>
              <w:autoSpaceDN/>
              <w:bidi w:val="0"/>
              <w:adjustRightInd w:val="0"/>
              <w:snapToGrid w:val="0"/>
              <w:spacing w:before="0" w:beforeAutospacing="0" w:after="0" w:afterAutospacing="0"/>
              <w:ind w:firstLine="0" w:firstLineChars="0"/>
              <w:jc w:val="center"/>
              <w:textAlignment w:val="auto"/>
              <w:rPr>
                <w:rFonts w:hint="eastAsia" w:cs="宋体"/>
                <w:color w:val="auto"/>
                <w:highlight w:val="none"/>
              </w:rPr>
            </w:pPr>
          </w:p>
        </w:tc>
      </w:tr>
      <w:tr w14:paraId="6CA6F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exact"/>
          <w:jc w:val="center"/>
        </w:trPr>
        <w:tc>
          <w:tcPr>
            <w:tcW w:w="485" w:type="pct"/>
            <w:tcBorders>
              <w:top w:val="single" w:color="auto" w:sz="4" w:space="0"/>
              <w:left w:val="single" w:color="auto" w:sz="4" w:space="0"/>
              <w:bottom w:val="single" w:color="auto" w:sz="4" w:space="0"/>
              <w:right w:val="single" w:color="auto" w:sz="4" w:space="0"/>
            </w:tcBorders>
            <w:vAlign w:val="center"/>
          </w:tcPr>
          <w:p w14:paraId="0B593BA5">
            <w:pPr>
              <w:pStyle w:val="43"/>
              <w:keepNext w:val="0"/>
              <w:keepLines w:val="0"/>
              <w:pageBreakBefore w:val="0"/>
              <w:widowControl w:val="0"/>
              <w:kinsoku/>
              <w:wordWrap/>
              <w:overflowPunct/>
              <w:topLinePunct w:val="0"/>
              <w:autoSpaceDE/>
              <w:autoSpaceDN/>
              <w:bidi w:val="0"/>
              <w:adjustRightInd w:val="0"/>
              <w:snapToGrid w:val="0"/>
              <w:spacing w:before="0" w:beforeAutospacing="0" w:after="0" w:afterAutospacing="0"/>
              <w:ind w:firstLine="0" w:firstLineChars="0"/>
              <w:jc w:val="center"/>
              <w:textAlignment w:val="auto"/>
              <w:rPr>
                <w:rFonts w:hint="eastAsia" w:cs="宋体"/>
                <w:color w:val="auto"/>
                <w:highlight w:val="none"/>
              </w:rPr>
            </w:pPr>
          </w:p>
        </w:tc>
        <w:tc>
          <w:tcPr>
            <w:tcW w:w="1063" w:type="pct"/>
            <w:tcBorders>
              <w:top w:val="single" w:color="auto" w:sz="4" w:space="0"/>
              <w:left w:val="single" w:color="auto" w:sz="4" w:space="0"/>
              <w:bottom w:val="single" w:color="auto" w:sz="4" w:space="0"/>
              <w:right w:val="single" w:color="auto" w:sz="4" w:space="0"/>
            </w:tcBorders>
            <w:vAlign w:val="center"/>
          </w:tcPr>
          <w:p w14:paraId="7951E81A">
            <w:pPr>
              <w:pStyle w:val="43"/>
              <w:keepNext w:val="0"/>
              <w:keepLines w:val="0"/>
              <w:pageBreakBefore w:val="0"/>
              <w:widowControl w:val="0"/>
              <w:kinsoku/>
              <w:wordWrap/>
              <w:overflowPunct/>
              <w:topLinePunct w:val="0"/>
              <w:autoSpaceDE/>
              <w:autoSpaceDN/>
              <w:bidi w:val="0"/>
              <w:adjustRightInd w:val="0"/>
              <w:snapToGrid w:val="0"/>
              <w:spacing w:before="0" w:beforeAutospacing="0" w:after="0" w:afterAutospacing="0"/>
              <w:ind w:firstLine="0" w:firstLineChars="0"/>
              <w:jc w:val="center"/>
              <w:textAlignment w:val="auto"/>
              <w:rPr>
                <w:rFonts w:hint="eastAsia" w:cs="宋体"/>
                <w:color w:val="auto"/>
                <w:highlight w:val="none"/>
              </w:rPr>
            </w:pPr>
          </w:p>
        </w:tc>
        <w:tc>
          <w:tcPr>
            <w:tcW w:w="1096" w:type="pct"/>
            <w:tcBorders>
              <w:top w:val="single" w:color="auto" w:sz="4" w:space="0"/>
              <w:left w:val="single" w:color="auto" w:sz="4" w:space="0"/>
              <w:bottom w:val="single" w:color="auto" w:sz="4" w:space="0"/>
              <w:right w:val="single" w:color="auto" w:sz="4" w:space="0"/>
            </w:tcBorders>
            <w:vAlign w:val="center"/>
          </w:tcPr>
          <w:p w14:paraId="5642325E">
            <w:pPr>
              <w:pStyle w:val="43"/>
              <w:keepNext w:val="0"/>
              <w:keepLines w:val="0"/>
              <w:pageBreakBefore w:val="0"/>
              <w:widowControl w:val="0"/>
              <w:kinsoku/>
              <w:wordWrap/>
              <w:overflowPunct/>
              <w:topLinePunct w:val="0"/>
              <w:autoSpaceDE/>
              <w:autoSpaceDN/>
              <w:bidi w:val="0"/>
              <w:adjustRightInd w:val="0"/>
              <w:snapToGrid w:val="0"/>
              <w:spacing w:before="0" w:beforeAutospacing="0" w:after="0" w:afterAutospacing="0"/>
              <w:ind w:firstLine="0" w:firstLineChars="0"/>
              <w:jc w:val="center"/>
              <w:textAlignment w:val="auto"/>
              <w:rPr>
                <w:rFonts w:hint="eastAsia" w:cs="宋体"/>
                <w:color w:val="auto"/>
                <w:highlight w:val="none"/>
              </w:rPr>
            </w:pPr>
          </w:p>
        </w:tc>
        <w:tc>
          <w:tcPr>
            <w:tcW w:w="1145" w:type="pct"/>
            <w:tcBorders>
              <w:top w:val="single" w:color="auto" w:sz="4" w:space="0"/>
              <w:left w:val="single" w:color="auto" w:sz="4" w:space="0"/>
              <w:bottom w:val="single" w:color="auto" w:sz="4" w:space="0"/>
              <w:right w:val="single" w:color="auto" w:sz="4" w:space="0"/>
            </w:tcBorders>
            <w:vAlign w:val="center"/>
          </w:tcPr>
          <w:p w14:paraId="449322FB">
            <w:pPr>
              <w:pStyle w:val="43"/>
              <w:keepNext w:val="0"/>
              <w:keepLines w:val="0"/>
              <w:pageBreakBefore w:val="0"/>
              <w:widowControl w:val="0"/>
              <w:kinsoku/>
              <w:wordWrap/>
              <w:overflowPunct/>
              <w:topLinePunct w:val="0"/>
              <w:autoSpaceDE/>
              <w:autoSpaceDN/>
              <w:bidi w:val="0"/>
              <w:adjustRightInd w:val="0"/>
              <w:snapToGrid w:val="0"/>
              <w:spacing w:before="0" w:beforeAutospacing="0" w:after="0" w:afterAutospacing="0"/>
              <w:ind w:firstLine="0" w:firstLineChars="0"/>
              <w:jc w:val="center"/>
              <w:textAlignment w:val="auto"/>
              <w:rPr>
                <w:rFonts w:hint="eastAsia" w:cs="宋体"/>
                <w:color w:val="auto"/>
                <w:highlight w:val="none"/>
              </w:rPr>
            </w:pPr>
          </w:p>
        </w:tc>
        <w:tc>
          <w:tcPr>
            <w:tcW w:w="692" w:type="pct"/>
            <w:tcBorders>
              <w:top w:val="single" w:color="auto" w:sz="4" w:space="0"/>
              <w:left w:val="single" w:color="auto" w:sz="4" w:space="0"/>
              <w:bottom w:val="single" w:color="auto" w:sz="4" w:space="0"/>
              <w:right w:val="single" w:color="auto" w:sz="4" w:space="0"/>
            </w:tcBorders>
            <w:vAlign w:val="center"/>
          </w:tcPr>
          <w:p w14:paraId="5BB1C110">
            <w:pPr>
              <w:pStyle w:val="43"/>
              <w:keepNext w:val="0"/>
              <w:keepLines w:val="0"/>
              <w:pageBreakBefore w:val="0"/>
              <w:widowControl w:val="0"/>
              <w:kinsoku/>
              <w:wordWrap/>
              <w:overflowPunct/>
              <w:topLinePunct w:val="0"/>
              <w:autoSpaceDE/>
              <w:autoSpaceDN/>
              <w:bidi w:val="0"/>
              <w:adjustRightInd w:val="0"/>
              <w:snapToGrid w:val="0"/>
              <w:spacing w:before="0" w:beforeAutospacing="0" w:after="0" w:afterAutospacing="0"/>
              <w:ind w:firstLine="0" w:firstLineChars="0"/>
              <w:jc w:val="center"/>
              <w:textAlignment w:val="auto"/>
              <w:rPr>
                <w:rFonts w:hint="eastAsia" w:cs="宋体"/>
                <w:color w:val="auto"/>
                <w:highlight w:val="none"/>
              </w:rPr>
            </w:pPr>
          </w:p>
        </w:tc>
        <w:tc>
          <w:tcPr>
            <w:tcW w:w="519" w:type="pct"/>
            <w:tcBorders>
              <w:top w:val="single" w:color="auto" w:sz="4" w:space="0"/>
              <w:left w:val="single" w:color="auto" w:sz="4" w:space="0"/>
              <w:bottom w:val="single" w:color="auto" w:sz="4" w:space="0"/>
              <w:right w:val="single" w:color="auto" w:sz="4" w:space="0"/>
            </w:tcBorders>
            <w:vAlign w:val="center"/>
          </w:tcPr>
          <w:p w14:paraId="4D486066">
            <w:pPr>
              <w:pStyle w:val="43"/>
              <w:keepNext w:val="0"/>
              <w:keepLines w:val="0"/>
              <w:pageBreakBefore w:val="0"/>
              <w:widowControl w:val="0"/>
              <w:kinsoku/>
              <w:wordWrap/>
              <w:overflowPunct/>
              <w:topLinePunct w:val="0"/>
              <w:autoSpaceDE/>
              <w:autoSpaceDN/>
              <w:bidi w:val="0"/>
              <w:adjustRightInd w:val="0"/>
              <w:snapToGrid w:val="0"/>
              <w:spacing w:before="0" w:beforeAutospacing="0" w:after="0" w:afterAutospacing="0"/>
              <w:ind w:firstLine="0" w:firstLineChars="0"/>
              <w:jc w:val="center"/>
              <w:textAlignment w:val="auto"/>
              <w:rPr>
                <w:rFonts w:hint="eastAsia" w:cs="宋体"/>
                <w:color w:val="auto"/>
                <w:highlight w:val="none"/>
              </w:rPr>
            </w:pPr>
          </w:p>
        </w:tc>
      </w:tr>
      <w:tr w14:paraId="105424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485" w:type="pct"/>
            <w:tcBorders>
              <w:top w:val="single" w:color="auto" w:sz="4" w:space="0"/>
              <w:left w:val="single" w:color="auto" w:sz="4" w:space="0"/>
              <w:bottom w:val="single" w:color="auto" w:sz="4" w:space="0"/>
              <w:right w:val="single" w:color="auto" w:sz="4" w:space="0"/>
            </w:tcBorders>
            <w:vAlign w:val="center"/>
          </w:tcPr>
          <w:p w14:paraId="5D664587">
            <w:pPr>
              <w:pStyle w:val="43"/>
              <w:keepNext w:val="0"/>
              <w:keepLines w:val="0"/>
              <w:pageBreakBefore w:val="0"/>
              <w:widowControl w:val="0"/>
              <w:kinsoku/>
              <w:wordWrap/>
              <w:overflowPunct/>
              <w:topLinePunct w:val="0"/>
              <w:autoSpaceDE/>
              <w:autoSpaceDN/>
              <w:bidi w:val="0"/>
              <w:adjustRightInd w:val="0"/>
              <w:snapToGrid w:val="0"/>
              <w:spacing w:before="0" w:beforeAutospacing="0" w:after="0" w:afterAutospacing="0"/>
              <w:ind w:firstLine="0" w:firstLineChars="0"/>
              <w:jc w:val="center"/>
              <w:textAlignment w:val="auto"/>
              <w:rPr>
                <w:rFonts w:hint="eastAsia" w:cs="宋体"/>
                <w:color w:val="auto"/>
                <w:highlight w:val="none"/>
              </w:rPr>
            </w:pPr>
          </w:p>
        </w:tc>
        <w:tc>
          <w:tcPr>
            <w:tcW w:w="1063" w:type="pct"/>
            <w:tcBorders>
              <w:top w:val="single" w:color="auto" w:sz="4" w:space="0"/>
              <w:left w:val="single" w:color="auto" w:sz="4" w:space="0"/>
              <w:bottom w:val="single" w:color="auto" w:sz="4" w:space="0"/>
              <w:right w:val="single" w:color="auto" w:sz="4" w:space="0"/>
            </w:tcBorders>
            <w:vAlign w:val="center"/>
          </w:tcPr>
          <w:p w14:paraId="37862D13">
            <w:pPr>
              <w:pStyle w:val="43"/>
              <w:keepNext w:val="0"/>
              <w:keepLines w:val="0"/>
              <w:pageBreakBefore w:val="0"/>
              <w:widowControl w:val="0"/>
              <w:kinsoku/>
              <w:wordWrap/>
              <w:overflowPunct/>
              <w:topLinePunct w:val="0"/>
              <w:autoSpaceDE/>
              <w:autoSpaceDN/>
              <w:bidi w:val="0"/>
              <w:adjustRightInd w:val="0"/>
              <w:snapToGrid w:val="0"/>
              <w:spacing w:before="0" w:beforeAutospacing="0" w:after="0" w:afterAutospacing="0"/>
              <w:ind w:firstLine="0" w:firstLineChars="0"/>
              <w:jc w:val="center"/>
              <w:textAlignment w:val="auto"/>
              <w:rPr>
                <w:rFonts w:hint="eastAsia" w:cs="宋体"/>
                <w:color w:val="auto"/>
                <w:highlight w:val="none"/>
              </w:rPr>
            </w:pPr>
          </w:p>
        </w:tc>
        <w:tc>
          <w:tcPr>
            <w:tcW w:w="1096" w:type="pct"/>
            <w:tcBorders>
              <w:top w:val="single" w:color="auto" w:sz="4" w:space="0"/>
              <w:left w:val="single" w:color="auto" w:sz="4" w:space="0"/>
              <w:bottom w:val="single" w:color="auto" w:sz="4" w:space="0"/>
              <w:right w:val="single" w:color="auto" w:sz="4" w:space="0"/>
            </w:tcBorders>
            <w:vAlign w:val="center"/>
          </w:tcPr>
          <w:p w14:paraId="317C145C">
            <w:pPr>
              <w:pStyle w:val="43"/>
              <w:keepNext w:val="0"/>
              <w:keepLines w:val="0"/>
              <w:pageBreakBefore w:val="0"/>
              <w:widowControl w:val="0"/>
              <w:kinsoku/>
              <w:wordWrap/>
              <w:overflowPunct/>
              <w:topLinePunct w:val="0"/>
              <w:autoSpaceDE/>
              <w:autoSpaceDN/>
              <w:bidi w:val="0"/>
              <w:adjustRightInd w:val="0"/>
              <w:snapToGrid w:val="0"/>
              <w:spacing w:before="0" w:beforeAutospacing="0" w:after="0" w:afterAutospacing="0"/>
              <w:ind w:firstLine="0" w:firstLineChars="0"/>
              <w:jc w:val="center"/>
              <w:textAlignment w:val="auto"/>
              <w:rPr>
                <w:rFonts w:hint="eastAsia" w:cs="宋体"/>
                <w:color w:val="auto"/>
                <w:highlight w:val="none"/>
              </w:rPr>
            </w:pPr>
          </w:p>
        </w:tc>
        <w:tc>
          <w:tcPr>
            <w:tcW w:w="1145" w:type="pct"/>
            <w:tcBorders>
              <w:top w:val="single" w:color="auto" w:sz="4" w:space="0"/>
              <w:left w:val="single" w:color="auto" w:sz="4" w:space="0"/>
              <w:bottom w:val="single" w:color="auto" w:sz="4" w:space="0"/>
              <w:right w:val="single" w:color="auto" w:sz="4" w:space="0"/>
            </w:tcBorders>
            <w:vAlign w:val="center"/>
          </w:tcPr>
          <w:p w14:paraId="0025DAD4">
            <w:pPr>
              <w:pStyle w:val="43"/>
              <w:keepNext w:val="0"/>
              <w:keepLines w:val="0"/>
              <w:pageBreakBefore w:val="0"/>
              <w:widowControl w:val="0"/>
              <w:kinsoku/>
              <w:wordWrap/>
              <w:overflowPunct/>
              <w:topLinePunct w:val="0"/>
              <w:autoSpaceDE/>
              <w:autoSpaceDN/>
              <w:bidi w:val="0"/>
              <w:adjustRightInd w:val="0"/>
              <w:snapToGrid w:val="0"/>
              <w:spacing w:before="0" w:beforeAutospacing="0" w:after="0" w:afterAutospacing="0"/>
              <w:ind w:firstLine="0" w:firstLineChars="0"/>
              <w:jc w:val="center"/>
              <w:textAlignment w:val="auto"/>
              <w:rPr>
                <w:rFonts w:hint="eastAsia" w:cs="宋体"/>
                <w:color w:val="auto"/>
                <w:highlight w:val="none"/>
              </w:rPr>
            </w:pPr>
          </w:p>
        </w:tc>
        <w:tc>
          <w:tcPr>
            <w:tcW w:w="692" w:type="pct"/>
            <w:tcBorders>
              <w:top w:val="single" w:color="auto" w:sz="4" w:space="0"/>
              <w:left w:val="single" w:color="auto" w:sz="4" w:space="0"/>
              <w:bottom w:val="single" w:color="auto" w:sz="4" w:space="0"/>
              <w:right w:val="single" w:color="auto" w:sz="4" w:space="0"/>
            </w:tcBorders>
            <w:vAlign w:val="center"/>
          </w:tcPr>
          <w:p w14:paraId="47489C7B">
            <w:pPr>
              <w:pStyle w:val="43"/>
              <w:keepNext w:val="0"/>
              <w:keepLines w:val="0"/>
              <w:pageBreakBefore w:val="0"/>
              <w:widowControl w:val="0"/>
              <w:kinsoku/>
              <w:wordWrap/>
              <w:overflowPunct/>
              <w:topLinePunct w:val="0"/>
              <w:autoSpaceDE/>
              <w:autoSpaceDN/>
              <w:bidi w:val="0"/>
              <w:adjustRightInd w:val="0"/>
              <w:snapToGrid w:val="0"/>
              <w:spacing w:before="0" w:beforeAutospacing="0" w:after="0" w:afterAutospacing="0"/>
              <w:ind w:firstLine="0" w:firstLineChars="0"/>
              <w:jc w:val="center"/>
              <w:textAlignment w:val="auto"/>
              <w:rPr>
                <w:rFonts w:hint="eastAsia" w:cs="宋体"/>
                <w:color w:val="auto"/>
                <w:highlight w:val="none"/>
              </w:rPr>
            </w:pPr>
          </w:p>
        </w:tc>
        <w:tc>
          <w:tcPr>
            <w:tcW w:w="519" w:type="pct"/>
            <w:tcBorders>
              <w:top w:val="single" w:color="auto" w:sz="4" w:space="0"/>
              <w:left w:val="single" w:color="auto" w:sz="4" w:space="0"/>
              <w:bottom w:val="single" w:color="auto" w:sz="4" w:space="0"/>
              <w:right w:val="single" w:color="auto" w:sz="4" w:space="0"/>
            </w:tcBorders>
            <w:vAlign w:val="center"/>
          </w:tcPr>
          <w:p w14:paraId="47A7EDA1">
            <w:pPr>
              <w:pStyle w:val="43"/>
              <w:keepNext w:val="0"/>
              <w:keepLines w:val="0"/>
              <w:pageBreakBefore w:val="0"/>
              <w:widowControl w:val="0"/>
              <w:kinsoku/>
              <w:wordWrap/>
              <w:overflowPunct/>
              <w:topLinePunct w:val="0"/>
              <w:autoSpaceDE/>
              <w:autoSpaceDN/>
              <w:bidi w:val="0"/>
              <w:adjustRightInd w:val="0"/>
              <w:snapToGrid w:val="0"/>
              <w:spacing w:before="0" w:beforeAutospacing="0" w:after="0" w:afterAutospacing="0"/>
              <w:ind w:firstLine="0" w:firstLineChars="0"/>
              <w:jc w:val="center"/>
              <w:textAlignment w:val="auto"/>
              <w:rPr>
                <w:rFonts w:hint="eastAsia" w:cs="宋体"/>
                <w:color w:val="auto"/>
                <w:highlight w:val="none"/>
              </w:rPr>
            </w:pPr>
          </w:p>
        </w:tc>
      </w:tr>
      <w:tr w14:paraId="7BF1B8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485" w:type="pct"/>
            <w:tcBorders>
              <w:top w:val="single" w:color="auto" w:sz="4" w:space="0"/>
              <w:left w:val="single" w:color="auto" w:sz="4" w:space="0"/>
              <w:bottom w:val="single" w:color="auto" w:sz="4" w:space="0"/>
              <w:right w:val="single" w:color="auto" w:sz="4" w:space="0"/>
            </w:tcBorders>
            <w:vAlign w:val="center"/>
          </w:tcPr>
          <w:p w14:paraId="070E5151">
            <w:pPr>
              <w:pStyle w:val="43"/>
              <w:keepNext w:val="0"/>
              <w:keepLines w:val="0"/>
              <w:pageBreakBefore w:val="0"/>
              <w:widowControl w:val="0"/>
              <w:kinsoku/>
              <w:wordWrap/>
              <w:overflowPunct/>
              <w:topLinePunct w:val="0"/>
              <w:autoSpaceDE/>
              <w:autoSpaceDN/>
              <w:bidi w:val="0"/>
              <w:adjustRightInd w:val="0"/>
              <w:snapToGrid w:val="0"/>
              <w:spacing w:before="0" w:beforeAutospacing="0" w:after="0" w:afterAutospacing="0"/>
              <w:ind w:firstLine="0" w:firstLineChars="0"/>
              <w:jc w:val="center"/>
              <w:textAlignment w:val="auto"/>
              <w:rPr>
                <w:rFonts w:hint="eastAsia" w:cs="宋体"/>
                <w:color w:val="auto"/>
                <w:highlight w:val="none"/>
              </w:rPr>
            </w:pPr>
          </w:p>
        </w:tc>
        <w:tc>
          <w:tcPr>
            <w:tcW w:w="1063" w:type="pct"/>
            <w:tcBorders>
              <w:top w:val="single" w:color="auto" w:sz="4" w:space="0"/>
              <w:left w:val="single" w:color="auto" w:sz="4" w:space="0"/>
              <w:bottom w:val="single" w:color="auto" w:sz="4" w:space="0"/>
              <w:right w:val="single" w:color="auto" w:sz="4" w:space="0"/>
            </w:tcBorders>
            <w:vAlign w:val="center"/>
          </w:tcPr>
          <w:p w14:paraId="4B524A92">
            <w:pPr>
              <w:pStyle w:val="43"/>
              <w:keepNext w:val="0"/>
              <w:keepLines w:val="0"/>
              <w:pageBreakBefore w:val="0"/>
              <w:widowControl w:val="0"/>
              <w:kinsoku/>
              <w:wordWrap/>
              <w:overflowPunct/>
              <w:topLinePunct w:val="0"/>
              <w:autoSpaceDE/>
              <w:autoSpaceDN/>
              <w:bidi w:val="0"/>
              <w:adjustRightInd w:val="0"/>
              <w:snapToGrid w:val="0"/>
              <w:spacing w:before="0" w:beforeAutospacing="0" w:after="0" w:afterAutospacing="0"/>
              <w:ind w:firstLine="0" w:firstLineChars="0"/>
              <w:jc w:val="center"/>
              <w:textAlignment w:val="auto"/>
              <w:rPr>
                <w:rFonts w:hint="eastAsia" w:cs="宋体"/>
                <w:color w:val="auto"/>
                <w:highlight w:val="none"/>
              </w:rPr>
            </w:pPr>
          </w:p>
        </w:tc>
        <w:tc>
          <w:tcPr>
            <w:tcW w:w="1096" w:type="pct"/>
            <w:tcBorders>
              <w:top w:val="single" w:color="auto" w:sz="4" w:space="0"/>
              <w:left w:val="single" w:color="auto" w:sz="4" w:space="0"/>
              <w:bottom w:val="single" w:color="auto" w:sz="4" w:space="0"/>
              <w:right w:val="single" w:color="auto" w:sz="4" w:space="0"/>
            </w:tcBorders>
            <w:vAlign w:val="center"/>
          </w:tcPr>
          <w:p w14:paraId="2F039B15">
            <w:pPr>
              <w:pStyle w:val="43"/>
              <w:keepNext w:val="0"/>
              <w:keepLines w:val="0"/>
              <w:pageBreakBefore w:val="0"/>
              <w:widowControl w:val="0"/>
              <w:kinsoku/>
              <w:wordWrap/>
              <w:overflowPunct/>
              <w:topLinePunct w:val="0"/>
              <w:autoSpaceDE/>
              <w:autoSpaceDN/>
              <w:bidi w:val="0"/>
              <w:adjustRightInd w:val="0"/>
              <w:snapToGrid w:val="0"/>
              <w:spacing w:before="0" w:beforeAutospacing="0" w:after="0" w:afterAutospacing="0"/>
              <w:ind w:firstLine="0" w:firstLineChars="0"/>
              <w:jc w:val="center"/>
              <w:textAlignment w:val="auto"/>
              <w:rPr>
                <w:rFonts w:hint="eastAsia" w:cs="宋体"/>
                <w:color w:val="auto"/>
                <w:highlight w:val="none"/>
              </w:rPr>
            </w:pPr>
          </w:p>
        </w:tc>
        <w:tc>
          <w:tcPr>
            <w:tcW w:w="1145" w:type="pct"/>
            <w:tcBorders>
              <w:top w:val="single" w:color="auto" w:sz="4" w:space="0"/>
              <w:left w:val="single" w:color="auto" w:sz="4" w:space="0"/>
              <w:bottom w:val="single" w:color="auto" w:sz="4" w:space="0"/>
              <w:right w:val="single" w:color="auto" w:sz="4" w:space="0"/>
            </w:tcBorders>
            <w:vAlign w:val="center"/>
          </w:tcPr>
          <w:p w14:paraId="38613884">
            <w:pPr>
              <w:pStyle w:val="43"/>
              <w:keepNext w:val="0"/>
              <w:keepLines w:val="0"/>
              <w:pageBreakBefore w:val="0"/>
              <w:widowControl w:val="0"/>
              <w:kinsoku/>
              <w:wordWrap/>
              <w:overflowPunct/>
              <w:topLinePunct w:val="0"/>
              <w:autoSpaceDE/>
              <w:autoSpaceDN/>
              <w:bidi w:val="0"/>
              <w:adjustRightInd w:val="0"/>
              <w:snapToGrid w:val="0"/>
              <w:spacing w:before="0" w:beforeAutospacing="0" w:after="0" w:afterAutospacing="0"/>
              <w:ind w:firstLine="0" w:firstLineChars="0"/>
              <w:jc w:val="center"/>
              <w:textAlignment w:val="auto"/>
              <w:rPr>
                <w:rFonts w:hint="eastAsia" w:cs="宋体"/>
                <w:color w:val="auto"/>
                <w:highlight w:val="none"/>
              </w:rPr>
            </w:pPr>
          </w:p>
        </w:tc>
        <w:tc>
          <w:tcPr>
            <w:tcW w:w="692" w:type="pct"/>
            <w:tcBorders>
              <w:top w:val="single" w:color="auto" w:sz="4" w:space="0"/>
              <w:left w:val="single" w:color="auto" w:sz="4" w:space="0"/>
              <w:bottom w:val="single" w:color="auto" w:sz="4" w:space="0"/>
              <w:right w:val="single" w:color="auto" w:sz="4" w:space="0"/>
            </w:tcBorders>
            <w:vAlign w:val="center"/>
          </w:tcPr>
          <w:p w14:paraId="04C1E929">
            <w:pPr>
              <w:pStyle w:val="43"/>
              <w:keepNext w:val="0"/>
              <w:keepLines w:val="0"/>
              <w:pageBreakBefore w:val="0"/>
              <w:widowControl w:val="0"/>
              <w:kinsoku/>
              <w:wordWrap/>
              <w:overflowPunct/>
              <w:topLinePunct w:val="0"/>
              <w:autoSpaceDE/>
              <w:autoSpaceDN/>
              <w:bidi w:val="0"/>
              <w:adjustRightInd w:val="0"/>
              <w:snapToGrid w:val="0"/>
              <w:spacing w:before="0" w:beforeAutospacing="0" w:after="0" w:afterAutospacing="0"/>
              <w:ind w:firstLine="0" w:firstLineChars="0"/>
              <w:jc w:val="center"/>
              <w:textAlignment w:val="auto"/>
              <w:rPr>
                <w:rFonts w:hint="eastAsia" w:cs="宋体"/>
                <w:color w:val="auto"/>
                <w:highlight w:val="none"/>
              </w:rPr>
            </w:pPr>
          </w:p>
        </w:tc>
        <w:tc>
          <w:tcPr>
            <w:tcW w:w="519" w:type="pct"/>
            <w:tcBorders>
              <w:top w:val="single" w:color="auto" w:sz="4" w:space="0"/>
              <w:left w:val="single" w:color="auto" w:sz="4" w:space="0"/>
              <w:bottom w:val="single" w:color="auto" w:sz="4" w:space="0"/>
              <w:right w:val="single" w:color="auto" w:sz="4" w:space="0"/>
            </w:tcBorders>
            <w:vAlign w:val="center"/>
          </w:tcPr>
          <w:p w14:paraId="1E1A8F21">
            <w:pPr>
              <w:pStyle w:val="43"/>
              <w:keepNext w:val="0"/>
              <w:keepLines w:val="0"/>
              <w:pageBreakBefore w:val="0"/>
              <w:widowControl w:val="0"/>
              <w:kinsoku/>
              <w:wordWrap/>
              <w:overflowPunct/>
              <w:topLinePunct w:val="0"/>
              <w:autoSpaceDE/>
              <w:autoSpaceDN/>
              <w:bidi w:val="0"/>
              <w:adjustRightInd w:val="0"/>
              <w:snapToGrid w:val="0"/>
              <w:spacing w:before="0" w:beforeAutospacing="0" w:after="0" w:afterAutospacing="0"/>
              <w:ind w:firstLine="0" w:firstLineChars="0"/>
              <w:jc w:val="center"/>
              <w:textAlignment w:val="auto"/>
              <w:rPr>
                <w:rFonts w:hint="eastAsia" w:cs="宋体"/>
                <w:color w:val="auto"/>
                <w:highlight w:val="none"/>
              </w:rPr>
            </w:pPr>
          </w:p>
        </w:tc>
      </w:tr>
      <w:tr w14:paraId="64208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485" w:type="pct"/>
            <w:tcBorders>
              <w:top w:val="single" w:color="auto" w:sz="4" w:space="0"/>
              <w:left w:val="single" w:color="auto" w:sz="4" w:space="0"/>
              <w:bottom w:val="single" w:color="auto" w:sz="4" w:space="0"/>
              <w:right w:val="single" w:color="auto" w:sz="4" w:space="0"/>
            </w:tcBorders>
            <w:vAlign w:val="center"/>
          </w:tcPr>
          <w:p w14:paraId="0341278E">
            <w:pPr>
              <w:pStyle w:val="43"/>
              <w:keepNext w:val="0"/>
              <w:keepLines w:val="0"/>
              <w:pageBreakBefore w:val="0"/>
              <w:widowControl w:val="0"/>
              <w:kinsoku/>
              <w:wordWrap/>
              <w:overflowPunct/>
              <w:topLinePunct w:val="0"/>
              <w:autoSpaceDE/>
              <w:autoSpaceDN/>
              <w:bidi w:val="0"/>
              <w:adjustRightInd w:val="0"/>
              <w:snapToGrid w:val="0"/>
              <w:spacing w:before="0" w:beforeAutospacing="0" w:after="0" w:afterAutospacing="0"/>
              <w:ind w:firstLine="0" w:firstLineChars="0"/>
              <w:jc w:val="center"/>
              <w:textAlignment w:val="auto"/>
              <w:rPr>
                <w:rFonts w:hint="eastAsia" w:cs="宋体"/>
                <w:color w:val="auto"/>
                <w:highlight w:val="none"/>
              </w:rPr>
            </w:pPr>
          </w:p>
        </w:tc>
        <w:tc>
          <w:tcPr>
            <w:tcW w:w="1063" w:type="pct"/>
            <w:tcBorders>
              <w:top w:val="single" w:color="auto" w:sz="4" w:space="0"/>
              <w:left w:val="single" w:color="auto" w:sz="4" w:space="0"/>
              <w:bottom w:val="single" w:color="auto" w:sz="4" w:space="0"/>
              <w:right w:val="single" w:color="auto" w:sz="4" w:space="0"/>
            </w:tcBorders>
            <w:vAlign w:val="center"/>
          </w:tcPr>
          <w:p w14:paraId="759726A8">
            <w:pPr>
              <w:pStyle w:val="43"/>
              <w:keepNext w:val="0"/>
              <w:keepLines w:val="0"/>
              <w:pageBreakBefore w:val="0"/>
              <w:widowControl w:val="0"/>
              <w:kinsoku/>
              <w:wordWrap/>
              <w:overflowPunct/>
              <w:topLinePunct w:val="0"/>
              <w:autoSpaceDE/>
              <w:autoSpaceDN/>
              <w:bidi w:val="0"/>
              <w:adjustRightInd w:val="0"/>
              <w:snapToGrid w:val="0"/>
              <w:spacing w:before="0" w:beforeAutospacing="0" w:after="0" w:afterAutospacing="0"/>
              <w:ind w:firstLine="0" w:firstLineChars="0"/>
              <w:jc w:val="center"/>
              <w:textAlignment w:val="auto"/>
              <w:rPr>
                <w:rFonts w:hint="eastAsia" w:cs="宋体"/>
                <w:color w:val="auto"/>
                <w:highlight w:val="none"/>
              </w:rPr>
            </w:pPr>
          </w:p>
        </w:tc>
        <w:tc>
          <w:tcPr>
            <w:tcW w:w="1096" w:type="pct"/>
            <w:tcBorders>
              <w:top w:val="single" w:color="auto" w:sz="4" w:space="0"/>
              <w:left w:val="single" w:color="auto" w:sz="4" w:space="0"/>
              <w:bottom w:val="single" w:color="auto" w:sz="4" w:space="0"/>
              <w:right w:val="single" w:color="auto" w:sz="4" w:space="0"/>
            </w:tcBorders>
            <w:vAlign w:val="center"/>
          </w:tcPr>
          <w:p w14:paraId="42B30474">
            <w:pPr>
              <w:pStyle w:val="43"/>
              <w:keepNext w:val="0"/>
              <w:keepLines w:val="0"/>
              <w:pageBreakBefore w:val="0"/>
              <w:widowControl w:val="0"/>
              <w:kinsoku/>
              <w:wordWrap/>
              <w:overflowPunct/>
              <w:topLinePunct w:val="0"/>
              <w:autoSpaceDE/>
              <w:autoSpaceDN/>
              <w:bidi w:val="0"/>
              <w:adjustRightInd w:val="0"/>
              <w:snapToGrid w:val="0"/>
              <w:spacing w:before="0" w:beforeAutospacing="0" w:after="0" w:afterAutospacing="0"/>
              <w:ind w:firstLine="0" w:firstLineChars="0"/>
              <w:jc w:val="center"/>
              <w:textAlignment w:val="auto"/>
              <w:rPr>
                <w:rFonts w:hint="eastAsia" w:cs="宋体"/>
                <w:color w:val="auto"/>
                <w:highlight w:val="none"/>
              </w:rPr>
            </w:pPr>
          </w:p>
        </w:tc>
        <w:tc>
          <w:tcPr>
            <w:tcW w:w="1145" w:type="pct"/>
            <w:tcBorders>
              <w:top w:val="single" w:color="auto" w:sz="4" w:space="0"/>
              <w:left w:val="single" w:color="auto" w:sz="4" w:space="0"/>
              <w:bottom w:val="single" w:color="auto" w:sz="4" w:space="0"/>
              <w:right w:val="single" w:color="auto" w:sz="4" w:space="0"/>
            </w:tcBorders>
            <w:vAlign w:val="center"/>
          </w:tcPr>
          <w:p w14:paraId="68BEA5A3">
            <w:pPr>
              <w:pStyle w:val="43"/>
              <w:keepNext w:val="0"/>
              <w:keepLines w:val="0"/>
              <w:pageBreakBefore w:val="0"/>
              <w:widowControl w:val="0"/>
              <w:kinsoku/>
              <w:wordWrap/>
              <w:overflowPunct/>
              <w:topLinePunct w:val="0"/>
              <w:autoSpaceDE/>
              <w:autoSpaceDN/>
              <w:bidi w:val="0"/>
              <w:adjustRightInd w:val="0"/>
              <w:snapToGrid w:val="0"/>
              <w:spacing w:before="0" w:beforeAutospacing="0" w:after="0" w:afterAutospacing="0"/>
              <w:ind w:firstLine="0" w:firstLineChars="0"/>
              <w:jc w:val="center"/>
              <w:textAlignment w:val="auto"/>
              <w:rPr>
                <w:rFonts w:hint="eastAsia" w:cs="宋体"/>
                <w:color w:val="auto"/>
                <w:highlight w:val="none"/>
              </w:rPr>
            </w:pPr>
          </w:p>
        </w:tc>
        <w:tc>
          <w:tcPr>
            <w:tcW w:w="692" w:type="pct"/>
            <w:tcBorders>
              <w:top w:val="single" w:color="auto" w:sz="4" w:space="0"/>
              <w:left w:val="single" w:color="auto" w:sz="4" w:space="0"/>
              <w:bottom w:val="single" w:color="auto" w:sz="4" w:space="0"/>
              <w:right w:val="single" w:color="auto" w:sz="4" w:space="0"/>
            </w:tcBorders>
            <w:vAlign w:val="center"/>
          </w:tcPr>
          <w:p w14:paraId="74E553B3">
            <w:pPr>
              <w:pStyle w:val="43"/>
              <w:keepNext w:val="0"/>
              <w:keepLines w:val="0"/>
              <w:pageBreakBefore w:val="0"/>
              <w:widowControl w:val="0"/>
              <w:kinsoku/>
              <w:wordWrap/>
              <w:overflowPunct/>
              <w:topLinePunct w:val="0"/>
              <w:autoSpaceDE/>
              <w:autoSpaceDN/>
              <w:bidi w:val="0"/>
              <w:adjustRightInd w:val="0"/>
              <w:snapToGrid w:val="0"/>
              <w:spacing w:before="0" w:beforeAutospacing="0" w:after="0" w:afterAutospacing="0"/>
              <w:ind w:firstLine="0" w:firstLineChars="0"/>
              <w:jc w:val="center"/>
              <w:textAlignment w:val="auto"/>
              <w:rPr>
                <w:rFonts w:hint="eastAsia" w:cs="宋体"/>
                <w:color w:val="auto"/>
                <w:highlight w:val="none"/>
              </w:rPr>
            </w:pPr>
          </w:p>
        </w:tc>
        <w:tc>
          <w:tcPr>
            <w:tcW w:w="519" w:type="pct"/>
            <w:tcBorders>
              <w:top w:val="single" w:color="auto" w:sz="4" w:space="0"/>
              <w:left w:val="single" w:color="auto" w:sz="4" w:space="0"/>
              <w:bottom w:val="single" w:color="auto" w:sz="4" w:space="0"/>
              <w:right w:val="single" w:color="auto" w:sz="4" w:space="0"/>
            </w:tcBorders>
            <w:vAlign w:val="center"/>
          </w:tcPr>
          <w:p w14:paraId="1CC8F30A">
            <w:pPr>
              <w:pStyle w:val="43"/>
              <w:keepNext w:val="0"/>
              <w:keepLines w:val="0"/>
              <w:pageBreakBefore w:val="0"/>
              <w:widowControl w:val="0"/>
              <w:kinsoku/>
              <w:wordWrap/>
              <w:overflowPunct/>
              <w:topLinePunct w:val="0"/>
              <w:autoSpaceDE/>
              <w:autoSpaceDN/>
              <w:bidi w:val="0"/>
              <w:adjustRightInd w:val="0"/>
              <w:snapToGrid w:val="0"/>
              <w:spacing w:before="0" w:beforeAutospacing="0" w:after="0" w:afterAutospacing="0"/>
              <w:ind w:firstLine="0" w:firstLineChars="0"/>
              <w:jc w:val="center"/>
              <w:textAlignment w:val="auto"/>
              <w:rPr>
                <w:rFonts w:hint="eastAsia" w:cs="宋体"/>
                <w:color w:val="auto"/>
                <w:highlight w:val="none"/>
              </w:rPr>
            </w:pPr>
          </w:p>
        </w:tc>
      </w:tr>
    </w:tbl>
    <w:p w14:paraId="4EFEBE91">
      <w:pPr>
        <w:pStyle w:val="43"/>
        <w:widowControl w:val="0"/>
        <w:spacing w:before="0" w:beforeAutospacing="0" w:after="0" w:afterAutospacing="0"/>
        <w:rPr>
          <w:rFonts w:hint="eastAsia" w:cs="宋体"/>
          <w:color w:val="auto"/>
          <w:highlight w:val="none"/>
        </w:rPr>
      </w:pPr>
      <w:r>
        <w:rPr>
          <w:rFonts w:hint="eastAsia" w:cs="宋体"/>
          <w:color w:val="auto"/>
          <w:highlight w:val="none"/>
        </w:rPr>
        <w:t>说明：</w:t>
      </w:r>
    </w:p>
    <w:p w14:paraId="1DE18D2E">
      <w:pPr>
        <w:pStyle w:val="43"/>
        <w:widowControl w:val="0"/>
        <w:spacing w:before="0" w:beforeAutospacing="0" w:after="0" w:afterAutospacing="0" w:line="360" w:lineRule="auto"/>
        <w:ind w:firstLine="480" w:firstLineChars="200"/>
        <w:jc w:val="both"/>
        <w:rPr>
          <w:rFonts w:hint="eastAsia" w:cs="宋体"/>
          <w:color w:val="auto"/>
          <w:highlight w:val="none"/>
        </w:rPr>
      </w:pPr>
      <w:r>
        <w:rPr>
          <w:rFonts w:hint="eastAsia" w:cs="宋体"/>
          <w:color w:val="auto"/>
          <w:highlight w:val="none"/>
        </w:rPr>
        <w:t>1.本表只填写磋商响应文件中与磋商文件有偏离（包括正偏离和负偏离）的内容，磋商响应文件中商务响应与磋商文件要求完全一致的，不用在此表中列出，但必须提交空白表。</w:t>
      </w:r>
    </w:p>
    <w:p w14:paraId="70F1E2A4">
      <w:pPr>
        <w:pStyle w:val="43"/>
        <w:widowControl w:val="0"/>
        <w:spacing w:before="0" w:beforeAutospacing="0" w:after="0" w:afterAutospacing="0" w:line="360" w:lineRule="auto"/>
        <w:ind w:firstLine="480" w:firstLineChars="200"/>
        <w:rPr>
          <w:rFonts w:hint="eastAsia" w:cs="宋体"/>
          <w:color w:val="auto"/>
          <w:highlight w:val="none"/>
        </w:rPr>
      </w:pPr>
      <w:r>
        <w:rPr>
          <w:rFonts w:hint="eastAsia" w:cs="宋体"/>
          <w:color w:val="auto"/>
          <w:highlight w:val="none"/>
        </w:rPr>
        <w:t>2.供应商必须据实填写，不得虚假响应，否则将取消其磋商或成交资格，并按有关规定进</w:t>
      </w:r>
      <w:r>
        <w:rPr>
          <w:rFonts w:hint="eastAsia" w:cs="宋体"/>
          <w:color w:val="auto"/>
          <w:highlight w:val="none"/>
          <w:lang w:val="en-US" w:eastAsia="zh-CN"/>
        </w:rPr>
        <w:t>行</w:t>
      </w:r>
      <w:r>
        <w:rPr>
          <w:rFonts w:hint="eastAsia" w:cs="宋体"/>
          <w:color w:val="auto"/>
          <w:highlight w:val="none"/>
        </w:rPr>
        <w:t>处罚。</w:t>
      </w:r>
    </w:p>
    <w:p w14:paraId="0A90B1FB">
      <w:pPr>
        <w:pStyle w:val="43"/>
        <w:widowControl w:val="0"/>
        <w:spacing w:before="0" w:beforeAutospacing="0" w:after="0" w:afterAutospacing="0"/>
        <w:ind w:firstLine="480" w:firstLineChars="200"/>
        <w:jc w:val="center"/>
        <w:rPr>
          <w:rFonts w:hint="eastAsia" w:cs="宋体"/>
          <w:color w:val="auto"/>
          <w:highlight w:val="none"/>
        </w:rPr>
      </w:pPr>
    </w:p>
    <w:p w14:paraId="6C089C29">
      <w:pPr>
        <w:pStyle w:val="43"/>
        <w:widowControl w:val="0"/>
        <w:spacing w:before="0" w:beforeAutospacing="0" w:after="0" w:afterAutospacing="0" w:line="600" w:lineRule="auto"/>
        <w:ind w:firstLine="480" w:firstLineChars="200"/>
        <w:rPr>
          <w:rFonts w:hint="eastAsia" w:cs="宋体"/>
          <w:color w:val="auto"/>
          <w:highlight w:val="none"/>
        </w:rPr>
      </w:pPr>
      <w:r>
        <w:rPr>
          <w:rFonts w:hint="eastAsia" w:cs="宋体"/>
          <w:color w:val="auto"/>
          <w:highlight w:val="none"/>
        </w:rPr>
        <w:t>供应商名称：</w:t>
      </w:r>
      <w:r>
        <w:rPr>
          <w:rFonts w:hint="eastAsia" w:cs="宋体"/>
          <w:color w:val="auto"/>
          <w:highlight w:val="none"/>
          <w:u w:val="single"/>
        </w:rPr>
        <w:t xml:space="preserve">                     </w:t>
      </w:r>
      <w:r>
        <w:rPr>
          <w:rFonts w:hint="eastAsia" w:cs="宋体"/>
          <w:color w:val="auto"/>
          <w:highlight w:val="none"/>
        </w:rPr>
        <w:t>（单位公章）</w:t>
      </w:r>
    </w:p>
    <w:p w14:paraId="5594D5E7">
      <w:pPr>
        <w:pStyle w:val="43"/>
        <w:widowControl w:val="0"/>
        <w:spacing w:before="0" w:beforeAutospacing="0" w:after="0" w:afterAutospacing="0" w:line="600" w:lineRule="auto"/>
        <w:ind w:firstLine="496" w:firstLineChars="200"/>
        <w:rPr>
          <w:rFonts w:hint="eastAsia" w:cs="仿宋" w:asciiTheme="minorEastAsia" w:hAnsiTheme="minorEastAsia" w:eastAsiaTheme="minorEastAsia"/>
          <w:b/>
          <w:color w:val="auto"/>
          <w:kern w:val="2"/>
          <w:sz w:val="28"/>
          <w:szCs w:val="28"/>
          <w:highlight w:val="none"/>
        </w:rPr>
      </w:pPr>
      <w:r>
        <w:rPr>
          <w:rFonts w:hint="eastAsia" w:cs="仿宋" w:asciiTheme="minorEastAsia" w:hAnsiTheme="minorEastAsia" w:eastAsiaTheme="minorEastAsia"/>
          <w:color w:val="auto"/>
          <w:spacing w:val="4"/>
          <w:highlight w:val="none"/>
        </w:rPr>
        <w:t>法定代表人或被授权人</w:t>
      </w:r>
      <w:r>
        <w:rPr>
          <w:rFonts w:hint="eastAsia" w:cs="宋体"/>
          <w:color w:val="auto"/>
          <w:highlight w:val="none"/>
        </w:rPr>
        <w:t>：</w:t>
      </w:r>
      <w:r>
        <w:rPr>
          <w:rFonts w:hint="eastAsia" w:cs="宋体"/>
          <w:color w:val="auto"/>
          <w:highlight w:val="none"/>
          <w:u w:val="single"/>
        </w:rPr>
        <w:t xml:space="preserve">  </w:t>
      </w:r>
      <w:r>
        <w:rPr>
          <w:rFonts w:cs="宋体"/>
          <w:color w:val="auto"/>
          <w:highlight w:val="none"/>
          <w:u w:val="single"/>
        </w:rPr>
        <w:t xml:space="preserve">    </w:t>
      </w:r>
      <w:r>
        <w:rPr>
          <w:rFonts w:hint="eastAsia" w:cs="宋体"/>
          <w:color w:val="auto"/>
          <w:highlight w:val="none"/>
          <w:u w:val="single"/>
        </w:rPr>
        <w:t xml:space="preserve">    </w:t>
      </w:r>
      <w:r>
        <w:rPr>
          <w:rFonts w:hint="eastAsia" w:cs="宋体"/>
          <w:color w:val="auto"/>
          <w:highlight w:val="none"/>
        </w:rPr>
        <w:t>（签字或盖章）</w:t>
      </w:r>
    </w:p>
    <w:p w14:paraId="40CC4DD6">
      <w:pPr>
        <w:spacing w:line="600" w:lineRule="auto"/>
        <w:ind w:right="617" w:rightChars="257" w:firstLine="480" w:firstLineChars="200"/>
        <w:rPr>
          <w:b/>
          <w:bCs/>
          <w:color w:val="auto"/>
          <w:sz w:val="32"/>
          <w:szCs w:val="32"/>
          <w:highlight w:val="none"/>
        </w:rPr>
      </w:pPr>
      <w:r>
        <w:rPr>
          <w:rFonts w:hint="eastAsia" w:hAnsi="宋体" w:cs="宋体"/>
          <w:color w:val="auto"/>
          <w:highlight w:val="none"/>
        </w:rPr>
        <w:t>日    期：</w:t>
      </w:r>
      <w:bookmarkStart w:id="128" w:name="_Toc31623"/>
      <w:r>
        <w:rPr>
          <w:b/>
          <w:bCs/>
          <w:color w:val="auto"/>
          <w:sz w:val="32"/>
          <w:szCs w:val="32"/>
          <w:highlight w:val="none"/>
        </w:rPr>
        <w:br w:type="page"/>
      </w:r>
    </w:p>
    <w:p w14:paraId="04680513">
      <w:pPr>
        <w:spacing w:line="360" w:lineRule="auto"/>
        <w:jc w:val="center"/>
        <w:outlineLvl w:val="1"/>
        <w:rPr>
          <w:b/>
          <w:bCs/>
          <w:color w:val="auto"/>
          <w:sz w:val="30"/>
          <w:szCs w:val="30"/>
          <w:highlight w:val="none"/>
        </w:rPr>
      </w:pPr>
      <w:r>
        <w:rPr>
          <w:rFonts w:hint="eastAsia"/>
          <w:b/>
          <w:bCs/>
          <w:color w:val="auto"/>
          <w:sz w:val="32"/>
          <w:szCs w:val="32"/>
          <w:highlight w:val="none"/>
          <w:lang w:eastAsia="zh-CN"/>
        </w:rPr>
        <w:t>六</w:t>
      </w:r>
      <w:r>
        <w:rPr>
          <w:rFonts w:hint="eastAsia"/>
          <w:b/>
          <w:bCs/>
          <w:color w:val="auto"/>
          <w:sz w:val="32"/>
          <w:szCs w:val="32"/>
          <w:highlight w:val="none"/>
        </w:rPr>
        <w:t>、供应商承诺书</w:t>
      </w:r>
    </w:p>
    <w:p w14:paraId="25976CBE">
      <w:pPr>
        <w:spacing w:line="360" w:lineRule="auto"/>
        <w:jc w:val="center"/>
        <w:outlineLvl w:val="2"/>
        <w:rPr>
          <w:b/>
          <w:bCs/>
          <w:color w:val="auto"/>
          <w:sz w:val="30"/>
          <w:szCs w:val="30"/>
          <w:highlight w:val="none"/>
        </w:rPr>
      </w:pPr>
      <w:r>
        <w:rPr>
          <w:b/>
          <w:bCs/>
          <w:color w:val="auto"/>
          <w:sz w:val="30"/>
          <w:szCs w:val="30"/>
          <w:highlight w:val="none"/>
        </w:rPr>
        <w:t>陕西省政府采购供应商拒绝政府采购领域商业贿赂承诺书</w:t>
      </w:r>
      <w:bookmarkEnd w:id="128"/>
    </w:p>
    <w:p w14:paraId="3D336966">
      <w:pPr>
        <w:spacing w:line="540" w:lineRule="exact"/>
        <w:ind w:firstLine="480" w:firstLineChars="200"/>
        <w:jc w:val="left"/>
        <w:rPr>
          <w:rFonts w:hint="eastAsia" w:hAnsi="宋体" w:cs="宋体"/>
          <w:color w:val="auto"/>
          <w:szCs w:val="24"/>
          <w:highlight w:val="none"/>
        </w:rPr>
      </w:pPr>
      <w:r>
        <w:rPr>
          <w:rFonts w:hAnsi="宋体" w:cs="宋体"/>
          <w:color w:val="auto"/>
          <w:szCs w:val="24"/>
          <w:highlight w:val="none"/>
        </w:rPr>
        <w:t>为响应党中央、国务院关于治理政府采购领域商业贿赂行为的号召，我公司在此庄严承诺：</w:t>
      </w:r>
    </w:p>
    <w:p w14:paraId="785F469E">
      <w:pPr>
        <w:spacing w:line="540" w:lineRule="exact"/>
        <w:ind w:firstLine="480" w:firstLineChars="200"/>
        <w:jc w:val="left"/>
        <w:rPr>
          <w:rFonts w:hint="eastAsia" w:hAnsi="宋体" w:cs="宋体"/>
          <w:color w:val="auto"/>
          <w:szCs w:val="24"/>
          <w:highlight w:val="none"/>
        </w:rPr>
      </w:pPr>
      <w:r>
        <w:rPr>
          <w:rFonts w:hAnsi="宋体" w:cs="宋体"/>
          <w:color w:val="auto"/>
          <w:szCs w:val="24"/>
          <w:highlight w:val="none"/>
        </w:rPr>
        <w:t>1</w:t>
      </w:r>
      <w:r>
        <w:rPr>
          <w:rFonts w:hint="eastAsia" w:hAnsi="宋体" w:cs="宋体"/>
          <w:color w:val="auto"/>
          <w:szCs w:val="24"/>
          <w:highlight w:val="none"/>
        </w:rPr>
        <w:t>.</w:t>
      </w:r>
      <w:r>
        <w:rPr>
          <w:rFonts w:hAnsi="宋体" w:cs="宋体"/>
          <w:color w:val="auto"/>
          <w:szCs w:val="24"/>
          <w:highlight w:val="none"/>
        </w:rPr>
        <w:t>在参与政府采购活动中遵纪守法、诚信经营、公平竞标。</w:t>
      </w:r>
    </w:p>
    <w:p w14:paraId="7A25100F">
      <w:pPr>
        <w:spacing w:line="540" w:lineRule="exact"/>
        <w:ind w:firstLine="480" w:firstLineChars="200"/>
        <w:jc w:val="left"/>
        <w:rPr>
          <w:rFonts w:hint="eastAsia" w:hAnsi="宋体" w:cs="宋体"/>
          <w:color w:val="auto"/>
          <w:szCs w:val="24"/>
          <w:highlight w:val="none"/>
        </w:rPr>
      </w:pPr>
      <w:r>
        <w:rPr>
          <w:rFonts w:hAnsi="宋体" w:cs="宋体"/>
          <w:color w:val="auto"/>
          <w:szCs w:val="24"/>
          <w:highlight w:val="none"/>
        </w:rPr>
        <w:t>2</w:t>
      </w:r>
      <w:r>
        <w:rPr>
          <w:rFonts w:hint="eastAsia" w:hAnsi="宋体" w:cs="宋体"/>
          <w:color w:val="auto"/>
          <w:szCs w:val="24"/>
          <w:highlight w:val="none"/>
        </w:rPr>
        <w:t>.</w:t>
      </w:r>
      <w:r>
        <w:rPr>
          <w:rFonts w:hAnsi="宋体" w:cs="宋体"/>
          <w:color w:val="auto"/>
          <w:szCs w:val="24"/>
          <w:highlight w:val="none"/>
        </w:rPr>
        <w:t>不向政府采购人、采购代理机构和政府采购评审专家进行任何形式的商业贿赂以谋取交易机会。</w:t>
      </w:r>
    </w:p>
    <w:p w14:paraId="7AE6089B">
      <w:pPr>
        <w:spacing w:line="540" w:lineRule="exact"/>
        <w:ind w:firstLine="480" w:firstLineChars="200"/>
        <w:jc w:val="left"/>
        <w:rPr>
          <w:rFonts w:hint="eastAsia" w:hAnsi="宋体" w:cs="宋体"/>
          <w:color w:val="auto"/>
          <w:szCs w:val="24"/>
          <w:highlight w:val="none"/>
        </w:rPr>
      </w:pPr>
      <w:r>
        <w:rPr>
          <w:rFonts w:hAnsi="宋体" w:cs="宋体"/>
          <w:color w:val="auto"/>
          <w:szCs w:val="24"/>
          <w:highlight w:val="none"/>
        </w:rPr>
        <w:t>3</w:t>
      </w:r>
      <w:r>
        <w:rPr>
          <w:rFonts w:hint="eastAsia" w:hAnsi="宋体" w:cs="宋体"/>
          <w:color w:val="auto"/>
          <w:szCs w:val="24"/>
          <w:highlight w:val="none"/>
        </w:rPr>
        <w:t>.</w:t>
      </w:r>
      <w:r>
        <w:rPr>
          <w:rFonts w:hAnsi="宋体" w:cs="宋体"/>
          <w:color w:val="auto"/>
          <w:szCs w:val="24"/>
          <w:highlight w:val="none"/>
        </w:rPr>
        <w:t>不向政府采购代理机构和采购人提供虚假资质文件或采用虚假应标方式参与政府采购市场竞争并谋取</w:t>
      </w:r>
      <w:r>
        <w:rPr>
          <w:rFonts w:hint="eastAsia" w:hAnsi="宋体" w:cs="宋体"/>
          <w:color w:val="auto"/>
          <w:szCs w:val="24"/>
          <w:highlight w:val="none"/>
        </w:rPr>
        <w:t>成交</w:t>
      </w:r>
      <w:r>
        <w:rPr>
          <w:rFonts w:hAnsi="宋体" w:cs="宋体"/>
          <w:color w:val="auto"/>
          <w:szCs w:val="24"/>
          <w:highlight w:val="none"/>
        </w:rPr>
        <w:t>、成交。</w:t>
      </w:r>
    </w:p>
    <w:p w14:paraId="65E51792">
      <w:pPr>
        <w:spacing w:line="540" w:lineRule="exact"/>
        <w:ind w:firstLine="480" w:firstLineChars="200"/>
        <w:jc w:val="left"/>
        <w:rPr>
          <w:rFonts w:hint="eastAsia" w:hAnsi="宋体" w:cs="宋体"/>
          <w:color w:val="auto"/>
          <w:szCs w:val="24"/>
          <w:highlight w:val="none"/>
        </w:rPr>
      </w:pPr>
      <w:r>
        <w:rPr>
          <w:rFonts w:hAnsi="宋体" w:cs="宋体"/>
          <w:color w:val="auto"/>
          <w:szCs w:val="24"/>
          <w:highlight w:val="none"/>
        </w:rPr>
        <w:t>4</w:t>
      </w:r>
      <w:r>
        <w:rPr>
          <w:rFonts w:hint="eastAsia" w:hAnsi="宋体" w:cs="宋体"/>
          <w:color w:val="auto"/>
          <w:szCs w:val="24"/>
          <w:highlight w:val="none"/>
        </w:rPr>
        <w:t>.</w:t>
      </w:r>
      <w:r>
        <w:rPr>
          <w:rFonts w:hAnsi="宋体" w:cs="宋体"/>
          <w:color w:val="auto"/>
          <w:szCs w:val="24"/>
          <w:highlight w:val="none"/>
        </w:rPr>
        <w:t>不采取“围标、陪标”等商业欺诈手段获得政府采购定单。</w:t>
      </w:r>
    </w:p>
    <w:p w14:paraId="20C62038">
      <w:pPr>
        <w:spacing w:line="540" w:lineRule="exact"/>
        <w:ind w:firstLine="480" w:firstLineChars="200"/>
        <w:jc w:val="left"/>
        <w:rPr>
          <w:rFonts w:hint="eastAsia" w:hAnsi="宋体" w:cs="宋体"/>
          <w:color w:val="auto"/>
          <w:szCs w:val="24"/>
          <w:highlight w:val="none"/>
        </w:rPr>
      </w:pPr>
      <w:r>
        <w:rPr>
          <w:rFonts w:hAnsi="宋体" w:cs="宋体"/>
          <w:color w:val="auto"/>
          <w:szCs w:val="24"/>
          <w:highlight w:val="none"/>
        </w:rPr>
        <w:t>5</w:t>
      </w:r>
      <w:r>
        <w:rPr>
          <w:rFonts w:hint="eastAsia" w:hAnsi="宋体" w:cs="宋体"/>
          <w:color w:val="auto"/>
          <w:szCs w:val="24"/>
          <w:highlight w:val="none"/>
        </w:rPr>
        <w:t>.</w:t>
      </w:r>
      <w:r>
        <w:rPr>
          <w:rFonts w:hAnsi="宋体" w:cs="宋体"/>
          <w:color w:val="auto"/>
          <w:szCs w:val="24"/>
          <w:highlight w:val="none"/>
        </w:rPr>
        <w:t>不采取不正当手段诋毁、排挤其他供应商。</w:t>
      </w:r>
    </w:p>
    <w:p w14:paraId="6BCED890">
      <w:pPr>
        <w:spacing w:line="540" w:lineRule="exact"/>
        <w:ind w:firstLine="480" w:firstLineChars="200"/>
        <w:jc w:val="left"/>
        <w:rPr>
          <w:rFonts w:hint="eastAsia" w:hAnsi="宋体" w:cs="宋体"/>
          <w:color w:val="auto"/>
          <w:szCs w:val="24"/>
          <w:highlight w:val="none"/>
        </w:rPr>
      </w:pPr>
      <w:r>
        <w:rPr>
          <w:rFonts w:hAnsi="宋体" w:cs="宋体"/>
          <w:color w:val="auto"/>
          <w:szCs w:val="24"/>
          <w:highlight w:val="none"/>
        </w:rPr>
        <w:t>6</w:t>
      </w:r>
      <w:r>
        <w:rPr>
          <w:rFonts w:hint="eastAsia" w:hAnsi="宋体" w:cs="宋体"/>
          <w:color w:val="auto"/>
          <w:szCs w:val="24"/>
          <w:highlight w:val="none"/>
        </w:rPr>
        <w:t>.</w:t>
      </w:r>
      <w:r>
        <w:rPr>
          <w:rFonts w:hAnsi="宋体" w:cs="宋体"/>
          <w:color w:val="auto"/>
          <w:szCs w:val="24"/>
          <w:highlight w:val="none"/>
        </w:rPr>
        <w:t>不在提供商品和服务时“偷梁换柱、以次充好”损害采购人的合法权益。</w:t>
      </w:r>
    </w:p>
    <w:p w14:paraId="7956EC71">
      <w:pPr>
        <w:spacing w:line="540" w:lineRule="exact"/>
        <w:ind w:firstLine="480" w:firstLineChars="200"/>
        <w:jc w:val="left"/>
        <w:rPr>
          <w:rFonts w:hint="eastAsia" w:hAnsi="宋体" w:cs="宋体"/>
          <w:color w:val="auto"/>
          <w:szCs w:val="24"/>
          <w:highlight w:val="none"/>
        </w:rPr>
      </w:pPr>
      <w:r>
        <w:rPr>
          <w:rFonts w:hAnsi="宋体" w:cs="宋体"/>
          <w:color w:val="auto"/>
          <w:szCs w:val="24"/>
          <w:highlight w:val="none"/>
        </w:rPr>
        <w:t>7</w:t>
      </w:r>
      <w:r>
        <w:rPr>
          <w:rFonts w:hint="eastAsia" w:hAnsi="宋体" w:cs="宋体"/>
          <w:color w:val="auto"/>
          <w:szCs w:val="24"/>
          <w:highlight w:val="none"/>
        </w:rPr>
        <w:t>.</w:t>
      </w:r>
      <w:r>
        <w:rPr>
          <w:rFonts w:hAnsi="宋体" w:cs="宋体"/>
          <w:color w:val="auto"/>
          <w:szCs w:val="24"/>
          <w:highlight w:val="none"/>
        </w:rPr>
        <w:t>不与采购人、采购代理机构政府采购评审专家或其它供应商恶意串通，进行质疑和投诉，维护政府采购市场秩序。</w:t>
      </w:r>
    </w:p>
    <w:p w14:paraId="16B9AD0E">
      <w:pPr>
        <w:spacing w:line="540" w:lineRule="exact"/>
        <w:ind w:firstLine="480" w:firstLineChars="200"/>
        <w:jc w:val="left"/>
        <w:rPr>
          <w:rFonts w:hint="eastAsia" w:hAnsi="宋体" w:cs="宋体"/>
          <w:color w:val="auto"/>
          <w:szCs w:val="24"/>
          <w:highlight w:val="none"/>
        </w:rPr>
      </w:pPr>
      <w:r>
        <w:rPr>
          <w:rFonts w:hAnsi="宋体" w:cs="宋体"/>
          <w:color w:val="auto"/>
          <w:szCs w:val="24"/>
          <w:highlight w:val="none"/>
        </w:rPr>
        <w:t>8</w:t>
      </w:r>
      <w:r>
        <w:rPr>
          <w:rFonts w:hint="eastAsia" w:hAnsi="宋体" w:cs="宋体"/>
          <w:color w:val="auto"/>
          <w:szCs w:val="24"/>
          <w:highlight w:val="none"/>
        </w:rPr>
        <w:t>.</w:t>
      </w:r>
      <w:r>
        <w:rPr>
          <w:rFonts w:hAnsi="宋体" w:cs="宋体"/>
          <w:color w:val="auto"/>
          <w:szCs w:val="24"/>
          <w:highlight w:val="none"/>
        </w:rPr>
        <w:t>尊重和接受政府采购监督管理部门的监督和政府采购代理机构招标采购要求，承担因违约行为给采购人造成的损失。</w:t>
      </w:r>
    </w:p>
    <w:p w14:paraId="0989E717">
      <w:pPr>
        <w:spacing w:line="540" w:lineRule="exact"/>
        <w:ind w:firstLine="480" w:firstLineChars="200"/>
        <w:jc w:val="left"/>
        <w:rPr>
          <w:rFonts w:hAnsi="宋体" w:cs="宋体"/>
          <w:color w:val="auto"/>
          <w:szCs w:val="24"/>
          <w:highlight w:val="none"/>
        </w:rPr>
      </w:pPr>
      <w:r>
        <w:rPr>
          <w:rFonts w:hAnsi="宋体" w:cs="宋体"/>
          <w:color w:val="auto"/>
          <w:szCs w:val="24"/>
          <w:highlight w:val="none"/>
        </w:rPr>
        <w:t>9</w:t>
      </w:r>
      <w:r>
        <w:rPr>
          <w:rFonts w:hint="eastAsia" w:hAnsi="宋体" w:cs="宋体"/>
          <w:color w:val="auto"/>
          <w:szCs w:val="24"/>
          <w:highlight w:val="none"/>
        </w:rPr>
        <w:t>.</w:t>
      </w:r>
      <w:r>
        <w:rPr>
          <w:rFonts w:hAnsi="宋体" w:cs="宋体"/>
          <w:color w:val="auto"/>
          <w:szCs w:val="24"/>
          <w:highlight w:val="none"/>
        </w:rPr>
        <w:t>不发生其他有悖于政府采购公开、公平、公正和诚信原则的行为。</w:t>
      </w:r>
      <w:r>
        <w:rPr>
          <w:rFonts w:hAnsi="宋体" w:cs="宋体"/>
          <w:color w:val="auto"/>
          <w:szCs w:val="24"/>
          <w:highlight w:val="none"/>
        </w:rPr>
        <w:br w:type="textWrapping"/>
      </w:r>
    </w:p>
    <w:p w14:paraId="6C30AB41">
      <w:pPr>
        <w:spacing w:line="540" w:lineRule="exact"/>
        <w:ind w:firstLine="3360" w:firstLineChars="1400"/>
        <w:jc w:val="left"/>
        <w:rPr>
          <w:rFonts w:hint="eastAsia" w:hAnsi="宋体" w:cs="宋体"/>
          <w:color w:val="auto"/>
          <w:szCs w:val="24"/>
          <w:highlight w:val="none"/>
        </w:rPr>
      </w:pPr>
      <w:r>
        <w:rPr>
          <w:rFonts w:hAnsi="宋体" w:cs="宋体"/>
          <w:color w:val="auto"/>
          <w:szCs w:val="24"/>
          <w:highlight w:val="none"/>
        </w:rPr>
        <w:t>承诺单位（盖章）：</w:t>
      </w:r>
    </w:p>
    <w:p w14:paraId="2226CD28">
      <w:pPr>
        <w:spacing w:line="540" w:lineRule="exact"/>
        <w:ind w:left="3360" w:leftChars="1400"/>
        <w:jc w:val="left"/>
        <w:rPr>
          <w:rFonts w:hint="eastAsia" w:hAnsi="宋体" w:cs="宋体"/>
          <w:color w:val="auto"/>
          <w:szCs w:val="24"/>
          <w:highlight w:val="none"/>
        </w:rPr>
      </w:pPr>
      <w:r>
        <w:rPr>
          <w:rFonts w:hint="eastAsia" w:cs="仿宋" w:asciiTheme="minorEastAsia" w:hAnsiTheme="minorEastAsia" w:eastAsiaTheme="minorEastAsia"/>
          <w:color w:val="auto"/>
          <w:spacing w:val="4"/>
          <w:szCs w:val="24"/>
          <w:highlight w:val="none"/>
        </w:rPr>
        <w:t>法定代表人或被授权人</w:t>
      </w:r>
      <w:r>
        <w:rPr>
          <w:rFonts w:hAnsi="宋体" w:cs="宋体"/>
          <w:color w:val="auto"/>
          <w:szCs w:val="24"/>
          <w:highlight w:val="none"/>
        </w:rPr>
        <w:t>（签字</w:t>
      </w:r>
      <w:r>
        <w:rPr>
          <w:rFonts w:hint="eastAsia" w:hAnsi="宋体" w:cs="宋体"/>
          <w:color w:val="auto"/>
          <w:szCs w:val="24"/>
          <w:highlight w:val="none"/>
        </w:rPr>
        <w:t>或盖章</w:t>
      </w:r>
      <w:r>
        <w:rPr>
          <w:rFonts w:hAnsi="宋体" w:cs="宋体"/>
          <w:color w:val="auto"/>
          <w:szCs w:val="24"/>
          <w:highlight w:val="none"/>
        </w:rPr>
        <w:t>）：</w:t>
      </w:r>
    </w:p>
    <w:p w14:paraId="45994AC7">
      <w:pPr>
        <w:spacing w:line="540" w:lineRule="exact"/>
        <w:ind w:left="3360" w:leftChars="1400"/>
        <w:jc w:val="left"/>
        <w:rPr>
          <w:rFonts w:hint="eastAsia" w:hAnsi="宋体" w:cs="宋体"/>
          <w:color w:val="auto"/>
          <w:szCs w:val="24"/>
          <w:highlight w:val="none"/>
        </w:rPr>
      </w:pPr>
      <w:r>
        <w:rPr>
          <w:rFonts w:hAnsi="宋体" w:cs="宋体"/>
          <w:color w:val="auto"/>
          <w:szCs w:val="24"/>
          <w:highlight w:val="none"/>
        </w:rPr>
        <w:t>地  址：</w:t>
      </w:r>
    </w:p>
    <w:p w14:paraId="24D68691">
      <w:pPr>
        <w:spacing w:line="540" w:lineRule="exact"/>
        <w:ind w:left="3360" w:leftChars="1400"/>
        <w:jc w:val="left"/>
        <w:rPr>
          <w:rFonts w:hint="eastAsia" w:hAnsi="宋体" w:cs="宋体"/>
          <w:color w:val="auto"/>
          <w:szCs w:val="24"/>
          <w:highlight w:val="none"/>
        </w:rPr>
      </w:pPr>
      <w:r>
        <w:rPr>
          <w:rFonts w:hAnsi="宋体" w:cs="宋体"/>
          <w:color w:val="auto"/>
          <w:szCs w:val="24"/>
          <w:highlight w:val="none"/>
        </w:rPr>
        <w:t>邮  编</w:t>
      </w:r>
      <w:r>
        <w:rPr>
          <w:rFonts w:hint="eastAsia" w:hAnsi="宋体" w:cs="宋体"/>
          <w:color w:val="auto"/>
          <w:szCs w:val="24"/>
          <w:highlight w:val="none"/>
        </w:rPr>
        <w:t>：</w:t>
      </w:r>
    </w:p>
    <w:p w14:paraId="54F52D16">
      <w:pPr>
        <w:spacing w:line="540" w:lineRule="exact"/>
        <w:ind w:left="3360" w:leftChars="1400"/>
        <w:jc w:val="left"/>
        <w:rPr>
          <w:rFonts w:hint="eastAsia" w:hAnsi="宋体" w:cs="宋体"/>
          <w:color w:val="auto"/>
          <w:szCs w:val="24"/>
          <w:highlight w:val="none"/>
        </w:rPr>
      </w:pPr>
      <w:r>
        <w:rPr>
          <w:rFonts w:hAnsi="宋体" w:cs="宋体"/>
          <w:color w:val="auto"/>
          <w:szCs w:val="24"/>
          <w:highlight w:val="none"/>
        </w:rPr>
        <w:t>电  话：</w:t>
      </w:r>
    </w:p>
    <w:p w14:paraId="5CCF789C">
      <w:pPr>
        <w:spacing w:line="540" w:lineRule="exact"/>
        <w:ind w:left="3360" w:leftChars="1400" w:firstLine="1680" w:firstLineChars="700"/>
        <w:jc w:val="left"/>
        <w:rPr>
          <w:rFonts w:hint="eastAsia" w:hAnsi="宋体" w:cs="宋体"/>
          <w:color w:val="auto"/>
          <w:szCs w:val="24"/>
          <w:highlight w:val="none"/>
        </w:rPr>
      </w:pPr>
      <w:r>
        <w:rPr>
          <w:rFonts w:hAnsi="宋体" w:cs="宋体"/>
          <w:color w:val="auto"/>
          <w:szCs w:val="24"/>
          <w:highlight w:val="none"/>
        </w:rPr>
        <w:t>年  </w:t>
      </w:r>
      <w:r>
        <w:rPr>
          <w:rFonts w:hint="eastAsia" w:hAnsi="宋体" w:cs="宋体"/>
          <w:color w:val="auto"/>
          <w:szCs w:val="24"/>
          <w:highlight w:val="none"/>
        </w:rPr>
        <w:t xml:space="preserve"> </w:t>
      </w:r>
      <w:r>
        <w:rPr>
          <w:rFonts w:hAnsi="宋体" w:cs="宋体"/>
          <w:color w:val="auto"/>
          <w:szCs w:val="24"/>
          <w:highlight w:val="none"/>
        </w:rPr>
        <w:t>月  </w:t>
      </w:r>
      <w:r>
        <w:rPr>
          <w:rFonts w:hint="eastAsia" w:hAnsi="宋体" w:cs="宋体"/>
          <w:color w:val="auto"/>
          <w:szCs w:val="24"/>
          <w:highlight w:val="none"/>
        </w:rPr>
        <w:t xml:space="preserve"> </w:t>
      </w:r>
      <w:r>
        <w:rPr>
          <w:rFonts w:hAnsi="宋体" w:cs="宋体"/>
          <w:color w:val="auto"/>
          <w:szCs w:val="24"/>
          <w:highlight w:val="none"/>
        </w:rPr>
        <w:t>日</w:t>
      </w:r>
    </w:p>
    <w:p w14:paraId="1204EB6D">
      <w:pPr>
        <w:widowControl/>
        <w:wordWrap w:val="0"/>
        <w:spacing w:line="408" w:lineRule="auto"/>
        <w:jc w:val="both"/>
        <w:rPr>
          <w:rFonts w:hint="eastAsia" w:cs="仿宋" w:asciiTheme="minorEastAsia" w:hAnsiTheme="minorEastAsia" w:eastAsiaTheme="minorEastAsia"/>
          <w:b/>
          <w:color w:val="auto"/>
          <w:kern w:val="2"/>
          <w:sz w:val="28"/>
          <w:szCs w:val="28"/>
          <w:highlight w:val="none"/>
        </w:rPr>
      </w:pPr>
      <w:r>
        <w:rPr>
          <w:rFonts w:hint="eastAsia" w:hAnsi="宋体" w:cs="宋体"/>
          <w:color w:val="auto"/>
          <w:highlight w:val="none"/>
        </w:rPr>
        <w:t xml:space="preserve">    </w:t>
      </w:r>
    </w:p>
    <w:p w14:paraId="61C87CD4">
      <w:pPr>
        <w:pStyle w:val="2"/>
        <w:jc w:val="center"/>
        <w:rPr>
          <w:b/>
          <w:bCs/>
          <w:color w:val="auto"/>
          <w:sz w:val="30"/>
          <w:szCs w:val="30"/>
          <w:highlight w:val="none"/>
        </w:rPr>
      </w:pPr>
      <w:bookmarkStart w:id="129" w:name="_Toc21165"/>
      <w:bookmarkStart w:id="130" w:name="_Toc363474034"/>
      <w:bookmarkStart w:id="131" w:name="_Toc403077657"/>
      <w:bookmarkStart w:id="132" w:name="_Toc15779"/>
      <w:r>
        <w:rPr>
          <w:rFonts w:hint="eastAsia"/>
          <w:b/>
          <w:bCs/>
          <w:color w:val="auto"/>
          <w:sz w:val="30"/>
          <w:szCs w:val="30"/>
          <w:highlight w:val="none"/>
          <w:lang w:eastAsia="zh-CN"/>
        </w:rPr>
        <w:t>七</w:t>
      </w:r>
      <w:r>
        <w:rPr>
          <w:rFonts w:hint="eastAsia"/>
          <w:b/>
          <w:bCs/>
          <w:color w:val="auto"/>
          <w:sz w:val="30"/>
          <w:szCs w:val="30"/>
          <w:highlight w:val="none"/>
        </w:rPr>
        <w:t>、资格证明文件</w:t>
      </w:r>
      <w:bookmarkEnd w:id="129"/>
      <w:bookmarkEnd w:id="130"/>
      <w:bookmarkEnd w:id="131"/>
      <w:bookmarkEnd w:id="132"/>
    </w:p>
    <w:p w14:paraId="6369AEC0">
      <w:pPr>
        <w:spacing w:line="440" w:lineRule="exact"/>
        <w:rPr>
          <w:rFonts w:hint="eastAsia" w:hAnsi="宋体" w:cs="宋体"/>
          <w:b w:val="0"/>
          <w:bCs w:val="0"/>
          <w:color w:val="auto"/>
          <w:szCs w:val="24"/>
          <w:highlight w:val="none"/>
        </w:rPr>
      </w:pPr>
      <w:r>
        <w:rPr>
          <w:rFonts w:hint="eastAsia" w:hAnsi="宋体" w:cs="宋体"/>
          <w:b w:val="0"/>
          <w:bCs w:val="0"/>
          <w:color w:val="auto"/>
          <w:szCs w:val="24"/>
          <w:highlight w:val="none"/>
        </w:rPr>
        <w:t>（一）基本资格条件：符合《中华人民共和国政府采购法》第二十二条的规定，并提供以下资料；</w:t>
      </w:r>
    </w:p>
    <w:p w14:paraId="14E45C8E">
      <w:pPr>
        <w:spacing w:line="440" w:lineRule="exact"/>
        <w:ind w:firstLine="480" w:firstLineChars="200"/>
        <w:rPr>
          <w:rFonts w:hint="eastAsia" w:hAnsi="宋体" w:cs="宋体"/>
          <w:b w:val="0"/>
          <w:bCs w:val="0"/>
          <w:color w:val="auto"/>
          <w:szCs w:val="24"/>
          <w:highlight w:val="none"/>
          <w:lang w:val="en-US" w:eastAsia="zh-CN"/>
        </w:rPr>
      </w:pPr>
      <w:r>
        <w:rPr>
          <w:rFonts w:hint="eastAsia" w:hAnsi="宋体" w:cs="宋体"/>
          <w:b w:val="0"/>
          <w:bCs w:val="0"/>
          <w:color w:val="auto"/>
          <w:szCs w:val="24"/>
          <w:highlight w:val="none"/>
        </w:rPr>
        <w:t>（1）具有独立承担民事责任的法人、其他组织或自然人，并出具合法有效的营业执照或事业单位法人证书等国家规定的相关证明，自然人参与的提供其身份证明</w:t>
      </w:r>
      <w:r>
        <w:rPr>
          <w:rFonts w:hint="eastAsia" w:hAnsi="宋体" w:cs="宋体"/>
          <w:b w:val="0"/>
          <w:bCs w:val="0"/>
          <w:color w:val="auto"/>
          <w:szCs w:val="24"/>
          <w:highlight w:val="none"/>
          <w:lang w:val="en-US" w:eastAsia="zh-CN"/>
        </w:rPr>
        <w:t>；</w:t>
      </w:r>
    </w:p>
    <w:p w14:paraId="04583CF7">
      <w:pPr>
        <w:spacing w:line="440" w:lineRule="exact"/>
        <w:ind w:firstLine="480" w:firstLineChars="200"/>
        <w:rPr>
          <w:rFonts w:hint="eastAsia" w:hAnsi="宋体" w:cs="宋体"/>
          <w:b/>
          <w:bCs/>
          <w:color w:val="auto"/>
          <w:szCs w:val="24"/>
          <w:highlight w:val="none"/>
          <w:lang w:val="en-US"/>
        </w:rPr>
      </w:pPr>
      <w:r>
        <w:rPr>
          <w:rFonts w:hint="eastAsia" w:hAnsi="宋体" w:cs="宋体"/>
          <w:b w:val="0"/>
          <w:bCs w:val="0"/>
          <w:color w:val="auto"/>
          <w:szCs w:val="24"/>
          <w:highlight w:val="none"/>
        </w:rPr>
        <w:t>（2）</w:t>
      </w:r>
      <w:r>
        <w:rPr>
          <w:rFonts w:hint="eastAsia" w:hAnsi="宋体" w:cs="宋体"/>
          <w:b w:val="0"/>
          <w:bCs w:val="0"/>
          <w:color w:val="auto"/>
          <w:szCs w:val="24"/>
          <w:highlight w:val="none"/>
          <w:lang w:eastAsia="zh-CN"/>
        </w:rPr>
        <w:t>法定代表人授权书（附法定代表人、被授权人身份证复印件），法定代表人直接参加磋商，须提供法定代表人身份证明及身份证复印件</w:t>
      </w:r>
      <w:r>
        <w:rPr>
          <w:rFonts w:hint="eastAsia" w:hAnsi="宋体" w:cs="宋体"/>
          <w:b w:val="0"/>
          <w:bCs w:val="0"/>
          <w:color w:val="auto"/>
          <w:szCs w:val="24"/>
          <w:highlight w:val="none"/>
          <w:lang w:val="en-US" w:eastAsia="zh-CN"/>
        </w:rPr>
        <w:t>；</w:t>
      </w:r>
      <w:r>
        <w:rPr>
          <w:rFonts w:hint="eastAsia" w:hAnsi="宋体" w:cs="宋体"/>
          <w:b/>
          <w:bCs/>
          <w:color w:val="auto"/>
          <w:szCs w:val="24"/>
          <w:highlight w:val="none"/>
          <w:lang w:val="en-US" w:eastAsia="zh-CN"/>
        </w:rPr>
        <w:t>（附件1）</w:t>
      </w:r>
    </w:p>
    <w:p w14:paraId="75654E2D">
      <w:pPr>
        <w:spacing w:line="440" w:lineRule="exact"/>
        <w:ind w:firstLine="480" w:firstLineChars="200"/>
        <w:rPr>
          <w:rFonts w:hint="eastAsia" w:hAnsi="宋体" w:cs="宋体"/>
          <w:b w:val="0"/>
          <w:bCs w:val="0"/>
          <w:color w:val="auto"/>
          <w:szCs w:val="24"/>
          <w:highlight w:val="none"/>
          <w:lang w:eastAsia="zh-CN"/>
        </w:rPr>
      </w:pPr>
      <w:r>
        <w:rPr>
          <w:rFonts w:hint="eastAsia" w:hAnsi="宋体" w:cs="宋体"/>
          <w:b w:val="0"/>
          <w:bCs w:val="0"/>
          <w:color w:val="auto"/>
          <w:szCs w:val="24"/>
          <w:highlight w:val="none"/>
        </w:rPr>
        <w:t>（3）</w:t>
      </w:r>
      <w:r>
        <w:rPr>
          <w:rFonts w:hint="eastAsia" w:hAnsi="宋体" w:cs="宋体"/>
          <w:b w:val="0"/>
          <w:bCs w:val="0"/>
          <w:color w:val="auto"/>
          <w:szCs w:val="24"/>
          <w:highlight w:val="none"/>
          <w:lang w:eastAsia="zh-CN"/>
        </w:rPr>
        <w:t>财务状况报告：提供</w:t>
      </w:r>
      <w:r>
        <w:rPr>
          <w:rFonts w:hint="eastAsia" w:hAnsi="宋体" w:cs="宋体"/>
          <w:b w:val="0"/>
          <w:bCs w:val="0"/>
          <w:color w:val="auto"/>
          <w:szCs w:val="24"/>
          <w:highlight w:val="none"/>
          <w:lang w:val="en-US" w:eastAsia="zh-CN"/>
        </w:rPr>
        <w:t>2024年度或</w:t>
      </w:r>
      <w:r>
        <w:rPr>
          <w:rFonts w:hint="eastAsia" w:hAnsi="宋体" w:cs="宋体"/>
          <w:b w:val="0"/>
          <w:bCs w:val="0"/>
          <w:color w:val="auto"/>
          <w:szCs w:val="24"/>
          <w:highlight w:val="none"/>
          <w:lang w:eastAsia="zh-CN"/>
        </w:rPr>
        <w:t>2025年度的经审计的完整财务会计报告（成立时间至提交磋商文件截止时间不足一年的可提供成立后任意时段的资产负债表），或其基本存款账户开户银行出具的资信证明及基本存款账户开户许可证（基本账户信息表）(注:依据财政部、国务院国资委、金融监管总局印发&lt;&lt;关于加强审计报告查验工作的通知&gt;&gt;(财会(2023]15号)报告须在注册会计师行业统一监管平台备案并由该平台赋予二维码)。</w:t>
      </w:r>
    </w:p>
    <w:p w14:paraId="5712C691">
      <w:pPr>
        <w:spacing w:line="440" w:lineRule="exact"/>
        <w:ind w:firstLine="480" w:firstLineChars="200"/>
        <w:rPr>
          <w:rFonts w:hint="eastAsia" w:hAnsi="宋体" w:cs="宋体"/>
          <w:b w:val="0"/>
          <w:bCs w:val="0"/>
          <w:color w:val="auto"/>
          <w:szCs w:val="24"/>
          <w:highlight w:val="none"/>
        </w:rPr>
      </w:pPr>
      <w:r>
        <w:rPr>
          <w:rFonts w:hint="eastAsia" w:hAnsi="宋体" w:cs="宋体"/>
          <w:b w:val="0"/>
          <w:bCs w:val="0"/>
          <w:color w:val="auto"/>
          <w:szCs w:val="24"/>
          <w:highlight w:val="none"/>
        </w:rPr>
        <w:t>（4）社会保障资金缴纳证明：提供磋商截止日前六个月内任意一个月的社保资金交纳证明，依法不需要缴纳社保资金的单位提供相关证明材料；</w:t>
      </w:r>
    </w:p>
    <w:p w14:paraId="2D247FA1">
      <w:pPr>
        <w:spacing w:line="440" w:lineRule="exact"/>
        <w:ind w:firstLine="480" w:firstLineChars="200"/>
        <w:rPr>
          <w:rFonts w:hint="eastAsia" w:hAnsi="宋体" w:cs="宋体"/>
          <w:b w:val="0"/>
          <w:bCs w:val="0"/>
          <w:color w:val="auto"/>
          <w:szCs w:val="24"/>
          <w:highlight w:val="none"/>
          <w:lang w:val="en-US" w:eastAsia="zh-CN"/>
        </w:rPr>
      </w:pPr>
      <w:r>
        <w:rPr>
          <w:rFonts w:hint="eastAsia" w:hAnsi="宋体" w:cs="宋体"/>
          <w:b w:val="0"/>
          <w:bCs w:val="0"/>
          <w:color w:val="auto"/>
          <w:szCs w:val="24"/>
          <w:highlight w:val="none"/>
        </w:rPr>
        <w:t>（5）税收缴纳证明：提供磋商截止日前六个月内任意一个月的纳税证明或完税证明（增值税、印花税、城市维护建设费、企业所得税等一种或多种税种），依法免税的单位提供相关证明材料</w:t>
      </w:r>
      <w:r>
        <w:rPr>
          <w:rFonts w:hint="eastAsia" w:hAnsi="宋体" w:cs="宋体"/>
          <w:b w:val="0"/>
          <w:bCs w:val="0"/>
          <w:color w:val="auto"/>
          <w:szCs w:val="24"/>
          <w:highlight w:val="none"/>
          <w:lang w:val="en-US" w:eastAsia="zh-CN"/>
        </w:rPr>
        <w:t>；</w:t>
      </w:r>
    </w:p>
    <w:p w14:paraId="3B91108B">
      <w:pPr>
        <w:spacing w:line="440" w:lineRule="exact"/>
        <w:ind w:firstLine="480" w:firstLineChars="200"/>
        <w:rPr>
          <w:rFonts w:hint="eastAsia" w:hAnsi="宋体" w:cs="宋体"/>
          <w:b w:val="0"/>
          <w:bCs w:val="0"/>
          <w:color w:val="auto"/>
          <w:szCs w:val="24"/>
          <w:highlight w:val="none"/>
        </w:rPr>
      </w:pPr>
      <w:r>
        <w:rPr>
          <w:rFonts w:hint="eastAsia" w:hAnsi="宋体" w:cs="宋体"/>
          <w:b w:val="0"/>
          <w:bCs w:val="0"/>
          <w:color w:val="auto"/>
          <w:szCs w:val="24"/>
          <w:highlight w:val="none"/>
        </w:rPr>
        <w:t>（6）信用记录：供应商不得为“信用中国”网站(http://www.creditchina.gov.cn)列入“失信被执行人或重大税收违法失信主体或政府采购严重违法失信行为记录名单”的供应商；不得为中国政府采购网(http://www.ccgp.gov.cn) “政府采购严重违法失信行为记录名单”中的供应商；</w:t>
      </w:r>
      <w:r>
        <w:rPr>
          <w:rFonts w:hint="eastAsia" w:hAnsi="宋体" w:cs="宋体"/>
          <w:b w:val="0"/>
          <w:bCs w:val="0"/>
          <w:color w:val="auto"/>
          <w:szCs w:val="24"/>
          <w:highlight w:val="none"/>
          <w:lang w:eastAsia="zh-CN"/>
        </w:rPr>
        <w:t>（提供查询截图或承诺书）</w:t>
      </w:r>
    </w:p>
    <w:p w14:paraId="766CFA4D">
      <w:pPr>
        <w:spacing w:line="440" w:lineRule="exact"/>
        <w:ind w:firstLine="480" w:firstLineChars="200"/>
        <w:rPr>
          <w:rFonts w:hint="eastAsia" w:hAnsi="宋体" w:cs="宋体"/>
          <w:b/>
          <w:bCs/>
          <w:color w:val="auto"/>
          <w:szCs w:val="24"/>
          <w:highlight w:val="none"/>
          <w:lang w:val="en-US"/>
        </w:rPr>
      </w:pPr>
      <w:r>
        <w:rPr>
          <w:rFonts w:hint="eastAsia" w:hAnsi="宋体" w:cs="宋体"/>
          <w:b w:val="0"/>
          <w:bCs w:val="0"/>
          <w:color w:val="auto"/>
          <w:szCs w:val="24"/>
          <w:highlight w:val="none"/>
        </w:rPr>
        <w:t>（</w:t>
      </w:r>
      <w:r>
        <w:rPr>
          <w:rFonts w:hint="eastAsia" w:hAnsi="宋体" w:cs="宋体"/>
          <w:b w:val="0"/>
          <w:bCs w:val="0"/>
          <w:color w:val="auto"/>
          <w:szCs w:val="24"/>
          <w:highlight w:val="none"/>
          <w:lang w:val="en-US" w:eastAsia="zh-CN"/>
        </w:rPr>
        <w:t>7</w:t>
      </w:r>
      <w:r>
        <w:rPr>
          <w:rFonts w:hint="eastAsia" w:hAnsi="宋体" w:cs="宋体"/>
          <w:b w:val="0"/>
          <w:bCs w:val="0"/>
          <w:color w:val="auto"/>
          <w:szCs w:val="24"/>
          <w:highlight w:val="none"/>
        </w:rPr>
        <w:t>）</w:t>
      </w:r>
      <w:r>
        <w:rPr>
          <w:rFonts w:hint="eastAsia" w:hAnsi="宋体" w:cs="宋体"/>
          <w:b w:val="0"/>
          <w:bCs w:val="0"/>
          <w:color w:val="auto"/>
          <w:szCs w:val="24"/>
          <w:highlight w:val="none"/>
          <w:lang w:eastAsia="zh-CN"/>
        </w:rPr>
        <w:t>供应商应具备良好的商业信誉，提供参加政府采购活动前3年内在经营活动中没有重大违法记录的书面声明</w:t>
      </w:r>
      <w:r>
        <w:rPr>
          <w:rFonts w:hint="eastAsia" w:hAnsi="宋体" w:cs="宋体"/>
          <w:b w:val="0"/>
          <w:bCs w:val="0"/>
          <w:color w:val="auto"/>
          <w:szCs w:val="24"/>
          <w:highlight w:val="none"/>
          <w:lang w:val="en-US" w:eastAsia="zh-CN"/>
        </w:rPr>
        <w:t>；</w:t>
      </w:r>
      <w:r>
        <w:rPr>
          <w:rFonts w:hint="eastAsia" w:hAnsi="宋体" w:cs="宋体"/>
          <w:b/>
          <w:bCs/>
          <w:color w:val="auto"/>
          <w:szCs w:val="24"/>
          <w:highlight w:val="none"/>
          <w:lang w:val="en-US" w:eastAsia="zh-CN"/>
        </w:rPr>
        <w:t>（附件3）</w:t>
      </w:r>
    </w:p>
    <w:p w14:paraId="45BB65F8">
      <w:pPr>
        <w:spacing w:line="440" w:lineRule="exact"/>
        <w:ind w:firstLine="480" w:firstLineChars="200"/>
        <w:rPr>
          <w:rFonts w:hint="eastAsia" w:hAnsi="宋体" w:cs="宋体"/>
          <w:b w:val="0"/>
          <w:bCs w:val="0"/>
          <w:color w:val="auto"/>
          <w:szCs w:val="24"/>
          <w:highlight w:val="none"/>
          <w:lang w:val="en-US" w:eastAsia="zh-CN"/>
        </w:rPr>
      </w:pPr>
      <w:r>
        <w:rPr>
          <w:rFonts w:hint="eastAsia" w:hAnsi="宋体" w:cs="宋体"/>
          <w:b w:val="0"/>
          <w:bCs w:val="0"/>
          <w:color w:val="auto"/>
          <w:szCs w:val="24"/>
          <w:highlight w:val="none"/>
        </w:rPr>
        <w:t>（</w:t>
      </w:r>
      <w:r>
        <w:rPr>
          <w:rFonts w:hint="eastAsia" w:hAnsi="宋体" w:cs="宋体"/>
          <w:b w:val="0"/>
          <w:bCs w:val="0"/>
          <w:color w:val="auto"/>
          <w:szCs w:val="24"/>
          <w:highlight w:val="none"/>
          <w:lang w:val="en-US" w:eastAsia="zh-CN"/>
        </w:rPr>
        <w:t>8</w:t>
      </w:r>
      <w:r>
        <w:rPr>
          <w:rFonts w:hint="eastAsia" w:hAnsi="宋体" w:cs="宋体"/>
          <w:b w:val="0"/>
          <w:bCs w:val="0"/>
          <w:color w:val="auto"/>
          <w:szCs w:val="24"/>
          <w:highlight w:val="none"/>
        </w:rPr>
        <w:t>）具备履行合同所必需的设备和专业技术能力的</w:t>
      </w:r>
      <w:r>
        <w:rPr>
          <w:rFonts w:hint="eastAsia" w:hAnsi="宋体" w:cs="宋体"/>
          <w:b w:val="0"/>
          <w:bCs w:val="0"/>
          <w:color w:val="auto"/>
          <w:szCs w:val="24"/>
          <w:highlight w:val="none"/>
          <w:lang w:eastAsia="zh-CN"/>
        </w:rPr>
        <w:t>声明</w:t>
      </w:r>
      <w:r>
        <w:rPr>
          <w:rFonts w:hint="eastAsia" w:hAnsi="宋体" w:cs="宋体"/>
          <w:b w:val="0"/>
          <w:bCs w:val="0"/>
          <w:color w:val="auto"/>
          <w:szCs w:val="24"/>
          <w:highlight w:val="none"/>
          <w:lang w:val="en-US" w:eastAsia="zh-CN"/>
        </w:rPr>
        <w:t>；</w:t>
      </w:r>
      <w:r>
        <w:rPr>
          <w:rFonts w:hint="eastAsia" w:hAnsi="宋体" w:cs="宋体"/>
          <w:b/>
          <w:bCs/>
          <w:color w:val="auto"/>
          <w:szCs w:val="24"/>
          <w:highlight w:val="none"/>
          <w:lang w:val="en-US" w:eastAsia="zh-CN"/>
        </w:rPr>
        <w:t>（附件4）</w:t>
      </w:r>
    </w:p>
    <w:p w14:paraId="68D24CE4">
      <w:pPr>
        <w:spacing w:line="440" w:lineRule="exact"/>
        <w:ind w:firstLine="480" w:firstLineChars="200"/>
        <w:rPr>
          <w:rFonts w:hint="eastAsia" w:hAnsi="宋体" w:cs="宋体"/>
          <w:b/>
          <w:bCs/>
          <w:color w:val="auto"/>
          <w:szCs w:val="24"/>
          <w:highlight w:val="none"/>
          <w:lang w:val="en-US" w:eastAsia="zh-CN"/>
        </w:rPr>
      </w:pPr>
      <w:r>
        <w:rPr>
          <w:rFonts w:hint="eastAsia" w:hAnsi="宋体" w:cs="宋体"/>
          <w:b w:val="0"/>
          <w:bCs w:val="0"/>
          <w:color w:val="auto"/>
          <w:szCs w:val="24"/>
          <w:highlight w:val="none"/>
          <w:lang w:eastAsia="zh-CN"/>
        </w:rPr>
        <w:t>（</w:t>
      </w:r>
      <w:r>
        <w:rPr>
          <w:rFonts w:hint="eastAsia" w:hAnsi="宋体" w:cs="宋体"/>
          <w:b w:val="0"/>
          <w:bCs w:val="0"/>
          <w:color w:val="auto"/>
          <w:szCs w:val="24"/>
          <w:highlight w:val="none"/>
          <w:lang w:val="en-US" w:eastAsia="zh-CN"/>
        </w:rPr>
        <w:t>9</w:t>
      </w:r>
      <w:r>
        <w:rPr>
          <w:rFonts w:hint="eastAsia" w:hAnsi="宋体" w:cs="宋体"/>
          <w:b w:val="0"/>
          <w:bCs w:val="0"/>
          <w:color w:val="auto"/>
          <w:szCs w:val="24"/>
          <w:highlight w:val="none"/>
          <w:lang w:eastAsia="zh-CN"/>
        </w:rPr>
        <w:t>）</w:t>
      </w:r>
      <w:r>
        <w:rPr>
          <w:rFonts w:hint="eastAsia" w:hAnsi="宋体" w:cs="宋体"/>
          <w:b w:val="0"/>
          <w:bCs w:val="0"/>
          <w:color w:val="auto"/>
          <w:szCs w:val="24"/>
          <w:highlight w:val="none"/>
          <w:lang w:val="en-US" w:eastAsia="zh-CN"/>
        </w:rPr>
        <w:t>关联关系：单位负责人为同一人或者存在控股、管理关系的不同单位，不得同时参加同一项目的磋商；（提供承诺书）</w:t>
      </w:r>
      <w:r>
        <w:rPr>
          <w:rFonts w:hint="eastAsia" w:hAnsi="宋体" w:cs="宋体"/>
          <w:b/>
          <w:bCs/>
          <w:color w:val="auto"/>
          <w:szCs w:val="24"/>
          <w:highlight w:val="none"/>
          <w:lang w:val="en-US" w:eastAsia="zh-CN"/>
        </w:rPr>
        <w:t>（附件2）</w:t>
      </w:r>
    </w:p>
    <w:p w14:paraId="2808B738">
      <w:pPr>
        <w:spacing w:line="440" w:lineRule="exact"/>
        <w:ind w:firstLine="480" w:firstLineChars="200"/>
        <w:rPr>
          <w:rFonts w:hint="eastAsia" w:hAnsi="宋体" w:cs="宋体"/>
          <w:b w:val="0"/>
          <w:bCs w:val="0"/>
          <w:color w:val="auto"/>
          <w:szCs w:val="24"/>
          <w:highlight w:val="none"/>
          <w:lang w:val="en-US" w:eastAsia="zh-CN"/>
        </w:rPr>
      </w:pPr>
      <w:r>
        <w:rPr>
          <w:rFonts w:hint="eastAsia" w:hAnsi="宋体" w:cs="宋体"/>
          <w:b w:val="0"/>
          <w:bCs w:val="0"/>
          <w:color w:val="auto"/>
          <w:szCs w:val="24"/>
          <w:highlight w:val="none"/>
          <w:lang w:val="en-US" w:eastAsia="zh-CN"/>
        </w:rPr>
        <w:t>（10）供应商</w:t>
      </w:r>
      <w:r>
        <w:rPr>
          <w:rFonts w:hint="eastAsia" w:hAnsi="宋体" w:cs="宋体"/>
          <w:b w:val="0"/>
          <w:bCs w:val="0"/>
          <w:color w:val="auto"/>
          <w:szCs w:val="24"/>
          <w:highlight w:val="none"/>
        </w:rPr>
        <w:t>须具备有效的《食品经营许可证》</w:t>
      </w:r>
      <w:r>
        <w:rPr>
          <w:rFonts w:hint="eastAsia" w:hAnsi="宋体" w:cs="宋体"/>
          <w:b w:val="0"/>
          <w:bCs w:val="0"/>
          <w:color w:val="auto"/>
          <w:szCs w:val="24"/>
          <w:highlight w:val="none"/>
          <w:lang w:eastAsia="zh-CN"/>
        </w:rPr>
        <w:t>；</w:t>
      </w:r>
    </w:p>
    <w:p w14:paraId="6123D98F">
      <w:pPr>
        <w:spacing w:line="440" w:lineRule="exact"/>
        <w:ind w:firstLine="480" w:firstLineChars="200"/>
        <w:rPr>
          <w:rFonts w:hint="eastAsia" w:hAnsi="宋体" w:eastAsia="宋体" w:cs="宋体"/>
          <w:b/>
          <w:bCs/>
          <w:color w:val="auto"/>
          <w:szCs w:val="24"/>
          <w:highlight w:val="none"/>
          <w:lang w:eastAsia="zh-CN"/>
        </w:rPr>
      </w:pPr>
      <w:r>
        <w:rPr>
          <w:rFonts w:hint="eastAsia" w:hAnsi="宋体" w:cs="宋体"/>
          <w:b w:val="0"/>
          <w:bCs w:val="0"/>
          <w:color w:val="auto"/>
          <w:szCs w:val="24"/>
          <w:highlight w:val="none"/>
          <w:lang w:eastAsia="zh-CN"/>
        </w:rPr>
        <w:t>（</w:t>
      </w:r>
      <w:r>
        <w:rPr>
          <w:rFonts w:hint="eastAsia" w:hAnsi="宋体" w:cs="宋体"/>
          <w:b w:val="0"/>
          <w:bCs w:val="0"/>
          <w:color w:val="auto"/>
          <w:szCs w:val="24"/>
          <w:highlight w:val="none"/>
          <w:lang w:val="en-US" w:eastAsia="zh-CN"/>
        </w:rPr>
        <w:t>11</w:t>
      </w:r>
      <w:r>
        <w:rPr>
          <w:rFonts w:hint="eastAsia" w:hAnsi="宋体" w:cs="宋体"/>
          <w:b w:val="0"/>
          <w:bCs w:val="0"/>
          <w:color w:val="auto"/>
          <w:szCs w:val="24"/>
          <w:highlight w:val="none"/>
          <w:lang w:eastAsia="zh-CN"/>
        </w:rPr>
        <w:t>）</w:t>
      </w:r>
      <w:r>
        <w:rPr>
          <w:rFonts w:hint="eastAsia" w:hAnsi="宋体" w:cs="宋体"/>
          <w:b w:val="0"/>
          <w:bCs w:val="0"/>
          <w:color w:val="auto"/>
          <w:szCs w:val="24"/>
          <w:highlight w:val="none"/>
        </w:rPr>
        <w:t>本项目不接受联合体磋商。</w:t>
      </w:r>
      <w:r>
        <w:rPr>
          <w:rFonts w:hint="eastAsia" w:hAnsi="宋体" w:cs="宋体"/>
          <w:b/>
          <w:bCs/>
          <w:color w:val="auto"/>
          <w:szCs w:val="24"/>
          <w:highlight w:val="none"/>
          <w:lang w:eastAsia="zh-CN"/>
        </w:rPr>
        <w:t>（附件</w:t>
      </w:r>
      <w:r>
        <w:rPr>
          <w:rFonts w:hint="eastAsia" w:hAnsi="宋体" w:cs="宋体"/>
          <w:b/>
          <w:bCs/>
          <w:color w:val="auto"/>
          <w:szCs w:val="24"/>
          <w:highlight w:val="none"/>
          <w:lang w:val="en-US" w:eastAsia="zh-CN"/>
        </w:rPr>
        <w:t>5</w:t>
      </w:r>
      <w:r>
        <w:rPr>
          <w:rFonts w:hint="eastAsia" w:hAnsi="宋体" w:cs="宋体"/>
          <w:b/>
          <w:bCs/>
          <w:color w:val="auto"/>
          <w:szCs w:val="24"/>
          <w:highlight w:val="none"/>
          <w:lang w:eastAsia="zh-CN"/>
        </w:rPr>
        <w:t>）</w:t>
      </w:r>
    </w:p>
    <w:p w14:paraId="1D75F7AF">
      <w:pPr>
        <w:spacing w:line="440" w:lineRule="exact"/>
        <w:ind w:firstLine="482" w:firstLineChars="200"/>
        <w:rPr>
          <w:rFonts w:hint="eastAsia" w:hAnsi="宋体" w:cs="宋体"/>
          <w:color w:val="auto"/>
          <w:szCs w:val="24"/>
          <w:highlight w:val="none"/>
        </w:rPr>
      </w:pPr>
      <w:r>
        <w:rPr>
          <w:rFonts w:hint="eastAsia" w:hAnsi="宋体" w:cs="宋体"/>
          <w:b/>
          <w:bCs/>
          <w:color w:val="auto"/>
          <w:szCs w:val="24"/>
          <w:highlight w:val="none"/>
        </w:rPr>
        <w:t>以上为必备资格要求，缺一项或某项达不到要求，按无效磋商处理。</w:t>
      </w:r>
    </w:p>
    <w:p w14:paraId="72E7D085">
      <w:pPr>
        <w:pStyle w:val="24"/>
        <w:rPr>
          <w:color w:val="auto"/>
          <w:highlight w:val="none"/>
        </w:rPr>
        <w:sectPr>
          <w:footerReference r:id="rId9" w:type="default"/>
          <w:pgSz w:w="11906" w:h="16838"/>
          <w:pgMar w:top="1417" w:right="1129" w:bottom="1417" w:left="1417" w:header="851" w:footer="850" w:gutter="0"/>
          <w:pgNumType w:fmt="numberInDash"/>
          <w:cols w:space="720" w:num="1"/>
          <w:docGrid w:type="lines" w:linePitch="312" w:charSpace="0"/>
        </w:sectPr>
      </w:pPr>
    </w:p>
    <w:p w14:paraId="241344F6">
      <w:pPr>
        <w:spacing w:before="312" w:beforeLines="100"/>
        <w:jc w:val="both"/>
        <w:rPr>
          <w:rFonts w:hint="default" w:hAnsi="宋体" w:eastAsia="宋体"/>
          <w:b/>
          <w:bCs/>
          <w:color w:val="auto"/>
          <w:sz w:val="24"/>
          <w:szCs w:val="24"/>
          <w:highlight w:val="none"/>
          <w:lang w:val="en-US" w:eastAsia="zh-CN"/>
        </w:rPr>
      </w:pPr>
      <w:r>
        <w:rPr>
          <w:rFonts w:hint="eastAsia" w:hAnsi="宋体"/>
          <w:b/>
          <w:bCs/>
          <w:color w:val="auto"/>
          <w:sz w:val="24"/>
          <w:szCs w:val="24"/>
          <w:highlight w:val="none"/>
          <w:lang w:eastAsia="zh-CN"/>
        </w:rPr>
        <w:t>附件</w:t>
      </w:r>
      <w:r>
        <w:rPr>
          <w:rFonts w:hint="eastAsia" w:hAnsi="宋体"/>
          <w:b/>
          <w:bCs/>
          <w:color w:val="auto"/>
          <w:sz w:val="24"/>
          <w:szCs w:val="24"/>
          <w:highlight w:val="none"/>
          <w:lang w:val="en-US" w:eastAsia="zh-CN"/>
        </w:rPr>
        <w:t>1：</w:t>
      </w:r>
    </w:p>
    <w:p w14:paraId="673260CB">
      <w:pPr>
        <w:spacing w:before="312" w:beforeLines="100"/>
        <w:jc w:val="center"/>
        <w:rPr>
          <w:rFonts w:hint="eastAsia" w:hAnsi="宋体" w:cs="宋体"/>
          <w:b/>
          <w:color w:val="auto"/>
          <w:sz w:val="30"/>
          <w:szCs w:val="30"/>
          <w:highlight w:val="none"/>
        </w:rPr>
      </w:pPr>
      <w:r>
        <w:rPr>
          <w:rFonts w:hAnsi="宋体"/>
          <w:b/>
          <w:bCs/>
          <w:color w:val="auto"/>
          <w:sz w:val="28"/>
          <w:szCs w:val="28"/>
          <w:highlight w:val="none"/>
        </w:rPr>
        <w:t>法定代表人身份证明/法定代表人授权书</w:t>
      </w:r>
    </w:p>
    <w:p w14:paraId="12B831BA">
      <w:pPr>
        <w:pStyle w:val="2"/>
        <w:spacing w:before="156" w:beforeLines="50"/>
        <w:jc w:val="center"/>
        <w:rPr>
          <w:rFonts w:hint="eastAsia" w:hAnsi="宋体"/>
          <w:b/>
          <w:bCs/>
          <w:color w:val="auto"/>
          <w:sz w:val="32"/>
          <w:szCs w:val="32"/>
          <w:highlight w:val="none"/>
        </w:rPr>
      </w:pPr>
      <w:r>
        <w:rPr>
          <w:rFonts w:hint="eastAsia" w:ascii="宋体" w:hAnsi="宋体" w:cs="宋体"/>
          <w:b/>
          <w:bCs/>
          <w:color w:val="auto"/>
          <w:sz w:val="30"/>
          <w:szCs w:val="30"/>
          <w:highlight w:val="none"/>
        </w:rPr>
        <w:t>法定代表人身份证明</w:t>
      </w:r>
    </w:p>
    <w:p w14:paraId="3F586837">
      <w:pPr>
        <w:autoSpaceDE w:val="0"/>
        <w:autoSpaceDN w:val="0"/>
        <w:adjustRightInd w:val="0"/>
        <w:snapToGrid w:val="0"/>
        <w:spacing w:before="156" w:beforeLines="50" w:line="440" w:lineRule="exact"/>
        <w:jc w:val="left"/>
        <w:rPr>
          <w:rFonts w:hint="eastAsia" w:hAnsi="宋体" w:cs="宋体"/>
          <w:color w:val="auto"/>
          <w:highlight w:val="none"/>
        </w:rPr>
      </w:pPr>
      <w:r>
        <w:rPr>
          <w:rFonts w:hint="eastAsia" w:hAnsi="宋体"/>
          <w:color w:val="auto"/>
          <w:highlight w:val="none"/>
        </w:rPr>
        <w:t>供应商</w:t>
      </w:r>
      <w:r>
        <w:rPr>
          <w:rFonts w:hint="eastAsia" w:hAnsi="宋体" w:cs="宋体"/>
          <w:color w:val="auto"/>
          <w:highlight w:val="none"/>
        </w:rPr>
        <w:t>名称：</w:t>
      </w:r>
      <w:r>
        <w:rPr>
          <w:rFonts w:hint="eastAsia" w:hAnsi="宋体" w:cs="宋体"/>
          <w:color w:val="auto"/>
          <w:highlight w:val="none"/>
          <w:u w:val="single"/>
        </w:rPr>
        <w:t xml:space="preserve">                  </w:t>
      </w:r>
      <w:r>
        <w:rPr>
          <w:rFonts w:hint="eastAsia" w:hAnsi="宋体" w:cs="宋体"/>
          <w:color w:val="auto"/>
          <w:highlight w:val="none"/>
        </w:rPr>
        <w:t xml:space="preserve"> </w:t>
      </w:r>
    </w:p>
    <w:p w14:paraId="3DA2CFEF">
      <w:pPr>
        <w:autoSpaceDE w:val="0"/>
        <w:autoSpaceDN w:val="0"/>
        <w:adjustRightInd w:val="0"/>
        <w:snapToGrid w:val="0"/>
        <w:spacing w:before="156" w:beforeLines="50" w:line="440" w:lineRule="exact"/>
        <w:jc w:val="left"/>
        <w:rPr>
          <w:rFonts w:hint="eastAsia" w:hAnsi="宋体" w:cs="宋体"/>
          <w:color w:val="auto"/>
          <w:highlight w:val="none"/>
        </w:rPr>
      </w:pPr>
      <w:r>
        <w:rPr>
          <w:rFonts w:hint="eastAsia" w:hAnsi="宋体" w:cs="宋体"/>
          <w:color w:val="auto"/>
          <w:highlight w:val="none"/>
        </w:rPr>
        <w:t>统一社会信用代码：</w:t>
      </w:r>
      <w:r>
        <w:rPr>
          <w:rFonts w:hint="eastAsia" w:hAnsi="宋体" w:cs="宋体"/>
          <w:color w:val="auto"/>
          <w:highlight w:val="none"/>
          <w:u w:val="single"/>
        </w:rPr>
        <w:t xml:space="preserve">                </w:t>
      </w:r>
    </w:p>
    <w:p w14:paraId="2A0FE861">
      <w:pPr>
        <w:autoSpaceDE w:val="0"/>
        <w:autoSpaceDN w:val="0"/>
        <w:adjustRightInd w:val="0"/>
        <w:snapToGrid w:val="0"/>
        <w:spacing w:before="156" w:beforeLines="50" w:line="440" w:lineRule="exact"/>
        <w:jc w:val="left"/>
        <w:rPr>
          <w:rFonts w:hint="eastAsia" w:hAnsi="宋体" w:cs="宋体"/>
          <w:color w:val="auto"/>
          <w:highlight w:val="none"/>
        </w:rPr>
      </w:pPr>
      <w:r>
        <w:rPr>
          <w:rFonts w:hint="eastAsia" w:hAnsi="宋体" w:cs="宋体"/>
          <w:color w:val="auto"/>
          <w:highlight w:val="none"/>
        </w:rPr>
        <w:t>注册地址：</w:t>
      </w:r>
      <w:r>
        <w:rPr>
          <w:rFonts w:hint="eastAsia" w:hAnsi="宋体" w:cs="宋体"/>
          <w:color w:val="auto"/>
          <w:highlight w:val="none"/>
          <w:u w:val="single"/>
        </w:rPr>
        <w:t xml:space="preserve">                        </w:t>
      </w:r>
    </w:p>
    <w:p w14:paraId="3F52A1F0">
      <w:pPr>
        <w:autoSpaceDE w:val="0"/>
        <w:autoSpaceDN w:val="0"/>
        <w:adjustRightInd w:val="0"/>
        <w:snapToGrid w:val="0"/>
        <w:spacing w:before="156" w:beforeLines="50" w:line="440" w:lineRule="exact"/>
        <w:jc w:val="left"/>
        <w:rPr>
          <w:rFonts w:hint="eastAsia" w:hAnsi="宋体" w:cs="宋体"/>
          <w:color w:val="auto"/>
          <w:highlight w:val="none"/>
        </w:rPr>
      </w:pPr>
      <w:r>
        <w:rPr>
          <w:rFonts w:hint="eastAsia" w:hAnsi="宋体" w:cs="宋体"/>
          <w:color w:val="auto"/>
          <w:highlight w:val="none"/>
        </w:rPr>
        <w:t>成立时间：</w:t>
      </w:r>
      <w:r>
        <w:rPr>
          <w:rFonts w:hint="eastAsia" w:hAnsi="宋体" w:cs="宋体"/>
          <w:color w:val="auto"/>
          <w:highlight w:val="none"/>
          <w:u w:val="single"/>
        </w:rPr>
        <w:t xml:space="preserve">    </w:t>
      </w:r>
      <w:r>
        <w:rPr>
          <w:rFonts w:hint="eastAsia" w:hAnsi="宋体" w:cs="宋体"/>
          <w:color w:val="auto"/>
          <w:highlight w:val="none"/>
        </w:rPr>
        <w:t xml:space="preserve">年 </w:t>
      </w:r>
      <w:r>
        <w:rPr>
          <w:rFonts w:hint="eastAsia" w:hAnsi="宋体" w:cs="宋体"/>
          <w:color w:val="auto"/>
          <w:highlight w:val="none"/>
          <w:u w:val="single"/>
        </w:rPr>
        <w:t xml:space="preserve">  </w:t>
      </w:r>
      <w:r>
        <w:rPr>
          <w:rFonts w:hint="eastAsia" w:hAnsi="宋体" w:cs="宋体"/>
          <w:color w:val="auto"/>
          <w:highlight w:val="none"/>
        </w:rPr>
        <w:t>月</w:t>
      </w:r>
      <w:r>
        <w:rPr>
          <w:rFonts w:hint="eastAsia" w:hAnsi="宋体" w:cs="宋体"/>
          <w:color w:val="auto"/>
          <w:highlight w:val="none"/>
          <w:u w:val="single"/>
        </w:rPr>
        <w:t xml:space="preserve">  </w:t>
      </w:r>
      <w:r>
        <w:rPr>
          <w:rFonts w:hint="eastAsia" w:hAnsi="宋体" w:cs="宋体"/>
          <w:color w:val="auto"/>
          <w:highlight w:val="none"/>
        </w:rPr>
        <w:t>日</w:t>
      </w:r>
    </w:p>
    <w:p w14:paraId="601B3FB7">
      <w:pPr>
        <w:autoSpaceDE w:val="0"/>
        <w:autoSpaceDN w:val="0"/>
        <w:adjustRightInd w:val="0"/>
        <w:snapToGrid w:val="0"/>
        <w:spacing w:before="156" w:beforeLines="50" w:line="440" w:lineRule="exact"/>
        <w:jc w:val="left"/>
        <w:rPr>
          <w:rFonts w:hint="eastAsia" w:hAnsi="宋体" w:cs="宋体"/>
          <w:color w:val="auto"/>
          <w:highlight w:val="none"/>
          <w:u w:val="single"/>
        </w:rPr>
      </w:pPr>
      <w:r>
        <w:rPr>
          <w:rFonts w:hint="eastAsia" w:hAnsi="宋体" w:cs="宋体"/>
          <w:color w:val="auto"/>
          <w:highlight w:val="none"/>
        </w:rPr>
        <w:t>经营期限：</w:t>
      </w:r>
      <w:r>
        <w:rPr>
          <w:rFonts w:hint="eastAsia" w:hAnsi="宋体" w:cs="宋体"/>
          <w:color w:val="auto"/>
          <w:highlight w:val="none"/>
          <w:u w:val="single"/>
        </w:rPr>
        <w:t xml:space="preserve">                  </w:t>
      </w:r>
    </w:p>
    <w:p w14:paraId="10682CEB">
      <w:pPr>
        <w:autoSpaceDE w:val="0"/>
        <w:autoSpaceDN w:val="0"/>
        <w:adjustRightInd w:val="0"/>
        <w:snapToGrid w:val="0"/>
        <w:spacing w:before="156" w:beforeLines="50" w:line="440" w:lineRule="exact"/>
        <w:jc w:val="left"/>
        <w:rPr>
          <w:rFonts w:hint="eastAsia" w:hAnsi="宋体" w:cs="宋体"/>
          <w:color w:val="auto"/>
          <w:highlight w:val="none"/>
        </w:rPr>
      </w:pPr>
      <w:r>
        <w:rPr>
          <w:rFonts w:hint="eastAsia" w:hAnsi="宋体" w:cs="宋体"/>
          <w:color w:val="auto"/>
          <w:highlight w:val="none"/>
        </w:rPr>
        <w:t>姓名：</w:t>
      </w:r>
      <w:r>
        <w:rPr>
          <w:rFonts w:hint="eastAsia" w:hAnsi="宋体" w:cs="宋体"/>
          <w:color w:val="auto"/>
          <w:highlight w:val="none"/>
          <w:u w:val="single"/>
        </w:rPr>
        <w:t xml:space="preserve">      </w:t>
      </w:r>
      <w:r>
        <w:rPr>
          <w:rFonts w:hint="eastAsia" w:hAnsi="宋体" w:cs="宋体"/>
          <w:color w:val="auto"/>
          <w:highlight w:val="none"/>
        </w:rPr>
        <w:t xml:space="preserve"> 性别：</w:t>
      </w:r>
      <w:r>
        <w:rPr>
          <w:rFonts w:hint="eastAsia" w:hAnsi="宋体" w:cs="宋体"/>
          <w:color w:val="auto"/>
          <w:highlight w:val="none"/>
          <w:u w:val="single"/>
        </w:rPr>
        <w:t xml:space="preserve">   </w:t>
      </w:r>
      <w:r>
        <w:rPr>
          <w:rFonts w:hint="eastAsia" w:hAnsi="宋体" w:cs="宋体"/>
          <w:color w:val="auto"/>
          <w:highlight w:val="none"/>
        </w:rPr>
        <w:t xml:space="preserve"> 年龄：</w:t>
      </w:r>
      <w:r>
        <w:rPr>
          <w:rFonts w:hint="eastAsia" w:hAnsi="宋体" w:cs="宋体"/>
          <w:color w:val="auto"/>
          <w:highlight w:val="none"/>
          <w:u w:val="single"/>
        </w:rPr>
        <w:t xml:space="preserve">   </w:t>
      </w:r>
      <w:r>
        <w:rPr>
          <w:rFonts w:hint="eastAsia" w:hAnsi="宋体" w:cs="宋体"/>
          <w:color w:val="auto"/>
          <w:highlight w:val="none"/>
        </w:rPr>
        <w:t xml:space="preserve"> 系</w:t>
      </w:r>
      <w:r>
        <w:rPr>
          <w:rFonts w:hint="eastAsia" w:hAnsi="宋体" w:cs="宋体"/>
          <w:color w:val="auto"/>
          <w:highlight w:val="none"/>
          <w:u w:val="single"/>
        </w:rPr>
        <w:t xml:space="preserve">            </w:t>
      </w:r>
      <w:r>
        <w:rPr>
          <w:rFonts w:hint="eastAsia" w:hAnsi="宋体" w:cs="宋体"/>
          <w:color w:val="auto"/>
          <w:highlight w:val="none"/>
        </w:rPr>
        <w:t>（供应商名称）的法定代表人。</w:t>
      </w:r>
    </w:p>
    <w:p w14:paraId="078FFA42">
      <w:pPr>
        <w:autoSpaceDE w:val="0"/>
        <w:autoSpaceDN w:val="0"/>
        <w:adjustRightInd w:val="0"/>
        <w:snapToGrid w:val="0"/>
        <w:spacing w:before="156" w:beforeLines="50" w:line="440" w:lineRule="exact"/>
        <w:jc w:val="left"/>
        <w:rPr>
          <w:rFonts w:hint="eastAsia" w:hAnsi="宋体" w:cs="宋体"/>
          <w:color w:val="auto"/>
          <w:highlight w:val="none"/>
        </w:rPr>
      </w:pPr>
      <w:r>
        <w:rPr>
          <w:rFonts w:hint="eastAsia" w:hAnsi="宋体" w:cs="宋体"/>
          <w:color w:val="auto"/>
          <w:highlight w:val="none"/>
        </w:rPr>
        <w:t>特此证明。</w:t>
      </w:r>
    </w:p>
    <w:p w14:paraId="39806302">
      <w:pPr>
        <w:autoSpaceDE w:val="0"/>
        <w:autoSpaceDN w:val="0"/>
        <w:adjustRightInd w:val="0"/>
        <w:snapToGrid w:val="0"/>
        <w:spacing w:before="156" w:beforeLines="50" w:line="440" w:lineRule="exact"/>
        <w:jc w:val="left"/>
        <w:rPr>
          <w:rFonts w:hint="eastAsia" w:hAnsi="宋体" w:cs="宋体"/>
          <w:color w:val="auto"/>
          <w:szCs w:val="21"/>
          <w:highlight w:val="none"/>
        </w:rPr>
      </w:pPr>
      <w:r>
        <w:rPr>
          <w:rFonts w:hint="eastAsia" w:hAnsi="宋体"/>
          <w:color w:val="auto"/>
          <w:szCs w:val="21"/>
          <w:highlight w:val="none"/>
        </w:rPr>
        <w:t>附：法定代表人身份证复印件</w:t>
      </w:r>
    </w:p>
    <w:tbl>
      <w:tblPr>
        <w:tblStyle w:val="49"/>
        <w:tblpPr w:leftFromText="180" w:rightFromText="180" w:vertAnchor="text" w:horzAnchor="margin" w:tblpXSpec="center" w:tblpY="10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80"/>
      </w:tblGrid>
      <w:tr w14:paraId="48BF88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4" w:hRule="atLeast"/>
        </w:trPr>
        <w:tc>
          <w:tcPr>
            <w:tcW w:w="5880" w:type="dxa"/>
            <w:vAlign w:val="center"/>
          </w:tcPr>
          <w:p w14:paraId="0D6323F0">
            <w:pPr>
              <w:snapToGrid w:val="0"/>
              <w:spacing w:line="480" w:lineRule="auto"/>
              <w:jc w:val="center"/>
              <w:rPr>
                <w:rFonts w:hint="eastAsia" w:hAnsi="宋体"/>
                <w:color w:val="auto"/>
                <w:szCs w:val="21"/>
                <w:highlight w:val="none"/>
              </w:rPr>
            </w:pPr>
          </w:p>
          <w:p w14:paraId="2F666A5B">
            <w:pPr>
              <w:snapToGrid w:val="0"/>
              <w:spacing w:line="480" w:lineRule="auto"/>
              <w:jc w:val="center"/>
              <w:rPr>
                <w:rFonts w:hint="eastAsia" w:hAnsi="宋体"/>
                <w:color w:val="auto"/>
                <w:szCs w:val="21"/>
                <w:highlight w:val="none"/>
              </w:rPr>
            </w:pPr>
          </w:p>
          <w:p w14:paraId="070AF96F">
            <w:pPr>
              <w:autoSpaceDE w:val="0"/>
              <w:autoSpaceDN w:val="0"/>
              <w:adjustRightInd w:val="0"/>
              <w:snapToGrid w:val="0"/>
              <w:spacing w:before="156" w:beforeLines="50" w:line="360" w:lineRule="auto"/>
              <w:jc w:val="center"/>
              <w:rPr>
                <w:rFonts w:hint="eastAsia" w:hAnsi="宋体"/>
                <w:color w:val="auto"/>
                <w:szCs w:val="21"/>
                <w:highlight w:val="none"/>
              </w:rPr>
            </w:pPr>
            <w:r>
              <w:rPr>
                <w:rFonts w:hint="eastAsia" w:hAnsi="宋体"/>
                <w:color w:val="auto"/>
                <w:szCs w:val="21"/>
                <w:highlight w:val="none"/>
              </w:rPr>
              <w:t>法定代表人身份证复印件粘贴处</w:t>
            </w:r>
          </w:p>
          <w:p w14:paraId="4B0FB8AB">
            <w:pPr>
              <w:pStyle w:val="2"/>
              <w:jc w:val="center"/>
              <w:rPr>
                <w:color w:val="auto"/>
                <w:highlight w:val="none"/>
              </w:rPr>
            </w:pPr>
            <w:r>
              <w:rPr>
                <w:rFonts w:hint="eastAsia" w:ascii="宋体" w:hAnsi="宋体"/>
                <w:color w:val="auto"/>
                <w:szCs w:val="21"/>
                <w:highlight w:val="none"/>
              </w:rPr>
              <w:t>（正反面）</w:t>
            </w:r>
          </w:p>
          <w:p w14:paraId="352C4B71">
            <w:pPr>
              <w:snapToGrid w:val="0"/>
              <w:spacing w:line="480" w:lineRule="auto"/>
              <w:jc w:val="center"/>
              <w:rPr>
                <w:rFonts w:hint="eastAsia" w:hAnsi="宋体"/>
                <w:color w:val="auto"/>
                <w:szCs w:val="21"/>
                <w:highlight w:val="none"/>
              </w:rPr>
            </w:pPr>
          </w:p>
          <w:p w14:paraId="7F570749">
            <w:pPr>
              <w:snapToGrid w:val="0"/>
              <w:spacing w:line="480" w:lineRule="auto"/>
              <w:jc w:val="center"/>
              <w:rPr>
                <w:rFonts w:hint="eastAsia" w:hAnsi="宋体"/>
                <w:color w:val="auto"/>
                <w:szCs w:val="21"/>
                <w:highlight w:val="none"/>
              </w:rPr>
            </w:pPr>
          </w:p>
        </w:tc>
      </w:tr>
    </w:tbl>
    <w:p w14:paraId="76E5C3E9">
      <w:pPr>
        <w:snapToGrid w:val="0"/>
        <w:spacing w:line="480" w:lineRule="auto"/>
        <w:rPr>
          <w:rFonts w:hint="eastAsia" w:hAnsi="宋体"/>
          <w:color w:val="auto"/>
          <w:szCs w:val="21"/>
          <w:highlight w:val="none"/>
        </w:rPr>
      </w:pPr>
    </w:p>
    <w:p w14:paraId="6799C12C">
      <w:pPr>
        <w:snapToGrid w:val="0"/>
        <w:rPr>
          <w:rFonts w:hint="eastAsia" w:hAnsi="宋体"/>
          <w:color w:val="auto"/>
          <w:szCs w:val="21"/>
          <w:highlight w:val="none"/>
        </w:rPr>
      </w:pPr>
    </w:p>
    <w:p w14:paraId="109494D2">
      <w:pPr>
        <w:snapToGrid w:val="0"/>
        <w:rPr>
          <w:rFonts w:hint="eastAsia" w:hAnsi="宋体"/>
          <w:color w:val="auto"/>
          <w:szCs w:val="21"/>
          <w:highlight w:val="none"/>
        </w:rPr>
      </w:pPr>
    </w:p>
    <w:p w14:paraId="2F1DFBFB">
      <w:pPr>
        <w:snapToGrid w:val="0"/>
        <w:rPr>
          <w:rFonts w:hint="eastAsia" w:hAnsi="宋体"/>
          <w:color w:val="auto"/>
          <w:szCs w:val="21"/>
          <w:highlight w:val="none"/>
        </w:rPr>
      </w:pPr>
    </w:p>
    <w:p w14:paraId="2C588ECC">
      <w:pPr>
        <w:snapToGrid w:val="0"/>
        <w:rPr>
          <w:rFonts w:hint="eastAsia" w:hAnsi="宋体"/>
          <w:color w:val="auto"/>
          <w:szCs w:val="21"/>
          <w:highlight w:val="none"/>
        </w:rPr>
      </w:pPr>
    </w:p>
    <w:p w14:paraId="5C6AEDF1">
      <w:pPr>
        <w:adjustRightInd w:val="0"/>
        <w:snapToGrid w:val="0"/>
        <w:spacing w:line="360" w:lineRule="auto"/>
        <w:rPr>
          <w:rFonts w:hint="eastAsia" w:hAnsi="宋体"/>
          <w:color w:val="auto"/>
          <w:highlight w:val="none"/>
        </w:rPr>
      </w:pPr>
    </w:p>
    <w:p w14:paraId="0D371B7C">
      <w:pPr>
        <w:adjustRightInd w:val="0"/>
        <w:snapToGrid w:val="0"/>
        <w:spacing w:line="360" w:lineRule="auto"/>
        <w:ind w:right="420"/>
        <w:rPr>
          <w:rFonts w:hint="eastAsia" w:hAnsi="宋体"/>
          <w:color w:val="auto"/>
          <w:highlight w:val="none"/>
        </w:rPr>
      </w:pPr>
    </w:p>
    <w:p w14:paraId="16260ADD">
      <w:pPr>
        <w:adjustRightInd w:val="0"/>
        <w:snapToGrid w:val="0"/>
        <w:spacing w:line="360" w:lineRule="auto"/>
        <w:ind w:right="420"/>
        <w:rPr>
          <w:rFonts w:hint="eastAsia" w:hAnsi="宋体"/>
          <w:color w:val="auto"/>
          <w:highlight w:val="none"/>
        </w:rPr>
      </w:pPr>
    </w:p>
    <w:p w14:paraId="4C7B7735">
      <w:pPr>
        <w:adjustRightInd w:val="0"/>
        <w:snapToGrid w:val="0"/>
        <w:spacing w:line="360" w:lineRule="auto"/>
        <w:ind w:right="420"/>
        <w:rPr>
          <w:rFonts w:hint="eastAsia" w:hAnsi="宋体"/>
          <w:color w:val="auto"/>
          <w:highlight w:val="none"/>
        </w:rPr>
      </w:pPr>
    </w:p>
    <w:p w14:paraId="37990B90">
      <w:pPr>
        <w:adjustRightInd w:val="0"/>
        <w:snapToGrid w:val="0"/>
        <w:spacing w:line="360" w:lineRule="auto"/>
        <w:ind w:right="420"/>
        <w:rPr>
          <w:rFonts w:hint="eastAsia" w:hAnsi="宋体"/>
          <w:color w:val="auto"/>
          <w:highlight w:val="none"/>
        </w:rPr>
      </w:pPr>
    </w:p>
    <w:p w14:paraId="055D6EF4">
      <w:pPr>
        <w:adjustRightInd w:val="0"/>
        <w:snapToGrid w:val="0"/>
        <w:spacing w:line="600" w:lineRule="auto"/>
        <w:ind w:right="420" w:firstLine="4320" w:firstLineChars="1800"/>
        <w:rPr>
          <w:rFonts w:hint="eastAsia" w:hAnsi="宋体"/>
          <w:color w:val="auto"/>
          <w:highlight w:val="none"/>
        </w:rPr>
      </w:pPr>
      <w:r>
        <w:rPr>
          <w:rFonts w:hint="eastAsia" w:hAnsi="宋体"/>
          <w:color w:val="auto"/>
          <w:highlight w:val="none"/>
        </w:rPr>
        <w:t>供应商名称：</w:t>
      </w:r>
      <w:r>
        <w:rPr>
          <w:rFonts w:hint="eastAsia" w:hAnsi="宋体"/>
          <w:color w:val="auto"/>
          <w:highlight w:val="none"/>
          <w:u w:val="single"/>
        </w:rPr>
        <w:t xml:space="preserve">                 </w:t>
      </w:r>
      <w:r>
        <w:rPr>
          <w:rFonts w:hint="eastAsia" w:hAnsi="宋体"/>
          <w:color w:val="auto"/>
          <w:highlight w:val="none"/>
        </w:rPr>
        <w:t>（公章）</w:t>
      </w:r>
    </w:p>
    <w:p w14:paraId="6C763FBC">
      <w:pPr>
        <w:adjustRightInd w:val="0"/>
        <w:snapToGrid w:val="0"/>
        <w:spacing w:line="600" w:lineRule="auto"/>
        <w:ind w:right="420" w:firstLine="4320" w:firstLineChars="1800"/>
        <w:rPr>
          <w:color w:val="auto"/>
          <w:highlight w:val="none"/>
        </w:rPr>
      </w:pPr>
      <w:r>
        <w:rPr>
          <w:rFonts w:hint="eastAsia" w:hAnsi="宋体"/>
          <w:color w:val="auto"/>
          <w:highlight w:val="none"/>
        </w:rPr>
        <w:t>日期：    年  月  日</w:t>
      </w:r>
    </w:p>
    <w:p w14:paraId="2ECBD5F6">
      <w:pPr>
        <w:keepNext/>
        <w:spacing w:line="360" w:lineRule="auto"/>
        <w:jc w:val="center"/>
        <w:rPr>
          <w:b/>
          <w:bCs/>
          <w:color w:val="auto"/>
          <w:sz w:val="32"/>
          <w:szCs w:val="32"/>
          <w:highlight w:val="none"/>
        </w:rPr>
      </w:pPr>
      <w:r>
        <w:rPr>
          <w:b/>
          <w:bCs/>
          <w:color w:val="auto"/>
          <w:sz w:val="32"/>
          <w:szCs w:val="32"/>
          <w:highlight w:val="none"/>
        </w:rPr>
        <w:br w:type="page"/>
      </w:r>
    </w:p>
    <w:p w14:paraId="2A9EFEE3">
      <w:pPr>
        <w:keepNext/>
        <w:spacing w:line="360" w:lineRule="auto"/>
        <w:jc w:val="center"/>
        <w:rPr>
          <w:rFonts w:hint="eastAsia"/>
          <w:b/>
          <w:bCs/>
          <w:color w:val="auto"/>
          <w:sz w:val="32"/>
          <w:szCs w:val="32"/>
          <w:highlight w:val="none"/>
        </w:rPr>
      </w:pPr>
    </w:p>
    <w:p w14:paraId="7123B4F6">
      <w:pPr>
        <w:keepNext/>
        <w:spacing w:line="360" w:lineRule="auto"/>
        <w:jc w:val="center"/>
        <w:rPr>
          <w:b/>
          <w:bCs/>
          <w:color w:val="auto"/>
          <w:sz w:val="32"/>
          <w:szCs w:val="32"/>
          <w:highlight w:val="none"/>
        </w:rPr>
      </w:pPr>
      <w:r>
        <w:rPr>
          <w:rFonts w:hint="eastAsia"/>
          <w:b/>
          <w:bCs/>
          <w:color w:val="auto"/>
          <w:sz w:val="32"/>
          <w:szCs w:val="32"/>
          <w:highlight w:val="none"/>
        </w:rPr>
        <w:t>法定代表人授权书</w:t>
      </w:r>
    </w:p>
    <w:p w14:paraId="01E23822">
      <w:pPr>
        <w:spacing w:line="360" w:lineRule="auto"/>
        <w:rPr>
          <w:rFonts w:hint="eastAsia" w:hAnsi="宋体"/>
          <w:color w:val="auto"/>
          <w:spacing w:val="4"/>
          <w:szCs w:val="24"/>
          <w:highlight w:val="none"/>
        </w:rPr>
      </w:pPr>
      <w:r>
        <w:rPr>
          <w:rFonts w:hint="eastAsia" w:hAnsi="宋体"/>
          <w:color w:val="auto"/>
          <w:spacing w:val="4"/>
          <w:szCs w:val="24"/>
          <w:highlight w:val="none"/>
        </w:rPr>
        <w:t>致：</w:t>
      </w:r>
      <w:r>
        <w:rPr>
          <w:rFonts w:hint="eastAsia" w:hAnsi="宋体"/>
          <w:color w:val="auto"/>
          <w:spacing w:val="4"/>
          <w:szCs w:val="24"/>
          <w:highlight w:val="none"/>
          <w:u w:val="single"/>
        </w:rPr>
        <w:t>采购人名称/</w:t>
      </w:r>
      <w:r>
        <w:rPr>
          <w:rFonts w:hint="eastAsia" w:hAnsi="宋体"/>
          <w:color w:val="auto"/>
          <w:spacing w:val="4"/>
          <w:szCs w:val="24"/>
          <w:highlight w:val="none"/>
          <w:u w:val="single"/>
          <w:lang w:eastAsia="zh-CN"/>
        </w:rPr>
        <w:t>致君项目管理有限公司</w:t>
      </w:r>
      <w:r>
        <w:rPr>
          <w:rFonts w:hint="eastAsia" w:hAnsi="宋体"/>
          <w:color w:val="auto"/>
          <w:spacing w:val="4"/>
          <w:szCs w:val="24"/>
          <w:highlight w:val="none"/>
          <w:u w:val="single"/>
        </w:rPr>
        <w:t xml:space="preserve"> </w:t>
      </w:r>
    </w:p>
    <w:p w14:paraId="5E902014">
      <w:pPr>
        <w:spacing w:line="360" w:lineRule="auto"/>
        <w:ind w:firstLine="496" w:firstLineChars="200"/>
        <w:rPr>
          <w:rFonts w:hint="eastAsia" w:hAnsi="宋体"/>
          <w:color w:val="auto"/>
          <w:spacing w:val="4"/>
          <w:szCs w:val="24"/>
          <w:highlight w:val="none"/>
        </w:rPr>
      </w:pPr>
      <w:r>
        <w:rPr>
          <w:rFonts w:hint="eastAsia" w:hAnsi="宋体"/>
          <w:color w:val="auto"/>
          <w:spacing w:val="4"/>
          <w:szCs w:val="24"/>
          <w:highlight w:val="none"/>
          <w:u w:val="single"/>
        </w:rPr>
        <w:t>(供应商名称)</w:t>
      </w:r>
      <w:r>
        <w:rPr>
          <w:rFonts w:hint="eastAsia" w:hAnsi="宋体"/>
          <w:color w:val="auto"/>
          <w:spacing w:val="4"/>
          <w:szCs w:val="24"/>
          <w:highlight w:val="none"/>
        </w:rPr>
        <w:t>按中华人民共和国法律于</w:t>
      </w:r>
      <w:r>
        <w:rPr>
          <w:rFonts w:hint="eastAsia" w:hAnsi="宋体"/>
          <w:color w:val="auto"/>
          <w:spacing w:val="4"/>
          <w:szCs w:val="24"/>
          <w:highlight w:val="none"/>
          <w:u w:val="single"/>
        </w:rPr>
        <w:t>（  年  月  日 ）</w:t>
      </w:r>
      <w:r>
        <w:rPr>
          <w:rFonts w:hint="eastAsia" w:hAnsi="宋体"/>
          <w:color w:val="auto"/>
          <w:spacing w:val="4"/>
          <w:szCs w:val="24"/>
          <w:highlight w:val="none"/>
        </w:rPr>
        <w:t xml:space="preserve">成立。 </w:t>
      </w:r>
      <w:r>
        <w:rPr>
          <w:rFonts w:hint="eastAsia" w:hAnsi="宋体" w:cs="宋体"/>
          <w:color w:val="auto"/>
          <w:szCs w:val="24"/>
          <w:highlight w:val="none"/>
        </w:rPr>
        <w:t>法定代表人</w:t>
      </w:r>
      <w:r>
        <w:rPr>
          <w:rFonts w:hint="eastAsia" w:hAnsi="宋体" w:cs="宋体"/>
          <w:color w:val="auto"/>
          <w:szCs w:val="24"/>
          <w:highlight w:val="none"/>
          <w:u w:val="single"/>
        </w:rPr>
        <w:t xml:space="preserve">  </w:t>
      </w:r>
      <w:r>
        <w:rPr>
          <w:rFonts w:hint="eastAsia" w:hAnsi="宋体" w:cs="宋体"/>
          <w:color w:val="auto"/>
          <w:spacing w:val="4"/>
          <w:szCs w:val="24"/>
          <w:highlight w:val="none"/>
          <w:u w:val="single"/>
        </w:rPr>
        <w:t xml:space="preserve">姓名   </w:t>
      </w:r>
      <w:r>
        <w:rPr>
          <w:rFonts w:hint="eastAsia" w:hAnsi="宋体" w:cs="宋体"/>
          <w:color w:val="auto"/>
          <w:spacing w:val="4"/>
          <w:szCs w:val="24"/>
          <w:highlight w:val="none"/>
        </w:rPr>
        <w:t>特授权</w:t>
      </w:r>
      <w:r>
        <w:rPr>
          <w:rFonts w:hint="eastAsia" w:hAnsi="宋体" w:cs="宋体"/>
          <w:color w:val="auto"/>
          <w:spacing w:val="4"/>
          <w:szCs w:val="24"/>
          <w:highlight w:val="none"/>
          <w:u w:val="single"/>
        </w:rPr>
        <w:t xml:space="preserve">  </w:t>
      </w:r>
      <w:r>
        <w:rPr>
          <w:rFonts w:hint="eastAsia" w:hAnsi="宋体" w:cs="宋体"/>
          <w:color w:val="auto"/>
          <w:szCs w:val="24"/>
          <w:highlight w:val="none"/>
          <w:u w:val="single"/>
        </w:rPr>
        <w:t>被授权人</w:t>
      </w:r>
      <w:r>
        <w:rPr>
          <w:rFonts w:hint="eastAsia" w:hAnsi="宋体" w:cs="宋体"/>
          <w:color w:val="auto"/>
          <w:spacing w:val="4"/>
          <w:szCs w:val="24"/>
          <w:highlight w:val="none"/>
          <w:u w:val="single"/>
        </w:rPr>
        <w:t xml:space="preserve">姓名  </w:t>
      </w:r>
      <w:r>
        <w:rPr>
          <w:rFonts w:hint="eastAsia" w:hAnsi="宋体"/>
          <w:color w:val="auto"/>
          <w:spacing w:val="4"/>
          <w:szCs w:val="24"/>
          <w:highlight w:val="none"/>
        </w:rPr>
        <w:t>代表我公司全权办理针对本次</w:t>
      </w:r>
      <w:r>
        <w:rPr>
          <w:rFonts w:hint="eastAsia" w:hAnsi="宋体" w:cs="宋体"/>
          <w:color w:val="auto"/>
          <w:spacing w:val="4"/>
          <w:szCs w:val="24"/>
          <w:highlight w:val="none"/>
          <w:u w:val="single"/>
        </w:rPr>
        <w:t xml:space="preserve">  项目名称、项目编号</w:t>
      </w:r>
      <w:r>
        <w:rPr>
          <w:rFonts w:hint="eastAsia" w:hAnsi="宋体"/>
          <w:color w:val="auto"/>
          <w:spacing w:val="4"/>
          <w:szCs w:val="24"/>
          <w:highlight w:val="none"/>
        </w:rPr>
        <w:t>的磋商、签约等具体工作，并签署全部有关的文件、协议及合同。</w:t>
      </w:r>
    </w:p>
    <w:p w14:paraId="5A2B9428">
      <w:pPr>
        <w:spacing w:line="360" w:lineRule="auto"/>
        <w:ind w:firstLine="496" w:firstLineChars="200"/>
        <w:rPr>
          <w:rFonts w:hint="eastAsia" w:hAnsi="宋体"/>
          <w:color w:val="auto"/>
          <w:spacing w:val="4"/>
          <w:szCs w:val="24"/>
          <w:highlight w:val="none"/>
        </w:rPr>
      </w:pPr>
      <w:r>
        <w:rPr>
          <w:rFonts w:hint="eastAsia" w:hAnsi="宋体"/>
          <w:color w:val="auto"/>
          <w:spacing w:val="4"/>
          <w:szCs w:val="24"/>
          <w:highlight w:val="none"/>
        </w:rPr>
        <w:t>我公司对被授权人的签名负全部责任。</w:t>
      </w:r>
    </w:p>
    <w:p w14:paraId="54DF9ACC">
      <w:pPr>
        <w:spacing w:line="360" w:lineRule="auto"/>
        <w:ind w:firstLine="496" w:firstLineChars="200"/>
        <w:rPr>
          <w:rFonts w:hint="eastAsia" w:hAnsi="宋体"/>
          <w:color w:val="auto"/>
          <w:spacing w:val="4"/>
          <w:szCs w:val="24"/>
          <w:highlight w:val="none"/>
        </w:rPr>
      </w:pPr>
      <w:r>
        <w:rPr>
          <w:rFonts w:hint="eastAsia" w:hAnsi="宋体"/>
          <w:color w:val="auto"/>
          <w:spacing w:val="4"/>
          <w:szCs w:val="24"/>
          <w:highlight w:val="none"/>
        </w:rPr>
        <w:t>本授权有效期与磋商有效期一致。</w:t>
      </w:r>
    </w:p>
    <w:tbl>
      <w:tblPr>
        <w:tblStyle w:val="4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11"/>
        <w:gridCol w:w="4665"/>
      </w:tblGrid>
      <w:tr w14:paraId="41BFE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2564" w:type="pct"/>
            <w:vAlign w:val="center"/>
          </w:tcPr>
          <w:p w14:paraId="21425CE7">
            <w:pPr>
              <w:spacing w:line="360" w:lineRule="auto"/>
              <w:rPr>
                <w:rFonts w:hint="eastAsia" w:hAnsi="宋体"/>
                <w:color w:val="auto"/>
                <w:spacing w:val="4"/>
                <w:szCs w:val="24"/>
                <w:highlight w:val="none"/>
              </w:rPr>
            </w:pPr>
            <w:r>
              <w:rPr>
                <w:rFonts w:hint="eastAsia" w:hAnsi="宋体"/>
                <w:color w:val="auto"/>
                <w:spacing w:val="4"/>
                <w:szCs w:val="24"/>
                <w:highlight w:val="none"/>
              </w:rPr>
              <w:t>被授权人签字或盖章：</w:t>
            </w:r>
          </w:p>
        </w:tc>
        <w:tc>
          <w:tcPr>
            <w:tcW w:w="2436" w:type="pct"/>
            <w:vAlign w:val="center"/>
          </w:tcPr>
          <w:p w14:paraId="09F2C6C3">
            <w:pPr>
              <w:spacing w:line="360" w:lineRule="auto"/>
              <w:rPr>
                <w:rFonts w:hint="eastAsia" w:hAnsi="宋体"/>
                <w:color w:val="auto"/>
                <w:spacing w:val="4"/>
                <w:szCs w:val="24"/>
                <w:highlight w:val="none"/>
              </w:rPr>
            </w:pPr>
            <w:r>
              <w:rPr>
                <w:rFonts w:hint="eastAsia" w:hAnsi="宋体"/>
                <w:color w:val="auto"/>
                <w:spacing w:val="4"/>
                <w:szCs w:val="24"/>
                <w:highlight w:val="none"/>
              </w:rPr>
              <w:t>法定代表人签字或盖章：</w:t>
            </w:r>
          </w:p>
        </w:tc>
      </w:tr>
      <w:tr w14:paraId="7D5DB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2564" w:type="pct"/>
            <w:vAlign w:val="center"/>
          </w:tcPr>
          <w:p w14:paraId="7AFB8681">
            <w:pPr>
              <w:spacing w:line="360" w:lineRule="auto"/>
              <w:rPr>
                <w:rFonts w:hint="eastAsia" w:hAnsi="宋体"/>
                <w:color w:val="auto"/>
                <w:spacing w:val="4"/>
                <w:szCs w:val="24"/>
                <w:highlight w:val="none"/>
              </w:rPr>
            </w:pPr>
            <w:r>
              <w:rPr>
                <w:rFonts w:hint="eastAsia" w:hAnsi="宋体"/>
                <w:color w:val="auto"/>
                <w:spacing w:val="4"/>
                <w:szCs w:val="24"/>
                <w:highlight w:val="none"/>
              </w:rPr>
              <w:t>职务：</w:t>
            </w:r>
          </w:p>
        </w:tc>
        <w:tc>
          <w:tcPr>
            <w:tcW w:w="2436" w:type="pct"/>
            <w:vAlign w:val="center"/>
          </w:tcPr>
          <w:p w14:paraId="1E63FFEC">
            <w:pPr>
              <w:spacing w:line="360" w:lineRule="auto"/>
              <w:rPr>
                <w:rFonts w:hint="eastAsia" w:hAnsi="宋体"/>
                <w:color w:val="auto"/>
                <w:spacing w:val="4"/>
                <w:szCs w:val="24"/>
                <w:highlight w:val="none"/>
              </w:rPr>
            </w:pPr>
            <w:r>
              <w:rPr>
                <w:rFonts w:hint="eastAsia" w:hAnsi="宋体"/>
                <w:color w:val="auto"/>
                <w:spacing w:val="4"/>
                <w:szCs w:val="24"/>
                <w:highlight w:val="none"/>
              </w:rPr>
              <w:t>职务：</w:t>
            </w:r>
          </w:p>
        </w:tc>
      </w:tr>
      <w:tr w14:paraId="1CBFA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2564" w:type="pct"/>
            <w:vAlign w:val="center"/>
          </w:tcPr>
          <w:p w14:paraId="0FC302B0">
            <w:pPr>
              <w:spacing w:line="360" w:lineRule="auto"/>
              <w:rPr>
                <w:rFonts w:hint="eastAsia" w:hAnsi="宋体"/>
                <w:color w:val="auto"/>
                <w:spacing w:val="4"/>
                <w:szCs w:val="24"/>
                <w:highlight w:val="none"/>
              </w:rPr>
            </w:pPr>
            <w:r>
              <w:rPr>
                <w:rFonts w:hint="eastAsia" w:hAnsi="宋体"/>
                <w:color w:val="auto"/>
                <w:spacing w:val="4"/>
                <w:szCs w:val="24"/>
                <w:highlight w:val="none"/>
              </w:rPr>
              <w:t>身份证号：</w:t>
            </w:r>
          </w:p>
        </w:tc>
        <w:tc>
          <w:tcPr>
            <w:tcW w:w="2436" w:type="pct"/>
            <w:vAlign w:val="center"/>
          </w:tcPr>
          <w:p w14:paraId="474AD44E">
            <w:pPr>
              <w:spacing w:line="360" w:lineRule="auto"/>
              <w:rPr>
                <w:rFonts w:hint="eastAsia" w:hAnsi="宋体"/>
                <w:color w:val="auto"/>
                <w:spacing w:val="4"/>
                <w:szCs w:val="24"/>
                <w:highlight w:val="none"/>
              </w:rPr>
            </w:pPr>
            <w:r>
              <w:rPr>
                <w:rFonts w:hint="eastAsia" w:hAnsi="宋体"/>
                <w:color w:val="auto"/>
                <w:spacing w:val="4"/>
                <w:szCs w:val="24"/>
                <w:highlight w:val="none"/>
              </w:rPr>
              <w:t>身份证号：</w:t>
            </w:r>
          </w:p>
        </w:tc>
      </w:tr>
      <w:tr w14:paraId="21190E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2564" w:type="pct"/>
            <w:vAlign w:val="center"/>
          </w:tcPr>
          <w:p w14:paraId="7E9B250A">
            <w:pPr>
              <w:spacing w:line="360" w:lineRule="auto"/>
              <w:rPr>
                <w:rFonts w:hint="eastAsia" w:hAnsi="宋体"/>
                <w:color w:val="auto"/>
                <w:spacing w:val="4"/>
                <w:szCs w:val="24"/>
                <w:highlight w:val="none"/>
              </w:rPr>
            </w:pPr>
            <w:r>
              <w:rPr>
                <w:rFonts w:hint="eastAsia" w:hAnsi="宋体"/>
                <w:color w:val="auto"/>
                <w:spacing w:val="4"/>
                <w:szCs w:val="24"/>
                <w:highlight w:val="none"/>
              </w:rPr>
              <w:t>所在部门：</w:t>
            </w:r>
          </w:p>
        </w:tc>
        <w:tc>
          <w:tcPr>
            <w:tcW w:w="2436" w:type="pct"/>
            <w:vAlign w:val="center"/>
          </w:tcPr>
          <w:p w14:paraId="20E8E154">
            <w:pPr>
              <w:spacing w:line="360" w:lineRule="auto"/>
              <w:rPr>
                <w:rFonts w:hint="eastAsia" w:hAnsi="宋体"/>
                <w:color w:val="auto"/>
                <w:spacing w:val="4"/>
                <w:szCs w:val="24"/>
                <w:highlight w:val="none"/>
              </w:rPr>
            </w:pPr>
          </w:p>
        </w:tc>
      </w:tr>
    </w:tbl>
    <w:p w14:paraId="59420387">
      <w:pPr>
        <w:spacing w:line="360" w:lineRule="auto"/>
        <w:ind w:firstLine="505" w:firstLineChars="204"/>
        <w:rPr>
          <w:rFonts w:hint="eastAsia" w:hAnsi="宋体"/>
          <w:color w:val="auto"/>
          <w:spacing w:val="4"/>
          <w:szCs w:val="24"/>
          <w:highlight w:val="none"/>
        </w:rPr>
      </w:pPr>
      <w:r>
        <w:rPr>
          <w:rFonts w:hint="eastAsia" w:hAnsi="宋体"/>
          <w:color w:val="auto"/>
          <w:spacing w:val="4"/>
          <w:szCs w:val="24"/>
          <w:highlight w:val="none"/>
        </w:rPr>
        <w:t>附：法定代表人、被授权人身份证复印件</w:t>
      </w:r>
      <w:r>
        <w:rPr>
          <w:color w:val="auto"/>
          <w:szCs w:val="21"/>
          <w:highlight w:val="none"/>
          <w:lang w:val="zh-CN"/>
        </w:rPr>
        <w:t>（正反面）</w:t>
      </w:r>
    </w:p>
    <w:tbl>
      <w:tblPr>
        <w:tblStyle w:val="49"/>
        <w:tblpPr w:leftFromText="180" w:rightFromText="180" w:vertAnchor="text" w:horzAnchor="margin" w:tblpXSpec="center" w:tblpY="104"/>
        <w:tblW w:w="494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36"/>
        <w:gridCol w:w="4737"/>
      </w:tblGrid>
      <w:tr w14:paraId="6EB405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0" w:hRule="atLeast"/>
        </w:trPr>
        <w:tc>
          <w:tcPr>
            <w:tcW w:w="2500" w:type="pct"/>
            <w:vAlign w:val="center"/>
          </w:tcPr>
          <w:p w14:paraId="548E45CE">
            <w:pPr>
              <w:autoSpaceDE w:val="0"/>
              <w:autoSpaceDN w:val="0"/>
              <w:adjustRightInd w:val="0"/>
              <w:snapToGrid w:val="0"/>
              <w:spacing w:before="156" w:beforeLines="50" w:line="360" w:lineRule="auto"/>
              <w:jc w:val="center"/>
              <w:rPr>
                <w:rFonts w:hint="eastAsia" w:hAnsi="宋体"/>
                <w:color w:val="auto"/>
                <w:szCs w:val="21"/>
                <w:highlight w:val="none"/>
              </w:rPr>
            </w:pPr>
            <w:r>
              <w:rPr>
                <w:rFonts w:hint="eastAsia" w:hAnsi="宋体"/>
                <w:color w:val="auto"/>
                <w:szCs w:val="21"/>
                <w:highlight w:val="none"/>
              </w:rPr>
              <w:t>法定代表人身份证复印件粘贴处</w:t>
            </w:r>
          </w:p>
          <w:p w14:paraId="7118E206">
            <w:pPr>
              <w:pStyle w:val="2"/>
              <w:jc w:val="center"/>
              <w:rPr>
                <w:rFonts w:hint="eastAsia" w:ascii="宋体" w:hAnsi="宋体"/>
                <w:color w:val="auto"/>
                <w:kern w:val="0"/>
                <w:sz w:val="24"/>
                <w:szCs w:val="21"/>
                <w:highlight w:val="none"/>
              </w:rPr>
            </w:pPr>
            <w:r>
              <w:rPr>
                <w:rFonts w:hint="eastAsia" w:ascii="宋体" w:hAnsi="宋体"/>
                <w:color w:val="auto"/>
                <w:kern w:val="0"/>
                <w:sz w:val="24"/>
                <w:szCs w:val="21"/>
                <w:highlight w:val="none"/>
              </w:rPr>
              <w:t>（正反面）</w:t>
            </w:r>
          </w:p>
        </w:tc>
        <w:tc>
          <w:tcPr>
            <w:tcW w:w="2500" w:type="pct"/>
            <w:vAlign w:val="center"/>
          </w:tcPr>
          <w:p w14:paraId="62A3F97D">
            <w:pPr>
              <w:autoSpaceDE w:val="0"/>
              <w:autoSpaceDN w:val="0"/>
              <w:adjustRightInd w:val="0"/>
              <w:snapToGrid w:val="0"/>
              <w:spacing w:before="156" w:beforeLines="50" w:line="360" w:lineRule="auto"/>
              <w:jc w:val="center"/>
              <w:rPr>
                <w:rFonts w:hint="eastAsia" w:hAnsi="宋体"/>
                <w:color w:val="auto"/>
                <w:sz w:val="24"/>
                <w:szCs w:val="21"/>
                <w:highlight w:val="none"/>
              </w:rPr>
            </w:pPr>
            <w:r>
              <w:rPr>
                <w:rFonts w:hint="eastAsia" w:hAnsi="宋体"/>
                <w:color w:val="auto"/>
                <w:sz w:val="24"/>
                <w:szCs w:val="21"/>
                <w:highlight w:val="none"/>
              </w:rPr>
              <w:t>被授权人身份证复印件粘贴处</w:t>
            </w:r>
          </w:p>
          <w:p w14:paraId="47A70D3F">
            <w:pPr>
              <w:autoSpaceDE w:val="0"/>
              <w:autoSpaceDN w:val="0"/>
              <w:adjustRightInd w:val="0"/>
              <w:snapToGrid w:val="0"/>
              <w:spacing w:before="156" w:beforeLines="50" w:line="360" w:lineRule="auto"/>
              <w:jc w:val="center"/>
              <w:rPr>
                <w:rFonts w:hint="eastAsia" w:hAnsi="宋体"/>
                <w:color w:val="auto"/>
                <w:szCs w:val="21"/>
                <w:highlight w:val="none"/>
              </w:rPr>
            </w:pPr>
            <w:r>
              <w:rPr>
                <w:rFonts w:hint="eastAsia" w:hAnsi="宋体"/>
                <w:color w:val="auto"/>
                <w:sz w:val="24"/>
                <w:szCs w:val="21"/>
                <w:highlight w:val="none"/>
              </w:rPr>
              <w:t>（正反面）</w:t>
            </w:r>
          </w:p>
        </w:tc>
      </w:tr>
    </w:tbl>
    <w:p w14:paraId="331EF709">
      <w:pPr>
        <w:pStyle w:val="2"/>
        <w:rPr>
          <w:color w:val="auto"/>
          <w:highlight w:val="none"/>
        </w:rPr>
      </w:pPr>
    </w:p>
    <w:p w14:paraId="45F7F394">
      <w:pPr>
        <w:spacing w:line="600" w:lineRule="auto"/>
        <w:ind w:firstLine="4216" w:firstLineChars="1700"/>
        <w:jc w:val="left"/>
        <w:rPr>
          <w:rFonts w:hint="eastAsia" w:hAnsi="宋体"/>
          <w:color w:val="auto"/>
          <w:spacing w:val="4"/>
          <w:szCs w:val="24"/>
          <w:highlight w:val="none"/>
        </w:rPr>
      </w:pPr>
      <w:r>
        <w:rPr>
          <w:rFonts w:hint="eastAsia" w:hAnsi="宋体"/>
          <w:color w:val="auto"/>
          <w:spacing w:val="4"/>
          <w:szCs w:val="24"/>
          <w:highlight w:val="none"/>
        </w:rPr>
        <w:t>供应商名称：</w:t>
      </w:r>
      <w:r>
        <w:rPr>
          <w:rFonts w:hint="eastAsia" w:hAnsi="宋体"/>
          <w:color w:val="auto"/>
          <w:spacing w:val="4"/>
          <w:szCs w:val="24"/>
          <w:highlight w:val="none"/>
          <w:u w:val="single"/>
        </w:rPr>
        <w:t xml:space="preserve">                  </w:t>
      </w:r>
      <w:r>
        <w:rPr>
          <w:rFonts w:hint="eastAsia" w:hAnsi="宋体"/>
          <w:color w:val="auto"/>
          <w:spacing w:val="4"/>
          <w:szCs w:val="24"/>
          <w:highlight w:val="none"/>
        </w:rPr>
        <w:t>（公章）</w:t>
      </w:r>
    </w:p>
    <w:p w14:paraId="54485067">
      <w:pPr>
        <w:spacing w:line="600" w:lineRule="auto"/>
        <w:ind w:firstLine="4216" w:firstLineChars="1700"/>
        <w:rPr>
          <w:rFonts w:hint="eastAsia" w:hAnsi="宋体"/>
          <w:color w:val="auto"/>
          <w:spacing w:val="4"/>
          <w:szCs w:val="24"/>
          <w:highlight w:val="none"/>
        </w:rPr>
      </w:pPr>
      <w:r>
        <w:rPr>
          <w:rFonts w:hint="eastAsia" w:hAnsi="宋体"/>
          <w:color w:val="auto"/>
          <w:spacing w:val="4"/>
          <w:szCs w:val="24"/>
          <w:highlight w:val="none"/>
        </w:rPr>
        <w:t>日期：    年  月  日</w:t>
      </w:r>
    </w:p>
    <w:p w14:paraId="5EB80408">
      <w:pPr>
        <w:pStyle w:val="179"/>
        <w:spacing w:line="480" w:lineRule="exact"/>
        <w:ind w:firstLine="0" w:firstLineChars="0"/>
        <w:rPr>
          <w:rFonts w:hint="eastAsia" w:hAnsi="宋体" w:cs="宋体"/>
          <w:b/>
          <w:bCs/>
          <w:color w:val="auto"/>
          <w:highlight w:val="none"/>
          <w:lang w:val="zh-CN"/>
        </w:rPr>
      </w:pPr>
      <w:r>
        <w:rPr>
          <w:rFonts w:hint="eastAsia" w:hAnsi="宋体" w:cs="宋体"/>
          <w:b/>
          <w:bCs/>
          <w:color w:val="auto"/>
          <w:highlight w:val="none"/>
          <w:lang w:val="zh-CN"/>
        </w:rPr>
        <w:t>说明：法定代表人直接</w:t>
      </w:r>
      <w:r>
        <w:rPr>
          <w:rFonts w:hint="eastAsia" w:hAnsi="宋体" w:cs="宋体"/>
          <w:b/>
          <w:bCs/>
          <w:color w:val="auto"/>
          <w:highlight w:val="none"/>
        </w:rPr>
        <w:t>磋商</w:t>
      </w:r>
      <w:r>
        <w:rPr>
          <w:rFonts w:hint="eastAsia" w:hAnsi="宋体" w:cs="宋体"/>
          <w:b/>
          <w:bCs/>
          <w:color w:val="auto"/>
          <w:highlight w:val="none"/>
          <w:lang w:val="zh-CN"/>
        </w:rPr>
        <w:t>时无需提供。</w:t>
      </w:r>
    </w:p>
    <w:p w14:paraId="75415EE0">
      <w:pPr>
        <w:rPr>
          <w:rFonts w:hint="eastAsia" w:hAnsi="宋体" w:cs="宋体"/>
          <w:b/>
          <w:bCs/>
          <w:color w:val="auto"/>
          <w:highlight w:val="none"/>
          <w:lang w:val="zh-CN"/>
        </w:rPr>
      </w:pPr>
      <w:r>
        <w:rPr>
          <w:rFonts w:hint="eastAsia" w:hAnsi="宋体" w:cs="宋体"/>
          <w:b/>
          <w:bCs/>
          <w:color w:val="auto"/>
          <w:highlight w:val="none"/>
          <w:lang w:val="zh-CN"/>
        </w:rPr>
        <w:br w:type="page"/>
      </w:r>
    </w:p>
    <w:p w14:paraId="65EB907D">
      <w:pPr>
        <w:numPr>
          <w:ilvl w:val="0"/>
          <w:numId w:val="0"/>
        </w:numPr>
        <w:jc w:val="left"/>
        <w:outlineLvl w:val="2"/>
        <w:rPr>
          <w:rFonts w:hint="eastAsia" w:hAnsi="宋体" w:eastAsia="宋体" w:cs="宋体"/>
          <w:b/>
          <w:color w:val="auto"/>
          <w:sz w:val="24"/>
          <w:szCs w:val="24"/>
          <w:highlight w:val="none"/>
          <w:lang w:val="en-US" w:eastAsia="zh-CN"/>
        </w:rPr>
      </w:pPr>
      <w:r>
        <w:rPr>
          <w:rFonts w:hint="eastAsia" w:hAnsi="宋体" w:cs="宋体"/>
          <w:b/>
          <w:color w:val="auto"/>
          <w:sz w:val="24"/>
          <w:szCs w:val="24"/>
          <w:highlight w:val="none"/>
          <w:lang w:val="zh-CN"/>
        </w:rPr>
        <w:t>附件</w:t>
      </w:r>
      <w:r>
        <w:rPr>
          <w:rFonts w:hint="eastAsia" w:hAnsi="宋体" w:cs="宋体"/>
          <w:b/>
          <w:color w:val="auto"/>
          <w:sz w:val="24"/>
          <w:szCs w:val="24"/>
          <w:highlight w:val="none"/>
          <w:lang w:val="en-US" w:eastAsia="zh-CN"/>
        </w:rPr>
        <w:t>2：</w:t>
      </w:r>
    </w:p>
    <w:p w14:paraId="5982D881">
      <w:pPr>
        <w:numPr>
          <w:ilvl w:val="0"/>
          <w:numId w:val="0"/>
        </w:numPr>
        <w:jc w:val="center"/>
        <w:outlineLvl w:val="2"/>
        <w:rPr>
          <w:rFonts w:hint="eastAsia" w:hAnsi="宋体" w:cs="宋体"/>
          <w:b/>
          <w:color w:val="auto"/>
          <w:sz w:val="28"/>
          <w:szCs w:val="28"/>
          <w:highlight w:val="none"/>
          <w:lang w:val="zh-CN"/>
        </w:rPr>
      </w:pPr>
      <w:r>
        <w:rPr>
          <w:rFonts w:hint="eastAsia" w:hAnsi="宋体" w:cs="宋体"/>
          <w:b/>
          <w:color w:val="auto"/>
          <w:sz w:val="28"/>
          <w:szCs w:val="28"/>
          <w:highlight w:val="none"/>
          <w:lang w:val="zh-CN"/>
        </w:rPr>
        <w:t>企业关系关联承诺书</w:t>
      </w:r>
    </w:p>
    <w:p w14:paraId="4E3AD229">
      <w:pPr>
        <w:autoSpaceDE w:val="0"/>
        <w:autoSpaceDN w:val="0"/>
        <w:adjustRightInd w:val="0"/>
        <w:spacing w:line="360" w:lineRule="auto"/>
        <w:ind w:firstLine="480" w:firstLineChars="200"/>
        <w:rPr>
          <w:rFonts w:hint="eastAsia" w:hAnsi="宋体" w:cs="宋体"/>
          <w:color w:val="auto"/>
          <w:szCs w:val="24"/>
          <w:highlight w:val="none"/>
        </w:rPr>
      </w:pPr>
      <w:r>
        <w:rPr>
          <w:rFonts w:hint="eastAsia" w:hAnsi="宋体" w:cs="宋体"/>
          <w:color w:val="auto"/>
          <w:szCs w:val="24"/>
          <w:highlight w:val="none"/>
        </w:rPr>
        <w:t>一、我单位在本项目磋商中</w:t>
      </w:r>
      <w:r>
        <w:rPr>
          <w:rFonts w:hint="eastAsia" w:hAnsi="宋体" w:cs="宋体"/>
          <w:color w:val="auto"/>
          <w:szCs w:val="24"/>
          <w:highlight w:val="none"/>
          <w:u w:val="single"/>
        </w:rPr>
        <w:t xml:space="preserve">      （</w:t>
      </w:r>
      <w:r>
        <w:rPr>
          <w:rFonts w:hint="eastAsia" w:hAnsi="宋体" w:cs="宋体"/>
          <w:color w:val="auto"/>
          <w:szCs w:val="24"/>
          <w:highlight w:val="none"/>
        </w:rPr>
        <w:t>填“存在”或“不存在”）与其它供应商负责人为同一人，或有控股、管理等关联关系。</w:t>
      </w:r>
    </w:p>
    <w:p w14:paraId="230791F5">
      <w:pPr>
        <w:autoSpaceDE w:val="0"/>
        <w:autoSpaceDN w:val="0"/>
        <w:adjustRightInd w:val="0"/>
        <w:spacing w:line="360" w:lineRule="auto"/>
        <w:ind w:firstLine="480" w:firstLineChars="200"/>
        <w:rPr>
          <w:rFonts w:hint="eastAsia" w:hAnsi="宋体" w:cs="宋体"/>
          <w:color w:val="auto"/>
          <w:szCs w:val="24"/>
          <w:highlight w:val="none"/>
        </w:rPr>
      </w:pPr>
      <w:r>
        <w:rPr>
          <w:rFonts w:hint="eastAsia" w:hAnsi="宋体" w:cs="宋体"/>
          <w:color w:val="auto"/>
          <w:szCs w:val="24"/>
          <w:highlight w:val="none"/>
        </w:rPr>
        <w:t>（一）管理关系说明：</w:t>
      </w:r>
    </w:p>
    <w:p w14:paraId="4C635A90">
      <w:pPr>
        <w:autoSpaceDE w:val="0"/>
        <w:autoSpaceDN w:val="0"/>
        <w:adjustRightInd w:val="0"/>
        <w:spacing w:line="360" w:lineRule="auto"/>
        <w:ind w:firstLine="480" w:firstLineChars="200"/>
        <w:rPr>
          <w:rFonts w:hint="eastAsia" w:hAnsi="宋体" w:cs="宋体"/>
          <w:color w:val="auto"/>
          <w:szCs w:val="24"/>
          <w:highlight w:val="none"/>
          <w:u w:val="single"/>
        </w:rPr>
      </w:pPr>
      <w:r>
        <w:rPr>
          <w:rFonts w:hint="eastAsia" w:hAnsi="宋体" w:cs="宋体"/>
          <w:color w:val="auto"/>
          <w:szCs w:val="24"/>
          <w:highlight w:val="none"/>
        </w:rPr>
        <w:t>我单位管理的具有独立法人的下属单位：</w:t>
      </w:r>
      <w:r>
        <w:rPr>
          <w:rFonts w:hint="eastAsia" w:hAnsi="宋体" w:cs="宋体"/>
          <w:color w:val="auto"/>
          <w:szCs w:val="24"/>
          <w:highlight w:val="none"/>
          <w:u w:val="single"/>
        </w:rPr>
        <w:t xml:space="preserve">      </w:t>
      </w:r>
      <w:r>
        <w:rPr>
          <w:rFonts w:hint="eastAsia" w:hAnsi="宋体" w:cs="宋体"/>
          <w:color w:val="auto"/>
          <w:szCs w:val="24"/>
          <w:highlight w:val="none"/>
        </w:rPr>
        <w:t>(没有填“无”)。</w:t>
      </w:r>
    </w:p>
    <w:p w14:paraId="60DDC356">
      <w:pPr>
        <w:autoSpaceDE w:val="0"/>
        <w:autoSpaceDN w:val="0"/>
        <w:adjustRightInd w:val="0"/>
        <w:spacing w:line="360" w:lineRule="auto"/>
        <w:ind w:firstLine="480" w:firstLineChars="200"/>
        <w:rPr>
          <w:rFonts w:hint="eastAsia" w:hAnsi="宋体" w:cs="宋体"/>
          <w:color w:val="auto"/>
          <w:szCs w:val="24"/>
          <w:highlight w:val="none"/>
        </w:rPr>
      </w:pPr>
      <w:r>
        <w:rPr>
          <w:rFonts w:hint="eastAsia" w:hAnsi="宋体" w:cs="宋体"/>
          <w:color w:val="auto"/>
          <w:szCs w:val="24"/>
          <w:highlight w:val="none"/>
        </w:rPr>
        <w:t xml:space="preserve">我单位的上级管理单位 </w:t>
      </w:r>
      <w:r>
        <w:rPr>
          <w:rFonts w:hint="eastAsia" w:hAnsi="宋体" w:cs="宋体"/>
          <w:color w:val="auto"/>
          <w:szCs w:val="24"/>
          <w:highlight w:val="none"/>
          <w:u w:val="single"/>
        </w:rPr>
        <w:t xml:space="preserve">            </w:t>
      </w:r>
      <w:r>
        <w:rPr>
          <w:rFonts w:hint="eastAsia" w:hAnsi="宋体" w:cs="宋体"/>
          <w:color w:val="auto"/>
          <w:szCs w:val="24"/>
          <w:highlight w:val="none"/>
        </w:rPr>
        <w:t xml:space="preserve"> (没有填“无”)。</w:t>
      </w:r>
    </w:p>
    <w:p w14:paraId="590413D6">
      <w:pPr>
        <w:autoSpaceDE w:val="0"/>
        <w:autoSpaceDN w:val="0"/>
        <w:adjustRightInd w:val="0"/>
        <w:spacing w:line="360" w:lineRule="auto"/>
        <w:ind w:firstLine="480" w:firstLineChars="200"/>
        <w:rPr>
          <w:rFonts w:hint="eastAsia" w:hAnsi="宋体" w:cs="宋体"/>
          <w:color w:val="auto"/>
          <w:szCs w:val="24"/>
          <w:highlight w:val="none"/>
        </w:rPr>
      </w:pPr>
      <w:r>
        <w:rPr>
          <w:rFonts w:hint="eastAsia" w:hAnsi="宋体" w:cs="宋体"/>
          <w:color w:val="auto"/>
          <w:szCs w:val="24"/>
          <w:highlight w:val="none"/>
        </w:rPr>
        <w:t>（二）股权关系说明：</w:t>
      </w:r>
    </w:p>
    <w:p w14:paraId="476E65CD">
      <w:pPr>
        <w:autoSpaceDE w:val="0"/>
        <w:autoSpaceDN w:val="0"/>
        <w:adjustRightInd w:val="0"/>
        <w:spacing w:line="360" w:lineRule="auto"/>
        <w:ind w:firstLine="480" w:firstLineChars="200"/>
        <w:rPr>
          <w:rFonts w:hint="eastAsia" w:hAnsi="宋体" w:cs="宋体"/>
          <w:color w:val="auto"/>
          <w:szCs w:val="24"/>
          <w:highlight w:val="none"/>
        </w:rPr>
      </w:pPr>
      <w:r>
        <w:rPr>
          <w:rFonts w:hint="eastAsia" w:hAnsi="宋体" w:cs="宋体"/>
          <w:color w:val="auto"/>
          <w:szCs w:val="24"/>
          <w:highlight w:val="none"/>
        </w:rPr>
        <w:t>我单位控股的单位</w:t>
      </w:r>
      <w:r>
        <w:rPr>
          <w:rFonts w:hint="eastAsia" w:hAnsi="宋体" w:cs="宋体"/>
          <w:color w:val="auto"/>
          <w:szCs w:val="24"/>
          <w:highlight w:val="none"/>
          <w:u w:val="single"/>
        </w:rPr>
        <w:t xml:space="preserve">          </w:t>
      </w:r>
      <w:r>
        <w:rPr>
          <w:rFonts w:hint="eastAsia" w:hAnsi="宋体" w:cs="宋体"/>
          <w:color w:val="auto"/>
          <w:szCs w:val="24"/>
          <w:highlight w:val="none"/>
        </w:rPr>
        <w:t>(没有填“无”) 。</w:t>
      </w:r>
    </w:p>
    <w:p w14:paraId="5BD3946E">
      <w:pPr>
        <w:autoSpaceDE w:val="0"/>
        <w:autoSpaceDN w:val="0"/>
        <w:adjustRightInd w:val="0"/>
        <w:spacing w:line="360" w:lineRule="auto"/>
        <w:ind w:firstLine="480" w:firstLineChars="200"/>
        <w:rPr>
          <w:rFonts w:hint="eastAsia" w:hAnsi="宋体" w:cs="宋体"/>
          <w:color w:val="auto"/>
          <w:szCs w:val="24"/>
          <w:highlight w:val="none"/>
        </w:rPr>
      </w:pPr>
      <w:r>
        <w:rPr>
          <w:rFonts w:hint="eastAsia" w:hAnsi="宋体" w:cs="宋体"/>
          <w:color w:val="auto"/>
          <w:szCs w:val="24"/>
          <w:highlight w:val="none"/>
        </w:rPr>
        <w:t>我单位</w:t>
      </w:r>
      <w:r>
        <w:rPr>
          <w:rFonts w:hint="eastAsia" w:hAnsi="宋体" w:cs="宋体"/>
          <w:color w:val="auto"/>
          <w:szCs w:val="24"/>
          <w:highlight w:val="none"/>
          <w:u w:val="single"/>
        </w:rPr>
        <w:t xml:space="preserve">       </w:t>
      </w:r>
      <w:r>
        <w:rPr>
          <w:rFonts w:hint="eastAsia" w:hAnsi="宋体" w:cs="宋体"/>
          <w:color w:val="auto"/>
          <w:szCs w:val="24"/>
          <w:highlight w:val="none"/>
        </w:rPr>
        <w:t>(填“有”或“没有”)被</w:t>
      </w:r>
      <w:r>
        <w:rPr>
          <w:rFonts w:hint="eastAsia" w:hAnsi="宋体" w:cs="宋体"/>
          <w:color w:val="auto"/>
          <w:szCs w:val="24"/>
          <w:highlight w:val="none"/>
          <w:u w:val="single"/>
        </w:rPr>
        <w:t xml:space="preserve">     （有填写控股单位全称，没有填“/”）  </w:t>
      </w:r>
      <w:r>
        <w:rPr>
          <w:rFonts w:hint="eastAsia" w:hAnsi="宋体" w:cs="宋体"/>
          <w:color w:val="auto"/>
          <w:szCs w:val="24"/>
          <w:highlight w:val="none"/>
        </w:rPr>
        <w:t>单位控股。</w:t>
      </w:r>
    </w:p>
    <w:p w14:paraId="5765087E">
      <w:pPr>
        <w:autoSpaceDE w:val="0"/>
        <w:autoSpaceDN w:val="0"/>
        <w:adjustRightInd w:val="0"/>
        <w:spacing w:line="360" w:lineRule="auto"/>
        <w:ind w:firstLine="480" w:firstLineChars="200"/>
        <w:rPr>
          <w:rFonts w:hint="eastAsia" w:hAnsi="宋体" w:cs="宋体"/>
          <w:color w:val="auto"/>
          <w:szCs w:val="24"/>
          <w:highlight w:val="none"/>
        </w:rPr>
      </w:pPr>
      <w:r>
        <w:rPr>
          <w:rFonts w:hint="eastAsia" w:hAnsi="宋体" w:cs="宋体"/>
          <w:color w:val="auto"/>
          <w:szCs w:val="24"/>
          <w:highlight w:val="none"/>
        </w:rPr>
        <w:t>二、我单位</w:t>
      </w:r>
      <w:r>
        <w:rPr>
          <w:rFonts w:hint="eastAsia" w:hAnsi="宋体" w:cs="宋体"/>
          <w:color w:val="auto"/>
          <w:szCs w:val="24"/>
          <w:highlight w:val="none"/>
          <w:u w:val="single"/>
        </w:rPr>
        <w:t xml:space="preserve">          </w:t>
      </w:r>
      <w:r>
        <w:rPr>
          <w:rFonts w:hint="eastAsia" w:hAnsi="宋体" w:cs="宋体"/>
          <w:color w:val="auto"/>
          <w:szCs w:val="24"/>
          <w:highlight w:val="none"/>
        </w:rPr>
        <w:t>（填“有”或“没有”） 为本采购项目提供过整体设计、规范编制或者项目管理、监理、检测等服务的供应商。</w:t>
      </w:r>
    </w:p>
    <w:p w14:paraId="45DB4CF9">
      <w:pPr>
        <w:autoSpaceDE w:val="0"/>
        <w:autoSpaceDN w:val="0"/>
        <w:adjustRightInd w:val="0"/>
        <w:spacing w:line="360" w:lineRule="auto"/>
        <w:ind w:firstLine="480" w:firstLineChars="200"/>
        <w:rPr>
          <w:rFonts w:hint="eastAsia" w:hAnsi="宋体" w:cs="宋体"/>
          <w:color w:val="auto"/>
          <w:szCs w:val="24"/>
          <w:highlight w:val="none"/>
        </w:rPr>
      </w:pPr>
      <w:r>
        <w:rPr>
          <w:rFonts w:hint="eastAsia" w:hAnsi="宋体" w:cs="宋体"/>
          <w:color w:val="auto"/>
          <w:szCs w:val="24"/>
          <w:highlight w:val="none"/>
        </w:rPr>
        <w:t>三、其他与本项目有关的利害关系说明</w:t>
      </w:r>
      <w:r>
        <w:rPr>
          <w:rFonts w:hint="eastAsia" w:hAnsi="宋体" w:cs="宋体"/>
          <w:color w:val="auto"/>
          <w:szCs w:val="24"/>
          <w:highlight w:val="none"/>
          <w:u w:val="single"/>
        </w:rPr>
        <w:t xml:space="preserve">       </w:t>
      </w:r>
      <w:r>
        <w:rPr>
          <w:rFonts w:hint="eastAsia" w:hAnsi="宋体" w:cs="宋体"/>
          <w:color w:val="auto"/>
          <w:szCs w:val="24"/>
          <w:highlight w:val="none"/>
        </w:rPr>
        <w:t>(没有填“无”) 。</w:t>
      </w:r>
    </w:p>
    <w:p w14:paraId="24219460">
      <w:pPr>
        <w:autoSpaceDE w:val="0"/>
        <w:autoSpaceDN w:val="0"/>
        <w:adjustRightInd w:val="0"/>
        <w:spacing w:line="360" w:lineRule="auto"/>
        <w:ind w:firstLine="480" w:firstLineChars="200"/>
        <w:rPr>
          <w:rFonts w:hint="eastAsia" w:hAnsi="宋体" w:cs="宋体"/>
          <w:color w:val="auto"/>
          <w:szCs w:val="24"/>
          <w:highlight w:val="none"/>
        </w:rPr>
      </w:pPr>
      <w:r>
        <w:rPr>
          <w:rFonts w:hint="eastAsia" w:hAnsi="宋体" w:cs="宋体"/>
          <w:color w:val="auto"/>
          <w:szCs w:val="24"/>
          <w:highlight w:val="none"/>
        </w:rPr>
        <w:t>我单位承诺以上说明真实有效，无虚假内容或隐瞒。</w:t>
      </w:r>
    </w:p>
    <w:p w14:paraId="0C4CE45B">
      <w:pPr>
        <w:spacing w:line="500" w:lineRule="exact"/>
        <w:ind w:firstLine="240" w:firstLineChars="100"/>
        <w:rPr>
          <w:rFonts w:hint="eastAsia" w:hAnsi="宋体" w:cs="宋体"/>
          <w:color w:val="auto"/>
          <w:szCs w:val="24"/>
          <w:highlight w:val="none"/>
        </w:rPr>
      </w:pPr>
    </w:p>
    <w:p w14:paraId="5EC1F93B">
      <w:pPr>
        <w:pStyle w:val="2"/>
        <w:rPr>
          <w:color w:val="auto"/>
          <w:highlight w:val="none"/>
        </w:rPr>
      </w:pPr>
    </w:p>
    <w:p w14:paraId="4AEDED7D">
      <w:pPr>
        <w:spacing w:line="500" w:lineRule="exact"/>
        <w:ind w:firstLine="2400" w:firstLineChars="1000"/>
        <w:rPr>
          <w:rFonts w:hint="eastAsia" w:hAnsi="宋体" w:cs="宋体"/>
          <w:color w:val="auto"/>
          <w:szCs w:val="24"/>
          <w:highlight w:val="none"/>
        </w:rPr>
      </w:pPr>
      <w:r>
        <w:rPr>
          <w:rFonts w:hint="eastAsia" w:hAnsi="宋体" w:cs="宋体"/>
          <w:color w:val="auto"/>
          <w:szCs w:val="24"/>
          <w:highlight w:val="none"/>
        </w:rPr>
        <w:t>供应商名称</w:t>
      </w:r>
      <w:r>
        <w:rPr>
          <w:rFonts w:hint="eastAsia" w:hAnsi="宋体" w:cs="宋体"/>
          <w:color w:val="auto"/>
          <w:szCs w:val="24"/>
          <w:highlight w:val="none"/>
          <w:u w:val="single"/>
        </w:rPr>
        <w:t xml:space="preserve">：                     </w:t>
      </w:r>
      <w:r>
        <w:rPr>
          <w:rFonts w:hint="eastAsia" w:hAnsi="宋体" w:cs="宋体"/>
          <w:color w:val="auto"/>
          <w:szCs w:val="24"/>
          <w:highlight w:val="none"/>
        </w:rPr>
        <w:t>（盖单位公章）</w:t>
      </w:r>
    </w:p>
    <w:p w14:paraId="1162C5E1">
      <w:pPr>
        <w:spacing w:line="500" w:lineRule="exact"/>
        <w:ind w:firstLine="240" w:firstLineChars="100"/>
        <w:rPr>
          <w:rFonts w:hint="eastAsia" w:hAnsi="宋体" w:cs="宋体"/>
          <w:color w:val="auto"/>
          <w:szCs w:val="24"/>
          <w:highlight w:val="none"/>
        </w:rPr>
      </w:pPr>
    </w:p>
    <w:p w14:paraId="7BC7677E">
      <w:pPr>
        <w:spacing w:line="500" w:lineRule="exact"/>
        <w:ind w:firstLine="2480" w:firstLineChars="1000"/>
        <w:rPr>
          <w:rFonts w:hint="eastAsia" w:hAnsi="宋体" w:cs="宋体"/>
          <w:color w:val="auto"/>
          <w:szCs w:val="24"/>
          <w:highlight w:val="none"/>
        </w:rPr>
      </w:pPr>
      <w:r>
        <w:rPr>
          <w:rFonts w:hint="eastAsia" w:cs="仿宋" w:asciiTheme="minorEastAsia" w:hAnsiTheme="minorEastAsia" w:eastAsiaTheme="minorEastAsia"/>
          <w:color w:val="auto"/>
          <w:spacing w:val="4"/>
          <w:szCs w:val="24"/>
          <w:highlight w:val="none"/>
        </w:rPr>
        <w:t>法定代表人或被授权人</w:t>
      </w:r>
      <w:r>
        <w:rPr>
          <w:rFonts w:hint="eastAsia" w:hAnsi="宋体" w:cs="宋体"/>
          <w:color w:val="auto"/>
          <w:szCs w:val="24"/>
          <w:highlight w:val="none"/>
          <w:u w:val="single"/>
        </w:rPr>
        <w:t xml:space="preserve">：      </w:t>
      </w:r>
      <w:r>
        <w:rPr>
          <w:rFonts w:hint="eastAsia" w:hAnsi="宋体" w:cs="宋体"/>
          <w:color w:val="auto"/>
          <w:szCs w:val="24"/>
          <w:highlight w:val="none"/>
        </w:rPr>
        <w:t>（签字或盖章）</w:t>
      </w:r>
    </w:p>
    <w:p w14:paraId="46727834">
      <w:pPr>
        <w:spacing w:line="500" w:lineRule="exact"/>
        <w:ind w:firstLine="240" w:firstLineChars="100"/>
        <w:rPr>
          <w:rFonts w:hint="eastAsia" w:hAnsi="宋体" w:cs="宋体"/>
          <w:color w:val="auto"/>
          <w:highlight w:val="none"/>
        </w:rPr>
      </w:pPr>
      <w:r>
        <w:rPr>
          <w:rFonts w:hint="eastAsia" w:hAnsi="宋体" w:cs="宋体"/>
          <w:color w:val="auto"/>
          <w:szCs w:val="24"/>
          <w:highlight w:val="none"/>
        </w:rPr>
        <w:t xml:space="preserve">      </w:t>
      </w:r>
    </w:p>
    <w:p w14:paraId="1A164ED5">
      <w:pPr>
        <w:widowControl/>
        <w:spacing w:line="408" w:lineRule="auto"/>
        <w:ind w:left="274" w:leftChars="114"/>
        <w:jc w:val="right"/>
        <w:rPr>
          <w:rFonts w:hint="eastAsia" w:hAnsi="宋体" w:cs="宋体"/>
          <w:color w:val="auto"/>
          <w:highlight w:val="none"/>
        </w:rPr>
      </w:pPr>
    </w:p>
    <w:p w14:paraId="7AD0920C">
      <w:pPr>
        <w:pStyle w:val="179"/>
        <w:spacing w:line="480" w:lineRule="exact"/>
        <w:ind w:firstLine="0" w:firstLineChars="0"/>
        <w:rPr>
          <w:rFonts w:hint="eastAsia" w:hAnsi="宋体" w:cs="宋体"/>
          <w:color w:val="auto"/>
          <w:highlight w:val="none"/>
        </w:rPr>
      </w:pPr>
      <w:r>
        <w:rPr>
          <w:rFonts w:hint="eastAsia" w:hAnsi="宋体" w:cs="宋体"/>
          <w:color w:val="auto"/>
          <w:highlight w:val="none"/>
        </w:rPr>
        <w:t xml:space="preserve">                     年  月  日  </w:t>
      </w:r>
    </w:p>
    <w:p w14:paraId="24396980">
      <w:pPr>
        <w:rPr>
          <w:rFonts w:hint="eastAsia" w:hAnsi="宋体" w:cs="宋体"/>
          <w:color w:val="auto"/>
          <w:highlight w:val="none"/>
        </w:rPr>
      </w:pPr>
      <w:r>
        <w:rPr>
          <w:rFonts w:hint="eastAsia" w:hAnsi="宋体" w:cs="宋体"/>
          <w:color w:val="auto"/>
          <w:highlight w:val="none"/>
        </w:rPr>
        <w:br w:type="page"/>
      </w:r>
    </w:p>
    <w:p w14:paraId="32F0B055">
      <w:pPr>
        <w:spacing w:before="156" w:beforeLines="50" w:line="360" w:lineRule="auto"/>
        <w:jc w:val="left"/>
        <w:rPr>
          <w:rFonts w:hint="default" w:cs="仿宋" w:asciiTheme="minorEastAsia" w:hAnsiTheme="minorEastAsia" w:eastAsiaTheme="minorEastAsia"/>
          <w:b/>
          <w:bCs/>
          <w:color w:val="auto"/>
          <w:sz w:val="24"/>
          <w:szCs w:val="24"/>
          <w:highlight w:val="none"/>
          <w:lang w:val="en-US" w:eastAsia="zh-CN"/>
        </w:rPr>
      </w:pPr>
      <w:r>
        <w:rPr>
          <w:rFonts w:hint="eastAsia" w:cs="仿宋" w:asciiTheme="minorEastAsia" w:hAnsiTheme="minorEastAsia" w:eastAsiaTheme="minorEastAsia"/>
          <w:b/>
          <w:bCs/>
          <w:color w:val="auto"/>
          <w:sz w:val="24"/>
          <w:szCs w:val="24"/>
          <w:highlight w:val="none"/>
          <w:lang w:eastAsia="zh-CN"/>
        </w:rPr>
        <w:t>附件</w:t>
      </w:r>
      <w:r>
        <w:rPr>
          <w:rFonts w:hint="eastAsia" w:cs="仿宋" w:asciiTheme="minorEastAsia" w:hAnsiTheme="minorEastAsia" w:eastAsiaTheme="minorEastAsia"/>
          <w:b/>
          <w:bCs/>
          <w:color w:val="auto"/>
          <w:sz w:val="24"/>
          <w:szCs w:val="24"/>
          <w:highlight w:val="none"/>
          <w:lang w:val="en-US" w:eastAsia="zh-CN"/>
        </w:rPr>
        <w:t>3：</w:t>
      </w:r>
    </w:p>
    <w:p w14:paraId="775248AF">
      <w:pPr>
        <w:spacing w:before="156" w:beforeLines="50" w:line="360" w:lineRule="auto"/>
        <w:jc w:val="center"/>
        <w:rPr>
          <w:rFonts w:hint="eastAsia" w:cs="仿宋" w:asciiTheme="minorEastAsia" w:hAnsiTheme="minorEastAsia" w:eastAsiaTheme="minorEastAsia"/>
          <w:b/>
          <w:bCs/>
          <w:color w:val="auto"/>
          <w:sz w:val="30"/>
          <w:szCs w:val="30"/>
          <w:highlight w:val="none"/>
        </w:rPr>
      </w:pPr>
      <w:r>
        <w:rPr>
          <w:rFonts w:hint="eastAsia" w:cs="仿宋" w:asciiTheme="minorEastAsia" w:hAnsiTheme="minorEastAsia" w:eastAsiaTheme="minorEastAsia"/>
          <w:b/>
          <w:bCs/>
          <w:color w:val="auto"/>
          <w:sz w:val="30"/>
          <w:szCs w:val="30"/>
          <w:highlight w:val="none"/>
        </w:rPr>
        <w:t>参加本次政府采购活动前三年内，在经营活动中没有重大违法记录的</w:t>
      </w:r>
    </w:p>
    <w:p w14:paraId="301BFBB6">
      <w:pPr>
        <w:spacing w:before="156" w:beforeLines="50" w:line="360" w:lineRule="auto"/>
        <w:jc w:val="center"/>
        <w:rPr>
          <w:rFonts w:hint="eastAsia" w:cs="仿宋" w:asciiTheme="minorEastAsia" w:hAnsiTheme="minorEastAsia" w:eastAsiaTheme="minorEastAsia"/>
          <w:b/>
          <w:bCs/>
          <w:color w:val="auto"/>
          <w:sz w:val="30"/>
          <w:szCs w:val="30"/>
          <w:highlight w:val="none"/>
        </w:rPr>
      </w:pPr>
      <w:r>
        <w:rPr>
          <w:rFonts w:hint="eastAsia" w:cs="仿宋" w:asciiTheme="minorEastAsia" w:hAnsiTheme="minorEastAsia" w:eastAsiaTheme="minorEastAsia"/>
          <w:b/>
          <w:bCs/>
          <w:color w:val="auto"/>
          <w:sz w:val="30"/>
          <w:szCs w:val="30"/>
          <w:highlight w:val="none"/>
        </w:rPr>
        <w:t>书面声明</w:t>
      </w:r>
    </w:p>
    <w:p w14:paraId="5531D732">
      <w:pPr>
        <w:spacing w:before="120" w:line="360" w:lineRule="auto"/>
        <w:jc w:val="center"/>
        <w:rPr>
          <w:rFonts w:hint="eastAsia" w:cs="仿宋" w:asciiTheme="minorEastAsia" w:hAnsiTheme="minorEastAsia" w:eastAsiaTheme="minorEastAsia"/>
          <w:b/>
          <w:color w:val="auto"/>
          <w:szCs w:val="24"/>
          <w:highlight w:val="none"/>
        </w:rPr>
      </w:pPr>
    </w:p>
    <w:p w14:paraId="3053CEFC">
      <w:pPr>
        <w:spacing w:before="120" w:line="360" w:lineRule="auto"/>
        <w:jc w:val="center"/>
        <w:rPr>
          <w:rFonts w:hint="eastAsia" w:cs="仿宋" w:asciiTheme="minorEastAsia" w:hAnsiTheme="minorEastAsia" w:eastAsiaTheme="minorEastAsia"/>
          <w:b/>
          <w:color w:val="auto"/>
          <w:szCs w:val="24"/>
          <w:highlight w:val="none"/>
        </w:rPr>
      </w:pPr>
    </w:p>
    <w:p w14:paraId="74380A15">
      <w:pPr>
        <w:spacing w:line="480" w:lineRule="auto"/>
        <w:rPr>
          <w:rFonts w:hint="eastAsia" w:cs="仿宋" w:asciiTheme="minorEastAsia" w:hAnsiTheme="minorEastAsia" w:eastAsiaTheme="minorEastAsia"/>
          <w:color w:val="auto"/>
          <w:spacing w:val="4"/>
          <w:szCs w:val="24"/>
          <w:highlight w:val="none"/>
          <w:u w:val="single"/>
        </w:rPr>
      </w:pPr>
      <w:r>
        <w:rPr>
          <w:rFonts w:hint="eastAsia" w:cs="仿宋" w:asciiTheme="minorEastAsia" w:hAnsiTheme="minorEastAsia" w:eastAsiaTheme="minorEastAsia"/>
          <w:color w:val="auto"/>
          <w:spacing w:val="4"/>
          <w:szCs w:val="24"/>
          <w:highlight w:val="none"/>
        </w:rPr>
        <w:t>致：</w:t>
      </w:r>
      <w:r>
        <w:rPr>
          <w:rFonts w:hint="eastAsia" w:cs="仿宋" w:asciiTheme="minorEastAsia" w:hAnsiTheme="minorEastAsia" w:eastAsiaTheme="minorEastAsia"/>
          <w:color w:val="auto"/>
          <w:spacing w:val="4"/>
          <w:szCs w:val="24"/>
          <w:highlight w:val="none"/>
          <w:u w:val="single"/>
        </w:rPr>
        <w:t xml:space="preserve">   （采购人名称）    </w:t>
      </w:r>
    </w:p>
    <w:p w14:paraId="3F54002D">
      <w:pPr>
        <w:spacing w:line="480" w:lineRule="auto"/>
        <w:ind w:firstLine="496" w:firstLineChars="200"/>
        <w:rPr>
          <w:rFonts w:hint="eastAsia" w:cs="仿宋" w:asciiTheme="minorEastAsia" w:hAnsiTheme="minorEastAsia" w:eastAsiaTheme="minorEastAsia"/>
          <w:color w:val="auto"/>
          <w:spacing w:val="4"/>
          <w:szCs w:val="24"/>
          <w:highlight w:val="none"/>
        </w:rPr>
      </w:pPr>
      <w:r>
        <w:rPr>
          <w:rFonts w:hint="eastAsia" w:cs="仿宋" w:asciiTheme="minorEastAsia" w:hAnsiTheme="minorEastAsia" w:eastAsiaTheme="minorEastAsia"/>
          <w:color w:val="auto"/>
          <w:spacing w:val="4"/>
          <w:szCs w:val="24"/>
          <w:highlight w:val="none"/>
        </w:rPr>
        <w:t>（</w:t>
      </w:r>
      <w:r>
        <w:rPr>
          <w:rFonts w:hint="eastAsia" w:cs="仿宋" w:asciiTheme="minorEastAsia" w:hAnsiTheme="minorEastAsia" w:eastAsiaTheme="minorEastAsia"/>
          <w:color w:val="auto"/>
          <w:spacing w:val="4"/>
          <w:szCs w:val="24"/>
          <w:highlight w:val="none"/>
          <w:u w:val="single"/>
        </w:rPr>
        <w:t xml:space="preserve">                  公司</w:t>
      </w:r>
      <w:r>
        <w:rPr>
          <w:rFonts w:hint="eastAsia" w:cs="仿宋" w:asciiTheme="minorEastAsia" w:hAnsiTheme="minorEastAsia" w:eastAsiaTheme="minorEastAsia"/>
          <w:color w:val="auto"/>
          <w:spacing w:val="4"/>
          <w:szCs w:val="24"/>
          <w:highlight w:val="none"/>
        </w:rPr>
        <w:t>）为在中华人民共和国境内合法注册并经营的机构。在此郑重声明，我公司在参与本次政府采购活动前三年内在经营活动中没有重大违法记录。</w:t>
      </w:r>
    </w:p>
    <w:p w14:paraId="4688CFC1">
      <w:pPr>
        <w:pStyle w:val="2"/>
        <w:rPr>
          <w:rFonts w:hint="eastAsia" w:cs="仿宋" w:asciiTheme="minorEastAsia" w:hAnsiTheme="minorEastAsia" w:eastAsiaTheme="minorEastAsia"/>
          <w:color w:val="auto"/>
          <w:spacing w:val="4"/>
          <w:sz w:val="24"/>
          <w:szCs w:val="24"/>
          <w:highlight w:val="none"/>
        </w:rPr>
      </w:pPr>
    </w:p>
    <w:p w14:paraId="105AF2E2">
      <w:pPr>
        <w:pStyle w:val="2"/>
        <w:rPr>
          <w:rFonts w:hint="eastAsia" w:cs="仿宋" w:asciiTheme="minorEastAsia" w:hAnsiTheme="minorEastAsia" w:eastAsiaTheme="minorEastAsia"/>
          <w:color w:val="auto"/>
          <w:spacing w:val="4"/>
          <w:sz w:val="24"/>
          <w:szCs w:val="24"/>
          <w:highlight w:val="none"/>
        </w:rPr>
      </w:pPr>
    </w:p>
    <w:p w14:paraId="1494F8EA">
      <w:pPr>
        <w:pStyle w:val="2"/>
        <w:rPr>
          <w:rFonts w:hint="eastAsia" w:cs="仿宋" w:asciiTheme="minorEastAsia" w:hAnsiTheme="minorEastAsia" w:eastAsiaTheme="minorEastAsia"/>
          <w:color w:val="auto"/>
          <w:spacing w:val="4"/>
          <w:sz w:val="24"/>
          <w:szCs w:val="24"/>
          <w:highlight w:val="none"/>
        </w:rPr>
      </w:pPr>
    </w:p>
    <w:p w14:paraId="7A7A2ABD">
      <w:pPr>
        <w:pStyle w:val="2"/>
        <w:rPr>
          <w:rFonts w:hint="eastAsia" w:cs="仿宋" w:asciiTheme="minorEastAsia" w:hAnsiTheme="minorEastAsia" w:eastAsiaTheme="minorEastAsia"/>
          <w:color w:val="auto"/>
          <w:spacing w:val="4"/>
          <w:sz w:val="24"/>
          <w:szCs w:val="24"/>
          <w:highlight w:val="none"/>
        </w:rPr>
      </w:pPr>
    </w:p>
    <w:p w14:paraId="59BD4C39">
      <w:pPr>
        <w:pStyle w:val="2"/>
        <w:rPr>
          <w:rFonts w:hint="eastAsia" w:cs="仿宋" w:asciiTheme="minorEastAsia" w:hAnsiTheme="minorEastAsia" w:eastAsiaTheme="minorEastAsia"/>
          <w:color w:val="auto"/>
          <w:spacing w:val="4"/>
          <w:sz w:val="24"/>
          <w:szCs w:val="24"/>
          <w:highlight w:val="none"/>
        </w:rPr>
      </w:pPr>
    </w:p>
    <w:p w14:paraId="6E2EA3DC">
      <w:pPr>
        <w:pStyle w:val="2"/>
        <w:rPr>
          <w:rFonts w:hint="eastAsia" w:cs="仿宋" w:asciiTheme="minorEastAsia" w:hAnsiTheme="minorEastAsia" w:eastAsiaTheme="minorEastAsia"/>
          <w:color w:val="auto"/>
          <w:spacing w:val="4"/>
          <w:sz w:val="24"/>
          <w:szCs w:val="24"/>
          <w:highlight w:val="none"/>
        </w:rPr>
      </w:pPr>
    </w:p>
    <w:p w14:paraId="31653AA8">
      <w:pPr>
        <w:pStyle w:val="2"/>
        <w:rPr>
          <w:rFonts w:hint="eastAsia" w:cs="仿宋" w:asciiTheme="minorEastAsia" w:hAnsiTheme="minorEastAsia" w:eastAsiaTheme="minorEastAsia"/>
          <w:color w:val="auto"/>
          <w:spacing w:val="4"/>
          <w:sz w:val="24"/>
          <w:szCs w:val="24"/>
          <w:highlight w:val="none"/>
        </w:rPr>
      </w:pPr>
    </w:p>
    <w:p w14:paraId="5B307032">
      <w:pPr>
        <w:pStyle w:val="2"/>
        <w:rPr>
          <w:rFonts w:hint="eastAsia" w:cs="仿宋" w:asciiTheme="minorEastAsia" w:hAnsiTheme="minorEastAsia" w:eastAsiaTheme="minorEastAsia"/>
          <w:color w:val="auto"/>
          <w:spacing w:val="4"/>
          <w:sz w:val="24"/>
          <w:szCs w:val="24"/>
          <w:highlight w:val="none"/>
        </w:rPr>
      </w:pPr>
    </w:p>
    <w:p w14:paraId="461988F9">
      <w:pPr>
        <w:spacing w:line="360" w:lineRule="auto"/>
        <w:ind w:firstLine="2640" w:firstLineChars="1100"/>
        <w:rPr>
          <w:rFonts w:hint="eastAsia" w:cs="仿宋" w:asciiTheme="minorEastAsia" w:hAnsiTheme="minorEastAsia" w:eastAsiaTheme="minorEastAsia"/>
          <w:color w:val="auto"/>
          <w:szCs w:val="24"/>
          <w:highlight w:val="none"/>
          <w:u w:val="single"/>
        </w:rPr>
      </w:pPr>
      <w:r>
        <w:rPr>
          <w:rFonts w:hint="eastAsia" w:cs="仿宋" w:asciiTheme="minorEastAsia" w:hAnsiTheme="minorEastAsia" w:eastAsiaTheme="minorEastAsia"/>
          <w:color w:val="auto"/>
          <w:szCs w:val="24"/>
          <w:highlight w:val="none"/>
        </w:rPr>
        <w:t>法定代表人或被授权人：</w:t>
      </w:r>
      <w:r>
        <w:rPr>
          <w:rFonts w:hint="eastAsia" w:cs="仿宋" w:asciiTheme="minorEastAsia" w:hAnsiTheme="minorEastAsia" w:eastAsiaTheme="minorEastAsia"/>
          <w:color w:val="auto"/>
          <w:szCs w:val="24"/>
          <w:highlight w:val="none"/>
          <w:u w:val="single"/>
        </w:rPr>
        <w:t xml:space="preserve">            （</w:t>
      </w:r>
      <w:r>
        <w:rPr>
          <w:rFonts w:hint="eastAsia" w:cs="仿宋" w:asciiTheme="minorEastAsia" w:hAnsiTheme="minorEastAsia" w:eastAsiaTheme="minorEastAsia"/>
          <w:color w:val="auto"/>
          <w:szCs w:val="24"/>
          <w:highlight w:val="none"/>
        </w:rPr>
        <w:t>签字或盖章）</w:t>
      </w:r>
    </w:p>
    <w:p w14:paraId="233EA159">
      <w:pPr>
        <w:spacing w:line="360" w:lineRule="auto"/>
        <w:ind w:firstLine="2640" w:firstLineChars="1100"/>
        <w:rPr>
          <w:rFonts w:hint="eastAsia" w:cs="仿宋" w:asciiTheme="minorEastAsia" w:hAnsiTheme="minorEastAsia" w:eastAsiaTheme="minorEastAsia"/>
          <w:color w:val="auto"/>
          <w:szCs w:val="24"/>
          <w:highlight w:val="none"/>
          <w:u w:val="single"/>
        </w:rPr>
      </w:pPr>
      <w:r>
        <w:rPr>
          <w:rFonts w:hint="eastAsia" w:cs="仿宋" w:asciiTheme="minorEastAsia" w:hAnsiTheme="minorEastAsia" w:eastAsiaTheme="minorEastAsia"/>
          <w:color w:val="auto"/>
          <w:szCs w:val="24"/>
          <w:highlight w:val="none"/>
        </w:rPr>
        <w:t xml:space="preserve">供 </w:t>
      </w:r>
      <w:r>
        <w:rPr>
          <w:rFonts w:cs="仿宋" w:asciiTheme="minorEastAsia" w:hAnsiTheme="minorEastAsia" w:eastAsiaTheme="minorEastAsia"/>
          <w:color w:val="auto"/>
          <w:szCs w:val="24"/>
          <w:highlight w:val="none"/>
        </w:rPr>
        <w:t xml:space="preserve">   </w:t>
      </w:r>
      <w:r>
        <w:rPr>
          <w:rFonts w:hint="eastAsia" w:cs="仿宋" w:asciiTheme="minorEastAsia" w:hAnsiTheme="minorEastAsia" w:eastAsiaTheme="minorEastAsia"/>
          <w:color w:val="auto"/>
          <w:szCs w:val="24"/>
          <w:highlight w:val="none"/>
        </w:rPr>
        <w:t xml:space="preserve">应 </w:t>
      </w:r>
      <w:r>
        <w:rPr>
          <w:rFonts w:cs="仿宋" w:asciiTheme="minorEastAsia" w:hAnsiTheme="minorEastAsia" w:eastAsiaTheme="minorEastAsia"/>
          <w:color w:val="auto"/>
          <w:szCs w:val="24"/>
          <w:highlight w:val="none"/>
        </w:rPr>
        <w:t xml:space="preserve"> </w:t>
      </w:r>
      <w:r>
        <w:rPr>
          <w:rFonts w:hint="eastAsia" w:cs="仿宋" w:asciiTheme="minorEastAsia" w:hAnsiTheme="minorEastAsia" w:eastAsiaTheme="minorEastAsia"/>
          <w:color w:val="auto"/>
          <w:szCs w:val="24"/>
          <w:highlight w:val="none"/>
        </w:rPr>
        <w:t xml:space="preserve"> </w:t>
      </w:r>
      <w:r>
        <w:rPr>
          <w:rFonts w:cs="仿宋" w:asciiTheme="minorEastAsia" w:hAnsiTheme="minorEastAsia" w:eastAsiaTheme="minorEastAsia"/>
          <w:color w:val="auto"/>
          <w:szCs w:val="24"/>
          <w:highlight w:val="none"/>
        </w:rPr>
        <w:t xml:space="preserve"> </w:t>
      </w:r>
      <w:r>
        <w:rPr>
          <w:rFonts w:hint="eastAsia" w:cs="仿宋" w:asciiTheme="minorEastAsia" w:hAnsiTheme="minorEastAsia" w:eastAsiaTheme="minorEastAsia"/>
          <w:color w:val="auto"/>
          <w:szCs w:val="24"/>
          <w:highlight w:val="none"/>
        </w:rPr>
        <w:t xml:space="preserve">商  </w:t>
      </w:r>
      <w:r>
        <w:rPr>
          <w:rFonts w:cs="仿宋" w:asciiTheme="minorEastAsia" w:hAnsiTheme="minorEastAsia" w:eastAsiaTheme="minorEastAsia"/>
          <w:color w:val="auto"/>
          <w:szCs w:val="24"/>
          <w:highlight w:val="none"/>
        </w:rPr>
        <w:t xml:space="preserve"> </w:t>
      </w:r>
      <w:r>
        <w:rPr>
          <w:rFonts w:hint="eastAsia" w:cs="仿宋" w:asciiTheme="minorEastAsia" w:hAnsiTheme="minorEastAsia" w:eastAsiaTheme="minorEastAsia"/>
          <w:color w:val="auto"/>
          <w:szCs w:val="24"/>
          <w:highlight w:val="none"/>
        </w:rPr>
        <w:t xml:space="preserve">公  </w:t>
      </w:r>
      <w:r>
        <w:rPr>
          <w:rFonts w:cs="仿宋" w:asciiTheme="minorEastAsia" w:hAnsiTheme="minorEastAsia" w:eastAsiaTheme="minorEastAsia"/>
          <w:color w:val="auto"/>
          <w:szCs w:val="24"/>
          <w:highlight w:val="none"/>
        </w:rPr>
        <w:t xml:space="preserve"> </w:t>
      </w:r>
      <w:r>
        <w:rPr>
          <w:rFonts w:hint="eastAsia" w:cs="仿宋" w:asciiTheme="minorEastAsia" w:hAnsiTheme="minorEastAsia" w:eastAsiaTheme="minorEastAsia"/>
          <w:color w:val="auto"/>
          <w:szCs w:val="24"/>
          <w:highlight w:val="none"/>
        </w:rPr>
        <w:t>章：</w:t>
      </w:r>
      <w:r>
        <w:rPr>
          <w:rFonts w:hint="eastAsia" w:cs="仿宋" w:asciiTheme="minorEastAsia" w:hAnsiTheme="minorEastAsia" w:eastAsiaTheme="minorEastAsia"/>
          <w:color w:val="auto"/>
          <w:szCs w:val="24"/>
          <w:highlight w:val="none"/>
          <w:u w:val="single"/>
        </w:rPr>
        <w:t xml:space="preserve">                      </w:t>
      </w:r>
      <w:r>
        <w:rPr>
          <w:rFonts w:cs="仿宋" w:asciiTheme="minorEastAsia" w:hAnsiTheme="minorEastAsia" w:eastAsiaTheme="minorEastAsia"/>
          <w:color w:val="auto"/>
          <w:szCs w:val="24"/>
          <w:highlight w:val="none"/>
          <w:u w:val="single"/>
        </w:rPr>
        <w:t xml:space="preserve">      </w:t>
      </w:r>
    </w:p>
    <w:p w14:paraId="2792A857">
      <w:pPr>
        <w:pStyle w:val="29"/>
        <w:spacing w:line="360" w:lineRule="auto"/>
        <w:ind w:firstLine="2640" w:firstLineChars="1100"/>
        <w:rPr>
          <w:rFonts w:hint="eastAsia" w:cs="仿宋" w:asciiTheme="minorEastAsia" w:hAnsiTheme="minorEastAsia" w:eastAsiaTheme="minorEastAsia"/>
          <w:color w:val="auto"/>
          <w:szCs w:val="24"/>
          <w:highlight w:val="none"/>
          <w:u w:val="single"/>
        </w:rPr>
      </w:pPr>
      <w:r>
        <w:rPr>
          <w:rFonts w:hint="eastAsia" w:cs="仿宋" w:asciiTheme="minorEastAsia" w:hAnsiTheme="minorEastAsia" w:eastAsiaTheme="minorEastAsia"/>
          <w:color w:val="auto"/>
          <w:kern w:val="0"/>
          <w:sz w:val="24"/>
          <w:szCs w:val="24"/>
          <w:highlight w:val="none"/>
        </w:rPr>
        <w:t>日                    期：</w:t>
      </w:r>
      <w:r>
        <w:rPr>
          <w:rFonts w:hint="eastAsia" w:cs="仿宋" w:asciiTheme="minorEastAsia" w:hAnsiTheme="minorEastAsia" w:eastAsiaTheme="minorEastAsia"/>
          <w:color w:val="auto"/>
          <w:szCs w:val="24"/>
          <w:highlight w:val="none"/>
          <w:u w:val="single"/>
        </w:rPr>
        <w:t xml:space="preserve">                      </w:t>
      </w:r>
      <w:r>
        <w:rPr>
          <w:rFonts w:cs="仿宋" w:asciiTheme="minorEastAsia" w:hAnsiTheme="minorEastAsia" w:eastAsiaTheme="minorEastAsia"/>
          <w:color w:val="auto"/>
          <w:szCs w:val="24"/>
          <w:highlight w:val="none"/>
          <w:u w:val="single"/>
        </w:rPr>
        <w:t xml:space="preserve">               </w:t>
      </w:r>
    </w:p>
    <w:p w14:paraId="087ECE4B">
      <w:pPr>
        <w:pStyle w:val="29"/>
        <w:spacing w:line="360" w:lineRule="auto"/>
        <w:ind w:firstLine="1980" w:firstLineChars="1100"/>
        <w:rPr>
          <w:rFonts w:hint="eastAsia" w:cs="仿宋" w:asciiTheme="minorEastAsia" w:hAnsiTheme="minorEastAsia" w:eastAsiaTheme="minorEastAsia"/>
          <w:color w:val="auto"/>
          <w:szCs w:val="24"/>
          <w:highlight w:val="none"/>
          <w:u w:val="single"/>
        </w:rPr>
      </w:pPr>
    </w:p>
    <w:p w14:paraId="33789F5D">
      <w:pPr>
        <w:pStyle w:val="29"/>
        <w:spacing w:line="360" w:lineRule="auto"/>
        <w:ind w:firstLine="1980" w:firstLineChars="1100"/>
        <w:rPr>
          <w:rFonts w:hint="eastAsia" w:cs="仿宋" w:asciiTheme="minorEastAsia" w:hAnsiTheme="minorEastAsia" w:eastAsiaTheme="minorEastAsia"/>
          <w:color w:val="auto"/>
          <w:szCs w:val="24"/>
          <w:highlight w:val="none"/>
          <w:u w:val="single"/>
        </w:rPr>
      </w:pPr>
    </w:p>
    <w:p w14:paraId="4C6E0EFF">
      <w:pPr>
        <w:pStyle w:val="29"/>
        <w:spacing w:line="360" w:lineRule="auto"/>
        <w:ind w:firstLine="1980" w:firstLineChars="1100"/>
        <w:rPr>
          <w:rFonts w:hint="eastAsia" w:cs="仿宋" w:asciiTheme="minorEastAsia" w:hAnsiTheme="minorEastAsia" w:eastAsiaTheme="minorEastAsia"/>
          <w:color w:val="auto"/>
          <w:szCs w:val="24"/>
          <w:highlight w:val="none"/>
          <w:u w:val="single"/>
        </w:rPr>
      </w:pPr>
    </w:p>
    <w:p w14:paraId="1E49F947">
      <w:pPr>
        <w:pStyle w:val="29"/>
        <w:spacing w:line="360" w:lineRule="auto"/>
        <w:ind w:firstLine="1980" w:firstLineChars="1100"/>
        <w:rPr>
          <w:rFonts w:hint="eastAsia" w:cs="仿宋" w:asciiTheme="minorEastAsia" w:hAnsiTheme="minorEastAsia" w:eastAsiaTheme="minorEastAsia"/>
          <w:color w:val="auto"/>
          <w:szCs w:val="24"/>
          <w:highlight w:val="none"/>
          <w:u w:val="single"/>
        </w:rPr>
      </w:pPr>
    </w:p>
    <w:p w14:paraId="21BF64F8">
      <w:pPr>
        <w:pStyle w:val="29"/>
        <w:spacing w:line="360" w:lineRule="auto"/>
        <w:ind w:firstLine="1980" w:firstLineChars="1100"/>
        <w:rPr>
          <w:rFonts w:hint="eastAsia" w:cs="仿宋" w:asciiTheme="minorEastAsia" w:hAnsiTheme="minorEastAsia" w:eastAsiaTheme="minorEastAsia"/>
          <w:color w:val="auto"/>
          <w:szCs w:val="24"/>
          <w:highlight w:val="none"/>
          <w:u w:val="single"/>
        </w:rPr>
      </w:pPr>
    </w:p>
    <w:p w14:paraId="0227370A">
      <w:pPr>
        <w:pStyle w:val="29"/>
        <w:spacing w:line="360" w:lineRule="auto"/>
        <w:ind w:firstLine="1980" w:firstLineChars="1100"/>
        <w:rPr>
          <w:rFonts w:hint="eastAsia" w:cs="仿宋" w:asciiTheme="minorEastAsia" w:hAnsiTheme="minorEastAsia" w:eastAsiaTheme="minorEastAsia"/>
          <w:color w:val="auto"/>
          <w:szCs w:val="24"/>
          <w:highlight w:val="none"/>
          <w:u w:val="single"/>
        </w:rPr>
      </w:pPr>
    </w:p>
    <w:p w14:paraId="50099FB0">
      <w:pPr>
        <w:pStyle w:val="29"/>
        <w:spacing w:line="360" w:lineRule="auto"/>
        <w:ind w:firstLine="1980" w:firstLineChars="1100"/>
        <w:rPr>
          <w:rFonts w:hint="eastAsia" w:cs="仿宋" w:asciiTheme="minorEastAsia" w:hAnsiTheme="minorEastAsia" w:eastAsiaTheme="minorEastAsia"/>
          <w:color w:val="auto"/>
          <w:highlight w:val="none"/>
        </w:rPr>
      </w:pPr>
    </w:p>
    <w:p w14:paraId="706387E0">
      <w:pPr>
        <w:tabs>
          <w:tab w:val="left" w:pos="5580"/>
        </w:tabs>
        <w:spacing w:before="120" w:line="360" w:lineRule="auto"/>
        <w:rPr>
          <w:rFonts w:hint="eastAsia" w:cs="仿宋" w:asciiTheme="minorEastAsia" w:hAnsiTheme="minorEastAsia" w:eastAsiaTheme="minorEastAsia"/>
          <w:b/>
          <w:bCs/>
          <w:color w:val="auto"/>
          <w:sz w:val="28"/>
          <w:szCs w:val="28"/>
          <w:highlight w:val="none"/>
        </w:rPr>
      </w:pPr>
    </w:p>
    <w:p w14:paraId="214B507C">
      <w:pPr>
        <w:spacing w:before="156" w:beforeLines="50" w:line="360" w:lineRule="auto"/>
        <w:jc w:val="left"/>
        <w:rPr>
          <w:rFonts w:hint="default" w:cs="仿宋" w:asciiTheme="minorEastAsia" w:hAnsiTheme="minorEastAsia" w:eastAsiaTheme="minorEastAsia"/>
          <w:b/>
          <w:bCs/>
          <w:color w:val="auto"/>
          <w:sz w:val="24"/>
          <w:szCs w:val="24"/>
          <w:highlight w:val="none"/>
          <w:lang w:val="en-US" w:eastAsia="zh-CN"/>
        </w:rPr>
      </w:pPr>
      <w:r>
        <w:rPr>
          <w:rFonts w:hint="eastAsia" w:cs="仿宋" w:asciiTheme="minorEastAsia" w:hAnsiTheme="minorEastAsia" w:eastAsiaTheme="minorEastAsia"/>
          <w:b/>
          <w:bCs/>
          <w:color w:val="auto"/>
          <w:sz w:val="24"/>
          <w:szCs w:val="24"/>
          <w:highlight w:val="none"/>
          <w:lang w:eastAsia="zh-CN"/>
        </w:rPr>
        <w:t>附件</w:t>
      </w:r>
      <w:r>
        <w:rPr>
          <w:rFonts w:hint="eastAsia" w:cs="仿宋" w:asciiTheme="minorEastAsia" w:hAnsiTheme="minorEastAsia" w:eastAsiaTheme="minorEastAsia"/>
          <w:b/>
          <w:bCs/>
          <w:color w:val="auto"/>
          <w:sz w:val="24"/>
          <w:szCs w:val="24"/>
          <w:highlight w:val="none"/>
          <w:lang w:val="en-US" w:eastAsia="zh-CN"/>
        </w:rPr>
        <w:t>4:</w:t>
      </w:r>
    </w:p>
    <w:p w14:paraId="3069B8BD">
      <w:pPr>
        <w:spacing w:before="156" w:beforeLines="50" w:line="360" w:lineRule="auto"/>
        <w:jc w:val="center"/>
        <w:rPr>
          <w:rFonts w:hint="eastAsia" w:cs="仿宋" w:asciiTheme="minorEastAsia" w:hAnsiTheme="minorEastAsia" w:eastAsiaTheme="minorEastAsia"/>
          <w:b/>
          <w:bCs/>
          <w:color w:val="auto"/>
          <w:sz w:val="30"/>
          <w:szCs w:val="30"/>
          <w:highlight w:val="none"/>
        </w:rPr>
      </w:pPr>
    </w:p>
    <w:p w14:paraId="56DF1ADF">
      <w:pPr>
        <w:spacing w:before="156" w:beforeLines="50" w:line="360" w:lineRule="auto"/>
        <w:jc w:val="center"/>
        <w:rPr>
          <w:rFonts w:hint="eastAsia" w:cs="仿宋" w:asciiTheme="minorEastAsia" w:hAnsiTheme="minorEastAsia" w:eastAsiaTheme="minorEastAsia"/>
          <w:b/>
          <w:bCs/>
          <w:color w:val="auto"/>
          <w:sz w:val="30"/>
          <w:szCs w:val="30"/>
          <w:highlight w:val="none"/>
        </w:rPr>
      </w:pPr>
      <w:r>
        <w:rPr>
          <w:rFonts w:hint="eastAsia" w:cs="仿宋" w:asciiTheme="minorEastAsia" w:hAnsiTheme="minorEastAsia" w:eastAsiaTheme="minorEastAsia"/>
          <w:b/>
          <w:bCs/>
          <w:color w:val="auto"/>
          <w:sz w:val="30"/>
          <w:szCs w:val="30"/>
          <w:highlight w:val="none"/>
        </w:rPr>
        <w:t>供应商具有履行本合同所必需的专业技术能力的说明及承诺</w:t>
      </w:r>
    </w:p>
    <w:p w14:paraId="2C41FEF6">
      <w:pPr>
        <w:spacing w:line="360" w:lineRule="auto"/>
        <w:rPr>
          <w:rFonts w:hint="eastAsia" w:cs="仿宋" w:asciiTheme="minorEastAsia" w:hAnsiTheme="minorEastAsia" w:eastAsiaTheme="minorEastAsia"/>
          <w:color w:val="auto"/>
          <w:spacing w:val="4"/>
          <w:highlight w:val="none"/>
          <w:u w:val="single"/>
        </w:rPr>
      </w:pPr>
    </w:p>
    <w:p w14:paraId="4C1E4BCB">
      <w:pPr>
        <w:spacing w:line="480" w:lineRule="auto"/>
        <w:rPr>
          <w:rFonts w:hint="eastAsia" w:cs="仿宋" w:asciiTheme="minorEastAsia" w:hAnsiTheme="minorEastAsia" w:eastAsiaTheme="minorEastAsia"/>
          <w:color w:val="auto"/>
          <w:spacing w:val="4"/>
          <w:szCs w:val="24"/>
          <w:highlight w:val="none"/>
        </w:rPr>
      </w:pPr>
      <w:r>
        <w:rPr>
          <w:rFonts w:hint="eastAsia" w:cs="仿宋" w:asciiTheme="minorEastAsia" w:hAnsiTheme="minorEastAsia" w:eastAsiaTheme="minorEastAsia"/>
          <w:color w:val="auto"/>
          <w:spacing w:val="4"/>
          <w:szCs w:val="24"/>
          <w:highlight w:val="none"/>
        </w:rPr>
        <w:t>致：</w:t>
      </w:r>
      <w:r>
        <w:rPr>
          <w:rFonts w:hint="eastAsia" w:cs="仿宋" w:asciiTheme="minorEastAsia" w:hAnsiTheme="minorEastAsia" w:eastAsiaTheme="minorEastAsia"/>
          <w:color w:val="auto"/>
          <w:spacing w:val="4"/>
          <w:szCs w:val="24"/>
          <w:highlight w:val="none"/>
          <w:u w:val="single"/>
        </w:rPr>
        <w:t>（采购人名称/</w:t>
      </w:r>
      <w:r>
        <w:rPr>
          <w:rFonts w:hint="eastAsia" w:cs="仿宋" w:asciiTheme="minorEastAsia" w:hAnsiTheme="minorEastAsia" w:eastAsiaTheme="minorEastAsia"/>
          <w:color w:val="auto"/>
          <w:spacing w:val="4"/>
          <w:szCs w:val="24"/>
          <w:highlight w:val="none"/>
          <w:u w:val="single"/>
          <w:lang w:eastAsia="zh-CN"/>
        </w:rPr>
        <w:t>致君项目管理有限公司</w:t>
      </w:r>
      <w:r>
        <w:rPr>
          <w:rFonts w:hint="eastAsia" w:cs="仿宋" w:asciiTheme="minorEastAsia" w:hAnsiTheme="minorEastAsia" w:eastAsiaTheme="minorEastAsia"/>
          <w:color w:val="auto"/>
          <w:spacing w:val="4"/>
          <w:szCs w:val="24"/>
          <w:highlight w:val="none"/>
          <w:u w:val="single"/>
        </w:rPr>
        <w:t>）</w:t>
      </w:r>
    </w:p>
    <w:p w14:paraId="27FED9B6">
      <w:pPr>
        <w:spacing w:line="480" w:lineRule="auto"/>
        <w:ind w:firstLine="496" w:firstLineChars="200"/>
        <w:rPr>
          <w:rFonts w:hint="eastAsia" w:cs="仿宋" w:asciiTheme="minorEastAsia" w:hAnsiTheme="minorEastAsia" w:eastAsiaTheme="minorEastAsia"/>
          <w:color w:val="auto"/>
          <w:spacing w:val="4"/>
          <w:szCs w:val="24"/>
          <w:highlight w:val="none"/>
        </w:rPr>
      </w:pPr>
      <w:r>
        <w:rPr>
          <w:rFonts w:hint="eastAsia" w:cs="仿宋" w:asciiTheme="minorEastAsia" w:hAnsiTheme="minorEastAsia" w:eastAsiaTheme="minorEastAsia"/>
          <w:color w:val="auto"/>
          <w:spacing w:val="4"/>
          <w:szCs w:val="24"/>
          <w:highlight w:val="none"/>
          <w:u w:val="single"/>
        </w:rPr>
        <w:t xml:space="preserve">      公司</w:t>
      </w:r>
      <w:r>
        <w:rPr>
          <w:rFonts w:hint="eastAsia" w:cs="仿宋" w:asciiTheme="minorEastAsia" w:hAnsiTheme="minorEastAsia" w:eastAsiaTheme="minorEastAsia"/>
          <w:color w:val="auto"/>
          <w:spacing w:val="4"/>
          <w:szCs w:val="24"/>
          <w:highlight w:val="none"/>
        </w:rPr>
        <w:t>于</w:t>
      </w:r>
      <w:r>
        <w:rPr>
          <w:rFonts w:hint="eastAsia" w:cs="仿宋" w:asciiTheme="minorEastAsia" w:hAnsiTheme="minorEastAsia" w:eastAsiaTheme="minorEastAsia"/>
          <w:color w:val="auto"/>
          <w:spacing w:val="4"/>
          <w:szCs w:val="24"/>
          <w:highlight w:val="none"/>
          <w:u w:val="single"/>
        </w:rPr>
        <w:t xml:space="preserve">     </w:t>
      </w:r>
      <w:r>
        <w:rPr>
          <w:rFonts w:hint="eastAsia" w:cs="仿宋" w:asciiTheme="minorEastAsia" w:hAnsiTheme="minorEastAsia" w:eastAsiaTheme="minorEastAsia"/>
          <w:color w:val="auto"/>
          <w:spacing w:val="4"/>
          <w:szCs w:val="24"/>
          <w:highlight w:val="none"/>
        </w:rPr>
        <w:t>年</w:t>
      </w:r>
      <w:r>
        <w:rPr>
          <w:rFonts w:hint="eastAsia" w:cs="仿宋" w:asciiTheme="minorEastAsia" w:hAnsiTheme="minorEastAsia" w:eastAsiaTheme="minorEastAsia"/>
          <w:color w:val="auto"/>
          <w:spacing w:val="4"/>
          <w:szCs w:val="24"/>
          <w:highlight w:val="none"/>
          <w:u w:val="single"/>
        </w:rPr>
        <w:t xml:space="preserve">   </w:t>
      </w:r>
      <w:r>
        <w:rPr>
          <w:rFonts w:hint="eastAsia" w:cs="仿宋" w:asciiTheme="minorEastAsia" w:hAnsiTheme="minorEastAsia" w:eastAsiaTheme="minorEastAsia"/>
          <w:color w:val="auto"/>
          <w:spacing w:val="4"/>
          <w:szCs w:val="24"/>
          <w:highlight w:val="none"/>
        </w:rPr>
        <w:t>月</w:t>
      </w:r>
      <w:r>
        <w:rPr>
          <w:rFonts w:hint="eastAsia" w:cs="仿宋" w:asciiTheme="minorEastAsia" w:hAnsiTheme="minorEastAsia" w:eastAsiaTheme="minorEastAsia"/>
          <w:color w:val="auto"/>
          <w:spacing w:val="4"/>
          <w:szCs w:val="24"/>
          <w:highlight w:val="none"/>
          <w:u w:val="single"/>
        </w:rPr>
        <w:t xml:space="preserve">   </w:t>
      </w:r>
      <w:r>
        <w:rPr>
          <w:rFonts w:hint="eastAsia" w:cs="仿宋" w:asciiTheme="minorEastAsia" w:hAnsiTheme="minorEastAsia" w:eastAsiaTheme="minorEastAsia"/>
          <w:color w:val="auto"/>
          <w:spacing w:val="4"/>
          <w:szCs w:val="24"/>
          <w:highlight w:val="none"/>
        </w:rPr>
        <w:t>日在中华人民共和国境内</w:t>
      </w:r>
      <w:r>
        <w:rPr>
          <w:rFonts w:hint="eastAsia" w:cs="仿宋" w:asciiTheme="minorEastAsia" w:hAnsiTheme="minorEastAsia" w:eastAsiaTheme="minorEastAsia"/>
          <w:color w:val="auto"/>
          <w:spacing w:val="4"/>
          <w:szCs w:val="24"/>
          <w:highlight w:val="none"/>
          <w:u w:val="single"/>
        </w:rPr>
        <w:t xml:space="preserve">详细注册地址     </w:t>
      </w:r>
      <w:r>
        <w:rPr>
          <w:rFonts w:hint="eastAsia" w:cs="仿宋" w:asciiTheme="minorEastAsia" w:hAnsiTheme="minorEastAsia" w:eastAsiaTheme="minorEastAsia"/>
          <w:color w:val="auto"/>
          <w:spacing w:val="4"/>
          <w:szCs w:val="24"/>
          <w:highlight w:val="none"/>
        </w:rPr>
        <w:t>合法注册并经营，公司主营业务为</w:t>
      </w:r>
      <w:r>
        <w:rPr>
          <w:rFonts w:hint="eastAsia" w:cs="仿宋" w:asciiTheme="minorEastAsia" w:hAnsiTheme="minorEastAsia" w:eastAsiaTheme="minorEastAsia"/>
          <w:color w:val="auto"/>
          <w:spacing w:val="4"/>
          <w:szCs w:val="24"/>
          <w:highlight w:val="none"/>
          <w:u w:val="single"/>
        </w:rPr>
        <w:t xml:space="preserve">          </w:t>
      </w:r>
      <w:r>
        <w:rPr>
          <w:rFonts w:hint="eastAsia" w:cs="仿宋" w:asciiTheme="minorEastAsia" w:hAnsiTheme="minorEastAsia" w:eastAsiaTheme="minorEastAsia"/>
          <w:color w:val="auto"/>
          <w:spacing w:val="4"/>
          <w:szCs w:val="24"/>
          <w:highlight w:val="none"/>
        </w:rPr>
        <w:t>，营业（或生产经营）面积为</w:t>
      </w:r>
      <w:r>
        <w:rPr>
          <w:rFonts w:hint="eastAsia" w:cs="仿宋" w:asciiTheme="minorEastAsia" w:hAnsiTheme="minorEastAsia" w:eastAsiaTheme="minorEastAsia"/>
          <w:color w:val="auto"/>
          <w:spacing w:val="4"/>
          <w:szCs w:val="24"/>
          <w:highlight w:val="none"/>
          <w:u w:val="single"/>
        </w:rPr>
        <w:t xml:space="preserve">        </w:t>
      </w:r>
      <w:r>
        <w:rPr>
          <w:rFonts w:hint="eastAsia" w:cs="仿宋" w:asciiTheme="minorEastAsia" w:hAnsiTheme="minorEastAsia" w:eastAsiaTheme="minorEastAsia"/>
          <w:color w:val="auto"/>
          <w:spacing w:val="4"/>
          <w:szCs w:val="24"/>
          <w:highlight w:val="none"/>
        </w:rPr>
        <w:t>。现有员工数量为</w:t>
      </w:r>
      <w:r>
        <w:rPr>
          <w:rFonts w:hint="eastAsia" w:cs="仿宋" w:asciiTheme="minorEastAsia" w:hAnsiTheme="minorEastAsia" w:eastAsiaTheme="minorEastAsia"/>
          <w:color w:val="auto"/>
          <w:spacing w:val="4"/>
          <w:szCs w:val="24"/>
          <w:highlight w:val="none"/>
          <w:u w:val="single"/>
        </w:rPr>
        <w:t xml:space="preserve">      </w:t>
      </w:r>
      <w:r>
        <w:rPr>
          <w:rFonts w:hint="eastAsia" w:cs="仿宋" w:asciiTheme="minorEastAsia" w:hAnsiTheme="minorEastAsia" w:eastAsiaTheme="minorEastAsia"/>
          <w:color w:val="auto"/>
          <w:spacing w:val="4"/>
          <w:szCs w:val="24"/>
          <w:highlight w:val="none"/>
        </w:rPr>
        <w:t>人，其中与履行本合同相关的专业技术人员有</w:t>
      </w:r>
      <w:r>
        <w:rPr>
          <w:rFonts w:hint="eastAsia" w:cs="仿宋" w:asciiTheme="minorEastAsia" w:hAnsiTheme="minorEastAsia" w:eastAsiaTheme="minorEastAsia"/>
          <w:color w:val="auto"/>
          <w:spacing w:val="4"/>
          <w:szCs w:val="24"/>
          <w:highlight w:val="none"/>
          <w:u w:val="single"/>
        </w:rPr>
        <w:t>（专业能力、数量      ）</w:t>
      </w:r>
      <w:r>
        <w:rPr>
          <w:rFonts w:hint="eastAsia" w:cs="仿宋" w:asciiTheme="minorEastAsia" w:hAnsiTheme="minorEastAsia" w:eastAsiaTheme="minorEastAsia"/>
          <w:color w:val="auto"/>
          <w:spacing w:val="4"/>
          <w:szCs w:val="24"/>
          <w:highlight w:val="none"/>
        </w:rPr>
        <w:t>，本公司郑重承诺，具有履行本合同所必需的设备和专业技术能力。</w:t>
      </w:r>
    </w:p>
    <w:p w14:paraId="37B6A944">
      <w:pPr>
        <w:spacing w:before="312" w:beforeLines="100" w:after="156" w:afterLines="50" w:line="360" w:lineRule="auto"/>
        <w:ind w:firstLine="170"/>
        <w:rPr>
          <w:rFonts w:hint="eastAsia" w:cs="仿宋" w:asciiTheme="minorEastAsia" w:hAnsiTheme="minorEastAsia" w:eastAsiaTheme="minorEastAsia"/>
          <w:color w:val="auto"/>
          <w:spacing w:val="4"/>
          <w:szCs w:val="21"/>
          <w:highlight w:val="none"/>
        </w:rPr>
      </w:pPr>
    </w:p>
    <w:p w14:paraId="17BB2249">
      <w:pPr>
        <w:pStyle w:val="2"/>
        <w:rPr>
          <w:rFonts w:hint="eastAsia" w:cs="仿宋" w:asciiTheme="minorEastAsia" w:hAnsiTheme="minorEastAsia" w:eastAsiaTheme="minorEastAsia"/>
          <w:color w:val="auto"/>
          <w:spacing w:val="4"/>
          <w:szCs w:val="21"/>
          <w:highlight w:val="none"/>
        </w:rPr>
      </w:pPr>
    </w:p>
    <w:p w14:paraId="59E65BE2">
      <w:pPr>
        <w:pStyle w:val="2"/>
        <w:rPr>
          <w:rFonts w:hint="eastAsia" w:cs="仿宋" w:asciiTheme="minorEastAsia" w:hAnsiTheme="minorEastAsia" w:eastAsiaTheme="minorEastAsia"/>
          <w:color w:val="auto"/>
          <w:spacing w:val="4"/>
          <w:szCs w:val="21"/>
          <w:highlight w:val="none"/>
        </w:rPr>
      </w:pPr>
    </w:p>
    <w:p w14:paraId="7AA505AC">
      <w:pPr>
        <w:pStyle w:val="2"/>
        <w:rPr>
          <w:rFonts w:hint="eastAsia" w:cs="仿宋" w:asciiTheme="minorEastAsia" w:hAnsiTheme="minorEastAsia" w:eastAsiaTheme="minorEastAsia"/>
          <w:color w:val="auto"/>
          <w:spacing w:val="4"/>
          <w:kern w:val="0"/>
          <w:sz w:val="24"/>
          <w:szCs w:val="24"/>
          <w:highlight w:val="none"/>
        </w:rPr>
      </w:pPr>
    </w:p>
    <w:p w14:paraId="6BAA439A">
      <w:pPr>
        <w:spacing w:line="360" w:lineRule="auto"/>
        <w:ind w:firstLine="2640" w:firstLineChars="1100"/>
        <w:rPr>
          <w:rFonts w:hint="eastAsia" w:cs="仿宋" w:asciiTheme="minorEastAsia" w:hAnsiTheme="minorEastAsia" w:eastAsiaTheme="minorEastAsia"/>
          <w:color w:val="auto"/>
          <w:spacing w:val="4"/>
          <w:szCs w:val="24"/>
          <w:highlight w:val="none"/>
        </w:rPr>
      </w:pPr>
      <w:r>
        <w:rPr>
          <w:rFonts w:hint="eastAsia" w:cs="仿宋" w:asciiTheme="minorEastAsia" w:hAnsiTheme="minorEastAsia" w:eastAsiaTheme="minorEastAsia"/>
          <w:color w:val="auto"/>
          <w:szCs w:val="24"/>
          <w:highlight w:val="none"/>
        </w:rPr>
        <w:t>法定代表人或被授权人：</w:t>
      </w:r>
      <w:r>
        <w:rPr>
          <w:rFonts w:hint="eastAsia" w:cs="仿宋" w:asciiTheme="minorEastAsia" w:hAnsiTheme="minorEastAsia" w:eastAsiaTheme="minorEastAsia"/>
          <w:color w:val="auto"/>
          <w:szCs w:val="24"/>
          <w:highlight w:val="none"/>
          <w:u w:val="single"/>
        </w:rPr>
        <w:t xml:space="preserve">            （</w:t>
      </w:r>
      <w:r>
        <w:rPr>
          <w:rFonts w:hint="eastAsia" w:cs="仿宋" w:asciiTheme="minorEastAsia" w:hAnsiTheme="minorEastAsia" w:eastAsiaTheme="minorEastAsia"/>
          <w:color w:val="auto"/>
          <w:szCs w:val="24"/>
          <w:highlight w:val="none"/>
        </w:rPr>
        <w:t>签字或盖章）</w:t>
      </w:r>
    </w:p>
    <w:p w14:paraId="0D3CBF0F">
      <w:pPr>
        <w:spacing w:line="480" w:lineRule="auto"/>
        <w:ind w:firstLine="2760" w:firstLineChars="1150"/>
        <w:rPr>
          <w:rFonts w:hint="eastAsia" w:cs="仿宋" w:asciiTheme="minorEastAsia" w:hAnsiTheme="minorEastAsia" w:eastAsiaTheme="minorEastAsia"/>
          <w:color w:val="auto"/>
          <w:spacing w:val="4"/>
          <w:szCs w:val="24"/>
          <w:highlight w:val="none"/>
        </w:rPr>
      </w:pPr>
      <w:r>
        <w:rPr>
          <w:rFonts w:hint="eastAsia" w:cs="仿宋" w:asciiTheme="minorEastAsia" w:hAnsiTheme="minorEastAsia" w:eastAsiaTheme="minorEastAsia"/>
          <w:color w:val="auto"/>
          <w:szCs w:val="24"/>
          <w:highlight w:val="none"/>
        </w:rPr>
        <w:t xml:space="preserve">供 </w:t>
      </w:r>
      <w:r>
        <w:rPr>
          <w:rFonts w:cs="仿宋" w:asciiTheme="minorEastAsia" w:hAnsiTheme="minorEastAsia" w:eastAsiaTheme="minorEastAsia"/>
          <w:color w:val="auto"/>
          <w:szCs w:val="24"/>
          <w:highlight w:val="none"/>
        </w:rPr>
        <w:t xml:space="preserve">   </w:t>
      </w:r>
      <w:r>
        <w:rPr>
          <w:rFonts w:hint="eastAsia" w:cs="仿宋" w:asciiTheme="minorEastAsia" w:hAnsiTheme="minorEastAsia" w:eastAsiaTheme="minorEastAsia"/>
          <w:color w:val="auto"/>
          <w:szCs w:val="24"/>
          <w:highlight w:val="none"/>
        </w:rPr>
        <w:t xml:space="preserve">应 </w:t>
      </w:r>
      <w:r>
        <w:rPr>
          <w:rFonts w:cs="仿宋" w:asciiTheme="minorEastAsia" w:hAnsiTheme="minorEastAsia" w:eastAsiaTheme="minorEastAsia"/>
          <w:color w:val="auto"/>
          <w:szCs w:val="24"/>
          <w:highlight w:val="none"/>
        </w:rPr>
        <w:t xml:space="preserve"> </w:t>
      </w:r>
      <w:r>
        <w:rPr>
          <w:rFonts w:hint="eastAsia" w:cs="仿宋" w:asciiTheme="minorEastAsia" w:hAnsiTheme="minorEastAsia" w:eastAsiaTheme="minorEastAsia"/>
          <w:color w:val="auto"/>
          <w:szCs w:val="24"/>
          <w:highlight w:val="none"/>
        </w:rPr>
        <w:t xml:space="preserve"> </w:t>
      </w:r>
      <w:r>
        <w:rPr>
          <w:rFonts w:cs="仿宋" w:asciiTheme="minorEastAsia" w:hAnsiTheme="minorEastAsia" w:eastAsiaTheme="minorEastAsia"/>
          <w:color w:val="auto"/>
          <w:szCs w:val="24"/>
          <w:highlight w:val="none"/>
        </w:rPr>
        <w:t xml:space="preserve"> </w:t>
      </w:r>
      <w:r>
        <w:rPr>
          <w:rFonts w:hint="eastAsia" w:cs="仿宋" w:asciiTheme="minorEastAsia" w:hAnsiTheme="minorEastAsia" w:eastAsiaTheme="minorEastAsia"/>
          <w:color w:val="auto"/>
          <w:szCs w:val="24"/>
          <w:highlight w:val="none"/>
        </w:rPr>
        <w:t xml:space="preserve">商  </w:t>
      </w:r>
      <w:r>
        <w:rPr>
          <w:rFonts w:cs="仿宋" w:asciiTheme="minorEastAsia" w:hAnsiTheme="minorEastAsia" w:eastAsiaTheme="minorEastAsia"/>
          <w:color w:val="auto"/>
          <w:szCs w:val="24"/>
          <w:highlight w:val="none"/>
        </w:rPr>
        <w:t xml:space="preserve"> </w:t>
      </w:r>
      <w:r>
        <w:rPr>
          <w:rFonts w:hint="eastAsia" w:cs="仿宋" w:asciiTheme="minorEastAsia" w:hAnsiTheme="minorEastAsia" w:eastAsiaTheme="minorEastAsia"/>
          <w:color w:val="auto"/>
          <w:szCs w:val="24"/>
          <w:highlight w:val="none"/>
        </w:rPr>
        <w:t xml:space="preserve">公  </w:t>
      </w:r>
      <w:r>
        <w:rPr>
          <w:rFonts w:cs="仿宋" w:asciiTheme="minorEastAsia" w:hAnsiTheme="minorEastAsia" w:eastAsiaTheme="minorEastAsia"/>
          <w:color w:val="auto"/>
          <w:szCs w:val="24"/>
          <w:highlight w:val="none"/>
        </w:rPr>
        <w:t xml:space="preserve"> </w:t>
      </w:r>
      <w:r>
        <w:rPr>
          <w:rFonts w:hint="eastAsia" w:cs="仿宋" w:asciiTheme="minorEastAsia" w:hAnsiTheme="minorEastAsia" w:eastAsiaTheme="minorEastAsia"/>
          <w:color w:val="auto"/>
          <w:szCs w:val="24"/>
          <w:highlight w:val="none"/>
        </w:rPr>
        <w:t>章</w:t>
      </w:r>
      <w:r>
        <w:rPr>
          <w:rFonts w:hint="eastAsia" w:cs="仿宋" w:asciiTheme="minorEastAsia" w:hAnsiTheme="minorEastAsia" w:eastAsiaTheme="minorEastAsia"/>
          <w:color w:val="auto"/>
          <w:spacing w:val="4"/>
          <w:szCs w:val="24"/>
          <w:highlight w:val="none"/>
        </w:rPr>
        <w:t>：</w:t>
      </w:r>
      <w:r>
        <w:rPr>
          <w:rFonts w:hint="eastAsia" w:cs="仿宋" w:asciiTheme="minorEastAsia" w:hAnsiTheme="minorEastAsia" w:eastAsiaTheme="minorEastAsia"/>
          <w:color w:val="auto"/>
          <w:spacing w:val="4"/>
          <w:szCs w:val="24"/>
          <w:highlight w:val="none"/>
          <w:u w:val="single"/>
        </w:rPr>
        <w:t xml:space="preserve">                  </w:t>
      </w:r>
    </w:p>
    <w:p w14:paraId="3619B173">
      <w:pPr>
        <w:ind w:firstLine="2728" w:firstLineChars="1100"/>
        <w:rPr>
          <w:rFonts w:hint="eastAsia" w:cs="仿宋" w:asciiTheme="minorEastAsia" w:hAnsiTheme="minorEastAsia" w:eastAsiaTheme="minorEastAsia"/>
          <w:b/>
          <w:color w:val="auto"/>
          <w:sz w:val="28"/>
          <w:szCs w:val="28"/>
          <w:highlight w:val="none"/>
        </w:rPr>
      </w:pPr>
      <w:r>
        <w:rPr>
          <w:rFonts w:hint="eastAsia" w:cs="仿宋" w:asciiTheme="minorEastAsia" w:hAnsiTheme="minorEastAsia" w:eastAsiaTheme="minorEastAsia"/>
          <w:color w:val="auto"/>
          <w:spacing w:val="4"/>
          <w:szCs w:val="24"/>
          <w:highlight w:val="none"/>
        </w:rPr>
        <w:t>日                   期：</w:t>
      </w:r>
      <w:r>
        <w:rPr>
          <w:rFonts w:hint="eastAsia" w:cs="仿宋" w:asciiTheme="minorEastAsia" w:hAnsiTheme="minorEastAsia" w:eastAsiaTheme="minorEastAsia"/>
          <w:color w:val="auto"/>
          <w:spacing w:val="4"/>
          <w:szCs w:val="24"/>
          <w:highlight w:val="none"/>
          <w:u w:val="single"/>
        </w:rPr>
        <w:t xml:space="preserve">                 </w:t>
      </w:r>
    </w:p>
    <w:p w14:paraId="076E6005">
      <w:pPr>
        <w:pStyle w:val="5"/>
        <w:widowControl/>
        <w:wordWrap w:val="0"/>
        <w:spacing w:after="156" w:afterLines="50" w:line="360" w:lineRule="auto"/>
        <w:ind w:firstLine="0" w:firstLineChars="0"/>
        <w:jc w:val="right"/>
        <w:rPr>
          <w:rFonts w:hint="eastAsia" w:ascii="宋体" w:hAnsi="宋体" w:cs="宋体"/>
          <w:color w:val="auto"/>
          <w:sz w:val="24"/>
          <w:highlight w:val="none"/>
        </w:rPr>
      </w:pPr>
      <w:r>
        <w:rPr>
          <w:rFonts w:hint="eastAsia" w:ascii="宋体" w:hAnsi="宋体" w:cs="宋体"/>
          <w:color w:val="auto"/>
          <w:sz w:val="24"/>
          <w:highlight w:val="none"/>
        </w:rPr>
        <w:t xml:space="preserve">    </w:t>
      </w:r>
    </w:p>
    <w:p w14:paraId="1915B0F0">
      <w:pPr>
        <w:pStyle w:val="5"/>
        <w:widowControl/>
        <w:wordWrap w:val="0"/>
        <w:spacing w:after="156" w:afterLines="50" w:line="360" w:lineRule="auto"/>
        <w:ind w:firstLine="0" w:firstLineChars="0"/>
        <w:jc w:val="right"/>
        <w:rPr>
          <w:rFonts w:hint="eastAsia" w:ascii="宋体" w:hAnsi="宋体" w:cs="宋体"/>
          <w:color w:val="auto"/>
          <w:sz w:val="24"/>
          <w:highlight w:val="none"/>
        </w:rPr>
      </w:pPr>
    </w:p>
    <w:p w14:paraId="1B33AEBC">
      <w:pPr>
        <w:pStyle w:val="5"/>
        <w:widowControl/>
        <w:wordWrap w:val="0"/>
        <w:spacing w:after="156" w:afterLines="50" w:line="360" w:lineRule="auto"/>
        <w:ind w:firstLine="0" w:firstLineChars="0"/>
        <w:jc w:val="right"/>
        <w:rPr>
          <w:rFonts w:hint="eastAsia" w:ascii="宋体" w:hAnsi="宋体" w:cs="宋体"/>
          <w:color w:val="auto"/>
          <w:sz w:val="24"/>
          <w:highlight w:val="none"/>
        </w:rPr>
      </w:pPr>
    </w:p>
    <w:p w14:paraId="71D1CF0B">
      <w:pPr>
        <w:pStyle w:val="5"/>
        <w:widowControl/>
        <w:wordWrap w:val="0"/>
        <w:spacing w:after="156" w:afterLines="50" w:line="360" w:lineRule="auto"/>
        <w:ind w:firstLine="0" w:firstLineChars="0"/>
        <w:jc w:val="right"/>
        <w:rPr>
          <w:rFonts w:hint="eastAsia" w:ascii="宋体" w:hAnsi="宋体" w:cs="宋体"/>
          <w:color w:val="auto"/>
          <w:sz w:val="24"/>
          <w:highlight w:val="none"/>
        </w:rPr>
      </w:pPr>
    </w:p>
    <w:p w14:paraId="3888778F">
      <w:pPr>
        <w:pStyle w:val="5"/>
        <w:widowControl/>
        <w:wordWrap w:val="0"/>
        <w:spacing w:after="156" w:afterLines="50" w:line="360" w:lineRule="auto"/>
        <w:ind w:firstLine="0" w:firstLineChars="0"/>
        <w:jc w:val="right"/>
        <w:rPr>
          <w:rFonts w:hint="eastAsia" w:ascii="宋体" w:hAnsi="宋体" w:cs="宋体"/>
          <w:color w:val="auto"/>
          <w:sz w:val="24"/>
          <w:highlight w:val="none"/>
        </w:rPr>
      </w:pPr>
    </w:p>
    <w:p w14:paraId="5F3CA7C6">
      <w:pPr>
        <w:pStyle w:val="5"/>
        <w:widowControl/>
        <w:wordWrap w:val="0"/>
        <w:spacing w:after="156" w:afterLines="50" w:line="360" w:lineRule="auto"/>
        <w:ind w:firstLine="0" w:firstLineChars="0"/>
        <w:jc w:val="right"/>
        <w:rPr>
          <w:rFonts w:hint="eastAsia" w:ascii="宋体" w:hAnsi="宋体" w:cs="宋体"/>
          <w:color w:val="auto"/>
          <w:sz w:val="24"/>
          <w:highlight w:val="none"/>
        </w:rPr>
      </w:pPr>
    </w:p>
    <w:p w14:paraId="0556572B">
      <w:pPr>
        <w:pStyle w:val="5"/>
        <w:widowControl/>
        <w:wordWrap w:val="0"/>
        <w:spacing w:after="156" w:afterLines="50" w:line="360" w:lineRule="auto"/>
        <w:ind w:firstLine="0" w:firstLineChars="0"/>
        <w:jc w:val="right"/>
        <w:rPr>
          <w:rFonts w:hint="eastAsia" w:ascii="宋体" w:hAnsi="宋体" w:cs="宋体"/>
          <w:color w:val="auto"/>
          <w:sz w:val="24"/>
          <w:highlight w:val="none"/>
        </w:rPr>
      </w:pPr>
    </w:p>
    <w:p w14:paraId="02E40E4E">
      <w:pPr>
        <w:spacing w:before="156" w:beforeLines="50" w:line="360" w:lineRule="auto"/>
        <w:jc w:val="left"/>
        <w:rPr>
          <w:rFonts w:hint="default" w:cs="仿宋" w:asciiTheme="minorEastAsia" w:hAnsiTheme="minorEastAsia" w:eastAsiaTheme="minorEastAsia"/>
          <w:b/>
          <w:bCs/>
          <w:color w:val="auto"/>
          <w:sz w:val="24"/>
          <w:szCs w:val="24"/>
          <w:highlight w:val="none"/>
          <w:lang w:val="en-US" w:eastAsia="zh-CN"/>
        </w:rPr>
      </w:pPr>
      <w:r>
        <w:rPr>
          <w:rFonts w:hint="eastAsia" w:cs="仿宋" w:asciiTheme="minorEastAsia" w:hAnsiTheme="minorEastAsia" w:eastAsiaTheme="minorEastAsia"/>
          <w:b/>
          <w:bCs/>
          <w:color w:val="auto"/>
          <w:sz w:val="24"/>
          <w:szCs w:val="24"/>
          <w:highlight w:val="none"/>
          <w:lang w:eastAsia="zh-CN"/>
        </w:rPr>
        <w:t>附件</w:t>
      </w:r>
      <w:r>
        <w:rPr>
          <w:rFonts w:hint="eastAsia" w:cs="仿宋" w:asciiTheme="minorEastAsia" w:hAnsiTheme="minorEastAsia" w:eastAsiaTheme="minorEastAsia"/>
          <w:b/>
          <w:bCs/>
          <w:color w:val="auto"/>
          <w:sz w:val="24"/>
          <w:szCs w:val="24"/>
          <w:highlight w:val="none"/>
          <w:lang w:val="en-US" w:eastAsia="zh-CN"/>
        </w:rPr>
        <w:t>5:</w:t>
      </w:r>
    </w:p>
    <w:p w14:paraId="4898E440">
      <w:pPr>
        <w:pStyle w:val="5"/>
        <w:widowControl/>
        <w:spacing w:after="156" w:afterLines="50"/>
        <w:ind w:firstLine="0" w:firstLineChars="0"/>
        <w:jc w:val="left"/>
        <w:rPr>
          <w:rFonts w:hint="eastAsia" w:ascii="华文仿宋" w:hAnsi="华文仿宋" w:cs="华文仿宋"/>
          <w:b/>
          <w:bCs/>
          <w:color w:val="auto"/>
          <w:sz w:val="28"/>
          <w:szCs w:val="28"/>
          <w:highlight w:val="none"/>
        </w:rPr>
      </w:pPr>
    </w:p>
    <w:p w14:paraId="2C00A039">
      <w:pPr>
        <w:pStyle w:val="5"/>
        <w:widowControl/>
        <w:spacing w:after="156" w:afterLines="50"/>
        <w:ind w:firstLine="602"/>
        <w:jc w:val="center"/>
        <w:rPr>
          <w:rFonts w:hint="eastAsia" w:ascii="华文仿宋" w:hAnsi="华文仿宋" w:cs="华文仿宋"/>
          <w:b/>
          <w:bCs/>
          <w:color w:val="auto"/>
          <w:highlight w:val="none"/>
        </w:rPr>
      </w:pPr>
      <w:r>
        <w:rPr>
          <w:rFonts w:hint="eastAsia" w:ascii="华文仿宋" w:hAnsi="华文仿宋" w:cs="华文仿宋"/>
          <w:b/>
          <w:bCs/>
          <w:color w:val="auto"/>
          <w:sz w:val="30"/>
          <w:szCs w:val="30"/>
          <w:highlight w:val="none"/>
        </w:rPr>
        <w:t>非联合体磋商声明</w:t>
      </w:r>
    </w:p>
    <w:p w14:paraId="057DC5A9">
      <w:pPr>
        <w:spacing w:line="500" w:lineRule="exact"/>
        <w:ind w:firstLine="480" w:firstLineChars="200"/>
        <w:rPr>
          <w:rFonts w:hint="eastAsia" w:ascii="华文仿宋" w:hAnsi="华文仿宋" w:cs="华文仿宋"/>
          <w:color w:val="auto"/>
          <w:highlight w:val="none"/>
        </w:rPr>
      </w:pPr>
    </w:p>
    <w:p w14:paraId="24D85714">
      <w:pPr>
        <w:spacing w:line="500" w:lineRule="exact"/>
        <w:ind w:firstLine="480" w:firstLineChars="200"/>
        <w:rPr>
          <w:rFonts w:hint="eastAsia" w:hAnsi="宋体" w:cs="宋体"/>
          <w:color w:val="auto"/>
          <w:szCs w:val="24"/>
          <w:highlight w:val="none"/>
        </w:rPr>
      </w:pPr>
      <w:r>
        <w:rPr>
          <w:rFonts w:hint="eastAsia" w:hAnsi="宋体" w:cs="宋体"/>
          <w:color w:val="auto"/>
          <w:szCs w:val="24"/>
          <w:highlight w:val="none"/>
        </w:rPr>
        <w:t>本单位郑重声明，参加</w:t>
      </w:r>
      <w:r>
        <w:rPr>
          <w:rFonts w:hint="eastAsia" w:hAnsi="宋体" w:cs="宋体"/>
          <w:color w:val="auto"/>
          <w:szCs w:val="24"/>
          <w:highlight w:val="none"/>
          <w:lang w:eastAsia="zh-CN"/>
        </w:rPr>
        <w:t>致君项目管理有限公司</w:t>
      </w:r>
      <w:r>
        <w:rPr>
          <w:rFonts w:hint="eastAsia" w:hAnsi="宋体" w:cs="宋体"/>
          <w:color w:val="auto"/>
          <w:szCs w:val="24"/>
          <w:highlight w:val="none"/>
        </w:rPr>
        <w:t>的</w:t>
      </w:r>
      <w:r>
        <w:rPr>
          <w:rFonts w:hint="eastAsia" w:hAnsi="宋体" w:cs="宋体"/>
          <w:color w:val="auto"/>
          <w:szCs w:val="24"/>
          <w:highlight w:val="none"/>
          <w:u w:val="single"/>
          <w:lang w:val="en-US" w:eastAsia="zh-CN"/>
        </w:rPr>
        <w:t xml:space="preserve">       </w:t>
      </w:r>
      <w:r>
        <w:rPr>
          <w:rFonts w:hint="eastAsia" w:hAnsi="宋体" w:cs="宋体"/>
          <w:color w:val="auto"/>
          <w:szCs w:val="24"/>
          <w:highlight w:val="none"/>
          <w:u w:val="none"/>
          <w:lang w:val="en-US" w:eastAsia="zh-CN"/>
        </w:rPr>
        <w:t>（</w:t>
      </w:r>
      <w:r>
        <w:rPr>
          <w:rFonts w:hint="eastAsia" w:hAnsi="宋体" w:cs="宋体"/>
          <w:color w:val="auto"/>
          <w:szCs w:val="24"/>
          <w:highlight w:val="none"/>
          <w:u w:val="none"/>
        </w:rPr>
        <w:t>项目名称</w:t>
      </w:r>
      <w:r>
        <w:rPr>
          <w:rFonts w:hint="eastAsia" w:hAnsi="宋体" w:cs="宋体"/>
          <w:color w:val="auto"/>
          <w:szCs w:val="24"/>
          <w:highlight w:val="none"/>
          <w:u w:val="none"/>
          <w:lang w:val="en-US" w:eastAsia="zh-CN"/>
        </w:rPr>
        <w:t xml:space="preserve"> ）</w:t>
      </w:r>
      <w:r>
        <w:rPr>
          <w:rFonts w:hint="eastAsia" w:hAnsi="宋体" w:cs="宋体"/>
          <w:color w:val="auto"/>
          <w:szCs w:val="24"/>
          <w:highlight w:val="none"/>
        </w:rPr>
        <w:t>（项目编号：</w:t>
      </w:r>
      <w:r>
        <w:rPr>
          <w:rFonts w:hint="eastAsia" w:hAnsi="宋体" w:cs="宋体"/>
          <w:color w:val="auto"/>
          <w:szCs w:val="24"/>
          <w:highlight w:val="none"/>
          <w:u w:val="single"/>
        </w:rPr>
        <w:t xml:space="preserve">       </w:t>
      </w:r>
      <w:r>
        <w:rPr>
          <w:rFonts w:hint="eastAsia" w:hAnsi="宋体" w:cs="宋体"/>
          <w:color w:val="auto"/>
          <w:szCs w:val="24"/>
          <w:highlight w:val="none"/>
        </w:rPr>
        <w:t>）采购活动，为非联合体磋商，本项目实施过程由本单位独立承担。</w:t>
      </w:r>
    </w:p>
    <w:p w14:paraId="11572C7B">
      <w:pPr>
        <w:spacing w:line="500" w:lineRule="exact"/>
        <w:ind w:firstLine="480" w:firstLineChars="200"/>
        <w:jc w:val="left"/>
        <w:rPr>
          <w:rFonts w:hint="eastAsia" w:hAnsi="宋体" w:cs="宋体"/>
          <w:color w:val="auto"/>
          <w:szCs w:val="24"/>
          <w:highlight w:val="none"/>
        </w:rPr>
      </w:pPr>
      <w:r>
        <w:rPr>
          <w:rFonts w:hint="eastAsia" w:hAnsi="宋体" w:cs="宋体"/>
          <w:color w:val="auto"/>
          <w:szCs w:val="24"/>
          <w:highlight w:val="none"/>
        </w:rPr>
        <w:t>本单位对上述声明的真实性负责。如有虚假，将依法承担相应责任。</w:t>
      </w:r>
    </w:p>
    <w:p w14:paraId="79F7F439">
      <w:pPr>
        <w:spacing w:line="500" w:lineRule="exact"/>
        <w:ind w:firstLine="480" w:firstLineChars="200"/>
        <w:jc w:val="left"/>
        <w:rPr>
          <w:rFonts w:hint="eastAsia" w:hAnsi="宋体" w:cs="宋体"/>
          <w:color w:val="auto"/>
          <w:szCs w:val="24"/>
          <w:highlight w:val="none"/>
        </w:rPr>
      </w:pPr>
    </w:p>
    <w:p w14:paraId="4BF2D492">
      <w:pPr>
        <w:pStyle w:val="2"/>
        <w:ind w:left="2880"/>
        <w:rPr>
          <w:rFonts w:hint="eastAsia" w:ascii="宋体" w:hAnsi="宋体" w:cs="宋体"/>
          <w:color w:val="auto"/>
          <w:sz w:val="24"/>
          <w:szCs w:val="24"/>
          <w:highlight w:val="none"/>
        </w:rPr>
      </w:pPr>
    </w:p>
    <w:p w14:paraId="45B8C537">
      <w:pPr>
        <w:rPr>
          <w:rFonts w:hint="eastAsia" w:hAnsi="宋体" w:cs="宋体"/>
          <w:color w:val="auto"/>
          <w:szCs w:val="24"/>
          <w:highlight w:val="none"/>
        </w:rPr>
      </w:pPr>
    </w:p>
    <w:p w14:paraId="1F2E1DCB">
      <w:pPr>
        <w:pStyle w:val="5"/>
        <w:ind w:firstLine="480"/>
        <w:rPr>
          <w:rFonts w:hint="eastAsia" w:ascii="宋体" w:hAnsi="宋体" w:cs="宋体"/>
          <w:color w:val="auto"/>
          <w:sz w:val="24"/>
          <w:highlight w:val="none"/>
        </w:rPr>
      </w:pPr>
    </w:p>
    <w:p w14:paraId="1E5338C1">
      <w:pPr>
        <w:spacing w:line="480" w:lineRule="auto"/>
        <w:ind w:firstLine="2728" w:firstLineChars="1100"/>
        <w:rPr>
          <w:rFonts w:hint="eastAsia" w:hAnsi="宋体" w:cs="宋体"/>
          <w:color w:val="auto"/>
          <w:spacing w:val="4"/>
          <w:szCs w:val="24"/>
          <w:highlight w:val="none"/>
        </w:rPr>
      </w:pPr>
      <w:r>
        <w:rPr>
          <w:rFonts w:hint="eastAsia" w:hAnsi="宋体" w:cs="宋体"/>
          <w:color w:val="auto"/>
          <w:spacing w:val="4"/>
          <w:szCs w:val="24"/>
          <w:highlight w:val="none"/>
        </w:rPr>
        <w:t>法定代表人或被授权代表人：</w:t>
      </w:r>
      <w:r>
        <w:rPr>
          <w:rFonts w:hint="eastAsia" w:hAnsi="宋体" w:cs="宋体"/>
          <w:color w:val="auto"/>
          <w:spacing w:val="4"/>
          <w:szCs w:val="24"/>
          <w:highlight w:val="none"/>
          <w:u w:val="single"/>
        </w:rPr>
        <w:t xml:space="preserve">         （</w:t>
      </w:r>
      <w:r>
        <w:rPr>
          <w:rFonts w:hint="eastAsia" w:hAnsi="宋体" w:cs="宋体"/>
          <w:color w:val="auto"/>
          <w:spacing w:val="4"/>
          <w:szCs w:val="24"/>
          <w:highlight w:val="none"/>
        </w:rPr>
        <w:t>签字或盖章）</w:t>
      </w:r>
    </w:p>
    <w:p w14:paraId="40990E2B">
      <w:pPr>
        <w:spacing w:line="480" w:lineRule="auto"/>
        <w:ind w:firstLine="2728" w:firstLineChars="1100"/>
        <w:rPr>
          <w:rFonts w:hint="eastAsia" w:hAnsi="宋体" w:cs="宋体"/>
          <w:color w:val="auto"/>
          <w:spacing w:val="4"/>
          <w:szCs w:val="24"/>
          <w:highlight w:val="none"/>
        </w:rPr>
      </w:pPr>
      <w:r>
        <w:rPr>
          <w:rFonts w:hint="eastAsia" w:hAnsi="宋体" w:cs="宋体"/>
          <w:color w:val="auto"/>
          <w:spacing w:val="4"/>
          <w:szCs w:val="24"/>
          <w:highlight w:val="none"/>
        </w:rPr>
        <w:t xml:space="preserve">供 </w:t>
      </w:r>
      <w:r>
        <w:rPr>
          <w:rFonts w:hAnsi="宋体" w:cs="宋体"/>
          <w:color w:val="auto"/>
          <w:spacing w:val="4"/>
          <w:szCs w:val="24"/>
          <w:highlight w:val="none"/>
        </w:rPr>
        <w:t xml:space="preserve"> </w:t>
      </w:r>
      <w:r>
        <w:rPr>
          <w:rFonts w:hint="eastAsia" w:hAnsi="宋体" w:cs="宋体"/>
          <w:color w:val="auto"/>
          <w:spacing w:val="4"/>
          <w:szCs w:val="24"/>
          <w:highlight w:val="none"/>
        </w:rPr>
        <w:t xml:space="preserve">应 </w:t>
      </w:r>
      <w:r>
        <w:rPr>
          <w:rFonts w:hAnsi="宋体" w:cs="宋体"/>
          <w:color w:val="auto"/>
          <w:spacing w:val="4"/>
          <w:szCs w:val="24"/>
          <w:highlight w:val="none"/>
        </w:rPr>
        <w:t xml:space="preserve"> </w:t>
      </w:r>
      <w:r>
        <w:rPr>
          <w:rFonts w:hint="eastAsia" w:hAnsi="宋体" w:cs="宋体"/>
          <w:color w:val="auto"/>
          <w:spacing w:val="4"/>
          <w:szCs w:val="24"/>
          <w:highlight w:val="none"/>
        </w:rPr>
        <w:t xml:space="preserve">商  公  章：              </w:t>
      </w:r>
    </w:p>
    <w:p w14:paraId="0736D1C4">
      <w:pPr>
        <w:ind w:firstLine="2728" w:firstLineChars="1100"/>
        <w:rPr>
          <w:rFonts w:hint="eastAsia" w:hAnsi="宋体" w:cs="宋体"/>
          <w:color w:val="auto"/>
          <w:spacing w:val="4"/>
          <w:szCs w:val="24"/>
          <w:highlight w:val="none"/>
        </w:rPr>
        <w:sectPr>
          <w:pgSz w:w="11906" w:h="16838"/>
          <w:pgMar w:top="1417" w:right="1129" w:bottom="1417" w:left="1417" w:header="851" w:footer="850" w:gutter="0"/>
          <w:pgNumType w:fmt="numberInDash"/>
          <w:cols w:space="720" w:num="1"/>
          <w:docGrid w:type="lines" w:linePitch="312" w:charSpace="0"/>
        </w:sectPr>
      </w:pPr>
      <w:r>
        <w:rPr>
          <w:rFonts w:hint="eastAsia" w:hAnsi="宋体" w:cs="宋体"/>
          <w:color w:val="auto"/>
          <w:spacing w:val="4"/>
          <w:szCs w:val="24"/>
          <w:highlight w:val="none"/>
        </w:rPr>
        <w:t>日              期</w:t>
      </w:r>
    </w:p>
    <w:p w14:paraId="3E5C21D6">
      <w:pPr>
        <w:rPr>
          <w:rFonts w:hint="eastAsia" w:hAnsi="宋体" w:cs="宋体"/>
          <w:color w:val="auto"/>
          <w:highlight w:val="none"/>
        </w:rPr>
      </w:pPr>
    </w:p>
    <w:bookmarkEnd w:id="123"/>
    <w:bookmarkEnd w:id="124"/>
    <w:bookmarkEnd w:id="125"/>
    <w:bookmarkEnd w:id="126"/>
    <w:bookmarkEnd w:id="127"/>
    <w:p w14:paraId="67E1A0F2">
      <w:pPr>
        <w:tabs>
          <w:tab w:val="left" w:pos="7839"/>
        </w:tabs>
        <w:spacing w:line="360" w:lineRule="auto"/>
        <w:jc w:val="center"/>
        <w:outlineLvl w:val="1"/>
        <w:rPr>
          <w:rFonts w:hint="eastAsia" w:cs="仿宋" w:asciiTheme="minorEastAsia" w:hAnsiTheme="minorEastAsia" w:eastAsiaTheme="minorEastAsia"/>
          <w:b/>
          <w:bCs/>
          <w:color w:val="auto"/>
          <w:sz w:val="32"/>
          <w:szCs w:val="32"/>
          <w:highlight w:val="none"/>
        </w:rPr>
      </w:pPr>
      <w:bookmarkStart w:id="133" w:name="_Toc2494"/>
      <w:bookmarkStart w:id="134" w:name="_Toc15254"/>
      <w:r>
        <w:rPr>
          <w:rFonts w:hint="eastAsia" w:cs="仿宋" w:asciiTheme="minorEastAsia" w:hAnsiTheme="minorEastAsia" w:eastAsiaTheme="minorEastAsia"/>
          <w:b/>
          <w:bCs/>
          <w:color w:val="auto"/>
          <w:sz w:val="32"/>
          <w:szCs w:val="32"/>
          <w:highlight w:val="none"/>
          <w:lang w:eastAsia="zh-CN"/>
        </w:rPr>
        <w:t>八</w:t>
      </w:r>
      <w:r>
        <w:rPr>
          <w:rFonts w:hint="eastAsia" w:cs="仿宋" w:asciiTheme="minorEastAsia" w:hAnsiTheme="minorEastAsia" w:eastAsiaTheme="minorEastAsia"/>
          <w:b/>
          <w:bCs/>
          <w:color w:val="auto"/>
          <w:sz w:val="32"/>
          <w:szCs w:val="32"/>
          <w:highlight w:val="none"/>
        </w:rPr>
        <w:t>、其它</w:t>
      </w:r>
      <w:bookmarkEnd w:id="133"/>
      <w:bookmarkEnd w:id="134"/>
      <w:r>
        <w:rPr>
          <w:rFonts w:hint="eastAsia" w:cs="仿宋" w:asciiTheme="minorEastAsia" w:hAnsiTheme="minorEastAsia" w:eastAsiaTheme="minorEastAsia"/>
          <w:b/>
          <w:bCs/>
          <w:color w:val="auto"/>
          <w:sz w:val="32"/>
          <w:szCs w:val="32"/>
          <w:highlight w:val="none"/>
        </w:rPr>
        <w:t>资料</w:t>
      </w:r>
    </w:p>
    <w:p w14:paraId="55E86191">
      <w:pPr>
        <w:pStyle w:val="2"/>
        <w:rPr>
          <w:rFonts w:hint="eastAsia" w:cs="仿宋" w:asciiTheme="minorEastAsia" w:hAnsiTheme="minorEastAsia" w:eastAsiaTheme="minorEastAsia"/>
          <w:color w:val="auto"/>
          <w:sz w:val="24"/>
          <w:szCs w:val="28"/>
          <w:highlight w:val="none"/>
        </w:rPr>
      </w:pPr>
      <w:r>
        <w:rPr>
          <w:rFonts w:hint="eastAsia" w:cs="仿宋" w:asciiTheme="minorEastAsia" w:hAnsiTheme="minorEastAsia" w:eastAsiaTheme="minorEastAsia"/>
          <w:color w:val="auto"/>
          <w:sz w:val="24"/>
          <w:szCs w:val="28"/>
          <w:highlight w:val="none"/>
        </w:rPr>
        <w:t>1.依据竞争性磋商文件要求，供应商认为有必要说明的其他内容。</w:t>
      </w:r>
    </w:p>
    <w:p w14:paraId="4EF3E8F7">
      <w:pPr>
        <w:pStyle w:val="2"/>
        <w:rPr>
          <w:rFonts w:hint="eastAsia" w:cs="仿宋" w:asciiTheme="minorEastAsia" w:hAnsiTheme="minorEastAsia" w:eastAsiaTheme="minorEastAsia"/>
          <w:color w:val="auto"/>
          <w:sz w:val="24"/>
          <w:szCs w:val="28"/>
          <w:highlight w:val="none"/>
        </w:rPr>
      </w:pPr>
      <w:r>
        <w:rPr>
          <w:rFonts w:hint="eastAsia" w:cs="仿宋" w:asciiTheme="minorEastAsia" w:hAnsiTheme="minorEastAsia" w:eastAsiaTheme="minorEastAsia"/>
          <w:color w:val="auto"/>
          <w:sz w:val="24"/>
          <w:szCs w:val="28"/>
          <w:highlight w:val="none"/>
        </w:rPr>
        <w:t>2.其他可以证明供应商实力的文件。</w:t>
      </w:r>
    </w:p>
    <w:p w14:paraId="7E3D3E24">
      <w:pPr>
        <w:pStyle w:val="4"/>
        <w:rPr>
          <w:rFonts w:hint="eastAsia" w:cs="仿宋" w:asciiTheme="minorEastAsia" w:hAnsiTheme="minorEastAsia" w:eastAsiaTheme="minorEastAsia"/>
          <w:color w:val="auto"/>
          <w:kern w:val="2"/>
          <w:highlight w:val="none"/>
        </w:rPr>
      </w:pPr>
      <w:r>
        <w:rPr>
          <w:rFonts w:hint="eastAsia" w:cs="仿宋" w:asciiTheme="minorEastAsia" w:hAnsiTheme="minorEastAsia" w:eastAsiaTheme="minorEastAsia"/>
          <w:color w:val="auto"/>
          <w:highlight w:val="none"/>
        </w:rPr>
        <w:br w:type="page"/>
      </w:r>
    </w:p>
    <w:p w14:paraId="77AA5E8E">
      <w:pPr>
        <w:pStyle w:val="47"/>
        <w:keepNext w:val="0"/>
        <w:keepLines w:val="0"/>
        <w:pageBreakBefore w:val="0"/>
        <w:kinsoku/>
        <w:wordWrap/>
        <w:overflowPunct/>
        <w:topLinePunct w:val="0"/>
        <w:autoSpaceDE/>
        <w:autoSpaceDN/>
        <w:bidi w:val="0"/>
        <w:adjustRightInd/>
        <w:snapToGrid/>
        <w:spacing w:line="520" w:lineRule="exact"/>
        <w:ind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本项目专门面向</w:t>
      </w:r>
      <w:r>
        <w:rPr>
          <w:rFonts w:hint="eastAsia" w:ascii="宋体" w:hAnsi="宋体" w:eastAsia="宋体" w:cs="宋体"/>
          <w:b/>
          <w:bCs/>
          <w:color w:val="auto"/>
          <w:sz w:val="24"/>
          <w:szCs w:val="24"/>
          <w:highlight w:val="none"/>
          <w:lang w:val="en-US" w:eastAsia="zh-CN"/>
        </w:rPr>
        <w:t>中小</w:t>
      </w:r>
      <w:r>
        <w:rPr>
          <w:rFonts w:hint="eastAsia" w:ascii="宋体" w:hAnsi="宋体" w:eastAsia="宋体" w:cs="宋体"/>
          <w:b/>
          <w:bCs/>
          <w:color w:val="auto"/>
          <w:sz w:val="24"/>
          <w:szCs w:val="24"/>
          <w:highlight w:val="none"/>
        </w:rPr>
        <w:t>企业，供应商应为</w:t>
      </w:r>
      <w:r>
        <w:rPr>
          <w:rFonts w:hint="eastAsia" w:ascii="宋体" w:hAnsi="宋体" w:cs="宋体"/>
          <w:b/>
          <w:bCs/>
          <w:color w:val="auto"/>
          <w:sz w:val="24"/>
          <w:szCs w:val="24"/>
          <w:highlight w:val="none"/>
          <w:lang w:eastAsia="zh-CN"/>
        </w:rPr>
        <w:t>中小</w:t>
      </w:r>
      <w:r>
        <w:rPr>
          <w:rFonts w:hint="eastAsia" w:ascii="宋体" w:hAnsi="宋体" w:eastAsia="宋体" w:cs="宋体"/>
          <w:b/>
          <w:bCs/>
          <w:color w:val="auto"/>
          <w:sz w:val="24"/>
          <w:szCs w:val="24"/>
          <w:highlight w:val="none"/>
        </w:rPr>
        <w:t>企业或监狱企业或残疾人福利性单位。</w:t>
      </w:r>
    </w:p>
    <w:p w14:paraId="7C26F51D">
      <w:pPr>
        <w:keepNext w:val="0"/>
        <w:keepLines w:val="0"/>
        <w:pageBreakBefore w:val="0"/>
        <w:widowControl w:val="0"/>
        <w:tabs>
          <w:tab w:val="left" w:pos="5670"/>
        </w:tabs>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（1）供应商应为</w:t>
      </w:r>
      <w:r>
        <w:rPr>
          <w:rFonts w:hint="eastAsia" w:ascii="宋体" w:hAnsi="宋体" w:cs="宋体"/>
          <w:color w:val="auto"/>
          <w:sz w:val="24"/>
          <w:szCs w:val="24"/>
          <w:highlight w:val="none"/>
          <w:lang w:eastAsia="zh-CN"/>
        </w:rPr>
        <w:t>中型、</w:t>
      </w:r>
      <w:r>
        <w:rPr>
          <w:rFonts w:hint="eastAsia" w:ascii="宋体" w:hAnsi="宋体" w:eastAsia="宋体" w:cs="宋体"/>
          <w:color w:val="auto"/>
          <w:sz w:val="24"/>
          <w:szCs w:val="24"/>
          <w:highlight w:val="none"/>
        </w:rPr>
        <w:t>小型、微型企业的，提供《中小企业声明函》（附件</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填写时请认真阅读《工业和信息化部、国家统计局、国家发展和改革委员会、财政部关于印发中小企业划型标准规定的通知》（工信部联企业[2011]300号）和《政府采购促进中小企业发展管理办法》（财库〔2020〕46号）相关规定。</w:t>
      </w:r>
    </w:p>
    <w:p w14:paraId="7E4AA528">
      <w:pPr>
        <w:keepNext w:val="0"/>
        <w:keepLines w:val="0"/>
        <w:pageBreakBefore w:val="0"/>
        <w:widowControl w:val="0"/>
        <w:tabs>
          <w:tab w:val="left" w:pos="5670"/>
        </w:tabs>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（2）供应商应为残疾人福利性单位的，应提供《残疾人福利性单位声明函》（附件</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w:t>
      </w:r>
    </w:p>
    <w:p w14:paraId="5F8122A6">
      <w:pPr>
        <w:pStyle w:val="29"/>
        <w:keepNext w:val="0"/>
        <w:keepLines w:val="0"/>
        <w:pageBreakBefore w:val="0"/>
        <w:widowControl w:val="0"/>
        <w:kinsoku/>
        <w:wordWrap/>
        <w:overflowPunct/>
        <w:topLinePunct w:val="0"/>
        <w:autoSpaceDE/>
        <w:autoSpaceDN/>
        <w:bidi w:val="0"/>
        <w:adjustRightInd/>
        <w:spacing w:line="520" w:lineRule="exact"/>
        <w:ind w:firstLine="480" w:firstLineChars="200"/>
        <w:textAlignment w:val="auto"/>
        <w:rPr>
          <w:rFonts w:hint="eastAsia" w:eastAsia="宋体"/>
          <w:color w:val="auto"/>
          <w:highlight w:val="none"/>
          <w:lang w:eastAsia="zh-CN"/>
        </w:rPr>
        <w:sectPr>
          <w:pgSz w:w="11906" w:h="16838"/>
          <w:pgMar w:top="1417" w:right="1129" w:bottom="1417" w:left="1417" w:header="851" w:footer="850" w:gutter="0"/>
          <w:pgNumType w:fmt="numberInDash"/>
          <w:cols w:space="720" w:num="1"/>
          <w:docGrid w:type="lines" w:linePitch="312" w:charSpace="0"/>
        </w:sectPr>
      </w:pPr>
      <w:r>
        <w:rPr>
          <w:rFonts w:hint="eastAsia" w:ascii="宋体" w:hAnsi="宋体" w:eastAsia="宋体" w:cs="宋体"/>
          <w:color w:val="auto"/>
          <w:sz w:val="24"/>
          <w:szCs w:val="24"/>
          <w:highlight w:val="none"/>
        </w:rPr>
        <w:t>（3）供应商应为监狱企业的，应提供监狱企业的证明文件（附件</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w:t>
      </w:r>
    </w:p>
    <w:p w14:paraId="21A5DC9F">
      <w:pPr>
        <w:rPr>
          <w:rFonts w:hint="eastAsia" w:cs="仿宋" w:asciiTheme="minorEastAsia" w:hAnsiTheme="minorEastAsia"/>
          <w:b/>
          <w:color w:val="auto"/>
          <w:sz w:val="28"/>
          <w:szCs w:val="28"/>
          <w:highlight w:val="none"/>
        </w:rPr>
      </w:pPr>
      <w:r>
        <w:rPr>
          <w:rFonts w:hint="eastAsia" w:cs="仿宋" w:asciiTheme="minorEastAsia" w:hAnsiTheme="minorEastAsia"/>
          <w:b/>
          <w:color w:val="auto"/>
          <w:sz w:val="28"/>
          <w:szCs w:val="28"/>
          <w:highlight w:val="none"/>
        </w:rPr>
        <w:t>附件</w:t>
      </w:r>
      <w:r>
        <w:rPr>
          <w:rFonts w:hint="eastAsia" w:cs="仿宋" w:asciiTheme="minorEastAsia" w:hAnsiTheme="minorEastAsia"/>
          <w:b/>
          <w:color w:val="auto"/>
          <w:sz w:val="28"/>
          <w:szCs w:val="28"/>
          <w:highlight w:val="none"/>
          <w:lang w:val="en-US" w:eastAsia="zh-CN"/>
        </w:rPr>
        <w:t>1</w:t>
      </w:r>
      <w:r>
        <w:rPr>
          <w:rFonts w:hint="eastAsia" w:cs="仿宋" w:asciiTheme="minorEastAsia" w:hAnsiTheme="minorEastAsia"/>
          <w:b/>
          <w:color w:val="auto"/>
          <w:sz w:val="28"/>
          <w:szCs w:val="28"/>
          <w:highlight w:val="none"/>
        </w:rPr>
        <w:t>：</w:t>
      </w:r>
    </w:p>
    <w:p w14:paraId="730D928E">
      <w:pPr>
        <w:tabs>
          <w:tab w:val="left" w:pos="1620"/>
          <w:tab w:val="left" w:pos="1800"/>
        </w:tabs>
        <w:spacing w:line="500" w:lineRule="exact"/>
        <w:jc w:val="center"/>
        <w:rPr>
          <w:rFonts w:hint="eastAsia" w:hAnsi="宋体" w:cs="宋体"/>
          <w:b/>
          <w:color w:val="auto"/>
          <w:sz w:val="32"/>
          <w:szCs w:val="32"/>
          <w:highlight w:val="none"/>
        </w:rPr>
      </w:pPr>
      <w:r>
        <w:rPr>
          <w:rFonts w:hAnsi="宋体" w:cs="宋体"/>
          <w:b/>
          <w:color w:val="auto"/>
          <w:sz w:val="32"/>
          <w:szCs w:val="32"/>
          <w:highlight w:val="none"/>
        </w:rPr>
        <w:t>中小企业声明函</w:t>
      </w:r>
      <w:r>
        <w:rPr>
          <w:rFonts w:hint="eastAsia" w:hAnsi="宋体" w:cs="宋体"/>
          <w:b/>
          <w:color w:val="auto"/>
          <w:sz w:val="32"/>
          <w:szCs w:val="32"/>
          <w:highlight w:val="none"/>
        </w:rPr>
        <w:t>（工程、服务）</w:t>
      </w:r>
    </w:p>
    <w:p w14:paraId="6ABC46C6">
      <w:pPr>
        <w:tabs>
          <w:tab w:val="left" w:pos="1620"/>
          <w:tab w:val="left" w:pos="1800"/>
        </w:tabs>
        <w:spacing w:line="500" w:lineRule="exact"/>
        <w:rPr>
          <w:rFonts w:hint="eastAsia" w:cs="仿宋" w:asciiTheme="minorEastAsia" w:hAnsiTheme="minorEastAsia"/>
          <w:color w:val="auto"/>
          <w:highlight w:val="none"/>
        </w:rPr>
      </w:pPr>
    </w:p>
    <w:p w14:paraId="53F3F711">
      <w:pPr>
        <w:pStyle w:val="2"/>
        <w:spacing w:before="55" w:after="0" w:line="360" w:lineRule="auto"/>
        <w:ind w:firstLine="472" w:firstLineChars="200"/>
        <w:rPr>
          <w:rFonts w:hint="eastAsia" w:ascii="宋体" w:hAnsi="宋体" w:cs="宋体"/>
          <w:color w:val="auto"/>
          <w:spacing w:val="-2"/>
          <w:sz w:val="24"/>
          <w:highlight w:val="none"/>
        </w:rPr>
      </w:pPr>
      <w:r>
        <w:rPr>
          <w:rFonts w:hint="eastAsia" w:ascii="宋体" w:hAnsi="宋体" w:cs="宋体"/>
          <w:color w:val="auto"/>
          <w:spacing w:val="-2"/>
          <w:sz w:val="24"/>
          <w:highlight w:val="none"/>
        </w:rPr>
        <w:t>本公司（联合体）郑重声明，根据《政府采购促进中小企业发展管理办法》（财库﹝2020﹞46 号）的规定，本公司（联合体）参加</w:t>
      </w:r>
      <w:r>
        <w:rPr>
          <w:rFonts w:hint="eastAsia" w:ascii="宋体" w:hAnsi="宋体" w:cs="宋体"/>
          <w:color w:val="auto"/>
          <w:spacing w:val="-2"/>
          <w:sz w:val="24"/>
          <w:highlight w:val="none"/>
          <w:u w:val="single"/>
        </w:rPr>
        <w:t>（单位名称）</w:t>
      </w:r>
      <w:r>
        <w:rPr>
          <w:rFonts w:hint="eastAsia" w:ascii="宋体" w:hAnsi="宋体" w:cs="宋体"/>
          <w:color w:val="auto"/>
          <w:spacing w:val="-2"/>
          <w:sz w:val="24"/>
          <w:highlight w:val="none"/>
        </w:rPr>
        <w:t>的</w:t>
      </w:r>
      <w:r>
        <w:rPr>
          <w:rFonts w:hint="eastAsia" w:ascii="宋体" w:hAnsi="宋体" w:cs="宋体"/>
          <w:color w:val="auto"/>
          <w:spacing w:val="-2"/>
          <w:sz w:val="24"/>
          <w:highlight w:val="none"/>
          <w:u w:val="single"/>
        </w:rPr>
        <w:t>（项目名称）</w:t>
      </w:r>
      <w:r>
        <w:rPr>
          <w:rFonts w:hint="eastAsia" w:ascii="宋体" w:hAnsi="宋体" w:cs="宋体"/>
          <w:color w:val="auto"/>
          <w:spacing w:val="-2"/>
          <w:sz w:val="24"/>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515A188C">
      <w:pPr>
        <w:pStyle w:val="181"/>
        <w:spacing w:line="360" w:lineRule="auto"/>
        <w:ind w:firstLineChars="0"/>
        <w:rPr>
          <w:rFonts w:hint="eastAsia" w:hAnsi="宋体" w:cs="宋体"/>
          <w:color w:val="auto"/>
          <w:szCs w:val="24"/>
          <w:highlight w:val="none"/>
        </w:rPr>
      </w:pPr>
      <w:r>
        <w:rPr>
          <w:rFonts w:hint="eastAsia" w:hAnsi="宋体" w:cs="宋体"/>
          <w:color w:val="auto"/>
          <w:szCs w:val="24"/>
          <w:highlight w:val="none"/>
          <w:lang w:val="zh-CN"/>
        </w:rPr>
        <w:t>1.</w:t>
      </w:r>
      <w:r>
        <w:rPr>
          <w:rFonts w:hint="eastAsia" w:hAnsi="宋体" w:cs="宋体"/>
          <w:color w:val="auto"/>
          <w:szCs w:val="24"/>
          <w:highlight w:val="none"/>
          <w:u w:val="single"/>
          <w:lang w:val="zh-CN"/>
        </w:rPr>
        <w:t>（标的名称）</w:t>
      </w:r>
      <w:r>
        <w:rPr>
          <w:rFonts w:hint="eastAsia" w:hAnsi="宋体" w:cs="宋体"/>
          <w:color w:val="auto"/>
          <w:szCs w:val="24"/>
          <w:highlight w:val="none"/>
        </w:rPr>
        <w:t>，属于</w:t>
      </w:r>
      <w:r>
        <w:rPr>
          <w:rFonts w:hint="eastAsia" w:hAnsi="宋体" w:cs="宋体"/>
          <w:color w:val="auto"/>
          <w:szCs w:val="24"/>
          <w:highlight w:val="none"/>
          <w:u w:val="single"/>
          <w:lang w:val="zh-CN"/>
        </w:rPr>
        <w:t>（采购文件中明确的所属行业）</w:t>
      </w:r>
      <w:r>
        <w:rPr>
          <w:rFonts w:hint="eastAsia" w:hAnsi="宋体" w:cs="宋体"/>
          <w:color w:val="auto"/>
          <w:szCs w:val="24"/>
          <w:highlight w:val="none"/>
          <w:lang w:val="zh-CN"/>
        </w:rPr>
        <w:t>；</w:t>
      </w:r>
      <w:r>
        <w:rPr>
          <w:rFonts w:hint="eastAsia" w:hAnsi="宋体" w:cs="宋体"/>
          <w:color w:val="auto"/>
          <w:szCs w:val="24"/>
          <w:highlight w:val="none"/>
        </w:rPr>
        <w:t>承建（承接）企业为</w:t>
      </w:r>
      <w:r>
        <w:rPr>
          <w:rFonts w:hint="eastAsia" w:hAnsi="宋体" w:cs="宋体"/>
          <w:color w:val="auto"/>
          <w:szCs w:val="24"/>
          <w:highlight w:val="none"/>
          <w:u w:val="single"/>
        </w:rPr>
        <w:t>（企业名称）</w:t>
      </w:r>
      <w:r>
        <w:rPr>
          <w:rFonts w:hint="eastAsia" w:hAnsi="宋体" w:cs="宋体"/>
          <w:color w:val="auto"/>
          <w:szCs w:val="24"/>
          <w:highlight w:val="none"/>
        </w:rPr>
        <w:t>，从业人员</w:t>
      </w:r>
      <w:r>
        <w:rPr>
          <w:rFonts w:hint="eastAsia" w:hAnsi="宋体" w:cs="宋体"/>
          <w:color w:val="auto"/>
          <w:szCs w:val="24"/>
          <w:highlight w:val="none"/>
          <w:u w:val="single"/>
        </w:rPr>
        <w:t xml:space="preserve">    </w:t>
      </w:r>
      <w:r>
        <w:rPr>
          <w:rFonts w:hint="eastAsia" w:hAnsi="宋体" w:cs="宋体"/>
          <w:color w:val="auto"/>
          <w:szCs w:val="24"/>
          <w:highlight w:val="none"/>
        </w:rPr>
        <w:t>人，营业收入为</w:t>
      </w:r>
      <w:r>
        <w:rPr>
          <w:rFonts w:hint="eastAsia" w:hAnsi="宋体" w:cs="宋体"/>
          <w:color w:val="auto"/>
          <w:szCs w:val="24"/>
          <w:highlight w:val="none"/>
          <w:u w:val="single"/>
        </w:rPr>
        <w:t xml:space="preserve"> </w:t>
      </w:r>
      <w:r>
        <w:rPr>
          <w:rFonts w:hint="eastAsia" w:hAnsi="宋体" w:cs="宋体"/>
          <w:color w:val="auto"/>
          <w:szCs w:val="24"/>
          <w:highlight w:val="none"/>
          <w:u w:val="single"/>
        </w:rPr>
        <w:tab/>
      </w:r>
      <w:r>
        <w:rPr>
          <w:rFonts w:hint="eastAsia" w:hAnsi="宋体" w:cs="宋体"/>
          <w:color w:val="auto"/>
          <w:szCs w:val="24"/>
          <w:highlight w:val="none"/>
        </w:rPr>
        <w:t>万元，资产总额为</w:t>
      </w:r>
      <w:r>
        <w:rPr>
          <w:rFonts w:hint="eastAsia" w:hAnsi="宋体" w:cs="宋体"/>
          <w:color w:val="auto"/>
          <w:szCs w:val="24"/>
          <w:highlight w:val="none"/>
          <w:u w:val="single"/>
        </w:rPr>
        <w:t xml:space="preserve">   </w:t>
      </w:r>
      <w:r>
        <w:rPr>
          <w:rFonts w:hint="eastAsia" w:hAnsi="宋体" w:cs="宋体"/>
          <w:color w:val="auto"/>
          <w:szCs w:val="24"/>
          <w:highlight w:val="none"/>
          <w:u w:val="single"/>
        </w:rPr>
        <w:tab/>
      </w:r>
      <w:r>
        <w:rPr>
          <w:rFonts w:hint="eastAsia" w:hAnsi="宋体" w:cs="宋体"/>
          <w:color w:val="auto"/>
          <w:szCs w:val="24"/>
          <w:highlight w:val="none"/>
        </w:rPr>
        <w:t>万元，属于</w:t>
      </w:r>
      <w:r>
        <w:rPr>
          <w:rFonts w:hint="eastAsia" w:hAnsi="宋体" w:cs="宋体"/>
          <w:color w:val="auto"/>
          <w:szCs w:val="24"/>
          <w:highlight w:val="none"/>
          <w:u w:val="single"/>
        </w:rPr>
        <w:t>（中型企业、小型企业、微型企业）</w:t>
      </w:r>
      <w:r>
        <w:rPr>
          <w:rFonts w:hint="eastAsia" w:hAnsi="宋体" w:cs="宋体"/>
          <w:color w:val="auto"/>
          <w:szCs w:val="24"/>
          <w:highlight w:val="none"/>
        </w:rPr>
        <w:t>；</w:t>
      </w:r>
    </w:p>
    <w:p w14:paraId="086C96BE">
      <w:pPr>
        <w:pStyle w:val="181"/>
        <w:spacing w:line="360" w:lineRule="auto"/>
        <w:ind w:firstLineChars="0"/>
        <w:rPr>
          <w:rFonts w:hint="eastAsia" w:hAnsi="宋体" w:cs="宋体"/>
          <w:color w:val="auto"/>
          <w:szCs w:val="24"/>
          <w:highlight w:val="none"/>
        </w:rPr>
      </w:pPr>
      <w:r>
        <w:rPr>
          <w:rFonts w:hint="eastAsia" w:hAnsi="宋体" w:cs="宋体"/>
          <w:color w:val="auto"/>
          <w:szCs w:val="24"/>
          <w:highlight w:val="none"/>
          <w:lang w:val="zh-CN"/>
        </w:rPr>
        <w:t>2.</w:t>
      </w:r>
      <w:r>
        <w:rPr>
          <w:rFonts w:hint="eastAsia" w:hAnsi="宋体" w:cs="宋体"/>
          <w:color w:val="auto"/>
          <w:szCs w:val="24"/>
          <w:highlight w:val="none"/>
          <w:u w:val="single"/>
          <w:lang w:val="zh-CN"/>
        </w:rPr>
        <w:t>（标的名称）</w:t>
      </w:r>
      <w:r>
        <w:rPr>
          <w:rFonts w:hint="eastAsia" w:hAnsi="宋体" w:cs="宋体"/>
          <w:color w:val="auto"/>
          <w:szCs w:val="24"/>
          <w:highlight w:val="none"/>
        </w:rPr>
        <w:t>，属于</w:t>
      </w:r>
      <w:r>
        <w:rPr>
          <w:rFonts w:hint="eastAsia" w:hAnsi="宋体" w:cs="宋体"/>
          <w:color w:val="auto"/>
          <w:szCs w:val="24"/>
          <w:highlight w:val="none"/>
          <w:u w:val="single"/>
          <w:lang w:val="zh-CN"/>
        </w:rPr>
        <w:t>（采购文件中明确的所属行业）</w:t>
      </w:r>
      <w:r>
        <w:rPr>
          <w:rFonts w:hint="eastAsia" w:hAnsi="宋体" w:cs="宋体"/>
          <w:color w:val="auto"/>
          <w:szCs w:val="24"/>
          <w:highlight w:val="none"/>
          <w:lang w:val="zh-CN"/>
        </w:rPr>
        <w:t>；</w:t>
      </w:r>
      <w:r>
        <w:rPr>
          <w:rFonts w:hint="eastAsia" w:hAnsi="宋体" w:cs="宋体"/>
          <w:color w:val="auto"/>
          <w:szCs w:val="24"/>
          <w:highlight w:val="none"/>
        </w:rPr>
        <w:t>承建（承接）企业为</w:t>
      </w:r>
      <w:r>
        <w:rPr>
          <w:rFonts w:hint="eastAsia" w:hAnsi="宋体" w:cs="宋体"/>
          <w:color w:val="auto"/>
          <w:szCs w:val="24"/>
          <w:highlight w:val="none"/>
          <w:u w:val="single"/>
        </w:rPr>
        <w:t>（企业名称）</w:t>
      </w:r>
      <w:r>
        <w:rPr>
          <w:rFonts w:hint="eastAsia" w:hAnsi="宋体" w:cs="宋体"/>
          <w:color w:val="auto"/>
          <w:szCs w:val="24"/>
          <w:highlight w:val="none"/>
        </w:rPr>
        <w:t>，从业人员</w:t>
      </w:r>
      <w:r>
        <w:rPr>
          <w:rFonts w:hint="eastAsia" w:hAnsi="宋体" w:cs="宋体"/>
          <w:color w:val="auto"/>
          <w:szCs w:val="24"/>
          <w:highlight w:val="none"/>
          <w:u w:val="single"/>
        </w:rPr>
        <w:t xml:space="preserve"> </w:t>
      </w:r>
      <w:r>
        <w:rPr>
          <w:rFonts w:hint="eastAsia" w:hAnsi="宋体" w:cs="宋体"/>
          <w:color w:val="auto"/>
          <w:szCs w:val="24"/>
          <w:highlight w:val="none"/>
          <w:u w:val="single"/>
        </w:rPr>
        <w:tab/>
      </w:r>
      <w:r>
        <w:rPr>
          <w:rFonts w:hint="eastAsia" w:hAnsi="宋体" w:cs="宋体"/>
          <w:color w:val="auto"/>
          <w:szCs w:val="24"/>
          <w:highlight w:val="none"/>
          <w:u w:val="single"/>
        </w:rPr>
        <w:t xml:space="preserve"> </w:t>
      </w:r>
      <w:r>
        <w:rPr>
          <w:rFonts w:hint="eastAsia" w:hAnsi="宋体" w:cs="宋体"/>
          <w:color w:val="auto"/>
          <w:szCs w:val="24"/>
          <w:highlight w:val="none"/>
        </w:rPr>
        <w:t>人，营业收入为</w:t>
      </w:r>
      <w:r>
        <w:rPr>
          <w:rFonts w:hint="eastAsia" w:hAnsi="宋体" w:cs="宋体"/>
          <w:color w:val="auto"/>
          <w:szCs w:val="24"/>
          <w:highlight w:val="none"/>
          <w:u w:val="single"/>
        </w:rPr>
        <w:t xml:space="preserve"> </w:t>
      </w:r>
      <w:r>
        <w:rPr>
          <w:rFonts w:hint="eastAsia" w:hAnsi="宋体" w:cs="宋体"/>
          <w:color w:val="auto"/>
          <w:szCs w:val="24"/>
          <w:highlight w:val="none"/>
          <w:u w:val="single"/>
        </w:rPr>
        <w:tab/>
      </w:r>
      <w:r>
        <w:rPr>
          <w:rFonts w:hint="eastAsia" w:hAnsi="宋体" w:cs="宋体"/>
          <w:color w:val="auto"/>
          <w:szCs w:val="24"/>
          <w:highlight w:val="none"/>
          <w:u w:val="single"/>
        </w:rPr>
        <w:t xml:space="preserve"> </w:t>
      </w:r>
      <w:r>
        <w:rPr>
          <w:rFonts w:hint="eastAsia" w:hAnsi="宋体" w:cs="宋体"/>
          <w:color w:val="auto"/>
          <w:szCs w:val="24"/>
          <w:highlight w:val="none"/>
        </w:rPr>
        <w:t>万元，资产总额为</w:t>
      </w:r>
      <w:r>
        <w:rPr>
          <w:rFonts w:hint="eastAsia" w:hAnsi="宋体" w:cs="宋体"/>
          <w:color w:val="auto"/>
          <w:szCs w:val="24"/>
          <w:highlight w:val="none"/>
          <w:u w:val="single"/>
        </w:rPr>
        <w:t xml:space="preserve">   </w:t>
      </w:r>
      <w:r>
        <w:rPr>
          <w:rFonts w:hint="eastAsia" w:hAnsi="宋体" w:cs="宋体"/>
          <w:color w:val="auto"/>
          <w:szCs w:val="24"/>
          <w:highlight w:val="none"/>
          <w:u w:val="single"/>
        </w:rPr>
        <w:tab/>
      </w:r>
      <w:r>
        <w:rPr>
          <w:rFonts w:hint="eastAsia" w:hAnsi="宋体" w:cs="宋体"/>
          <w:color w:val="auto"/>
          <w:szCs w:val="24"/>
          <w:highlight w:val="none"/>
        </w:rPr>
        <w:t>万元，属于</w:t>
      </w:r>
      <w:r>
        <w:rPr>
          <w:rFonts w:hint="eastAsia" w:hAnsi="宋体" w:cs="宋体"/>
          <w:color w:val="auto"/>
          <w:szCs w:val="24"/>
          <w:highlight w:val="none"/>
          <w:u w:val="single"/>
        </w:rPr>
        <w:t>（中型企业、小型企业、微型企业）</w:t>
      </w:r>
      <w:r>
        <w:rPr>
          <w:rFonts w:hint="eastAsia" w:hAnsi="宋体" w:cs="宋体"/>
          <w:color w:val="auto"/>
          <w:szCs w:val="24"/>
          <w:highlight w:val="none"/>
        </w:rPr>
        <w:t>；</w:t>
      </w:r>
    </w:p>
    <w:p w14:paraId="48DFAF5F">
      <w:pPr>
        <w:pStyle w:val="181"/>
        <w:spacing w:line="360" w:lineRule="auto"/>
        <w:ind w:left="708" w:firstLine="480"/>
        <w:rPr>
          <w:rFonts w:hint="eastAsia" w:hAnsi="宋体" w:cs="宋体"/>
          <w:color w:val="auto"/>
          <w:szCs w:val="24"/>
          <w:highlight w:val="none"/>
          <w:lang w:val="zh-CN"/>
        </w:rPr>
      </w:pPr>
      <w:r>
        <w:rPr>
          <w:rFonts w:hint="eastAsia" w:hAnsi="宋体" w:cs="宋体"/>
          <w:color w:val="auto"/>
          <w:szCs w:val="24"/>
          <w:highlight w:val="none"/>
          <w:lang w:val="zh-CN"/>
        </w:rPr>
        <w:t>……</w:t>
      </w:r>
    </w:p>
    <w:p w14:paraId="485799C4">
      <w:pPr>
        <w:pStyle w:val="181"/>
        <w:spacing w:line="360" w:lineRule="auto"/>
        <w:ind w:firstLineChars="0"/>
        <w:rPr>
          <w:rFonts w:hint="eastAsia" w:hAnsi="宋体" w:cs="宋体"/>
          <w:color w:val="auto"/>
          <w:szCs w:val="24"/>
          <w:highlight w:val="none"/>
          <w:lang w:val="zh-CN"/>
        </w:rPr>
      </w:pPr>
      <w:r>
        <w:rPr>
          <w:rFonts w:hint="eastAsia" w:hAnsi="宋体" w:cs="宋体"/>
          <w:color w:val="auto"/>
          <w:szCs w:val="24"/>
          <w:highlight w:val="none"/>
          <w:lang w:val="zh-CN"/>
        </w:rPr>
        <w:t>以上企业，不属于大企业的分支机构，不存在控股股东为大企业的情形，也不存在与大企业的负责人为同一人的情形。</w:t>
      </w:r>
    </w:p>
    <w:p w14:paraId="5D9FED47">
      <w:pPr>
        <w:tabs>
          <w:tab w:val="left" w:pos="1620"/>
          <w:tab w:val="left" w:pos="1800"/>
        </w:tabs>
        <w:spacing w:line="500" w:lineRule="exact"/>
        <w:ind w:firstLine="480" w:firstLineChars="200"/>
        <w:rPr>
          <w:rFonts w:hint="eastAsia" w:cs="仿宋" w:asciiTheme="minorEastAsia" w:hAnsiTheme="minorEastAsia" w:eastAsiaTheme="minorEastAsia"/>
          <w:color w:val="auto"/>
          <w:szCs w:val="24"/>
          <w:highlight w:val="none"/>
        </w:rPr>
      </w:pPr>
      <w:r>
        <w:rPr>
          <w:rFonts w:hint="eastAsia" w:hAnsi="宋体" w:cs="宋体"/>
          <w:color w:val="auto"/>
          <w:highlight w:val="none"/>
          <w:lang w:val="zh-CN"/>
        </w:rPr>
        <w:t>本企业对上述声明内容的真实性负责。如有虚假，将依法承担相应责任。</w:t>
      </w:r>
      <w:r>
        <w:rPr>
          <w:rFonts w:hint="eastAsia" w:cs="仿宋" w:asciiTheme="minorEastAsia" w:hAnsiTheme="minorEastAsia" w:eastAsiaTheme="minorEastAsia"/>
          <w:color w:val="auto"/>
          <w:szCs w:val="24"/>
          <w:highlight w:val="none"/>
        </w:rPr>
        <w:t xml:space="preserve"> </w:t>
      </w:r>
    </w:p>
    <w:p w14:paraId="5B5EB02E">
      <w:pPr>
        <w:rPr>
          <w:color w:val="auto"/>
          <w:highlight w:val="none"/>
        </w:rPr>
      </w:pPr>
    </w:p>
    <w:p w14:paraId="5A99CA6C">
      <w:pPr>
        <w:tabs>
          <w:tab w:val="left" w:pos="1620"/>
          <w:tab w:val="left" w:pos="1800"/>
        </w:tabs>
        <w:spacing w:line="500" w:lineRule="exact"/>
        <w:ind w:left="5460" w:leftChars="2275"/>
        <w:rPr>
          <w:rFonts w:hint="eastAsia" w:cs="仿宋" w:asciiTheme="minorEastAsia" w:hAnsiTheme="minorEastAsia"/>
          <w:color w:val="auto"/>
          <w:highlight w:val="none"/>
        </w:rPr>
      </w:pPr>
      <w:r>
        <w:rPr>
          <w:rFonts w:hint="eastAsia" w:cs="仿宋" w:asciiTheme="minorEastAsia" w:hAnsiTheme="minorEastAsia"/>
          <w:color w:val="auto"/>
          <w:highlight w:val="none"/>
        </w:rPr>
        <w:t>单位名称（盖章）：</w:t>
      </w:r>
    </w:p>
    <w:p w14:paraId="58F778C9">
      <w:pPr>
        <w:tabs>
          <w:tab w:val="left" w:pos="1620"/>
          <w:tab w:val="left" w:pos="1800"/>
        </w:tabs>
        <w:wordWrap w:val="0"/>
        <w:spacing w:line="500" w:lineRule="exact"/>
        <w:ind w:left="5460" w:leftChars="2275"/>
        <w:rPr>
          <w:rFonts w:hint="eastAsia" w:cs="仿宋" w:asciiTheme="minorEastAsia" w:hAnsiTheme="minorEastAsia"/>
          <w:color w:val="auto"/>
          <w:highlight w:val="none"/>
        </w:rPr>
      </w:pPr>
      <w:r>
        <w:rPr>
          <w:rFonts w:hint="eastAsia" w:cs="仿宋" w:asciiTheme="minorEastAsia" w:hAnsiTheme="minorEastAsia"/>
          <w:color w:val="auto"/>
          <w:highlight w:val="none"/>
        </w:rPr>
        <w:t>日    期：</w:t>
      </w:r>
    </w:p>
    <w:p w14:paraId="28E191E9">
      <w:pPr>
        <w:tabs>
          <w:tab w:val="left" w:pos="1620"/>
          <w:tab w:val="left" w:pos="1800"/>
        </w:tabs>
        <w:spacing w:line="500" w:lineRule="exact"/>
        <w:rPr>
          <w:rFonts w:hint="eastAsia" w:cs="仿宋" w:asciiTheme="minorEastAsia" w:hAnsiTheme="minorEastAsia"/>
          <w:color w:val="auto"/>
          <w:szCs w:val="21"/>
          <w:highlight w:val="none"/>
        </w:rPr>
      </w:pPr>
      <w:r>
        <w:rPr>
          <w:rFonts w:hint="eastAsia" w:cs="仿宋" w:asciiTheme="minorEastAsia" w:hAnsiTheme="minorEastAsia"/>
          <w:color w:val="auto"/>
          <w:szCs w:val="21"/>
          <w:highlight w:val="none"/>
        </w:rPr>
        <w:t>备注：</w:t>
      </w:r>
    </w:p>
    <w:p w14:paraId="70A757C8">
      <w:pPr>
        <w:tabs>
          <w:tab w:val="left" w:pos="0"/>
          <w:tab w:val="left" w:pos="7920"/>
        </w:tabs>
        <w:spacing w:line="500" w:lineRule="exact"/>
        <w:ind w:firstLine="480" w:firstLineChars="200"/>
        <w:rPr>
          <w:rFonts w:hint="eastAsia" w:cs="仿宋" w:asciiTheme="minorEastAsia" w:hAnsiTheme="minorEastAsia"/>
          <w:color w:val="auto"/>
          <w:szCs w:val="21"/>
          <w:highlight w:val="none"/>
        </w:rPr>
      </w:pPr>
      <w:r>
        <w:rPr>
          <w:rFonts w:hint="eastAsia" w:cs="仿宋" w:asciiTheme="minorEastAsia" w:hAnsiTheme="minorEastAsia"/>
          <w:color w:val="auto"/>
          <w:szCs w:val="21"/>
          <w:highlight w:val="none"/>
        </w:rPr>
        <w:t>1.</w:t>
      </w:r>
      <w:r>
        <w:rPr>
          <w:color w:val="auto"/>
          <w:spacing w:val="-8"/>
          <w:szCs w:val="21"/>
          <w:highlight w:val="none"/>
        </w:rPr>
        <w:t>中小企业参加政府采购活动，</w:t>
      </w:r>
      <w:r>
        <w:rPr>
          <w:rFonts w:hint="eastAsia"/>
          <w:color w:val="auto"/>
          <w:spacing w:val="-8"/>
          <w:szCs w:val="21"/>
          <w:highlight w:val="none"/>
        </w:rPr>
        <w:t>应当按照《政府采购促进中小企业发展管理办法》（财库〔2020〕46号）规定和《中小企业划型标准规定》（工信部联企业〔2011〕300号），如实填写并提交本《中小企业声明函》。</w:t>
      </w:r>
    </w:p>
    <w:p w14:paraId="5EDF8013">
      <w:pPr>
        <w:tabs>
          <w:tab w:val="left" w:pos="0"/>
          <w:tab w:val="left" w:pos="7920"/>
        </w:tabs>
        <w:spacing w:line="500" w:lineRule="exact"/>
        <w:ind w:firstLine="480" w:firstLineChars="200"/>
        <w:rPr>
          <w:rFonts w:hint="eastAsia" w:cs="仿宋" w:asciiTheme="minorEastAsia" w:hAnsiTheme="minorEastAsia"/>
          <w:b/>
          <w:color w:val="auto"/>
          <w:sz w:val="28"/>
          <w:szCs w:val="28"/>
          <w:highlight w:val="none"/>
        </w:rPr>
      </w:pPr>
      <w:r>
        <w:rPr>
          <w:rFonts w:cs="仿宋" w:asciiTheme="minorEastAsia" w:hAnsiTheme="minorEastAsia"/>
          <w:color w:val="auto"/>
          <w:szCs w:val="21"/>
          <w:highlight w:val="none"/>
        </w:rPr>
        <w:t>2.</w:t>
      </w:r>
      <w:r>
        <w:rPr>
          <w:rFonts w:hint="eastAsia" w:cs="仿宋" w:asciiTheme="minorEastAsia" w:hAnsiTheme="minorEastAsia"/>
          <w:color w:val="auto"/>
          <w:szCs w:val="21"/>
          <w:highlight w:val="none"/>
        </w:rPr>
        <w:t>从业人员、营业收入、资产总额填报上一年度数据，无上一年度数据的新成立企业可不填报。</w:t>
      </w:r>
      <w:r>
        <w:rPr>
          <w:rFonts w:cs="仿宋" w:asciiTheme="minorEastAsia" w:hAnsiTheme="minorEastAsia"/>
          <w:b/>
          <w:color w:val="auto"/>
          <w:sz w:val="28"/>
          <w:szCs w:val="28"/>
          <w:highlight w:val="none"/>
        </w:rPr>
        <w:br w:type="page"/>
      </w:r>
    </w:p>
    <w:p w14:paraId="3F4152D0">
      <w:pPr>
        <w:rPr>
          <w:rFonts w:hint="eastAsia" w:cs="仿宋" w:asciiTheme="minorEastAsia" w:hAnsiTheme="minorEastAsia"/>
          <w:b/>
          <w:color w:val="auto"/>
          <w:sz w:val="28"/>
          <w:szCs w:val="28"/>
          <w:highlight w:val="none"/>
        </w:rPr>
      </w:pPr>
      <w:r>
        <w:rPr>
          <w:rFonts w:hint="eastAsia" w:cs="仿宋" w:asciiTheme="minorEastAsia" w:hAnsiTheme="minorEastAsia"/>
          <w:b/>
          <w:color w:val="auto"/>
          <w:sz w:val="28"/>
          <w:szCs w:val="28"/>
          <w:highlight w:val="none"/>
        </w:rPr>
        <w:t>附件</w:t>
      </w:r>
      <w:r>
        <w:rPr>
          <w:rFonts w:hint="eastAsia" w:cs="仿宋" w:asciiTheme="minorEastAsia" w:hAnsiTheme="minorEastAsia"/>
          <w:b/>
          <w:color w:val="auto"/>
          <w:sz w:val="28"/>
          <w:szCs w:val="28"/>
          <w:highlight w:val="none"/>
          <w:lang w:val="en-US" w:eastAsia="zh-CN"/>
        </w:rPr>
        <w:t>2</w:t>
      </w:r>
      <w:r>
        <w:rPr>
          <w:rFonts w:hint="eastAsia" w:cs="仿宋" w:asciiTheme="minorEastAsia" w:hAnsiTheme="minorEastAsia"/>
          <w:b/>
          <w:color w:val="auto"/>
          <w:sz w:val="28"/>
          <w:szCs w:val="28"/>
          <w:highlight w:val="none"/>
        </w:rPr>
        <w:t>（如是）：</w:t>
      </w:r>
    </w:p>
    <w:p w14:paraId="4812BD58">
      <w:pPr>
        <w:jc w:val="center"/>
        <w:rPr>
          <w:rFonts w:hint="eastAsia" w:cs="仿宋" w:asciiTheme="minorEastAsia" w:hAnsiTheme="minorEastAsia"/>
          <w:b/>
          <w:color w:val="auto"/>
          <w:sz w:val="28"/>
          <w:szCs w:val="28"/>
          <w:highlight w:val="none"/>
        </w:rPr>
      </w:pPr>
      <w:r>
        <w:rPr>
          <w:rFonts w:hint="eastAsia" w:cs="仿宋" w:asciiTheme="minorEastAsia" w:hAnsiTheme="minorEastAsia"/>
          <w:b/>
          <w:color w:val="auto"/>
          <w:sz w:val="28"/>
          <w:szCs w:val="28"/>
          <w:highlight w:val="none"/>
        </w:rPr>
        <w:t>残疾人福利性单位声明函</w:t>
      </w:r>
    </w:p>
    <w:p w14:paraId="11F6B343">
      <w:pPr>
        <w:spacing w:line="588" w:lineRule="exact"/>
        <w:rPr>
          <w:rFonts w:hint="eastAsia" w:cs="仿宋" w:asciiTheme="minorEastAsia" w:hAnsiTheme="minorEastAsia"/>
          <w:b/>
          <w:color w:val="auto"/>
          <w:spacing w:val="6"/>
          <w:sz w:val="30"/>
          <w:szCs w:val="30"/>
          <w:highlight w:val="none"/>
        </w:rPr>
      </w:pPr>
    </w:p>
    <w:p w14:paraId="4047C018">
      <w:pPr>
        <w:spacing w:line="588" w:lineRule="exact"/>
        <w:ind w:firstLine="504" w:firstLineChars="200"/>
        <w:rPr>
          <w:rFonts w:hint="eastAsia" w:cs="仿宋" w:asciiTheme="minorEastAsia" w:hAnsiTheme="minorEastAsia"/>
          <w:color w:val="auto"/>
          <w:spacing w:val="6"/>
          <w:highlight w:val="none"/>
        </w:rPr>
      </w:pPr>
      <w:r>
        <w:rPr>
          <w:rFonts w:hint="eastAsia" w:cs="仿宋" w:asciiTheme="minorEastAsia" w:hAnsiTheme="minorEastAsia"/>
          <w:color w:val="auto"/>
          <w:spacing w:val="6"/>
          <w:highlight w:val="none"/>
        </w:rPr>
        <w:t>本单位郑重声明，根据《财政部 民政部 中国残疾人联合会关于促进残疾人就业政府采购政策的通知》（财库</w:t>
      </w:r>
      <w:r>
        <w:rPr>
          <w:rFonts w:hint="eastAsia" w:cs="仿宋" w:asciiTheme="minorEastAsia" w:hAnsiTheme="minorEastAsia"/>
          <w:color w:val="auto"/>
          <w:highlight w:val="none"/>
        </w:rPr>
        <w:t>〔2017〕 141</w:t>
      </w:r>
      <w:r>
        <w:rPr>
          <w:rFonts w:hint="eastAsia" w:cs="仿宋" w:asciiTheme="minorEastAsia" w:hAnsiTheme="minorEastAsia"/>
          <w:color w:val="auto"/>
          <w:spacing w:val="6"/>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1BA13FBF">
      <w:pPr>
        <w:spacing w:line="588" w:lineRule="exact"/>
        <w:ind w:firstLine="504" w:firstLineChars="200"/>
        <w:rPr>
          <w:rFonts w:hint="eastAsia" w:cs="仿宋" w:asciiTheme="minorEastAsia" w:hAnsiTheme="minorEastAsia"/>
          <w:color w:val="auto"/>
          <w:spacing w:val="6"/>
          <w:highlight w:val="none"/>
        </w:rPr>
      </w:pPr>
      <w:r>
        <w:rPr>
          <w:rFonts w:hint="eastAsia" w:cs="仿宋" w:asciiTheme="minorEastAsia" w:hAnsiTheme="minorEastAsia"/>
          <w:color w:val="auto"/>
          <w:spacing w:val="6"/>
          <w:highlight w:val="none"/>
        </w:rPr>
        <w:t>本单位对上述声明的真实性负责。如有虚假，将依法承担相应责任。</w:t>
      </w:r>
    </w:p>
    <w:p w14:paraId="141752DD">
      <w:pPr>
        <w:spacing w:line="588" w:lineRule="exact"/>
        <w:ind w:firstLine="504" w:firstLineChars="200"/>
        <w:rPr>
          <w:rFonts w:hint="eastAsia" w:cs="仿宋" w:asciiTheme="minorEastAsia" w:hAnsiTheme="minorEastAsia"/>
          <w:color w:val="auto"/>
          <w:spacing w:val="6"/>
          <w:highlight w:val="none"/>
        </w:rPr>
      </w:pPr>
    </w:p>
    <w:p w14:paraId="5DD29EE8">
      <w:pPr>
        <w:spacing w:line="588" w:lineRule="exact"/>
        <w:ind w:firstLine="504" w:firstLineChars="200"/>
        <w:rPr>
          <w:rFonts w:hint="eastAsia" w:cs="仿宋" w:asciiTheme="minorEastAsia" w:hAnsiTheme="minorEastAsia"/>
          <w:color w:val="auto"/>
          <w:spacing w:val="6"/>
          <w:highlight w:val="none"/>
        </w:rPr>
      </w:pPr>
    </w:p>
    <w:p w14:paraId="74271414">
      <w:pPr>
        <w:spacing w:line="588" w:lineRule="exact"/>
        <w:ind w:firstLine="504" w:firstLineChars="200"/>
        <w:rPr>
          <w:rFonts w:hint="eastAsia" w:cs="仿宋" w:asciiTheme="minorEastAsia" w:hAnsiTheme="minorEastAsia"/>
          <w:color w:val="auto"/>
          <w:spacing w:val="6"/>
          <w:highlight w:val="none"/>
        </w:rPr>
      </w:pPr>
    </w:p>
    <w:p w14:paraId="1A3A2F64">
      <w:pPr>
        <w:spacing w:line="588" w:lineRule="exact"/>
        <w:ind w:firstLine="504" w:firstLineChars="200"/>
        <w:rPr>
          <w:rFonts w:hint="eastAsia" w:cs="仿宋" w:asciiTheme="minorEastAsia" w:hAnsiTheme="minorEastAsia"/>
          <w:color w:val="auto"/>
          <w:spacing w:val="6"/>
          <w:highlight w:val="none"/>
        </w:rPr>
      </w:pPr>
    </w:p>
    <w:p w14:paraId="4538C700">
      <w:pPr>
        <w:tabs>
          <w:tab w:val="left" w:pos="4860"/>
        </w:tabs>
        <w:spacing w:line="588" w:lineRule="exact"/>
        <w:ind w:left="4620" w:leftChars="1925" w:right="1560" w:rightChars="650" w:firstLine="504" w:firstLineChars="200"/>
        <w:rPr>
          <w:rFonts w:hint="eastAsia" w:cs="仿宋" w:asciiTheme="minorEastAsia" w:hAnsiTheme="minorEastAsia"/>
          <w:color w:val="auto"/>
          <w:spacing w:val="6"/>
          <w:highlight w:val="none"/>
        </w:rPr>
      </w:pPr>
      <w:r>
        <w:rPr>
          <w:rFonts w:hint="eastAsia" w:cs="仿宋" w:asciiTheme="minorEastAsia" w:hAnsiTheme="minorEastAsia"/>
          <w:color w:val="auto"/>
          <w:spacing w:val="6"/>
          <w:highlight w:val="none"/>
        </w:rPr>
        <w:t>单位名称（盖章）：</w:t>
      </w:r>
    </w:p>
    <w:p w14:paraId="2E372344">
      <w:pPr>
        <w:tabs>
          <w:tab w:val="left" w:pos="4860"/>
        </w:tabs>
        <w:spacing w:line="588" w:lineRule="exact"/>
        <w:ind w:left="4620" w:leftChars="1925" w:right="1560" w:rightChars="650" w:firstLine="504" w:firstLineChars="200"/>
        <w:rPr>
          <w:rFonts w:hint="eastAsia" w:cs="仿宋" w:asciiTheme="minorEastAsia" w:hAnsiTheme="minorEastAsia"/>
          <w:color w:val="auto"/>
          <w:spacing w:val="6"/>
          <w:highlight w:val="none"/>
        </w:rPr>
      </w:pPr>
      <w:r>
        <w:rPr>
          <w:rFonts w:hint="eastAsia" w:cs="仿宋" w:asciiTheme="minorEastAsia" w:hAnsiTheme="minorEastAsia"/>
          <w:color w:val="auto"/>
          <w:spacing w:val="6"/>
          <w:highlight w:val="none"/>
        </w:rPr>
        <w:t>日    期：</w:t>
      </w:r>
    </w:p>
    <w:p w14:paraId="1450C07F">
      <w:pPr>
        <w:pStyle w:val="2"/>
        <w:ind w:left="2880"/>
        <w:rPr>
          <w:rFonts w:hint="eastAsia" w:cs="仿宋" w:asciiTheme="minorEastAsia" w:hAnsiTheme="minorEastAsia"/>
          <w:b/>
          <w:bCs/>
          <w:color w:val="auto"/>
          <w:spacing w:val="6"/>
          <w:kern w:val="0"/>
          <w:sz w:val="28"/>
          <w:szCs w:val="28"/>
          <w:highlight w:val="none"/>
        </w:rPr>
      </w:pPr>
      <w:r>
        <w:rPr>
          <w:rFonts w:cs="仿宋" w:asciiTheme="minorEastAsia" w:hAnsiTheme="minorEastAsia"/>
          <w:b/>
          <w:bCs/>
          <w:color w:val="auto"/>
          <w:spacing w:val="6"/>
          <w:kern w:val="0"/>
          <w:sz w:val="28"/>
          <w:szCs w:val="28"/>
          <w:highlight w:val="none"/>
        </w:rPr>
        <w:br w:type="page"/>
      </w:r>
    </w:p>
    <w:p w14:paraId="78F584FA">
      <w:pPr>
        <w:pStyle w:val="2"/>
        <w:rPr>
          <w:rFonts w:hint="eastAsia" w:cs="仿宋" w:asciiTheme="minorEastAsia" w:hAnsiTheme="minorEastAsia"/>
          <w:b/>
          <w:bCs/>
          <w:color w:val="auto"/>
          <w:spacing w:val="6"/>
          <w:kern w:val="0"/>
          <w:sz w:val="28"/>
          <w:szCs w:val="28"/>
          <w:highlight w:val="none"/>
        </w:rPr>
      </w:pPr>
      <w:r>
        <w:rPr>
          <w:rFonts w:hint="eastAsia" w:cs="仿宋" w:asciiTheme="minorEastAsia" w:hAnsiTheme="minorEastAsia"/>
          <w:b/>
          <w:bCs/>
          <w:color w:val="auto"/>
          <w:spacing w:val="6"/>
          <w:kern w:val="0"/>
          <w:sz w:val="28"/>
          <w:szCs w:val="28"/>
          <w:highlight w:val="none"/>
        </w:rPr>
        <w:t>附件</w:t>
      </w:r>
      <w:r>
        <w:rPr>
          <w:rFonts w:hint="eastAsia" w:cs="仿宋" w:asciiTheme="minorEastAsia" w:hAnsiTheme="minorEastAsia"/>
          <w:b/>
          <w:bCs/>
          <w:color w:val="auto"/>
          <w:spacing w:val="6"/>
          <w:kern w:val="0"/>
          <w:sz w:val="28"/>
          <w:szCs w:val="28"/>
          <w:highlight w:val="none"/>
          <w:lang w:val="en-US" w:eastAsia="zh-CN"/>
        </w:rPr>
        <w:t>3</w:t>
      </w:r>
      <w:r>
        <w:rPr>
          <w:rFonts w:hint="eastAsia" w:cs="仿宋" w:asciiTheme="minorEastAsia" w:hAnsiTheme="minorEastAsia"/>
          <w:b/>
          <w:bCs/>
          <w:color w:val="auto"/>
          <w:spacing w:val="6"/>
          <w:sz w:val="28"/>
          <w:szCs w:val="28"/>
          <w:highlight w:val="none"/>
        </w:rPr>
        <w:t>（如有）：</w:t>
      </w:r>
    </w:p>
    <w:p w14:paraId="7DFB578A">
      <w:pPr>
        <w:spacing w:line="500" w:lineRule="exact"/>
        <w:ind w:firstLine="562" w:firstLineChars="200"/>
        <w:jc w:val="center"/>
        <w:rPr>
          <w:rFonts w:hint="eastAsia" w:cs="仿宋" w:asciiTheme="minorEastAsia" w:hAnsiTheme="minorEastAsia"/>
          <w:b/>
          <w:bCs/>
          <w:color w:val="auto"/>
          <w:sz w:val="28"/>
          <w:szCs w:val="28"/>
          <w:highlight w:val="none"/>
        </w:rPr>
      </w:pPr>
      <w:r>
        <w:rPr>
          <w:rFonts w:hint="eastAsia" w:cs="仿宋" w:asciiTheme="minorEastAsia" w:hAnsiTheme="minorEastAsia"/>
          <w:b/>
          <w:bCs/>
          <w:color w:val="auto"/>
          <w:sz w:val="28"/>
          <w:szCs w:val="28"/>
          <w:highlight w:val="none"/>
        </w:rPr>
        <w:t>监狱企业证明文件</w:t>
      </w:r>
    </w:p>
    <w:p w14:paraId="2E5A388D">
      <w:pPr>
        <w:pStyle w:val="2"/>
        <w:ind w:left="2880"/>
        <w:rPr>
          <w:rFonts w:hint="eastAsia" w:cs="仿宋" w:asciiTheme="minorEastAsia" w:hAnsiTheme="minorEastAsia"/>
          <w:color w:val="auto"/>
          <w:highlight w:val="none"/>
        </w:rPr>
      </w:pPr>
    </w:p>
    <w:p w14:paraId="563856F5">
      <w:pPr>
        <w:spacing w:line="500" w:lineRule="exact"/>
        <w:ind w:firstLine="480" w:firstLineChars="200"/>
        <w:jc w:val="left"/>
        <w:rPr>
          <w:rFonts w:hint="eastAsia" w:cs="仿宋" w:asciiTheme="minorEastAsia" w:hAnsiTheme="minorEastAsia"/>
          <w:color w:val="auto"/>
          <w:highlight w:val="none"/>
        </w:rPr>
      </w:pPr>
      <w:r>
        <w:rPr>
          <w:rFonts w:hint="eastAsia" w:cs="仿宋" w:asciiTheme="minorEastAsia" w:hAnsiTheme="minorEastAsia"/>
          <w:color w:val="auto"/>
          <w:highlight w:val="none"/>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A6CD7C2">
      <w:pPr>
        <w:spacing w:line="500" w:lineRule="exact"/>
        <w:ind w:firstLine="480" w:firstLineChars="200"/>
        <w:jc w:val="left"/>
        <w:rPr>
          <w:rFonts w:hint="eastAsia" w:cs="仿宋" w:asciiTheme="minorEastAsia" w:hAnsiTheme="minorEastAsia"/>
          <w:color w:val="auto"/>
          <w:highlight w:val="none"/>
        </w:rPr>
      </w:pPr>
      <w:r>
        <w:rPr>
          <w:rFonts w:hint="eastAsia" w:cs="仿宋" w:asciiTheme="minorEastAsia" w:hAnsiTheme="minorEastAsia"/>
          <w:color w:val="auto"/>
          <w:highlight w:val="none"/>
        </w:rPr>
        <w:t>监狱企业参加政府采购活动时，应当提供由省级以上监狱管理局、戒毒管理局（含新疆生产建设兵团）出具的属于监狱企业的证明文件，非监狱企业无需提供。</w:t>
      </w:r>
    </w:p>
    <w:p w14:paraId="6FB09AD4">
      <w:pPr>
        <w:pStyle w:val="211"/>
        <w:rPr>
          <w:rFonts w:hint="eastAsia" w:cs="仿宋" w:asciiTheme="minorEastAsia" w:hAnsiTheme="minorEastAsia" w:eastAsiaTheme="minorEastAsia"/>
          <w:color w:val="auto"/>
          <w:highlight w:val="none"/>
        </w:rPr>
      </w:pPr>
    </w:p>
    <w:sectPr>
      <w:pgSz w:w="11906" w:h="16838"/>
      <w:pgMar w:top="1417" w:right="1117" w:bottom="1417" w:left="1417" w:header="851" w:footer="850"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Arial Unicode MS">
    <w:panose1 w:val="020B0604020202020204"/>
    <w:charset w:val="86"/>
    <w:family w:val="swiss"/>
    <w:pitch w:val="default"/>
    <w:sig w:usb0="F7FFAEFF" w:usb1="F9DFFFFF" w:usb2="0000007F" w:usb3="00000000" w:csb0="203F01FF" w:csb1="DFFF0000"/>
  </w:font>
  <w:font w:name="Cambria">
    <w:panose1 w:val="02040503050406030204"/>
    <w:charset w:val="00"/>
    <w:family w:val="roman"/>
    <w:pitch w:val="default"/>
    <w:sig w:usb0="E00006FF" w:usb1="420024FF" w:usb2="0200000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Copperplate Gothic Bold">
    <w:altName w:val="Segoe Print"/>
    <w:panose1 w:val="020E0705020206020404"/>
    <w:charset w:val="00"/>
    <w:family w:val="swiss"/>
    <w:pitch w:val="default"/>
    <w:sig w:usb0="00000000" w:usb1="00000000" w:usb2="00000000" w:usb3="00000000" w:csb0="20000001" w:csb1="00000000"/>
  </w:font>
  <w:font w:name="Consolas">
    <w:panose1 w:val="020B0609020204030204"/>
    <w:charset w:val="00"/>
    <w:family w:val="modern"/>
    <w:pitch w:val="default"/>
    <w:sig w:usb0="E00006FF" w:usb1="0000FCFF" w:usb2="00000001" w:usb3="00000000" w:csb0="6000019F" w:csb1="DFD70000"/>
  </w:font>
  <w:font w:name="AGYXIQ+Frutiger-Cn">
    <w:altName w:val="宋体"/>
    <w:panose1 w:val="00000000000000000000"/>
    <w:charset w:val="86"/>
    <w:family w:val="swiss"/>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新宋体">
    <w:panose1 w:val="02010609030101010101"/>
    <w:charset w:val="86"/>
    <w:family w:val="modern"/>
    <w:pitch w:val="default"/>
    <w:sig w:usb0="00000203" w:usb1="288F0000" w:usb2="00000006" w:usb3="00000000" w:csb0="00040001" w:csb1="00000000"/>
  </w:font>
  <w:font w:name="仿宋">
    <w:panose1 w:val="02010609060101010101"/>
    <w:charset w:val="86"/>
    <w:family w:val="modern"/>
    <w:pitch w:val="default"/>
    <w:sig w:usb0="800002BF" w:usb1="38CF7CFA" w:usb2="00000016" w:usb3="00000000" w:csb0="00040001" w:csb1="00000000"/>
    <w:embedRegular r:id="rId1" w:fontKey="{B6C37E7A-43EE-41D6-A0C8-311A1A7D2820}"/>
  </w:font>
  <w:font w:name="Segoe UI Symbol">
    <w:panose1 w:val="020B0502040204020203"/>
    <w:charset w:val="00"/>
    <w:family w:val="swiss"/>
    <w:pitch w:val="default"/>
    <w:sig w:usb0="800001E3" w:usb1="1200FFEF" w:usb2="00040000" w:usb3="04000000" w:csb0="00000001" w:csb1="40000000"/>
  </w:font>
  <w:font w:name="华文仿宋">
    <w:panose1 w:val="02010600040101010101"/>
    <w:charset w:val="86"/>
    <w:family w:val="auto"/>
    <w:pitch w:val="default"/>
    <w:sig w:usb0="00000287" w:usb1="080F0000" w:usb2="00000000" w:usb3="00000000" w:csb0="0004009F" w:csb1="DFD70000"/>
    <w:embedRegular r:id="rId2" w:fontKey="{5A3665D8-BA3B-44EC-8307-B8A9C1EC6A38}"/>
  </w:font>
  <w:font w:name="楷体">
    <w:panose1 w:val="02010609060101010101"/>
    <w:charset w:val="86"/>
    <w:family w:val="auto"/>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A0D6CA">
    <w:pPr>
      <w:pStyle w:val="29"/>
      <w:rPr>
        <w:rFonts w:hint="eastAsia" w:asciiTheme="minorEastAsia" w:hAnsiTheme="minorEastAsia" w:eastAsiaTheme="minorEastAsia"/>
      </w:rPr>
    </w:pPr>
    <w:r>
      <w:rPr>
        <w:rFonts w:hint="eastAsia" w:asciiTheme="minorEastAsia" w:hAnsiTheme="minorEastAsia" w:eastAsiaTheme="minorEastAsia"/>
      </w:rPr>
      <w:t xml:space="preserve">                              </w:t>
    </w:r>
    <w:r>
      <w:rPr>
        <w:rFonts w:hint="eastAsia" w:asciiTheme="minorEastAsia" w:hAnsiTheme="minorEastAsia" w:eastAsiaTheme="minorEastAsia"/>
      </w:rPr>
      <w:tab/>
    </w:r>
    <w:r>
      <w:rPr>
        <w:rFonts w:asciiTheme="minorEastAsia" w:hAnsiTheme="minorEastAsia" w:eastAsiaTheme="minorEastAsia"/>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B8AAAB">
    <w:pPr>
      <w:pStyle w:val="29"/>
      <w:rPr>
        <w:rFonts w:hint="eastAsia" w:asciiTheme="minorEastAsia" w:hAnsiTheme="minorEastAsia" w:eastAsiaTheme="minor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0CB8EF">
    <w:pPr>
      <w:pStyle w:val="29"/>
      <w:rPr>
        <w:rFonts w:hint="eastAsia" w:asciiTheme="minorEastAsia" w:hAnsiTheme="minorEastAsia" w:eastAsiaTheme="minorEastAsia"/>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47650" cy="131445"/>
              <wp:effectExtent l="0" t="0" r="635" b="3175"/>
              <wp:wrapNone/>
              <wp:docPr id="3" name="Text Box 9"/>
              <wp:cNvGraphicFramePr/>
              <a:graphic xmlns:a="http://schemas.openxmlformats.org/drawingml/2006/main">
                <a:graphicData uri="http://schemas.microsoft.com/office/word/2010/wordprocessingShape">
                  <wps:wsp>
                    <wps:cNvSpPr txBox="1">
                      <a:spLocks noChangeArrowheads="1"/>
                    </wps:cNvSpPr>
                    <wps:spPr bwMode="auto">
                      <a:xfrm>
                        <a:off x="0" y="0"/>
                        <a:ext cx="247650" cy="131445"/>
                      </a:xfrm>
                      <a:prstGeom prst="rect">
                        <a:avLst/>
                      </a:prstGeom>
                      <a:noFill/>
                      <a:ln>
                        <a:noFill/>
                      </a:ln>
                    </wps:spPr>
                    <wps:txbx>
                      <w:txbxContent>
                        <w:p w14:paraId="0926E13D">
                          <w:pPr>
                            <w:pStyle w:val="29"/>
                          </w:pPr>
                          <w:r>
                            <w:fldChar w:fldCharType="begin"/>
                          </w:r>
                          <w:r>
                            <w:instrText xml:space="preserve"> PAGE  \* MERGEFORMAT </w:instrText>
                          </w:r>
                          <w:r>
                            <w:fldChar w:fldCharType="separate"/>
                          </w:r>
                          <w:r>
                            <w:t>- 25 -</w:t>
                          </w:r>
                          <w:r>
                            <w:fldChar w:fldCharType="end"/>
                          </w:r>
                        </w:p>
                      </w:txbxContent>
                    </wps:txbx>
                    <wps:bodyPr rot="0" vert="horz" wrap="none" lIns="0" tIns="0" rIns="0" bIns="0" anchor="t" anchorCtr="0" upright="1">
                      <a:spAutoFit/>
                    </wps:bodyPr>
                  </wps:wsp>
                </a:graphicData>
              </a:graphic>
            </wp:anchor>
          </w:drawing>
        </mc:Choice>
        <mc:Fallback>
          <w:pict>
            <v:shape id="Text Box 9" o:spid="_x0000_s1026" o:spt="202" type="#_x0000_t202" style="position:absolute;left:0pt;margin-top:0pt;height:10.35pt;width:19.5pt;mso-position-horizontal:center;mso-position-horizontal-relative:margin;mso-wrap-style:none;z-index:251660288;mso-width-relative:page;mso-height-relative:page;" filled="f" stroked="f" coordsize="21600,21600" o:gfxdata="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FexSODQAAAAAwEAAA8AAAAAAAAAAQAgAAAAIgAAAGRycy9kb3ducmV2LnhtbFBLAQIU&#10;ABQAAAAIAIdO4kDxvnd4+wEAAAEEAAAOAAAAAAAAAAEAIAAAAB8BAABkcnMvZTJvRG9jLnhtbFBL&#10;BQYAAAAABgAGAFkBAACMBQAAAAA=&#10;">
              <v:fill on="f" focussize="0,0"/>
              <v:stroke on="f"/>
              <v:imagedata o:title=""/>
              <o:lock v:ext="edit" aspectratio="f"/>
              <v:textbox inset="0mm,0mm,0mm,0mm" style="mso-fit-shape-to-text:t;">
                <w:txbxContent>
                  <w:p w14:paraId="0926E13D">
                    <w:pPr>
                      <w:pStyle w:val="29"/>
                    </w:pPr>
                    <w:r>
                      <w:fldChar w:fldCharType="begin"/>
                    </w:r>
                    <w:r>
                      <w:instrText xml:space="preserve"> PAGE  \* MERGEFORMAT </w:instrText>
                    </w:r>
                    <w:r>
                      <w:fldChar w:fldCharType="separate"/>
                    </w:r>
                    <w:r>
                      <w:t>- 25 -</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2351C5">
    <w:pPr>
      <w:rPr>
        <w:rFonts w:ascii="Times New Roman"/>
      </w:rPr>
    </w:pPr>
    <w:r>
      <w:rPr>
        <w:rFonts w:ascii="Times New Roman"/>
      </w:rPr>
      <w:fldChar w:fldCharType="begin"/>
    </w:r>
    <w:r>
      <w:rPr>
        <w:rFonts w:ascii="Times New Roman"/>
      </w:rPr>
      <w:instrText xml:space="preserve">PAGE  </w:instrText>
    </w:r>
    <w:r>
      <w:rPr>
        <w:rFonts w:ascii="Times New Roman"/>
      </w:rPr>
      <w:fldChar w:fldCharType="separate"/>
    </w:r>
    <w:r>
      <w:rPr>
        <w:rFonts w:ascii="Times New Roman"/>
      </w:rPr>
      <w:t>41</w:t>
    </w:r>
    <w:r>
      <w:rPr>
        <w:rFonts w:ascii="Times New Roman"/>
      </w:rPr>
      <w:fldChar w:fldCharType="end"/>
    </w:r>
  </w:p>
  <w:p w14:paraId="4B04CAC2">
    <w:pPr>
      <w:rPr>
        <w:rFonts w:ascii="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AA857D">
    <w:pPr>
      <w:rPr>
        <w:rFonts w:ascii="Times New Roman"/>
      </w:rPr>
    </w:pPr>
    <w:r>
      <w:rPr>
        <w:rFonts w:hint="eastAsia" w:ascii="Times New Roman"/>
      </w:rPr>
      <w:t xml:space="preserve">                                                                 39</w:t>
    </w:r>
  </w:p>
  <w:p w14:paraId="74CFD157">
    <w:pPr>
      <w:rPr>
        <w:rFonts w:ascii="Times New Roman"/>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102DB4">
    <w:pPr>
      <w:pStyle w:val="29"/>
      <w:jc w:val="both"/>
      <w:rPr>
        <w:rFonts w:hint="eastAsia" w:asciiTheme="minorEastAsia" w:hAnsiTheme="minorEastAsia" w:eastAsiaTheme="minorEastAsia"/>
      </w:rPr>
    </w:pPr>
    <w:r>
      <w:rPr>
        <w:sz w:val="15"/>
      </w:rPr>
      <mc:AlternateContent>
        <mc:Choice Requires="wps">
          <w:drawing>
            <wp:anchor distT="0" distB="0" distL="114300" distR="114300" simplePos="0" relativeHeight="251661312" behindDoc="0" locked="0" layoutInCell="1" allowOverlap="1">
              <wp:simplePos x="0" y="0"/>
              <wp:positionH relativeFrom="page">
                <wp:align>center</wp:align>
              </wp:positionH>
              <wp:positionV relativeFrom="paragraph">
                <wp:posOffset>10795</wp:posOffset>
              </wp:positionV>
              <wp:extent cx="247650" cy="131445"/>
              <wp:effectExtent l="0" t="0" r="0" b="1905"/>
              <wp:wrapNone/>
              <wp:docPr id="2" name="Text Box 10"/>
              <wp:cNvGraphicFramePr/>
              <a:graphic xmlns:a="http://schemas.openxmlformats.org/drawingml/2006/main">
                <a:graphicData uri="http://schemas.microsoft.com/office/word/2010/wordprocessingShape">
                  <wps:wsp>
                    <wps:cNvSpPr txBox="1">
                      <a:spLocks noChangeArrowheads="1"/>
                    </wps:cNvSpPr>
                    <wps:spPr bwMode="auto">
                      <a:xfrm>
                        <a:off x="0" y="0"/>
                        <a:ext cx="247650" cy="131445"/>
                      </a:xfrm>
                      <a:prstGeom prst="rect">
                        <a:avLst/>
                      </a:prstGeom>
                      <a:noFill/>
                      <a:ln>
                        <a:noFill/>
                      </a:ln>
                    </wps:spPr>
                    <wps:txbx>
                      <w:txbxContent>
                        <w:p w14:paraId="749BEC1F">
                          <w:pPr>
                            <w:pStyle w:val="29"/>
                          </w:pPr>
                          <w:r>
                            <w:fldChar w:fldCharType="begin"/>
                          </w:r>
                          <w:r>
                            <w:instrText xml:space="preserve"> PAGE  \* MERGEFORMAT </w:instrText>
                          </w:r>
                          <w:r>
                            <w:fldChar w:fldCharType="separate"/>
                          </w:r>
                          <w:r>
                            <w:t>- 70 -</w:t>
                          </w:r>
                          <w:r>
                            <w:fldChar w:fldCharType="end"/>
                          </w:r>
                        </w:p>
                      </w:txbxContent>
                    </wps:txbx>
                    <wps:bodyPr rot="0" vert="horz" wrap="none" lIns="0" tIns="0" rIns="0" bIns="0" anchor="t" anchorCtr="0" upright="1">
                      <a:spAutoFit/>
                    </wps:bodyPr>
                  </wps:wsp>
                </a:graphicData>
              </a:graphic>
            </wp:anchor>
          </w:drawing>
        </mc:Choice>
        <mc:Fallback>
          <w:pict>
            <v:shape id="Text Box 10" o:spid="_x0000_s1026" o:spt="202" type="#_x0000_t202" style="position:absolute;left:0pt;margin-top:0.85pt;height:10.35pt;width:19.5pt;mso-position-horizontal:center;mso-position-horizontal-relative:page;mso-wrap-style:none;z-index:251661312;mso-width-relative:page;mso-height-relative:page;" filled="f" stroked="f" coordsize="21600,21600" o:gfxdata="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Ald+EU0QAAAAQBAAAPAAAAAAAAAAEAIAAAACIAAABkcnMvZG93bnJldi54bWxQSwEC&#10;FAAUAAAACACHTuJAKb/nBfsBAAACBAAADgAAAAAAAAABACAAAAAgAQAAZHJzL2Uyb0RvYy54bWxQ&#10;SwUGAAAAAAYABgBZAQAAjQUAAAAA&#10;">
              <v:fill on="f" focussize="0,0"/>
              <v:stroke on="f"/>
              <v:imagedata o:title=""/>
              <o:lock v:ext="edit" aspectratio="f"/>
              <v:textbox inset="0mm,0mm,0mm,0mm" style="mso-fit-shape-to-text:t;">
                <w:txbxContent>
                  <w:p w14:paraId="749BEC1F">
                    <w:pPr>
                      <w:pStyle w:val="29"/>
                    </w:pPr>
                    <w:r>
                      <w:fldChar w:fldCharType="begin"/>
                    </w:r>
                    <w:r>
                      <w:instrText xml:space="preserve"> PAGE  \* MERGEFORMAT </w:instrText>
                    </w:r>
                    <w:r>
                      <w:fldChar w:fldCharType="separate"/>
                    </w:r>
                    <w:r>
                      <w:t>- 70 -</w:t>
                    </w:r>
                    <w:r>
                      <w:fldChar w:fldCharType="end"/>
                    </w:r>
                  </w:p>
                </w:txbxContent>
              </v:textbox>
            </v:shape>
          </w:pict>
        </mc:Fallback>
      </mc:AlternateContent>
    </w:r>
    <w:r>
      <w:rPr>
        <w:sz w:val="15"/>
        <w:szCs w:val="15"/>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66370" cy="142240"/>
              <wp:effectExtent l="1270" t="0" r="3810" b="1905"/>
              <wp:wrapNone/>
              <wp:docPr id="1" name="Text Box 4"/>
              <wp:cNvGraphicFramePr/>
              <a:graphic xmlns:a="http://schemas.openxmlformats.org/drawingml/2006/main">
                <a:graphicData uri="http://schemas.microsoft.com/office/word/2010/wordprocessingShape">
                  <wps:wsp>
                    <wps:cNvSpPr txBox="1">
                      <a:spLocks noChangeArrowheads="1"/>
                    </wps:cNvSpPr>
                    <wps:spPr bwMode="auto">
                      <a:xfrm>
                        <a:off x="0" y="0"/>
                        <a:ext cx="166370" cy="142240"/>
                      </a:xfrm>
                      <a:prstGeom prst="rect">
                        <a:avLst/>
                      </a:prstGeom>
                      <a:noFill/>
                      <a:ln>
                        <a:noFill/>
                      </a:ln>
                    </wps:spPr>
                    <wps:txbx>
                      <w:txbxContent>
                        <w:p w14:paraId="4F269E8C">
                          <w:pPr>
                            <w:pStyle w:val="29"/>
                          </w:pPr>
                        </w:p>
                      </w:txbxContent>
                    </wps:txbx>
                    <wps:bodyPr rot="0" vert="horz" wrap="square" lIns="0" tIns="0" rIns="0" bIns="0" anchor="t" anchorCtr="0" upright="1">
                      <a:noAutofit/>
                    </wps:bodyPr>
                  </wps:wsp>
                </a:graphicData>
              </a:graphic>
            </wp:anchor>
          </w:drawing>
        </mc:Choice>
        <mc:Fallback>
          <w:pict>
            <v:shape id="Text Box 4" o:spid="_x0000_s1026" o:spt="202" type="#_x0000_t202" style="position:absolute;left:0pt;margin-top:0pt;height:11.2pt;width:13.1pt;mso-position-horizontal:center;mso-position-horizontal-relative:margin;z-index:251659264;mso-width-relative:page;mso-height-relative:page;" filled="f" stroked="f" coordsize="21600,21600" o:gfxdata="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MXf2+/TAAAAAwEAAA8AAAAAAAAAAQAgAAAAIgAAAGRycy9kb3ducmV2LnhtbFBL&#10;AQIUABQAAAAIAIdO4kAx3pyW+wEAAAMEAAAOAAAAAAAAAAEAIAAAACIBAABkcnMvZTJvRG9jLnht&#10;bFBLBQYAAAAABgAGAFkBAACPBQAAAAA=&#10;">
              <v:fill on="f" focussize="0,0"/>
              <v:stroke on="f"/>
              <v:imagedata o:title=""/>
              <o:lock v:ext="edit" aspectratio="f"/>
              <v:textbox inset="0mm,0mm,0mm,0mm">
                <w:txbxContent>
                  <w:p w14:paraId="4F269E8C">
                    <w:pPr>
                      <w:pStyle w:val="29"/>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4A2DDF">
    <w:pPr>
      <w:jc w:val="left"/>
      <w:rPr>
        <w:rFonts w:hint="eastAsia" w:cs="仿宋" w:asciiTheme="majorEastAsia" w:hAnsiTheme="majorEastAsia" w:eastAsiaTheme="majorEastAsia"/>
        <w:sz w:val="18"/>
        <w:szCs w:val="18"/>
        <w:u w:val="single"/>
      </w:rPr>
    </w:pPr>
    <w:r>
      <w:rPr>
        <w:rFonts w:hint="eastAsia" w:cs="仿宋" w:asciiTheme="majorEastAsia" w:hAnsiTheme="majorEastAsia" w:eastAsiaTheme="majorEastAsia"/>
        <w:bCs/>
        <w:sz w:val="18"/>
        <w:szCs w:val="18"/>
        <w:u w:val="single"/>
        <w:lang w:val="en-US" w:eastAsia="zh-CN"/>
      </w:rPr>
      <w:t>2026年度蓝田县政府大院机关食堂服务项目                                                   竞</w:t>
    </w:r>
    <w:r>
      <w:rPr>
        <w:rFonts w:hint="eastAsia" w:cs="仿宋" w:asciiTheme="majorEastAsia" w:hAnsiTheme="majorEastAsia" w:eastAsiaTheme="majorEastAsia"/>
        <w:bCs/>
        <w:sz w:val="18"/>
        <w:szCs w:val="18"/>
        <w:u w:val="single"/>
      </w:rPr>
      <w:t>争性磋商文件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45CFC2"/>
    <w:multiLevelType w:val="singleLevel"/>
    <w:tmpl w:val="8345CFC2"/>
    <w:lvl w:ilvl="0" w:tentative="0">
      <w:start w:val="30"/>
      <w:numFmt w:val="decimal"/>
      <w:lvlText w:val="%1."/>
      <w:lvlJc w:val="left"/>
      <w:pPr>
        <w:tabs>
          <w:tab w:val="left" w:pos="312"/>
        </w:tabs>
      </w:pPr>
    </w:lvl>
  </w:abstractNum>
  <w:abstractNum w:abstractNumId="1">
    <w:nsid w:val="A206224D"/>
    <w:multiLevelType w:val="singleLevel"/>
    <w:tmpl w:val="A206224D"/>
    <w:lvl w:ilvl="0" w:tentative="0">
      <w:start w:val="1"/>
      <w:numFmt w:val="chineseCounting"/>
      <w:suff w:val="nothing"/>
      <w:lvlText w:val="%1、"/>
      <w:lvlJc w:val="left"/>
      <w:rPr>
        <w:rFonts w:hint="eastAsia"/>
      </w:rPr>
    </w:lvl>
  </w:abstractNum>
  <w:abstractNum w:abstractNumId="2">
    <w:nsid w:val="BBD79B84"/>
    <w:multiLevelType w:val="singleLevel"/>
    <w:tmpl w:val="BBD79B84"/>
    <w:lvl w:ilvl="0" w:tentative="0">
      <w:start w:val="1"/>
      <w:numFmt w:val="chineseCounting"/>
      <w:suff w:val="nothing"/>
      <w:lvlText w:val="%1、"/>
      <w:lvlJc w:val="left"/>
      <w:rPr>
        <w:rFonts w:hint="eastAsia"/>
      </w:rPr>
    </w:lvl>
  </w:abstractNum>
  <w:abstractNum w:abstractNumId="3">
    <w:nsid w:val="00000002"/>
    <w:multiLevelType w:val="multilevel"/>
    <w:tmpl w:val="00000002"/>
    <w:lvl w:ilvl="0" w:tentative="0">
      <w:start w:val="1"/>
      <w:numFmt w:val="decimal"/>
      <w:pStyle w:val="83"/>
      <w:lvlText w:val="%1. "/>
      <w:lvlJc w:val="left"/>
      <w:pPr>
        <w:tabs>
          <w:tab w:val="left" w:pos="839"/>
        </w:tabs>
        <w:ind w:left="839" w:hanging="419"/>
      </w:pPr>
      <w:rPr>
        <w:rFonts w:hint="eastAsia"/>
      </w:rPr>
    </w:lvl>
    <w:lvl w:ilvl="1" w:tentative="0">
      <w:start w:val="1"/>
      <w:numFmt w:val="upperLetter"/>
      <w:pStyle w:val="121"/>
      <w:lvlText w:val="%2. "/>
      <w:lvlJc w:val="left"/>
      <w:pPr>
        <w:tabs>
          <w:tab w:val="left" w:pos="1049"/>
        </w:tabs>
        <w:ind w:left="1049" w:hanging="420"/>
      </w:pPr>
      <w:rPr>
        <w:rFonts w:hint="eastAsia"/>
      </w:rPr>
    </w:lvl>
    <w:lvl w:ilvl="2" w:tentative="0">
      <w:start w:val="1"/>
      <w:numFmt w:val="lowerLetter"/>
      <w:pStyle w:val="75"/>
      <w:lvlText w:val="%3. "/>
      <w:lvlJc w:val="left"/>
      <w:pPr>
        <w:tabs>
          <w:tab w:val="left" w:pos="1259"/>
        </w:tabs>
        <w:ind w:left="1259" w:hanging="420"/>
      </w:pPr>
      <w:rPr>
        <w:rFonts w:hint="eastAsia"/>
      </w:rPr>
    </w:lvl>
    <w:lvl w:ilvl="3" w:tentative="0">
      <w:start w:val="1"/>
      <w:numFmt w:val="lowerLetter"/>
      <w:pStyle w:val="110"/>
      <w:lvlText w:val="%4) "/>
      <w:lvlJc w:val="left"/>
      <w:pPr>
        <w:tabs>
          <w:tab w:val="left" w:pos="1469"/>
        </w:tabs>
        <w:ind w:left="1469" w:hanging="420"/>
      </w:pPr>
      <w:rPr>
        <w:rFonts w:hint="eastAsia"/>
      </w:rPr>
    </w:lvl>
    <w:lvl w:ilvl="4" w:tentative="0">
      <w:start w:val="1"/>
      <w:numFmt w:val="none"/>
      <w:suff w:val="nothing"/>
      <w:lvlText w:val=""/>
      <w:lvlJc w:val="left"/>
      <w:pPr>
        <w:ind w:left="1259" w:firstLine="0"/>
      </w:pPr>
      <w:rPr>
        <w:rFonts w:hint="eastAsia"/>
      </w:rPr>
    </w:lvl>
    <w:lvl w:ilvl="5" w:tentative="0">
      <w:start w:val="1"/>
      <w:numFmt w:val="none"/>
      <w:suff w:val="nothing"/>
      <w:lvlText w:val=""/>
      <w:lvlJc w:val="left"/>
      <w:pPr>
        <w:ind w:left="1259" w:firstLine="0"/>
      </w:pPr>
      <w:rPr>
        <w:rFonts w:hint="eastAsia"/>
      </w:rPr>
    </w:lvl>
    <w:lvl w:ilvl="6" w:tentative="0">
      <w:start w:val="1"/>
      <w:numFmt w:val="none"/>
      <w:suff w:val="nothing"/>
      <w:lvlText w:val=""/>
      <w:lvlJc w:val="left"/>
      <w:pPr>
        <w:ind w:left="1259" w:firstLine="0"/>
      </w:pPr>
      <w:rPr>
        <w:rFonts w:hint="eastAsia"/>
      </w:rPr>
    </w:lvl>
    <w:lvl w:ilvl="7" w:tentative="0">
      <w:start w:val="1"/>
      <w:numFmt w:val="none"/>
      <w:suff w:val="nothing"/>
      <w:lvlText w:val=""/>
      <w:lvlJc w:val="left"/>
      <w:pPr>
        <w:ind w:left="1259" w:firstLine="0"/>
      </w:pPr>
      <w:rPr>
        <w:rFonts w:hint="eastAsia"/>
      </w:rPr>
    </w:lvl>
    <w:lvl w:ilvl="8" w:tentative="0">
      <w:start w:val="1"/>
      <w:numFmt w:val="none"/>
      <w:suff w:val="nothing"/>
      <w:lvlText w:val=""/>
      <w:lvlJc w:val="left"/>
      <w:pPr>
        <w:ind w:left="1259" w:firstLine="0"/>
      </w:pPr>
      <w:rPr>
        <w:rFonts w:hint="eastAsia"/>
      </w:rPr>
    </w:lvl>
  </w:abstractNum>
  <w:abstractNum w:abstractNumId="4">
    <w:nsid w:val="0000001F"/>
    <w:multiLevelType w:val="singleLevel"/>
    <w:tmpl w:val="0000001F"/>
    <w:lvl w:ilvl="0" w:tentative="0">
      <w:start w:val="1"/>
      <w:numFmt w:val="decimal"/>
      <w:pStyle w:val="88"/>
      <w:lvlText w:val="%1．"/>
      <w:lvlJc w:val="left"/>
      <w:pPr>
        <w:tabs>
          <w:tab w:val="left" w:pos="720"/>
        </w:tabs>
        <w:ind w:left="720" w:hanging="720"/>
      </w:pPr>
    </w:lvl>
  </w:abstractNum>
  <w:abstractNum w:abstractNumId="5">
    <w:nsid w:val="00000024"/>
    <w:multiLevelType w:val="multilevel"/>
    <w:tmpl w:val="00000024"/>
    <w:lvl w:ilvl="0" w:tentative="0">
      <w:start w:val="1"/>
      <w:numFmt w:val="bullet"/>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pStyle w:val="113"/>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6">
    <w:nsid w:val="00000031"/>
    <w:multiLevelType w:val="multilevel"/>
    <w:tmpl w:val="00000031"/>
    <w:lvl w:ilvl="0" w:tentative="0">
      <w:start w:val="1"/>
      <w:numFmt w:val="decimal"/>
      <w:lvlText w:val="%1."/>
      <w:lvlJc w:val="left"/>
      <w:pPr>
        <w:tabs>
          <w:tab w:val="left" w:pos="420"/>
        </w:tabs>
        <w:ind w:left="420" w:hanging="420"/>
      </w:pPr>
    </w:lvl>
    <w:lvl w:ilvl="1" w:tentative="0">
      <w:start w:val="1"/>
      <w:numFmt w:val="bullet"/>
      <w:pStyle w:val="34"/>
      <w:lvlText w:val=""/>
      <w:lvlJc w:val="left"/>
      <w:pPr>
        <w:tabs>
          <w:tab w:val="left" w:pos="840"/>
        </w:tabs>
        <w:ind w:left="840" w:hanging="420"/>
      </w:pPr>
      <w:rPr>
        <w:rFonts w:hint="default" w:ascii="Wingdings" w:hAnsi="Wingdings"/>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4"/>
      <w:numFmt w:val="decimal"/>
      <w:lvlText w:val="%5、"/>
      <w:lvlJc w:val="left"/>
      <w:pPr>
        <w:tabs>
          <w:tab w:val="left" w:pos="2160"/>
        </w:tabs>
        <w:ind w:left="2160" w:hanging="480"/>
      </w:pPr>
      <w:rPr>
        <w:rFonts w:hint="eastAsia"/>
      </w:rPr>
    </w:lvl>
    <w:lvl w:ilvl="5" w:tentative="0">
      <w:start w:val="28"/>
      <w:numFmt w:val="decimal"/>
      <w:lvlText w:val="%6．"/>
      <w:lvlJc w:val="left"/>
      <w:pPr>
        <w:tabs>
          <w:tab w:val="left" w:pos="2520"/>
        </w:tabs>
        <w:ind w:left="2520" w:hanging="420"/>
      </w:pPr>
      <w:rPr>
        <w:rFonts w:hint="eastAsia"/>
      </w:r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AF9B547"/>
    <w:multiLevelType w:val="singleLevel"/>
    <w:tmpl w:val="0AF9B547"/>
    <w:lvl w:ilvl="0" w:tentative="0">
      <w:start w:val="1"/>
      <w:numFmt w:val="chineseCounting"/>
      <w:suff w:val="nothing"/>
      <w:lvlText w:val="%1、"/>
      <w:lvlJc w:val="left"/>
      <w:rPr>
        <w:rFonts w:hint="eastAsia"/>
      </w:rPr>
    </w:lvl>
  </w:abstractNum>
  <w:abstractNum w:abstractNumId="8">
    <w:nsid w:val="171B60F2"/>
    <w:multiLevelType w:val="singleLevel"/>
    <w:tmpl w:val="171B60F2"/>
    <w:lvl w:ilvl="0" w:tentative="0">
      <w:start w:val="1"/>
      <w:numFmt w:val="decimal"/>
      <w:suff w:val="nothing"/>
      <w:lvlText w:val="%1、"/>
      <w:lvlJc w:val="left"/>
    </w:lvl>
  </w:abstractNum>
  <w:abstractNum w:abstractNumId="9">
    <w:nsid w:val="237F4869"/>
    <w:multiLevelType w:val="singleLevel"/>
    <w:tmpl w:val="237F4869"/>
    <w:lvl w:ilvl="0" w:tentative="0">
      <w:start w:val="1"/>
      <w:numFmt w:val="chineseCounting"/>
      <w:suff w:val="nothing"/>
      <w:lvlText w:val="%1、"/>
      <w:lvlJc w:val="left"/>
      <w:rPr>
        <w:rFonts w:hint="eastAsia"/>
      </w:rPr>
    </w:lvl>
  </w:abstractNum>
  <w:abstractNum w:abstractNumId="10">
    <w:nsid w:val="25220AD2"/>
    <w:multiLevelType w:val="singleLevel"/>
    <w:tmpl w:val="25220AD2"/>
    <w:lvl w:ilvl="0" w:tentative="0">
      <w:start w:val="1"/>
      <w:numFmt w:val="decimal"/>
      <w:lvlText w:val="%1."/>
      <w:lvlJc w:val="left"/>
      <w:pPr>
        <w:tabs>
          <w:tab w:val="left" w:pos="312"/>
        </w:tabs>
      </w:pPr>
    </w:lvl>
  </w:abstractNum>
  <w:abstractNum w:abstractNumId="11">
    <w:nsid w:val="59E9773D"/>
    <w:multiLevelType w:val="singleLevel"/>
    <w:tmpl w:val="59E9773D"/>
    <w:lvl w:ilvl="0" w:tentative="0">
      <w:start w:val="4"/>
      <w:numFmt w:val="chineseCounting"/>
      <w:suff w:val="space"/>
      <w:lvlText w:val="第%1章"/>
      <w:lvlJc w:val="left"/>
    </w:lvl>
  </w:abstractNum>
  <w:abstractNum w:abstractNumId="12">
    <w:nsid w:val="6015E2BE"/>
    <w:multiLevelType w:val="singleLevel"/>
    <w:tmpl w:val="6015E2BE"/>
    <w:lvl w:ilvl="0" w:tentative="0">
      <w:start w:val="1"/>
      <w:numFmt w:val="decimal"/>
      <w:suff w:val="nothing"/>
      <w:lvlText w:val="%1、"/>
      <w:lvlJc w:val="left"/>
    </w:lvl>
  </w:abstractNum>
  <w:num w:numId="1">
    <w:abstractNumId w:val="6"/>
  </w:num>
  <w:num w:numId="2">
    <w:abstractNumId w:val="3"/>
  </w:num>
  <w:num w:numId="3">
    <w:abstractNumId w:val="4"/>
  </w:num>
  <w:num w:numId="4">
    <w:abstractNumId w:val="5"/>
  </w:num>
  <w:num w:numId="5">
    <w:abstractNumId w:val="0"/>
  </w:num>
  <w:num w:numId="6">
    <w:abstractNumId w:val="11"/>
  </w:num>
  <w:num w:numId="7">
    <w:abstractNumId w:val="2"/>
  </w:num>
  <w:num w:numId="8">
    <w:abstractNumId w:val="7"/>
  </w:num>
  <w:num w:numId="9">
    <w:abstractNumId w:val="9"/>
  </w:num>
  <w:num w:numId="10">
    <w:abstractNumId w:val="1"/>
  </w:num>
  <w:num w:numId="11">
    <w:abstractNumId w:val="12"/>
  </w:num>
  <w:num w:numId="12">
    <w:abstractNumId w:val="8"/>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GI4YmY4NDQ0YTY0OGMzMWQyNTMwNmExODQ1NWVhMmUifQ=="/>
  </w:docVars>
  <w:rsids>
    <w:rsidRoot w:val="00172A27"/>
    <w:rsid w:val="00011D0F"/>
    <w:rsid w:val="00012426"/>
    <w:rsid w:val="00014911"/>
    <w:rsid w:val="00015076"/>
    <w:rsid w:val="000163AF"/>
    <w:rsid w:val="00026B67"/>
    <w:rsid w:val="00031A3D"/>
    <w:rsid w:val="00036874"/>
    <w:rsid w:val="00041637"/>
    <w:rsid w:val="00047316"/>
    <w:rsid w:val="00056BD7"/>
    <w:rsid w:val="00071FA9"/>
    <w:rsid w:val="00091749"/>
    <w:rsid w:val="00094D41"/>
    <w:rsid w:val="000A1AB6"/>
    <w:rsid w:val="000B1D80"/>
    <w:rsid w:val="000C1FDF"/>
    <w:rsid w:val="000D3F05"/>
    <w:rsid w:val="000E1373"/>
    <w:rsid w:val="000E362F"/>
    <w:rsid w:val="001030B9"/>
    <w:rsid w:val="001030E5"/>
    <w:rsid w:val="00121592"/>
    <w:rsid w:val="00131F06"/>
    <w:rsid w:val="00150B7F"/>
    <w:rsid w:val="00160D00"/>
    <w:rsid w:val="00167E7C"/>
    <w:rsid w:val="00172A27"/>
    <w:rsid w:val="00176F4E"/>
    <w:rsid w:val="00183EA7"/>
    <w:rsid w:val="00193BC1"/>
    <w:rsid w:val="00197BD1"/>
    <w:rsid w:val="001C1589"/>
    <w:rsid w:val="001C2C94"/>
    <w:rsid w:val="001F21B2"/>
    <w:rsid w:val="001F668D"/>
    <w:rsid w:val="00201EAC"/>
    <w:rsid w:val="00202EA3"/>
    <w:rsid w:val="00205AA7"/>
    <w:rsid w:val="0022676F"/>
    <w:rsid w:val="002401CF"/>
    <w:rsid w:val="00243AA4"/>
    <w:rsid w:val="00244183"/>
    <w:rsid w:val="0024776D"/>
    <w:rsid w:val="00257D61"/>
    <w:rsid w:val="002607F6"/>
    <w:rsid w:val="00295D5F"/>
    <w:rsid w:val="002B1A76"/>
    <w:rsid w:val="002B3C88"/>
    <w:rsid w:val="002C7139"/>
    <w:rsid w:val="002D420D"/>
    <w:rsid w:val="002F0510"/>
    <w:rsid w:val="002F152F"/>
    <w:rsid w:val="002F3228"/>
    <w:rsid w:val="002F4ECA"/>
    <w:rsid w:val="00320493"/>
    <w:rsid w:val="00332935"/>
    <w:rsid w:val="00335445"/>
    <w:rsid w:val="00341DAC"/>
    <w:rsid w:val="003448D1"/>
    <w:rsid w:val="003466DC"/>
    <w:rsid w:val="003501DD"/>
    <w:rsid w:val="003568A6"/>
    <w:rsid w:val="003641F1"/>
    <w:rsid w:val="003744FE"/>
    <w:rsid w:val="00374AB6"/>
    <w:rsid w:val="00385E4E"/>
    <w:rsid w:val="00396B95"/>
    <w:rsid w:val="00397549"/>
    <w:rsid w:val="003A3067"/>
    <w:rsid w:val="003B2E27"/>
    <w:rsid w:val="003B5283"/>
    <w:rsid w:val="003B76B8"/>
    <w:rsid w:val="003D1985"/>
    <w:rsid w:val="003D7E1A"/>
    <w:rsid w:val="003E0C17"/>
    <w:rsid w:val="003E564C"/>
    <w:rsid w:val="003F5880"/>
    <w:rsid w:val="00400B30"/>
    <w:rsid w:val="004336E0"/>
    <w:rsid w:val="00435194"/>
    <w:rsid w:val="004351A6"/>
    <w:rsid w:val="00441312"/>
    <w:rsid w:val="00441C28"/>
    <w:rsid w:val="00450C2A"/>
    <w:rsid w:val="00452C70"/>
    <w:rsid w:val="00453D32"/>
    <w:rsid w:val="00455227"/>
    <w:rsid w:val="00455ACE"/>
    <w:rsid w:val="004600EE"/>
    <w:rsid w:val="00462021"/>
    <w:rsid w:val="00475031"/>
    <w:rsid w:val="00482F1A"/>
    <w:rsid w:val="004938D7"/>
    <w:rsid w:val="004A0935"/>
    <w:rsid w:val="004A584D"/>
    <w:rsid w:val="004A6659"/>
    <w:rsid w:val="004A7DF4"/>
    <w:rsid w:val="004B021A"/>
    <w:rsid w:val="004B1E33"/>
    <w:rsid w:val="004B2EEF"/>
    <w:rsid w:val="004B4B45"/>
    <w:rsid w:val="004B7F4E"/>
    <w:rsid w:val="004C1F8D"/>
    <w:rsid w:val="004C25BC"/>
    <w:rsid w:val="004D0C51"/>
    <w:rsid w:val="004D1B80"/>
    <w:rsid w:val="004D1CA7"/>
    <w:rsid w:val="004D3ACA"/>
    <w:rsid w:val="00505D9E"/>
    <w:rsid w:val="00523D99"/>
    <w:rsid w:val="00524496"/>
    <w:rsid w:val="00532320"/>
    <w:rsid w:val="00532969"/>
    <w:rsid w:val="005412D4"/>
    <w:rsid w:val="00563335"/>
    <w:rsid w:val="00572C19"/>
    <w:rsid w:val="00572CDE"/>
    <w:rsid w:val="005736C8"/>
    <w:rsid w:val="00576DEB"/>
    <w:rsid w:val="00583D5B"/>
    <w:rsid w:val="005A494F"/>
    <w:rsid w:val="005A4C46"/>
    <w:rsid w:val="005A5420"/>
    <w:rsid w:val="005A70AD"/>
    <w:rsid w:val="005B64FA"/>
    <w:rsid w:val="005C1584"/>
    <w:rsid w:val="005D0480"/>
    <w:rsid w:val="005D1167"/>
    <w:rsid w:val="005D34F0"/>
    <w:rsid w:val="005D36F8"/>
    <w:rsid w:val="005D518B"/>
    <w:rsid w:val="00605867"/>
    <w:rsid w:val="0061156F"/>
    <w:rsid w:val="00614012"/>
    <w:rsid w:val="006155EA"/>
    <w:rsid w:val="00621407"/>
    <w:rsid w:val="006239F0"/>
    <w:rsid w:val="00623E53"/>
    <w:rsid w:val="00624C5A"/>
    <w:rsid w:val="006250C6"/>
    <w:rsid w:val="006417FD"/>
    <w:rsid w:val="00655913"/>
    <w:rsid w:val="00663ABB"/>
    <w:rsid w:val="00665062"/>
    <w:rsid w:val="006675BD"/>
    <w:rsid w:val="006754E0"/>
    <w:rsid w:val="0068576A"/>
    <w:rsid w:val="006A0FDD"/>
    <w:rsid w:val="006B0563"/>
    <w:rsid w:val="006B7B6B"/>
    <w:rsid w:val="006D1C1A"/>
    <w:rsid w:val="006D4366"/>
    <w:rsid w:val="006D744F"/>
    <w:rsid w:val="006E0E5A"/>
    <w:rsid w:val="006F1D77"/>
    <w:rsid w:val="006F78F5"/>
    <w:rsid w:val="00701015"/>
    <w:rsid w:val="0070149A"/>
    <w:rsid w:val="00711D30"/>
    <w:rsid w:val="00726D7E"/>
    <w:rsid w:val="00734DA0"/>
    <w:rsid w:val="00747379"/>
    <w:rsid w:val="0075329D"/>
    <w:rsid w:val="0075374D"/>
    <w:rsid w:val="00755ACD"/>
    <w:rsid w:val="00777A96"/>
    <w:rsid w:val="00795F90"/>
    <w:rsid w:val="007A2BE7"/>
    <w:rsid w:val="007B199F"/>
    <w:rsid w:val="007B3B20"/>
    <w:rsid w:val="007C05B8"/>
    <w:rsid w:val="007D5891"/>
    <w:rsid w:val="007E782E"/>
    <w:rsid w:val="007F4EDE"/>
    <w:rsid w:val="007F7767"/>
    <w:rsid w:val="008005B6"/>
    <w:rsid w:val="00810F5C"/>
    <w:rsid w:val="00850326"/>
    <w:rsid w:val="00856C0D"/>
    <w:rsid w:val="00857215"/>
    <w:rsid w:val="00871E41"/>
    <w:rsid w:val="008724F7"/>
    <w:rsid w:val="00875646"/>
    <w:rsid w:val="008B12D9"/>
    <w:rsid w:val="008C0868"/>
    <w:rsid w:val="008C40E3"/>
    <w:rsid w:val="008D1E1C"/>
    <w:rsid w:val="008E571E"/>
    <w:rsid w:val="00907C94"/>
    <w:rsid w:val="0092451B"/>
    <w:rsid w:val="009245E9"/>
    <w:rsid w:val="009307BB"/>
    <w:rsid w:val="0095377F"/>
    <w:rsid w:val="00957BFF"/>
    <w:rsid w:val="00974332"/>
    <w:rsid w:val="0097595C"/>
    <w:rsid w:val="00976CE5"/>
    <w:rsid w:val="00976F2F"/>
    <w:rsid w:val="00983D99"/>
    <w:rsid w:val="009B1C41"/>
    <w:rsid w:val="009C7C31"/>
    <w:rsid w:val="009D7713"/>
    <w:rsid w:val="009F0373"/>
    <w:rsid w:val="009F49C0"/>
    <w:rsid w:val="00A0495B"/>
    <w:rsid w:val="00A119F3"/>
    <w:rsid w:val="00A1243E"/>
    <w:rsid w:val="00A33B4C"/>
    <w:rsid w:val="00A35A34"/>
    <w:rsid w:val="00A36FC4"/>
    <w:rsid w:val="00A46D1F"/>
    <w:rsid w:val="00A82515"/>
    <w:rsid w:val="00A84BBA"/>
    <w:rsid w:val="00AB0D59"/>
    <w:rsid w:val="00AC4081"/>
    <w:rsid w:val="00AC76E5"/>
    <w:rsid w:val="00AE6889"/>
    <w:rsid w:val="00AE7D49"/>
    <w:rsid w:val="00AF251A"/>
    <w:rsid w:val="00AF534C"/>
    <w:rsid w:val="00AF67E9"/>
    <w:rsid w:val="00AF7709"/>
    <w:rsid w:val="00B01950"/>
    <w:rsid w:val="00B043FF"/>
    <w:rsid w:val="00B05F6F"/>
    <w:rsid w:val="00B24282"/>
    <w:rsid w:val="00B361FD"/>
    <w:rsid w:val="00B40FE8"/>
    <w:rsid w:val="00B433FF"/>
    <w:rsid w:val="00B5555A"/>
    <w:rsid w:val="00B602CA"/>
    <w:rsid w:val="00B63E50"/>
    <w:rsid w:val="00B76280"/>
    <w:rsid w:val="00B76B23"/>
    <w:rsid w:val="00BA5897"/>
    <w:rsid w:val="00BB1A03"/>
    <w:rsid w:val="00BB3C50"/>
    <w:rsid w:val="00BB7728"/>
    <w:rsid w:val="00BC142E"/>
    <w:rsid w:val="00BC6FC5"/>
    <w:rsid w:val="00BD1FFB"/>
    <w:rsid w:val="00BD7CCA"/>
    <w:rsid w:val="00C056A1"/>
    <w:rsid w:val="00C30ABF"/>
    <w:rsid w:val="00C3614D"/>
    <w:rsid w:val="00C463C0"/>
    <w:rsid w:val="00C47832"/>
    <w:rsid w:val="00C54425"/>
    <w:rsid w:val="00C54E46"/>
    <w:rsid w:val="00C7189A"/>
    <w:rsid w:val="00C73D97"/>
    <w:rsid w:val="00C90FC5"/>
    <w:rsid w:val="00C93F5D"/>
    <w:rsid w:val="00C964B6"/>
    <w:rsid w:val="00CA245E"/>
    <w:rsid w:val="00CA6710"/>
    <w:rsid w:val="00CC3748"/>
    <w:rsid w:val="00CD30A5"/>
    <w:rsid w:val="00CD745C"/>
    <w:rsid w:val="00CE009D"/>
    <w:rsid w:val="00CE49CB"/>
    <w:rsid w:val="00CF07BB"/>
    <w:rsid w:val="00D02D9E"/>
    <w:rsid w:val="00D40D7C"/>
    <w:rsid w:val="00D54917"/>
    <w:rsid w:val="00D6306C"/>
    <w:rsid w:val="00D74E24"/>
    <w:rsid w:val="00D821B6"/>
    <w:rsid w:val="00D832AD"/>
    <w:rsid w:val="00D92F46"/>
    <w:rsid w:val="00D97D01"/>
    <w:rsid w:val="00DA732E"/>
    <w:rsid w:val="00DB15F9"/>
    <w:rsid w:val="00DB6BDC"/>
    <w:rsid w:val="00DC1C51"/>
    <w:rsid w:val="00DC3569"/>
    <w:rsid w:val="00DD6365"/>
    <w:rsid w:val="00DE587F"/>
    <w:rsid w:val="00DF205D"/>
    <w:rsid w:val="00E151C4"/>
    <w:rsid w:val="00E223F4"/>
    <w:rsid w:val="00E45E1B"/>
    <w:rsid w:val="00E47D7B"/>
    <w:rsid w:val="00E525A7"/>
    <w:rsid w:val="00E53CA2"/>
    <w:rsid w:val="00E5678D"/>
    <w:rsid w:val="00E6111B"/>
    <w:rsid w:val="00E75D83"/>
    <w:rsid w:val="00E87FDB"/>
    <w:rsid w:val="00E9644B"/>
    <w:rsid w:val="00EA0FCC"/>
    <w:rsid w:val="00EA2133"/>
    <w:rsid w:val="00EB6776"/>
    <w:rsid w:val="00EB7A56"/>
    <w:rsid w:val="00EB7FEC"/>
    <w:rsid w:val="00EE3506"/>
    <w:rsid w:val="00EE7243"/>
    <w:rsid w:val="00EF7191"/>
    <w:rsid w:val="00F0097A"/>
    <w:rsid w:val="00F077E7"/>
    <w:rsid w:val="00F116D4"/>
    <w:rsid w:val="00F1301F"/>
    <w:rsid w:val="00F23B42"/>
    <w:rsid w:val="00F2645C"/>
    <w:rsid w:val="00F272E4"/>
    <w:rsid w:val="00F31126"/>
    <w:rsid w:val="00F31770"/>
    <w:rsid w:val="00F42A88"/>
    <w:rsid w:val="00F51562"/>
    <w:rsid w:val="00F539B5"/>
    <w:rsid w:val="00F53D6A"/>
    <w:rsid w:val="00F578F0"/>
    <w:rsid w:val="00F61C3C"/>
    <w:rsid w:val="00F768AB"/>
    <w:rsid w:val="00F814AC"/>
    <w:rsid w:val="00F82FDF"/>
    <w:rsid w:val="00F86140"/>
    <w:rsid w:val="00F87FEF"/>
    <w:rsid w:val="00F90C0C"/>
    <w:rsid w:val="00F93A10"/>
    <w:rsid w:val="00FA02A2"/>
    <w:rsid w:val="00FA6539"/>
    <w:rsid w:val="00FC03BD"/>
    <w:rsid w:val="00FC699A"/>
    <w:rsid w:val="00FE55EB"/>
    <w:rsid w:val="00FF2357"/>
    <w:rsid w:val="01135C9A"/>
    <w:rsid w:val="018D0927"/>
    <w:rsid w:val="01A551DF"/>
    <w:rsid w:val="01A728D8"/>
    <w:rsid w:val="01CB58B1"/>
    <w:rsid w:val="01DC3C8B"/>
    <w:rsid w:val="02025CB9"/>
    <w:rsid w:val="02277EC8"/>
    <w:rsid w:val="02392912"/>
    <w:rsid w:val="02557AF4"/>
    <w:rsid w:val="02AE55E9"/>
    <w:rsid w:val="02B66649"/>
    <w:rsid w:val="02B81D34"/>
    <w:rsid w:val="02CE17E8"/>
    <w:rsid w:val="02CF7A3A"/>
    <w:rsid w:val="02F52DC5"/>
    <w:rsid w:val="030B2EC8"/>
    <w:rsid w:val="032D26DE"/>
    <w:rsid w:val="038A1E48"/>
    <w:rsid w:val="03D90444"/>
    <w:rsid w:val="04B74C29"/>
    <w:rsid w:val="04ED064B"/>
    <w:rsid w:val="04F94214"/>
    <w:rsid w:val="053D30FB"/>
    <w:rsid w:val="053E1AC4"/>
    <w:rsid w:val="0590353A"/>
    <w:rsid w:val="05D37C46"/>
    <w:rsid w:val="05E05021"/>
    <w:rsid w:val="05E2747D"/>
    <w:rsid w:val="05F50541"/>
    <w:rsid w:val="064C0DD4"/>
    <w:rsid w:val="06593388"/>
    <w:rsid w:val="066D7F47"/>
    <w:rsid w:val="069E13B2"/>
    <w:rsid w:val="06B37802"/>
    <w:rsid w:val="06C444EE"/>
    <w:rsid w:val="06CE07BB"/>
    <w:rsid w:val="06E12A0B"/>
    <w:rsid w:val="06F17D21"/>
    <w:rsid w:val="070C7189"/>
    <w:rsid w:val="07166C72"/>
    <w:rsid w:val="073A3FAC"/>
    <w:rsid w:val="074129EC"/>
    <w:rsid w:val="07486AF0"/>
    <w:rsid w:val="076125A6"/>
    <w:rsid w:val="076F5347"/>
    <w:rsid w:val="07BF5701"/>
    <w:rsid w:val="07E570AD"/>
    <w:rsid w:val="07F9744A"/>
    <w:rsid w:val="0812482C"/>
    <w:rsid w:val="08185C2F"/>
    <w:rsid w:val="082E6113"/>
    <w:rsid w:val="083420ED"/>
    <w:rsid w:val="084F7593"/>
    <w:rsid w:val="085C0F8E"/>
    <w:rsid w:val="08730D64"/>
    <w:rsid w:val="08BF40AC"/>
    <w:rsid w:val="08C23B9D"/>
    <w:rsid w:val="08D07B29"/>
    <w:rsid w:val="08F507E3"/>
    <w:rsid w:val="09661078"/>
    <w:rsid w:val="097E7481"/>
    <w:rsid w:val="09885A4E"/>
    <w:rsid w:val="099347B9"/>
    <w:rsid w:val="09972933"/>
    <w:rsid w:val="0A014A8E"/>
    <w:rsid w:val="0A256A0A"/>
    <w:rsid w:val="0A4737B0"/>
    <w:rsid w:val="0A57755E"/>
    <w:rsid w:val="0A691BE3"/>
    <w:rsid w:val="0A9727C0"/>
    <w:rsid w:val="0AA147E8"/>
    <w:rsid w:val="0AA206AD"/>
    <w:rsid w:val="0ABE046D"/>
    <w:rsid w:val="0B14246B"/>
    <w:rsid w:val="0B35388A"/>
    <w:rsid w:val="0B3D3940"/>
    <w:rsid w:val="0B4D1A2B"/>
    <w:rsid w:val="0BF22C61"/>
    <w:rsid w:val="0C1E69CF"/>
    <w:rsid w:val="0CAB4E5D"/>
    <w:rsid w:val="0CC65CDB"/>
    <w:rsid w:val="0CD86FCA"/>
    <w:rsid w:val="0CDC1DA2"/>
    <w:rsid w:val="0CE51C08"/>
    <w:rsid w:val="0CF4642C"/>
    <w:rsid w:val="0D174F98"/>
    <w:rsid w:val="0D315FEB"/>
    <w:rsid w:val="0D7223F6"/>
    <w:rsid w:val="0D7511DD"/>
    <w:rsid w:val="0D9D29DF"/>
    <w:rsid w:val="0DAC2F7A"/>
    <w:rsid w:val="0DD60520"/>
    <w:rsid w:val="0DD6566E"/>
    <w:rsid w:val="0DFA16E3"/>
    <w:rsid w:val="0E0B6145"/>
    <w:rsid w:val="0E1E227F"/>
    <w:rsid w:val="0E1F739B"/>
    <w:rsid w:val="0E21326C"/>
    <w:rsid w:val="0E271A75"/>
    <w:rsid w:val="0E5B2B7F"/>
    <w:rsid w:val="0E74398A"/>
    <w:rsid w:val="0E8C3CF7"/>
    <w:rsid w:val="0E8F14FD"/>
    <w:rsid w:val="0EA35C2E"/>
    <w:rsid w:val="0EC96FC3"/>
    <w:rsid w:val="0F117125"/>
    <w:rsid w:val="0F59583A"/>
    <w:rsid w:val="0F711286"/>
    <w:rsid w:val="10002741"/>
    <w:rsid w:val="106C786A"/>
    <w:rsid w:val="10833508"/>
    <w:rsid w:val="10907FEE"/>
    <w:rsid w:val="10AF004C"/>
    <w:rsid w:val="10B433B0"/>
    <w:rsid w:val="10C53AD6"/>
    <w:rsid w:val="10DA6E36"/>
    <w:rsid w:val="10E85BA5"/>
    <w:rsid w:val="110028D9"/>
    <w:rsid w:val="112545DA"/>
    <w:rsid w:val="112A22DF"/>
    <w:rsid w:val="116616FE"/>
    <w:rsid w:val="11693B99"/>
    <w:rsid w:val="116F3620"/>
    <w:rsid w:val="117F150C"/>
    <w:rsid w:val="118122B3"/>
    <w:rsid w:val="11E70EE2"/>
    <w:rsid w:val="12174553"/>
    <w:rsid w:val="12274A70"/>
    <w:rsid w:val="123E709B"/>
    <w:rsid w:val="12AA1929"/>
    <w:rsid w:val="12C549B5"/>
    <w:rsid w:val="12EE3269"/>
    <w:rsid w:val="13524C14"/>
    <w:rsid w:val="13563B0A"/>
    <w:rsid w:val="13D859A8"/>
    <w:rsid w:val="140E5EE8"/>
    <w:rsid w:val="141A2A5B"/>
    <w:rsid w:val="145D4EF1"/>
    <w:rsid w:val="14616AC4"/>
    <w:rsid w:val="14824D92"/>
    <w:rsid w:val="148922AC"/>
    <w:rsid w:val="1489797E"/>
    <w:rsid w:val="14E308F1"/>
    <w:rsid w:val="14EC685B"/>
    <w:rsid w:val="15197EAA"/>
    <w:rsid w:val="152E3E7D"/>
    <w:rsid w:val="156251DD"/>
    <w:rsid w:val="15701DCE"/>
    <w:rsid w:val="15846342"/>
    <w:rsid w:val="1595122D"/>
    <w:rsid w:val="15A1665E"/>
    <w:rsid w:val="15AA71BB"/>
    <w:rsid w:val="15CB210D"/>
    <w:rsid w:val="15E27812"/>
    <w:rsid w:val="15FC1CBB"/>
    <w:rsid w:val="160057A8"/>
    <w:rsid w:val="161212AC"/>
    <w:rsid w:val="161461E7"/>
    <w:rsid w:val="1617756E"/>
    <w:rsid w:val="16196000"/>
    <w:rsid w:val="16543BDE"/>
    <w:rsid w:val="16884C04"/>
    <w:rsid w:val="16CA218E"/>
    <w:rsid w:val="17010325"/>
    <w:rsid w:val="1714624B"/>
    <w:rsid w:val="17654FA2"/>
    <w:rsid w:val="177A3361"/>
    <w:rsid w:val="17847907"/>
    <w:rsid w:val="1797673A"/>
    <w:rsid w:val="17D873E3"/>
    <w:rsid w:val="18273A72"/>
    <w:rsid w:val="1834063B"/>
    <w:rsid w:val="1875148E"/>
    <w:rsid w:val="188D1B63"/>
    <w:rsid w:val="18AE748B"/>
    <w:rsid w:val="18DD6447"/>
    <w:rsid w:val="18FA5DDA"/>
    <w:rsid w:val="1907440A"/>
    <w:rsid w:val="19146F4D"/>
    <w:rsid w:val="19476B3A"/>
    <w:rsid w:val="19523E79"/>
    <w:rsid w:val="196238DD"/>
    <w:rsid w:val="19742141"/>
    <w:rsid w:val="199C7BAF"/>
    <w:rsid w:val="19AB4AB6"/>
    <w:rsid w:val="19AF0A47"/>
    <w:rsid w:val="19C26B16"/>
    <w:rsid w:val="19DB62C4"/>
    <w:rsid w:val="1A287643"/>
    <w:rsid w:val="1A472B33"/>
    <w:rsid w:val="1A491F53"/>
    <w:rsid w:val="1A7022EC"/>
    <w:rsid w:val="1A82771A"/>
    <w:rsid w:val="1AAB5813"/>
    <w:rsid w:val="1AAD37A3"/>
    <w:rsid w:val="1AC217F2"/>
    <w:rsid w:val="1B60211F"/>
    <w:rsid w:val="1BA052CA"/>
    <w:rsid w:val="1BA809D0"/>
    <w:rsid w:val="1BC577D4"/>
    <w:rsid w:val="1BCC0B62"/>
    <w:rsid w:val="1C1E4F4B"/>
    <w:rsid w:val="1C275D99"/>
    <w:rsid w:val="1C2A4DA7"/>
    <w:rsid w:val="1C2F624A"/>
    <w:rsid w:val="1C3C556F"/>
    <w:rsid w:val="1C4C57FF"/>
    <w:rsid w:val="1C562FF7"/>
    <w:rsid w:val="1CCB05F3"/>
    <w:rsid w:val="1CF852C1"/>
    <w:rsid w:val="1D1661D1"/>
    <w:rsid w:val="1D4B6B89"/>
    <w:rsid w:val="1DA51B54"/>
    <w:rsid w:val="1DE93159"/>
    <w:rsid w:val="1E2720BD"/>
    <w:rsid w:val="1E2E4E02"/>
    <w:rsid w:val="1E6D03D3"/>
    <w:rsid w:val="1E7F6120"/>
    <w:rsid w:val="1EAF7DB4"/>
    <w:rsid w:val="1EC10726"/>
    <w:rsid w:val="1F0E77B5"/>
    <w:rsid w:val="1F130A6F"/>
    <w:rsid w:val="1F471471"/>
    <w:rsid w:val="1F5412EE"/>
    <w:rsid w:val="1FA44B19"/>
    <w:rsid w:val="1FBF52E0"/>
    <w:rsid w:val="1FD93715"/>
    <w:rsid w:val="1FDC564F"/>
    <w:rsid w:val="201212D0"/>
    <w:rsid w:val="201A443F"/>
    <w:rsid w:val="20314859"/>
    <w:rsid w:val="20345E81"/>
    <w:rsid w:val="203C4596"/>
    <w:rsid w:val="20700238"/>
    <w:rsid w:val="207F347F"/>
    <w:rsid w:val="209854B7"/>
    <w:rsid w:val="20DA4A3F"/>
    <w:rsid w:val="20E406FC"/>
    <w:rsid w:val="20FA74F0"/>
    <w:rsid w:val="212E5E1B"/>
    <w:rsid w:val="214A0CB8"/>
    <w:rsid w:val="21613AFB"/>
    <w:rsid w:val="216235A0"/>
    <w:rsid w:val="21690C01"/>
    <w:rsid w:val="21815F4B"/>
    <w:rsid w:val="21CB18BC"/>
    <w:rsid w:val="21D10659"/>
    <w:rsid w:val="21EE4761"/>
    <w:rsid w:val="22057A99"/>
    <w:rsid w:val="225809E2"/>
    <w:rsid w:val="225A679D"/>
    <w:rsid w:val="227D732B"/>
    <w:rsid w:val="229E2C5B"/>
    <w:rsid w:val="22A55C69"/>
    <w:rsid w:val="22BA6D40"/>
    <w:rsid w:val="22D36F83"/>
    <w:rsid w:val="22F3177B"/>
    <w:rsid w:val="23341D40"/>
    <w:rsid w:val="239C4861"/>
    <w:rsid w:val="239D7001"/>
    <w:rsid w:val="23A22EDB"/>
    <w:rsid w:val="23A43B61"/>
    <w:rsid w:val="23A80D88"/>
    <w:rsid w:val="23AE1713"/>
    <w:rsid w:val="23E86F70"/>
    <w:rsid w:val="23FC3FAF"/>
    <w:rsid w:val="243E3F8E"/>
    <w:rsid w:val="244E713F"/>
    <w:rsid w:val="24705281"/>
    <w:rsid w:val="24CC352F"/>
    <w:rsid w:val="24D738FC"/>
    <w:rsid w:val="25035758"/>
    <w:rsid w:val="25885C23"/>
    <w:rsid w:val="25961ADC"/>
    <w:rsid w:val="261F3603"/>
    <w:rsid w:val="26470D34"/>
    <w:rsid w:val="26487F7F"/>
    <w:rsid w:val="26661DB5"/>
    <w:rsid w:val="26667E05"/>
    <w:rsid w:val="268A3AF4"/>
    <w:rsid w:val="2695383D"/>
    <w:rsid w:val="26A50897"/>
    <w:rsid w:val="26E44E63"/>
    <w:rsid w:val="270212E4"/>
    <w:rsid w:val="27481599"/>
    <w:rsid w:val="275A6E83"/>
    <w:rsid w:val="27B14810"/>
    <w:rsid w:val="27B331B6"/>
    <w:rsid w:val="27DD2FD3"/>
    <w:rsid w:val="27FA0805"/>
    <w:rsid w:val="27FD659C"/>
    <w:rsid w:val="28123DA1"/>
    <w:rsid w:val="28534250"/>
    <w:rsid w:val="28740152"/>
    <w:rsid w:val="28920197"/>
    <w:rsid w:val="28937E0E"/>
    <w:rsid w:val="28A32C4B"/>
    <w:rsid w:val="28BD1B0B"/>
    <w:rsid w:val="28C67857"/>
    <w:rsid w:val="28F6165C"/>
    <w:rsid w:val="290A0034"/>
    <w:rsid w:val="292446EA"/>
    <w:rsid w:val="29320724"/>
    <w:rsid w:val="296B770E"/>
    <w:rsid w:val="29931592"/>
    <w:rsid w:val="29981BD0"/>
    <w:rsid w:val="29DD31E7"/>
    <w:rsid w:val="2A86022A"/>
    <w:rsid w:val="2A8B3848"/>
    <w:rsid w:val="2ABF7AE4"/>
    <w:rsid w:val="2AC94072"/>
    <w:rsid w:val="2AD046CB"/>
    <w:rsid w:val="2B0044FB"/>
    <w:rsid w:val="2B3928C3"/>
    <w:rsid w:val="2B76353E"/>
    <w:rsid w:val="2BA7548D"/>
    <w:rsid w:val="2BA85F6D"/>
    <w:rsid w:val="2BB53F91"/>
    <w:rsid w:val="2BC30CED"/>
    <w:rsid w:val="2BF019DC"/>
    <w:rsid w:val="2C0518CC"/>
    <w:rsid w:val="2C057E83"/>
    <w:rsid w:val="2C0B2FE1"/>
    <w:rsid w:val="2C1A4DCB"/>
    <w:rsid w:val="2C415896"/>
    <w:rsid w:val="2C7D7293"/>
    <w:rsid w:val="2C8E670C"/>
    <w:rsid w:val="2C9A2620"/>
    <w:rsid w:val="2CC25BB7"/>
    <w:rsid w:val="2CC6515A"/>
    <w:rsid w:val="2CDA38E8"/>
    <w:rsid w:val="2D0E4B13"/>
    <w:rsid w:val="2D3218BB"/>
    <w:rsid w:val="2D325644"/>
    <w:rsid w:val="2D4026F8"/>
    <w:rsid w:val="2D46474B"/>
    <w:rsid w:val="2D6D1A79"/>
    <w:rsid w:val="2DE814F1"/>
    <w:rsid w:val="2DFF4785"/>
    <w:rsid w:val="2E44031F"/>
    <w:rsid w:val="2E9077CD"/>
    <w:rsid w:val="2EB44669"/>
    <w:rsid w:val="2EE30245"/>
    <w:rsid w:val="2F984A75"/>
    <w:rsid w:val="2FF66606"/>
    <w:rsid w:val="300663EC"/>
    <w:rsid w:val="302517AB"/>
    <w:rsid w:val="304D6DB4"/>
    <w:rsid w:val="305962BE"/>
    <w:rsid w:val="308A6F3F"/>
    <w:rsid w:val="30AC4667"/>
    <w:rsid w:val="30C04858"/>
    <w:rsid w:val="30D3031F"/>
    <w:rsid w:val="30F355A2"/>
    <w:rsid w:val="316250B7"/>
    <w:rsid w:val="3168319B"/>
    <w:rsid w:val="316B3239"/>
    <w:rsid w:val="3180660B"/>
    <w:rsid w:val="31B24817"/>
    <w:rsid w:val="31EF0B52"/>
    <w:rsid w:val="31F2200E"/>
    <w:rsid w:val="325E0E2A"/>
    <w:rsid w:val="32BD445B"/>
    <w:rsid w:val="32CD1D8E"/>
    <w:rsid w:val="32DB008C"/>
    <w:rsid w:val="32E35C7B"/>
    <w:rsid w:val="33234D0E"/>
    <w:rsid w:val="33344667"/>
    <w:rsid w:val="333859CA"/>
    <w:rsid w:val="3367030B"/>
    <w:rsid w:val="33747AA6"/>
    <w:rsid w:val="33852F79"/>
    <w:rsid w:val="3390248D"/>
    <w:rsid w:val="339D5517"/>
    <w:rsid w:val="33C00CF1"/>
    <w:rsid w:val="33EB4177"/>
    <w:rsid w:val="33F974AB"/>
    <w:rsid w:val="3437693D"/>
    <w:rsid w:val="343E0FFC"/>
    <w:rsid w:val="344C0341"/>
    <w:rsid w:val="345C4021"/>
    <w:rsid w:val="347426A9"/>
    <w:rsid w:val="347D5264"/>
    <w:rsid w:val="34826360"/>
    <w:rsid w:val="349A7D65"/>
    <w:rsid w:val="349F01A6"/>
    <w:rsid w:val="34D5235F"/>
    <w:rsid w:val="34DF500B"/>
    <w:rsid w:val="34F85FB9"/>
    <w:rsid w:val="35192FAA"/>
    <w:rsid w:val="35555D14"/>
    <w:rsid w:val="355F439E"/>
    <w:rsid w:val="357215C9"/>
    <w:rsid w:val="35DC087F"/>
    <w:rsid w:val="35E602A7"/>
    <w:rsid w:val="36000E57"/>
    <w:rsid w:val="36050AA1"/>
    <w:rsid w:val="360748CA"/>
    <w:rsid w:val="36460145"/>
    <w:rsid w:val="3649146A"/>
    <w:rsid w:val="36E11258"/>
    <w:rsid w:val="36EE30C5"/>
    <w:rsid w:val="36FB720C"/>
    <w:rsid w:val="37024FE0"/>
    <w:rsid w:val="37313B18"/>
    <w:rsid w:val="37604D0A"/>
    <w:rsid w:val="37864592"/>
    <w:rsid w:val="37D3697D"/>
    <w:rsid w:val="38166DFA"/>
    <w:rsid w:val="384D5F08"/>
    <w:rsid w:val="384F4255"/>
    <w:rsid w:val="388303A3"/>
    <w:rsid w:val="38D20792"/>
    <w:rsid w:val="38DD4534"/>
    <w:rsid w:val="392D2DD0"/>
    <w:rsid w:val="39565AB7"/>
    <w:rsid w:val="398A7A9A"/>
    <w:rsid w:val="39937F68"/>
    <w:rsid w:val="39A046F7"/>
    <w:rsid w:val="39A43E93"/>
    <w:rsid w:val="39F30EC3"/>
    <w:rsid w:val="39F74C53"/>
    <w:rsid w:val="3A1A4D37"/>
    <w:rsid w:val="3A2A31CC"/>
    <w:rsid w:val="3A422049"/>
    <w:rsid w:val="3A5A43D8"/>
    <w:rsid w:val="3A6B51A0"/>
    <w:rsid w:val="3A79206F"/>
    <w:rsid w:val="3A830456"/>
    <w:rsid w:val="3AB83FC9"/>
    <w:rsid w:val="3AEB414B"/>
    <w:rsid w:val="3B276B99"/>
    <w:rsid w:val="3B286FE0"/>
    <w:rsid w:val="3B3E7098"/>
    <w:rsid w:val="3B781778"/>
    <w:rsid w:val="3B7F7DB3"/>
    <w:rsid w:val="3BAC4027"/>
    <w:rsid w:val="3BDA4565"/>
    <w:rsid w:val="3C072DA8"/>
    <w:rsid w:val="3C74781E"/>
    <w:rsid w:val="3CA764E4"/>
    <w:rsid w:val="3CA8662A"/>
    <w:rsid w:val="3CB12B02"/>
    <w:rsid w:val="3CDA52CD"/>
    <w:rsid w:val="3CE31410"/>
    <w:rsid w:val="3D2725E1"/>
    <w:rsid w:val="3D311105"/>
    <w:rsid w:val="3D4E6916"/>
    <w:rsid w:val="3D7E4394"/>
    <w:rsid w:val="3D8A1AC5"/>
    <w:rsid w:val="3D9E6E78"/>
    <w:rsid w:val="3DBF14EF"/>
    <w:rsid w:val="3E0B2C88"/>
    <w:rsid w:val="3E247F32"/>
    <w:rsid w:val="3E51014C"/>
    <w:rsid w:val="3E6470BF"/>
    <w:rsid w:val="3EA7364C"/>
    <w:rsid w:val="3EDF5513"/>
    <w:rsid w:val="3F016CF7"/>
    <w:rsid w:val="3F1C3539"/>
    <w:rsid w:val="3F9A735D"/>
    <w:rsid w:val="3FE0620B"/>
    <w:rsid w:val="400010C7"/>
    <w:rsid w:val="40155D85"/>
    <w:rsid w:val="401B29FC"/>
    <w:rsid w:val="407064F6"/>
    <w:rsid w:val="40AF0AF0"/>
    <w:rsid w:val="4104795D"/>
    <w:rsid w:val="41243335"/>
    <w:rsid w:val="41327C2C"/>
    <w:rsid w:val="413A73FD"/>
    <w:rsid w:val="415B1EBD"/>
    <w:rsid w:val="416735F8"/>
    <w:rsid w:val="41DB4DAC"/>
    <w:rsid w:val="4226683E"/>
    <w:rsid w:val="423E223B"/>
    <w:rsid w:val="42725710"/>
    <w:rsid w:val="42BB28C8"/>
    <w:rsid w:val="42BB54A1"/>
    <w:rsid w:val="42C35F6C"/>
    <w:rsid w:val="42E07AF7"/>
    <w:rsid w:val="42FB3708"/>
    <w:rsid w:val="4313055E"/>
    <w:rsid w:val="43577AF3"/>
    <w:rsid w:val="43737C8B"/>
    <w:rsid w:val="43C27906"/>
    <w:rsid w:val="43C51A20"/>
    <w:rsid w:val="43C66A6B"/>
    <w:rsid w:val="43D90DA8"/>
    <w:rsid w:val="446C5B13"/>
    <w:rsid w:val="449C6D2D"/>
    <w:rsid w:val="44CA0CF5"/>
    <w:rsid w:val="45147F2A"/>
    <w:rsid w:val="452F10CE"/>
    <w:rsid w:val="45592B1F"/>
    <w:rsid w:val="457C6FED"/>
    <w:rsid w:val="458A5F80"/>
    <w:rsid w:val="459A0DE1"/>
    <w:rsid w:val="45DF5F99"/>
    <w:rsid w:val="45F11F00"/>
    <w:rsid w:val="46197893"/>
    <w:rsid w:val="463F7952"/>
    <w:rsid w:val="46496E90"/>
    <w:rsid w:val="465C34A5"/>
    <w:rsid w:val="469B5C13"/>
    <w:rsid w:val="46EE487E"/>
    <w:rsid w:val="46F27EFB"/>
    <w:rsid w:val="470F1450"/>
    <w:rsid w:val="476904B3"/>
    <w:rsid w:val="476F2493"/>
    <w:rsid w:val="47743B69"/>
    <w:rsid w:val="478B6491"/>
    <w:rsid w:val="479152BA"/>
    <w:rsid w:val="47A30364"/>
    <w:rsid w:val="47AD5519"/>
    <w:rsid w:val="47B23BA4"/>
    <w:rsid w:val="47B542ED"/>
    <w:rsid w:val="47B97AEC"/>
    <w:rsid w:val="47BC3824"/>
    <w:rsid w:val="47D3792A"/>
    <w:rsid w:val="47F95C65"/>
    <w:rsid w:val="48085891"/>
    <w:rsid w:val="482A7898"/>
    <w:rsid w:val="4839282C"/>
    <w:rsid w:val="488757A6"/>
    <w:rsid w:val="48AF64F8"/>
    <w:rsid w:val="48BF2D31"/>
    <w:rsid w:val="48D0535E"/>
    <w:rsid w:val="48FC78FE"/>
    <w:rsid w:val="490C7F41"/>
    <w:rsid w:val="4913307D"/>
    <w:rsid w:val="4922654B"/>
    <w:rsid w:val="492649D4"/>
    <w:rsid w:val="4943049F"/>
    <w:rsid w:val="49465201"/>
    <w:rsid w:val="4993129D"/>
    <w:rsid w:val="49946FF1"/>
    <w:rsid w:val="49E2133F"/>
    <w:rsid w:val="49E72E80"/>
    <w:rsid w:val="4A273284"/>
    <w:rsid w:val="4A350D06"/>
    <w:rsid w:val="4A352815"/>
    <w:rsid w:val="4A520044"/>
    <w:rsid w:val="4A7F1081"/>
    <w:rsid w:val="4A886B48"/>
    <w:rsid w:val="4AE644A3"/>
    <w:rsid w:val="4AF42E8E"/>
    <w:rsid w:val="4B2F5A0C"/>
    <w:rsid w:val="4B3C10D5"/>
    <w:rsid w:val="4B537A3F"/>
    <w:rsid w:val="4B5A703F"/>
    <w:rsid w:val="4B663938"/>
    <w:rsid w:val="4B7406D4"/>
    <w:rsid w:val="4B8244EA"/>
    <w:rsid w:val="4BD80770"/>
    <w:rsid w:val="4BE67B26"/>
    <w:rsid w:val="4C1A6136"/>
    <w:rsid w:val="4CAC6B40"/>
    <w:rsid w:val="4CD576D5"/>
    <w:rsid w:val="4D1D2882"/>
    <w:rsid w:val="4D27508C"/>
    <w:rsid w:val="4D3F6FBF"/>
    <w:rsid w:val="4D5A7692"/>
    <w:rsid w:val="4D735E79"/>
    <w:rsid w:val="4D7A106C"/>
    <w:rsid w:val="4DB74893"/>
    <w:rsid w:val="4DC07226"/>
    <w:rsid w:val="4DDC48B5"/>
    <w:rsid w:val="4DFD540D"/>
    <w:rsid w:val="4E212BEB"/>
    <w:rsid w:val="4E3D04D3"/>
    <w:rsid w:val="4EB75EF6"/>
    <w:rsid w:val="4EC357CE"/>
    <w:rsid w:val="4EDD79F6"/>
    <w:rsid w:val="4EF95CB2"/>
    <w:rsid w:val="4EFE1EDA"/>
    <w:rsid w:val="4F107723"/>
    <w:rsid w:val="4F12039E"/>
    <w:rsid w:val="4F2A7373"/>
    <w:rsid w:val="4F403328"/>
    <w:rsid w:val="4F56098E"/>
    <w:rsid w:val="4F5A4A85"/>
    <w:rsid w:val="4F6D7ABD"/>
    <w:rsid w:val="4FC0643B"/>
    <w:rsid w:val="4FC9247C"/>
    <w:rsid w:val="4FCF563B"/>
    <w:rsid w:val="4FF2302F"/>
    <w:rsid w:val="5010701A"/>
    <w:rsid w:val="503D3364"/>
    <w:rsid w:val="5051418A"/>
    <w:rsid w:val="50684DCE"/>
    <w:rsid w:val="50750743"/>
    <w:rsid w:val="50DB08EC"/>
    <w:rsid w:val="51024103"/>
    <w:rsid w:val="51097890"/>
    <w:rsid w:val="512B46A8"/>
    <w:rsid w:val="517A6705"/>
    <w:rsid w:val="51A33836"/>
    <w:rsid w:val="51B8338E"/>
    <w:rsid w:val="51F90DC6"/>
    <w:rsid w:val="51FB7A98"/>
    <w:rsid w:val="524A3F78"/>
    <w:rsid w:val="529E72E5"/>
    <w:rsid w:val="52A068E1"/>
    <w:rsid w:val="52CF13EF"/>
    <w:rsid w:val="52FC4B82"/>
    <w:rsid w:val="53360F60"/>
    <w:rsid w:val="53496C0E"/>
    <w:rsid w:val="53504079"/>
    <w:rsid w:val="535572E6"/>
    <w:rsid w:val="539B3C45"/>
    <w:rsid w:val="53A93E50"/>
    <w:rsid w:val="53E01E53"/>
    <w:rsid w:val="53F70EB0"/>
    <w:rsid w:val="54010B12"/>
    <w:rsid w:val="544210B9"/>
    <w:rsid w:val="54466112"/>
    <w:rsid w:val="545419F9"/>
    <w:rsid w:val="54922B2D"/>
    <w:rsid w:val="54A01099"/>
    <w:rsid w:val="54AC046B"/>
    <w:rsid w:val="54CB5BDC"/>
    <w:rsid w:val="54D5082E"/>
    <w:rsid w:val="54F90019"/>
    <w:rsid w:val="55137CA0"/>
    <w:rsid w:val="553B6BC3"/>
    <w:rsid w:val="553E67ED"/>
    <w:rsid w:val="55467D3B"/>
    <w:rsid w:val="55A16ED2"/>
    <w:rsid w:val="55A70E85"/>
    <w:rsid w:val="55BD2B74"/>
    <w:rsid w:val="55D01415"/>
    <w:rsid w:val="56522CC6"/>
    <w:rsid w:val="56666EE2"/>
    <w:rsid w:val="56874C79"/>
    <w:rsid w:val="569D042A"/>
    <w:rsid w:val="56BC010D"/>
    <w:rsid w:val="56BD47B7"/>
    <w:rsid w:val="56CC4E08"/>
    <w:rsid w:val="56D105CD"/>
    <w:rsid w:val="56DC6BAF"/>
    <w:rsid w:val="571A5C02"/>
    <w:rsid w:val="5730129E"/>
    <w:rsid w:val="5737103A"/>
    <w:rsid w:val="575966D0"/>
    <w:rsid w:val="57B446B7"/>
    <w:rsid w:val="57C032A1"/>
    <w:rsid w:val="582157B7"/>
    <w:rsid w:val="582E24BC"/>
    <w:rsid w:val="583122D4"/>
    <w:rsid w:val="58360B36"/>
    <w:rsid w:val="58A4220E"/>
    <w:rsid w:val="58A628E3"/>
    <w:rsid w:val="58A67F87"/>
    <w:rsid w:val="58E04BE6"/>
    <w:rsid w:val="592535CA"/>
    <w:rsid w:val="596D353B"/>
    <w:rsid w:val="598A620B"/>
    <w:rsid w:val="598C4EB2"/>
    <w:rsid w:val="599C423A"/>
    <w:rsid w:val="59B46CE2"/>
    <w:rsid w:val="59D84205"/>
    <w:rsid w:val="5A420395"/>
    <w:rsid w:val="5A430E3A"/>
    <w:rsid w:val="5A783AA6"/>
    <w:rsid w:val="5AA067A4"/>
    <w:rsid w:val="5AEB474A"/>
    <w:rsid w:val="5AF2125F"/>
    <w:rsid w:val="5B062A0B"/>
    <w:rsid w:val="5B0E5A1E"/>
    <w:rsid w:val="5B2E3D47"/>
    <w:rsid w:val="5B595267"/>
    <w:rsid w:val="5B9E3EDD"/>
    <w:rsid w:val="5C1437E9"/>
    <w:rsid w:val="5C232216"/>
    <w:rsid w:val="5C514191"/>
    <w:rsid w:val="5C66223E"/>
    <w:rsid w:val="5CB007E8"/>
    <w:rsid w:val="5CB90507"/>
    <w:rsid w:val="5CE64449"/>
    <w:rsid w:val="5CEF21CB"/>
    <w:rsid w:val="5D613041"/>
    <w:rsid w:val="5D6C01C1"/>
    <w:rsid w:val="5D8D6F6A"/>
    <w:rsid w:val="5DBC2C1F"/>
    <w:rsid w:val="5DDB64C4"/>
    <w:rsid w:val="5DE25840"/>
    <w:rsid w:val="5E4C4C10"/>
    <w:rsid w:val="5E667055"/>
    <w:rsid w:val="5E7C0259"/>
    <w:rsid w:val="5EA26F25"/>
    <w:rsid w:val="5F0E55F2"/>
    <w:rsid w:val="5F183AB6"/>
    <w:rsid w:val="5F445835"/>
    <w:rsid w:val="5F4E4A7F"/>
    <w:rsid w:val="5F952D62"/>
    <w:rsid w:val="602924CF"/>
    <w:rsid w:val="6072697B"/>
    <w:rsid w:val="608C5BDB"/>
    <w:rsid w:val="60BD6C48"/>
    <w:rsid w:val="60D15996"/>
    <w:rsid w:val="60DF16C2"/>
    <w:rsid w:val="60DF7E71"/>
    <w:rsid w:val="616558B7"/>
    <w:rsid w:val="617C7157"/>
    <w:rsid w:val="617D3332"/>
    <w:rsid w:val="61945D9B"/>
    <w:rsid w:val="61A46227"/>
    <w:rsid w:val="61F431E8"/>
    <w:rsid w:val="621023F8"/>
    <w:rsid w:val="6215782E"/>
    <w:rsid w:val="623D6C2D"/>
    <w:rsid w:val="624125B1"/>
    <w:rsid w:val="62483394"/>
    <w:rsid w:val="62E85B83"/>
    <w:rsid w:val="6329640C"/>
    <w:rsid w:val="63344891"/>
    <w:rsid w:val="63461171"/>
    <w:rsid w:val="634B00DE"/>
    <w:rsid w:val="636378D0"/>
    <w:rsid w:val="636A7677"/>
    <w:rsid w:val="637002B6"/>
    <w:rsid w:val="638F79B8"/>
    <w:rsid w:val="63955C89"/>
    <w:rsid w:val="63B10FCE"/>
    <w:rsid w:val="63DC0217"/>
    <w:rsid w:val="63E73E13"/>
    <w:rsid w:val="646B5EB8"/>
    <w:rsid w:val="64B4418F"/>
    <w:rsid w:val="64D81254"/>
    <w:rsid w:val="64EA1218"/>
    <w:rsid w:val="64EC1C58"/>
    <w:rsid w:val="65044F1C"/>
    <w:rsid w:val="654766B8"/>
    <w:rsid w:val="654E2DA4"/>
    <w:rsid w:val="65520D4D"/>
    <w:rsid w:val="655F687D"/>
    <w:rsid w:val="6583797D"/>
    <w:rsid w:val="658E4118"/>
    <w:rsid w:val="65953CA2"/>
    <w:rsid w:val="65B20D89"/>
    <w:rsid w:val="65B37C6A"/>
    <w:rsid w:val="65E12D5C"/>
    <w:rsid w:val="65E25011"/>
    <w:rsid w:val="65F875FE"/>
    <w:rsid w:val="664040A2"/>
    <w:rsid w:val="6707277D"/>
    <w:rsid w:val="673327D2"/>
    <w:rsid w:val="6736208D"/>
    <w:rsid w:val="673E217C"/>
    <w:rsid w:val="67456504"/>
    <w:rsid w:val="674822B8"/>
    <w:rsid w:val="67722AB2"/>
    <w:rsid w:val="67943B31"/>
    <w:rsid w:val="67DD3E74"/>
    <w:rsid w:val="68031AC3"/>
    <w:rsid w:val="68161657"/>
    <w:rsid w:val="68170068"/>
    <w:rsid w:val="688B3F17"/>
    <w:rsid w:val="68AC4DCF"/>
    <w:rsid w:val="68B22FC4"/>
    <w:rsid w:val="68CE512B"/>
    <w:rsid w:val="68DC529F"/>
    <w:rsid w:val="690E02D7"/>
    <w:rsid w:val="69560FE6"/>
    <w:rsid w:val="69612268"/>
    <w:rsid w:val="69765236"/>
    <w:rsid w:val="6A0A36C9"/>
    <w:rsid w:val="6A395199"/>
    <w:rsid w:val="6A6C6A01"/>
    <w:rsid w:val="6A8B7752"/>
    <w:rsid w:val="6AB22973"/>
    <w:rsid w:val="6AEB19C5"/>
    <w:rsid w:val="6B126CCB"/>
    <w:rsid w:val="6B4F6E2C"/>
    <w:rsid w:val="6B50786D"/>
    <w:rsid w:val="6B5D47C2"/>
    <w:rsid w:val="6B6B22D5"/>
    <w:rsid w:val="6B8C6F93"/>
    <w:rsid w:val="6BAA35FD"/>
    <w:rsid w:val="6BCB239C"/>
    <w:rsid w:val="6BD732E5"/>
    <w:rsid w:val="6C2F24EE"/>
    <w:rsid w:val="6C3C06E0"/>
    <w:rsid w:val="6C634A23"/>
    <w:rsid w:val="6C635F46"/>
    <w:rsid w:val="6C7F08A6"/>
    <w:rsid w:val="6C99186A"/>
    <w:rsid w:val="6CA3312F"/>
    <w:rsid w:val="6CB25885"/>
    <w:rsid w:val="6CEB1A97"/>
    <w:rsid w:val="6CEF0736"/>
    <w:rsid w:val="6D1D0187"/>
    <w:rsid w:val="6D215271"/>
    <w:rsid w:val="6E002CD2"/>
    <w:rsid w:val="6E167CCD"/>
    <w:rsid w:val="6E392EA4"/>
    <w:rsid w:val="6E58636F"/>
    <w:rsid w:val="6E76049F"/>
    <w:rsid w:val="6ECD32EA"/>
    <w:rsid w:val="6F00563F"/>
    <w:rsid w:val="6F087D4A"/>
    <w:rsid w:val="6F09453C"/>
    <w:rsid w:val="6F0B01CF"/>
    <w:rsid w:val="6F2A2243"/>
    <w:rsid w:val="6F2F5238"/>
    <w:rsid w:val="6F4B3638"/>
    <w:rsid w:val="6FF6162F"/>
    <w:rsid w:val="70061533"/>
    <w:rsid w:val="702A2C20"/>
    <w:rsid w:val="705B764F"/>
    <w:rsid w:val="70603876"/>
    <w:rsid w:val="706222F4"/>
    <w:rsid w:val="70981CDB"/>
    <w:rsid w:val="709B5214"/>
    <w:rsid w:val="70A96FE2"/>
    <w:rsid w:val="70D41BEF"/>
    <w:rsid w:val="71094736"/>
    <w:rsid w:val="711B3724"/>
    <w:rsid w:val="711C6AD6"/>
    <w:rsid w:val="71632FB9"/>
    <w:rsid w:val="716E5344"/>
    <w:rsid w:val="7173170E"/>
    <w:rsid w:val="717E3CA0"/>
    <w:rsid w:val="718046F5"/>
    <w:rsid w:val="7198404B"/>
    <w:rsid w:val="719E603E"/>
    <w:rsid w:val="71CB072C"/>
    <w:rsid w:val="71D54C2A"/>
    <w:rsid w:val="71E909E4"/>
    <w:rsid w:val="71F04E6E"/>
    <w:rsid w:val="71F47D5D"/>
    <w:rsid w:val="72263884"/>
    <w:rsid w:val="72396B29"/>
    <w:rsid w:val="72537006"/>
    <w:rsid w:val="72835F53"/>
    <w:rsid w:val="72DA5448"/>
    <w:rsid w:val="736D3206"/>
    <w:rsid w:val="73945F1E"/>
    <w:rsid w:val="73A9239A"/>
    <w:rsid w:val="73B06FFE"/>
    <w:rsid w:val="740A20AE"/>
    <w:rsid w:val="74567E3F"/>
    <w:rsid w:val="74AF435D"/>
    <w:rsid w:val="74D53759"/>
    <w:rsid w:val="74DA0D6F"/>
    <w:rsid w:val="74F365FE"/>
    <w:rsid w:val="750A4035"/>
    <w:rsid w:val="756B3F21"/>
    <w:rsid w:val="756C0246"/>
    <w:rsid w:val="758C08C3"/>
    <w:rsid w:val="75B104B0"/>
    <w:rsid w:val="75BC639B"/>
    <w:rsid w:val="75C80DF4"/>
    <w:rsid w:val="761958C7"/>
    <w:rsid w:val="761D53B8"/>
    <w:rsid w:val="76B227DC"/>
    <w:rsid w:val="76DF43E5"/>
    <w:rsid w:val="76F83B6A"/>
    <w:rsid w:val="770A0BE4"/>
    <w:rsid w:val="77903967"/>
    <w:rsid w:val="77DC3070"/>
    <w:rsid w:val="77E26D03"/>
    <w:rsid w:val="7808614D"/>
    <w:rsid w:val="78380007"/>
    <w:rsid w:val="784D5DC1"/>
    <w:rsid w:val="78560B7D"/>
    <w:rsid w:val="787E7C64"/>
    <w:rsid w:val="789968D2"/>
    <w:rsid w:val="78AE3AF4"/>
    <w:rsid w:val="78D35E3B"/>
    <w:rsid w:val="78EC7939"/>
    <w:rsid w:val="78F10436"/>
    <w:rsid w:val="7905781D"/>
    <w:rsid w:val="792029F9"/>
    <w:rsid w:val="79366F16"/>
    <w:rsid w:val="793953E0"/>
    <w:rsid w:val="79562182"/>
    <w:rsid w:val="7988073D"/>
    <w:rsid w:val="79927E6B"/>
    <w:rsid w:val="79AB1EB9"/>
    <w:rsid w:val="79E45D5C"/>
    <w:rsid w:val="7A337035"/>
    <w:rsid w:val="7A395C82"/>
    <w:rsid w:val="7A3F003F"/>
    <w:rsid w:val="7A4D65D4"/>
    <w:rsid w:val="7A4E01FC"/>
    <w:rsid w:val="7A572CCF"/>
    <w:rsid w:val="7A582BA7"/>
    <w:rsid w:val="7A861051"/>
    <w:rsid w:val="7A8D5089"/>
    <w:rsid w:val="7A9C5C38"/>
    <w:rsid w:val="7AAE175B"/>
    <w:rsid w:val="7AAF59C3"/>
    <w:rsid w:val="7ACF3B2C"/>
    <w:rsid w:val="7AF05967"/>
    <w:rsid w:val="7B1755DD"/>
    <w:rsid w:val="7B55367C"/>
    <w:rsid w:val="7BEF016B"/>
    <w:rsid w:val="7BF52586"/>
    <w:rsid w:val="7C3F59E6"/>
    <w:rsid w:val="7CC4420B"/>
    <w:rsid w:val="7CD633D5"/>
    <w:rsid w:val="7CD66271"/>
    <w:rsid w:val="7CE4452C"/>
    <w:rsid w:val="7CE54A9F"/>
    <w:rsid w:val="7CED53B8"/>
    <w:rsid w:val="7D18680D"/>
    <w:rsid w:val="7D2E5725"/>
    <w:rsid w:val="7D4F752E"/>
    <w:rsid w:val="7D6B2F00"/>
    <w:rsid w:val="7DB3215D"/>
    <w:rsid w:val="7E3540E6"/>
    <w:rsid w:val="7E43217E"/>
    <w:rsid w:val="7E582D05"/>
    <w:rsid w:val="7E622436"/>
    <w:rsid w:val="7EF30241"/>
    <w:rsid w:val="7F0C3F10"/>
    <w:rsid w:val="7F4F4D4A"/>
    <w:rsid w:val="7F832B9F"/>
    <w:rsid w:val="7F886F97"/>
    <w:rsid w:val="7FB61857"/>
    <w:rsid w:val="7FC64053"/>
    <w:rsid w:val="7FD106DD"/>
    <w:rsid w:val="7FD2112B"/>
    <w:rsid w:val="7FEB1F45"/>
    <w:rsid w:val="F1FFC7D9"/>
    <w:rsid w:val="FE97E91A"/>
    <w:rsid w:val="FF7E969B"/>
    <w:rsid w:val="FFFE7DA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semiHidden="0" w:name="footnote text"/>
    <w:lsdException w:qFormat="1" w:unhideWhenUsed="0" w:uiPriority="99" w:semiHidden="0" w:name="annotation text"/>
    <w:lsdException w:qFormat="1" w:unhideWhenUsed="0" w:uiPriority="99" w:semiHidden="0" w:name="header"/>
    <w:lsdException w:qFormat="1" w:unhideWhenUsed="0" w:uiPriority="0" w:semiHidden="0" w:name="footer"/>
    <w:lsdException w:uiPriority="99" w:name="index heading"/>
    <w:lsdException w:qFormat="1" w:unhideWhenUsed="0" w:uiPriority="0" w:semiHidden="0" w:name="caption"/>
    <w:lsdException w:uiPriority="99" w:name="table of figures"/>
    <w:lsdException w:uiPriority="99" w:name="envelope address"/>
    <w:lsdException w:qFormat="1" w:unhideWhenUsed="0" w:uiPriority="99" w:semiHidden="0" w:name="envelope return"/>
    <w:lsdException w:qFormat="1" w:uiPriority="99" w:semiHidden="0"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qFormat="1" w:uiPriority="99"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nhideWhenUsed="0" w:uiPriority="0" w:semiHidden="0" w:name="Message Header"/>
    <w:lsdException w:qFormat="1" w:unhideWhenUsed="0" w:uiPriority="0" w:semiHidden="0" w:name="Subtitle"/>
    <w:lsdException w:uiPriority="99" w:name="Salutation"/>
    <w:lsdException w:qFormat="1" w:unhideWhenUsed="0" w:uiPriority="0" w:semiHidden="0" w:name="Date"/>
    <w:lsdException w:qFormat="1" w:uiPriority="99"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99"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99" w:semiHidden="0" w:name="Plain Text"/>
    <w:lsdException w:uiPriority="99" w:name="E-mail Signature"/>
    <w:lsdException w:qFormat="1" w:unhideWhenUsed="0" w:uiPriority="0" w:semiHidden="0" w:name="Normal (Web)"/>
    <w:lsdException w:uiPriority="99" w:name="HTML Acronym"/>
    <w:lsdException w:qFormat="1" w:unhideWhenUsed="0" w:uiPriority="0" w:semiHidden="0" w:name="HTML Address"/>
    <w:lsdException w:uiPriority="99" w:name="HTML Cite"/>
    <w:lsdException w:qFormat="1" w:uiPriority="99" w:name="HTML Code"/>
    <w:lsdException w:qFormat="1" w:uiPriority="99" w:name="HTML Definition"/>
    <w:lsdException w:qFormat="1" w:uiPriority="99" w:name="HTML Keyboard"/>
    <w:lsdException w:qFormat="1" w:unhideWhenUsed="0" w:uiPriority="0" w:semiHidden="0" w:name="HTML Preformatted"/>
    <w:lsdException w:qFormat="1" w:uiPriority="99" w:name="HTML Sample"/>
    <w:lsdException w:qFormat="1" w:unhideWhenUsed="0" w:uiPriority="0" w:semiHidden="0"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宋体" w:hAnsi="Times New Roman" w:eastAsia="宋体" w:cs="Times New Roman"/>
      <w:sz w:val="24"/>
      <w:lang w:val="en-US" w:eastAsia="zh-CN" w:bidi="ar-SA"/>
    </w:rPr>
  </w:style>
  <w:style w:type="paragraph" w:styleId="3">
    <w:name w:val="heading 1"/>
    <w:basedOn w:val="1"/>
    <w:next w:val="1"/>
    <w:link w:val="135"/>
    <w:qFormat/>
    <w:uiPriority w:val="0"/>
    <w:pPr>
      <w:keepNext/>
      <w:outlineLvl w:val="0"/>
    </w:pPr>
    <w:rPr>
      <w:rFonts w:ascii="仿宋_GB2312" w:hAnsi="宋体" w:eastAsia="仿宋_GB2312"/>
      <w:b/>
      <w:kern w:val="2"/>
      <w:sz w:val="32"/>
    </w:rPr>
  </w:style>
  <w:style w:type="paragraph" w:styleId="4">
    <w:name w:val="heading 2"/>
    <w:basedOn w:val="1"/>
    <w:next w:val="5"/>
    <w:link w:val="172"/>
    <w:qFormat/>
    <w:uiPriority w:val="9"/>
    <w:pPr>
      <w:keepNext/>
      <w:keepLines/>
      <w:widowControl/>
      <w:spacing w:before="260" w:after="260"/>
      <w:ind w:left="284"/>
      <w:jc w:val="left"/>
      <w:outlineLvl w:val="1"/>
    </w:pPr>
    <w:rPr>
      <w:rFonts w:ascii="Arial" w:hAnsi="Arial"/>
      <w:b/>
      <w:bCs/>
      <w:sz w:val="28"/>
      <w:szCs w:val="32"/>
    </w:rPr>
  </w:style>
  <w:style w:type="paragraph" w:styleId="6">
    <w:name w:val="heading 3"/>
    <w:basedOn w:val="1"/>
    <w:next w:val="1"/>
    <w:link w:val="143"/>
    <w:qFormat/>
    <w:uiPriority w:val="0"/>
    <w:pPr>
      <w:keepNext/>
      <w:spacing w:beforeLines="200" w:line="400" w:lineRule="exact"/>
      <w:jc w:val="center"/>
      <w:outlineLvl w:val="2"/>
    </w:pPr>
    <w:rPr>
      <w:rFonts w:ascii="Times New Roman"/>
      <w:b/>
      <w:bCs/>
      <w:kern w:val="2"/>
      <w:szCs w:val="24"/>
    </w:rPr>
  </w:style>
  <w:style w:type="paragraph" w:styleId="7">
    <w:name w:val="heading 4"/>
    <w:basedOn w:val="1"/>
    <w:next w:val="1"/>
    <w:link w:val="152"/>
    <w:qFormat/>
    <w:uiPriority w:val="0"/>
    <w:pPr>
      <w:keepNext/>
      <w:keepLines/>
      <w:tabs>
        <w:tab w:val="left" w:pos="864"/>
      </w:tabs>
      <w:spacing w:before="120" w:line="360" w:lineRule="auto"/>
      <w:ind w:left="864" w:hanging="864"/>
      <w:outlineLvl w:val="3"/>
    </w:pPr>
    <w:rPr>
      <w:rFonts w:ascii="Arial" w:hAnsi="Arial"/>
      <w:bCs/>
      <w:kern w:val="2"/>
      <w:szCs w:val="28"/>
    </w:rPr>
  </w:style>
  <w:style w:type="paragraph" w:styleId="8">
    <w:name w:val="heading 5"/>
    <w:basedOn w:val="1"/>
    <w:next w:val="1"/>
    <w:link w:val="176"/>
    <w:qFormat/>
    <w:uiPriority w:val="0"/>
    <w:pPr>
      <w:keepNext/>
      <w:keepLines/>
      <w:tabs>
        <w:tab w:val="left" w:pos="1008"/>
        <w:tab w:val="left" w:pos="1218"/>
      </w:tabs>
      <w:spacing w:before="60" w:line="360" w:lineRule="auto"/>
      <w:ind w:left="1008" w:hanging="1008"/>
      <w:outlineLvl w:val="4"/>
    </w:pPr>
    <w:rPr>
      <w:rFonts w:ascii="Arial Unicode MS" w:hAnsi="Arial Unicode MS"/>
      <w:bCs/>
      <w:kern w:val="2"/>
      <w:szCs w:val="24"/>
    </w:rPr>
  </w:style>
  <w:style w:type="paragraph" w:styleId="9">
    <w:name w:val="heading 6"/>
    <w:basedOn w:val="1"/>
    <w:next w:val="1"/>
    <w:link w:val="133"/>
    <w:qFormat/>
    <w:uiPriority w:val="0"/>
    <w:pPr>
      <w:keepNext/>
      <w:keepLines/>
      <w:tabs>
        <w:tab w:val="left" w:pos="1152"/>
      </w:tabs>
      <w:spacing w:before="60" w:line="360" w:lineRule="auto"/>
      <w:ind w:left="1152" w:hanging="1152"/>
      <w:outlineLvl w:val="5"/>
    </w:pPr>
    <w:rPr>
      <w:rFonts w:ascii="Arial Unicode MS" w:hAnsi="Arial Unicode MS"/>
      <w:bCs/>
      <w:kern w:val="2"/>
      <w:szCs w:val="24"/>
    </w:rPr>
  </w:style>
  <w:style w:type="paragraph" w:styleId="10">
    <w:name w:val="heading 7"/>
    <w:basedOn w:val="1"/>
    <w:next w:val="1"/>
    <w:link w:val="174"/>
    <w:qFormat/>
    <w:uiPriority w:val="0"/>
    <w:pPr>
      <w:keepNext/>
      <w:tabs>
        <w:tab w:val="left" w:pos="1296"/>
      </w:tabs>
      <w:autoSpaceDE w:val="0"/>
      <w:autoSpaceDN w:val="0"/>
      <w:adjustRightInd w:val="0"/>
      <w:spacing w:line="288" w:lineRule="auto"/>
      <w:ind w:left="1296" w:hanging="1296"/>
      <w:outlineLvl w:val="6"/>
    </w:pPr>
    <w:rPr>
      <w:rFonts w:ascii="Arial" w:hAnsi="Arial"/>
      <w:b/>
      <w:color w:val="000000"/>
      <w:kern w:val="2"/>
      <w:sz w:val="15"/>
    </w:rPr>
  </w:style>
  <w:style w:type="paragraph" w:styleId="11">
    <w:name w:val="heading 8"/>
    <w:basedOn w:val="1"/>
    <w:next w:val="1"/>
    <w:link w:val="166"/>
    <w:qFormat/>
    <w:uiPriority w:val="0"/>
    <w:pPr>
      <w:keepNext/>
      <w:tabs>
        <w:tab w:val="left" w:pos="1440"/>
      </w:tabs>
      <w:spacing w:line="360" w:lineRule="auto"/>
      <w:ind w:left="1440" w:hanging="1440"/>
      <w:outlineLvl w:val="7"/>
    </w:pPr>
    <w:rPr>
      <w:rFonts w:ascii="仿宋_GB2312" w:eastAsia="仿宋_GB2312"/>
      <w:b/>
      <w:kern w:val="2"/>
    </w:rPr>
  </w:style>
  <w:style w:type="paragraph" w:styleId="12">
    <w:name w:val="heading 9"/>
    <w:basedOn w:val="1"/>
    <w:next w:val="1"/>
    <w:link w:val="161"/>
    <w:qFormat/>
    <w:uiPriority w:val="0"/>
    <w:pPr>
      <w:keepNext/>
      <w:keepLines/>
      <w:tabs>
        <w:tab w:val="left" w:pos="1584"/>
      </w:tabs>
      <w:spacing w:before="240" w:after="64" w:line="320" w:lineRule="auto"/>
      <w:ind w:left="1584" w:hanging="1584"/>
      <w:outlineLvl w:val="8"/>
    </w:pPr>
    <w:rPr>
      <w:rFonts w:ascii="Arial" w:hAnsi="Arial" w:eastAsia="黑体"/>
      <w:kern w:val="2"/>
      <w:sz w:val="21"/>
      <w:szCs w:val="21"/>
    </w:rPr>
  </w:style>
  <w:style w:type="character" w:default="1" w:styleId="50">
    <w:name w:val="Default Paragraph Font"/>
    <w:semiHidden/>
    <w:unhideWhenUsed/>
    <w:qFormat/>
    <w:uiPriority w:val="1"/>
  </w:style>
  <w:style w:type="table" w:default="1" w:styleId="48">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link w:val="147"/>
    <w:qFormat/>
    <w:uiPriority w:val="0"/>
    <w:pPr>
      <w:spacing w:after="120"/>
    </w:pPr>
    <w:rPr>
      <w:rFonts w:ascii="Times New Roman"/>
      <w:kern w:val="2"/>
      <w:sz w:val="21"/>
    </w:rPr>
  </w:style>
  <w:style w:type="paragraph" w:styleId="5">
    <w:name w:val="Normal Indent"/>
    <w:basedOn w:val="1"/>
    <w:next w:val="1"/>
    <w:link w:val="126"/>
    <w:qFormat/>
    <w:uiPriority w:val="0"/>
    <w:pPr>
      <w:spacing w:line="300" w:lineRule="auto"/>
      <w:ind w:firstLine="420" w:firstLineChars="200"/>
    </w:pPr>
    <w:rPr>
      <w:rFonts w:ascii="Times New Roman"/>
      <w:kern w:val="2"/>
      <w:sz w:val="21"/>
      <w:szCs w:val="24"/>
    </w:rPr>
  </w:style>
  <w:style w:type="paragraph" w:styleId="13">
    <w:name w:val="List 3"/>
    <w:basedOn w:val="1"/>
    <w:unhideWhenUsed/>
    <w:qFormat/>
    <w:uiPriority w:val="99"/>
    <w:pPr>
      <w:ind w:left="100" w:leftChars="400" w:hanging="200" w:hangingChars="200"/>
    </w:pPr>
    <w:rPr>
      <w:rFonts w:ascii="Times New Roman"/>
      <w:kern w:val="2"/>
      <w:sz w:val="21"/>
      <w:szCs w:val="24"/>
    </w:rPr>
  </w:style>
  <w:style w:type="paragraph" w:styleId="14">
    <w:name w:val="toc 7"/>
    <w:basedOn w:val="1"/>
    <w:next w:val="1"/>
    <w:unhideWhenUsed/>
    <w:qFormat/>
    <w:uiPriority w:val="39"/>
    <w:pPr>
      <w:ind w:left="2520" w:leftChars="1200"/>
    </w:pPr>
  </w:style>
  <w:style w:type="paragraph" w:styleId="15">
    <w:name w:val="caption"/>
    <w:basedOn w:val="1"/>
    <w:next w:val="1"/>
    <w:link w:val="134"/>
    <w:qFormat/>
    <w:uiPriority w:val="0"/>
    <w:pPr>
      <w:spacing w:before="152" w:after="160"/>
    </w:pPr>
    <w:rPr>
      <w:rFonts w:ascii="Arial" w:hAnsi="Arial" w:eastAsia="黑体"/>
      <w:kern w:val="2"/>
      <w:sz w:val="20"/>
    </w:rPr>
  </w:style>
  <w:style w:type="paragraph" w:styleId="16">
    <w:name w:val="Document Map"/>
    <w:basedOn w:val="1"/>
    <w:link w:val="163"/>
    <w:qFormat/>
    <w:uiPriority w:val="0"/>
    <w:pPr>
      <w:shd w:val="clear" w:color="auto" w:fill="000080"/>
    </w:pPr>
    <w:rPr>
      <w:rFonts w:ascii="Times New Roman"/>
      <w:kern w:val="2"/>
      <w:sz w:val="21"/>
    </w:rPr>
  </w:style>
  <w:style w:type="paragraph" w:styleId="17">
    <w:name w:val="annotation text"/>
    <w:basedOn w:val="1"/>
    <w:link w:val="153"/>
    <w:qFormat/>
    <w:uiPriority w:val="99"/>
    <w:pPr>
      <w:jc w:val="left"/>
    </w:pPr>
    <w:rPr>
      <w:rFonts w:ascii="Times New Roman"/>
      <w:kern w:val="2"/>
      <w:sz w:val="21"/>
      <w:szCs w:val="24"/>
    </w:rPr>
  </w:style>
  <w:style w:type="paragraph" w:styleId="18">
    <w:name w:val="Body Text 3"/>
    <w:basedOn w:val="1"/>
    <w:link w:val="149"/>
    <w:qFormat/>
    <w:uiPriority w:val="0"/>
    <w:pPr>
      <w:jc w:val="center"/>
    </w:pPr>
    <w:rPr>
      <w:rFonts w:ascii="Times New Roman"/>
      <w:b/>
      <w:spacing w:val="-20"/>
      <w:w w:val="110"/>
      <w:kern w:val="2"/>
      <w:sz w:val="52"/>
    </w:rPr>
  </w:style>
  <w:style w:type="paragraph" w:styleId="19">
    <w:name w:val="Body Text Indent"/>
    <w:basedOn w:val="1"/>
    <w:next w:val="20"/>
    <w:link w:val="160"/>
    <w:qFormat/>
    <w:uiPriority w:val="0"/>
    <w:pPr>
      <w:widowControl/>
      <w:ind w:firstLine="652" w:firstLineChars="233"/>
    </w:pPr>
    <w:rPr>
      <w:rFonts w:ascii="Times New Roman"/>
      <w:sz w:val="28"/>
    </w:rPr>
  </w:style>
  <w:style w:type="paragraph" w:styleId="20">
    <w:name w:val="envelope return"/>
    <w:basedOn w:val="1"/>
    <w:qFormat/>
    <w:uiPriority w:val="99"/>
    <w:pPr>
      <w:snapToGrid w:val="0"/>
    </w:pPr>
    <w:rPr>
      <w:rFonts w:ascii="Arial" w:hAnsi="Arial" w:cs="Arial"/>
    </w:rPr>
  </w:style>
  <w:style w:type="paragraph" w:styleId="21">
    <w:name w:val="HTML Address"/>
    <w:basedOn w:val="1"/>
    <w:qFormat/>
    <w:uiPriority w:val="0"/>
    <w:pPr>
      <w:widowControl/>
      <w:jc w:val="left"/>
    </w:pPr>
    <w:rPr>
      <w:rFonts w:hAnsi="宋体" w:cs="宋体"/>
      <w:i/>
      <w:iCs/>
      <w:szCs w:val="24"/>
    </w:rPr>
  </w:style>
  <w:style w:type="paragraph" w:styleId="22">
    <w:name w:val="toc 5"/>
    <w:basedOn w:val="1"/>
    <w:next w:val="1"/>
    <w:unhideWhenUsed/>
    <w:qFormat/>
    <w:uiPriority w:val="39"/>
    <w:pPr>
      <w:ind w:left="1680" w:leftChars="800"/>
    </w:pPr>
  </w:style>
  <w:style w:type="paragraph" w:styleId="23">
    <w:name w:val="toc 3"/>
    <w:basedOn w:val="1"/>
    <w:next w:val="1"/>
    <w:unhideWhenUsed/>
    <w:qFormat/>
    <w:uiPriority w:val="39"/>
    <w:pPr>
      <w:ind w:left="840" w:leftChars="400"/>
    </w:pPr>
  </w:style>
  <w:style w:type="paragraph" w:styleId="24">
    <w:name w:val="Plain Text"/>
    <w:basedOn w:val="1"/>
    <w:link w:val="154"/>
    <w:qFormat/>
    <w:uiPriority w:val="99"/>
    <w:rPr>
      <w:rFonts w:hAnsi="Courier New"/>
      <w:kern w:val="2"/>
      <w:sz w:val="21"/>
    </w:rPr>
  </w:style>
  <w:style w:type="paragraph" w:styleId="25">
    <w:name w:val="toc 8"/>
    <w:basedOn w:val="1"/>
    <w:next w:val="1"/>
    <w:unhideWhenUsed/>
    <w:qFormat/>
    <w:uiPriority w:val="39"/>
    <w:pPr>
      <w:ind w:left="2940" w:leftChars="1400"/>
    </w:pPr>
  </w:style>
  <w:style w:type="paragraph" w:styleId="26">
    <w:name w:val="Date"/>
    <w:basedOn w:val="1"/>
    <w:next w:val="1"/>
    <w:link w:val="145"/>
    <w:qFormat/>
    <w:uiPriority w:val="0"/>
    <w:rPr>
      <w:rFonts w:ascii="Times New Roman"/>
      <w:kern w:val="2"/>
      <w:sz w:val="28"/>
    </w:rPr>
  </w:style>
  <w:style w:type="paragraph" w:styleId="27">
    <w:name w:val="Body Text Indent 2"/>
    <w:basedOn w:val="1"/>
    <w:link w:val="173"/>
    <w:qFormat/>
    <w:uiPriority w:val="99"/>
    <w:pPr>
      <w:tabs>
        <w:tab w:val="left" w:pos="5625"/>
      </w:tabs>
      <w:ind w:left="1138" w:leftChars="542"/>
    </w:pPr>
    <w:rPr>
      <w:rFonts w:ascii="Times New Roman"/>
      <w:kern w:val="2"/>
    </w:rPr>
  </w:style>
  <w:style w:type="paragraph" w:styleId="28">
    <w:name w:val="Balloon Text"/>
    <w:basedOn w:val="1"/>
    <w:link w:val="129"/>
    <w:qFormat/>
    <w:uiPriority w:val="99"/>
    <w:rPr>
      <w:rFonts w:ascii="Times New Roman"/>
      <w:kern w:val="2"/>
      <w:sz w:val="18"/>
      <w:szCs w:val="18"/>
    </w:rPr>
  </w:style>
  <w:style w:type="paragraph" w:styleId="29">
    <w:name w:val="footer"/>
    <w:basedOn w:val="1"/>
    <w:link w:val="131"/>
    <w:qFormat/>
    <w:uiPriority w:val="0"/>
    <w:pPr>
      <w:tabs>
        <w:tab w:val="center" w:pos="4153"/>
        <w:tab w:val="right" w:pos="8306"/>
      </w:tabs>
      <w:snapToGrid w:val="0"/>
      <w:jc w:val="left"/>
    </w:pPr>
    <w:rPr>
      <w:rFonts w:ascii="Times New Roman"/>
      <w:kern w:val="2"/>
      <w:sz w:val="18"/>
      <w:szCs w:val="18"/>
    </w:rPr>
  </w:style>
  <w:style w:type="paragraph" w:styleId="30">
    <w:name w:val="header"/>
    <w:basedOn w:val="1"/>
    <w:link w:val="165"/>
    <w:qFormat/>
    <w:uiPriority w:val="99"/>
    <w:pPr>
      <w:pBdr>
        <w:bottom w:val="single" w:color="auto" w:sz="6" w:space="1"/>
      </w:pBdr>
      <w:tabs>
        <w:tab w:val="center" w:pos="4153"/>
        <w:tab w:val="right" w:pos="8306"/>
      </w:tabs>
      <w:snapToGrid w:val="0"/>
      <w:jc w:val="center"/>
    </w:pPr>
    <w:rPr>
      <w:rFonts w:ascii="Times New Roman"/>
      <w:kern w:val="2"/>
      <w:sz w:val="18"/>
      <w:szCs w:val="18"/>
    </w:rPr>
  </w:style>
  <w:style w:type="paragraph" w:styleId="31">
    <w:name w:val="toc 1"/>
    <w:basedOn w:val="1"/>
    <w:next w:val="1"/>
    <w:unhideWhenUsed/>
    <w:qFormat/>
    <w:uiPriority w:val="39"/>
  </w:style>
  <w:style w:type="paragraph" w:styleId="32">
    <w:name w:val="toc 4"/>
    <w:basedOn w:val="1"/>
    <w:next w:val="1"/>
    <w:unhideWhenUsed/>
    <w:qFormat/>
    <w:uiPriority w:val="39"/>
    <w:pPr>
      <w:ind w:left="1260" w:leftChars="600"/>
    </w:pPr>
  </w:style>
  <w:style w:type="paragraph" w:styleId="33">
    <w:name w:val="Subtitle"/>
    <w:basedOn w:val="1"/>
    <w:next w:val="1"/>
    <w:link w:val="130"/>
    <w:qFormat/>
    <w:uiPriority w:val="0"/>
    <w:pPr>
      <w:spacing w:before="240" w:after="60" w:line="312" w:lineRule="auto"/>
      <w:jc w:val="center"/>
      <w:outlineLvl w:val="1"/>
    </w:pPr>
    <w:rPr>
      <w:rFonts w:ascii="Cambria" w:hAnsi="Cambria"/>
      <w:b/>
      <w:bCs/>
      <w:kern w:val="28"/>
      <w:sz w:val="32"/>
      <w:szCs w:val="32"/>
    </w:rPr>
  </w:style>
  <w:style w:type="paragraph" w:styleId="34">
    <w:name w:val="List"/>
    <w:basedOn w:val="1"/>
    <w:qFormat/>
    <w:uiPriority w:val="0"/>
    <w:pPr>
      <w:numPr>
        <w:ilvl w:val="1"/>
        <w:numId w:val="1"/>
      </w:numPr>
      <w:spacing w:line="360" w:lineRule="auto"/>
      <w:jc w:val="left"/>
    </w:pPr>
    <w:rPr>
      <w:szCs w:val="24"/>
    </w:rPr>
  </w:style>
  <w:style w:type="paragraph" w:styleId="35">
    <w:name w:val="footnote text"/>
    <w:basedOn w:val="1"/>
    <w:unhideWhenUsed/>
    <w:qFormat/>
    <w:uiPriority w:val="99"/>
    <w:pPr>
      <w:snapToGrid w:val="0"/>
      <w:jc w:val="left"/>
    </w:pPr>
    <w:rPr>
      <w:sz w:val="18"/>
    </w:rPr>
  </w:style>
  <w:style w:type="paragraph" w:styleId="36">
    <w:name w:val="toc 6"/>
    <w:basedOn w:val="1"/>
    <w:next w:val="1"/>
    <w:unhideWhenUsed/>
    <w:qFormat/>
    <w:uiPriority w:val="39"/>
    <w:pPr>
      <w:ind w:left="2100" w:leftChars="1000"/>
    </w:pPr>
  </w:style>
  <w:style w:type="paragraph" w:styleId="37">
    <w:name w:val="Body Text Indent 3"/>
    <w:basedOn w:val="1"/>
    <w:link w:val="150"/>
    <w:qFormat/>
    <w:uiPriority w:val="0"/>
    <w:pPr>
      <w:spacing w:line="410" w:lineRule="exact"/>
      <w:ind w:left="619" w:leftChars="295" w:firstLine="390" w:firstLineChars="179"/>
    </w:pPr>
    <w:rPr>
      <w:rFonts w:hAnsi="宋体"/>
      <w:spacing w:val="4"/>
      <w:kern w:val="2"/>
      <w:sz w:val="21"/>
    </w:rPr>
  </w:style>
  <w:style w:type="paragraph" w:styleId="38">
    <w:name w:val="toc 2"/>
    <w:basedOn w:val="1"/>
    <w:next w:val="1"/>
    <w:unhideWhenUsed/>
    <w:qFormat/>
    <w:uiPriority w:val="39"/>
    <w:pPr>
      <w:ind w:left="420" w:leftChars="200"/>
    </w:pPr>
  </w:style>
  <w:style w:type="paragraph" w:styleId="39">
    <w:name w:val="toc 9"/>
    <w:basedOn w:val="1"/>
    <w:next w:val="1"/>
    <w:unhideWhenUsed/>
    <w:qFormat/>
    <w:uiPriority w:val="39"/>
    <w:pPr>
      <w:ind w:left="3360" w:leftChars="1600"/>
    </w:pPr>
  </w:style>
  <w:style w:type="paragraph" w:styleId="40">
    <w:name w:val="Body Text 2"/>
    <w:basedOn w:val="1"/>
    <w:link w:val="177"/>
    <w:qFormat/>
    <w:uiPriority w:val="0"/>
    <w:rPr>
      <w:rFonts w:ascii="楷体_GB2312" w:hAnsi="Copperplate Gothic Bold" w:eastAsia="楷体_GB2312"/>
      <w:kern w:val="2"/>
      <w:sz w:val="28"/>
    </w:rPr>
  </w:style>
  <w:style w:type="paragraph" w:styleId="41">
    <w:name w:val="Message Header"/>
    <w:basedOn w:val="1"/>
    <w:next w:val="1"/>
    <w:qFormat/>
    <w:uiPriority w:val="0"/>
  </w:style>
  <w:style w:type="paragraph" w:styleId="42">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黑体" w:hAnsi="Courier New" w:eastAsia="黑体" w:cs="Courier New"/>
      <w:sz w:val="20"/>
    </w:rPr>
  </w:style>
  <w:style w:type="paragraph" w:styleId="43">
    <w:name w:val="Normal (Web)"/>
    <w:basedOn w:val="1"/>
    <w:qFormat/>
    <w:uiPriority w:val="0"/>
    <w:pPr>
      <w:widowControl/>
      <w:spacing w:before="100" w:beforeAutospacing="1" w:after="100" w:afterAutospacing="1"/>
      <w:jc w:val="left"/>
    </w:pPr>
    <w:rPr>
      <w:rFonts w:hAnsi="宋体"/>
      <w:szCs w:val="24"/>
    </w:rPr>
  </w:style>
  <w:style w:type="paragraph" w:styleId="44">
    <w:name w:val="Title"/>
    <w:basedOn w:val="1"/>
    <w:next w:val="1"/>
    <w:link w:val="171"/>
    <w:qFormat/>
    <w:uiPriority w:val="0"/>
    <w:pPr>
      <w:spacing w:before="240" w:after="60"/>
      <w:jc w:val="center"/>
      <w:outlineLvl w:val="0"/>
    </w:pPr>
    <w:rPr>
      <w:rFonts w:ascii="Cambria" w:hAnsi="Cambria"/>
      <w:b/>
      <w:bCs/>
      <w:kern w:val="2"/>
      <w:sz w:val="32"/>
      <w:szCs w:val="32"/>
    </w:rPr>
  </w:style>
  <w:style w:type="paragraph" w:styleId="45">
    <w:name w:val="annotation subject"/>
    <w:basedOn w:val="17"/>
    <w:next w:val="17"/>
    <w:link w:val="127"/>
    <w:qFormat/>
    <w:uiPriority w:val="0"/>
    <w:rPr>
      <w:b/>
      <w:bCs/>
    </w:rPr>
  </w:style>
  <w:style w:type="paragraph" w:styleId="46">
    <w:name w:val="Body Text First Indent"/>
    <w:basedOn w:val="2"/>
    <w:next w:val="2"/>
    <w:unhideWhenUsed/>
    <w:qFormat/>
    <w:uiPriority w:val="99"/>
    <w:pPr>
      <w:ind w:firstLine="420" w:firstLineChars="100"/>
    </w:pPr>
    <w:rPr>
      <w:szCs w:val="24"/>
    </w:rPr>
  </w:style>
  <w:style w:type="paragraph" w:styleId="47">
    <w:name w:val="Body Text First Indent 2"/>
    <w:basedOn w:val="19"/>
    <w:next w:val="46"/>
    <w:qFormat/>
    <w:uiPriority w:val="0"/>
    <w:pPr>
      <w:ind w:firstLine="420" w:firstLineChars="200"/>
    </w:pPr>
  </w:style>
  <w:style w:type="table" w:styleId="49">
    <w:name w:val="Table Grid"/>
    <w:basedOn w:val="48"/>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1">
    <w:name w:val="Strong"/>
    <w:qFormat/>
    <w:uiPriority w:val="22"/>
    <w:rPr>
      <w:b/>
      <w:bCs/>
    </w:rPr>
  </w:style>
  <w:style w:type="character" w:styleId="52">
    <w:name w:val="page number"/>
    <w:basedOn w:val="50"/>
    <w:qFormat/>
    <w:uiPriority w:val="0"/>
  </w:style>
  <w:style w:type="character" w:styleId="53">
    <w:name w:val="FollowedHyperlink"/>
    <w:qFormat/>
    <w:uiPriority w:val="0"/>
    <w:rPr>
      <w:rFonts w:hint="eastAsia" w:ascii="宋体" w:hAnsi="宋体" w:eastAsia="宋体" w:cs="宋体"/>
      <w:color w:val="000000"/>
      <w:sz w:val="14"/>
      <w:szCs w:val="14"/>
      <w:u w:val="none"/>
    </w:rPr>
  </w:style>
  <w:style w:type="character" w:styleId="54">
    <w:name w:val="Emphasis"/>
    <w:qFormat/>
    <w:uiPriority w:val="0"/>
    <w:rPr>
      <w:i/>
      <w:iCs/>
    </w:rPr>
  </w:style>
  <w:style w:type="character" w:styleId="55">
    <w:name w:val="HTML Definition"/>
    <w:basedOn w:val="50"/>
    <w:semiHidden/>
    <w:unhideWhenUsed/>
    <w:qFormat/>
    <w:uiPriority w:val="99"/>
    <w:rPr>
      <w:i/>
      <w:iCs/>
    </w:rPr>
  </w:style>
  <w:style w:type="character" w:styleId="56">
    <w:name w:val="HTML Typewriter"/>
    <w:qFormat/>
    <w:uiPriority w:val="0"/>
    <w:rPr>
      <w:rFonts w:ascii="黑体" w:hAnsi="Courier New" w:eastAsia="黑体" w:cs="Courier New"/>
      <w:sz w:val="20"/>
      <w:szCs w:val="20"/>
    </w:rPr>
  </w:style>
  <w:style w:type="character" w:styleId="57">
    <w:name w:val="Hyperlink"/>
    <w:qFormat/>
    <w:uiPriority w:val="99"/>
    <w:rPr>
      <w:rFonts w:hint="eastAsia" w:ascii="宋体" w:hAnsi="宋体" w:eastAsia="宋体" w:cs="宋体"/>
      <w:color w:val="000000"/>
      <w:sz w:val="14"/>
      <w:szCs w:val="14"/>
      <w:u w:val="none"/>
    </w:rPr>
  </w:style>
  <w:style w:type="character" w:styleId="58">
    <w:name w:val="HTML Code"/>
    <w:basedOn w:val="50"/>
    <w:semiHidden/>
    <w:unhideWhenUsed/>
    <w:qFormat/>
    <w:uiPriority w:val="99"/>
    <w:rPr>
      <w:rFonts w:hint="default" w:ascii="Consolas" w:hAnsi="Consolas" w:eastAsia="Consolas" w:cs="Consolas"/>
      <w:color w:val="C7254E"/>
      <w:sz w:val="21"/>
      <w:szCs w:val="21"/>
      <w:shd w:val="clear" w:color="auto" w:fill="F9F2F4"/>
    </w:rPr>
  </w:style>
  <w:style w:type="character" w:styleId="59">
    <w:name w:val="annotation reference"/>
    <w:qFormat/>
    <w:uiPriority w:val="99"/>
    <w:rPr>
      <w:sz w:val="21"/>
      <w:szCs w:val="21"/>
    </w:rPr>
  </w:style>
  <w:style w:type="character" w:styleId="60">
    <w:name w:val="footnote reference"/>
    <w:basedOn w:val="50"/>
    <w:unhideWhenUsed/>
    <w:qFormat/>
    <w:uiPriority w:val="99"/>
    <w:rPr>
      <w:vertAlign w:val="superscript"/>
    </w:rPr>
  </w:style>
  <w:style w:type="character" w:styleId="61">
    <w:name w:val="HTML Keyboard"/>
    <w:basedOn w:val="50"/>
    <w:semiHidden/>
    <w:unhideWhenUsed/>
    <w:qFormat/>
    <w:uiPriority w:val="99"/>
    <w:rPr>
      <w:rFonts w:ascii="Consolas" w:hAnsi="Consolas" w:eastAsia="Consolas" w:cs="Consolas"/>
      <w:color w:val="FFFFFF"/>
      <w:sz w:val="21"/>
      <w:szCs w:val="21"/>
      <w:shd w:val="clear" w:color="auto" w:fill="333333"/>
    </w:rPr>
  </w:style>
  <w:style w:type="character" w:styleId="62">
    <w:name w:val="HTML Sample"/>
    <w:basedOn w:val="50"/>
    <w:semiHidden/>
    <w:unhideWhenUsed/>
    <w:qFormat/>
    <w:uiPriority w:val="99"/>
    <w:rPr>
      <w:rFonts w:hint="default" w:ascii="Consolas" w:hAnsi="Consolas" w:eastAsia="Consolas" w:cs="Consolas"/>
      <w:sz w:val="21"/>
      <w:szCs w:val="21"/>
    </w:rPr>
  </w:style>
  <w:style w:type="paragraph" w:styleId="63">
    <w:name w:val="Quote"/>
    <w:basedOn w:val="1"/>
    <w:next w:val="1"/>
    <w:qFormat/>
    <w:uiPriority w:val="29"/>
    <w:pPr>
      <w:spacing w:beforeLines="50" w:afterLines="50" w:line="360" w:lineRule="auto"/>
    </w:pPr>
    <w:rPr>
      <w:i/>
      <w:iCs/>
      <w:color w:val="000000"/>
      <w:szCs w:val="24"/>
      <w:lang w:val="zh-CN"/>
    </w:rPr>
  </w:style>
  <w:style w:type="paragraph" w:customStyle="1" w:styleId="64">
    <w:name w:val="Default"/>
    <w:qFormat/>
    <w:uiPriority w:val="0"/>
    <w:pPr>
      <w:widowControl w:val="0"/>
      <w:autoSpaceDE w:val="0"/>
      <w:autoSpaceDN w:val="0"/>
      <w:adjustRightInd w:val="0"/>
    </w:pPr>
    <w:rPr>
      <w:rFonts w:ascii="AGYXIQ+Frutiger-Cn" w:hAnsi="Times New Roman" w:eastAsia="AGYXIQ+Frutiger-Cn" w:cs="AGYXIQ+Frutiger-Cn"/>
      <w:color w:val="000000"/>
      <w:sz w:val="24"/>
      <w:szCs w:val="24"/>
      <w:lang w:val="en-US" w:eastAsia="zh-CN" w:bidi="ar-SA"/>
    </w:rPr>
  </w:style>
  <w:style w:type="paragraph" w:customStyle="1" w:styleId="65">
    <w:name w:val="无间隔1"/>
    <w:qFormat/>
    <w:uiPriority w:val="0"/>
    <w:pPr>
      <w:widowControl w:val="0"/>
      <w:jc w:val="both"/>
    </w:pPr>
    <w:rPr>
      <w:rFonts w:ascii="Calibri" w:hAnsi="Calibri" w:eastAsia="宋体" w:cs="Times New Roman"/>
      <w:kern w:val="2"/>
      <w:sz w:val="21"/>
      <w:szCs w:val="22"/>
      <w:lang w:val="en-US" w:eastAsia="zh-CN" w:bidi="ar-SA"/>
    </w:rPr>
  </w:style>
  <w:style w:type="paragraph" w:customStyle="1" w:styleId="66">
    <w:name w:val="无间隔2"/>
    <w:qFormat/>
    <w:uiPriority w:val="0"/>
    <w:pPr>
      <w:widowControl w:val="0"/>
      <w:jc w:val="both"/>
    </w:pPr>
    <w:rPr>
      <w:rFonts w:ascii="Calibri" w:hAnsi="Calibri" w:eastAsia="宋体" w:cs="Times New Roman"/>
      <w:kern w:val="2"/>
      <w:sz w:val="21"/>
      <w:szCs w:val="22"/>
      <w:lang w:val="en-US" w:eastAsia="zh-CN" w:bidi="ar-SA"/>
    </w:rPr>
  </w:style>
  <w:style w:type="paragraph" w:customStyle="1" w:styleId="67">
    <w:name w:val="Message Header1"/>
    <w:basedOn w:val="1"/>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Arial" w:hAnsi="Arial"/>
    </w:rPr>
  </w:style>
  <w:style w:type="paragraph" w:customStyle="1" w:styleId="68">
    <w:name w:val="普通(网站)1"/>
    <w:basedOn w:val="1"/>
    <w:qFormat/>
    <w:uiPriority w:val="0"/>
    <w:pPr>
      <w:widowControl/>
      <w:spacing w:before="100" w:beforeAutospacing="1" w:after="100" w:afterAutospacing="1"/>
      <w:jc w:val="left"/>
    </w:pPr>
    <w:rPr>
      <w:rFonts w:hAnsi="宋体" w:cs="宋体"/>
      <w:szCs w:val="24"/>
    </w:rPr>
  </w:style>
  <w:style w:type="paragraph" w:customStyle="1" w:styleId="69">
    <w:name w:val="??¨???¨????ì?¨¨??¨?o??????ì?¨¨?"/>
    <w:basedOn w:val="1"/>
    <w:qFormat/>
    <w:uiPriority w:val="0"/>
    <w:pPr>
      <w:autoSpaceDE w:val="0"/>
      <w:autoSpaceDN w:val="0"/>
      <w:adjustRightInd w:val="0"/>
      <w:jc w:val="left"/>
    </w:pPr>
  </w:style>
  <w:style w:type="paragraph" w:customStyle="1" w:styleId="70">
    <w:name w:val="排列"/>
    <w:basedOn w:val="1"/>
    <w:qFormat/>
    <w:uiPriority w:val="0"/>
    <w:pPr>
      <w:adjustRightInd w:val="0"/>
      <w:spacing w:line="360" w:lineRule="auto"/>
      <w:ind w:hanging="627"/>
      <w:jc w:val="left"/>
    </w:pPr>
    <w:rPr>
      <w:b/>
    </w:rPr>
  </w:style>
  <w:style w:type="paragraph" w:customStyle="1" w:styleId="71">
    <w:name w:val="p0"/>
    <w:basedOn w:val="1"/>
    <w:qFormat/>
    <w:uiPriority w:val="0"/>
    <w:pPr>
      <w:widowControl/>
      <w:snapToGrid w:val="0"/>
      <w:spacing w:line="312" w:lineRule="atLeast"/>
      <w:textAlignment w:val="baseline"/>
    </w:pPr>
    <w:rPr>
      <w:szCs w:val="21"/>
    </w:rPr>
  </w:style>
  <w:style w:type="paragraph" w:customStyle="1" w:styleId="72">
    <w:name w:val="Char3"/>
    <w:basedOn w:val="1"/>
    <w:qFormat/>
    <w:uiPriority w:val="0"/>
    <w:pPr>
      <w:tabs>
        <w:tab w:val="left" w:pos="360"/>
      </w:tabs>
    </w:pPr>
    <w:rPr>
      <w:szCs w:val="24"/>
    </w:rPr>
  </w:style>
  <w:style w:type="paragraph" w:customStyle="1" w:styleId="73">
    <w:name w:val="case31"/>
    <w:basedOn w:val="1"/>
    <w:qFormat/>
    <w:uiPriority w:val="0"/>
    <w:pPr>
      <w:widowControl/>
      <w:spacing w:before="100" w:beforeAutospacing="1" w:after="100" w:afterAutospacing="1"/>
      <w:jc w:val="left"/>
    </w:pPr>
    <w:rPr>
      <w:rFonts w:hAnsi="宋体"/>
      <w:color w:val="000000"/>
      <w:szCs w:val="24"/>
    </w:rPr>
  </w:style>
  <w:style w:type="paragraph" w:customStyle="1" w:styleId="74">
    <w:name w:val="1册标题2"/>
    <w:basedOn w:val="1"/>
    <w:next w:val="1"/>
    <w:qFormat/>
    <w:uiPriority w:val="0"/>
    <w:pPr>
      <w:adjustRightInd w:val="0"/>
      <w:spacing w:beforeLines="50" w:afterLines="50" w:line="300" w:lineRule="auto"/>
      <w:jc w:val="center"/>
      <w:textAlignment w:val="baseline"/>
      <w:outlineLvl w:val="1"/>
    </w:pPr>
    <w:rPr>
      <w:rFonts w:ascii="Arial" w:hAnsi="Arial" w:eastAsia="黑体"/>
      <w:bCs/>
      <w:sz w:val="32"/>
      <w:szCs w:val="24"/>
    </w:rPr>
  </w:style>
  <w:style w:type="paragraph" w:customStyle="1" w:styleId="75">
    <w:name w:val="正文序号 3"/>
    <w:basedOn w:val="1"/>
    <w:qFormat/>
    <w:uiPriority w:val="0"/>
    <w:pPr>
      <w:numPr>
        <w:ilvl w:val="2"/>
        <w:numId w:val="2"/>
      </w:numPr>
      <w:spacing w:before="60"/>
    </w:pPr>
    <w:rPr>
      <w:szCs w:val="24"/>
    </w:rPr>
  </w:style>
  <w:style w:type="paragraph" w:customStyle="1" w:styleId="76">
    <w:name w:val="_Style 62"/>
    <w:link w:val="136"/>
    <w:qFormat/>
    <w:uiPriority w:val="1"/>
    <w:pPr>
      <w:widowControl w:val="0"/>
      <w:jc w:val="both"/>
    </w:pPr>
    <w:rPr>
      <w:rFonts w:ascii="Calibri" w:hAnsi="Calibri" w:eastAsia="宋体" w:cs="Times New Roman"/>
      <w:kern w:val="2"/>
      <w:sz w:val="21"/>
      <w:szCs w:val="22"/>
      <w:lang w:val="en-US" w:eastAsia="zh-CN" w:bidi="ar-SA"/>
    </w:rPr>
  </w:style>
  <w:style w:type="paragraph" w:customStyle="1" w:styleId="77">
    <w:name w:val="?§?§?¨¤?§o????¨¤?"/>
    <w:basedOn w:val="1"/>
    <w:qFormat/>
    <w:uiPriority w:val="0"/>
    <w:pPr>
      <w:autoSpaceDE w:val="0"/>
      <w:autoSpaceDN w:val="0"/>
      <w:adjustRightInd w:val="0"/>
      <w:jc w:val="left"/>
    </w:pPr>
  </w:style>
  <w:style w:type="paragraph" w:customStyle="1" w:styleId="78">
    <w:name w:val="表注1"/>
    <w:basedOn w:val="1"/>
    <w:qFormat/>
    <w:uiPriority w:val="0"/>
    <w:pPr>
      <w:adjustRightInd w:val="0"/>
      <w:snapToGrid w:val="0"/>
      <w:spacing w:beforeLines="50" w:line="300" w:lineRule="auto"/>
      <w:ind w:left="350" w:hanging="350" w:hangingChars="350"/>
    </w:pPr>
    <w:rPr>
      <w:rFonts w:eastAsia="仿宋_GB2312"/>
      <w:bCs/>
      <w:color w:val="000000"/>
      <w:szCs w:val="24"/>
    </w:rPr>
  </w:style>
  <w:style w:type="paragraph" w:customStyle="1" w:styleId="79">
    <w:name w:val="reader-word-layer"/>
    <w:basedOn w:val="1"/>
    <w:qFormat/>
    <w:uiPriority w:val="0"/>
    <w:pPr>
      <w:widowControl/>
      <w:spacing w:before="100" w:beforeAutospacing="1" w:after="100" w:afterAutospacing="1"/>
      <w:jc w:val="left"/>
    </w:pPr>
    <w:rPr>
      <w:rFonts w:hAnsi="宋体" w:cs="宋体"/>
      <w:szCs w:val="24"/>
    </w:rPr>
  </w:style>
  <w:style w:type="paragraph" w:customStyle="1" w:styleId="80">
    <w:name w:val="Char"/>
    <w:basedOn w:val="1"/>
    <w:qFormat/>
    <w:uiPriority w:val="0"/>
    <w:rPr>
      <w:rFonts w:hAnsi="宋体"/>
      <w:szCs w:val="24"/>
    </w:rPr>
  </w:style>
  <w:style w:type="paragraph" w:customStyle="1" w:styleId="81">
    <w:name w:val="样式 正文缩进 + 首行缩进:  2 字符 段前: 0.5 行 段后: 0.5 行"/>
    <w:basedOn w:val="5"/>
    <w:link w:val="169"/>
    <w:qFormat/>
    <w:uiPriority w:val="0"/>
    <w:pPr>
      <w:spacing w:beforeLines="50" w:afterLines="50" w:line="360" w:lineRule="auto"/>
      <w:ind w:firstLine="480"/>
    </w:pPr>
    <w:rPr>
      <w:sz w:val="24"/>
      <w:szCs w:val="20"/>
    </w:rPr>
  </w:style>
  <w:style w:type="paragraph" w:customStyle="1" w:styleId="82">
    <w:name w:val="日期1"/>
    <w:basedOn w:val="1"/>
    <w:next w:val="1"/>
    <w:qFormat/>
    <w:uiPriority w:val="0"/>
    <w:rPr>
      <w:rFonts w:ascii="黑体" w:eastAsia="黑体"/>
      <w:sz w:val="28"/>
    </w:rPr>
  </w:style>
  <w:style w:type="paragraph" w:customStyle="1" w:styleId="83">
    <w:name w:val="正文序号 1"/>
    <w:basedOn w:val="1"/>
    <w:qFormat/>
    <w:uiPriority w:val="0"/>
    <w:pPr>
      <w:numPr>
        <w:ilvl w:val="0"/>
        <w:numId w:val="2"/>
      </w:numPr>
      <w:spacing w:before="60"/>
    </w:pPr>
    <w:rPr>
      <w:szCs w:val="24"/>
    </w:rPr>
  </w:style>
  <w:style w:type="paragraph" w:customStyle="1" w:styleId="84">
    <w:name w:val="Char Char1"/>
    <w:basedOn w:val="1"/>
    <w:qFormat/>
    <w:uiPriority w:val="0"/>
    <w:pPr>
      <w:widowControl/>
      <w:spacing w:after="160" w:line="240" w:lineRule="exact"/>
      <w:jc w:val="left"/>
    </w:pPr>
    <w:rPr>
      <w:rFonts w:ascii="Verdana" w:hAnsi="Verdana" w:eastAsia="楷体_GB2312"/>
      <w:b/>
      <w:i/>
      <w:iCs/>
      <w:color w:val="000000"/>
      <w:sz w:val="20"/>
      <w:lang w:eastAsia="en-US"/>
    </w:rPr>
  </w:style>
  <w:style w:type="paragraph" w:customStyle="1" w:styleId="85">
    <w:name w:val="表格标题"/>
    <w:basedOn w:val="1"/>
    <w:qFormat/>
    <w:uiPriority w:val="0"/>
    <w:pPr>
      <w:adjustRightInd w:val="0"/>
      <w:snapToGrid w:val="0"/>
      <w:spacing w:beforeLines="50" w:afterLines="50"/>
      <w:ind w:left="22" w:leftChars="8"/>
      <w:jc w:val="center"/>
    </w:pPr>
    <w:rPr>
      <w:b/>
      <w:bCs/>
      <w:color w:val="000000"/>
      <w:sz w:val="32"/>
      <w:szCs w:val="32"/>
    </w:rPr>
  </w:style>
  <w:style w:type="paragraph" w:customStyle="1" w:styleId="86">
    <w:name w:val="目录"/>
    <w:basedOn w:val="1"/>
    <w:qFormat/>
    <w:uiPriority w:val="0"/>
    <w:pPr>
      <w:widowControl/>
      <w:jc w:val="center"/>
    </w:pPr>
    <w:rPr>
      <w:b/>
      <w:sz w:val="36"/>
    </w:rPr>
  </w:style>
  <w:style w:type="paragraph" w:customStyle="1" w:styleId="87">
    <w:name w:val="文字列表"/>
    <w:basedOn w:val="1"/>
    <w:qFormat/>
    <w:uiPriority w:val="0"/>
    <w:pPr>
      <w:tabs>
        <w:tab w:val="left" w:pos="420"/>
      </w:tabs>
      <w:spacing w:line="360" w:lineRule="auto"/>
      <w:ind w:left="358" w:leftChars="128" w:firstLine="2"/>
    </w:pPr>
    <w:rPr>
      <w:spacing w:val="20"/>
      <w:szCs w:val="24"/>
    </w:rPr>
  </w:style>
  <w:style w:type="paragraph" w:customStyle="1" w:styleId="88">
    <w:name w:val="Char121"/>
    <w:basedOn w:val="1"/>
    <w:qFormat/>
    <w:uiPriority w:val="0"/>
    <w:pPr>
      <w:numPr>
        <w:ilvl w:val="0"/>
        <w:numId w:val="3"/>
      </w:numPr>
      <w:tabs>
        <w:tab w:val="left" w:pos="1200"/>
        <w:tab w:val="clear" w:pos="720"/>
      </w:tabs>
      <w:ind w:left="1200" w:hanging="360"/>
    </w:pPr>
    <w:rPr>
      <w:szCs w:val="24"/>
    </w:rPr>
  </w:style>
  <w:style w:type="paragraph" w:customStyle="1" w:styleId="89">
    <w:name w:val="缺省文本"/>
    <w:basedOn w:val="1"/>
    <w:qFormat/>
    <w:uiPriority w:val="0"/>
    <w:pPr>
      <w:autoSpaceDE w:val="0"/>
      <w:autoSpaceDN w:val="0"/>
      <w:adjustRightInd w:val="0"/>
      <w:jc w:val="left"/>
    </w:pPr>
  </w:style>
  <w:style w:type="paragraph" w:customStyle="1" w:styleId="90">
    <w:name w:val="Char Char Char Char"/>
    <w:basedOn w:val="1"/>
    <w:qFormat/>
    <w:uiPriority w:val="0"/>
    <w:pPr>
      <w:widowControl/>
      <w:spacing w:after="160" w:line="240" w:lineRule="exact"/>
      <w:jc w:val="center"/>
    </w:pPr>
    <w:rPr>
      <w:rFonts w:hAnsi="宋体"/>
      <w:b/>
      <w:sz w:val="28"/>
      <w:szCs w:val="28"/>
      <w:lang w:eastAsia="en-US"/>
    </w:rPr>
  </w:style>
  <w:style w:type="paragraph" w:customStyle="1" w:styleId="91">
    <w:name w:val="小标题 2"/>
    <w:basedOn w:val="1"/>
    <w:qFormat/>
    <w:uiPriority w:val="0"/>
    <w:pPr>
      <w:autoSpaceDE w:val="0"/>
      <w:autoSpaceDN w:val="0"/>
      <w:adjustRightInd w:val="0"/>
    </w:pPr>
    <w:rPr>
      <w:rFonts w:ascii="黑体" w:eastAsia="黑体" w:cs="黑体"/>
      <w:szCs w:val="24"/>
    </w:rPr>
  </w:style>
  <w:style w:type="paragraph" w:customStyle="1" w:styleId="92">
    <w:name w:val="_Style 37"/>
    <w:basedOn w:val="1"/>
    <w:qFormat/>
    <w:uiPriority w:val="0"/>
    <w:pPr>
      <w:widowControl/>
      <w:spacing w:after="160" w:line="240" w:lineRule="exact"/>
      <w:jc w:val="center"/>
    </w:pPr>
    <w:rPr>
      <w:rFonts w:hAnsi="宋体"/>
      <w:b/>
      <w:sz w:val="28"/>
      <w:szCs w:val="28"/>
      <w:lang w:eastAsia="en-US"/>
    </w:rPr>
  </w:style>
  <w:style w:type="paragraph" w:customStyle="1" w:styleId="93">
    <w:name w:val="xl51"/>
    <w:basedOn w:val="1"/>
    <w:qFormat/>
    <w:uiPriority w:val="0"/>
    <w:pPr>
      <w:widowControl/>
      <w:spacing w:before="100" w:beforeAutospacing="1" w:after="100" w:afterAutospacing="1"/>
      <w:jc w:val="center"/>
    </w:pPr>
    <w:rPr>
      <w:rFonts w:ascii="Arial Unicode MS" w:hAnsi="Arial Unicode MS" w:eastAsia="Arial Unicode MS"/>
      <w:b/>
      <w:sz w:val="32"/>
    </w:rPr>
  </w:style>
  <w:style w:type="paragraph" w:customStyle="1" w:styleId="94">
    <w:name w:val="Char11"/>
    <w:basedOn w:val="1"/>
    <w:qFormat/>
    <w:uiPriority w:val="0"/>
    <w:rPr>
      <w:rFonts w:hAnsi="宋体"/>
      <w:szCs w:val="24"/>
    </w:rPr>
  </w:style>
  <w:style w:type="paragraph" w:customStyle="1" w:styleId="95">
    <w:name w:val="正文1"/>
    <w:qFormat/>
    <w:uiPriority w:val="0"/>
    <w:pPr>
      <w:widowControl w:val="0"/>
      <w:adjustRightInd w:val="0"/>
      <w:spacing w:line="315" w:lineRule="atLeast"/>
      <w:textAlignment w:val="baseline"/>
    </w:pPr>
    <w:rPr>
      <w:rFonts w:ascii="宋体" w:hAnsi="Times New Roman" w:eastAsia="宋体" w:cs="Times New Roman"/>
      <w:sz w:val="24"/>
      <w:lang w:val="en-US" w:eastAsia="zh-CN" w:bidi="ar-SA"/>
    </w:rPr>
  </w:style>
  <w:style w:type="paragraph" w:customStyle="1" w:styleId="96">
    <w:name w:val="_Style 82"/>
    <w:basedOn w:val="3"/>
    <w:next w:val="1"/>
    <w:qFormat/>
    <w:uiPriority w:val="39"/>
    <w:pPr>
      <w:keepLines/>
      <w:widowControl/>
      <w:spacing w:before="480" w:line="276" w:lineRule="auto"/>
      <w:jc w:val="left"/>
      <w:outlineLvl w:val="9"/>
    </w:pPr>
    <w:rPr>
      <w:rFonts w:ascii="Cambria" w:hAnsi="Cambria" w:eastAsia="宋体"/>
      <w:bCs/>
      <w:color w:val="365F91"/>
      <w:kern w:val="0"/>
      <w:sz w:val="28"/>
      <w:szCs w:val="28"/>
    </w:rPr>
  </w:style>
  <w:style w:type="paragraph" w:customStyle="1" w:styleId="97">
    <w:name w:val="ec_msonormal"/>
    <w:basedOn w:val="1"/>
    <w:qFormat/>
    <w:uiPriority w:val="0"/>
    <w:pPr>
      <w:widowControl/>
      <w:spacing w:before="100" w:beforeAutospacing="1" w:after="100" w:afterAutospacing="1"/>
      <w:jc w:val="left"/>
    </w:pPr>
    <w:rPr>
      <w:rFonts w:hAnsi="宋体" w:cs="宋体"/>
      <w:szCs w:val="24"/>
    </w:rPr>
  </w:style>
  <w:style w:type="paragraph" w:customStyle="1" w:styleId="98">
    <w:name w:val="Form Header 1"/>
    <w:basedOn w:val="1"/>
    <w:next w:val="1"/>
    <w:qFormat/>
    <w:uiPriority w:val="0"/>
    <w:pPr>
      <w:widowControl/>
      <w:spacing w:before="80" w:after="80"/>
      <w:jc w:val="left"/>
    </w:pPr>
    <w:rPr>
      <w:rFonts w:ascii="Arial" w:hAnsi="Arial"/>
      <w:b/>
      <w:lang w:val="de-DE" w:eastAsia="en-US"/>
    </w:rPr>
  </w:style>
  <w:style w:type="paragraph" w:customStyle="1" w:styleId="99">
    <w:name w:val="正文段"/>
    <w:basedOn w:val="1"/>
    <w:qFormat/>
    <w:uiPriority w:val="0"/>
    <w:pPr>
      <w:adjustRightInd w:val="0"/>
      <w:snapToGrid w:val="0"/>
      <w:spacing w:line="360" w:lineRule="auto"/>
    </w:pPr>
    <w:rPr>
      <w:rFonts w:eastAsia="仿宋_GB2312"/>
      <w:spacing w:val="-8"/>
    </w:rPr>
  </w:style>
  <w:style w:type="paragraph" w:customStyle="1" w:styleId="100">
    <w:name w:val="Q/19LGT01—2001"/>
    <w:basedOn w:val="1"/>
    <w:qFormat/>
    <w:uiPriority w:val="0"/>
    <w:pPr>
      <w:tabs>
        <w:tab w:val="left" w:pos="555"/>
      </w:tabs>
      <w:spacing w:line="360" w:lineRule="auto"/>
      <w:ind w:firstLine="420" w:firstLineChars="200"/>
    </w:pPr>
    <w:rPr>
      <w:rFonts w:hAnsi="宋体"/>
      <w:bCs/>
    </w:rPr>
  </w:style>
  <w:style w:type="paragraph" w:customStyle="1" w:styleId="101">
    <w:name w:val="_Style 87"/>
    <w:basedOn w:val="1"/>
    <w:link w:val="164"/>
    <w:qFormat/>
    <w:uiPriority w:val="34"/>
    <w:pPr>
      <w:ind w:firstLine="420" w:firstLineChars="200"/>
    </w:pPr>
    <w:rPr>
      <w:rFonts w:ascii="Calibri" w:hAnsi="Calibri"/>
      <w:kern w:val="2"/>
      <w:sz w:val="21"/>
      <w:szCs w:val="22"/>
    </w:rPr>
  </w:style>
  <w:style w:type="paragraph" w:customStyle="1" w:styleId="102">
    <w:name w:val="表格文字中"/>
    <w:basedOn w:val="1"/>
    <w:qFormat/>
    <w:uiPriority w:val="0"/>
    <w:pPr>
      <w:adjustRightInd w:val="0"/>
      <w:snapToGrid w:val="0"/>
      <w:ind w:left="22" w:leftChars="8"/>
      <w:jc w:val="center"/>
    </w:pPr>
    <w:rPr>
      <w:szCs w:val="24"/>
    </w:rPr>
  </w:style>
  <w:style w:type="paragraph" w:customStyle="1" w:styleId="103">
    <w:name w:val="列出段落1"/>
    <w:basedOn w:val="1"/>
    <w:qFormat/>
    <w:uiPriority w:val="34"/>
    <w:pPr>
      <w:ind w:firstLine="420" w:firstLineChars="200"/>
    </w:pPr>
  </w:style>
  <w:style w:type="paragraph" w:customStyle="1" w:styleId="104">
    <w:name w:val="列出段落11"/>
    <w:basedOn w:val="1"/>
    <w:qFormat/>
    <w:uiPriority w:val="0"/>
    <w:pPr>
      <w:ind w:firstLine="420" w:firstLineChars="200"/>
    </w:pPr>
  </w:style>
  <w:style w:type="paragraph" w:customStyle="1" w:styleId="105">
    <w:name w:val="表格文字"/>
    <w:basedOn w:val="1"/>
    <w:qFormat/>
    <w:uiPriority w:val="0"/>
    <w:pPr>
      <w:spacing w:before="120" w:after="120"/>
    </w:pPr>
    <w:rPr>
      <w:rFonts w:ascii="新宋体" w:hAnsi="宋体" w:eastAsia="新宋体"/>
      <w:bCs/>
      <w:color w:val="000000"/>
      <w:sz w:val="18"/>
      <w:szCs w:val="18"/>
    </w:rPr>
  </w:style>
  <w:style w:type="paragraph" w:customStyle="1" w:styleId="106">
    <w:name w:val="Char1 Char Char Char"/>
    <w:basedOn w:val="1"/>
    <w:qFormat/>
    <w:uiPriority w:val="0"/>
  </w:style>
  <w:style w:type="paragraph" w:customStyle="1" w:styleId="107">
    <w:name w:val="普通(网站)2"/>
    <w:basedOn w:val="1"/>
    <w:qFormat/>
    <w:uiPriority w:val="0"/>
    <w:pPr>
      <w:widowControl/>
      <w:spacing w:before="100" w:beforeAutospacing="1" w:after="100" w:afterAutospacing="1"/>
      <w:jc w:val="left"/>
    </w:pPr>
    <w:rPr>
      <w:rFonts w:hAnsi="宋体" w:cs="宋体"/>
      <w:szCs w:val="24"/>
    </w:rPr>
  </w:style>
  <w:style w:type="paragraph" w:customStyle="1" w:styleId="108">
    <w:name w:val="正文空2格  1."/>
    <w:basedOn w:val="1"/>
    <w:qFormat/>
    <w:uiPriority w:val="0"/>
    <w:pPr>
      <w:adjustRightInd w:val="0"/>
      <w:spacing w:line="360" w:lineRule="auto"/>
      <w:ind w:firstLine="480" w:firstLineChars="200"/>
      <w:textAlignment w:val="baseline"/>
    </w:pPr>
    <w:rPr>
      <w:rFonts w:eastAsia="仿宋" w:cs="宋体"/>
      <w:sz w:val="28"/>
    </w:rPr>
  </w:style>
  <w:style w:type="paragraph" w:customStyle="1" w:styleId="109">
    <w:name w:val="纯文本1"/>
    <w:basedOn w:val="1"/>
    <w:qFormat/>
    <w:uiPriority w:val="0"/>
    <w:pPr>
      <w:spacing w:line="324" w:lineRule="auto"/>
    </w:pPr>
    <w:rPr>
      <w:rFonts w:hAnsi="Courier New" w:cs="Courier New"/>
      <w:szCs w:val="21"/>
    </w:rPr>
  </w:style>
  <w:style w:type="paragraph" w:customStyle="1" w:styleId="110">
    <w:name w:val="正文序号 4"/>
    <w:basedOn w:val="1"/>
    <w:qFormat/>
    <w:uiPriority w:val="0"/>
    <w:pPr>
      <w:numPr>
        <w:ilvl w:val="3"/>
        <w:numId w:val="2"/>
      </w:numPr>
      <w:spacing w:before="60"/>
    </w:pPr>
    <w:rPr>
      <w:szCs w:val="24"/>
    </w:rPr>
  </w:style>
  <w:style w:type="paragraph" w:customStyle="1" w:styleId="111">
    <w:name w:val="Char1"/>
    <w:basedOn w:val="1"/>
    <w:qFormat/>
    <w:uiPriority w:val="0"/>
    <w:pPr>
      <w:tabs>
        <w:tab w:val="left" w:pos="360"/>
      </w:tabs>
      <w:ind w:left="360" w:hanging="360" w:hangingChars="200"/>
    </w:pPr>
    <w:rPr>
      <w:szCs w:val="24"/>
    </w:rPr>
  </w:style>
  <w:style w:type="paragraph" w:customStyle="1" w:styleId="112">
    <w:name w:val="xl24"/>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top"/>
    </w:pPr>
    <w:rPr>
      <w:rFonts w:hAnsi="宋体"/>
      <w:b/>
      <w:bCs/>
      <w:szCs w:val="24"/>
    </w:rPr>
  </w:style>
  <w:style w:type="paragraph" w:customStyle="1" w:styleId="113">
    <w:name w:val="二级条标题"/>
    <w:basedOn w:val="1"/>
    <w:next w:val="1"/>
    <w:qFormat/>
    <w:uiPriority w:val="0"/>
    <w:pPr>
      <w:widowControl/>
      <w:numPr>
        <w:ilvl w:val="3"/>
        <w:numId w:val="4"/>
      </w:numPr>
      <w:jc w:val="left"/>
      <w:outlineLvl w:val="3"/>
    </w:pPr>
    <w:rPr>
      <w:rFonts w:eastAsia="黑体"/>
    </w:rPr>
  </w:style>
  <w:style w:type="paragraph" w:customStyle="1" w:styleId="114">
    <w:name w:val="插图编号"/>
    <w:basedOn w:val="1"/>
    <w:next w:val="5"/>
    <w:qFormat/>
    <w:uiPriority w:val="0"/>
    <w:pPr>
      <w:tabs>
        <w:tab w:val="left" w:pos="1440"/>
      </w:tabs>
      <w:spacing w:line="360" w:lineRule="auto"/>
      <w:ind w:left="1021" w:hanging="1021"/>
    </w:pPr>
    <w:rPr>
      <w:spacing w:val="20"/>
      <w:szCs w:val="24"/>
    </w:rPr>
  </w:style>
  <w:style w:type="paragraph" w:customStyle="1" w:styleId="115">
    <w:name w:val="样式3"/>
    <w:basedOn w:val="24"/>
    <w:qFormat/>
    <w:uiPriority w:val="0"/>
    <w:pPr>
      <w:spacing w:line="0" w:lineRule="atLeast"/>
      <w:outlineLvl w:val="0"/>
    </w:pPr>
    <w:rPr>
      <w:sz w:val="28"/>
    </w:rPr>
  </w:style>
  <w:style w:type="paragraph" w:customStyle="1" w:styleId="116">
    <w:name w:val="样式 WG标题3 + 行距: 固定值 18 磅"/>
    <w:basedOn w:val="1"/>
    <w:qFormat/>
    <w:uiPriority w:val="0"/>
    <w:pPr>
      <w:autoSpaceDE w:val="0"/>
      <w:autoSpaceDN w:val="0"/>
      <w:adjustRightInd w:val="0"/>
      <w:spacing w:line="360" w:lineRule="exact"/>
      <w:ind w:firstLine="200" w:firstLineChars="200"/>
      <w:textAlignment w:val="baseline"/>
      <w:outlineLvl w:val="2"/>
    </w:pPr>
    <w:rPr>
      <w:rFonts w:cs="宋体"/>
      <w:b/>
      <w:bCs/>
      <w:color w:val="000000"/>
      <w:kern w:val="20"/>
    </w:rPr>
  </w:style>
  <w:style w:type="paragraph" w:customStyle="1" w:styleId="117">
    <w:name w:val="正文11"/>
    <w:qFormat/>
    <w:uiPriority w:val="0"/>
    <w:pPr>
      <w:widowControl w:val="0"/>
      <w:adjustRightInd w:val="0"/>
      <w:spacing w:line="315" w:lineRule="atLeast"/>
      <w:textAlignment w:val="baseline"/>
    </w:pPr>
    <w:rPr>
      <w:rFonts w:ascii="宋体" w:hAnsi="Times New Roman" w:eastAsia="宋体" w:cs="Times New Roman"/>
      <w:sz w:val="24"/>
      <w:lang w:val="en-US" w:eastAsia="zh-CN" w:bidi="ar-SA"/>
    </w:rPr>
  </w:style>
  <w:style w:type="paragraph" w:customStyle="1" w:styleId="118">
    <w:name w:val="Char13"/>
    <w:basedOn w:val="1"/>
    <w:qFormat/>
    <w:uiPriority w:val="0"/>
    <w:pPr>
      <w:tabs>
        <w:tab w:val="left" w:pos="360"/>
      </w:tabs>
      <w:ind w:left="360" w:hanging="360" w:hangingChars="200"/>
    </w:pPr>
    <w:rPr>
      <w:szCs w:val="24"/>
    </w:rPr>
  </w:style>
  <w:style w:type="paragraph" w:customStyle="1" w:styleId="119">
    <w:name w:val="日期11"/>
    <w:basedOn w:val="1"/>
    <w:next w:val="1"/>
    <w:qFormat/>
    <w:uiPriority w:val="0"/>
    <w:rPr>
      <w:rFonts w:ascii="黑体" w:eastAsia="黑体"/>
      <w:sz w:val="28"/>
    </w:rPr>
  </w:style>
  <w:style w:type="paragraph" w:customStyle="1" w:styleId="120">
    <w:name w:val="Table Paragraph"/>
    <w:basedOn w:val="1"/>
    <w:qFormat/>
    <w:uiPriority w:val="1"/>
    <w:rPr>
      <w:rFonts w:hAnsi="宋体" w:cs="宋体"/>
      <w:lang w:val="zh-CN" w:bidi="zh-CN"/>
    </w:rPr>
  </w:style>
  <w:style w:type="paragraph" w:customStyle="1" w:styleId="121">
    <w:name w:val="正文序号 2"/>
    <w:basedOn w:val="1"/>
    <w:qFormat/>
    <w:uiPriority w:val="0"/>
    <w:pPr>
      <w:numPr>
        <w:ilvl w:val="1"/>
        <w:numId w:val="2"/>
      </w:numPr>
      <w:spacing w:before="60"/>
    </w:pPr>
    <w:rPr>
      <w:szCs w:val="24"/>
    </w:rPr>
  </w:style>
  <w:style w:type="paragraph" w:customStyle="1" w:styleId="122">
    <w:name w:val="Char12"/>
    <w:basedOn w:val="1"/>
    <w:qFormat/>
    <w:uiPriority w:val="0"/>
    <w:pPr>
      <w:tabs>
        <w:tab w:val="left" w:pos="360"/>
      </w:tabs>
    </w:pPr>
    <w:rPr>
      <w:szCs w:val="24"/>
    </w:rPr>
  </w:style>
  <w:style w:type="paragraph" w:customStyle="1" w:styleId="123">
    <w:name w:val="招标书 正文"/>
    <w:basedOn w:val="1"/>
    <w:link w:val="141"/>
    <w:qFormat/>
    <w:uiPriority w:val="0"/>
    <w:pPr>
      <w:widowControl/>
      <w:snapToGrid w:val="0"/>
      <w:spacing w:line="560" w:lineRule="exact"/>
      <w:ind w:firstLine="560" w:firstLineChars="200"/>
      <w:jc w:val="left"/>
    </w:pPr>
    <w:rPr>
      <w:rFonts w:hAnsi="宋体"/>
      <w:color w:val="000000"/>
      <w:szCs w:val="28"/>
    </w:rPr>
  </w:style>
  <w:style w:type="paragraph" w:customStyle="1" w:styleId="124">
    <w:name w:val="表内文字"/>
    <w:basedOn w:val="1"/>
    <w:qFormat/>
    <w:uiPriority w:val="0"/>
    <w:pPr>
      <w:jc w:val="left"/>
    </w:pPr>
    <w:rPr>
      <w:szCs w:val="24"/>
    </w:rPr>
  </w:style>
  <w:style w:type="paragraph" w:customStyle="1" w:styleId="125">
    <w:name w:val="标准"/>
    <w:basedOn w:val="1"/>
    <w:qFormat/>
    <w:uiPriority w:val="0"/>
    <w:pPr>
      <w:widowControl/>
      <w:autoSpaceDE w:val="0"/>
      <w:autoSpaceDN w:val="0"/>
      <w:adjustRightInd w:val="0"/>
      <w:spacing w:line="318" w:lineRule="atLeast"/>
    </w:pPr>
    <w:rPr>
      <w:rFonts w:ascii="楷体_GB2312" w:hAnsi="宋体" w:eastAsia="楷体_GB2312" w:cs="宋体"/>
    </w:rPr>
  </w:style>
  <w:style w:type="character" w:customStyle="1" w:styleId="126">
    <w:name w:val="正文缩进 字符"/>
    <w:link w:val="5"/>
    <w:qFormat/>
    <w:uiPriority w:val="0"/>
    <w:rPr>
      <w:kern w:val="2"/>
      <w:sz w:val="21"/>
      <w:szCs w:val="24"/>
    </w:rPr>
  </w:style>
  <w:style w:type="character" w:customStyle="1" w:styleId="127">
    <w:name w:val="批注主题 字符"/>
    <w:link w:val="45"/>
    <w:qFormat/>
    <w:uiPriority w:val="0"/>
    <w:rPr>
      <w:rFonts w:eastAsia="宋体"/>
      <w:b/>
      <w:bCs/>
      <w:kern w:val="2"/>
      <w:sz w:val="21"/>
      <w:szCs w:val="24"/>
      <w:lang w:val="en-US" w:eastAsia="zh-CN" w:bidi="ar-SA"/>
    </w:rPr>
  </w:style>
  <w:style w:type="character" w:customStyle="1" w:styleId="128">
    <w:name w:val="base"/>
    <w:basedOn w:val="50"/>
    <w:qFormat/>
    <w:uiPriority w:val="0"/>
  </w:style>
  <w:style w:type="character" w:customStyle="1" w:styleId="129">
    <w:name w:val="批注框文本 字符"/>
    <w:link w:val="28"/>
    <w:qFormat/>
    <w:uiPriority w:val="99"/>
    <w:rPr>
      <w:kern w:val="2"/>
      <w:sz w:val="18"/>
      <w:szCs w:val="18"/>
    </w:rPr>
  </w:style>
  <w:style w:type="character" w:customStyle="1" w:styleId="130">
    <w:name w:val="副标题 字符"/>
    <w:link w:val="33"/>
    <w:qFormat/>
    <w:uiPriority w:val="0"/>
    <w:rPr>
      <w:rFonts w:ascii="Cambria" w:hAnsi="Cambria"/>
      <w:b/>
      <w:bCs/>
      <w:kern w:val="28"/>
      <w:sz w:val="32"/>
      <w:szCs w:val="32"/>
    </w:rPr>
  </w:style>
  <w:style w:type="character" w:customStyle="1" w:styleId="131">
    <w:name w:val="页脚 字符"/>
    <w:link w:val="29"/>
    <w:qFormat/>
    <w:uiPriority w:val="0"/>
    <w:rPr>
      <w:rFonts w:eastAsia="宋体"/>
      <w:kern w:val="2"/>
      <w:sz w:val="18"/>
      <w:szCs w:val="18"/>
      <w:lang w:val="en-US" w:eastAsia="zh-CN" w:bidi="ar-SA"/>
    </w:rPr>
  </w:style>
  <w:style w:type="character" w:customStyle="1" w:styleId="132">
    <w:name w:val="Char Char5"/>
    <w:qFormat/>
    <w:uiPriority w:val="0"/>
    <w:rPr>
      <w:rFonts w:ascii="宋体" w:hAnsi="Courier New" w:eastAsia="宋体"/>
      <w:kern w:val="2"/>
      <w:sz w:val="21"/>
      <w:lang w:val="en-US" w:eastAsia="zh-CN" w:bidi="ar-SA"/>
    </w:rPr>
  </w:style>
  <w:style w:type="character" w:customStyle="1" w:styleId="133">
    <w:name w:val="标题 6 字符"/>
    <w:link w:val="9"/>
    <w:qFormat/>
    <w:uiPriority w:val="0"/>
    <w:rPr>
      <w:rFonts w:ascii="Arial Unicode MS" w:hAnsi="Arial Unicode MS"/>
      <w:bCs/>
      <w:kern w:val="2"/>
      <w:sz w:val="24"/>
      <w:szCs w:val="24"/>
    </w:rPr>
  </w:style>
  <w:style w:type="character" w:customStyle="1" w:styleId="134">
    <w:name w:val="题注 字符"/>
    <w:link w:val="15"/>
    <w:qFormat/>
    <w:uiPriority w:val="0"/>
    <w:rPr>
      <w:rFonts w:ascii="Arial" w:hAnsi="Arial" w:eastAsia="黑体" w:cs="Arial"/>
      <w:kern w:val="2"/>
    </w:rPr>
  </w:style>
  <w:style w:type="character" w:customStyle="1" w:styleId="135">
    <w:name w:val="标题 1 字符"/>
    <w:link w:val="3"/>
    <w:qFormat/>
    <w:uiPriority w:val="0"/>
    <w:rPr>
      <w:rFonts w:ascii="仿宋_GB2312" w:hAnsi="宋体" w:eastAsia="仿宋_GB2312"/>
      <w:b/>
      <w:kern w:val="2"/>
      <w:sz w:val="32"/>
    </w:rPr>
  </w:style>
  <w:style w:type="character" w:customStyle="1" w:styleId="136">
    <w:name w:val="无间隔 Char"/>
    <w:link w:val="76"/>
    <w:qFormat/>
    <w:uiPriority w:val="1"/>
    <w:rPr>
      <w:rFonts w:ascii="Calibri" w:hAnsi="Calibri"/>
      <w:kern w:val="2"/>
      <w:sz w:val="21"/>
      <w:szCs w:val="22"/>
      <w:lang w:val="en-US" w:eastAsia="zh-CN" w:bidi="ar-SA"/>
    </w:rPr>
  </w:style>
  <w:style w:type="character" w:customStyle="1" w:styleId="137">
    <w:name w:val="ziti12-333-25"/>
    <w:basedOn w:val="50"/>
    <w:qFormat/>
    <w:uiPriority w:val="0"/>
  </w:style>
  <w:style w:type="character" w:customStyle="1" w:styleId="138">
    <w:name w:val="副标题 Char1"/>
    <w:qFormat/>
    <w:uiPriority w:val="11"/>
    <w:rPr>
      <w:rFonts w:ascii="Cambria" w:hAnsi="Cambria" w:cs="Times New Roman"/>
      <w:b/>
      <w:bCs/>
      <w:kern w:val="28"/>
      <w:sz w:val="32"/>
      <w:szCs w:val="32"/>
    </w:rPr>
  </w:style>
  <w:style w:type="character" w:customStyle="1" w:styleId="139">
    <w:name w:val="style5 style5"/>
    <w:basedOn w:val="50"/>
    <w:qFormat/>
    <w:uiPriority w:val="0"/>
  </w:style>
  <w:style w:type="character" w:customStyle="1" w:styleId="140">
    <w:name w:val="正文文本 3 Char1"/>
    <w:semiHidden/>
    <w:qFormat/>
    <w:uiPriority w:val="99"/>
    <w:rPr>
      <w:kern w:val="2"/>
      <w:sz w:val="16"/>
      <w:szCs w:val="16"/>
    </w:rPr>
  </w:style>
  <w:style w:type="character" w:customStyle="1" w:styleId="141">
    <w:name w:val="招标书 正文 Char Char"/>
    <w:link w:val="123"/>
    <w:qFormat/>
    <w:uiPriority w:val="0"/>
    <w:rPr>
      <w:rFonts w:ascii="宋体" w:hAnsi="宋体"/>
      <w:color w:val="000000"/>
      <w:sz w:val="24"/>
      <w:szCs w:val="28"/>
    </w:rPr>
  </w:style>
  <w:style w:type="character" w:customStyle="1" w:styleId="142">
    <w:name w:val="emtidy-6"/>
    <w:basedOn w:val="50"/>
    <w:qFormat/>
    <w:uiPriority w:val="0"/>
  </w:style>
  <w:style w:type="character" w:customStyle="1" w:styleId="143">
    <w:name w:val="标题 3 字符"/>
    <w:link w:val="6"/>
    <w:qFormat/>
    <w:uiPriority w:val="0"/>
    <w:rPr>
      <w:b/>
      <w:bCs/>
      <w:kern w:val="2"/>
      <w:sz w:val="24"/>
      <w:szCs w:val="24"/>
    </w:rPr>
  </w:style>
  <w:style w:type="character" w:customStyle="1" w:styleId="144">
    <w:name w:val="emtidy-4"/>
    <w:basedOn w:val="50"/>
    <w:qFormat/>
    <w:uiPriority w:val="0"/>
  </w:style>
  <w:style w:type="character" w:customStyle="1" w:styleId="145">
    <w:name w:val="日期 字符"/>
    <w:link w:val="26"/>
    <w:qFormat/>
    <w:uiPriority w:val="0"/>
    <w:rPr>
      <w:kern w:val="2"/>
      <w:sz w:val="28"/>
    </w:rPr>
  </w:style>
  <w:style w:type="character" w:customStyle="1" w:styleId="146">
    <w:name w:val="emtidy-2"/>
    <w:basedOn w:val="50"/>
    <w:qFormat/>
    <w:uiPriority w:val="0"/>
  </w:style>
  <w:style w:type="character" w:customStyle="1" w:styleId="147">
    <w:name w:val="正文文本 字符"/>
    <w:link w:val="2"/>
    <w:qFormat/>
    <w:uiPriority w:val="0"/>
    <w:rPr>
      <w:kern w:val="2"/>
      <w:sz w:val="21"/>
    </w:rPr>
  </w:style>
  <w:style w:type="character" w:customStyle="1" w:styleId="148">
    <w:name w:val="ca-01"/>
    <w:qFormat/>
    <w:uiPriority w:val="0"/>
    <w:rPr>
      <w:rFonts w:hint="eastAsia" w:ascii="宋体" w:hAnsi="宋体" w:eastAsia="宋体"/>
      <w:sz w:val="28"/>
      <w:szCs w:val="28"/>
    </w:rPr>
  </w:style>
  <w:style w:type="character" w:customStyle="1" w:styleId="149">
    <w:name w:val="正文文本 3 字符"/>
    <w:link w:val="18"/>
    <w:qFormat/>
    <w:uiPriority w:val="0"/>
    <w:rPr>
      <w:b/>
      <w:spacing w:val="-20"/>
      <w:w w:val="110"/>
      <w:kern w:val="2"/>
      <w:sz w:val="52"/>
    </w:rPr>
  </w:style>
  <w:style w:type="character" w:customStyle="1" w:styleId="150">
    <w:name w:val="正文文本缩进 3 字符"/>
    <w:link w:val="37"/>
    <w:qFormat/>
    <w:uiPriority w:val="0"/>
    <w:rPr>
      <w:rFonts w:ascii="宋体" w:hAnsi="宋体"/>
      <w:spacing w:val="4"/>
      <w:kern w:val="2"/>
      <w:sz w:val="21"/>
    </w:rPr>
  </w:style>
  <w:style w:type="character" w:customStyle="1" w:styleId="151">
    <w:name w:val="unnamed11"/>
    <w:basedOn w:val="50"/>
    <w:qFormat/>
    <w:uiPriority w:val="0"/>
  </w:style>
  <w:style w:type="character" w:customStyle="1" w:styleId="152">
    <w:name w:val="标题 4 字符"/>
    <w:link w:val="7"/>
    <w:qFormat/>
    <w:uiPriority w:val="0"/>
    <w:rPr>
      <w:rFonts w:ascii="Arial" w:hAnsi="Arial"/>
      <w:bCs/>
      <w:kern w:val="2"/>
      <w:sz w:val="24"/>
      <w:szCs w:val="28"/>
    </w:rPr>
  </w:style>
  <w:style w:type="character" w:customStyle="1" w:styleId="153">
    <w:name w:val="批注文字 字符"/>
    <w:link w:val="17"/>
    <w:qFormat/>
    <w:uiPriority w:val="99"/>
    <w:rPr>
      <w:rFonts w:eastAsia="宋体"/>
      <w:kern w:val="2"/>
      <w:sz w:val="21"/>
      <w:szCs w:val="24"/>
      <w:lang w:val="en-US" w:eastAsia="zh-CN" w:bidi="ar-SA"/>
    </w:rPr>
  </w:style>
  <w:style w:type="character" w:customStyle="1" w:styleId="154">
    <w:name w:val="纯文本 字符"/>
    <w:link w:val="24"/>
    <w:qFormat/>
    <w:uiPriority w:val="99"/>
    <w:rPr>
      <w:rFonts w:ascii="宋体" w:hAnsi="Courier New" w:eastAsia="宋体"/>
      <w:kern w:val="2"/>
      <w:sz w:val="21"/>
      <w:lang w:val="en-US" w:eastAsia="zh-CN" w:bidi="ar-SA"/>
    </w:rPr>
  </w:style>
  <w:style w:type="character" w:customStyle="1" w:styleId="155">
    <w:name w:val="introduction1"/>
    <w:qFormat/>
    <w:uiPriority w:val="0"/>
  </w:style>
  <w:style w:type="character" w:customStyle="1" w:styleId="156">
    <w:name w:val="纯文本 Char1"/>
    <w:qFormat/>
    <w:locked/>
    <w:uiPriority w:val="99"/>
    <w:rPr>
      <w:rFonts w:ascii="宋体" w:hAnsi="Courier New" w:eastAsia="宋体" w:cs="Courier New"/>
      <w:kern w:val="2"/>
      <w:sz w:val="21"/>
      <w:szCs w:val="21"/>
      <w:lang w:val="en-US" w:eastAsia="zh-CN" w:bidi="ar-SA"/>
    </w:rPr>
  </w:style>
  <w:style w:type="character" w:customStyle="1" w:styleId="157">
    <w:name w:val="para1"/>
    <w:qFormat/>
    <w:uiPriority w:val="0"/>
    <w:rPr>
      <w:rFonts w:hint="default" w:ascii="Arial" w:hAnsi="Arial" w:cs="Arial"/>
      <w:sz w:val="18"/>
      <w:szCs w:val="18"/>
    </w:rPr>
  </w:style>
  <w:style w:type="character" w:customStyle="1" w:styleId="158">
    <w:name w:val="emtidy-5"/>
    <w:basedOn w:val="50"/>
    <w:qFormat/>
    <w:uiPriority w:val="0"/>
  </w:style>
  <w:style w:type="character" w:customStyle="1" w:styleId="159">
    <w:name w:val="正文文本 2 Char1"/>
    <w:semiHidden/>
    <w:qFormat/>
    <w:uiPriority w:val="99"/>
    <w:rPr>
      <w:kern w:val="2"/>
      <w:sz w:val="21"/>
    </w:rPr>
  </w:style>
  <w:style w:type="character" w:customStyle="1" w:styleId="160">
    <w:name w:val="正文文本缩进 字符"/>
    <w:link w:val="19"/>
    <w:qFormat/>
    <w:uiPriority w:val="0"/>
    <w:rPr>
      <w:sz w:val="28"/>
    </w:rPr>
  </w:style>
  <w:style w:type="character" w:customStyle="1" w:styleId="161">
    <w:name w:val="标题 9 字符"/>
    <w:link w:val="12"/>
    <w:qFormat/>
    <w:uiPriority w:val="0"/>
    <w:rPr>
      <w:rFonts w:ascii="Arial" w:hAnsi="Arial" w:eastAsia="黑体"/>
      <w:kern w:val="2"/>
      <w:sz w:val="21"/>
      <w:szCs w:val="21"/>
    </w:rPr>
  </w:style>
  <w:style w:type="character" w:customStyle="1" w:styleId="162">
    <w:name w:val="hui3"/>
    <w:qFormat/>
    <w:uiPriority w:val="0"/>
    <w:rPr>
      <w:color w:val="333333"/>
    </w:rPr>
  </w:style>
  <w:style w:type="character" w:customStyle="1" w:styleId="163">
    <w:name w:val="文档结构图 字符"/>
    <w:link w:val="16"/>
    <w:qFormat/>
    <w:uiPriority w:val="0"/>
    <w:rPr>
      <w:kern w:val="2"/>
      <w:sz w:val="21"/>
      <w:shd w:val="clear" w:color="auto" w:fill="000080"/>
    </w:rPr>
  </w:style>
  <w:style w:type="character" w:customStyle="1" w:styleId="164">
    <w:name w:val="列出段落 Char"/>
    <w:link w:val="101"/>
    <w:qFormat/>
    <w:uiPriority w:val="34"/>
    <w:rPr>
      <w:rFonts w:ascii="Calibri" w:hAnsi="Calibri"/>
      <w:kern w:val="2"/>
      <w:sz w:val="21"/>
      <w:szCs w:val="22"/>
    </w:rPr>
  </w:style>
  <w:style w:type="character" w:customStyle="1" w:styleId="165">
    <w:name w:val="页眉 字符"/>
    <w:link w:val="30"/>
    <w:qFormat/>
    <w:uiPriority w:val="99"/>
    <w:rPr>
      <w:rFonts w:eastAsia="宋体"/>
      <w:kern w:val="2"/>
      <w:sz w:val="18"/>
      <w:szCs w:val="18"/>
      <w:lang w:val="en-US" w:eastAsia="zh-CN" w:bidi="ar-SA"/>
    </w:rPr>
  </w:style>
  <w:style w:type="character" w:customStyle="1" w:styleId="166">
    <w:name w:val="标题 8 字符"/>
    <w:link w:val="11"/>
    <w:qFormat/>
    <w:uiPriority w:val="0"/>
    <w:rPr>
      <w:rFonts w:ascii="仿宋_GB2312" w:eastAsia="仿宋_GB2312"/>
      <w:b/>
      <w:kern w:val="2"/>
      <w:sz w:val="24"/>
    </w:rPr>
  </w:style>
  <w:style w:type="character" w:customStyle="1" w:styleId="167">
    <w:name w:val="c1"/>
    <w:qFormat/>
    <w:uiPriority w:val="0"/>
    <w:rPr>
      <w:sz w:val="28"/>
      <w:szCs w:val="28"/>
    </w:rPr>
  </w:style>
  <w:style w:type="character" w:customStyle="1" w:styleId="168">
    <w:name w:val="Char Char7"/>
    <w:qFormat/>
    <w:uiPriority w:val="0"/>
    <w:rPr>
      <w:rFonts w:ascii="宋体" w:hAnsi="Courier New" w:eastAsia="宋体"/>
      <w:kern w:val="2"/>
      <w:sz w:val="21"/>
      <w:lang w:val="en-US" w:eastAsia="zh-CN" w:bidi="ar-SA"/>
    </w:rPr>
  </w:style>
  <w:style w:type="character" w:customStyle="1" w:styleId="169">
    <w:name w:val="样式 正文缩进 + 首行缩进:  2 字符 段前: 0.5 行 段后: 0.5 行 Char Char"/>
    <w:link w:val="81"/>
    <w:qFormat/>
    <w:uiPriority w:val="0"/>
    <w:rPr>
      <w:rFonts w:cs="宋体"/>
      <w:kern w:val="2"/>
      <w:sz w:val="24"/>
    </w:rPr>
  </w:style>
  <w:style w:type="character" w:customStyle="1" w:styleId="170">
    <w:name w:val="emtidy-3"/>
    <w:basedOn w:val="50"/>
    <w:qFormat/>
    <w:uiPriority w:val="0"/>
  </w:style>
  <w:style w:type="character" w:customStyle="1" w:styleId="171">
    <w:name w:val="标题 字符"/>
    <w:link w:val="44"/>
    <w:qFormat/>
    <w:uiPriority w:val="0"/>
    <w:rPr>
      <w:rFonts w:ascii="Cambria" w:hAnsi="Cambria"/>
      <w:b/>
      <w:bCs/>
      <w:kern w:val="2"/>
      <w:sz w:val="32"/>
      <w:szCs w:val="32"/>
    </w:rPr>
  </w:style>
  <w:style w:type="character" w:customStyle="1" w:styleId="172">
    <w:name w:val="标题 2 字符"/>
    <w:link w:val="4"/>
    <w:qFormat/>
    <w:uiPriority w:val="9"/>
    <w:rPr>
      <w:rFonts w:ascii="Arial" w:hAnsi="Arial"/>
      <w:b/>
      <w:bCs/>
      <w:sz w:val="28"/>
      <w:szCs w:val="32"/>
    </w:rPr>
  </w:style>
  <w:style w:type="character" w:customStyle="1" w:styleId="173">
    <w:name w:val="正文文本缩进 2 字符"/>
    <w:link w:val="27"/>
    <w:qFormat/>
    <w:uiPriority w:val="99"/>
    <w:rPr>
      <w:kern w:val="2"/>
      <w:sz w:val="24"/>
    </w:rPr>
  </w:style>
  <w:style w:type="character" w:customStyle="1" w:styleId="174">
    <w:name w:val="标题 7 字符"/>
    <w:link w:val="10"/>
    <w:qFormat/>
    <w:uiPriority w:val="0"/>
    <w:rPr>
      <w:rFonts w:ascii="Arial" w:hAnsi="Arial"/>
      <w:b/>
      <w:color w:val="000000"/>
      <w:kern w:val="2"/>
      <w:sz w:val="15"/>
    </w:rPr>
  </w:style>
  <w:style w:type="character" w:customStyle="1" w:styleId="175">
    <w:name w:val="style31"/>
    <w:qFormat/>
    <w:uiPriority w:val="0"/>
    <w:rPr>
      <w:sz w:val="21"/>
      <w:szCs w:val="21"/>
    </w:rPr>
  </w:style>
  <w:style w:type="character" w:customStyle="1" w:styleId="176">
    <w:name w:val="标题 5 字符"/>
    <w:link w:val="8"/>
    <w:qFormat/>
    <w:uiPriority w:val="0"/>
    <w:rPr>
      <w:rFonts w:ascii="Arial Unicode MS" w:hAnsi="Arial Unicode MS"/>
      <w:bCs/>
      <w:kern w:val="2"/>
      <w:sz w:val="24"/>
      <w:szCs w:val="24"/>
    </w:rPr>
  </w:style>
  <w:style w:type="character" w:customStyle="1" w:styleId="177">
    <w:name w:val="正文文本 2 字符"/>
    <w:link w:val="40"/>
    <w:qFormat/>
    <w:uiPriority w:val="0"/>
    <w:rPr>
      <w:rFonts w:ascii="楷体_GB2312" w:hAnsi="Copperplate Gothic Bold" w:eastAsia="楷体_GB2312"/>
      <w:kern w:val="2"/>
      <w:sz w:val="28"/>
    </w:rPr>
  </w:style>
  <w:style w:type="character" w:customStyle="1" w:styleId="178">
    <w:name w:val="c lh15"/>
    <w:basedOn w:val="50"/>
    <w:qFormat/>
    <w:uiPriority w:val="0"/>
  </w:style>
  <w:style w:type="paragraph" w:customStyle="1" w:styleId="179">
    <w:name w:val="列出段落2"/>
    <w:basedOn w:val="1"/>
    <w:qFormat/>
    <w:uiPriority w:val="34"/>
    <w:pPr>
      <w:ind w:firstLine="420" w:firstLineChars="200"/>
    </w:pPr>
  </w:style>
  <w:style w:type="paragraph" w:customStyle="1" w:styleId="180">
    <w:name w:val="title12"/>
    <w:basedOn w:val="1"/>
    <w:semiHidden/>
    <w:qFormat/>
    <w:uiPriority w:val="99"/>
    <w:pPr>
      <w:widowControl/>
      <w:spacing w:before="150" w:line="510" w:lineRule="atLeast"/>
      <w:jc w:val="left"/>
    </w:pPr>
    <w:rPr>
      <w:rFonts w:hAnsi="宋体" w:cs="宋体"/>
      <w:b/>
      <w:bCs/>
      <w:sz w:val="23"/>
      <w:szCs w:val="23"/>
    </w:rPr>
  </w:style>
  <w:style w:type="paragraph" w:customStyle="1" w:styleId="181">
    <w:name w:val="正文缩进1"/>
    <w:basedOn w:val="1"/>
    <w:qFormat/>
    <w:uiPriority w:val="0"/>
    <w:pPr>
      <w:ind w:firstLine="420" w:firstLineChars="200"/>
    </w:pPr>
  </w:style>
  <w:style w:type="paragraph" w:customStyle="1" w:styleId="182">
    <w:name w:val="正文2"/>
    <w:qFormat/>
    <w:uiPriority w:val="0"/>
    <w:pPr>
      <w:widowControl w:val="0"/>
      <w:adjustRightInd w:val="0"/>
      <w:spacing w:line="315" w:lineRule="atLeast"/>
      <w:textAlignment w:val="baseline"/>
    </w:pPr>
    <w:rPr>
      <w:rFonts w:ascii="宋体" w:hAnsi="Calibri" w:eastAsia="宋体" w:cs="Times New Roman"/>
      <w:sz w:val="24"/>
      <w:lang w:val="en-US" w:eastAsia="zh-CN" w:bidi="ar-SA"/>
    </w:rPr>
  </w:style>
  <w:style w:type="paragraph" w:customStyle="1" w:styleId="183">
    <w:name w:val="List Paragraph1"/>
    <w:basedOn w:val="1"/>
    <w:qFormat/>
    <w:uiPriority w:val="34"/>
    <w:pPr>
      <w:ind w:firstLine="420" w:firstLineChars="200"/>
    </w:pPr>
  </w:style>
  <w:style w:type="paragraph" w:customStyle="1" w:styleId="184">
    <w:name w:val="列出段落3"/>
    <w:basedOn w:val="1"/>
    <w:qFormat/>
    <w:uiPriority w:val="34"/>
    <w:pPr>
      <w:ind w:firstLine="420" w:firstLineChars="200"/>
    </w:pPr>
  </w:style>
  <w:style w:type="character" w:customStyle="1" w:styleId="185">
    <w:name w:val="hour_am"/>
    <w:basedOn w:val="50"/>
    <w:qFormat/>
    <w:uiPriority w:val="0"/>
  </w:style>
  <w:style w:type="character" w:customStyle="1" w:styleId="186">
    <w:name w:val="hover3"/>
    <w:basedOn w:val="50"/>
    <w:qFormat/>
    <w:uiPriority w:val="0"/>
    <w:rPr>
      <w:shd w:val="clear" w:color="auto" w:fill="EEEEEE"/>
    </w:rPr>
  </w:style>
  <w:style w:type="character" w:customStyle="1" w:styleId="187">
    <w:name w:val="old"/>
    <w:basedOn w:val="50"/>
    <w:qFormat/>
    <w:uiPriority w:val="0"/>
    <w:rPr>
      <w:color w:val="999999"/>
    </w:rPr>
  </w:style>
  <w:style w:type="character" w:customStyle="1" w:styleId="188">
    <w:name w:val="glyphicon4"/>
    <w:basedOn w:val="50"/>
    <w:qFormat/>
    <w:uiPriority w:val="0"/>
  </w:style>
  <w:style w:type="character" w:customStyle="1" w:styleId="189">
    <w:name w:val="hour_pm"/>
    <w:basedOn w:val="50"/>
    <w:qFormat/>
    <w:uiPriority w:val="0"/>
  </w:style>
  <w:style w:type="character" w:customStyle="1" w:styleId="190">
    <w:name w:val="indent"/>
    <w:basedOn w:val="50"/>
    <w:qFormat/>
    <w:uiPriority w:val="0"/>
  </w:style>
  <w:style w:type="character" w:customStyle="1" w:styleId="191">
    <w:name w:val="button"/>
    <w:basedOn w:val="50"/>
    <w:qFormat/>
    <w:uiPriority w:val="0"/>
  </w:style>
  <w:style w:type="character" w:customStyle="1" w:styleId="192">
    <w:name w:val="tmpztreemove_arrow"/>
    <w:basedOn w:val="50"/>
    <w:qFormat/>
    <w:uiPriority w:val="0"/>
    <w:rPr>
      <w:shd w:val="clear" w:color="auto" w:fill="FFFFFF"/>
    </w:rPr>
  </w:style>
  <w:style w:type="character" w:customStyle="1" w:styleId="193">
    <w:name w:val="stclosebtn"/>
    <w:basedOn w:val="50"/>
    <w:qFormat/>
    <w:uiPriority w:val="0"/>
  </w:style>
  <w:style w:type="character" w:customStyle="1" w:styleId="194">
    <w:name w:val="phone"/>
    <w:basedOn w:val="50"/>
    <w:qFormat/>
    <w:uiPriority w:val="0"/>
    <w:rPr>
      <w:color w:val="FF8833"/>
      <w:sz w:val="18"/>
      <w:szCs w:val="18"/>
    </w:rPr>
  </w:style>
  <w:style w:type="character" w:customStyle="1" w:styleId="195">
    <w:name w:val="span-long"/>
    <w:basedOn w:val="50"/>
    <w:qFormat/>
    <w:uiPriority w:val="0"/>
  </w:style>
  <w:style w:type="character" w:customStyle="1" w:styleId="196">
    <w:name w:val="proollist"/>
    <w:basedOn w:val="50"/>
    <w:qFormat/>
    <w:uiPriority w:val="0"/>
  </w:style>
  <w:style w:type="character" w:customStyle="1" w:styleId="197">
    <w:name w:val="input-direction"/>
    <w:basedOn w:val="50"/>
    <w:qFormat/>
    <w:uiPriority w:val="0"/>
    <w:rPr>
      <w:color w:val="FF6600"/>
    </w:rPr>
  </w:style>
  <w:style w:type="character" w:customStyle="1" w:styleId="198">
    <w:name w:val="beforeinfotext"/>
    <w:basedOn w:val="50"/>
    <w:qFormat/>
    <w:uiPriority w:val="0"/>
    <w:rPr>
      <w:color w:val="666666"/>
    </w:rPr>
  </w:style>
  <w:style w:type="character" w:customStyle="1" w:styleId="199">
    <w:name w:val="hilite6"/>
    <w:basedOn w:val="50"/>
    <w:qFormat/>
    <w:uiPriority w:val="0"/>
    <w:rPr>
      <w:color w:val="FFFFFF"/>
      <w:shd w:val="clear" w:color="auto" w:fill="666677"/>
    </w:rPr>
  </w:style>
  <w:style w:type="character" w:customStyle="1" w:styleId="200">
    <w:name w:val="active4"/>
    <w:basedOn w:val="50"/>
    <w:qFormat/>
    <w:uiPriority w:val="0"/>
    <w:rPr>
      <w:color w:val="00FF00"/>
      <w:shd w:val="clear" w:color="auto" w:fill="000000"/>
    </w:rPr>
  </w:style>
  <w:style w:type="character" w:customStyle="1" w:styleId="201">
    <w:name w:val="number"/>
    <w:basedOn w:val="50"/>
    <w:qFormat/>
    <w:uiPriority w:val="0"/>
    <w:rPr>
      <w:color w:val="FF8833"/>
      <w:sz w:val="18"/>
      <w:szCs w:val="18"/>
    </w:rPr>
  </w:style>
  <w:style w:type="character" w:customStyle="1" w:styleId="202">
    <w:name w:val="active"/>
    <w:basedOn w:val="50"/>
    <w:qFormat/>
    <w:uiPriority w:val="0"/>
    <w:rPr>
      <w:color w:val="00FF00"/>
      <w:shd w:val="clear" w:color="auto" w:fill="000000"/>
    </w:rPr>
  </w:style>
  <w:style w:type="character" w:customStyle="1" w:styleId="203">
    <w:name w:val="hover2"/>
    <w:basedOn w:val="50"/>
    <w:qFormat/>
    <w:uiPriority w:val="0"/>
    <w:rPr>
      <w:shd w:val="clear" w:color="auto" w:fill="EEEEEE"/>
    </w:rPr>
  </w:style>
  <w:style w:type="character" w:customStyle="1" w:styleId="204">
    <w:name w:val="glyphicon"/>
    <w:basedOn w:val="50"/>
    <w:qFormat/>
    <w:uiPriority w:val="0"/>
  </w:style>
  <w:style w:type="character" w:customStyle="1" w:styleId="205">
    <w:name w:val="hover"/>
    <w:basedOn w:val="50"/>
    <w:qFormat/>
    <w:uiPriority w:val="0"/>
    <w:rPr>
      <w:shd w:val="clear" w:color="auto" w:fill="EEEEEE"/>
    </w:rPr>
  </w:style>
  <w:style w:type="paragraph" w:customStyle="1" w:styleId="206">
    <w:name w:val="BodyText1I2"/>
    <w:basedOn w:val="207"/>
    <w:qFormat/>
    <w:uiPriority w:val="0"/>
    <w:pPr>
      <w:spacing w:after="120"/>
      <w:ind w:left="420" w:leftChars="200" w:firstLine="420" w:firstLineChars="200"/>
    </w:pPr>
  </w:style>
  <w:style w:type="paragraph" w:customStyle="1" w:styleId="207">
    <w:name w:val="BodyTextIndent"/>
    <w:basedOn w:val="1"/>
    <w:qFormat/>
    <w:uiPriority w:val="0"/>
    <w:pPr>
      <w:textAlignment w:val="baseline"/>
    </w:pPr>
  </w:style>
  <w:style w:type="paragraph" w:customStyle="1" w:styleId="208">
    <w:name w:val="样式 首行缩进:  2 字符"/>
    <w:basedOn w:val="1"/>
    <w:qFormat/>
    <w:uiPriority w:val="0"/>
    <w:pPr>
      <w:spacing w:line="400" w:lineRule="exact"/>
      <w:ind w:firstLine="200" w:firstLineChars="200"/>
    </w:pPr>
    <w:rPr>
      <w:rFonts w:cs="宋体"/>
      <w:szCs w:val="24"/>
    </w:rPr>
  </w:style>
  <w:style w:type="paragraph" w:styleId="209">
    <w:name w:val="List Paragraph"/>
    <w:basedOn w:val="1"/>
    <w:qFormat/>
    <w:uiPriority w:val="34"/>
    <w:pPr>
      <w:widowControl/>
      <w:ind w:left="720"/>
      <w:contextualSpacing/>
      <w:jc w:val="left"/>
    </w:pPr>
    <w:rPr>
      <w:rFonts w:ascii="Calibri" w:hAnsi="Calibri"/>
      <w:lang w:eastAsia="en-US" w:bidi="en-US"/>
    </w:rPr>
  </w:style>
  <w:style w:type="paragraph" w:customStyle="1" w:styleId="210">
    <w:name w:val="Revision"/>
    <w:hidden/>
    <w:semiHidden/>
    <w:qFormat/>
    <w:uiPriority w:val="99"/>
    <w:rPr>
      <w:rFonts w:ascii="宋体" w:hAnsi="Times New Roman" w:eastAsia="宋体" w:cs="Times New Roman"/>
      <w:sz w:val="24"/>
      <w:lang w:val="en-US" w:eastAsia="zh-CN" w:bidi="ar-SA"/>
    </w:rPr>
  </w:style>
  <w:style w:type="paragraph" w:customStyle="1" w:styleId="211">
    <w:name w:val="null3"/>
    <w:hidden/>
    <w:qFormat/>
    <w:uiPriority w:val="0"/>
    <w:rPr>
      <w:rFonts w:hint="eastAsia" w:asciiTheme="minorHAnsi" w:hAnsiTheme="minorHAnsi" w:eastAsiaTheme="minorEastAsia" w:cstheme="minorBidi"/>
      <w:lang w:val="en-US" w:eastAsia="zh-Hans" w:bidi="ar-SA"/>
    </w:rPr>
  </w:style>
  <w:style w:type="paragraph" w:customStyle="1" w:styleId="212">
    <w:name w:val="大分"/>
    <w:basedOn w:val="1"/>
    <w:autoRedefine/>
    <w:qFormat/>
    <w:uiPriority w:val="0"/>
    <w:pPr>
      <w:autoSpaceDE w:val="0"/>
      <w:autoSpaceDN w:val="0"/>
      <w:adjustRightInd w:val="0"/>
      <w:spacing w:line="288" w:lineRule="auto"/>
      <w:ind w:firstLine="480"/>
      <w:jc w:val="left"/>
      <w:textAlignment w:val="baseline"/>
    </w:pPr>
    <w:rPr>
      <w:rFonts w:ascii="宋体"/>
      <w:kern w:val="0"/>
      <w:sz w:val="24"/>
      <w:szCs w:val="20"/>
    </w:rPr>
  </w:style>
  <w:style w:type="paragraph" w:customStyle="1" w:styleId="213">
    <w:name w:val="小标"/>
    <w:basedOn w:val="1"/>
    <w:autoRedefine/>
    <w:qFormat/>
    <w:uiPriority w:val="0"/>
    <w:pPr>
      <w:autoSpaceDE w:val="0"/>
      <w:autoSpaceDN w:val="0"/>
      <w:adjustRightInd w:val="0"/>
      <w:spacing w:line="288" w:lineRule="auto"/>
      <w:ind w:firstLine="480"/>
      <w:jc w:val="left"/>
      <w:textAlignment w:val="baseline"/>
    </w:pPr>
    <w:rPr>
      <w:rFonts w:ascii="黑体" w:eastAsia="黑体"/>
      <w:kern w:val="0"/>
      <w:sz w:val="28"/>
      <w:szCs w:val="20"/>
    </w:rPr>
  </w:style>
  <w:style w:type="paragraph" w:customStyle="1" w:styleId="214">
    <w:name w:val="正文 文本"/>
    <w:qFormat/>
    <w:uiPriority w:val="1"/>
    <w:pPr>
      <w:spacing w:line="560" w:lineRule="exact"/>
      <w:ind w:left="0" w:right="0" w:firstLine="640"/>
      <w:jc w:val="both"/>
    </w:pPr>
    <w:rPr>
      <w:rFonts w:ascii="宋体" w:eastAsia="宋体" w:hAnsiTheme="minorHAnsi" w:cstheme="minorBidi"/>
      <w:sz w:val="32"/>
      <w:szCs w:val="22"/>
    </w:rPr>
  </w:style>
  <w:style w:type="paragraph" w:customStyle="1" w:styleId="215">
    <w:name w:val="Table Text"/>
    <w:basedOn w:val="1"/>
    <w:semiHidden/>
    <w:qFormat/>
    <w:uiPriority w:val="0"/>
    <w:rPr>
      <w:rFonts w:ascii="仿宋" w:hAnsi="仿宋" w:eastAsia="仿宋" w:cs="仿宋"/>
      <w:sz w:val="24"/>
      <w:szCs w:val="24"/>
      <w:lang w:val="en-US" w:eastAsia="en-US" w:bidi="ar-SA"/>
    </w:rPr>
  </w:style>
  <w:style w:type="table" w:customStyle="1" w:styleId="216">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3B68C89-A701-4045-8522-1BCAA929D629}">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62</Pages>
  <Words>30851</Words>
  <Characters>32640</Characters>
  <Lines>304</Lines>
  <Paragraphs>85</Paragraphs>
  <TotalTime>157</TotalTime>
  <ScaleCrop>false</ScaleCrop>
  <LinksUpToDate>false</LinksUpToDate>
  <CharactersWithSpaces>35107</CharactersWithSpaces>
  <Application>WPS Office_12.8.2.17149_F1E327BC-269C-435d-A152-05C5408002CA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2024-05-29T06:20:00Z</dcterms:created>
  <dc:creator>权鑫</dc:creator>
  <cp:lastModifiedBy>KUKI</cp:lastModifiedBy>
  <cp:lastPrinted>2023-05-15T09:21:00Z</cp:lastPrinted>
  <dcterms:modified xsi:type="dcterms:W3CDTF">2026-09-18T03:28:41Z</dcterms:modified>
  <dc:title>政府采购货物和服务项目</dc:title>
  <cp:revision>102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2052-12.8.2.17149</vt:lpwstr>
  </property>
  <property fmtid="{D5CDD505-2E9C-101B-9397-08002B2CF9AE}" pid="3" name="ICV">
    <vt:lpwstr>380BED5852684566B4BA6B49A14BE795_13</vt:lpwstr>
  </property>
  <property fmtid="{D5CDD505-2E9C-101B-9397-08002B2CF9AE}" pid="4" name="KSOTemplateDocerSaveRecord">
    <vt:lpwstr>eyJoZGlkIjoiMjE0ZDdkMDJkM2NhZTQ3NjU0MTNiMjA5Y2QxZGZiZGMiLCJ1c2VySWQiOiI5MzkzMzU2MzMifQ==</vt:lpwstr>
  </property>
</Properties>
</file>