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版本号：DRZB2026-ZC-14620260509001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第三届中乌地方合作论坛主题展览会展服务采购项目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DRZB2026-ZC-146</w:t>
      </w:r>
      <w:r>
        <w:br/>
      </w:r>
      <w:r>
        <w:br/>
      </w:r>
      <w:r>
        <w:br/>
      </w:r>
    </w:p>
    <w:p>
      <w:pPr>
        <w:pStyle w:val="null3"/>
        <w:jc w:val="center"/>
        <w:outlineLvl w:val="2"/>
      </w:pPr>
      <w:r>
        <w:rPr>
          <w:rFonts w:ascii="仿宋_GB2312" w:hAnsi="仿宋_GB2312" w:cs="仿宋_GB2312" w:eastAsia="仿宋_GB2312"/>
          <w:sz w:val="28"/>
          <w:b/>
        </w:rPr>
        <w:t>省贸促会机关</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省贸促会机关</w:t>
      </w:r>
      <w:r>
        <w:rPr>
          <w:rFonts w:ascii="仿宋_GB2312" w:hAnsi="仿宋_GB2312" w:cs="仿宋_GB2312" w:eastAsia="仿宋_GB2312"/>
        </w:rPr>
        <w:t>委托，拟对</w:t>
      </w:r>
      <w:r>
        <w:rPr>
          <w:rFonts w:ascii="仿宋_GB2312" w:hAnsi="仿宋_GB2312" w:cs="仿宋_GB2312" w:eastAsia="仿宋_GB2312"/>
        </w:rPr>
        <w:t>第三届中乌地方合作论坛主题展览会展服务采购项目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第三届中乌地方合作论坛主题展览会展服务采购项目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第三届中乌地方合作论坛主题展览会展服务采购项目，具体内容详见磋商文件及采购需求。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采购包1（第三届中乌地方合作论坛主题展览会展服务采购项目）：属于专门面向小微企业采购。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10、中小企业声明函：本项目专门面向小微企业采购，供应商须提供中小企业声明函；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省贸促会机关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林晓非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029-63917630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采购包1：1,822,400.00元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采购包1保证金金额：10,146.00元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代理服务费收费标准：本项目招标代理服务费实行市场调节价，采用差额定率累进法计费，以中标金额为计费基数，由成交供应商在领取成交通知书前一次性支付。 具体费率如下：100万元以下，按照1.5%计取，100万元-500万元以下，按照0.8%计取。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省贸促会机关</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省贸促会机关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省贸促会机关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联系人：韩钊、张海燕、赵璐、苏庆春、曹静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第三届中乌地方合作论坛主题展览会展服务采购项目，具体内容详见磋商文件及采购需求。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1,822,400.00</w:t>
      </w:r>
    </w:p>
    <w:p>
      <w:pPr>
        <w:pStyle w:val="null3"/>
      </w:pPr>
      <w:r>
        <w:rPr>
          <w:rFonts w:ascii="仿宋_GB2312" w:hAnsi="仿宋_GB2312" w:cs="仿宋_GB2312" w:eastAsia="仿宋_GB2312"/>
        </w:rPr>
        <w:t>采购包最高限价（元）: 1,822,400.00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第三届中乌地方合作论坛主题展览会展服务采购项目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1,822,400.00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标的名称：第三届中乌地方合作论坛主题展览会展服务采购项目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举办中国—乌兹别克斯坦主题展，选择一家供应商进行展会服务采购项目，包括但不限于展会场地确定、展会设计搭建、招展组展、会务策划和组织管理、现场管理、组织对接洽谈等。展会需具有国际化、市场化、专业化，为中方企业与乌兹企业搭建高质量的交流合作平台，以促成更多实质性经贸成果落地见效。</w:t>
            </w:r>
          </w:p>
          <w:p>
            <w:pPr>
              <w:pStyle w:val="null3"/>
            </w:pPr>
            <w:r>
              <w:rPr>
                <w:rFonts w:ascii="仿宋_GB2312" w:hAnsi="仿宋_GB2312" w:cs="仿宋_GB2312" w:eastAsia="仿宋_GB2312"/>
              </w:rPr>
              <w:t>一、展会场地确定：西安浐灞国际会展中心1号馆面积不少于1000平方米</w:t>
            </w:r>
          </w:p>
          <w:p>
            <w:pPr>
              <w:pStyle w:val="null3"/>
            </w:pPr>
            <w:r>
              <w:rPr>
                <w:rFonts w:ascii="仿宋_GB2312" w:hAnsi="仿宋_GB2312" w:cs="仿宋_GB2312" w:eastAsia="仿宋_GB2312"/>
              </w:rPr>
              <w:t>二、展会策划具体方案：集中展示装备制造、轻工业、现代制造业、教育创新合作成果等领域。邀请国内外供应商参展，制定展会的具体实施方案。</w:t>
            </w:r>
          </w:p>
          <w:p>
            <w:pPr>
              <w:pStyle w:val="null3"/>
            </w:pPr>
            <w:r>
              <w:rPr>
                <w:rFonts w:ascii="仿宋_GB2312" w:hAnsi="仿宋_GB2312" w:cs="仿宋_GB2312" w:eastAsia="仿宋_GB2312"/>
              </w:rPr>
              <w:t>三、展会招商要求：组织陕西省与乌兹别克斯坦供应商参展，展位数量不少于80个，展商名录会前书面向甲方报备，制定展会的招展组展方案。</w:t>
            </w:r>
          </w:p>
          <w:p>
            <w:pPr>
              <w:pStyle w:val="null3"/>
            </w:pPr>
            <w:r>
              <w:rPr>
                <w:rFonts w:ascii="仿宋_GB2312" w:hAnsi="仿宋_GB2312" w:cs="仿宋_GB2312" w:eastAsia="仿宋_GB2312"/>
              </w:rPr>
              <w:t>展示内容：</w:t>
            </w:r>
          </w:p>
          <w:p>
            <w:pPr>
              <w:pStyle w:val="null3"/>
            </w:pPr>
            <w:r>
              <w:rPr>
                <w:rFonts w:ascii="仿宋_GB2312" w:hAnsi="仿宋_GB2312" w:cs="仿宋_GB2312" w:eastAsia="仿宋_GB2312"/>
              </w:rPr>
              <w:t>（一）组织陕西与乌兹别克斯坦在装备制造、轻工业、现代制造业、矿业、纺织业、数字科技等领域的企业开展资源对接，集中展示双方优势产品与产能合作需求，促进产业链匹配。</w:t>
            </w:r>
          </w:p>
          <w:p>
            <w:pPr>
              <w:pStyle w:val="null3"/>
            </w:pPr>
            <w:r>
              <w:rPr>
                <w:rFonts w:ascii="仿宋_GB2312" w:hAnsi="仿宋_GB2312" w:cs="仿宋_GB2312" w:eastAsia="仿宋_GB2312"/>
              </w:rPr>
              <w:t>（二）教育创新合作成果。人工智能与数字教育、重点实验室成果、产教融合与实训装备、国际联合研发项目、技术引进合作案例、区域协同与国际化办学、拔尖人才培养与双创等。</w:t>
            </w:r>
          </w:p>
          <w:p>
            <w:pPr>
              <w:pStyle w:val="null3"/>
            </w:pPr>
            <w:r>
              <w:rPr>
                <w:rFonts w:ascii="仿宋_GB2312" w:hAnsi="仿宋_GB2312" w:cs="仿宋_GB2312" w:eastAsia="仿宋_GB2312"/>
              </w:rPr>
              <w:t>四、展商邀请：邀请与展示内容相关的展商80家以上，拟达成意向金额达到2000万元以上，展商名录会前书面向甲方报备。</w:t>
            </w:r>
          </w:p>
          <w:p>
            <w:pPr>
              <w:pStyle w:val="null3"/>
            </w:pPr>
            <w:r>
              <w:rPr>
                <w:rFonts w:ascii="仿宋_GB2312" w:hAnsi="仿宋_GB2312" w:cs="仿宋_GB2312" w:eastAsia="仿宋_GB2312"/>
              </w:rPr>
              <w:t>五、境外资源对接：对接乌兹别克斯坦相关商协会（如乌兹别克斯坦工商会、轻工业协会、化工协会等）及重点企业资源，协助邀请不少于30家乌方企业参展或观展，并促成中方企业与其进行展前、展中、展后常态化对接。</w:t>
            </w:r>
          </w:p>
          <w:p>
            <w:pPr>
              <w:pStyle w:val="null3"/>
            </w:pPr>
            <w:r>
              <w:rPr>
                <w:rFonts w:ascii="仿宋_GB2312" w:hAnsi="仿宋_GB2312" w:cs="仿宋_GB2312" w:eastAsia="仿宋_GB2312"/>
              </w:rPr>
              <w:t>六、展期路演及推介活动组织：商品展期间，组织1-2场路演及推介活动，做好活动的组织实施工作。</w:t>
            </w:r>
          </w:p>
          <w:p>
            <w:pPr>
              <w:pStyle w:val="null3"/>
            </w:pPr>
            <w:r>
              <w:rPr>
                <w:rFonts w:ascii="仿宋_GB2312" w:hAnsi="仿宋_GB2312" w:cs="仿宋_GB2312" w:eastAsia="仿宋_GB2312"/>
              </w:rPr>
              <w:t>七、洽谈对接活动：展期在馆内设立专门的洽谈区，中乌企业开展一对一的洽谈活动，洽谈区需配置翻译，并指派专人负责洽谈区的现场服务与统计工作，洽谈成果于会后五个工作日内向甲方报备。</w:t>
            </w:r>
          </w:p>
          <w:p>
            <w:pPr>
              <w:pStyle w:val="null3"/>
            </w:pPr>
            <w:r>
              <w:rPr>
                <w:rFonts w:ascii="仿宋_GB2312" w:hAnsi="仿宋_GB2312" w:cs="仿宋_GB2312" w:eastAsia="仿宋_GB2312"/>
              </w:rPr>
              <w:t>八、搭建公共区域：负责展会公共区域（含主入口形象墙、信息咨询台、休息区、媒体采访区、整体导引导视系统）的设计与搭建，公共区域面积不少于展馆总面积的15%，风格需统一、大气，体现中乌合作元素。搭建应符合国家现行有关施工质量验收规范“合格”要求。搭建前向甲方提供展位设计效果图。</w:t>
            </w:r>
          </w:p>
          <w:p>
            <w:pPr>
              <w:pStyle w:val="null3"/>
            </w:pPr>
            <w:r>
              <w:rPr>
                <w:rFonts w:ascii="仿宋_GB2312" w:hAnsi="仿宋_GB2312" w:cs="仿宋_GB2312" w:eastAsia="仿宋_GB2312"/>
              </w:rPr>
              <w:t>九、展会现场管理：制定展会现场管理方案，并指派专人进行现场管理工作。</w:t>
            </w:r>
          </w:p>
          <w:p>
            <w:pPr>
              <w:pStyle w:val="null3"/>
            </w:pPr>
            <w:r>
              <w:rPr>
                <w:rFonts w:ascii="仿宋_GB2312" w:hAnsi="仿宋_GB2312" w:cs="仿宋_GB2312" w:eastAsia="仿宋_GB2312"/>
              </w:rPr>
              <w:t>十、售后要求：活动期间展馆搭建、施工、用电、设备等安全均由中标人负责；展览结束由中标人按主办方及场馆要求撤展；展期如有投诉或纠纷等由中标人负责解决。</w:t>
            </w:r>
          </w:p>
          <w:p>
            <w:pPr>
              <w:pStyle w:val="null3"/>
            </w:pPr>
            <w:r>
              <w:rPr>
                <w:rFonts w:ascii="仿宋_GB2312" w:hAnsi="仿宋_GB2312" w:cs="仿宋_GB2312" w:eastAsia="仿宋_GB2312"/>
              </w:rPr>
              <w:t>十一、展会资料：</w:t>
            </w:r>
          </w:p>
          <w:p>
            <w:pPr>
              <w:pStyle w:val="null3"/>
            </w:pPr>
            <w:r>
              <w:rPr>
                <w:rFonts w:ascii="仿宋_GB2312" w:hAnsi="仿宋_GB2312" w:cs="仿宋_GB2312" w:eastAsia="仿宋_GB2312"/>
              </w:rPr>
              <w:t>（1）邀请函</w:t>
            </w:r>
          </w:p>
          <w:p>
            <w:pPr>
              <w:pStyle w:val="null3"/>
            </w:pPr>
            <w:r>
              <w:rPr>
                <w:rFonts w:ascii="仿宋_GB2312" w:hAnsi="仿宋_GB2312" w:cs="仿宋_GB2312" w:eastAsia="仿宋_GB2312"/>
              </w:rPr>
              <w:t>（2）参展手册</w:t>
            </w:r>
          </w:p>
          <w:p>
            <w:pPr>
              <w:pStyle w:val="null3"/>
            </w:pPr>
            <w:r>
              <w:rPr>
                <w:rFonts w:ascii="仿宋_GB2312" w:hAnsi="仿宋_GB2312" w:cs="仿宋_GB2312" w:eastAsia="仿宋_GB2312"/>
              </w:rPr>
              <w:t>（3）展商名录</w:t>
            </w:r>
          </w:p>
          <w:p>
            <w:pPr>
              <w:pStyle w:val="null3"/>
            </w:pPr>
            <w:r>
              <w:rPr>
                <w:rFonts w:ascii="仿宋_GB2312" w:hAnsi="仿宋_GB2312" w:cs="仿宋_GB2312" w:eastAsia="仿宋_GB2312"/>
              </w:rPr>
              <w:t>（4）各项实施方案、会议资料</w:t>
            </w:r>
          </w:p>
          <w:p>
            <w:pPr>
              <w:pStyle w:val="null3"/>
            </w:pPr>
            <w:r>
              <w:rPr>
                <w:rFonts w:ascii="仿宋_GB2312" w:hAnsi="仿宋_GB2312" w:cs="仿宋_GB2312" w:eastAsia="仿宋_GB2312"/>
              </w:rPr>
              <w:t>（5）活动总结</w:t>
            </w:r>
          </w:p>
          <w:p>
            <w:pPr>
              <w:pStyle w:val="null3"/>
            </w:pPr>
            <w:r>
              <w:rPr>
                <w:rFonts w:ascii="仿宋_GB2312" w:hAnsi="仿宋_GB2312" w:cs="仿宋_GB2312" w:eastAsia="仿宋_GB2312"/>
              </w:rPr>
              <w:t>（6）签约项目跟踪表</w:t>
            </w:r>
          </w:p>
          <w:p>
            <w:pPr>
              <w:pStyle w:val="null3"/>
            </w:pPr>
            <w:r>
              <w:rPr>
                <w:rFonts w:ascii="仿宋_GB2312" w:hAnsi="仿宋_GB2312" w:cs="仿宋_GB2312" w:eastAsia="仿宋_GB2312"/>
              </w:rPr>
              <w:t>十二、商务要求</w:t>
            </w:r>
          </w:p>
          <w:p>
            <w:pPr>
              <w:pStyle w:val="null3"/>
            </w:pPr>
            <w:r>
              <w:rPr>
                <w:rFonts w:ascii="仿宋_GB2312" w:hAnsi="仿宋_GB2312" w:cs="仿宋_GB2312" w:eastAsia="仿宋_GB2312"/>
              </w:rPr>
              <w:t>1、质量要求：符合国家现行技术规范和标准合格</w:t>
            </w:r>
          </w:p>
          <w:p>
            <w:pPr>
              <w:pStyle w:val="null3"/>
            </w:pPr>
            <w:r>
              <w:rPr>
                <w:rFonts w:ascii="仿宋_GB2312" w:hAnsi="仿宋_GB2312" w:cs="仿宋_GB2312" w:eastAsia="仿宋_GB2312"/>
              </w:rPr>
              <w:t>2、服务期：1个月</w:t>
            </w:r>
          </w:p>
          <w:p>
            <w:pPr>
              <w:pStyle w:val="null3"/>
            </w:pPr>
            <w:r>
              <w:rPr>
                <w:rFonts w:ascii="仿宋_GB2312" w:hAnsi="仿宋_GB2312" w:cs="仿宋_GB2312" w:eastAsia="仿宋_GB2312"/>
              </w:rPr>
              <w:t>3、地点：西安浐灞国际会展中心1号馆</w:t>
            </w:r>
          </w:p>
          <w:p>
            <w:pPr>
              <w:pStyle w:val="null3"/>
            </w:pPr>
            <w:r>
              <w:rPr>
                <w:rFonts w:ascii="仿宋_GB2312" w:hAnsi="仿宋_GB2312" w:cs="仿宋_GB2312" w:eastAsia="仿宋_GB2312"/>
              </w:rPr>
              <w:t>4、合同总价包括：含项目实施费及其他费用等从项目实施至验收合格等所有其他有关各项的含税费用</w:t>
            </w:r>
          </w:p>
          <w:p>
            <w:pPr>
              <w:pStyle w:val="null3"/>
            </w:pPr>
            <w:r>
              <w:rPr>
                <w:rFonts w:ascii="仿宋_GB2312" w:hAnsi="仿宋_GB2312" w:cs="仿宋_GB2312" w:eastAsia="仿宋_GB2312"/>
              </w:rPr>
              <w:t>5、付款方式：合同签订后，乙方提供财务结算所需的票据及相关材料，达到付款条件起 15 日内，支付合同总金额的 75%。展会结束经甲方验收合格后，乙方提供财务结算所需的票据及相关材料，达到付款条件起30日内采购人向供应商支付合同总金额的25%。</w:t>
            </w:r>
          </w:p>
          <w:p>
            <w:pPr>
              <w:pStyle w:val="null3"/>
            </w:pPr>
            <w:r>
              <w:rPr>
                <w:rFonts w:ascii="仿宋_GB2312" w:hAnsi="仿宋_GB2312" w:cs="仿宋_GB2312" w:eastAsia="仿宋_GB2312"/>
              </w:rPr>
              <w:t>6、项目检验与验收</w:t>
            </w:r>
          </w:p>
          <w:p>
            <w:pPr>
              <w:pStyle w:val="null3"/>
            </w:pPr>
            <w:r>
              <w:rPr>
                <w:rFonts w:ascii="仿宋_GB2312" w:hAnsi="仿宋_GB2312" w:cs="仿宋_GB2312" w:eastAsia="仿宋_GB2312"/>
              </w:rPr>
              <w:t>中标人为中国-乌兹别克斯坦主题展提供相关服务，包括但不限于展会会场的确定、展会设计搭建、招展组展、会务策划和组织管理、现场管理、会期接待、组织对接洽谈等。</w:t>
            </w:r>
          </w:p>
          <w:p>
            <w:pPr>
              <w:pStyle w:val="null3"/>
            </w:pPr>
            <w:r>
              <w:rPr>
                <w:rFonts w:ascii="仿宋_GB2312" w:hAnsi="仿宋_GB2312" w:cs="仿宋_GB2312" w:eastAsia="仿宋_GB2312"/>
              </w:rPr>
              <w:t>采购人按照中国-乌兹别克斯坦主题展总体方案要求进行验收。</w:t>
            </w:r>
          </w:p>
          <w:p>
            <w:pPr>
              <w:pStyle w:val="null3"/>
            </w:pPr>
            <w:r>
              <w:rPr>
                <w:rFonts w:ascii="仿宋_GB2312" w:hAnsi="仿宋_GB2312" w:cs="仿宋_GB2312" w:eastAsia="仿宋_GB2312"/>
              </w:rPr>
              <w:t>6.1、投标人将展位布展施工完成后，通知采购人验收。</w:t>
            </w:r>
          </w:p>
          <w:p>
            <w:pPr>
              <w:pStyle w:val="null3"/>
            </w:pPr>
            <w:r>
              <w:rPr>
                <w:rFonts w:ascii="仿宋_GB2312" w:hAnsi="仿宋_GB2312" w:cs="仿宋_GB2312" w:eastAsia="仿宋_GB2312"/>
              </w:rPr>
              <w:t>6.2、采购人组织投标人在展会结束后进行最终验收，验收合格后，填写项目验收单。</w:t>
            </w:r>
          </w:p>
          <w:p>
            <w:pPr>
              <w:pStyle w:val="null3"/>
            </w:pPr>
            <w:r>
              <w:rPr>
                <w:rFonts w:ascii="仿宋_GB2312" w:hAnsi="仿宋_GB2312" w:cs="仿宋_GB2312" w:eastAsia="仿宋_GB2312"/>
              </w:rPr>
              <w:t>6.3、投标人向采购人提交项目实施过程中的所有资料。</w:t>
            </w:r>
          </w:p>
          <w:p>
            <w:pPr>
              <w:pStyle w:val="null3"/>
            </w:pPr>
            <w:r>
              <w:rPr>
                <w:rFonts w:ascii="仿宋_GB2312" w:hAnsi="仿宋_GB2312" w:cs="仿宋_GB2312" w:eastAsia="仿宋_GB2312"/>
              </w:rPr>
              <w:t>6.4、验收须以合同、招标文件及投标文件、澄清及国家相应的标准、规范等为依据。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西安浐灞国际会展中心1号馆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合同签订后，乙方提供财务结算所需的票据及相关材料</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展会结束经甲方验收合格后，乙方提供财务结算所需的票据及相关材料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本项目专门面向小微企业采购，供应商须提供中小企业声明函；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根据“财库〔2026〕2号”文件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报价一览表.docx 项目理解及难点分析.docx 供应商认为有必要说明的其他资料.docx 中小企业声明函 招展组展方案.docx 团队人员配备.docx 项目实施方案.docx 服务偏离表.docx 资格证明文件.docx 响应文件封面 宣传推广方案.docx 分项报价表.docx 类似项目业绩.docx 残疾人福利性单位声明函 安全管理制度及应急预案.docx 标的清单 保证金缴纳凭证.docx 响应函 商务偏离表.docx 展会设计方案.docx 后期服务方案.docx 监狱企业的证明文件 服务质量及进度计划保障措施.docx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项目理解及难点分析.docx 供应商认为有必要说明的其他资料.docx 中小企业声明函 招展组展方案.docx 团队人员配备.docx 项目实施方案.docx 服务偏离表.docx 资格证明文件.docx 响应文件封面 宣传推广方案.docx 分项报价表.docx 类似项目业绩.docx 残疾人福利性单位声明函 安全管理制度及应急预案.docx 标的清单 保证金缴纳凭证.docx 响应函 商务偏离表.docx 展会设计方案.docx 后期服务方案.docx 监狱企业的证明文件 服务质量及进度计划保障措施.docx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报价一览表.docx 项目理解及难点分析.docx 供应商认为有必要说明的其他资料.docx 中小企业声明函 招展组展方案.docx 团队人员配备.docx 项目实施方案.docx 服务偏离表.docx 资格证明文件.docx 响应文件封面 宣传推广方案.docx 分项报价表.docx 类似项目业绩.docx 残疾人福利性单位声明函 安全管理制度及应急预案.docx 标的清单 保证金缴纳凭证.docx 响应函 商务偏离表.docx 展会设计方案.docx 后期服务方案.docx 监狱企业的证明文件 服务质量及进度计划保障措施.docx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项目理解及难点分析</w:t>
            </w:r>
          </w:p>
        </w:tc>
        <w:tc>
          <w:tcPr>
            <w:tcW w:type="dxa" w:w="2492"/>
          </w:tcPr>
          <w:p>
            <w:pPr>
              <w:pStyle w:val="null3"/>
            </w:pPr>
            <w:r>
              <w:rPr>
                <w:rFonts w:ascii="仿宋_GB2312" w:hAnsi="仿宋_GB2312" w:cs="仿宋_GB2312" w:eastAsia="仿宋_GB2312"/>
              </w:rPr>
              <w:t>针对本项目提供完善的项目理解及难点分析，包括但不限于：①项目背景、内容及意义的理解；②项目重点难点分析及应对措施；③对项目功能定位和展陈需求的理解；④对展品的梳理分类、展示及包装工作的理解。 评审标准：方案各部分内容全面详细、阐述条理清晰详尽、符合本项目采购需求，能保障本项目实施得8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项目理解及难点分析.docx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项目实施方案，包括但不限于①场地租赁与搭建；②展区布置及物料准备；③展会现场的管理、组织及协调方案；④展会期间的运营维护；⑤秩序维护及后勤保障方案；⑥现场人流动线的规划方案。 评审标准：方案各部分内容全面详细、阐述条理清晰详尽、符合本项目采购需求，能保障本项目实施得18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招展组展方案</w:t>
            </w:r>
          </w:p>
        </w:tc>
        <w:tc>
          <w:tcPr>
            <w:tcW w:type="dxa" w:w="2492"/>
          </w:tcPr>
          <w:p>
            <w:pPr>
              <w:pStyle w:val="null3"/>
            </w:pPr>
            <w:r>
              <w:rPr>
                <w:rFonts w:ascii="仿宋_GB2312" w:hAnsi="仿宋_GB2312" w:cs="仿宋_GB2312" w:eastAsia="仿宋_GB2312"/>
              </w:rPr>
              <w:t>针对本项目提供招展组展方案，包括但不限于①招展组展方案；②展期路演组织方案；③采购商邀请方案；④专场推介活动服务方案。 评审标准：方案各部分内容全面详细、阐述条理清晰详尽、符合本项目采购需求，能保障本项目实施得8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招展组展方案.docx</w:t>
            </w:r>
          </w:p>
        </w:tc>
      </w:tr>
      <w:tr>
        <w:tc>
          <w:tcPr>
            <w:tcW w:type="dxa" w:w="831"/>
            <w:vMerge/>
          </w:tcPr>
          <w:p/>
        </w:tc>
        <w:tc>
          <w:tcPr>
            <w:tcW w:type="dxa" w:w="1661"/>
          </w:tcPr>
          <w:p>
            <w:pPr>
              <w:pStyle w:val="null3"/>
            </w:pPr>
            <w:r>
              <w:rPr>
                <w:rFonts w:ascii="仿宋_GB2312" w:hAnsi="仿宋_GB2312" w:cs="仿宋_GB2312" w:eastAsia="仿宋_GB2312"/>
              </w:rPr>
              <w:t>展会设计方案</w:t>
            </w:r>
          </w:p>
        </w:tc>
        <w:tc>
          <w:tcPr>
            <w:tcW w:type="dxa" w:w="2492"/>
          </w:tcPr>
          <w:p>
            <w:pPr>
              <w:pStyle w:val="null3"/>
            </w:pPr>
            <w:r>
              <w:rPr>
                <w:rFonts w:ascii="仿宋_GB2312" w:hAnsi="仿宋_GB2312" w:cs="仿宋_GB2312" w:eastAsia="仿宋_GB2312"/>
              </w:rPr>
              <w:t>针对本项目提供展会设计方案，包括但不限于①设计标准、设计风格；②空间设计及灯光设计方案；③多媒体及数字化设计方案；④各洽谈区、推介展演区的展位设计。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展会设计方案.docx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针对本项目提供宣传推广方案，包括但不限于①前期宣传方案；②现场宣传方案。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宣传推广方案.docx</w:t>
            </w:r>
          </w:p>
        </w:tc>
      </w:tr>
      <w:tr>
        <w:tc>
          <w:tcPr>
            <w:tcW w:type="dxa" w:w="831"/>
            <w:vMerge/>
          </w:tcPr>
          <w:p/>
        </w:tc>
        <w:tc>
          <w:tcPr>
            <w:tcW w:type="dxa" w:w="1661"/>
          </w:tcPr>
          <w:p>
            <w:pPr>
              <w:pStyle w:val="null3"/>
            </w:pPr>
            <w:r>
              <w:rPr>
                <w:rFonts w:ascii="仿宋_GB2312" w:hAnsi="仿宋_GB2312" w:cs="仿宋_GB2312" w:eastAsia="仿宋_GB2312"/>
              </w:rPr>
              <w:t>服务质量及进度计划保障措施</w:t>
            </w:r>
          </w:p>
        </w:tc>
        <w:tc>
          <w:tcPr>
            <w:tcW w:type="dxa" w:w="2492"/>
          </w:tcPr>
          <w:p>
            <w:pPr>
              <w:pStyle w:val="null3"/>
            </w:pPr>
            <w:r>
              <w:rPr>
                <w:rFonts w:ascii="仿宋_GB2312" w:hAnsi="仿宋_GB2312" w:cs="仿宋_GB2312" w:eastAsia="仿宋_GB2312"/>
              </w:rPr>
              <w:t>针对本项目提供服务质量保障措施，包括但不限于①服务质量承诺；②展会会期接待方案（含翻译、客商对接服务）；③会期各项保障措施（总服务期1个月）；④进度计划安排；⑤进度保障措施；⑥质量保障措施。 评审标准：方案各部分内容全面详细、阐述条理清晰详尽、符合本项目采购需求，能保障本项目实施得12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服务质量及进度计划保障措施.docx</w:t>
            </w:r>
          </w:p>
        </w:tc>
      </w:tr>
      <w:tr>
        <w:tc>
          <w:tcPr>
            <w:tcW w:type="dxa" w:w="831"/>
            <w:vMerge/>
          </w:tcPr>
          <w:p/>
        </w:tc>
        <w:tc>
          <w:tcPr>
            <w:tcW w:type="dxa" w:w="1661"/>
          </w:tcPr>
          <w:p>
            <w:pPr>
              <w:pStyle w:val="null3"/>
            </w:pPr>
            <w:r>
              <w:rPr>
                <w:rFonts w:ascii="仿宋_GB2312" w:hAnsi="仿宋_GB2312" w:cs="仿宋_GB2312" w:eastAsia="仿宋_GB2312"/>
              </w:rPr>
              <w:t>安全管理制度及应急预案</w:t>
            </w:r>
          </w:p>
        </w:tc>
        <w:tc>
          <w:tcPr>
            <w:tcW w:type="dxa" w:w="2492"/>
          </w:tcPr>
          <w:p>
            <w:pPr>
              <w:pStyle w:val="null3"/>
            </w:pPr>
            <w:r>
              <w:rPr>
                <w:rFonts w:ascii="仿宋_GB2312" w:hAnsi="仿宋_GB2312" w:cs="仿宋_GB2312" w:eastAsia="仿宋_GB2312"/>
              </w:rPr>
              <w:t>针对本项目提供安全保障措施及应急预案，包括但不限于①安全管理制度；②安全隐患排查（搭建、用电、设备安全）；③；境外突发事件、投诉纠纷处理措施。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安全管理制度及应急预案.docx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针对本项目采购需求中的人员要求提供团队人员配备方案，包括但不限于①团队组织架构；②人员构成及分工（含翻译、现场管控、招商、洽谈对接专员）；③岗位设置及岗位责任制度； 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团队人员配备.docx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针对本项目提供后期服务方案，包括但不限于①展会后期宣传；②全过程资料的收集、整理及移交；③展会撤展方案。 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后期服务方案.docx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自2023年1月1日以来（以合同签订时间为准），供应商主办或承接过的类似项目业绩，每提供一个项目业绩得1分，最高得5分。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 10分。（因落实政府采购政策进行价格调整的，以调整后的价格计算评标基准价）其他供应商的价格分按照下列公式计算：磋商总报价得分＝（评标基准价/磋商总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详见附件：项目理解及难点分析.docx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详见附件：招展组展方案.docx</w:t>
      </w:r>
    </w:p>
    <w:p>
      <w:pPr>
        <w:pStyle w:val="null3"/>
        <w:ind w:firstLine="960"/>
      </w:pPr>
      <w:r>
        <w:rPr>
          <w:rFonts w:ascii="仿宋_GB2312" w:hAnsi="仿宋_GB2312" w:cs="仿宋_GB2312" w:eastAsia="仿宋_GB2312"/>
        </w:rPr>
        <w:t>详见附件：展会设计方案.docx</w:t>
      </w:r>
    </w:p>
    <w:p>
      <w:pPr>
        <w:pStyle w:val="null3"/>
        <w:ind w:firstLine="960"/>
      </w:pPr>
      <w:r>
        <w:rPr>
          <w:rFonts w:ascii="仿宋_GB2312" w:hAnsi="仿宋_GB2312" w:cs="仿宋_GB2312" w:eastAsia="仿宋_GB2312"/>
        </w:rPr>
        <w:t>详见附件：宣传推广方案.docx</w:t>
      </w:r>
    </w:p>
    <w:p>
      <w:pPr>
        <w:pStyle w:val="null3"/>
        <w:ind w:firstLine="960"/>
      </w:pPr>
      <w:r>
        <w:rPr>
          <w:rFonts w:ascii="仿宋_GB2312" w:hAnsi="仿宋_GB2312" w:cs="仿宋_GB2312" w:eastAsia="仿宋_GB2312"/>
        </w:rPr>
        <w:t>详见附件：服务质量及进度计划保障措施.docx</w:t>
      </w:r>
    </w:p>
    <w:p>
      <w:pPr>
        <w:pStyle w:val="null3"/>
        <w:ind w:firstLine="960"/>
      </w:pPr>
      <w:r>
        <w:rPr>
          <w:rFonts w:ascii="仿宋_GB2312" w:hAnsi="仿宋_GB2312" w:cs="仿宋_GB2312" w:eastAsia="仿宋_GB2312"/>
        </w:rPr>
        <w:t>详见附件：安全管理制度及应急预案.docx</w:t>
      </w:r>
    </w:p>
    <w:p>
      <w:pPr>
        <w:pStyle w:val="null3"/>
        <w:ind w:firstLine="960"/>
      </w:pPr>
      <w:r>
        <w:rPr>
          <w:rFonts w:ascii="仿宋_GB2312" w:hAnsi="仿宋_GB2312" w:cs="仿宋_GB2312" w:eastAsia="仿宋_GB2312"/>
        </w:rPr>
        <w:t>详见附件：团队人员配备.docx</w:t>
      </w:r>
    </w:p>
    <w:p>
      <w:pPr>
        <w:pStyle w:val="null3"/>
        <w:ind w:firstLine="960"/>
      </w:pPr>
      <w:r>
        <w:rPr>
          <w:rFonts w:ascii="仿宋_GB2312" w:hAnsi="仿宋_GB2312" w:cs="仿宋_GB2312" w:eastAsia="仿宋_GB2312"/>
        </w:rPr>
        <w:t>详见附件：后期服务方案.docx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详见附件：供应商认为有必要说明的其他资料.docx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