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9F814">
      <w:pPr>
        <w:spacing w:line="360" w:lineRule="auto"/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8、方案响应部分</w:t>
      </w:r>
    </w:p>
    <w:p w14:paraId="07BE75AA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供应商应按照磋商文件要求，根据“第三章 招标项目技术、服务、商务及其他要求”并结合“第五章 评标办法”等内容作出全面响应。编制和提交的内容应包括但不限于以下各项。对必须满足的内容，必须完全满足。对响应有差异的，则说明差异的内容。</w:t>
      </w:r>
    </w:p>
    <w:p w14:paraId="22843125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（1）服务方案</w:t>
      </w:r>
    </w:p>
    <w:p w14:paraId="40EEBFAE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项目实施进度计划</w:t>
      </w:r>
    </w:p>
    <w:p w14:paraId="5895AC91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服务保证措施</w:t>
      </w:r>
    </w:p>
    <w:p w14:paraId="55E0C9A3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供应商能力</w:t>
      </w:r>
    </w:p>
    <w:p w14:paraId="6C70C14D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项目团队配置</w:t>
      </w:r>
    </w:p>
    <w:p w14:paraId="2E1ADDCB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6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项目团队人员证书</w:t>
      </w:r>
    </w:p>
    <w:p w14:paraId="2967CA74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7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培训方案</w:t>
      </w:r>
    </w:p>
    <w:p w14:paraId="4AA67EAC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8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服务承诺</w:t>
      </w:r>
    </w:p>
    <w:p w14:paraId="6D351A18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9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</w:rPr>
        <w:t>业绩</w:t>
      </w:r>
    </w:p>
    <w:p w14:paraId="4B7F1099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</w:p>
    <w:p w14:paraId="1E8B4416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</w:p>
    <w:p w14:paraId="4F085B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52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2026-06-11T12:18:53Z</dcterms:created>
  <dc:creator>Administrator</dc:creator>
  <cp:lastModifiedBy> </cp:lastModifiedBy>
  <dcterms:modified xsi:type="dcterms:W3CDTF">2026-06-11T12:19:05Z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464F80DD8BF745CA8F736E6C14CE2944_12</vt:lpwstr>
  </property>
</Properties>
</file>