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312F76">
      <w:pPr>
        <w:pStyle w:val="5"/>
        <w:jc w:val="center"/>
        <w:outlineLvl w:val="1"/>
        <w:rPr>
          <w:rFonts w:hint="default"/>
        </w:rPr>
      </w:pPr>
      <w:r>
        <w:rPr>
          <w:rFonts w:ascii="仿宋_GB2312" w:hAnsi="仿宋_GB2312" w:eastAsia="仿宋_GB2312" w:cs="仿宋_GB2312"/>
          <w:b/>
          <w:sz w:val="36"/>
        </w:rPr>
        <w:t>第八章 拟签订采购合同文本</w:t>
      </w:r>
    </w:p>
    <w:p w14:paraId="24521125">
      <w:pPr>
        <w:spacing w:line="360" w:lineRule="auto"/>
        <w:rPr>
          <w:b/>
          <w:sz w:val="24"/>
        </w:rPr>
      </w:pPr>
      <w:bookmarkStart w:id="0" w:name="_Toc11035"/>
      <w:bookmarkStart w:id="1" w:name="_Toc19188"/>
      <w:bookmarkStart w:id="2" w:name="_Toc191876958"/>
      <w:r>
        <w:rPr>
          <w:rFonts w:hint="eastAsia"/>
          <w:b/>
          <w:sz w:val="24"/>
        </w:rPr>
        <w:t>政府采购合同格式</w:t>
      </w:r>
    </w:p>
    <w:p w14:paraId="4007DBFF">
      <w:pPr>
        <w:spacing w:line="360" w:lineRule="auto"/>
        <w:rPr>
          <w:sz w:val="22"/>
          <w:szCs w:val="18"/>
        </w:rPr>
      </w:pPr>
      <w:r>
        <w:rPr>
          <w:rFonts w:hint="eastAsia"/>
          <w:sz w:val="22"/>
          <w:szCs w:val="18"/>
        </w:rPr>
        <w:t>（本格式条款供甲方和中标单位双方签订合同参考，甲方可根据项目的实际情况增减条款和内容）</w:t>
      </w:r>
    </w:p>
    <w:bookmarkEnd w:id="0"/>
    <w:bookmarkEnd w:id="1"/>
    <w:bookmarkEnd w:id="2"/>
    <w:p w14:paraId="2F532DE5">
      <w:pPr>
        <w:rPr>
          <w:rFonts w:ascii="黑体" w:eastAsia="黑体"/>
          <w:b/>
          <w:sz w:val="32"/>
          <w:szCs w:val="32"/>
          <w:highlight w:val="none"/>
        </w:rPr>
      </w:pPr>
    </w:p>
    <w:p w14:paraId="195AEDB6">
      <w:pPr>
        <w:rPr>
          <w:rFonts w:ascii="黑体" w:eastAsia="黑体"/>
          <w:b/>
          <w:sz w:val="32"/>
          <w:szCs w:val="32"/>
          <w:highlight w:val="none"/>
        </w:rPr>
      </w:pPr>
      <w:r>
        <w:rPr>
          <w:rFonts w:hint="eastAsia" w:ascii="黑体" w:eastAsia="黑体"/>
          <w:b/>
          <w:sz w:val="32"/>
          <w:szCs w:val="32"/>
          <w:highlight w:val="none"/>
        </w:rPr>
        <w:t>合同编号：</w:t>
      </w:r>
    </w:p>
    <w:p w14:paraId="61E61E6F">
      <w:pPr>
        <w:jc w:val="center"/>
        <w:rPr>
          <w:rFonts w:ascii="黑体" w:eastAsia="黑体"/>
          <w:sz w:val="52"/>
          <w:szCs w:val="52"/>
          <w:highlight w:val="none"/>
        </w:rPr>
      </w:pPr>
    </w:p>
    <w:p w14:paraId="68D0A75C">
      <w:pPr>
        <w:jc w:val="center"/>
        <w:rPr>
          <w:rFonts w:hint="eastAsia" w:eastAsia="黑体"/>
          <w:b/>
          <w:spacing w:val="-20"/>
          <w:sz w:val="44"/>
          <w:szCs w:val="44"/>
          <w:highlight w:val="none"/>
          <w:lang w:eastAsia="zh-CN"/>
        </w:rPr>
      </w:pPr>
      <w:r>
        <w:rPr>
          <w:rFonts w:hint="eastAsia" w:ascii="宋体" w:hAnsi="宋体" w:eastAsia="黑体"/>
          <w:b/>
          <w:sz w:val="48"/>
          <w:szCs w:val="48"/>
          <w:highlight w:val="none"/>
          <w:lang w:eastAsia="zh-CN"/>
        </w:rPr>
        <w:t>陕西省药品监督管理局数据中心升级改造项目</w:t>
      </w:r>
    </w:p>
    <w:p w14:paraId="1AFDDF0C">
      <w:pPr>
        <w:jc w:val="center"/>
        <w:rPr>
          <w:rFonts w:ascii="黑体" w:eastAsia="黑体"/>
          <w:b/>
          <w:sz w:val="72"/>
          <w:szCs w:val="72"/>
          <w:highlight w:val="none"/>
        </w:rPr>
      </w:pPr>
    </w:p>
    <w:p w14:paraId="74BD8335">
      <w:pPr>
        <w:jc w:val="center"/>
        <w:rPr>
          <w:rFonts w:ascii="黑体" w:eastAsia="黑体"/>
          <w:b/>
          <w:sz w:val="72"/>
          <w:szCs w:val="72"/>
          <w:highlight w:val="none"/>
        </w:rPr>
      </w:pPr>
      <w:r>
        <w:rPr>
          <w:rFonts w:hint="eastAsia" w:ascii="黑体" w:eastAsia="黑体"/>
          <w:b/>
          <w:sz w:val="72"/>
          <w:szCs w:val="72"/>
          <w:highlight w:val="none"/>
        </w:rPr>
        <w:t>服 务 合 同</w:t>
      </w:r>
    </w:p>
    <w:p w14:paraId="1F4A29B8">
      <w:pPr>
        <w:jc w:val="center"/>
        <w:rPr>
          <w:rFonts w:ascii="黑体" w:eastAsia="黑体"/>
          <w:sz w:val="30"/>
          <w:szCs w:val="30"/>
        </w:rPr>
      </w:pPr>
      <w:r>
        <w:rPr>
          <w:rFonts w:hint="eastAsia" w:ascii="黑体" w:eastAsia="黑体"/>
          <w:sz w:val="30"/>
          <w:szCs w:val="30"/>
        </w:rPr>
        <w:t>（项目编号：         ）</w:t>
      </w:r>
    </w:p>
    <w:p w14:paraId="7313ED88">
      <w:pPr>
        <w:jc w:val="center"/>
        <w:rPr>
          <w:rFonts w:ascii="黑体" w:eastAsia="黑体"/>
          <w:sz w:val="30"/>
          <w:szCs w:val="30"/>
        </w:rPr>
      </w:pPr>
    </w:p>
    <w:p w14:paraId="13ED9F1F">
      <w:pPr>
        <w:rPr>
          <w:rFonts w:ascii="黑体" w:eastAsia="黑体"/>
          <w:sz w:val="28"/>
          <w:szCs w:val="28"/>
        </w:rPr>
      </w:pPr>
    </w:p>
    <w:p w14:paraId="56E4A348">
      <w:pPr>
        <w:jc w:val="center"/>
        <w:rPr>
          <w:rFonts w:ascii="黑体" w:eastAsia="黑体"/>
          <w:sz w:val="30"/>
          <w:szCs w:val="30"/>
        </w:rPr>
      </w:pPr>
    </w:p>
    <w:p w14:paraId="712F8352">
      <w:pPr>
        <w:jc w:val="center"/>
        <w:rPr>
          <w:rFonts w:ascii="黑体" w:eastAsia="黑体"/>
          <w:sz w:val="30"/>
          <w:szCs w:val="30"/>
        </w:rPr>
      </w:pPr>
    </w:p>
    <w:p w14:paraId="09BA7417">
      <w:pPr>
        <w:ind w:firstLine="2124" w:firstLineChars="664"/>
        <w:rPr>
          <w:rFonts w:ascii="黑体" w:eastAsia="黑体"/>
          <w:sz w:val="32"/>
          <w:szCs w:val="32"/>
        </w:rPr>
      </w:pPr>
      <w:r>
        <w:rPr>
          <w:rFonts w:hint="eastAsia" w:ascii="黑体" w:eastAsia="黑体"/>
          <w:sz w:val="32"/>
          <w:szCs w:val="32"/>
        </w:rPr>
        <w:t>甲  方：</w:t>
      </w:r>
      <w:r>
        <w:rPr>
          <w:rFonts w:hint="eastAsia" w:ascii="黑体" w:hAnsi="宋体" w:eastAsia="黑体"/>
          <w:sz w:val="32"/>
          <w:szCs w:val="32"/>
        </w:rPr>
        <w:t>陕西省药品监督管理局</w:t>
      </w:r>
    </w:p>
    <w:p w14:paraId="69F4DEE0">
      <w:pPr>
        <w:tabs>
          <w:tab w:val="left" w:pos="480"/>
        </w:tabs>
        <w:ind w:firstLine="2124" w:firstLineChars="664"/>
        <w:rPr>
          <w:rFonts w:hint="eastAsia" w:ascii="黑体" w:hAnsi="宋体" w:eastAsia="黑体"/>
          <w:sz w:val="32"/>
          <w:szCs w:val="32"/>
        </w:rPr>
      </w:pPr>
      <w:r>
        <w:rPr>
          <w:rFonts w:hint="eastAsia" w:ascii="黑体" w:eastAsia="黑体"/>
          <w:sz w:val="32"/>
          <w:szCs w:val="32"/>
        </w:rPr>
        <w:t>乙  方：</w:t>
      </w:r>
      <w:r>
        <w:rPr>
          <w:rFonts w:hint="eastAsia" w:ascii="黑体" w:eastAsia="黑体"/>
          <w:sz w:val="32"/>
          <w:szCs w:val="32"/>
          <w:u w:val="single"/>
        </w:rPr>
        <w:t xml:space="preserve">              </w:t>
      </w:r>
    </w:p>
    <w:p w14:paraId="45A15CC0">
      <w:pPr>
        <w:jc w:val="center"/>
        <w:rPr>
          <w:rFonts w:ascii="黑体" w:eastAsia="黑体"/>
          <w:sz w:val="30"/>
          <w:szCs w:val="30"/>
        </w:rPr>
      </w:pPr>
    </w:p>
    <w:p w14:paraId="4E061681">
      <w:pPr>
        <w:jc w:val="center"/>
        <w:rPr>
          <w:rFonts w:ascii="黑体" w:eastAsia="黑体"/>
          <w:sz w:val="32"/>
          <w:szCs w:val="32"/>
        </w:rPr>
      </w:pPr>
      <w:r>
        <w:rPr>
          <w:rFonts w:hint="eastAsia" w:ascii="黑体" w:eastAsia="黑体"/>
          <w:sz w:val="32"/>
          <w:szCs w:val="32"/>
        </w:rPr>
        <w:t>2026年   月</w:t>
      </w:r>
    </w:p>
    <w:p w14:paraId="2B515CA2">
      <w:pPr>
        <w:rPr>
          <w:rFonts w:hint="eastAsia" w:ascii="仿宋" w:hAnsi="仿宋" w:eastAsia="仿宋" w:cs="仿宋"/>
          <w:szCs w:val="21"/>
        </w:rPr>
      </w:pPr>
      <w:r>
        <w:rPr>
          <w:rFonts w:hint="eastAsia" w:ascii="黑体" w:eastAsia="黑体"/>
          <w:b/>
          <w:sz w:val="32"/>
          <w:szCs w:val="32"/>
        </w:rPr>
        <w:br w:type="page"/>
      </w:r>
    </w:p>
    <w:p w14:paraId="54F786DF">
      <w:pPr>
        <w:spacing w:line="360" w:lineRule="auto"/>
        <w:ind w:firstLine="480" w:firstLineChars="200"/>
        <w:rPr>
          <w:rFonts w:asciiTheme="minorEastAsia" w:hAnsiTheme="minorEastAsia"/>
          <w:iCs/>
          <w:sz w:val="24"/>
          <w:szCs w:val="24"/>
        </w:rPr>
      </w:pPr>
      <w:r>
        <w:rPr>
          <w:rFonts w:hint="eastAsia" w:asciiTheme="minorEastAsia" w:hAnsiTheme="minorEastAsia"/>
          <w:sz w:val="24"/>
          <w:szCs w:val="24"/>
        </w:rPr>
        <w:t>甲方（采购人）：</w:t>
      </w:r>
      <w:r>
        <w:rPr>
          <w:rFonts w:hint="eastAsia" w:asciiTheme="minorEastAsia" w:hAnsiTheme="minorEastAsia"/>
          <w:bCs/>
          <w:iCs/>
          <w:sz w:val="24"/>
          <w:szCs w:val="24"/>
        </w:rPr>
        <w:t>陕西省药品监督管理局</w:t>
      </w:r>
    </w:p>
    <w:p w14:paraId="3F30266B">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乙方（供应商）：</w:t>
      </w:r>
      <w:r>
        <w:rPr>
          <w:rFonts w:asciiTheme="minorEastAsia" w:hAnsiTheme="minorEastAsia"/>
          <w:sz w:val="24"/>
          <w:szCs w:val="24"/>
        </w:rPr>
        <w:t xml:space="preserve"> </w:t>
      </w:r>
    </w:p>
    <w:p w14:paraId="0A499DF7">
      <w:pPr>
        <w:spacing w:line="360" w:lineRule="auto"/>
        <w:ind w:firstLine="480" w:firstLineChars="200"/>
        <w:rPr>
          <w:rFonts w:asciiTheme="minorEastAsia" w:hAnsiTheme="minorEastAsia"/>
          <w:bCs/>
          <w:sz w:val="24"/>
          <w:szCs w:val="24"/>
          <w:u w:val="single"/>
        </w:rPr>
      </w:pPr>
      <w:r>
        <w:rPr>
          <w:rFonts w:hint="eastAsia" w:asciiTheme="minorEastAsia" w:hAnsiTheme="minorEastAsia"/>
          <w:sz w:val="24"/>
          <w:szCs w:val="24"/>
        </w:rPr>
        <w:t>甲、乙双方依据《中华人民共和国民法典》《中华人民共和国政府采购法》及相关法律法规的规定，合同双方就</w:t>
      </w:r>
      <w:r>
        <w:rPr>
          <w:rFonts w:hint="eastAsia" w:asciiTheme="minorEastAsia" w:hAnsiTheme="minorEastAsia"/>
          <w:bCs/>
          <w:sz w:val="24"/>
          <w:szCs w:val="24"/>
          <w:u w:val="single"/>
        </w:rPr>
        <w:t>陕西省药品监督管理局数据中心升级改造项目</w:t>
      </w:r>
      <w:r>
        <w:rPr>
          <w:rFonts w:hint="eastAsia" w:asciiTheme="minorEastAsia" w:hAnsiTheme="minorEastAsia"/>
          <w:sz w:val="24"/>
          <w:szCs w:val="24"/>
        </w:rPr>
        <w:t>， 经协商一致，签订本合同。</w:t>
      </w:r>
    </w:p>
    <w:p w14:paraId="3610165A">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本合同根据项目磋商文件（编号：</w:t>
      </w:r>
      <w:r>
        <w:rPr>
          <w:rFonts w:asciiTheme="minorEastAsia" w:hAnsiTheme="minorEastAsia"/>
          <w:sz w:val="24"/>
          <w:szCs w:val="24"/>
        </w:rPr>
        <w:t>XXXX</w:t>
      </w:r>
      <w:r>
        <w:rPr>
          <w:rFonts w:hint="eastAsia" w:asciiTheme="minorEastAsia" w:hAnsiTheme="minorEastAsia"/>
          <w:sz w:val="24"/>
          <w:szCs w:val="24"/>
        </w:rPr>
        <w:t>）和该项目的中标通知书，由甲方与乙方签订，并经双方协商同意下列条款：</w:t>
      </w:r>
    </w:p>
    <w:p w14:paraId="20A3BD11">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1.下列文件均为本合同不可分割部分</w:t>
      </w:r>
    </w:p>
    <w:p w14:paraId="12AB3266">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1.1 中标通知书；</w:t>
      </w:r>
    </w:p>
    <w:p w14:paraId="59675619">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1.2 磋商文件</w:t>
      </w:r>
    </w:p>
    <w:p w14:paraId="157965E6">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1.3 中标人中标的投标文件；</w:t>
      </w:r>
    </w:p>
    <w:p w14:paraId="2F49C096">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1.4 甲乙双方共同确认的其他与本合同相关的文件。</w:t>
      </w:r>
    </w:p>
    <w:p w14:paraId="6D8D80AA">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以上文件与合同附件具有同等法律效力，若以上文件与本合同有差异的，以对乙方要求及标准较高的内容为准。</w:t>
      </w:r>
    </w:p>
    <w:p w14:paraId="6255687C">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2.技术内容、要求和形式</w:t>
      </w:r>
    </w:p>
    <w:p w14:paraId="780BC216">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2.1 技术内容</w:t>
      </w:r>
    </w:p>
    <w:p w14:paraId="22F0AFAC">
      <w:pPr>
        <w:spacing w:line="360" w:lineRule="auto"/>
        <w:jc w:val="center"/>
        <w:rPr>
          <w:rFonts w:asciiTheme="minorEastAsia" w:hAnsiTheme="minorEastAsia"/>
          <w:sz w:val="24"/>
          <w:szCs w:val="24"/>
        </w:rPr>
      </w:pPr>
      <w:r>
        <w:rPr>
          <w:rFonts w:hint="eastAsia" w:asciiTheme="minorEastAsia" w:hAnsiTheme="minorEastAsia"/>
          <w:sz w:val="24"/>
          <w:szCs w:val="24"/>
        </w:rPr>
        <w:t>服务清单（详见本项目磋商文件第3章3.2.2《技术参数与性能指标》及合同附件《服务清单》）</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3404"/>
        <w:gridCol w:w="992"/>
        <w:gridCol w:w="1085"/>
        <w:gridCol w:w="1562"/>
      </w:tblGrid>
      <w:tr w14:paraId="5FF9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66" w:type="dxa"/>
          </w:tcPr>
          <w:p w14:paraId="792762B6">
            <w:pPr>
              <w:spacing w:line="560" w:lineRule="exact"/>
              <w:rPr>
                <w:rFonts w:ascii="Times New Roman" w:hAnsi="Times New Roman" w:eastAsia="宋体" w:cs="宋体"/>
                <w:sz w:val="24"/>
                <w:szCs w:val="24"/>
              </w:rPr>
            </w:pPr>
            <w:r>
              <w:rPr>
                <w:rFonts w:hint="eastAsia" w:ascii="Times New Roman" w:hAnsi="Times New Roman" w:eastAsia="宋体" w:cs="宋体"/>
                <w:sz w:val="24"/>
                <w:szCs w:val="24"/>
              </w:rPr>
              <w:t>序号</w:t>
            </w:r>
          </w:p>
        </w:tc>
        <w:tc>
          <w:tcPr>
            <w:tcW w:w="3404" w:type="dxa"/>
            <w:vAlign w:val="center"/>
          </w:tcPr>
          <w:p w14:paraId="1FD8E654">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服务名称</w:t>
            </w:r>
          </w:p>
        </w:tc>
        <w:tc>
          <w:tcPr>
            <w:tcW w:w="992" w:type="dxa"/>
            <w:vAlign w:val="center"/>
          </w:tcPr>
          <w:p w14:paraId="27A35709">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数量</w:t>
            </w:r>
          </w:p>
        </w:tc>
        <w:tc>
          <w:tcPr>
            <w:tcW w:w="1085" w:type="dxa"/>
            <w:vAlign w:val="center"/>
          </w:tcPr>
          <w:p w14:paraId="4FC2D3FB">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单位</w:t>
            </w:r>
          </w:p>
        </w:tc>
        <w:tc>
          <w:tcPr>
            <w:tcW w:w="1562" w:type="dxa"/>
            <w:vAlign w:val="center"/>
          </w:tcPr>
          <w:p w14:paraId="5135472E">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备注</w:t>
            </w:r>
          </w:p>
        </w:tc>
      </w:tr>
      <w:tr w14:paraId="72646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66" w:type="dxa"/>
            <w:vAlign w:val="center"/>
          </w:tcPr>
          <w:p w14:paraId="2EA5485F">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1</w:t>
            </w:r>
          </w:p>
        </w:tc>
        <w:tc>
          <w:tcPr>
            <w:tcW w:w="3404" w:type="dxa"/>
            <w:vAlign w:val="center"/>
          </w:tcPr>
          <w:p w14:paraId="0A59A832">
            <w:pPr>
              <w:spacing w:line="560" w:lineRule="exact"/>
              <w:rPr>
                <w:rFonts w:ascii="Times New Roman" w:hAnsi="Times New Roman" w:eastAsia="宋体" w:cs="宋体"/>
                <w:sz w:val="24"/>
                <w:szCs w:val="24"/>
              </w:rPr>
            </w:pPr>
            <w:r>
              <w:rPr>
                <w:rFonts w:hint="eastAsia" w:ascii="Times New Roman" w:hAnsi="Times New Roman" w:eastAsia="宋体" w:cs="宋体"/>
                <w:sz w:val="24"/>
                <w:szCs w:val="24"/>
              </w:rPr>
              <w:t>数据中心机房升级</w:t>
            </w:r>
            <w:r>
              <w:rPr>
                <w:rFonts w:hint="eastAsia" w:ascii="Times New Roman" w:hAnsi="Times New Roman" w:eastAsia="宋体" w:cs="宋体"/>
                <w:sz w:val="24"/>
                <w:szCs w:val="24"/>
                <w:lang w:val="en-US" w:eastAsia="zh-CN"/>
              </w:rPr>
              <w:t>改造</w:t>
            </w:r>
            <w:r>
              <w:rPr>
                <w:rFonts w:hint="eastAsia" w:ascii="Times New Roman" w:hAnsi="Times New Roman" w:eastAsia="宋体" w:cs="宋体"/>
                <w:sz w:val="24"/>
                <w:szCs w:val="24"/>
              </w:rPr>
              <w:t>服务</w:t>
            </w:r>
          </w:p>
        </w:tc>
        <w:tc>
          <w:tcPr>
            <w:tcW w:w="992" w:type="dxa"/>
            <w:vAlign w:val="center"/>
          </w:tcPr>
          <w:p w14:paraId="7F796937">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1</w:t>
            </w:r>
          </w:p>
        </w:tc>
        <w:tc>
          <w:tcPr>
            <w:tcW w:w="1085" w:type="dxa"/>
            <w:vAlign w:val="center"/>
          </w:tcPr>
          <w:p w14:paraId="4FD24E2E">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项</w:t>
            </w:r>
          </w:p>
        </w:tc>
        <w:tc>
          <w:tcPr>
            <w:tcW w:w="1562" w:type="dxa"/>
            <w:vAlign w:val="center"/>
          </w:tcPr>
          <w:p w14:paraId="3873AB7A">
            <w:pPr>
              <w:spacing w:line="560" w:lineRule="exact"/>
              <w:jc w:val="center"/>
              <w:rPr>
                <w:rFonts w:ascii="Times New Roman" w:hAnsi="Times New Roman" w:eastAsia="宋体" w:cs="宋体"/>
                <w:sz w:val="24"/>
                <w:szCs w:val="24"/>
              </w:rPr>
            </w:pPr>
          </w:p>
        </w:tc>
      </w:tr>
      <w:tr w14:paraId="1888D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66" w:type="dxa"/>
            <w:vAlign w:val="center"/>
          </w:tcPr>
          <w:p w14:paraId="467F8340">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2</w:t>
            </w:r>
          </w:p>
        </w:tc>
        <w:tc>
          <w:tcPr>
            <w:tcW w:w="3404" w:type="dxa"/>
            <w:vAlign w:val="center"/>
          </w:tcPr>
          <w:p w14:paraId="6C44C874">
            <w:pPr>
              <w:spacing w:line="560" w:lineRule="exact"/>
              <w:rPr>
                <w:rFonts w:ascii="Times New Roman" w:hAnsi="Times New Roman" w:eastAsia="宋体" w:cs="宋体"/>
                <w:sz w:val="24"/>
                <w:szCs w:val="24"/>
              </w:rPr>
            </w:pPr>
            <w:r>
              <w:rPr>
                <w:rFonts w:hint="eastAsia" w:ascii="Times New Roman" w:hAnsi="Times New Roman" w:eastAsia="宋体" w:cs="宋体"/>
                <w:sz w:val="24"/>
                <w:szCs w:val="24"/>
              </w:rPr>
              <w:t>数据中心操作间升级</w:t>
            </w:r>
            <w:r>
              <w:rPr>
                <w:rFonts w:hint="eastAsia" w:ascii="Times New Roman" w:hAnsi="Times New Roman" w:eastAsia="宋体" w:cs="宋体"/>
                <w:sz w:val="24"/>
                <w:szCs w:val="24"/>
                <w:lang w:val="en-US" w:eastAsia="zh-CN"/>
              </w:rPr>
              <w:t>改造</w:t>
            </w:r>
            <w:r>
              <w:rPr>
                <w:rFonts w:hint="eastAsia" w:ascii="Times New Roman" w:hAnsi="Times New Roman" w:eastAsia="宋体" w:cs="宋体"/>
                <w:sz w:val="24"/>
                <w:szCs w:val="24"/>
              </w:rPr>
              <w:t>服务</w:t>
            </w:r>
          </w:p>
        </w:tc>
        <w:tc>
          <w:tcPr>
            <w:tcW w:w="992" w:type="dxa"/>
            <w:vAlign w:val="center"/>
          </w:tcPr>
          <w:p w14:paraId="08E945BF">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1</w:t>
            </w:r>
          </w:p>
        </w:tc>
        <w:tc>
          <w:tcPr>
            <w:tcW w:w="1085" w:type="dxa"/>
            <w:vAlign w:val="center"/>
          </w:tcPr>
          <w:p w14:paraId="7EDB82E4">
            <w:pPr>
              <w:spacing w:line="560" w:lineRule="exact"/>
              <w:jc w:val="center"/>
              <w:rPr>
                <w:rFonts w:ascii="Times New Roman" w:hAnsi="Times New Roman" w:eastAsia="宋体" w:cs="宋体"/>
                <w:sz w:val="24"/>
                <w:szCs w:val="24"/>
              </w:rPr>
            </w:pPr>
            <w:r>
              <w:rPr>
                <w:rFonts w:hint="eastAsia" w:ascii="Times New Roman" w:hAnsi="Times New Roman" w:eastAsia="宋体" w:cs="宋体"/>
                <w:sz w:val="24"/>
                <w:szCs w:val="24"/>
              </w:rPr>
              <w:t>项</w:t>
            </w:r>
          </w:p>
        </w:tc>
        <w:tc>
          <w:tcPr>
            <w:tcW w:w="1562" w:type="dxa"/>
            <w:vAlign w:val="center"/>
          </w:tcPr>
          <w:p w14:paraId="6431E266">
            <w:pPr>
              <w:spacing w:line="560" w:lineRule="exact"/>
              <w:jc w:val="center"/>
              <w:rPr>
                <w:rFonts w:ascii="Times New Roman" w:hAnsi="Times New Roman" w:eastAsia="宋体" w:cs="宋体"/>
                <w:sz w:val="24"/>
                <w:szCs w:val="24"/>
              </w:rPr>
            </w:pPr>
          </w:p>
        </w:tc>
      </w:tr>
    </w:tbl>
    <w:p w14:paraId="62D7A188">
      <w:pPr>
        <w:spacing w:line="360" w:lineRule="auto"/>
        <w:rPr>
          <w:rFonts w:hint="eastAsia" w:asciiTheme="minorEastAsia" w:hAnsiTheme="minorEastAsia"/>
          <w:sz w:val="24"/>
          <w:szCs w:val="24"/>
        </w:rPr>
      </w:pPr>
    </w:p>
    <w:p w14:paraId="2081292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2.2 服务要求</w:t>
      </w:r>
    </w:p>
    <w:p w14:paraId="72521909">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（一）数据中心-基础装修服务：详见本项目磋商文件第3章3.2.2《技术参数与性能指标》（一）及合同附件《服务清单》。</w:t>
      </w:r>
    </w:p>
    <w:p w14:paraId="6485BACF">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（二）数据中心-安装工程：详见本项目磋商文件第3章3.2.2《技术参数与性能指标》（二）及合同附件《服务清单》。</w:t>
      </w:r>
    </w:p>
    <w:p w14:paraId="61ABF13D">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（三）网络安全服务：上网行为管理、入侵防御系统</w:t>
      </w:r>
    </w:p>
    <w:p w14:paraId="545CC063">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（四）实施服务：设备安装过程中需要的辅材、调试等</w:t>
      </w:r>
    </w:p>
    <w:p w14:paraId="2E680E05">
      <w:pPr>
        <w:spacing w:line="360" w:lineRule="auto"/>
        <w:ind w:firstLine="480" w:firstLineChars="200"/>
        <w:rPr>
          <w:rFonts w:hint="eastAsia" w:asciiTheme="minorEastAsia" w:hAnsiTheme="minorEastAsia"/>
          <w:sz w:val="24"/>
          <w:szCs w:val="24"/>
        </w:rPr>
      </w:pPr>
      <w:r>
        <w:rPr>
          <w:rFonts w:hint="eastAsia" w:asciiTheme="minorEastAsia" w:hAnsiTheme="minorEastAsia"/>
          <w:sz w:val="24"/>
          <w:szCs w:val="24"/>
        </w:rPr>
        <w:t>（五）设计服务</w:t>
      </w:r>
      <w:r>
        <w:rPr>
          <w:rFonts w:asciiTheme="minorEastAsia" w:hAnsiTheme="minorEastAsia"/>
          <w:sz w:val="24"/>
          <w:szCs w:val="24"/>
        </w:rPr>
        <w:t>：</w:t>
      </w:r>
      <w:r>
        <w:rPr>
          <w:rFonts w:hint="eastAsia" w:asciiTheme="minorEastAsia" w:hAnsiTheme="minorEastAsia"/>
          <w:sz w:val="24"/>
          <w:szCs w:val="24"/>
        </w:rPr>
        <w:t>系统设计及出具整体效果图</w:t>
      </w:r>
    </w:p>
    <w:p w14:paraId="6C9D746E">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2.3服务团队要求</w:t>
      </w:r>
    </w:p>
    <w:p w14:paraId="452120E6">
      <w:pPr>
        <w:spacing w:line="360" w:lineRule="auto"/>
        <w:ind w:firstLine="480" w:firstLineChars="200"/>
        <w:rPr>
          <w:rFonts w:asciiTheme="minorEastAsia" w:hAnsiTheme="minorEastAsia"/>
          <w:sz w:val="24"/>
          <w:szCs w:val="24"/>
          <w:highlight w:val="none"/>
        </w:rPr>
      </w:pPr>
      <w:r>
        <w:rPr>
          <w:rFonts w:asciiTheme="minorEastAsia" w:hAnsiTheme="minorEastAsia"/>
          <w:sz w:val="24"/>
          <w:szCs w:val="24"/>
        </w:rPr>
        <w:t>项目服</w:t>
      </w:r>
      <w:r>
        <w:rPr>
          <w:rFonts w:asciiTheme="minorEastAsia" w:hAnsiTheme="minorEastAsia"/>
          <w:sz w:val="24"/>
          <w:szCs w:val="24"/>
          <w:highlight w:val="none"/>
        </w:rPr>
        <w:t>务团队须具备类似项目实施经验，且保障团队成员的稳定性及专业性。人数不少于6人，应配备现场服务支持人员，至少包含1名项目经理，1名网络工程师，1名</w:t>
      </w:r>
      <w:r>
        <w:rPr>
          <w:rFonts w:hint="eastAsia" w:asciiTheme="minorEastAsia" w:hAnsiTheme="minorEastAsia"/>
          <w:sz w:val="24"/>
          <w:szCs w:val="24"/>
          <w:highlight w:val="none"/>
        </w:rPr>
        <w:t>基础环境工程师</w:t>
      </w:r>
      <w:r>
        <w:rPr>
          <w:rFonts w:asciiTheme="minorEastAsia" w:hAnsiTheme="minorEastAsia"/>
          <w:sz w:val="24"/>
          <w:szCs w:val="24"/>
          <w:highlight w:val="none"/>
        </w:rPr>
        <w:t>，1名安全工程师，</w:t>
      </w:r>
      <w:r>
        <w:rPr>
          <w:rFonts w:hint="eastAsia" w:asciiTheme="minorEastAsia" w:hAnsiTheme="minorEastAsia"/>
          <w:sz w:val="24"/>
          <w:szCs w:val="24"/>
          <w:highlight w:val="none"/>
        </w:rPr>
        <w:t>1名服务工程师</w:t>
      </w:r>
      <w:r>
        <w:rPr>
          <w:rFonts w:asciiTheme="minorEastAsia" w:hAnsiTheme="minorEastAsia"/>
          <w:sz w:val="24"/>
          <w:szCs w:val="24"/>
          <w:highlight w:val="none"/>
        </w:rPr>
        <w:t>。</w:t>
      </w:r>
    </w:p>
    <w:p w14:paraId="4012A2F7">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乙方在本项目提供的所有服务，均要接受甲方的监督管理，并纳入甲方的考核范围。</w:t>
      </w:r>
    </w:p>
    <w:p w14:paraId="5C3B8665">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2.</w:t>
      </w:r>
      <w:r>
        <w:rPr>
          <w:rFonts w:asciiTheme="minorEastAsia" w:hAnsiTheme="minorEastAsia"/>
          <w:sz w:val="24"/>
          <w:szCs w:val="24"/>
          <w:highlight w:val="none"/>
        </w:rPr>
        <w:t>3</w:t>
      </w:r>
      <w:r>
        <w:rPr>
          <w:rFonts w:hint="eastAsia" w:asciiTheme="minorEastAsia" w:hAnsiTheme="minorEastAsia"/>
          <w:sz w:val="24"/>
          <w:szCs w:val="24"/>
          <w:highlight w:val="none"/>
        </w:rPr>
        <w:t xml:space="preserve"> 商务要求</w:t>
      </w:r>
    </w:p>
    <w:p w14:paraId="7A05CDAC">
      <w:pPr>
        <w:spacing w:line="360" w:lineRule="auto"/>
        <w:ind w:firstLine="480" w:firstLineChars="200"/>
        <w:rPr>
          <w:rFonts w:hint="eastAsia" w:asciiTheme="minorEastAsia" w:hAnsiTheme="minorEastAsia"/>
          <w:sz w:val="24"/>
          <w:szCs w:val="24"/>
          <w:highlight w:val="none"/>
        </w:rPr>
      </w:pPr>
      <w:r>
        <w:rPr>
          <w:rFonts w:hint="eastAsia" w:asciiTheme="minorEastAsia" w:hAnsiTheme="minorEastAsia"/>
          <w:sz w:val="24"/>
          <w:szCs w:val="24"/>
          <w:highlight w:val="none"/>
        </w:rPr>
        <w:t>建设周期：</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u w:val="single"/>
          <w:lang w:val="en-US" w:eastAsia="zh-CN"/>
        </w:rPr>
        <w:t xml:space="preserve">   </w:t>
      </w:r>
      <w:r>
        <w:rPr>
          <w:rFonts w:hint="eastAsia" w:asciiTheme="minorEastAsia" w:hAnsiTheme="minorEastAsia"/>
          <w:sz w:val="24"/>
          <w:szCs w:val="24"/>
          <w:highlight w:val="none"/>
          <w:u w:val="single"/>
        </w:rPr>
        <w:t xml:space="preserve"> </w:t>
      </w:r>
      <w:r>
        <w:rPr>
          <w:rFonts w:hint="eastAsia" w:asciiTheme="minorEastAsia" w:hAnsiTheme="minorEastAsia"/>
          <w:sz w:val="24"/>
          <w:szCs w:val="24"/>
          <w:highlight w:val="none"/>
        </w:rPr>
        <w:t>日历天。</w:t>
      </w:r>
    </w:p>
    <w:p w14:paraId="1EC9947A">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维护期：项目验收合格后</w:t>
      </w:r>
      <w:r>
        <w:rPr>
          <w:rFonts w:hint="eastAsia" w:asciiTheme="minorEastAsia" w:hAnsiTheme="minorEastAsia"/>
          <w:sz w:val="24"/>
          <w:szCs w:val="24"/>
          <w:highlight w:val="none"/>
          <w:u w:val="single"/>
          <w:lang w:val="en-US" w:eastAsia="zh-CN"/>
        </w:rPr>
        <w:t xml:space="preserve">   </w:t>
      </w:r>
      <w:r>
        <w:rPr>
          <w:rFonts w:hint="eastAsia" w:asciiTheme="minorEastAsia" w:hAnsiTheme="minorEastAsia"/>
          <w:sz w:val="24"/>
          <w:szCs w:val="24"/>
          <w:highlight w:val="none"/>
        </w:rPr>
        <w:t>年</w:t>
      </w:r>
    </w:p>
    <w:p w14:paraId="4C27BA8D">
      <w:pPr>
        <w:spacing w:line="360" w:lineRule="auto"/>
        <w:ind w:firstLine="482" w:firstLineChars="200"/>
        <w:rPr>
          <w:rFonts w:asciiTheme="minorEastAsia" w:hAnsiTheme="minorEastAsia"/>
          <w:b/>
          <w:bCs/>
          <w:sz w:val="24"/>
          <w:szCs w:val="24"/>
          <w:highlight w:val="none"/>
        </w:rPr>
      </w:pPr>
      <w:r>
        <w:rPr>
          <w:rFonts w:hint="eastAsia" w:asciiTheme="minorEastAsia" w:hAnsiTheme="minorEastAsia"/>
          <w:b/>
          <w:bCs/>
          <w:sz w:val="24"/>
          <w:szCs w:val="24"/>
          <w:highlight w:val="none"/>
        </w:rPr>
        <w:t>3.双方权利与义务</w:t>
      </w:r>
    </w:p>
    <w:p w14:paraId="4E40EFAB">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3.1 甲方的权利与义务</w:t>
      </w:r>
    </w:p>
    <w:p w14:paraId="075AC19B">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3.1.1 甲方负责项目管理的主要工作，有权对乙方提供的本项目的服务进行监管，有权要求乙方提供项目相关的技术资料。</w:t>
      </w:r>
    </w:p>
    <w:p w14:paraId="69508432">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3.1.2 甲方有权在项目实施的全过程对乙方的工作进行监督、管理，对乙方的日常运行维护服务进行抽查、审计。</w:t>
      </w:r>
    </w:p>
    <w:p w14:paraId="656AA3B7">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3.1.3 乙方因自身原因导致合同无法继续履行，则视为违约，甲方有权单方解除合同，并向乙方追偿损失。</w:t>
      </w:r>
    </w:p>
    <w:p w14:paraId="7C384F43">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3.1.4 如因乙方故意或重大过失原因导致甲方被行政处分或行政处罚，甲方保留向乙方追究法律责任、经济责任的权利。</w:t>
      </w:r>
    </w:p>
    <w:p w14:paraId="45ED305B">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3.1.5 及时审核并确认乙方提交的服务成果、进度报告等。</w:t>
      </w:r>
    </w:p>
    <w:p w14:paraId="36E14755">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3.1.6 乙方完成所有协议约定内容后，甲方根据项目实施情况出具的客观公正的书面用户验收意见。</w:t>
      </w:r>
    </w:p>
    <w:p w14:paraId="0A4815A0">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3.2.乙方的权利和义务</w:t>
      </w:r>
    </w:p>
    <w:p w14:paraId="7BC43EBE">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3.2.1 要求甲方按本合同的约定支付合同款项的权利。</w:t>
      </w:r>
    </w:p>
    <w:p w14:paraId="754DD8D0">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3.2.2 按照本合同约定完成本项目，本合同涉及的服务，均由乙方提供。乙方负责服务涉及设备的运维，出现故障或事故的责任及费用由乙方承担。</w:t>
      </w:r>
    </w:p>
    <w:p w14:paraId="0A39F0F4">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3.2.3 乙方应按期完成项目工作，如因乙方原因导致项目工作延迟或停顿的，由乙方承担责任。</w:t>
      </w:r>
    </w:p>
    <w:p w14:paraId="3A9D0D31">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3.2.4 乙方承诺具有履行本合同的条件和资质，并投入合格的、充足的项目实施人员，提供项目软硬件实施和保障服务。</w:t>
      </w:r>
    </w:p>
    <w:p w14:paraId="02E742EE">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3.2.5 服务期内，如遇国家法律、法规及相关政策发生重大变化，对本合同的履行造成实质性的影响，乙方应积极与甲方协商解决，并采取合理措施避免各方的损失扩大。</w:t>
      </w:r>
    </w:p>
    <w:p w14:paraId="0C426761">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3.2.6 甲方在工作质量、工作进度、工作内容等方面提出意见及建议，乙方应及时响应并有效改进；</w:t>
      </w:r>
    </w:p>
    <w:p w14:paraId="56FD03DF">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3.2.7 乙方应保证所提供的产品或服务没有侵害任何第三方的知识产权或其他正当权益。</w:t>
      </w:r>
    </w:p>
    <w:p w14:paraId="65D17DE6">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3.2.8 合同履行期限届满后，按照本合同约定需要终止或解除合同的，乙方应配合甲方做好与项目相关的数据迁移、资料移交等工作。</w:t>
      </w:r>
    </w:p>
    <w:p w14:paraId="16356EF4">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3.2.9 乙方在履行本合同过程中，对所接触、处理的甲方全部数据负有严格的保密和安全保障义务。未经甲方书面授权，不得访问、复制、披露、使用或允许任何第三方使用上述数据。乙方应采取符合国家及行业标准的安全技术和管理措施，确保数据不被泄露、篡改、损毁。如发生数据安全事件，乙方应立即采取补救措施，通知甲方，并承担由此给甲方造成的全部损失。</w:t>
      </w:r>
    </w:p>
    <w:p w14:paraId="5D851751">
      <w:pPr>
        <w:spacing w:line="360" w:lineRule="auto"/>
        <w:ind w:firstLine="482" w:firstLineChars="200"/>
        <w:rPr>
          <w:rFonts w:asciiTheme="minorEastAsia" w:hAnsiTheme="minorEastAsia"/>
          <w:b/>
          <w:bCs/>
          <w:sz w:val="24"/>
          <w:szCs w:val="24"/>
          <w:highlight w:val="none"/>
        </w:rPr>
      </w:pPr>
      <w:r>
        <w:rPr>
          <w:rFonts w:hint="eastAsia" w:asciiTheme="minorEastAsia" w:hAnsiTheme="minorEastAsia"/>
          <w:b/>
          <w:bCs/>
          <w:sz w:val="24"/>
          <w:szCs w:val="24"/>
          <w:highlight w:val="none"/>
        </w:rPr>
        <w:t>4.服务履行地点</w:t>
      </w:r>
    </w:p>
    <w:p w14:paraId="192AF19F">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4.1 本协议自签订之日起在甲方指定地点为准。</w:t>
      </w:r>
    </w:p>
    <w:p w14:paraId="49724929">
      <w:pPr>
        <w:spacing w:line="360" w:lineRule="auto"/>
        <w:ind w:firstLine="482" w:firstLineChars="200"/>
        <w:rPr>
          <w:rFonts w:asciiTheme="minorEastAsia" w:hAnsiTheme="minorEastAsia"/>
          <w:b/>
          <w:bCs/>
          <w:sz w:val="24"/>
          <w:szCs w:val="24"/>
          <w:highlight w:val="none"/>
        </w:rPr>
      </w:pPr>
      <w:r>
        <w:rPr>
          <w:rFonts w:hint="eastAsia" w:asciiTheme="minorEastAsia" w:hAnsiTheme="minorEastAsia"/>
          <w:b/>
          <w:bCs/>
          <w:sz w:val="24"/>
          <w:szCs w:val="24"/>
          <w:highlight w:val="none"/>
        </w:rPr>
        <w:t>5.合同价款</w:t>
      </w:r>
    </w:p>
    <w:p w14:paraId="406CAA7D">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5.1 合同含税总金额（大写）：</w:t>
      </w:r>
      <w:r>
        <w:rPr>
          <w:rFonts w:hint="eastAsia" w:asciiTheme="minorEastAsia" w:hAnsiTheme="minorEastAsia"/>
          <w:sz w:val="24"/>
          <w:szCs w:val="24"/>
          <w:highlight w:val="none"/>
          <w:u w:val="single"/>
        </w:rPr>
        <w:t xml:space="preserve">人民币 </w:t>
      </w:r>
      <w:r>
        <w:rPr>
          <w:rFonts w:asciiTheme="minorEastAsia" w:hAnsiTheme="minorEastAsia"/>
          <w:sz w:val="24"/>
          <w:szCs w:val="24"/>
          <w:highlight w:val="none"/>
          <w:u w:val="single"/>
        </w:rPr>
        <w:t xml:space="preserve">        </w:t>
      </w:r>
      <w:r>
        <w:rPr>
          <w:rFonts w:hint="eastAsia" w:asciiTheme="minorEastAsia" w:hAnsiTheme="minorEastAsia"/>
          <w:sz w:val="24"/>
          <w:szCs w:val="24"/>
          <w:highlight w:val="none"/>
        </w:rPr>
        <w:t>元整（¥</w:t>
      </w:r>
      <w:r>
        <w:rPr>
          <w:rFonts w:asciiTheme="minorEastAsia" w:hAnsiTheme="minorEastAsia"/>
          <w:sz w:val="24"/>
          <w:szCs w:val="24"/>
          <w:highlight w:val="none"/>
          <w:u w:val="single"/>
        </w:rPr>
        <w:t xml:space="preserve">       </w:t>
      </w:r>
      <w:r>
        <w:rPr>
          <w:rFonts w:hint="eastAsia" w:asciiTheme="minorEastAsia" w:hAnsiTheme="minorEastAsia"/>
          <w:sz w:val="24"/>
          <w:szCs w:val="24"/>
          <w:highlight w:val="none"/>
        </w:rPr>
        <w:t>） 。</w:t>
      </w:r>
    </w:p>
    <w:p w14:paraId="7C82C519">
      <w:pPr>
        <w:spacing w:line="360" w:lineRule="auto"/>
        <w:ind w:firstLine="480" w:firstLineChars="200"/>
        <w:rPr>
          <w:rFonts w:asciiTheme="minorEastAsia" w:hAnsiTheme="minorEastAsia"/>
          <w:sz w:val="24"/>
          <w:szCs w:val="24"/>
          <w:highlight w:val="none"/>
        </w:rPr>
      </w:pPr>
      <w:r>
        <w:rPr>
          <w:rFonts w:hint="eastAsia" w:asciiTheme="minorEastAsia" w:hAnsiTheme="minorEastAsia"/>
          <w:sz w:val="24"/>
          <w:szCs w:val="24"/>
          <w:highlight w:val="none"/>
        </w:rPr>
        <w:t>5.2 本项目为固定总价合同，合同总价不受市场价格、工作量变化等其它因</w:t>
      </w:r>
    </w:p>
    <w:p w14:paraId="2269C6EE">
      <w:pPr>
        <w:spacing w:line="360" w:lineRule="auto"/>
        <w:rPr>
          <w:rFonts w:asciiTheme="minorEastAsia" w:hAnsiTheme="minorEastAsia"/>
          <w:sz w:val="24"/>
          <w:szCs w:val="24"/>
          <w:highlight w:val="none"/>
        </w:rPr>
      </w:pPr>
      <w:r>
        <w:rPr>
          <w:rFonts w:hint="eastAsia" w:asciiTheme="minorEastAsia" w:hAnsiTheme="minorEastAsia"/>
          <w:sz w:val="24"/>
          <w:szCs w:val="24"/>
          <w:highlight w:val="none"/>
        </w:rPr>
        <w:t>素的影响。</w:t>
      </w:r>
    </w:p>
    <w:p w14:paraId="66937393">
      <w:pPr>
        <w:spacing w:line="360" w:lineRule="auto"/>
        <w:ind w:firstLine="482" w:firstLineChars="200"/>
        <w:rPr>
          <w:rFonts w:asciiTheme="minorEastAsia" w:hAnsiTheme="minorEastAsia"/>
          <w:b/>
          <w:bCs/>
          <w:sz w:val="24"/>
          <w:szCs w:val="24"/>
          <w:highlight w:val="none"/>
        </w:rPr>
      </w:pPr>
      <w:r>
        <w:rPr>
          <w:rFonts w:hint="eastAsia" w:asciiTheme="minorEastAsia" w:hAnsiTheme="minorEastAsia"/>
          <w:b/>
          <w:bCs/>
          <w:sz w:val="24"/>
          <w:szCs w:val="24"/>
          <w:highlight w:val="none"/>
        </w:rPr>
        <w:t>6.付款方式</w:t>
      </w:r>
    </w:p>
    <w:p w14:paraId="5FF14399">
      <w:pPr>
        <w:spacing w:line="360" w:lineRule="auto"/>
        <w:ind w:firstLine="480" w:firstLineChars="200"/>
        <w:rPr>
          <w:rFonts w:asciiTheme="minorEastAsia" w:hAnsiTheme="minorEastAsia"/>
          <w:sz w:val="24"/>
          <w:szCs w:val="24"/>
        </w:rPr>
      </w:pPr>
      <w:r>
        <w:rPr>
          <w:rFonts w:hint="eastAsia" w:asciiTheme="minorEastAsia" w:hAnsiTheme="minorEastAsia"/>
          <w:sz w:val="24"/>
          <w:szCs w:val="24"/>
          <w:highlight w:val="none"/>
        </w:rPr>
        <w:t>6.1 双方分期支付合同款项，具体如下：</w:t>
      </w:r>
      <w:r>
        <w:rPr>
          <w:rFonts w:hint="eastAsia" w:asciiTheme="minorEastAsia" w:hAnsiTheme="minorEastAsia"/>
          <w:sz w:val="24"/>
          <w:szCs w:val="24"/>
          <w:highlight w:val="none"/>
        </w:rPr>
        <w:br w:type="textWrapping"/>
      </w:r>
      <w:r>
        <w:rPr>
          <w:rFonts w:hint="eastAsia" w:asciiTheme="minorEastAsia" w:hAnsiTheme="minorEastAsia"/>
          <w:sz w:val="24"/>
          <w:szCs w:val="24"/>
          <w:highlight w:val="none"/>
        </w:rPr>
        <w:t>（1）首付款：合同签订生效且乙方向甲方提交等额正规发票后15个工作日内，甲方向乙方支付合同总金额的60.00%；</w:t>
      </w:r>
      <w:r>
        <w:rPr>
          <w:rFonts w:hint="eastAsia" w:asciiTheme="minorEastAsia" w:hAnsiTheme="minorEastAsia"/>
          <w:sz w:val="24"/>
          <w:szCs w:val="24"/>
          <w:highlight w:val="none"/>
        </w:rPr>
        <w:br w:type="textWrapping"/>
      </w:r>
      <w:r>
        <w:rPr>
          <w:rFonts w:hint="eastAsia" w:asciiTheme="minorEastAsia" w:hAnsiTheme="minorEastAsia"/>
          <w:sz w:val="24"/>
          <w:szCs w:val="24"/>
          <w:highlight w:val="none"/>
        </w:rPr>
        <w:t>（2）尾款：服务期满，项目经甲方验收合格且乙方提交等额正规发票后15个工作日内，甲方向乙方支付合同总金额的40.00%。</w:t>
      </w:r>
    </w:p>
    <w:p w14:paraId="18F55E34">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（按6.1分期支付约定执行，不另作一次性付款安排。）</w:t>
      </w:r>
    </w:p>
    <w:p w14:paraId="2C7669D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6.2 乙方承诺在甲方办理支付手续前，为甲方出具等额的符合国家规定的增值税正规发票。</w:t>
      </w:r>
    </w:p>
    <w:p w14:paraId="0966A9FD">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7.保密范围及责任</w:t>
      </w:r>
    </w:p>
    <w:p w14:paraId="0E247F98">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乙方对在履行本合同过程中所接触的工作秘密（包括但不限于协议合同履行</w:t>
      </w:r>
    </w:p>
    <w:p w14:paraId="5905CF4B">
      <w:pPr>
        <w:spacing w:line="360" w:lineRule="auto"/>
        <w:rPr>
          <w:rFonts w:asciiTheme="minorEastAsia" w:hAnsiTheme="minorEastAsia"/>
          <w:sz w:val="24"/>
          <w:szCs w:val="24"/>
        </w:rPr>
      </w:pPr>
      <w:r>
        <w:rPr>
          <w:rFonts w:hint="eastAsia" w:asciiTheme="minorEastAsia" w:hAnsiTheme="minorEastAsia"/>
          <w:sz w:val="24"/>
          <w:szCs w:val="24"/>
        </w:rPr>
        <w:t>过程中涉及的数据、技术文档、商业秘密、任何技术性资料）承担保密义务。未</w:t>
      </w:r>
    </w:p>
    <w:p w14:paraId="7F573EF6">
      <w:pPr>
        <w:spacing w:line="360" w:lineRule="auto"/>
        <w:rPr>
          <w:rFonts w:asciiTheme="minorEastAsia" w:hAnsiTheme="minorEastAsia"/>
          <w:sz w:val="24"/>
          <w:szCs w:val="24"/>
        </w:rPr>
      </w:pPr>
      <w:r>
        <w:rPr>
          <w:rFonts w:hint="eastAsia" w:asciiTheme="minorEastAsia" w:hAnsiTheme="minorEastAsia"/>
          <w:sz w:val="24"/>
          <w:szCs w:val="24"/>
        </w:rPr>
        <w:t>经甲方书面许可，乙方不得将从甲方及用户方获取的一切资料和信息拿到本协议</w:t>
      </w:r>
    </w:p>
    <w:p w14:paraId="64670DBB">
      <w:pPr>
        <w:spacing w:line="360" w:lineRule="auto"/>
        <w:rPr>
          <w:rFonts w:asciiTheme="minorEastAsia" w:hAnsiTheme="minorEastAsia"/>
          <w:sz w:val="24"/>
          <w:szCs w:val="24"/>
        </w:rPr>
      </w:pPr>
      <w:r>
        <w:rPr>
          <w:rFonts w:hint="eastAsia" w:asciiTheme="minorEastAsia" w:hAnsiTheme="minorEastAsia"/>
          <w:sz w:val="24"/>
          <w:szCs w:val="24"/>
        </w:rPr>
        <w:t>范围之外使用，否则甲方有权追究乙方责任。</w:t>
      </w:r>
    </w:p>
    <w:p w14:paraId="4D5E86FD">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8.风险责任承担</w:t>
      </w:r>
    </w:p>
    <w:p w14:paraId="3952DCC4">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如因不可抗力造成的系统实施受到影响，甲乙双方应本着友好合作的态度共同协商调整项目实施工作进度。在本协议履行期间或履行完毕之后，由于乙方提供的服务或履行本协议的内容可能会影响使用单位系统正常使用的，或因乙方提供的服务等引发其他问题时，乙方应当及时向甲方及使用单位书面告知并采取措施避免各方损失，否则乙方须赔偿相应损失。</w:t>
      </w:r>
    </w:p>
    <w:p w14:paraId="0FE5F496">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9.项目质量保障</w:t>
      </w:r>
    </w:p>
    <w:p w14:paraId="463317ED">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9.1 乙方在服务过程中，应建立管理规范，包括资产管理、设备管理、介质管理、用户账号及权限管理和风险管理。</w:t>
      </w:r>
    </w:p>
    <w:p w14:paraId="61A63F73">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9.2 乙方应具备规范的质量保障体系。保障体系包括技术服务人员 24 小时响应制度，协调处理故障，问题的快速响应解决以及故障报告分析等。</w:t>
      </w:r>
    </w:p>
    <w:p w14:paraId="21ED27EE">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9.3 在不影响乙方履行本合同项义务的情况下，甲方有权在工作时间内对乙方履约情况进行检查，以保证乙方项目的任何部分均符合本合同的要求。乙方须对此项检查予以协助。</w:t>
      </w:r>
    </w:p>
    <w:p w14:paraId="326E95AA">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10.验收标准和方式</w:t>
      </w:r>
    </w:p>
    <w:p w14:paraId="5DC303D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项目试运行期（设备到货后7个日历日起3个月）结束后，由甲方组织抽取专家进行最终验收，乙方进行文档和资料移交。甲方确保所有与项目相关的文档和资料（包括但不限于：技术文档、用户手册、培训材料等）都已经完全交割，乙方项目人员需要按照甲方要求对项目内容保密。</w:t>
      </w:r>
    </w:p>
    <w:p w14:paraId="67FE4298">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11.违约处理</w:t>
      </w:r>
    </w:p>
    <w:p w14:paraId="778E1FC1">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11.1 违约行为认定</w:t>
      </w:r>
    </w:p>
    <w:p w14:paraId="7AFB806A">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除不可抗力情形外，签订本合同任一方不履行本合同的任一条款，均视为违约。</w:t>
      </w:r>
    </w:p>
    <w:p w14:paraId="6C80EFF0">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11.2 违约责任承担方式</w:t>
      </w:r>
    </w:p>
    <w:p w14:paraId="2F54A10D">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11.2.1.继续履行</w:t>
      </w:r>
    </w:p>
    <w:p w14:paraId="31923855">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守约方有权暂时停止履行义务，并要求违约方继续履行本合同，待违约方纠正违约行为后恢复履行；守约方根据此款规定暂停履行义务不构成违约。</w:t>
      </w:r>
    </w:p>
    <w:p w14:paraId="7C3DF228">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11.2.2.赔偿</w:t>
      </w:r>
    </w:p>
    <w:p w14:paraId="31209C8F">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任何一方有权获得因另一方违约而使该方遭受的任何损失、支出和费用（包括但不限于评估费、鉴定费、律师费、诉讼费）的赔偿，该项赔偿由违约方支付。</w:t>
      </w:r>
    </w:p>
    <w:p w14:paraId="0B491686">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11.3 违约赔偿责任</w:t>
      </w:r>
    </w:p>
    <w:p w14:paraId="233865D7">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11.3.1.甲方违约赔偿责任</w:t>
      </w:r>
    </w:p>
    <w:p w14:paraId="70E98EB7">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甲方未按照本合同约定，无正当理由未及时足额向乙方支付相应的合同金额，则乙方有权向甲方发出书面催告，如甲方在收到书面催告通知后的三十日内仍未能支付的，则甲方除应支付应付未付的合同金额外，还应当赔偿乙方实际经济损失。</w:t>
      </w:r>
    </w:p>
    <w:p w14:paraId="1FE5175E">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付款时间为甲方向财政部门提出支付申请的时间，而非款项实际到达乙方账户的时间。如因政府财政支付流程导致的支付延期，甲方不承担责任，也不能作为乙方延迟履行或不履行合同义务的抗辩理由。</w:t>
      </w:r>
    </w:p>
    <w:p w14:paraId="52E4C987">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甲方无正当理由迟延组织验收或拒收乙方提供的、符合本合同约定的服务，应当赔偿乙方实际经济损失。如因政府财政部门审查、财政支付管理流程及预算下达导致支付延期，支付期限自动顺延，甲方不承担责任，乙方不得以此为由迟延履行或不履行合同义务。</w:t>
      </w:r>
    </w:p>
    <w:p w14:paraId="0B125523">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11.3.2.乙方违约赔偿责任</w:t>
      </w:r>
    </w:p>
    <w:p w14:paraId="20C99FF2">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乙方违反其服务条款时，甲方有权要求乙方在5天内予以改正，逾期不改的，甲方有权每日按照合同总金额的0.3%收取乙方违约金。当以上情况持续30天或以上时，甲方有权单方解除合同，乙方必须将全部服务资料移交甲方，并在合同终止之日起 10 天内，配合甲方做好服务交接工作，并承担由此给甲方及运营服务使用方造成的全部损失（包括但不限于直接损失、律师费、案件受理费、执行费、差旅费、评估费等）。</w:t>
      </w:r>
    </w:p>
    <w:p w14:paraId="0F7C7F63">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12.争议的解决办法</w:t>
      </w:r>
    </w:p>
    <w:p w14:paraId="197413D9">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12.1 合同履行过程中如一方提议对合同做修改或补充，必须在所需更改的内容生效日之前十日提出，经得另一方同意并签订补充协议书后进行。</w:t>
      </w:r>
    </w:p>
    <w:p w14:paraId="3781EDF9">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12.2 合同执行过程中双方如有争议，应友好协商解决，协商不成，双方同意向甲方所在地有管辖权的人民法院提出诉讼。</w:t>
      </w:r>
    </w:p>
    <w:p w14:paraId="6204B680">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12.3 在仲裁、诉讼进行过程中，双方将继续履行本合同未涉诉的其它部分（合同被解除或终止的除外）。</w:t>
      </w:r>
    </w:p>
    <w:p w14:paraId="7FE7A686">
      <w:pPr>
        <w:spacing w:line="360" w:lineRule="auto"/>
        <w:ind w:firstLine="482" w:firstLineChars="200"/>
        <w:rPr>
          <w:rFonts w:asciiTheme="minorEastAsia" w:hAnsiTheme="minorEastAsia"/>
          <w:b/>
          <w:bCs/>
          <w:sz w:val="24"/>
          <w:szCs w:val="24"/>
        </w:rPr>
      </w:pPr>
      <w:r>
        <w:rPr>
          <w:rFonts w:hint="eastAsia" w:asciiTheme="minorEastAsia" w:hAnsiTheme="minorEastAsia"/>
          <w:b/>
          <w:bCs/>
          <w:sz w:val="24"/>
          <w:szCs w:val="24"/>
        </w:rPr>
        <w:t>13.其他</w:t>
      </w:r>
    </w:p>
    <w:p w14:paraId="40E4B30F">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13.1 双方在本合同履行过程中相互发出或者提供的所有通知、文件、文书、资料等，均以本合同所列明的地址送达。一方如果迁址或者变更电话，应当书面通知对方。</w:t>
      </w:r>
    </w:p>
    <w:p w14:paraId="76DA5670">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13.2 合同的生效：本合同自双方授权代表签字、盖章并盖双方公章之日起生效。</w:t>
      </w:r>
    </w:p>
    <w:p w14:paraId="500A3FBD">
      <w:pPr>
        <w:spacing w:line="360" w:lineRule="auto"/>
        <w:ind w:firstLine="480" w:firstLineChars="200"/>
        <w:rPr>
          <w:rFonts w:asciiTheme="minorEastAsia" w:hAnsiTheme="minorEastAsia"/>
          <w:sz w:val="24"/>
          <w:szCs w:val="24"/>
        </w:rPr>
      </w:pPr>
      <w:r>
        <w:rPr>
          <w:rFonts w:hint="eastAsia" w:asciiTheme="minorEastAsia" w:hAnsiTheme="minorEastAsia"/>
          <w:sz w:val="24"/>
          <w:szCs w:val="24"/>
        </w:rPr>
        <w:t>13.3 本合同用中文书写。本合同一式陆份，甲方执肆份，乙方执贰份，所有合同均具有相同的法律效力。</w:t>
      </w:r>
    </w:p>
    <w:p w14:paraId="4610B2DC">
      <w:pPr>
        <w:spacing w:line="360" w:lineRule="auto"/>
        <w:ind w:firstLine="480" w:firstLineChars="200"/>
        <w:rPr>
          <w:rFonts w:asciiTheme="minorEastAsia" w:hAnsiTheme="minorEastAsia"/>
          <w:sz w:val="24"/>
          <w:szCs w:val="24"/>
        </w:rPr>
      </w:pPr>
    </w:p>
    <w:p w14:paraId="67894F7A">
      <w:pPr>
        <w:spacing w:line="360" w:lineRule="auto"/>
        <w:ind w:firstLine="480" w:firstLineChars="200"/>
        <w:rPr>
          <w:rFonts w:asciiTheme="minorEastAsia" w:hAnsiTheme="minorEastAsia"/>
          <w:sz w:val="24"/>
          <w:szCs w:val="24"/>
        </w:rPr>
      </w:pPr>
    </w:p>
    <w:p w14:paraId="7649F9C9">
      <w:pPr>
        <w:spacing w:line="360" w:lineRule="auto"/>
        <w:ind w:firstLine="480" w:firstLineChars="200"/>
        <w:rPr>
          <w:rFonts w:asciiTheme="minorEastAsia" w:hAnsiTheme="minorEastAsia"/>
          <w:sz w:val="24"/>
          <w:szCs w:val="24"/>
        </w:rPr>
      </w:pPr>
    </w:p>
    <w:p w14:paraId="0212853D">
      <w:pPr>
        <w:spacing w:line="360" w:lineRule="auto"/>
        <w:ind w:firstLine="480" w:firstLineChars="200"/>
        <w:rPr>
          <w:rFonts w:asciiTheme="minorEastAsia" w:hAnsiTheme="minorEastAsia"/>
          <w:sz w:val="24"/>
          <w:szCs w:val="24"/>
        </w:rPr>
      </w:pPr>
    </w:p>
    <w:p w14:paraId="44C6D953">
      <w:pPr>
        <w:spacing w:line="360" w:lineRule="auto"/>
        <w:ind w:firstLine="480" w:firstLineChars="200"/>
        <w:rPr>
          <w:rFonts w:asciiTheme="minorEastAsia" w:hAnsiTheme="minorEastAsia"/>
          <w:sz w:val="24"/>
          <w:szCs w:val="24"/>
        </w:rPr>
      </w:pPr>
    </w:p>
    <w:p w14:paraId="5FF43F9A">
      <w:pPr>
        <w:spacing w:line="360" w:lineRule="auto"/>
        <w:ind w:firstLine="480" w:firstLineChars="200"/>
        <w:rPr>
          <w:rFonts w:asciiTheme="minorEastAsia" w:hAnsiTheme="minorEastAsia"/>
          <w:sz w:val="24"/>
          <w:szCs w:val="24"/>
        </w:rPr>
      </w:pPr>
    </w:p>
    <w:p w14:paraId="46206240">
      <w:pPr>
        <w:spacing w:line="360" w:lineRule="auto"/>
        <w:ind w:firstLine="480" w:firstLineChars="200"/>
        <w:rPr>
          <w:rFonts w:asciiTheme="minorEastAsia" w:hAnsiTheme="minorEastAsia"/>
          <w:sz w:val="24"/>
          <w:szCs w:val="24"/>
        </w:rPr>
      </w:pPr>
    </w:p>
    <w:p w14:paraId="1C1D81AE">
      <w:pPr>
        <w:spacing w:line="360" w:lineRule="auto"/>
        <w:ind w:firstLine="480" w:firstLineChars="200"/>
        <w:rPr>
          <w:rFonts w:asciiTheme="minorEastAsia" w:hAnsiTheme="minorEastAsia"/>
          <w:sz w:val="24"/>
          <w:szCs w:val="24"/>
        </w:rPr>
      </w:pPr>
    </w:p>
    <w:p w14:paraId="5290D39A">
      <w:pPr>
        <w:spacing w:line="360" w:lineRule="auto"/>
        <w:ind w:firstLine="480" w:firstLineChars="200"/>
        <w:rPr>
          <w:rFonts w:asciiTheme="minorEastAsia" w:hAnsiTheme="minorEastAsia"/>
          <w:sz w:val="24"/>
          <w:szCs w:val="24"/>
        </w:rPr>
      </w:pPr>
    </w:p>
    <w:p w14:paraId="312DA205">
      <w:pPr>
        <w:spacing w:line="360" w:lineRule="auto"/>
        <w:ind w:firstLine="480" w:firstLineChars="200"/>
        <w:rPr>
          <w:rFonts w:asciiTheme="minorEastAsia" w:hAnsiTheme="minorEastAsia"/>
          <w:sz w:val="24"/>
          <w:szCs w:val="24"/>
        </w:rPr>
      </w:pPr>
    </w:p>
    <w:p w14:paraId="67E46EF7">
      <w:pPr>
        <w:spacing w:line="360" w:lineRule="auto"/>
        <w:ind w:firstLine="480" w:firstLineChars="200"/>
        <w:rPr>
          <w:rFonts w:asciiTheme="minorEastAsia" w:hAnsiTheme="minorEastAsia"/>
          <w:sz w:val="24"/>
          <w:szCs w:val="24"/>
        </w:rPr>
      </w:pPr>
    </w:p>
    <w:p w14:paraId="21F5947A">
      <w:pPr>
        <w:spacing w:line="360" w:lineRule="auto"/>
        <w:ind w:firstLine="480" w:firstLineChars="200"/>
        <w:rPr>
          <w:rFonts w:asciiTheme="minorEastAsia" w:hAnsiTheme="minorEastAsia"/>
          <w:sz w:val="24"/>
          <w:szCs w:val="24"/>
        </w:rPr>
      </w:pPr>
    </w:p>
    <w:p w14:paraId="31F11C90">
      <w:pPr>
        <w:spacing w:line="360" w:lineRule="auto"/>
        <w:ind w:firstLine="480" w:firstLineChars="200"/>
        <w:rPr>
          <w:rFonts w:asciiTheme="minorEastAsia" w:hAnsiTheme="minorEastAsia"/>
          <w:sz w:val="24"/>
          <w:szCs w:val="24"/>
        </w:rPr>
      </w:pPr>
    </w:p>
    <w:p w14:paraId="592B8A56">
      <w:pPr>
        <w:spacing w:line="360" w:lineRule="auto"/>
        <w:ind w:firstLine="480" w:firstLineChars="200"/>
        <w:rPr>
          <w:rFonts w:asciiTheme="minorEastAsia" w:hAnsiTheme="minorEastAsia"/>
          <w:sz w:val="24"/>
          <w:szCs w:val="24"/>
        </w:rPr>
      </w:pPr>
    </w:p>
    <w:p w14:paraId="0D65A1CD">
      <w:pPr>
        <w:spacing w:line="360" w:lineRule="auto"/>
        <w:ind w:firstLine="480" w:firstLineChars="200"/>
        <w:rPr>
          <w:rFonts w:asciiTheme="minorEastAsia" w:hAnsiTheme="minorEastAsia"/>
          <w:sz w:val="24"/>
          <w:szCs w:val="24"/>
        </w:rPr>
      </w:pPr>
    </w:p>
    <w:p w14:paraId="3C2E71BE">
      <w:pPr>
        <w:spacing w:line="360" w:lineRule="auto"/>
        <w:rPr>
          <w:rFonts w:asciiTheme="minorEastAsia" w:hAnsiTheme="minorEastAsia"/>
          <w:sz w:val="24"/>
          <w:szCs w:val="24"/>
        </w:rPr>
      </w:pPr>
    </w:p>
    <w:p w14:paraId="73AABF4C">
      <w:pPr>
        <w:spacing w:line="360" w:lineRule="auto"/>
        <w:ind w:firstLine="480" w:firstLineChars="200"/>
        <w:rPr>
          <w:rFonts w:asciiTheme="minorEastAsia" w:hAnsiTheme="minorEastAsia"/>
          <w:sz w:val="24"/>
          <w:szCs w:val="24"/>
        </w:rPr>
      </w:pPr>
    </w:p>
    <w:p w14:paraId="0DD87325">
      <w:pPr>
        <w:spacing w:line="360" w:lineRule="auto"/>
        <w:ind w:firstLine="480" w:firstLineChars="200"/>
        <w:rPr>
          <w:rFonts w:asciiTheme="minorEastAsia" w:hAnsiTheme="minorEastAsia"/>
          <w:sz w:val="24"/>
          <w:szCs w:val="24"/>
        </w:rPr>
      </w:pPr>
    </w:p>
    <w:p w14:paraId="0379911B">
      <w:pPr>
        <w:spacing w:line="360" w:lineRule="auto"/>
        <w:rPr>
          <w:rFonts w:asciiTheme="minorEastAsia" w:hAnsiTheme="minorEastAsia"/>
          <w:sz w:val="24"/>
          <w:szCs w:val="24"/>
        </w:rPr>
      </w:pPr>
      <w:r>
        <w:rPr>
          <w:rFonts w:hint="eastAsia" w:asciiTheme="minorEastAsia" w:hAnsiTheme="minorEastAsia"/>
          <w:sz w:val="24"/>
          <w:szCs w:val="24"/>
        </w:rPr>
        <w:t>（本页为签署页）</w:t>
      </w:r>
    </w:p>
    <w:p w14:paraId="17572752">
      <w:pPr>
        <w:spacing w:line="360" w:lineRule="auto"/>
        <w:rPr>
          <w:rFonts w:asciiTheme="minorEastAsia" w:hAnsiTheme="minorEastAsia"/>
          <w:sz w:val="24"/>
          <w:szCs w:val="24"/>
        </w:rPr>
      </w:pPr>
    </w:p>
    <w:p w14:paraId="1015234D">
      <w:pPr>
        <w:spacing w:line="360" w:lineRule="auto"/>
        <w:rPr>
          <w:rFonts w:asciiTheme="minorEastAsia" w:hAnsiTheme="minorEastAsia"/>
          <w:sz w:val="24"/>
          <w:szCs w:val="24"/>
        </w:rPr>
      </w:pPr>
    </w:p>
    <w:p w14:paraId="4A159D07">
      <w:pPr>
        <w:spacing w:line="360" w:lineRule="auto"/>
        <w:rPr>
          <w:rFonts w:asciiTheme="minorEastAsia" w:hAnsiTheme="minorEastAsia"/>
          <w:sz w:val="24"/>
          <w:szCs w:val="24"/>
        </w:rPr>
      </w:pPr>
      <w:r>
        <w:rPr>
          <w:rFonts w:hint="eastAsia" w:asciiTheme="minorEastAsia" w:hAnsiTheme="minorEastAsia"/>
          <w:sz w:val="24"/>
          <w:szCs w:val="24"/>
        </w:rPr>
        <w:t>甲方：</w:t>
      </w:r>
      <w:r>
        <w:rPr>
          <w:rFonts w:hint="eastAsia" w:asciiTheme="minorEastAsia" w:hAnsiTheme="minorEastAsia"/>
          <w:iCs/>
          <w:sz w:val="24"/>
          <w:szCs w:val="24"/>
        </w:rPr>
        <w:t>陕西省药品监督管理局</w:t>
      </w:r>
    </w:p>
    <w:p w14:paraId="553ED82B">
      <w:pPr>
        <w:spacing w:line="360" w:lineRule="auto"/>
        <w:rPr>
          <w:rFonts w:asciiTheme="minorEastAsia" w:hAnsiTheme="minorEastAsia"/>
          <w:sz w:val="24"/>
          <w:szCs w:val="24"/>
        </w:rPr>
      </w:pPr>
      <w:r>
        <w:rPr>
          <w:rFonts w:hint="eastAsia" w:asciiTheme="minorEastAsia" w:hAnsiTheme="minorEastAsia"/>
          <w:sz w:val="24"/>
          <w:szCs w:val="24"/>
        </w:rPr>
        <w:t>（盖章）</w:t>
      </w:r>
    </w:p>
    <w:p w14:paraId="7C712B9B">
      <w:pPr>
        <w:spacing w:line="360" w:lineRule="auto"/>
        <w:rPr>
          <w:rFonts w:asciiTheme="minorEastAsia" w:hAnsiTheme="minorEastAsia"/>
          <w:sz w:val="24"/>
          <w:szCs w:val="24"/>
        </w:rPr>
      </w:pPr>
      <w:r>
        <w:rPr>
          <w:rFonts w:hint="eastAsia" w:asciiTheme="minorEastAsia" w:hAnsiTheme="minorEastAsia"/>
          <w:sz w:val="24"/>
          <w:szCs w:val="24"/>
        </w:rPr>
        <w:t>法定代表人或授权代表人（签字）：</w:t>
      </w:r>
    </w:p>
    <w:p w14:paraId="4732EC7E">
      <w:pPr>
        <w:spacing w:line="360" w:lineRule="auto"/>
        <w:rPr>
          <w:rFonts w:asciiTheme="minorEastAsia" w:hAnsiTheme="minorEastAsia"/>
          <w:sz w:val="24"/>
          <w:szCs w:val="24"/>
        </w:rPr>
      </w:pPr>
      <w:r>
        <w:rPr>
          <w:rFonts w:hint="eastAsia" w:asciiTheme="minorEastAsia" w:hAnsiTheme="minorEastAsia"/>
          <w:sz w:val="24"/>
          <w:szCs w:val="24"/>
        </w:rPr>
        <w:t>地址：</w:t>
      </w:r>
      <w:r>
        <w:rPr>
          <w:rFonts w:asciiTheme="minorEastAsia" w:hAnsiTheme="minorEastAsia"/>
          <w:sz w:val="24"/>
          <w:szCs w:val="24"/>
        </w:rPr>
        <w:t xml:space="preserve"> </w:t>
      </w:r>
    </w:p>
    <w:p w14:paraId="6E624D69">
      <w:pPr>
        <w:spacing w:line="360" w:lineRule="auto"/>
        <w:rPr>
          <w:rFonts w:asciiTheme="minorEastAsia" w:hAnsiTheme="minorEastAsia"/>
          <w:sz w:val="24"/>
          <w:szCs w:val="24"/>
        </w:rPr>
      </w:pPr>
      <w:r>
        <w:rPr>
          <w:rFonts w:hint="eastAsia" w:asciiTheme="minorEastAsia" w:hAnsiTheme="minorEastAsia"/>
          <w:sz w:val="24"/>
          <w:szCs w:val="24"/>
        </w:rPr>
        <w:t>电话：</w:t>
      </w:r>
    </w:p>
    <w:p w14:paraId="1F3D320D">
      <w:pPr>
        <w:spacing w:line="360" w:lineRule="auto"/>
        <w:rPr>
          <w:rFonts w:asciiTheme="minorEastAsia" w:hAnsiTheme="minorEastAsia"/>
          <w:sz w:val="24"/>
          <w:szCs w:val="24"/>
        </w:rPr>
      </w:pPr>
      <w:r>
        <w:rPr>
          <w:rFonts w:hint="eastAsia" w:asciiTheme="minorEastAsia" w:hAnsiTheme="minorEastAsia"/>
          <w:sz w:val="24"/>
          <w:szCs w:val="24"/>
        </w:rPr>
        <w:t>开户银行：</w:t>
      </w:r>
    </w:p>
    <w:p w14:paraId="27928371">
      <w:pPr>
        <w:spacing w:line="360" w:lineRule="auto"/>
        <w:rPr>
          <w:rFonts w:asciiTheme="minorEastAsia" w:hAnsiTheme="minorEastAsia"/>
          <w:sz w:val="24"/>
          <w:szCs w:val="24"/>
        </w:rPr>
      </w:pPr>
      <w:r>
        <w:rPr>
          <w:rFonts w:hint="eastAsia" w:asciiTheme="minorEastAsia" w:hAnsiTheme="minorEastAsia"/>
          <w:sz w:val="24"/>
          <w:szCs w:val="24"/>
        </w:rPr>
        <w:t>账号：</w:t>
      </w:r>
    </w:p>
    <w:p w14:paraId="51896A11">
      <w:pPr>
        <w:spacing w:line="360" w:lineRule="auto"/>
        <w:rPr>
          <w:rFonts w:asciiTheme="minorEastAsia" w:hAnsiTheme="minorEastAsia"/>
          <w:sz w:val="24"/>
          <w:szCs w:val="24"/>
        </w:rPr>
      </w:pPr>
    </w:p>
    <w:p w14:paraId="1A67B77E">
      <w:pPr>
        <w:spacing w:line="360" w:lineRule="auto"/>
        <w:rPr>
          <w:rFonts w:asciiTheme="minorEastAsia" w:hAnsiTheme="minorEastAsia"/>
          <w:sz w:val="24"/>
          <w:szCs w:val="24"/>
        </w:rPr>
      </w:pPr>
    </w:p>
    <w:p w14:paraId="7A49380B">
      <w:pPr>
        <w:spacing w:line="360" w:lineRule="auto"/>
        <w:rPr>
          <w:rFonts w:asciiTheme="minorEastAsia" w:hAnsiTheme="minorEastAsia"/>
          <w:sz w:val="24"/>
          <w:szCs w:val="24"/>
        </w:rPr>
      </w:pPr>
      <w:r>
        <w:rPr>
          <w:rFonts w:hint="eastAsia" w:asciiTheme="minorEastAsia" w:hAnsiTheme="minorEastAsia"/>
          <w:sz w:val="24"/>
          <w:szCs w:val="24"/>
        </w:rPr>
        <w:t>乙方：</w:t>
      </w:r>
      <w:r>
        <w:rPr>
          <w:rFonts w:asciiTheme="minorEastAsia" w:hAnsiTheme="minorEastAsia"/>
          <w:sz w:val="24"/>
          <w:szCs w:val="24"/>
        </w:rPr>
        <w:t xml:space="preserve"> </w:t>
      </w:r>
    </w:p>
    <w:p w14:paraId="709F82FD">
      <w:pPr>
        <w:spacing w:line="360" w:lineRule="auto"/>
        <w:rPr>
          <w:rFonts w:asciiTheme="minorEastAsia" w:hAnsiTheme="minorEastAsia"/>
          <w:sz w:val="24"/>
          <w:szCs w:val="24"/>
        </w:rPr>
      </w:pPr>
      <w:r>
        <w:rPr>
          <w:rFonts w:hint="eastAsia" w:asciiTheme="minorEastAsia" w:hAnsiTheme="minorEastAsia"/>
          <w:sz w:val="24"/>
          <w:szCs w:val="24"/>
        </w:rPr>
        <w:t>（盖章）</w:t>
      </w:r>
    </w:p>
    <w:p w14:paraId="3FC8F0C1">
      <w:pPr>
        <w:spacing w:line="360" w:lineRule="auto"/>
        <w:rPr>
          <w:rFonts w:asciiTheme="minorEastAsia" w:hAnsiTheme="minorEastAsia"/>
          <w:sz w:val="24"/>
          <w:szCs w:val="24"/>
        </w:rPr>
      </w:pPr>
      <w:r>
        <w:rPr>
          <w:rFonts w:hint="eastAsia" w:asciiTheme="minorEastAsia" w:hAnsiTheme="minorEastAsia"/>
          <w:sz w:val="24"/>
          <w:szCs w:val="24"/>
        </w:rPr>
        <w:t>法定代表人或授权代表人（签字）：</w:t>
      </w:r>
    </w:p>
    <w:p w14:paraId="1F9ADA3C">
      <w:pPr>
        <w:spacing w:line="360" w:lineRule="auto"/>
        <w:rPr>
          <w:rFonts w:asciiTheme="minorEastAsia" w:hAnsiTheme="minorEastAsia"/>
          <w:sz w:val="24"/>
          <w:szCs w:val="24"/>
        </w:rPr>
      </w:pPr>
      <w:r>
        <w:rPr>
          <w:rFonts w:hint="eastAsia" w:asciiTheme="minorEastAsia" w:hAnsiTheme="minorEastAsia"/>
          <w:sz w:val="24"/>
          <w:szCs w:val="24"/>
        </w:rPr>
        <w:t>地址：</w:t>
      </w:r>
      <w:r>
        <w:rPr>
          <w:rFonts w:asciiTheme="minorEastAsia" w:hAnsiTheme="minorEastAsia"/>
          <w:sz w:val="24"/>
          <w:szCs w:val="24"/>
        </w:rPr>
        <w:t xml:space="preserve"> </w:t>
      </w:r>
    </w:p>
    <w:p w14:paraId="07C28295">
      <w:pPr>
        <w:spacing w:line="360" w:lineRule="auto"/>
        <w:rPr>
          <w:rFonts w:asciiTheme="minorEastAsia" w:hAnsiTheme="minorEastAsia"/>
          <w:sz w:val="24"/>
          <w:szCs w:val="24"/>
        </w:rPr>
      </w:pPr>
      <w:r>
        <w:rPr>
          <w:rFonts w:hint="eastAsia" w:asciiTheme="minorEastAsia" w:hAnsiTheme="minorEastAsia"/>
          <w:sz w:val="24"/>
          <w:szCs w:val="24"/>
        </w:rPr>
        <w:t>电话：</w:t>
      </w:r>
    </w:p>
    <w:p w14:paraId="2A6920D6">
      <w:pPr>
        <w:spacing w:line="360" w:lineRule="auto"/>
        <w:rPr>
          <w:rFonts w:asciiTheme="minorEastAsia" w:hAnsiTheme="minorEastAsia"/>
          <w:sz w:val="24"/>
          <w:szCs w:val="24"/>
        </w:rPr>
      </w:pPr>
      <w:r>
        <w:rPr>
          <w:rFonts w:hint="eastAsia" w:asciiTheme="minorEastAsia" w:hAnsiTheme="minorEastAsia"/>
          <w:sz w:val="24"/>
          <w:szCs w:val="24"/>
        </w:rPr>
        <w:t>开户银行：</w:t>
      </w:r>
      <w:r>
        <w:rPr>
          <w:rFonts w:asciiTheme="minorEastAsia" w:hAnsiTheme="minorEastAsia"/>
          <w:sz w:val="24"/>
          <w:szCs w:val="24"/>
        </w:rPr>
        <w:t xml:space="preserve"> </w:t>
      </w:r>
    </w:p>
    <w:p w14:paraId="693E8E95">
      <w:pPr>
        <w:spacing w:line="360" w:lineRule="auto"/>
        <w:rPr>
          <w:rFonts w:asciiTheme="minorEastAsia" w:hAnsiTheme="minorEastAsia"/>
          <w:sz w:val="24"/>
          <w:szCs w:val="24"/>
        </w:rPr>
      </w:pPr>
      <w:r>
        <w:rPr>
          <w:rFonts w:hint="eastAsia" w:asciiTheme="minorEastAsia" w:hAnsiTheme="minorEastAsia"/>
          <w:sz w:val="24"/>
          <w:szCs w:val="24"/>
        </w:rPr>
        <w:t>账号：</w:t>
      </w:r>
    </w:p>
    <w:p w14:paraId="57CFCE26">
      <w:pPr>
        <w:spacing w:line="360" w:lineRule="auto"/>
        <w:rPr>
          <w:rFonts w:asciiTheme="minorEastAsia" w:hAnsiTheme="minorEastAsia"/>
          <w:sz w:val="24"/>
          <w:szCs w:val="24"/>
        </w:rPr>
      </w:pPr>
    </w:p>
    <w:p w14:paraId="52D4A987">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5EC17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nhideWhenUsed/>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2026-06-11T12:08:23Z</dcterms:created>
  <dc:creator>Administrator</dc:creator>
  <cp:lastModifiedBy> </cp:lastModifiedBy>
  <dcterms:modified xsi:type="dcterms:W3CDTF">2026-06-11T12:08:32Z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eyJoZGlkIjoiYWY1MWEyM2RmNDRlZThhZGQ5ZjhhZjg1ZjFjN2M0MGQiLCJ1c2VySWQiOiIyNjk2NzEwODAifQ==</vt:lpwstr>
  </property>
  <property fmtid="{D5CDD505-2E9C-101B-9397-08002B2CF9AE}" pid="4" name="ICV">
    <vt:lpwstr>31DF99055A7A4C238BE4980293042A3A_12</vt:lpwstr>
  </property>
</Properties>
</file>