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版本号：LZBB2026-61820260611001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陕西省药品监督管理局数据中心升级改造项目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LZBB2026-618</w:t>
      </w:r>
      <w:r>
        <w:br/>
      </w:r>
      <w:r>
        <w:br/>
      </w:r>
      <w:r>
        <w:br/>
      </w:r>
    </w:p>
    <w:p>
      <w:pPr>
        <w:pStyle w:val="null3"/>
        <w:jc w:val="center"/>
        <w:outlineLvl w:val="2"/>
      </w:pPr>
      <w:r>
        <w:rPr>
          <w:rFonts w:ascii="仿宋_GB2312" w:hAnsi="仿宋_GB2312" w:cs="仿宋_GB2312" w:eastAsia="仿宋_GB2312"/>
          <w:sz w:val="28"/>
          <w:b/>
        </w:rPr>
        <w:t>陕西省药品监督管理局机关</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陕西省药品监督管理局机关</w:t>
      </w:r>
      <w:r>
        <w:rPr>
          <w:rFonts w:ascii="仿宋_GB2312" w:hAnsi="仿宋_GB2312" w:cs="仿宋_GB2312" w:eastAsia="仿宋_GB2312"/>
        </w:rPr>
        <w:t>委托，拟对</w:t>
      </w:r>
      <w:r>
        <w:rPr>
          <w:rFonts w:ascii="仿宋_GB2312" w:hAnsi="仿宋_GB2312" w:cs="仿宋_GB2312" w:eastAsia="仿宋_GB2312"/>
        </w:rPr>
        <w:t>陕西省药品监督管理局数据中心升级改造项目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LZBB2026-618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陕西省药品监督管理局数据中心升级改造项目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本项目拟对陕西省药品监督管理局数据中心升级改造项目进行采购，具体详见采购文件。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采购包1（陕西省药品监督管理局数据中心升级改造项目）：属于专门面向中小企业采购。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 ：参加政府采购活动前3年内在经营活动中没有重大违法记录的书面声明，供应商需在项目电子化交易系统中按要求上传相应证明文件并进行电子签章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6、供应商资质证书：供应商具备电子与智能化工程专业承包二级（或以上）资质，具有有效的安全生产许可证，供应商需在项目电子化交易系统中按要求上传相应证明文件并进行电子签章。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7、拟派项目经理资格：拟派项目经理具备机电工程专业二级（或以上）注册建造师执业资格和有效的安全生产考核合格证书（B证），在本单位注册且未担任其他在施建设工程的项目经理，供应商需在项目电子化交易系统中按要求上传相应证明文件并进行电子签章。</w:t>
      </w:r>
    </w:p>
    <w:p>
      <w:pPr>
        <w:pStyle w:val="null3"/>
      </w:pPr>
      <w:r>
        <w:rPr>
          <w:rFonts w:ascii="仿宋_GB2312" w:hAnsi="仿宋_GB2312" w:cs="仿宋_GB2312" w:eastAsia="仿宋_GB2312"/>
        </w:rPr>
        <w:t>8、法定代表人授权委托书：法定代表人授权委托书：法定代表人参加磋商的，须提供法定代表人身份证明；法定代表人授权他人参加磋商的，须提供法定代表人授权委托书，被授权代表本单位证明：响应文件递交截止时间前连续近三个月（不含开标当月）供应商为其缴纳的养老保险缴纳证明。（法定代表人参加只需提供法定代表人身份证明）。供应商需在项目电子化交易系统中按要求上传相应证明文件并进行电子签章</w:t>
      </w:r>
    </w:p>
    <w:p>
      <w:pPr>
        <w:pStyle w:val="null3"/>
      </w:pPr>
      <w:r>
        <w:rPr>
          <w:rFonts w:ascii="仿宋_GB2312" w:hAnsi="仿宋_GB2312" w:cs="仿宋_GB2312" w:eastAsia="仿宋_GB2312"/>
        </w:rPr>
        <w:t>9、专门面向中小企业采购：专门面向中小企业采购：本项目专门面向中小企业采购，仅限符合《政府采购促进中小企业发展管理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p>
      <w:pPr>
        <w:pStyle w:val="null3"/>
      </w:pPr>
      <w:r>
        <w:rPr>
          <w:rFonts w:ascii="仿宋_GB2312" w:hAnsi="仿宋_GB2312" w:cs="仿宋_GB2312" w:eastAsia="仿宋_GB2312"/>
        </w:rPr>
        <w:t>10、供应商信用状况：（1）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响应文件递交截止时间后现场网站查询结果为准。 （2）供应商基本信息及拟派项目经理基本信息应在“陕西省住房和城乡建设厅-陕西省建筑市场监管与诚信信息发布平台”可查询，以响应文件递交截止时间后现场网站查询结果为准。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陕西省药品监督管理局机关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西安市高新六路56号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陕西省药品监督管理局机关经办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029-62288184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王万里、王飞、张波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采购包1：1,642,100.00元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发改委办公厅颁发的《关于招标代理服务收费有关问题的通知》（发改办价格[2003]857号）的服务类标准计取。2、成交单位在领取成交通知书之前，须向代理机构支付招标代理服务费。3、招标代理服务费以转账或现金形式缴纳至以下账户： 开户名称：龙寰项目管理咨询有限公司，开户银行：平安银行西安高新路支行，账 号：30201278018661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陕西省药品监督管理局机关</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陕西省药品监督管理局机关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陕西省药品监督管理局机关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联系人：王万里</w:t>
      </w:r>
    </w:p>
    <w:p>
      <w:pPr>
        <w:pStyle w:val="null3"/>
      </w:pPr>
      <w:r>
        <w:rPr>
          <w:rFonts w:ascii="仿宋_GB2312" w:hAnsi="仿宋_GB2312" w:cs="仿宋_GB2312" w:eastAsia="仿宋_GB2312"/>
        </w:rPr>
        <w:t>联系电话：029-88228899-626</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本项目拟对陕西省药品监督管理局数据中心升级改造项目进行采购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1,642,100.00</w:t>
      </w:r>
    </w:p>
    <w:p>
      <w:pPr>
        <w:pStyle w:val="null3"/>
      </w:pPr>
      <w:r>
        <w:rPr>
          <w:rFonts w:ascii="仿宋_GB2312" w:hAnsi="仿宋_GB2312" w:cs="仿宋_GB2312" w:eastAsia="仿宋_GB2312"/>
        </w:rPr>
        <w:t>采购包最高限价（元）: 1,642,100.00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陕西省药品监督管理局数据中心升级改造项目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1,642,100.00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标的名称：陕西省药品监督管理局数据中心升级改造项目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w:t>
            </w:r>
            <w:r>
              <w:rPr>
                <w:rFonts w:ascii="仿宋_GB2312" w:hAnsi="仿宋_GB2312" w:cs="仿宋_GB2312" w:eastAsia="仿宋_GB2312"/>
              </w:rPr>
              <w:t>1）我局3楼网络机房于2014年进行了一次升级改造，距今已12年有余。机房核心设备老化严重，存在重大安全隐患。其中UPS不间断电源因铅酸电池漏液严重而无法工作，精密空调制冷能力严重不足、外界高温时经常报警停用，消防设施老旧不能可靠运行，防静电地板损坏严重，停用设备较多，急需整体更新。</w:t>
            </w:r>
          </w:p>
          <w:p>
            <w:pPr>
              <w:pStyle w:val="null3"/>
            </w:pPr>
            <w:r>
              <w:rPr>
                <w:rFonts w:ascii="仿宋_GB2312" w:hAnsi="仿宋_GB2312" w:cs="仿宋_GB2312" w:eastAsia="仿宋_GB2312"/>
              </w:rPr>
              <w:t>（</w:t>
            </w:r>
            <w:r>
              <w:rPr>
                <w:rFonts w:ascii="仿宋_GB2312" w:hAnsi="仿宋_GB2312" w:cs="仿宋_GB2312" w:eastAsia="仿宋_GB2312"/>
              </w:rPr>
              <w:t>2）不满足绿色节能要求。现有设备核心部件老化，与国家倡导的绿色数据中心标准差距较大。本项目采用模块化数据中心解决方案，设计PUE值≤1.4，满足节能降耗要求。</w:t>
            </w:r>
          </w:p>
          <w:p>
            <w:pPr>
              <w:pStyle w:val="null3"/>
            </w:pPr>
            <w:r>
              <w:rPr>
                <w:rFonts w:ascii="仿宋_GB2312" w:hAnsi="仿宋_GB2312" w:cs="仿宋_GB2312" w:eastAsia="仿宋_GB2312"/>
              </w:rPr>
              <w:t>（</w:t>
            </w:r>
            <w:r>
              <w:rPr>
                <w:rFonts w:ascii="仿宋_GB2312" w:hAnsi="仿宋_GB2312" w:cs="仿宋_GB2312" w:eastAsia="仿宋_GB2312"/>
              </w:rPr>
              <w:t>3）基础设施薄弱，运维管理手段落后。机柜未封闭冷通道，气流组织不合理；缺乏精准温湿度监控，无法定位热点区域。现有部分网络安全设备不能满足监测需要，运维效率低下。</w:t>
            </w:r>
          </w:p>
          <w:p>
            <w:pPr>
              <w:pStyle w:val="null3"/>
            </w:pPr>
            <w:r>
              <w:rPr>
                <w:rFonts w:ascii="仿宋_GB2312" w:hAnsi="仿宋_GB2312" w:cs="仿宋_GB2312" w:eastAsia="仿宋_GB2312"/>
              </w:rPr>
              <w:t>（</w:t>
            </w:r>
            <w:r>
              <w:rPr>
                <w:rFonts w:ascii="仿宋_GB2312" w:hAnsi="仿宋_GB2312" w:cs="仿宋_GB2312" w:eastAsia="仿宋_GB2312"/>
              </w:rPr>
              <w:t>4）操作间环境滞后，影响工作效率。现有操作间布局沿用原办公室模式，工位配置不足，不能满足“十五五”时期信息化运维运营工作需要。</w:t>
            </w:r>
          </w:p>
          <w:p>
            <w:pPr>
              <w:pStyle w:val="null3"/>
            </w:pPr>
            <w:r>
              <w:rPr>
                <w:rFonts w:ascii="仿宋_GB2312" w:hAnsi="仿宋_GB2312" w:cs="仿宋_GB2312" w:eastAsia="仿宋_GB2312"/>
              </w:rPr>
              <w:t>（</w:t>
            </w:r>
            <w:r>
              <w:rPr>
                <w:rFonts w:ascii="仿宋_GB2312" w:hAnsi="仿宋_GB2312" w:cs="仿宋_GB2312" w:eastAsia="仿宋_GB2312"/>
              </w:rPr>
              <w:t>5）落实国家B级机房标准及等级保护要求的需要。</w:t>
            </w:r>
          </w:p>
          <w:p>
            <w:pPr>
              <w:pStyle w:val="null3"/>
            </w:pPr>
            <w:r>
              <w:rPr>
                <w:rFonts w:ascii="仿宋_GB2312" w:hAnsi="仿宋_GB2312" w:cs="仿宋_GB2312" w:eastAsia="仿宋_GB2312"/>
              </w:rPr>
              <w:t>（</w:t>
            </w:r>
            <w:r>
              <w:rPr>
                <w:rFonts w:ascii="仿宋_GB2312" w:hAnsi="仿宋_GB2312" w:cs="仿宋_GB2312" w:eastAsia="仿宋_GB2312"/>
              </w:rPr>
              <w:t>6）空间规划滞后：办公室整体布局仍沿用旧有模式，空间利用率低，</w:t>
            </w:r>
          </w:p>
          <w:p>
            <w:pPr>
              <w:pStyle w:val="null3"/>
            </w:pPr>
            <w:r>
              <w:rPr>
                <w:rFonts w:ascii="仿宋_GB2312" w:hAnsi="仿宋_GB2312" w:cs="仿宋_GB2312" w:eastAsia="仿宋_GB2312"/>
              </w:rPr>
              <w:t>现有固定工位数量少于实际在岗员工人数，资料堆放区、临时接待区、设备存放区等功能区域划分不清。</w:t>
            </w:r>
          </w:p>
          <w:p>
            <w:pPr>
              <w:pStyle w:val="null3"/>
            </w:pPr>
            <w:r>
              <w:rPr>
                <w:rFonts w:ascii="仿宋_GB2312" w:hAnsi="仿宋_GB2312" w:cs="仿宋_GB2312" w:eastAsia="仿宋_GB2312"/>
              </w:rPr>
              <w:t>二、项目建设服务内容</w:t>
            </w:r>
          </w:p>
          <w:p>
            <w:pPr>
              <w:pStyle w:val="null3"/>
            </w:pPr>
            <w:r>
              <w:rPr>
                <w:rFonts w:ascii="仿宋_GB2312" w:hAnsi="仿宋_GB2312" w:cs="仿宋_GB2312" w:eastAsia="仿宋_GB2312"/>
              </w:rPr>
              <w:t>本次项目服务范围如下：</w:t>
            </w:r>
          </w:p>
          <w:p>
            <w:pPr>
              <w:pStyle w:val="null3"/>
            </w:pPr>
            <w:r>
              <w:rPr>
                <w:rFonts w:ascii="仿宋_GB2312" w:hAnsi="仿宋_GB2312" w:cs="仿宋_GB2312" w:eastAsia="仿宋_GB2312"/>
              </w:rPr>
              <w:t>区域分布表</w:t>
            </w:r>
          </w:p>
          <w:tbl>
            <w:tblPr>
              <w:tblInd w:type="dxa" w:w="120"/>
              <w:tblBorders>
                <w:top w:val="none" w:color="000000" w:sz="4"/>
                <w:left w:val="none" w:color="000000" w:sz="4"/>
                <w:bottom w:val="none" w:color="000000" w:sz="4"/>
                <w:right w:val="none" w:color="000000" w:sz="4"/>
                <w:insideH w:val="none"/>
                <w:insideV w:val="none"/>
              </w:tblBorders>
            </w:tblPr>
            <w:tblGrid>
              <w:gridCol w:w="324"/>
              <w:gridCol w:w="597"/>
              <w:gridCol w:w="487"/>
              <w:gridCol w:w="487"/>
              <w:gridCol w:w="487"/>
              <w:gridCol w:w="789"/>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位置</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长（米）</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宽（米）</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高（米）</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面积（约平方米）</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数据中心</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9.72</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5.72</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9"/>
                    </w:rPr>
                    <w:t>55.60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操作间一</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11.9</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5.12</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9"/>
                    </w:rPr>
                    <w:t>60.93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操作间二</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7.9</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5.12</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9"/>
                    </w:rPr>
                    <w:t>40.45</w:t>
                  </w:r>
                </w:p>
              </w:tc>
            </w:tr>
          </w:tbl>
          <w:p>
            <w:pPr>
              <w:pStyle w:val="null3"/>
            </w:pPr>
            <w:r>
              <w:rPr>
                <w:rFonts w:ascii="仿宋_GB2312" w:hAnsi="仿宋_GB2312" w:cs="仿宋_GB2312" w:eastAsia="仿宋_GB2312"/>
              </w:rPr>
              <w:t>整体平面图</w:t>
            </w:r>
          </w:p>
          <w:p>
            <w:pPr>
              <w:pStyle w:val="null3"/>
            </w:pPr>
            <w:r>
              <w:drawing>
                <wp:inline distT="0" distR="0" distB="0" distL="0">
                  <wp:extent cx="1621155" cy="63945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639455"/>
                          </a:xfrm>
                          <a:prstGeom prst="rect">
                            <a:avLst/>
                          </a:prstGeom>
                        </pic:spPr>
                      </pic:pic>
                    </a:graphicData>
                  </a:graphic>
                </wp:inline>
              </w:drawing>
            </w:r>
          </w:p>
          <w:p>
            <w:pPr>
              <w:pStyle w:val="null3"/>
            </w:pPr>
            <w:r>
              <w:rPr>
                <w:rFonts w:ascii="仿宋_GB2312" w:hAnsi="仿宋_GB2312" w:cs="仿宋_GB2312" w:eastAsia="仿宋_GB2312"/>
              </w:rPr>
              <w:t>（一）基础环境</w:t>
            </w:r>
          </w:p>
          <w:p>
            <w:pPr>
              <w:pStyle w:val="null3"/>
            </w:pPr>
            <w:r>
              <w:rPr>
                <w:rFonts w:ascii="仿宋_GB2312" w:hAnsi="仿宋_GB2312" w:cs="仿宋_GB2312" w:eastAsia="仿宋_GB2312"/>
              </w:rPr>
              <w:t>1.机房内装修系统</w:t>
            </w:r>
          </w:p>
          <w:p>
            <w:pPr>
              <w:pStyle w:val="null3"/>
            </w:pPr>
            <w:r>
              <w:rPr>
                <w:rFonts w:ascii="仿宋_GB2312" w:hAnsi="仿宋_GB2312" w:cs="仿宋_GB2312" w:eastAsia="仿宋_GB2312"/>
              </w:rPr>
              <w:t>数据中心机房在装修设计时遵循防静电、抗电磁干扰、防尘、防水、防火、防鼠虫害的原则。</w:t>
            </w:r>
          </w:p>
          <w:p>
            <w:pPr>
              <w:pStyle w:val="null3"/>
            </w:pPr>
            <w:r>
              <w:rPr>
                <w:rFonts w:ascii="仿宋_GB2312" w:hAnsi="仿宋_GB2312" w:cs="仿宋_GB2312" w:eastAsia="仿宋_GB2312"/>
              </w:rPr>
              <w:t>（</w:t>
            </w:r>
            <w:r>
              <w:rPr>
                <w:rFonts w:ascii="仿宋_GB2312" w:hAnsi="仿宋_GB2312" w:cs="仿宋_GB2312" w:eastAsia="仿宋_GB2312"/>
              </w:rPr>
              <w:t>1）地面</w:t>
            </w:r>
          </w:p>
          <w:p>
            <w:pPr>
              <w:pStyle w:val="null3"/>
              <w:jc w:val="both"/>
            </w:pPr>
            <w:r>
              <w:rPr>
                <w:rFonts w:ascii="仿宋_GB2312" w:hAnsi="仿宋_GB2312" w:cs="仿宋_GB2312" w:eastAsia="仿宋_GB2312"/>
              </w:rPr>
              <w:t>地面：机房内铺设</w:t>
            </w:r>
            <w:r>
              <w:rPr>
                <w:rFonts w:ascii="仿宋_GB2312" w:hAnsi="仿宋_GB2312" w:cs="仿宋_GB2312" w:eastAsia="仿宋_GB2312"/>
              </w:rPr>
              <w:t>600*600*35mm无边全钢抗静电地板，地板安装高度300mm（含支架）。地面先做防尘漆处理，并敷设静电泄漏铜带网格。</w:t>
            </w:r>
          </w:p>
          <w:p>
            <w:pPr>
              <w:pStyle w:val="null3"/>
            </w:pPr>
            <w:r>
              <w:rPr>
                <w:rFonts w:ascii="仿宋_GB2312" w:hAnsi="仿宋_GB2312" w:cs="仿宋_GB2312" w:eastAsia="仿宋_GB2312"/>
              </w:rPr>
              <w:t>（</w:t>
            </w:r>
            <w:r>
              <w:rPr>
                <w:rFonts w:ascii="仿宋_GB2312" w:hAnsi="仿宋_GB2312" w:cs="仿宋_GB2312" w:eastAsia="仿宋_GB2312"/>
              </w:rPr>
              <w:t>2）墙面</w:t>
            </w:r>
          </w:p>
          <w:p>
            <w:pPr>
              <w:pStyle w:val="null3"/>
              <w:jc w:val="both"/>
            </w:pPr>
            <w:r>
              <w:rPr>
                <w:rFonts w:ascii="仿宋_GB2312" w:hAnsi="仿宋_GB2312" w:cs="仿宋_GB2312" w:eastAsia="仿宋_GB2312"/>
              </w:rPr>
              <w:t>墙面：采用</w:t>
            </w:r>
            <w:r>
              <w:rPr>
                <w:rFonts w:ascii="仿宋_GB2312" w:hAnsi="仿宋_GB2312" w:cs="仿宋_GB2312" w:eastAsia="仿宋_GB2312"/>
              </w:rPr>
              <w:t>1200*3000*0.6mm彩钢板（内衬12mm石膏板），单面象牙白色，龙骨采用75轻钢龙骨，内填50mm保温岩棉。所有与外界连通的缝隙均做泡沫填缝剂密封处理，以防止虫、鼠进入机房。</w:t>
            </w:r>
          </w:p>
          <w:p>
            <w:pPr>
              <w:pStyle w:val="null3"/>
            </w:pPr>
            <w:r>
              <w:rPr>
                <w:rFonts w:ascii="仿宋_GB2312" w:hAnsi="仿宋_GB2312" w:cs="仿宋_GB2312" w:eastAsia="仿宋_GB2312"/>
              </w:rPr>
              <w:t>（</w:t>
            </w:r>
            <w:r>
              <w:rPr>
                <w:rFonts w:ascii="仿宋_GB2312" w:hAnsi="仿宋_GB2312" w:cs="仿宋_GB2312" w:eastAsia="仿宋_GB2312"/>
              </w:rPr>
              <w:t>3）顶面</w:t>
            </w:r>
          </w:p>
          <w:p>
            <w:pPr>
              <w:pStyle w:val="null3"/>
            </w:pPr>
            <w:r>
              <w:rPr>
                <w:rFonts w:ascii="仿宋_GB2312" w:hAnsi="仿宋_GB2312" w:cs="仿宋_GB2312" w:eastAsia="仿宋_GB2312"/>
              </w:rPr>
              <w:t>机房吊顶采用规格为</w:t>
            </w:r>
            <w:r>
              <w:rPr>
                <w:rFonts w:ascii="仿宋_GB2312" w:hAnsi="仿宋_GB2312" w:cs="仿宋_GB2312" w:eastAsia="仿宋_GB2312"/>
              </w:rPr>
              <w:t>600*600*0.8mm微孔金属天花板，顶面均做防尘处理。为保证吊顶上部洁净无尘，需在结构真顶下面、吊顶上方墙侧面涂刷防尘漆。吊顶吊杆均用胀栓固定于结构真顶上，吊杆表面均刷涂防锈漆。</w:t>
            </w:r>
          </w:p>
          <w:p>
            <w:pPr>
              <w:pStyle w:val="null3"/>
            </w:pPr>
            <w:r>
              <w:rPr>
                <w:rFonts w:ascii="仿宋_GB2312" w:hAnsi="仿宋_GB2312" w:cs="仿宋_GB2312" w:eastAsia="仿宋_GB2312"/>
              </w:rPr>
              <w:t>（</w:t>
            </w:r>
            <w:r>
              <w:rPr>
                <w:rFonts w:ascii="仿宋_GB2312" w:hAnsi="仿宋_GB2312" w:cs="仿宋_GB2312" w:eastAsia="仿宋_GB2312"/>
              </w:rPr>
              <w:t>4）防火门、窗户</w:t>
            </w:r>
          </w:p>
          <w:p>
            <w:pPr>
              <w:pStyle w:val="null3"/>
            </w:pPr>
            <w:r>
              <w:rPr>
                <w:rFonts w:ascii="仿宋_GB2312" w:hAnsi="仿宋_GB2312" w:cs="仿宋_GB2312" w:eastAsia="仿宋_GB2312"/>
              </w:rPr>
              <w:t>为保证机房的安全和维护人员的出入，在机房出入口处安装甲级钢质双开防火门（</w:t>
            </w:r>
            <w:r>
              <w:rPr>
                <w:rFonts w:ascii="仿宋_GB2312" w:hAnsi="仿宋_GB2312" w:cs="仿宋_GB2312" w:eastAsia="仿宋_GB2312"/>
              </w:rPr>
              <w:t>1500*2100mm），配套门禁系统。机房内窗户采用轻钢龙骨+防火石膏板封堵，内填保温岩棉。</w:t>
            </w:r>
          </w:p>
          <w:p>
            <w:pPr>
              <w:pStyle w:val="null3"/>
              <w:jc w:val="both"/>
            </w:pPr>
            <w:r>
              <w:rPr>
                <w:rFonts w:ascii="仿宋_GB2312" w:hAnsi="仿宋_GB2312" w:cs="仿宋_GB2312" w:eastAsia="仿宋_GB2312"/>
              </w:rPr>
              <w:t>（</w:t>
            </w:r>
            <w:r>
              <w:rPr>
                <w:rFonts w:ascii="仿宋_GB2312" w:hAnsi="仿宋_GB2312" w:cs="仿宋_GB2312" w:eastAsia="仿宋_GB2312"/>
              </w:rPr>
              <w:t>5）其他</w:t>
            </w:r>
          </w:p>
          <w:p>
            <w:pPr>
              <w:pStyle w:val="null3"/>
              <w:jc w:val="both"/>
            </w:pPr>
            <w:r>
              <w:rPr>
                <w:rFonts w:ascii="仿宋_GB2312" w:hAnsi="仿宋_GB2312" w:cs="仿宋_GB2312" w:eastAsia="仿宋_GB2312"/>
              </w:rPr>
              <w:t>精密空调四周砌筑防水堰（红砖垒砌，长</w:t>
            </w:r>
            <w:r>
              <w:rPr>
                <w:rFonts w:ascii="仿宋_GB2312" w:hAnsi="仿宋_GB2312" w:cs="仿宋_GB2312" w:eastAsia="仿宋_GB2312"/>
              </w:rPr>
              <w:t>4000mm、宽60mm、高120mm，刷聚氨酯防水涂层）；设备机柜下方制作散力架（50角钢焊接）；入口处制作钢制台阶；不锈钢踢脚线（高100mm，1.0mm厚）。</w:t>
            </w:r>
          </w:p>
          <w:p>
            <w:pPr>
              <w:pStyle w:val="null3"/>
              <w:jc w:val="both"/>
            </w:pPr>
            <w:r>
              <w:rPr>
                <w:rFonts w:ascii="仿宋_GB2312" w:hAnsi="仿宋_GB2312" w:cs="仿宋_GB2312" w:eastAsia="仿宋_GB2312"/>
                <w:b/>
              </w:rPr>
              <w:t>（</w:t>
            </w:r>
            <w:r>
              <w:rPr>
                <w:rFonts w:ascii="仿宋_GB2312" w:hAnsi="仿宋_GB2312" w:cs="仿宋_GB2312" w:eastAsia="仿宋_GB2312"/>
                <w:b/>
              </w:rPr>
              <w:t>2）机房外走廊装修</w:t>
            </w:r>
          </w:p>
          <w:p>
            <w:pPr>
              <w:pStyle w:val="null3"/>
              <w:jc w:val="both"/>
            </w:pPr>
            <w:r>
              <w:rPr>
                <w:rFonts w:ascii="仿宋_GB2312" w:hAnsi="仿宋_GB2312" w:cs="仿宋_GB2312" w:eastAsia="仿宋_GB2312"/>
              </w:rPr>
              <w:t>对机房外部走廊区域（约</w:t>
            </w:r>
            <w:r>
              <w:rPr>
                <w:rFonts w:ascii="仿宋_GB2312" w:hAnsi="仿宋_GB2312" w:cs="仿宋_GB2312" w:eastAsia="仿宋_GB2312"/>
              </w:rPr>
              <w:t>22平米）进行装修改造。</w:t>
            </w:r>
          </w:p>
          <w:p>
            <w:pPr>
              <w:pStyle w:val="null3"/>
              <w:jc w:val="both"/>
            </w:pPr>
            <w:r>
              <w:rPr>
                <w:rFonts w:ascii="仿宋_GB2312" w:hAnsi="仿宋_GB2312" w:cs="仿宋_GB2312" w:eastAsia="仿宋_GB2312"/>
              </w:rPr>
              <w:t>拆除原有吊顶，新做轻钢龙骨石膏板造型吊顶，顶面批刮腻子三遍，刷白色乳胶漆。</w:t>
            </w:r>
          </w:p>
          <w:p>
            <w:pPr>
              <w:pStyle w:val="null3"/>
              <w:jc w:val="both"/>
            </w:pPr>
            <w:r>
              <w:rPr>
                <w:rFonts w:ascii="仿宋_GB2312" w:hAnsi="仿宋_GB2312" w:cs="仿宋_GB2312" w:eastAsia="仿宋_GB2312"/>
              </w:rPr>
              <w:t>墙面基层处理（粘贴的确良布，批刮腻子三遍，打磨），刷白色乳胶漆。</w:t>
            </w:r>
          </w:p>
          <w:p>
            <w:pPr>
              <w:pStyle w:val="null3"/>
              <w:jc w:val="both"/>
            </w:pPr>
            <w:r>
              <w:rPr>
                <w:rFonts w:ascii="仿宋_GB2312" w:hAnsi="仿宋_GB2312" w:cs="仿宋_GB2312" w:eastAsia="仿宋_GB2312"/>
              </w:rPr>
              <w:t>安装</w:t>
            </w:r>
            <w:r>
              <w:rPr>
                <w:rFonts w:ascii="仿宋_GB2312" w:hAnsi="仿宋_GB2312" w:cs="仿宋_GB2312" w:eastAsia="仿宋_GB2312"/>
              </w:rPr>
              <w:t>LED灯具及开关插座，踢脚线采用不锈钢材质。</w:t>
            </w:r>
          </w:p>
          <w:p>
            <w:pPr>
              <w:pStyle w:val="null3"/>
              <w:jc w:val="both"/>
            </w:pPr>
            <w:r>
              <w:rPr>
                <w:rFonts w:ascii="仿宋_GB2312" w:hAnsi="仿宋_GB2312" w:cs="仿宋_GB2312" w:eastAsia="仿宋_GB2312"/>
              </w:rPr>
              <w:t>整体风格与机房协调，保证通道整洁明亮。</w:t>
            </w:r>
          </w:p>
          <w:p>
            <w:pPr>
              <w:pStyle w:val="null3"/>
              <w:jc w:val="both"/>
            </w:pPr>
            <w:r>
              <w:rPr>
                <w:rFonts w:ascii="仿宋_GB2312" w:hAnsi="仿宋_GB2312" w:cs="仿宋_GB2312" w:eastAsia="仿宋_GB2312"/>
                <w:b/>
              </w:rPr>
              <w:t>（</w:t>
            </w:r>
            <w:r>
              <w:rPr>
                <w:rFonts w:ascii="仿宋_GB2312" w:hAnsi="仿宋_GB2312" w:cs="仿宋_GB2312" w:eastAsia="仿宋_GB2312"/>
                <w:b/>
              </w:rPr>
              <w:t>3）负一层电池间装修</w:t>
            </w:r>
          </w:p>
          <w:p>
            <w:pPr>
              <w:pStyle w:val="null3"/>
              <w:jc w:val="both"/>
            </w:pPr>
            <w:r>
              <w:rPr>
                <w:rFonts w:ascii="仿宋_GB2312" w:hAnsi="仿宋_GB2312" w:cs="仿宋_GB2312" w:eastAsia="仿宋_GB2312"/>
              </w:rPr>
              <w:t>电池间位于负一层，面积约</w:t>
            </w:r>
            <w:r>
              <w:rPr>
                <w:rFonts w:ascii="仿宋_GB2312" w:hAnsi="仿宋_GB2312" w:cs="仿宋_GB2312" w:eastAsia="仿宋_GB2312"/>
              </w:rPr>
              <w:t>10平米。</w:t>
            </w:r>
          </w:p>
          <w:p>
            <w:pPr>
              <w:pStyle w:val="null3"/>
              <w:jc w:val="both"/>
            </w:pPr>
            <w:r>
              <w:rPr>
                <w:rFonts w:ascii="仿宋_GB2312" w:hAnsi="仿宋_GB2312" w:cs="仿宋_GB2312" w:eastAsia="仿宋_GB2312"/>
              </w:rPr>
              <w:t>顶面做防尘漆涂黑处理。</w:t>
            </w:r>
          </w:p>
          <w:p>
            <w:pPr>
              <w:pStyle w:val="null3"/>
              <w:jc w:val="both"/>
            </w:pPr>
            <w:r>
              <w:rPr>
                <w:rFonts w:ascii="仿宋_GB2312" w:hAnsi="仿宋_GB2312" w:cs="仿宋_GB2312" w:eastAsia="仿宋_GB2312"/>
              </w:rPr>
              <w:t>墙面基层处理（腻子三遍，打磨），刷白色乳胶漆。</w:t>
            </w:r>
          </w:p>
          <w:p>
            <w:pPr>
              <w:pStyle w:val="null3"/>
              <w:jc w:val="both"/>
            </w:pPr>
            <w:r>
              <w:rPr>
                <w:rFonts w:ascii="仿宋_GB2312" w:hAnsi="仿宋_GB2312" w:cs="仿宋_GB2312" w:eastAsia="仿宋_GB2312"/>
              </w:rPr>
              <w:t>安装</w:t>
            </w:r>
            <w:r>
              <w:rPr>
                <w:rFonts w:ascii="仿宋_GB2312" w:hAnsi="仿宋_GB2312" w:cs="仿宋_GB2312" w:eastAsia="仿宋_GB2312"/>
              </w:rPr>
              <w:t>LED灯具及开关。</w:t>
            </w:r>
          </w:p>
          <w:p>
            <w:pPr>
              <w:pStyle w:val="null3"/>
              <w:jc w:val="both"/>
            </w:pPr>
            <w:r>
              <w:rPr>
                <w:rFonts w:ascii="仿宋_GB2312" w:hAnsi="仿宋_GB2312" w:cs="仿宋_GB2312" w:eastAsia="仿宋_GB2312"/>
              </w:rPr>
              <w:t>安装甲级钢质单开防火门（</w:t>
            </w:r>
            <w:r>
              <w:rPr>
                <w:rFonts w:ascii="仿宋_GB2312" w:hAnsi="仿宋_GB2312" w:cs="仿宋_GB2312" w:eastAsia="仿宋_GB2312"/>
              </w:rPr>
              <w:t>900*2000mm）。</w:t>
            </w:r>
          </w:p>
          <w:p>
            <w:pPr>
              <w:pStyle w:val="null3"/>
              <w:jc w:val="both"/>
            </w:pPr>
            <w:r>
              <w:rPr>
                <w:rFonts w:ascii="仿宋_GB2312" w:hAnsi="仿宋_GB2312" w:cs="仿宋_GB2312" w:eastAsia="仿宋_GB2312"/>
              </w:rPr>
              <w:t>配置工业换气扇（带止回阀），保证通风换气。</w:t>
            </w:r>
          </w:p>
          <w:p>
            <w:pPr>
              <w:pStyle w:val="null3"/>
              <w:jc w:val="both"/>
            </w:pPr>
            <w:r>
              <w:rPr>
                <w:rFonts w:ascii="仿宋_GB2312" w:hAnsi="仿宋_GB2312" w:cs="仿宋_GB2312" w:eastAsia="仿宋_GB2312"/>
                <w:b/>
              </w:rPr>
              <w:t>（</w:t>
            </w:r>
            <w:r>
              <w:rPr>
                <w:rFonts w:ascii="仿宋_GB2312" w:hAnsi="仿宋_GB2312" w:cs="仿宋_GB2312" w:eastAsia="仿宋_GB2312"/>
                <w:b/>
              </w:rPr>
              <w:t>4）操作间一、二装修</w:t>
            </w:r>
          </w:p>
          <w:p>
            <w:pPr>
              <w:pStyle w:val="null3"/>
              <w:jc w:val="both"/>
            </w:pPr>
            <w:r>
              <w:rPr>
                <w:rFonts w:ascii="仿宋_GB2312" w:hAnsi="仿宋_GB2312" w:cs="仿宋_GB2312" w:eastAsia="仿宋_GB2312"/>
              </w:rPr>
              <w:t>根据实际需求进行合理空间规划，划分办公区、会议区等功能区。</w:t>
            </w:r>
          </w:p>
          <w:p>
            <w:pPr>
              <w:pStyle w:val="null3"/>
              <w:jc w:val="both"/>
            </w:pPr>
            <w:r>
              <w:rPr>
                <w:rFonts w:ascii="仿宋_GB2312" w:hAnsi="仿宋_GB2312" w:cs="仿宋_GB2312" w:eastAsia="仿宋_GB2312"/>
              </w:rPr>
              <w:t>拆除原有顶面吊顶（约</w:t>
            </w:r>
            <w:r>
              <w:rPr>
                <w:rFonts w:ascii="仿宋_GB2312" w:hAnsi="仿宋_GB2312" w:cs="仿宋_GB2312" w:eastAsia="仿宋_GB2312"/>
              </w:rPr>
              <w:t>103平米），新做600*600*0.8mm金属微孔天花板，配套轻钢龙骨及吊杆。</w:t>
            </w:r>
          </w:p>
          <w:p>
            <w:pPr>
              <w:pStyle w:val="null3"/>
              <w:jc w:val="both"/>
            </w:pPr>
            <w:r>
              <w:rPr>
                <w:rFonts w:ascii="仿宋_GB2312" w:hAnsi="仿宋_GB2312" w:cs="仿宋_GB2312" w:eastAsia="仿宋_GB2312"/>
              </w:rPr>
              <w:t>墙面基层处理（粘贴的确良布，批刮腻子三遍，打磨），刷白色乳胶漆。</w:t>
            </w:r>
          </w:p>
          <w:p>
            <w:pPr>
              <w:pStyle w:val="null3"/>
              <w:jc w:val="both"/>
            </w:pPr>
            <w:r>
              <w:rPr>
                <w:rFonts w:ascii="仿宋_GB2312" w:hAnsi="仿宋_GB2312" w:cs="仿宋_GB2312" w:eastAsia="仿宋_GB2312"/>
              </w:rPr>
              <w:t>地面进行水泥砂浆找平，铺设</w:t>
            </w:r>
            <w:r>
              <w:rPr>
                <w:rFonts w:ascii="仿宋_GB2312" w:hAnsi="仿宋_GB2312" w:cs="仿宋_GB2312" w:eastAsia="仿宋_GB2312"/>
              </w:rPr>
              <w:t>800*800mm瓷砖，不锈钢踢脚线。</w:t>
            </w:r>
          </w:p>
          <w:p>
            <w:pPr>
              <w:pStyle w:val="null3"/>
              <w:jc w:val="both"/>
            </w:pPr>
            <w:r>
              <w:rPr>
                <w:rFonts w:ascii="仿宋_GB2312" w:hAnsi="仿宋_GB2312" w:cs="仿宋_GB2312" w:eastAsia="仿宋_GB2312"/>
              </w:rPr>
              <w:t>安装</w:t>
            </w:r>
            <w:r>
              <w:rPr>
                <w:rFonts w:ascii="仿宋_GB2312" w:hAnsi="仿宋_GB2312" w:cs="仿宋_GB2312" w:eastAsia="仿宋_GB2312"/>
              </w:rPr>
              <w:t>LED灯具（600*600mm，≥48W，色温5700K），配套开关插座，进行强弱电线路改造。</w:t>
            </w:r>
          </w:p>
          <w:p>
            <w:pPr>
              <w:pStyle w:val="null3"/>
              <w:jc w:val="both"/>
            </w:pPr>
            <w:r>
              <w:rPr>
                <w:rFonts w:ascii="仿宋_GB2312" w:hAnsi="仿宋_GB2312" w:cs="仿宋_GB2312" w:eastAsia="仿宋_GB2312"/>
              </w:rPr>
              <w:t>窗套采用细木工板基层</w:t>
            </w:r>
            <w:r>
              <w:rPr>
                <w:rFonts w:ascii="仿宋_GB2312" w:hAnsi="仿宋_GB2312" w:cs="仿宋_GB2312" w:eastAsia="仿宋_GB2312"/>
              </w:rPr>
              <w:t>+浅色人造石饰面，窗台石为人造石，安装双层窗帘（遮光帘+纱帘）。</w:t>
            </w:r>
          </w:p>
          <w:p>
            <w:pPr>
              <w:pStyle w:val="null3"/>
              <w:jc w:val="both"/>
            </w:pPr>
            <w:r>
              <w:rPr>
                <w:rFonts w:ascii="仿宋_GB2312" w:hAnsi="仿宋_GB2312" w:cs="仿宋_GB2312" w:eastAsia="仿宋_GB2312"/>
              </w:rPr>
              <w:t>整体风格简约舒适，色彩搭配协调，自然光与人工光结合，营造良好办公氛围。</w:t>
            </w:r>
          </w:p>
          <w:p>
            <w:pPr>
              <w:pStyle w:val="null3"/>
            </w:pPr>
            <w:r>
              <w:rPr>
                <w:rFonts w:ascii="仿宋_GB2312" w:hAnsi="仿宋_GB2312" w:cs="仿宋_GB2312" w:eastAsia="仿宋_GB2312"/>
              </w:rPr>
              <w:t>2.机房配电系统</w:t>
            </w:r>
          </w:p>
          <w:p>
            <w:pPr>
              <w:pStyle w:val="null3"/>
            </w:pPr>
            <w:r>
              <w:rPr>
                <w:rFonts w:ascii="仿宋_GB2312" w:hAnsi="仿宋_GB2312" w:cs="仿宋_GB2312" w:eastAsia="仿宋_GB2312"/>
              </w:rPr>
              <w:t>数据中心机房作为一级负荷，配电系统采用交流</w:t>
            </w:r>
            <w:r>
              <w:rPr>
                <w:rFonts w:ascii="仿宋_GB2312" w:hAnsi="仿宋_GB2312" w:cs="仿宋_GB2312" w:eastAsia="仿宋_GB2312"/>
              </w:rPr>
              <w:t>50HZ，380V/220V，接地系统采用TN-S方式，零线和地线分开设置。机房的信息化设备电源与空调动力电源分开，信息化设备采用UPS供电系统。配电系统工程包含入户电缆、机房照明系统、地板下强电桥架敷设、防脱插座和设备线缆敷设、机房配电柜、强电列头柜等。</w:t>
            </w:r>
          </w:p>
          <w:p>
            <w:pPr>
              <w:pStyle w:val="null3"/>
            </w:pPr>
            <w:r>
              <w:rPr>
                <w:rFonts w:ascii="仿宋_GB2312" w:hAnsi="仿宋_GB2312" w:cs="仿宋_GB2312" w:eastAsia="仿宋_GB2312"/>
              </w:rPr>
              <w:t>（</w:t>
            </w:r>
            <w:r>
              <w:rPr>
                <w:rFonts w:ascii="仿宋_GB2312" w:hAnsi="仿宋_GB2312" w:cs="仿宋_GB2312" w:eastAsia="仿宋_GB2312"/>
              </w:rPr>
              <w:t>1）机房用电总功率</w:t>
            </w:r>
          </w:p>
          <w:p>
            <w:pPr>
              <w:pStyle w:val="null3"/>
            </w:pPr>
            <w:r>
              <w:rPr>
                <w:rFonts w:ascii="仿宋_GB2312" w:hAnsi="仿宋_GB2312" w:cs="仿宋_GB2312" w:eastAsia="仿宋_GB2312"/>
              </w:rPr>
              <w:t>数据中心机房本次共设计机柜</w:t>
            </w:r>
            <w:r>
              <w:rPr>
                <w:rFonts w:ascii="仿宋_GB2312" w:hAnsi="仿宋_GB2312" w:cs="仿宋_GB2312" w:eastAsia="仿宋_GB2312"/>
              </w:rPr>
              <w:t>7台，每台用电功率按4KW计算；安装模块化空调2台，单台用电功率约15KW；机房照明、新风、消防、安防、动环等其他设备用电约5KW；数据中心机房用电总功率按照63KW测算较为合适。</w:t>
            </w:r>
          </w:p>
          <w:p>
            <w:pPr>
              <w:pStyle w:val="null3"/>
            </w:pPr>
            <w:r>
              <w:rPr>
                <w:rFonts w:ascii="仿宋_GB2312" w:hAnsi="仿宋_GB2312" w:cs="仿宋_GB2312" w:eastAsia="仿宋_GB2312"/>
              </w:rPr>
              <w:t>（</w:t>
            </w:r>
            <w:r>
              <w:rPr>
                <w:rFonts w:ascii="仿宋_GB2312" w:hAnsi="仿宋_GB2312" w:cs="仿宋_GB2312" w:eastAsia="仿宋_GB2312"/>
              </w:rPr>
              <w:t>2）配电柜配置</w:t>
            </w:r>
          </w:p>
          <w:p>
            <w:pPr>
              <w:pStyle w:val="null3"/>
            </w:pPr>
            <w:r>
              <w:rPr>
                <w:rFonts w:ascii="仿宋_GB2312" w:hAnsi="仿宋_GB2312" w:cs="仿宋_GB2312" w:eastAsia="仿宋_GB2312"/>
              </w:rPr>
              <w:t>本次配置市电输入总配柜</w:t>
            </w:r>
            <w:r>
              <w:rPr>
                <w:rFonts w:ascii="仿宋_GB2312" w:hAnsi="仿宋_GB2312" w:cs="仿宋_GB2312" w:eastAsia="仿宋_GB2312"/>
              </w:rPr>
              <w:t>1台（利旧）作为机房的总配箱。</w:t>
            </w:r>
          </w:p>
          <w:p>
            <w:pPr>
              <w:pStyle w:val="null3"/>
            </w:pPr>
            <w:r>
              <w:rPr>
                <w:rFonts w:ascii="仿宋_GB2312" w:hAnsi="仿宋_GB2312" w:cs="仿宋_GB2312" w:eastAsia="仿宋_GB2312"/>
              </w:rPr>
              <w:t>一体化</w:t>
            </w:r>
            <w:r>
              <w:rPr>
                <w:rFonts w:ascii="仿宋_GB2312" w:hAnsi="仿宋_GB2312" w:cs="仿宋_GB2312" w:eastAsia="仿宋_GB2312"/>
              </w:rPr>
              <w:t>UPS为机房服务器机柜设备供电。</w:t>
            </w:r>
          </w:p>
          <w:p>
            <w:pPr>
              <w:pStyle w:val="null3"/>
            </w:pPr>
            <w:r>
              <w:rPr>
                <w:rFonts w:ascii="仿宋_GB2312" w:hAnsi="仿宋_GB2312" w:cs="仿宋_GB2312" w:eastAsia="仿宋_GB2312"/>
              </w:rPr>
              <w:t>（</w:t>
            </w:r>
            <w:r>
              <w:rPr>
                <w:rFonts w:ascii="仿宋_GB2312" w:hAnsi="仿宋_GB2312" w:cs="仿宋_GB2312" w:eastAsia="仿宋_GB2312"/>
              </w:rPr>
              <w:t>3）电缆配置</w:t>
            </w:r>
          </w:p>
          <w:p>
            <w:pPr>
              <w:pStyle w:val="null3"/>
            </w:pPr>
            <w:r>
              <w:rPr>
                <w:rFonts w:ascii="仿宋_GB2312" w:hAnsi="仿宋_GB2312" w:cs="仿宋_GB2312" w:eastAsia="仿宋_GB2312"/>
              </w:rPr>
              <w:t>机房内信息化设备用电电缆均采用阻燃型电力电缆，机房主电缆利旧机房原有电缆，</w:t>
            </w:r>
            <w:r>
              <w:rPr>
                <w:rFonts w:ascii="仿宋_GB2312" w:hAnsi="仿宋_GB2312" w:cs="仿宋_GB2312" w:eastAsia="仿宋_GB2312"/>
              </w:rPr>
              <w:t>UPS输入采用YJV-4×25+1×16mm</w:t>
            </w:r>
            <w:r>
              <w:rPr>
                <w:rFonts w:ascii="仿宋_GB2312" w:hAnsi="仿宋_GB2312" w:cs="仿宋_GB2312" w:eastAsia="仿宋_GB2312"/>
              </w:rPr>
              <w:t>²</w:t>
            </w:r>
            <w:r>
              <w:rPr>
                <w:rFonts w:ascii="仿宋_GB2312" w:hAnsi="仿宋_GB2312" w:cs="仿宋_GB2312" w:eastAsia="仿宋_GB2312"/>
              </w:rPr>
              <w:t>电缆接入；精密空调输出采用</w:t>
            </w:r>
            <w:r>
              <w:rPr>
                <w:rFonts w:ascii="仿宋_GB2312" w:hAnsi="仿宋_GB2312" w:cs="仿宋_GB2312" w:eastAsia="仿宋_GB2312"/>
              </w:rPr>
              <w:t>YJV-5×10mm</w:t>
            </w:r>
            <w:r>
              <w:rPr>
                <w:rFonts w:ascii="仿宋_GB2312" w:hAnsi="仿宋_GB2312" w:cs="仿宋_GB2312" w:eastAsia="仿宋_GB2312"/>
              </w:rPr>
              <w:t>²</w:t>
            </w:r>
            <w:r>
              <w:rPr>
                <w:rFonts w:ascii="仿宋_GB2312" w:hAnsi="仿宋_GB2312" w:cs="仿宋_GB2312" w:eastAsia="仿宋_GB2312"/>
              </w:rPr>
              <w:t>电缆接入；服务器机柜输入采用</w:t>
            </w:r>
            <w:r>
              <w:rPr>
                <w:rFonts w:ascii="仿宋_GB2312" w:hAnsi="仿宋_GB2312" w:cs="仿宋_GB2312" w:eastAsia="仿宋_GB2312"/>
              </w:rPr>
              <w:t>RVV-3×6 mm</w:t>
            </w:r>
            <w:r>
              <w:rPr>
                <w:rFonts w:ascii="仿宋_GB2312" w:hAnsi="仿宋_GB2312" w:cs="仿宋_GB2312" w:eastAsia="仿宋_GB2312"/>
              </w:rPr>
              <w:t>²</w:t>
            </w:r>
            <w:r>
              <w:rPr>
                <w:rFonts w:ascii="仿宋_GB2312" w:hAnsi="仿宋_GB2312" w:cs="仿宋_GB2312" w:eastAsia="仿宋_GB2312"/>
              </w:rPr>
              <w:t>电缆接入；照明线缆采用</w:t>
            </w:r>
            <w:r>
              <w:rPr>
                <w:rFonts w:ascii="仿宋_GB2312" w:hAnsi="仿宋_GB2312" w:cs="仿宋_GB2312" w:eastAsia="仿宋_GB2312"/>
              </w:rPr>
              <w:t>BV 2.5 mm</w:t>
            </w:r>
            <w:r>
              <w:rPr>
                <w:rFonts w:ascii="仿宋_GB2312" w:hAnsi="仿宋_GB2312" w:cs="仿宋_GB2312" w:eastAsia="仿宋_GB2312"/>
              </w:rPr>
              <w:t>²</w:t>
            </w:r>
            <w:r>
              <w:rPr>
                <w:rFonts w:ascii="仿宋_GB2312" w:hAnsi="仿宋_GB2312" w:cs="仿宋_GB2312" w:eastAsia="仿宋_GB2312"/>
              </w:rPr>
              <w:t>电缆接入。</w:t>
            </w:r>
          </w:p>
          <w:p>
            <w:pPr>
              <w:pStyle w:val="null3"/>
            </w:pPr>
            <w:r>
              <w:rPr>
                <w:rFonts w:ascii="仿宋_GB2312" w:hAnsi="仿宋_GB2312" w:cs="仿宋_GB2312" w:eastAsia="仿宋_GB2312"/>
              </w:rPr>
              <w:t>强电布线系统采用上走线方式，强电桥架采用</w:t>
            </w:r>
            <w:r>
              <w:rPr>
                <w:rFonts w:ascii="仿宋_GB2312" w:hAnsi="仿宋_GB2312" w:cs="仿宋_GB2312" w:eastAsia="仿宋_GB2312"/>
              </w:rPr>
              <w:t>200*100mm开放式网孔桥架，既有利于散热还不影响空调送风。</w:t>
            </w:r>
          </w:p>
          <w:p>
            <w:pPr>
              <w:pStyle w:val="null3"/>
            </w:pPr>
            <w:r>
              <w:rPr>
                <w:rFonts w:ascii="仿宋_GB2312" w:hAnsi="仿宋_GB2312" w:cs="仿宋_GB2312" w:eastAsia="仿宋_GB2312"/>
              </w:rPr>
              <w:t>（</w:t>
            </w:r>
            <w:r>
              <w:rPr>
                <w:rFonts w:ascii="仿宋_GB2312" w:hAnsi="仿宋_GB2312" w:cs="仿宋_GB2312" w:eastAsia="仿宋_GB2312"/>
              </w:rPr>
              <w:t>4）照明系统</w:t>
            </w:r>
          </w:p>
          <w:p>
            <w:pPr>
              <w:pStyle w:val="null3"/>
            </w:pPr>
            <w:r>
              <w:rPr>
                <w:rFonts w:ascii="仿宋_GB2312" w:hAnsi="仿宋_GB2312" w:cs="仿宋_GB2312" w:eastAsia="仿宋_GB2312"/>
              </w:rPr>
              <w:t>机房照明系统满足《数据中心设计规范》（</w:t>
            </w:r>
            <w:r>
              <w:rPr>
                <w:rFonts w:ascii="仿宋_GB2312" w:hAnsi="仿宋_GB2312" w:cs="仿宋_GB2312" w:eastAsia="仿宋_GB2312"/>
              </w:rPr>
              <w:t>GB 50174-2017）灯具照度要求。光照度：机房≥500Lx；辅助房间≥300Lx；应急照明≥50Lx。</w:t>
            </w:r>
          </w:p>
          <w:p>
            <w:pPr>
              <w:pStyle w:val="null3"/>
            </w:pPr>
            <w:r>
              <w:rPr>
                <w:rFonts w:ascii="仿宋_GB2312" w:hAnsi="仿宋_GB2312" w:cs="仿宋_GB2312" w:eastAsia="仿宋_GB2312"/>
              </w:rPr>
              <w:t>本次设计共安装</w:t>
            </w:r>
            <w:r>
              <w:rPr>
                <w:rFonts w:ascii="仿宋_GB2312" w:hAnsi="仿宋_GB2312" w:cs="仿宋_GB2312" w:eastAsia="仿宋_GB2312"/>
              </w:rPr>
              <w:t>LED灯具6台，其中数据中心机房4台，管理办公室2台。</w:t>
            </w:r>
          </w:p>
          <w:p>
            <w:pPr>
              <w:pStyle w:val="null3"/>
            </w:pPr>
            <w:r>
              <w:rPr>
                <w:rFonts w:ascii="仿宋_GB2312" w:hAnsi="仿宋_GB2312" w:cs="仿宋_GB2312" w:eastAsia="仿宋_GB2312"/>
              </w:rPr>
              <w:t>3.防雷接地系统</w:t>
            </w:r>
          </w:p>
          <w:p>
            <w:pPr>
              <w:pStyle w:val="null3"/>
            </w:pPr>
            <w:r>
              <w:rPr>
                <w:rFonts w:ascii="仿宋_GB2312" w:hAnsi="仿宋_GB2312" w:cs="仿宋_GB2312" w:eastAsia="仿宋_GB2312"/>
              </w:rPr>
              <w:t>（</w:t>
            </w:r>
            <w:r>
              <w:rPr>
                <w:rFonts w:ascii="仿宋_GB2312" w:hAnsi="仿宋_GB2312" w:cs="仿宋_GB2312" w:eastAsia="仿宋_GB2312"/>
              </w:rPr>
              <w:t>1）防雷系统</w:t>
            </w:r>
          </w:p>
          <w:p>
            <w:pPr>
              <w:pStyle w:val="null3"/>
            </w:pPr>
            <w:r>
              <w:rPr>
                <w:rFonts w:ascii="仿宋_GB2312" w:hAnsi="仿宋_GB2312" w:cs="仿宋_GB2312" w:eastAsia="仿宋_GB2312"/>
              </w:rPr>
              <w:t>依据</w:t>
            </w:r>
            <w:r>
              <w:rPr>
                <w:rFonts w:ascii="仿宋_GB2312" w:hAnsi="仿宋_GB2312" w:cs="仿宋_GB2312" w:eastAsia="仿宋_GB2312"/>
              </w:rPr>
              <w:t>IEC(国际电工委员会)标准的分区防雷、多级保护的理论，第二级防雷器，应用于建筑物内的主配电柜上；第三级防雷器，应用于建筑物的分路配电柜中。</w:t>
            </w:r>
          </w:p>
          <w:p>
            <w:pPr>
              <w:pStyle w:val="null3"/>
            </w:pPr>
            <w:r>
              <w:rPr>
                <w:rFonts w:ascii="仿宋_GB2312" w:hAnsi="仿宋_GB2312" w:cs="仿宋_GB2312" w:eastAsia="仿宋_GB2312"/>
              </w:rPr>
              <w:t>为防止雷击造成数据中心机房设备损坏数据丢失，机房动力系统的</w:t>
            </w:r>
            <w:r>
              <w:rPr>
                <w:rFonts w:ascii="仿宋_GB2312" w:hAnsi="仿宋_GB2312" w:cs="仿宋_GB2312" w:eastAsia="仿宋_GB2312"/>
              </w:rPr>
              <w:t>UPS系统配电柜分别安装二、三级电源保护器以保护机房内设备和数据的安全。</w:t>
            </w:r>
          </w:p>
          <w:p>
            <w:pPr>
              <w:pStyle w:val="null3"/>
            </w:pPr>
            <w:r>
              <w:rPr>
                <w:rFonts w:ascii="仿宋_GB2312" w:hAnsi="仿宋_GB2312" w:cs="仿宋_GB2312" w:eastAsia="仿宋_GB2312"/>
              </w:rPr>
              <w:t>（</w:t>
            </w:r>
            <w:r>
              <w:rPr>
                <w:rFonts w:ascii="仿宋_GB2312" w:hAnsi="仿宋_GB2312" w:cs="仿宋_GB2312" w:eastAsia="仿宋_GB2312"/>
              </w:rPr>
              <w:t>2）接地系统</w:t>
            </w:r>
          </w:p>
          <w:p>
            <w:pPr>
              <w:pStyle w:val="null3"/>
            </w:pPr>
            <w:r>
              <w:rPr>
                <w:rFonts w:ascii="仿宋_GB2312" w:hAnsi="仿宋_GB2312" w:cs="仿宋_GB2312" w:eastAsia="仿宋_GB2312"/>
              </w:rPr>
              <w:t>数据中心机房采用联合接地系统，要求交流工作接地、保护接地、防雷接地、直流工作接地等共用一组接地装置，通过接地线引至室外独立接地体，其接地电阻按其中最小值确定，阻值小于</w:t>
            </w:r>
            <w:r>
              <w:rPr>
                <w:rFonts w:ascii="仿宋_GB2312" w:hAnsi="仿宋_GB2312" w:cs="仿宋_GB2312" w:eastAsia="仿宋_GB2312"/>
              </w:rPr>
              <w:t>4Ω。</w:t>
            </w:r>
          </w:p>
          <w:p>
            <w:pPr>
              <w:pStyle w:val="null3"/>
            </w:pPr>
            <w:r>
              <w:rPr>
                <w:rFonts w:ascii="仿宋_GB2312" w:hAnsi="仿宋_GB2312" w:cs="仿宋_GB2312" w:eastAsia="仿宋_GB2312"/>
              </w:rPr>
              <w:t>4.综合布线系统</w:t>
            </w:r>
          </w:p>
          <w:p>
            <w:pPr>
              <w:pStyle w:val="null3"/>
            </w:pPr>
            <w:r>
              <w:rPr>
                <w:rFonts w:ascii="仿宋_GB2312" w:hAnsi="仿宋_GB2312" w:cs="仿宋_GB2312" w:eastAsia="仿宋_GB2312"/>
              </w:rPr>
              <w:t>机房强弱电采用上走线方式，接地线采用下走线方式。机柜之间采用结构化布线，利于维护和扩容。内外网络线路按规范布线，标识分类明确。</w:t>
            </w:r>
          </w:p>
          <w:p>
            <w:pPr>
              <w:pStyle w:val="null3"/>
            </w:pPr>
            <w:r>
              <w:rPr>
                <w:rFonts w:ascii="仿宋_GB2312" w:hAnsi="仿宋_GB2312" w:cs="仿宋_GB2312" w:eastAsia="仿宋_GB2312"/>
              </w:rPr>
              <w:t>机房内部网线采用六类非屏蔽网线，机柜之间采用多模光纤进行数据传输。</w:t>
            </w:r>
          </w:p>
          <w:p>
            <w:pPr>
              <w:pStyle w:val="null3"/>
            </w:pPr>
            <w:r>
              <w:rPr>
                <w:rFonts w:ascii="仿宋_GB2312" w:hAnsi="仿宋_GB2312" w:cs="仿宋_GB2312" w:eastAsia="仿宋_GB2312"/>
              </w:rPr>
              <w:t>5.机房安防系统</w:t>
            </w:r>
          </w:p>
          <w:p>
            <w:pPr>
              <w:pStyle w:val="null3"/>
            </w:pPr>
            <w:r>
              <w:rPr>
                <w:rFonts w:ascii="仿宋_GB2312" w:hAnsi="仿宋_GB2312" w:cs="仿宋_GB2312" w:eastAsia="仿宋_GB2312"/>
              </w:rPr>
              <w:t>（</w:t>
            </w:r>
            <w:r>
              <w:rPr>
                <w:rFonts w:ascii="仿宋_GB2312" w:hAnsi="仿宋_GB2312" w:cs="仿宋_GB2312" w:eastAsia="仿宋_GB2312"/>
              </w:rPr>
              <w:t>1）视频查看系统</w:t>
            </w:r>
          </w:p>
          <w:p>
            <w:pPr>
              <w:pStyle w:val="null3"/>
            </w:pPr>
            <w:r>
              <w:rPr>
                <w:rFonts w:ascii="仿宋_GB2312" w:hAnsi="仿宋_GB2312" w:cs="仿宋_GB2312" w:eastAsia="仿宋_GB2312"/>
              </w:rPr>
              <w:t>实现对出入口及机房内进行实时监视，并将视频图像及时传输至监控运维中心控制主机，实行</w:t>
            </w:r>
            <w:r>
              <w:rPr>
                <w:rFonts w:ascii="仿宋_GB2312" w:hAnsi="仿宋_GB2312" w:cs="仿宋_GB2312" w:eastAsia="仿宋_GB2312"/>
              </w:rPr>
              <w:t>24小时实时监控，以确保核心区域的安全。</w:t>
            </w:r>
          </w:p>
          <w:p>
            <w:pPr>
              <w:pStyle w:val="null3"/>
            </w:pPr>
            <w:r>
              <w:rPr>
                <w:rFonts w:ascii="仿宋_GB2312" w:hAnsi="仿宋_GB2312" w:cs="仿宋_GB2312" w:eastAsia="仿宋_GB2312"/>
              </w:rPr>
              <w:t>机房区域在每排机柜之间设计摄像机，通道与走廊的监控也做到无死角监控。在机房内安装红外半球型彩色摄像机、吊顶安装，负责机房区及主要出入口的图像监视。机房内部安装</w:t>
            </w:r>
            <w:r>
              <w:rPr>
                <w:rFonts w:ascii="仿宋_GB2312" w:hAnsi="仿宋_GB2312" w:cs="仿宋_GB2312" w:eastAsia="仿宋_GB2312"/>
              </w:rPr>
              <w:t>4个摄像头，在值班室安装1个摄像头。后端主机采用1套16路嵌入式硬盘录像机，以便进行控制和自动录像，硬盘录像机带网络接口、与局域网相连，网内PC经过管理授权，可观看和控制任何摄像机。视频存储时间不小于90天。</w:t>
            </w:r>
          </w:p>
          <w:p>
            <w:pPr>
              <w:pStyle w:val="null3"/>
            </w:pPr>
            <w:r>
              <w:rPr>
                <w:rFonts w:ascii="仿宋_GB2312" w:hAnsi="仿宋_GB2312" w:cs="仿宋_GB2312" w:eastAsia="仿宋_GB2312"/>
              </w:rPr>
              <w:t>（</w:t>
            </w:r>
            <w:r>
              <w:rPr>
                <w:rFonts w:ascii="仿宋_GB2312" w:hAnsi="仿宋_GB2312" w:cs="仿宋_GB2312" w:eastAsia="仿宋_GB2312"/>
              </w:rPr>
              <w:t>2）机房门禁系统</w:t>
            </w:r>
          </w:p>
          <w:p>
            <w:pPr>
              <w:pStyle w:val="null3"/>
            </w:pPr>
            <w:r>
              <w:rPr>
                <w:rFonts w:ascii="仿宋_GB2312" w:hAnsi="仿宋_GB2312" w:cs="仿宋_GB2312" w:eastAsia="仿宋_GB2312"/>
              </w:rPr>
              <w:t>门禁系统按照</w:t>
            </w:r>
            <w:r>
              <w:rPr>
                <w:rFonts w:ascii="仿宋_GB2312" w:hAnsi="仿宋_GB2312" w:cs="仿宋_GB2312" w:eastAsia="仿宋_GB2312"/>
              </w:rPr>
              <w:t>2道门设计，安装于数据中心机房总入口、电池间入口。通过门禁卡对出入设防区域的人员身份、进出及停留时间进行记录，对电动门锁进行控制，能实时反映、记录门的开关状态。门禁系统设置持卡人的进入区域和授权时限，并对人员进出、事件报警、系统状态等信息进行记录，支持自定义查询信息，并生成报表。</w:t>
            </w:r>
          </w:p>
          <w:p>
            <w:pPr>
              <w:pStyle w:val="null3"/>
            </w:pPr>
            <w:r>
              <w:rPr>
                <w:rFonts w:ascii="仿宋_GB2312" w:hAnsi="仿宋_GB2312" w:cs="仿宋_GB2312" w:eastAsia="仿宋_GB2312"/>
              </w:rPr>
              <w:t>6.新风排烟系统</w:t>
            </w:r>
          </w:p>
          <w:p>
            <w:pPr>
              <w:pStyle w:val="null3"/>
            </w:pPr>
            <w:r>
              <w:rPr>
                <w:rFonts w:ascii="仿宋_GB2312" w:hAnsi="仿宋_GB2312" w:cs="仿宋_GB2312" w:eastAsia="仿宋_GB2312"/>
              </w:rPr>
              <w:t>（</w:t>
            </w:r>
            <w:r>
              <w:rPr>
                <w:rFonts w:ascii="仿宋_GB2312" w:hAnsi="仿宋_GB2312" w:cs="仿宋_GB2312" w:eastAsia="仿宋_GB2312"/>
              </w:rPr>
              <w:t>1）新风系统</w:t>
            </w:r>
          </w:p>
          <w:p>
            <w:pPr>
              <w:pStyle w:val="null3"/>
            </w:pPr>
            <w:r>
              <w:rPr>
                <w:rFonts w:ascii="仿宋_GB2312" w:hAnsi="仿宋_GB2312" w:cs="仿宋_GB2312" w:eastAsia="仿宋_GB2312"/>
              </w:rPr>
              <w:t>数据中心机房需要不小于</w:t>
            </w:r>
            <w:r>
              <w:rPr>
                <w:rFonts w:ascii="仿宋_GB2312" w:hAnsi="仿宋_GB2312" w:cs="仿宋_GB2312" w:eastAsia="仿宋_GB2312"/>
              </w:rPr>
              <w:t>310m</w:t>
            </w:r>
            <w:r>
              <w:rPr>
                <w:rFonts w:ascii="仿宋_GB2312" w:hAnsi="仿宋_GB2312" w:cs="仿宋_GB2312" w:eastAsia="仿宋_GB2312"/>
              </w:rPr>
              <w:t>³</w:t>
            </w:r>
            <w:r>
              <w:rPr>
                <w:rFonts w:ascii="仿宋_GB2312" w:hAnsi="仿宋_GB2312" w:cs="仿宋_GB2312" w:eastAsia="仿宋_GB2312"/>
              </w:rPr>
              <w:t>/h新风机1台，通过吊顶内管道送至精密空调上方的300*300mm出风百叶，将室外新风准确送至空调回风区域再由空调均匀送至机房各个区域，满足机房内舒适正压环境。</w:t>
            </w:r>
          </w:p>
          <w:p>
            <w:pPr>
              <w:pStyle w:val="null3"/>
            </w:pPr>
            <w:r>
              <w:rPr>
                <w:rFonts w:ascii="仿宋_GB2312" w:hAnsi="仿宋_GB2312" w:cs="仿宋_GB2312" w:eastAsia="仿宋_GB2312"/>
              </w:rPr>
              <w:t>（</w:t>
            </w:r>
            <w:r>
              <w:rPr>
                <w:rFonts w:ascii="仿宋_GB2312" w:hAnsi="仿宋_GB2312" w:cs="仿宋_GB2312" w:eastAsia="仿宋_GB2312"/>
              </w:rPr>
              <w:t>2）排烟系统</w:t>
            </w:r>
          </w:p>
          <w:p>
            <w:pPr>
              <w:pStyle w:val="null3"/>
            </w:pPr>
            <w:r>
              <w:rPr>
                <w:rFonts w:ascii="仿宋_GB2312" w:hAnsi="仿宋_GB2312" w:cs="仿宋_GB2312" w:eastAsia="仿宋_GB2312"/>
              </w:rPr>
              <w:t>采用气体灭火的区域须设置消防排气系统，在气体灭火后，用于排除室内灭火废气。当气体灭火后，启动斜流风机，打开电动密闭阀，灭火废气由排气管排至室外。</w:t>
            </w:r>
          </w:p>
          <w:p>
            <w:pPr>
              <w:pStyle w:val="null3"/>
            </w:pPr>
            <w:r>
              <w:rPr>
                <w:rFonts w:ascii="仿宋_GB2312" w:hAnsi="仿宋_GB2312" w:cs="仿宋_GB2312" w:eastAsia="仿宋_GB2312"/>
              </w:rPr>
              <w:t>数据中心机房计划配置</w:t>
            </w:r>
            <w:r>
              <w:rPr>
                <w:rFonts w:ascii="仿宋_GB2312" w:hAnsi="仿宋_GB2312" w:cs="仿宋_GB2312" w:eastAsia="仿宋_GB2312"/>
              </w:rPr>
              <w:t>1台流量不小于825m</w:t>
            </w:r>
            <w:r>
              <w:rPr>
                <w:rFonts w:ascii="仿宋_GB2312" w:hAnsi="仿宋_GB2312" w:cs="仿宋_GB2312" w:eastAsia="仿宋_GB2312"/>
              </w:rPr>
              <w:t>³</w:t>
            </w:r>
            <w:r>
              <w:rPr>
                <w:rFonts w:ascii="仿宋_GB2312" w:hAnsi="仿宋_GB2312" w:cs="仿宋_GB2312" w:eastAsia="仿宋_GB2312"/>
              </w:rPr>
              <w:t>/h的事故排风机，电池间配置1台流量不小于100 m</w:t>
            </w:r>
            <w:r>
              <w:rPr>
                <w:rFonts w:ascii="仿宋_GB2312" w:hAnsi="仿宋_GB2312" w:cs="仿宋_GB2312" w:eastAsia="仿宋_GB2312"/>
              </w:rPr>
              <w:t>³</w:t>
            </w:r>
            <w:r>
              <w:rPr>
                <w:rFonts w:ascii="仿宋_GB2312" w:hAnsi="仿宋_GB2312" w:cs="仿宋_GB2312" w:eastAsia="仿宋_GB2312"/>
              </w:rPr>
              <w:t>/h事故排风机。</w:t>
            </w:r>
          </w:p>
          <w:p>
            <w:pPr>
              <w:pStyle w:val="null3"/>
            </w:pPr>
            <w:r>
              <w:rPr>
                <w:rFonts w:ascii="仿宋_GB2312" w:hAnsi="仿宋_GB2312" w:cs="仿宋_GB2312" w:eastAsia="仿宋_GB2312"/>
              </w:rPr>
              <w:t>7.消防报警系统</w:t>
            </w:r>
          </w:p>
          <w:p>
            <w:pPr>
              <w:pStyle w:val="null3"/>
            </w:pPr>
            <w:r>
              <w:rPr>
                <w:rFonts w:ascii="仿宋_GB2312" w:hAnsi="仿宋_GB2312" w:cs="仿宋_GB2312" w:eastAsia="仿宋_GB2312"/>
              </w:rPr>
              <w:t>消防系统包括电气消防及气体灭火工程，消防报警系统覆盖整个机房区域，气体灭火保护区内设置烟感探测器和温感探测器，声光报警器，警铃等设备，气体灭火保护区外设置手动报警按钮等设备；各防护区气体灭火采用全淹没</w:t>
            </w:r>
            <w:r>
              <w:rPr>
                <w:rFonts w:ascii="仿宋_GB2312" w:hAnsi="仿宋_GB2312" w:cs="仿宋_GB2312" w:eastAsia="仿宋_GB2312"/>
              </w:rPr>
              <w:t>“七氟丙烷HFC-227ea”无管网灭火方式设计，设备采用组合分配型。</w:t>
            </w:r>
          </w:p>
          <w:p>
            <w:pPr>
              <w:pStyle w:val="null3"/>
            </w:pPr>
            <w:r>
              <w:rPr>
                <w:rFonts w:ascii="仿宋_GB2312" w:hAnsi="仿宋_GB2312" w:cs="仿宋_GB2312" w:eastAsia="仿宋_GB2312"/>
              </w:rPr>
              <w:t>数据中心机房内配置</w:t>
            </w:r>
            <w:r>
              <w:rPr>
                <w:rFonts w:ascii="仿宋_GB2312" w:hAnsi="仿宋_GB2312" w:cs="仿宋_GB2312" w:eastAsia="仿宋_GB2312"/>
              </w:rPr>
              <w:t>2个120L气体灭火装置，电池间选用1套40L柜式灭火装置；火灾报警控制器由火灾自动探测器、区域报警器和控制器组成。火灾报警采用烟感和温感探测器，探测器安装在吊顶上和活动地板下，两者联合使用提高报警的可靠性。当火灾发生时，火灾自动探测器即能发出警报信号，控制器显示报警的探测器所在位置，在设置时间内无人员到场，七氟丙烷钢瓶将自动喷出七氟丙烷气体淹没式灭火。</w:t>
            </w:r>
          </w:p>
          <w:p>
            <w:pPr>
              <w:pStyle w:val="null3"/>
            </w:pPr>
            <w:r>
              <w:rPr>
                <w:rFonts w:ascii="仿宋_GB2312" w:hAnsi="仿宋_GB2312" w:cs="仿宋_GB2312" w:eastAsia="仿宋_GB2312"/>
              </w:rPr>
              <w:t>8. 操作间具配置</w:t>
            </w:r>
          </w:p>
          <w:p>
            <w:pPr>
              <w:pStyle w:val="null3"/>
            </w:pPr>
            <w:r>
              <w:rPr>
                <w:rFonts w:ascii="仿宋_GB2312" w:hAnsi="仿宋_GB2312" w:cs="仿宋_GB2312" w:eastAsia="仿宋_GB2312"/>
              </w:rPr>
              <w:t>为满足</w:t>
            </w:r>
            <w:r>
              <w:rPr>
                <w:rFonts w:ascii="仿宋_GB2312" w:hAnsi="仿宋_GB2312" w:cs="仿宋_GB2312" w:eastAsia="仿宋_GB2312"/>
              </w:rPr>
              <w:t>“十五五”时期运维运营人员办公需求，操作间一、二需配置以下办公家具：</w:t>
            </w:r>
          </w:p>
          <w:p>
            <w:pPr>
              <w:pStyle w:val="null3"/>
            </w:pPr>
            <w:r>
              <w:rPr>
                <w:rFonts w:ascii="仿宋_GB2312" w:hAnsi="仿宋_GB2312" w:cs="仿宋_GB2312" w:eastAsia="仿宋_GB2312"/>
              </w:rPr>
              <w:t>屏风卡位（</w:t>
            </w:r>
            <w:r>
              <w:rPr>
                <w:rFonts w:ascii="仿宋_GB2312" w:hAnsi="仿宋_GB2312" w:cs="仿宋_GB2312" w:eastAsia="仿宋_GB2312"/>
              </w:rPr>
              <w:t>18张）：基材为E0级三聚氰胺环保板材，甲醛释放量≤0.05mg/L，表面三聚氰胺树脂保护膜，PUR封边，优质五金件。尺寸符合人体工学，提供独立工作空间。</w:t>
            </w:r>
          </w:p>
          <w:p>
            <w:pPr>
              <w:pStyle w:val="null3"/>
            </w:pPr>
            <w:r>
              <w:rPr>
                <w:rFonts w:ascii="仿宋_GB2312" w:hAnsi="仿宋_GB2312" w:cs="仿宋_GB2312" w:eastAsia="仿宋_GB2312"/>
              </w:rPr>
              <w:t>文件柜（</w:t>
            </w:r>
            <w:r>
              <w:rPr>
                <w:rFonts w:ascii="仿宋_GB2312" w:hAnsi="仿宋_GB2312" w:cs="仿宋_GB2312" w:eastAsia="仿宋_GB2312"/>
              </w:rPr>
              <w:t>11组）：同样采用E0级环保板材，结构稳固，用于存放资料、文档。</w:t>
            </w:r>
          </w:p>
          <w:p>
            <w:pPr>
              <w:pStyle w:val="null3"/>
            </w:pPr>
            <w:r>
              <w:rPr>
                <w:rFonts w:ascii="仿宋_GB2312" w:hAnsi="仿宋_GB2312" w:cs="仿宋_GB2312" w:eastAsia="仿宋_GB2312"/>
              </w:rPr>
              <w:t>办公椅（</w:t>
            </w:r>
            <w:r>
              <w:rPr>
                <w:rFonts w:ascii="仿宋_GB2312" w:hAnsi="仿宋_GB2312" w:cs="仿宋_GB2312" w:eastAsia="仿宋_GB2312"/>
              </w:rPr>
              <w:t>18把）：人体工学设计，背框PP加纤注塑，透气网布，可调节腰靠，定型海绵座包，升降扶手，防爆气压棒，尼龙五星脚，静音脚轮。</w:t>
            </w:r>
          </w:p>
          <w:p>
            <w:pPr>
              <w:pStyle w:val="null3"/>
            </w:pPr>
            <w:r>
              <w:rPr>
                <w:rFonts w:ascii="仿宋_GB2312" w:hAnsi="仿宋_GB2312" w:cs="仿宋_GB2312" w:eastAsia="仿宋_GB2312"/>
              </w:rPr>
              <w:t>折叠椅（</w:t>
            </w:r>
            <w:r>
              <w:rPr>
                <w:rFonts w:ascii="仿宋_GB2312" w:hAnsi="仿宋_GB2312" w:cs="仿宋_GB2312" w:eastAsia="仿宋_GB2312"/>
              </w:rPr>
              <w:t>6把）：用于临时会议或培训，靠背PP加玻纤，高密度海绵座垫，钢制静电喷粉可折叠椅架，稳固耐用。</w:t>
            </w:r>
          </w:p>
          <w:p>
            <w:pPr>
              <w:pStyle w:val="null3"/>
            </w:pPr>
            <w:r>
              <w:rPr>
                <w:rFonts w:ascii="仿宋_GB2312" w:hAnsi="仿宋_GB2312" w:cs="仿宋_GB2312" w:eastAsia="仿宋_GB2312"/>
              </w:rPr>
              <w:t>六边桌（</w:t>
            </w:r>
            <w:r>
              <w:rPr>
                <w:rFonts w:ascii="仿宋_GB2312" w:hAnsi="仿宋_GB2312" w:cs="仿宋_GB2312" w:eastAsia="仿宋_GB2312"/>
              </w:rPr>
              <w:t>1张）：用于研讨型会议区，桌面为3mm冷板冲压，横梁为50*1.2mm圆管，铝合金压铸接头，PU静音万向轮带刹车，可自由移动组合。</w:t>
            </w:r>
          </w:p>
          <w:p>
            <w:pPr>
              <w:pStyle w:val="null3"/>
            </w:pPr>
            <w:r>
              <w:rPr>
                <w:rFonts w:ascii="仿宋_GB2312" w:hAnsi="仿宋_GB2312" w:cs="仿宋_GB2312" w:eastAsia="仿宋_GB2312"/>
              </w:rPr>
              <w:t>所有家具环保、耐用，满足办公效率及空间灵活性要求。</w:t>
            </w:r>
          </w:p>
          <w:p>
            <w:pPr>
              <w:pStyle w:val="null3"/>
            </w:pPr>
            <w:r>
              <w:rPr>
                <w:rFonts w:ascii="仿宋_GB2312" w:hAnsi="仿宋_GB2312" w:cs="仿宋_GB2312" w:eastAsia="仿宋_GB2312"/>
              </w:rPr>
              <w:t>（二）模块化数据中心</w:t>
            </w:r>
          </w:p>
          <w:p>
            <w:pPr>
              <w:pStyle w:val="null3"/>
            </w:pPr>
            <w:r>
              <w:rPr>
                <w:rFonts w:ascii="仿宋_GB2312" w:hAnsi="仿宋_GB2312" w:cs="仿宋_GB2312" w:eastAsia="仿宋_GB2312"/>
              </w:rPr>
              <w:t>模块化数据中心包含模块化机柜系统、</w:t>
            </w:r>
            <w:r>
              <w:rPr>
                <w:rFonts w:ascii="仿宋_GB2312" w:hAnsi="仿宋_GB2312" w:cs="仿宋_GB2312" w:eastAsia="仿宋_GB2312"/>
              </w:rPr>
              <w:t>UPS不间断电源系统、制冷系统及动力环境查看系统等。</w:t>
            </w:r>
          </w:p>
          <w:p>
            <w:pPr>
              <w:pStyle w:val="null3"/>
            </w:pPr>
            <w:r>
              <w:rPr>
                <w:rFonts w:ascii="仿宋_GB2312" w:hAnsi="仿宋_GB2312" w:cs="仿宋_GB2312" w:eastAsia="仿宋_GB2312"/>
              </w:rPr>
              <w:t>1.模块化机柜系统</w:t>
            </w:r>
          </w:p>
          <w:p>
            <w:pPr>
              <w:pStyle w:val="null3"/>
            </w:pPr>
            <w:r>
              <w:rPr>
                <w:rFonts w:ascii="仿宋_GB2312" w:hAnsi="仿宋_GB2312" w:cs="仿宋_GB2312" w:eastAsia="仿宋_GB2312"/>
              </w:rPr>
              <w:t>（</w:t>
            </w:r>
            <w:r>
              <w:rPr>
                <w:rFonts w:ascii="仿宋_GB2312" w:hAnsi="仿宋_GB2312" w:cs="仿宋_GB2312" w:eastAsia="仿宋_GB2312"/>
              </w:rPr>
              <w:t>1）机柜</w:t>
            </w:r>
          </w:p>
          <w:p>
            <w:pPr>
              <w:pStyle w:val="null3"/>
            </w:pPr>
            <w:r>
              <w:rPr>
                <w:rFonts w:ascii="仿宋_GB2312" w:hAnsi="仿宋_GB2312" w:cs="仿宋_GB2312" w:eastAsia="仿宋_GB2312"/>
              </w:rPr>
              <w:t>结合实际需求及后期扩展需求，设计双排密闭通道系统，系统配置</w:t>
            </w:r>
            <w:r>
              <w:rPr>
                <w:rFonts w:ascii="仿宋_GB2312" w:hAnsi="仿宋_GB2312" w:cs="仿宋_GB2312" w:eastAsia="仿宋_GB2312"/>
              </w:rPr>
              <w:t>7台可用柜位，为数据中心各类信息化设备提供可靠稳定的安装运行空间，为信息化设备安全稳定运行提供保障。</w:t>
            </w:r>
          </w:p>
          <w:p>
            <w:pPr>
              <w:pStyle w:val="null3"/>
            </w:pPr>
            <w:r>
              <w:rPr>
                <w:rFonts w:ascii="仿宋_GB2312" w:hAnsi="仿宋_GB2312" w:cs="仿宋_GB2312" w:eastAsia="仿宋_GB2312"/>
              </w:rPr>
              <w:t>（</w:t>
            </w:r>
            <w:r>
              <w:rPr>
                <w:rFonts w:ascii="仿宋_GB2312" w:hAnsi="仿宋_GB2312" w:cs="仿宋_GB2312" w:eastAsia="仿宋_GB2312"/>
              </w:rPr>
              <w:t>2）密封通道组件</w:t>
            </w:r>
          </w:p>
          <w:p>
            <w:pPr>
              <w:pStyle w:val="null3"/>
            </w:pPr>
            <w:r>
              <w:rPr>
                <w:rFonts w:ascii="仿宋_GB2312" w:hAnsi="仿宋_GB2312" w:cs="仿宋_GB2312" w:eastAsia="仿宋_GB2312"/>
              </w:rPr>
              <w:t>通道组件由天窗、端门、走线槽等组成，与服务器机柜、配电柜、行级精密空调组成密闭通道系统。</w:t>
            </w:r>
          </w:p>
          <w:p>
            <w:pPr>
              <w:pStyle w:val="null3"/>
            </w:pPr>
            <w:r>
              <w:rPr>
                <w:rFonts w:ascii="仿宋_GB2312" w:hAnsi="仿宋_GB2312" w:cs="仿宋_GB2312" w:eastAsia="仿宋_GB2312"/>
              </w:rPr>
              <w:t>通道系统天窗包含固定型天窗和翻转型天窗，天窗材质使用覆膜钢化玻璃。当消防系统启动时，天窗自动打开，消防气体喷放到通道内，实现灭火要求。</w:t>
            </w:r>
          </w:p>
          <w:p>
            <w:pPr>
              <w:pStyle w:val="null3"/>
            </w:pPr>
            <w:r>
              <w:rPr>
                <w:rFonts w:ascii="仿宋_GB2312" w:hAnsi="仿宋_GB2312" w:cs="仿宋_GB2312" w:eastAsia="仿宋_GB2312"/>
              </w:rPr>
              <w:t>2.UPS不间断电源系统</w:t>
            </w:r>
          </w:p>
          <w:p>
            <w:pPr>
              <w:pStyle w:val="null3"/>
            </w:pPr>
            <w:r>
              <w:rPr>
                <w:rFonts w:ascii="仿宋_GB2312" w:hAnsi="仿宋_GB2312" w:cs="仿宋_GB2312" w:eastAsia="仿宋_GB2312"/>
              </w:rPr>
              <w:t>为了给数据中心机房内信息化设备提供不间断电力保障，需配置</w:t>
            </w:r>
            <w:r>
              <w:rPr>
                <w:rFonts w:ascii="仿宋_GB2312" w:hAnsi="仿宋_GB2312" w:cs="仿宋_GB2312" w:eastAsia="仿宋_GB2312"/>
              </w:rPr>
              <w:t>UPS不间断电源系统。系统总容量按照90KVA，延时2小时设计，需要12V 200AH的电池40块电池，采用电池架安装，电池单独安装在UPS电池间。</w:t>
            </w:r>
          </w:p>
          <w:p>
            <w:pPr>
              <w:pStyle w:val="null3"/>
            </w:pPr>
            <w:r>
              <w:rPr>
                <w:rFonts w:ascii="仿宋_GB2312" w:hAnsi="仿宋_GB2312" w:cs="仿宋_GB2312" w:eastAsia="仿宋_GB2312"/>
              </w:rPr>
              <w:t>3.机柜空调系统</w:t>
            </w:r>
          </w:p>
          <w:p>
            <w:pPr>
              <w:pStyle w:val="null3"/>
            </w:pPr>
            <w:r>
              <w:rPr>
                <w:rFonts w:ascii="仿宋_GB2312" w:hAnsi="仿宋_GB2312" w:cs="仿宋_GB2312" w:eastAsia="仿宋_GB2312"/>
              </w:rPr>
              <w:t>（</w:t>
            </w:r>
            <w:r>
              <w:rPr>
                <w:rFonts w:ascii="仿宋_GB2312" w:hAnsi="仿宋_GB2312" w:cs="仿宋_GB2312" w:eastAsia="仿宋_GB2312"/>
              </w:rPr>
              <w:t>1）系统建设依据</w:t>
            </w:r>
          </w:p>
          <w:p>
            <w:pPr>
              <w:pStyle w:val="null3"/>
            </w:pPr>
            <w:r>
              <w:rPr>
                <w:rFonts w:ascii="仿宋_GB2312" w:hAnsi="仿宋_GB2312" w:cs="仿宋_GB2312" w:eastAsia="仿宋_GB2312"/>
              </w:rPr>
              <w:t>数据中心机房中的设备在运行中散热量大而且集中，散湿量极小，设备</w:t>
            </w:r>
            <w:r>
              <w:rPr>
                <w:rFonts w:ascii="仿宋_GB2312" w:hAnsi="仿宋_GB2312" w:cs="仿宋_GB2312" w:eastAsia="仿宋_GB2312"/>
              </w:rPr>
              <w:t>24小时不间断运行，根据数据中心恒温恒湿的环境要求，要求空调系统无间断运行。</w:t>
            </w:r>
          </w:p>
          <w:p>
            <w:pPr>
              <w:pStyle w:val="null3"/>
            </w:pPr>
            <w:r>
              <w:rPr>
                <w:rFonts w:ascii="仿宋_GB2312" w:hAnsi="仿宋_GB2312" w:cs="仿宋_GB2312" w:eastAsia="仿宋_GB2312"/>
              </w:rPr>
              <w:t>机房空气环境设计参数：</w:t>
            </w:r>
          </w:p>
          <w:p>
            <w:pPr>
              <w:pStyle w:val="null3"/>
            </w:pPr>
            <w:r>
              <w:rPr>
                <w:rFonts w:ascii="仿宋_GB2312" w:hAnsi="仿宋_GB2312" w:cs="仿宋_GB2312" w:eastAsia="仿宋_GB2312"/>
              </w:rPr>
              <w:t>夏季温度</w:t>
            </w:r>
            <w:r>
              <w:rPr>
                <w:rFonts w:ascii="仿宋_GB2312" w:hAnsi="仿宋_GB2312" w:cs="仿宋_GB2312" w:eastAsia="仿宋_GB2312"/>
              </w:rPr>
              <w:t>23±2℃</w:t>
            </w:r>
            <w:r>
              <w:rPr>
                <w:rFonts w:ascii="仿宋_GB2312" w:hAnsi="仿宋_GB2312" w:cs="仿宋_GB2312" w:eastAsia="仿宋_GB2312"/>
              </w:rPr>
              <w:t>冬季温度</w:t>
            </w:r>
            <w:r>
              <w:rPr>
                <w:rFonts w:ascii="仿宋_GB2312" w:hAnsi="仿宋_GB2312" w:cs="仿宋_GB2312" w:eastAsia="仿宋_GB2312"/>
              </w:rPr>
              <w:t>20±2℃</w:t>
            </w:r>
          </w:p>
          <w:p>
            <w:pPr>
              <w:pStyle w:val="null3"/>
            </w:pPr>
            <w:r>
              <w:rPr>
                <w:rFonts w:ascii="仿宋_GB2312" w:hAnsi="仿宋_GB2312" w:cs="仿宋_GB2312" w:eastAsia="仿宋_GB2312"/>
              </w:rPr>
              <w:t>夏季湿度</w:t>
            </w:r>
            <w:r>
              <w:rPr>
                <w:rFonts w:ascii="仿宋_GB2312" w:hAnsi="仿宋_GB2312" w:cs="仿宋_GB2312" w:eastAsia="仿宋_GB2312"/>
              </w:rPr>
              <w:t>55±10%</w:t>
            </w:r>
            <w:r>
              <w:rPr>
                <w:rFonts w:ascii="仿宋_GB2312" w:hAnsi="仿宋_GB2312" w:cs="仿宋_GB2312" w:eastAsia="仿宋_GB2312"/>
              </w:rPr>
              <w:t>冬季湿度</w:t>
            </w:r>
            <w:r>
              <w:rPr>
                <w:rFonts w:ascii="仿宋_GB2312" w:hAnsi="仿宋_GB2312" w:cs="仿宋_GB2312" w:eastAsia="仿宋_GB2312"/>
              </w:rPr>
              <w:t>55±10%</w:t>
            </w:r>
          </w:p>
          <w:p>
            <w:pPr>
              <w:pStyle w:val="null3"/>
            </w:pPr>
            <w:r>
              <w:rPr>
                <w:rFonts w:ascii="仿宋_GB2312" w:hAnsi="仿宋_GB2312" w:cs="仿宋_GB2312" w:eastAsia="仿宋_GB2312"/>
              </w:rPr>
              <w:t>洁净度</w:t>
            </w:r>
            <w:r>
              <w:rPr>
                <w:rFonts w:ascii="仿宋_GB2312" w:hAnsi="仿宋_GB2312" w:cs="仿宋_GB2312" w:eastAsia="仿宋_GB2312"/>
              </w:rPr>
              <w:t>粒度</w:t>
            </w:r>
            <w:r>
              <w:rPr>
                <w:rFonts w:ascii="仿宋_GB2312" w:hAnsi="仿宋_GB2312" w:cs="仿宋_GB2312" w:eastAsia="仿宋_GB2312"/>
              </w:rPr>
              <w:t>≥0.5μm</w:t>
            </w:r>
            <w:r>
              <w:rPr>
                <w:rFonts w:ascii="仿宋_GB2312" w:hAnsi="仿宋_GB2312" w:cs="仿宋_GB2312" w:eastAsia="仿宋_GB2312"/>
              </w:rPr>
              <w:t>个数</w:t>
            </w:r>
            <w:r>
              <w:rPr>
                <w:rFonts w:ascii="仿宋_GB2312" w:hAnsi="仿宋_GB2312" w:cs="仿宋_GB2312" w:eastAsia="仿宋_GB2312"/>
              </w:rPr>
              <w:t>≤18000粒/分米3</w:t>
            </w:r>
          </w:p>
          <w:p>
            <w:pPr>
              <w:pStyle w:val="null3"/>
            </w:pPr>
            <w:r>
              <w:rPr>
                <w:rFonts w:ascii="仿宋_GB2312" w:hAnsi="仿宋_GB2312" w:cs="仿宋_GB2312" w:eastAsia="仿宋_GB2312"/>
              </w:rPr>
              <w:t>温度变化率</w:t>
            </w:r>
            <w:r>
              <w:rPr>
                <w:rFonts w:ascii="仿宋_GB2312" w:hAnsi="仿宋_GB2312" w:cs="仿宋_GB2312" w:eastAsia="仿宋_GB2312"/>
              </w:rPr>
              <w:t>≤5℃/时</w:t>
            </w:r>
          </w:p>
          <w:p>
            <w:pPr>
              <w:pStyle w:val="null3"/>
            </w:pPr>
            <w:r>
              <w:rPr>
                <w:rFonts w:ascii="仿宋_GB2312" w:hAnsi="仿宋_GB2312" w:cs="仿宋_GB2312" w:eastAsia="仿宋_GB2312"/>
              </w:rPr>
              <w:t>（</w:t>
            </w:r>
            <w:r>
              <w:rPr>
                <w:rFonts w:ascii="仿宋_GB2312" w:hAnsi="仿宋_GB2312" w:cs="仿宋_GB2312" w:eastAsia="仿宋_GB2312"/>
              </w:rPr>
              <w:t>2）设备配置</w:t>
            </w:r>
          </w:p>
          <w:p>
            <w:pPr>
              <w:pStyle w:val="null3"/>
            </w:pPr>
            <w:r>
              <w:rPr>
                <w:rFonts w:ascii="仿宋_GB2312" w:hAnsi="仿宋_GB2312" w:cs="仿宋_GB2312" w:eastAsia="仿宋_GB2312"/>
              </w:rPr>
              <w:t>在模块化数据中心内配置模块化空调，精密空调安装在机柜排当中，采用水平送风方式，模块化机柜总功耗</w:t>
            </w:r>
            <w:r>
              <w:rPr>
                <w:rFonts w:ascii="仿宋_GB2312" w:hAnsi="仿宋_GB2312" w:cs="仿宋_GB2312" w:eastAsia="仿宋_GB2312"/>
              </w:rPr>
              <w:t>28KW，单台空调总制冷量为35KW，单台空调完全可满足机房制冷要求，本次项目配置2台模块化空调，符合B级机房N+1冗余要求。</w:t>
            </w:r>
          </w:p>
          <w:p>
            <w:pPr>
              <w:pStyle w:val="null3"/>
            </w:pPr>
            <w:r>
              <w:rPr>
                <w:rFonts w:ascii="仿宋_GB2312" w:hAnsi="仿宋_GB2312" w:cs="仿宋_GB2312" w:eastAsia="仿宋_GB2312"/>
              </w:rPr>
              <w:t>因空调具备调整环境湿度功能，故需要为每台空调接入上水，下水可统一接入大楼下水管或接出室外，排水管接头要求用喉箍固定，以防止水溢出，排水管应有一定坡度，保证排水畅顺，如需伸出室外较长，则需做保温处理。</w:t>
            </w:r>
          </w:p>
          <w:p>
            <w:pPr>
              <w:pStyle w:val="null3"/>
            </w:pPr>
            <w:r>
              <w:rPr>
                <w:rFonts w:ascii="仿宋_GB2312" w:hAnsi="仿宋_GB2312" w:cs="仿宋_GB2312" w:eastAsia="仿宋_GB2312"/>
              </w:rPr>
              <w:t>在空调底部及下水管道下方制作防水围堰，机柜安装漏水报警绳，墙面安装声光报警器，在发生漏水时及时报警通知管理人员。</w:t>
            </w:r>
          </w:p>
          <w:p>
            <w:pPr>
              <w:pStyle w:val="null3"/>
            </w:pPr>
            <w:r>
              <w:rPr>
                <w:rFonts w:ascii="仿宋_GB2312" w:hAnsi="仿宋_GB2312" w:cs="仿宋_GB2312" w:eastAsia="仿宋_GB2312"/>
              </w:rPr>
              <w:t>4.动力环境查看系统</w:t>
            </w:r>
          </w:p>
          <w:p>
            <w:pPr>
              <w:pStyle w:val="null3"/>
            </w:pPr>
            <w:r>
              <w:rPr>
                <w:rFonts w:ascii="仿宋_GB2312" w:hAnsi="仿宋_GB2312" w:cs="仿宋_GB2312" w:eastAsia="仿宋_GB2312"/>
              </w:rPr>
              <w:t>动力环境查看系统主要是针对数据中心机房所有的设备及环境进行集中监控和管理，其监控对象构成机房的各个子系统：动力系统、环境系统、消防系统、安防系统、网络系统等。对机房设备统一管理、统一监测，统一报警，通过实时数据或视频图像查看各机房设备的运行状态，发现部件故障或参数异常，即时采取多媒体动画、语音、电话、短消息等多种报警方式，提醒管理人员及时发现问题，保障系统安全运行。</w:t>
            </w:r>
          </w:p>
          <w:p>
            <w:pPr>
              <w:pStyle w:val="null3"/>
            </w:pPr>
            <w:r>
              <w:rPr>
                <w:rFonts w:ascii="仿宋_GB2312" w:hAnsi="仿宋_GB2312" w:cs="仿宋_GB2312" w:eastAsia="仿宋_GB2312"/>
              </w:rPr>
              <w:t>（三）</w:t>
            </w:r>
            <w:r>
              <w:rPr>
                <w:rFonts w:ascii="仿宋_GB2312" w:hAnsi="仿宋_GB2312" w:cs="仿宋_GB2312" w:eastAsia="仿宋_GB2312"/>
              </w:rPr>
              <w:t>PUE设计</w:t>
            </w:r>
          </w:p>
          <w:p>
            <w:pPr>
              <w:pStyle w:val="null3"/>
            </w:pPr>
            <w:r>
              <w:rPr>
                <w:rFonts w:ascii="仿宋_GB2312" w:hAnsi="仿宋_GB2312" w:cs="仿宋_GB2312" w:eastAsia="仿宋_GB2312"/>
              </w:rPr>
              <w:t>核心</w:t>
            </w:r>
            <w:r>
              <w:rPr>
                <w:rFonts w:ascii="仿宋_GB2312" w:hAnsi="仿宋_GB2312" w:cs="仿宋_GB2312" w:eastAsia="仿宋_GB2312"/>
              </w:rPr>
              <w:t>PUE目标：全年平均设计PUE值 ≤ 1.4</w:t>
            </w:r>
          </w:p>
          <w:p>
            <w:pPr>
              <w:pStyle w:val="null3"/>
            </w:pPr>
            <w:r>
              <w:rPr>
                <w:rFonts w:ascii="仿宋_GB2312" w:hAnsi="仿宋_GB2312" w:cs="仿宋_GB2312" w:eastAsia="仿宋_GB2312"/>
              </w:rPr>
              <w:t>为确保实现</w:t>
            </w:r>
            <w:r>
              <w:rPr>
                <w:rFonts w:ascii="仿宋_GB2312" w:hAnsi="仿宋_GB2312" w:cs="仿宋_GB2312" w:eastAsia="仿宋_GB2312"/>
              </w:rPr>
              <w:t xml:space="preserve"> PUE ≤1.4的高标准目标，将PUE值进行精细化分解：</w:t>
            </w:r>
          </w:p>
          <w:p>
            <w:pPr>
              <w:pStyle w:val="null3"/>
            </w:pPr>
            <w:r>
              <w:rPr>
                <w:rFonts w:ascii="仿宋_GB2312" w:hAnsi="仿宋_GB2312" w:cs="仿宋_GB2312" w:eastAsia="仿宋_GB2312"/>
              </w:rPr>
              <w:t>序号</w:t>
            </w:r>
            <w:r>
              <w:rPr>
                <w:rFonts w:ascii="仿宋_GB2312" w:hAnsi="仿宋_GB2312" w:cs="仿宋_GB2312" w:eastAsia="仿宋_GB2312"/>
              </w:rPr>
              <w:t>环节</w:t>
            </w:r>
            <w:r>
              <w:rPr>
                <w:rFonts w:ascii="仿宋_GB2312" w:hAnsi="仿宋_GB2312" w:cs="仿宋_GB2312" w:eastAsia="仿宋_GB2312"/>
              </w:rPr>
              <w:t>设计目标值</w:t>
            </w:r>
            <w:r>
              <w:rPr>
                <w:rFonts w:ascii="仿宋_GB2312" w:hAnsi="仿宋_GB2312" w:cs="仿宋_GB2312" w:eastAsia="仿宋_GB2312"/>
              </w:rPr>
              <w:t>应对措施</w:t>
            </w:r>
          </w:p>
          <w:p>
            <w:pPr>
              <w:pStyle w:val="null3"/>
            </w:pPr>
            <w:r>
              <w:rPr>
                <w:rFonts w:ascii="仿宋_GB2312" w:hAnsi="仿宋_GB2312" w:cs="仿宋_GB2312" w:eastAsia="仿宋_GB2312"/>
              </w:rPr>
              <w:t>1</w:t>
            </w:r>
            <w:r>
              <w:rPr>
                <w:rFonts w:ascii="仿宋_GB2312" w:hAnsi="仿宋_GB2312" w:cs="仿宋_GB2312" w:eastAsia="仿宋_GB2312"/>
              </w:rPr>
              <w:t>IT基础设备能耗</w:t>
            </w:r>
            <w:r>
              <w:rPr>
                <w:rFonts w:ascii="仿宋_GB2312" w:hAnsi="仿宋_GB2312" w:cs="仿宋_GB2312" w:eastAsia="仿宋_GB2312"/>
              </w:rPr>
              <w:t>1.00</w:t>
            </w:r>
            <w:r>
              <w:rPr>
                <w:rFonts w:ascii="仿宋_GB2312" w:hAnsi="仿宋_GB2312" w:cs="仿宋_GB2312" w:eastAsia="仿宋_GB2312"/>
              </w:rPr>
              <w:t>优化服务器布局，提升服务器使用率及负载率。</w:t>
            </w:r>
          </w:p>
          <w:p>
            <w:pPr>
              <w:pStyle w:val="null3"/>
            </w:pPr>
            <w:r>
              <w:rPr>
                <w:rFonts w:ascii="仿宋_GB2312" w:hAnsi="仿宋_GB2312" w:cs="仿宋_GB2312" w:eastAsia="仿宋_GB2312"/>
              </w:rPr>
              <w:t>2</w:t>
            </w:r>
            <w:r>
              <w:rPr>
                <w:rFonts w:ascii="仿宋_GB2312" w:hAnsi="仿宋_GB2312" w:cs="仿宋_GB2312" w:eastAsia="仿宋_GB2312"/>
              </w:rPr>
              <w:t>供电系统损耗</w:t>
            </w:r>
            <w:r>
              <w:rPr>
                <w:rFonts w:ascii="仿宋_GB2312" w:hAnsi="仿宋_GB2312" w:cs="仿宋_GB2312" w:eastAsia="仿宋_GB2312"/>
              </w:rPr>
              <w:t>≤0.10</w:t>
            </w:r>
            <w:r>
              <w:rPr>
                <w:rFonts w:ascii="仿宋_GB2312" w:hAnsi="仿宋_GB2312" w:cs="仿宋_GB2312" w:eastAsia="仿宋_GB2312"/>
              </w:rPr>
              <w:t>采用模块化高效率</w:t>
            </w:r>
            <w:r>
              <w:rPr>
                <w:rFonts w:ascii="仿宋_GB2312" w:hAnsi="仿宋_GB2312" w:cs="仿宋_GB2312" w:eastAsia="仿宋_GB2312"/>
              </w:rPr>
              <w:t>UPS（效率96%，低载高效），并引入市电直供+高压直流或智能旁路模式，全链路监控，变被动为主动预测维护</w:t>
            </w:r>
          </w:p>
          <w:p>
            <w:pPr>
              <w:pStyle w:val="null3"/>
            </w:pPr>
            <w:r>
              <w:rPr>
                <w:rFonts w:ascii="仿宋_GB2312" w:hAnsi="仿宋_GB2312" w:cs="仿宋_GB2312" w:eastAsia="仿宋_GB2312"/>
              </w:rPr>
              <w:t>3</w:t>
            </w:r>
            <w:r>
              <w:rPr>
                <w:rFonts w:ascii="仿宋_GB2312" w:hAnsi="仿宋_GB2312" w:cs="仿宋_GB2312" w:eastAsia="仿宋_GB2312"/>
              </w:rPr>
              <w:t>制冷系统损耗</w:t>
            </w:r>
            <w:r>
              <w:rPr>
                <w:rFonts w:ascii="仿宋_GB2312" w:hAnsi="仿宋_GB2312" w:cs="仿宋_GB2312" w:eastAsia="仿宋_GB2312"/>
              </w:rPr>
              <w:t>≤0.25</w:t>
            </w:r>
            <w:r>
              <w:rPr>
                <w:rFonts w:ascii="仿宋_GB2312" w:hAnsi="仿宋_GB2312" w:cs="仿宋_GB2312" w:eastAsia="仿宋_GB2312"/>
              </w:rPr>
              <w:t>采用封闭通道</w:t>
            </w:r>
            <w:r>
              <w:rPr>
                <w:rFonts w:ascii="仿宋_GB2312" w:hAnsi="仿宋_GB2312" w:cs="仿宋_GB2312" w:eastAsia="仿宋_GB2312"/>
              </w:rPr>
              <w:t>+行级空调，并引入氟泵自然冷却技术，最大化利用自然冷源。采用节能技术，根据负载率和室外气温条件，动态调节机组运行至效率最高点，实现节能降耗。</w:t>
            </w:r>
          </w:p>
          <w:p>
            <w:pPr>
              <w:pStyle w:val="null3"/>
            </w:pPr>
            <w:r>
              <w:rPr>
                <w:rFonts w:ascii="仿宋_GB2312" w:hAnsi="仿宋_GB2312" w:cs="仿宋_GB2312" w:eastAsia="仿宋_GB2312"/>
              </w:rPr>
              <w:t>4</w:t>
            </w:r>
            <w:r>
              <w:rPr>
                <w:rFonts w:ascii="仿宋_GB2312" w:hAnsi="仿宋_GB2312" w:cs="仿宋_GB2312" w:eastAsia="仿宋_GB2312"/>
              </w:rPr>
              <w:t>辅助照明等</w:t>
            </w:r>
            <w:r>
              <w:rPr>
                <w:rFonts w:ascii="仿宋_GB2312" w:hAnsi="仿宋_GB2312" w:cs="仿宋_GB2312" w:eastAsia="仿宋_GB2312"/>
              </w:rPr>
              <w:t>≤0.05</w:t>
            </w:r>
            <w:r>
              <w:rPr>
                <w:rFonts w:ascii="仿宋_GB2312" w:hAnsi="仿宋_GB2312" w:cs="仿宋_GB2312" w:eastAsia="仿宋_GB2312"/>
              </w:rPr>
              <w:t>智能照明、</w:t>
            </w:r>
            <w:r>
              <w:rPr>
                <w:rFonts w:ascii="仿宋_GB2312" w:hAnsi="仿宋_GB2312" w:cs="仿宋_GB2312" w:eastAsia="仿宋_GB2312"/>
              </w:rPr>
              <w:t>LED节能灯</w:t>
            </w:r>
          </w:p>
          <w:p>
            <w:pPr>
              <w:pStyle w:val="null3"/>
            </w:pPr>
            <w:r>
              <w:rPr>
                <w:rFonts w:ascii="仿宋_GB2312" w:hAnsi="仿宋_GB2312" w:cs="仿宋_GB2312" w:eastAsia="仿宋_GB2312"/>
              </w:rPr>
              <w:t>5</w:t>
            </w:r>
            <w:r>
              <w:rPr>
                <w:rFonts w:ascii="仿宋_GB2312" w:hAnsi="仿宋_GB2312" w:cs="仿宋_GB2312" w:eastAsia="仿宋_GB2312"/>
              </w:rPr>
              <w:t>合计</w:t>
            </w:r>
            <w:r>
              <w:rPr>
                <w:rFonts w:ascii="仿宋_GB2312" w:hAnsi="仿宋_GB2312" w:cs="仿宋_GB2312" w:eastAsia="仿宋_GB2312"/>
              </w:rPr>
              <w:t>≤1.40</w:t>
            </w:r>
          </w:p>
          <w:p>
            <w:pPr>
              <w:pStyle w:val="null3"/>
            </w:pPr>
            <w:r>
              <w:rPr>
                <w:rFonts w:ascii="仿宋_GB2312" w:hAnsi="仿宋_GB2312" w:cs="仿宋_GB2312" w:eastAsia="仿宋_GB2312"/>
              </w:rPr>
              <w:t>（四）网络安全服务</w:t>
            </w:r>
          </w:p>
          <w:p>
            <w:pPr>
              <w:pStyle w:val="null3"/>
            </w:pPr>
            <w:r>
              <w:rPr>
                <w:rFonts w:ascii="仿宋_GB2312" w:hAnsi="仿宋_GB2312" w:cs="仿宋_GB2312" w:eastAsia="仿宋_GB2312"/>
              </w:rPr>
              <w:t>为提升整体网络安全防护能力，保障业务系统稳定运行，本次项目提供</w:t>
            </w:r>
            <w:r>
              <w:rPr>
                <w:rFonts w:ascii="仿宋_GB2312" w:hAnsi="仿宋_GB2312" w:cs="仿宋_GB2312" w:eastAsia="仿宋_GB2312"/>
                <w:b/>
              </w:rPr>
              <w:t>三年的网络安全服务</w:t>
            </w:r>
            <w:r>
              <w:rPr>
                <w:rFonts w:ascii="仿宋_GB2312" w:hAnsi="仿宋_GB2312" w:cs="仿宋_GB2312" w:eastAsia="仿宋_GB2312"/>
              </w:rPr>
              <w:t>，并配套提供以下网络安全设备。服务期内包含设备软硬件原厂质保、规则库升级、安全策略优化及应急响应支持。</w:t>
            </w:r>
          </w:p>
          <w:p>
            <w:pPr>
              <w:pStyle w:val="null3"/>
            </w:pPr>
            <w:r>
              <w:rPr>
                <w:rFonts w:ascii="仿宋_GB2312" w:hAnsi="仿宋_GB2312" w:cs="仿宋_GB2312" w:eastAsia="仿宋_GB2312"/>
              </w:rPr>
              <w:t>1. 上网行为管理系统（1台）</w:t>
            </w:r>
          </w:p>
          <w:p>
            <w:pPr>
              <w:pStyle w:val="null3"/>
            </w:pPr>
            <w:r>
              <w:rPr>
                <w:rFonts w:ascii="仿宋_GB2312" w:hAnsi="仿宋_GB2312" w:cs="仿宋_GB2312" w:eastAsia="仿宋_GB2312"/>
              </w:rPr>
              <w:t>机架式：</w:t>
            </w:r>
            <w:r>
              <w:rPr>
                <w:rFonts w:ascii="仿宋_GB2312" w:hAnsi="仿宋_GB2312" w:cs="仿宋_GB2312" w:eastAsia="仿宋_GB2312"/>
              </w:rPr>
              <w:t>2U，内存：8G，硬盘：960G SSD，电源：冗余电源，接口：6个千兆电口，4个千兆光口SFP，网络吞吐：10Gb，应用层吞吐：1.5Gb，带宽性能：1Gb，IPSEC VPN加密性能：200M，支持用户数：6000，含三年原厂质保</w:t>
            </w:r>
          </w:p>
          <w:p>
            <w:pPr>
              <w:pStyle w:val="null3"/>
            </w:pPr>
            <w:r>
              <w:rPr>
                <w:rFonts w:ascii="仿宋_GB2312" w:hAnsi="仿宋_GB2312" w:cs="仿宋_GB2312" w:eastAsia="仿宋_GB2312"/>
              </w:rPr>
              <w:t>2. 入侵防御系统（1台）</w:t>
            </w:r>
          </w:p>
          <w:p>
            <w:pPr>
              <w:pStyle w:val="null3"/>
            </w:pPr>
            <w:r>
              <w:rPr>
                <w:rFonts w:ascii="仿宋_GB2312" w:hAnsi="仿宋_GB2312" w:cs="仿宋_GB2312" w:eastAsia="仿宋_GB2312"/>
              </w:rPr>
              <w:t>机架式：</w:t>
            </w:r>
            <w:r>
              <w:rPr>
                <w:rFonts w:ascii="仿宋_GB2312" w:hAnsi="仿宋_GB2312" w:cs="仿宋_GB2312" w:eastAsia="仿宋_GB2312"/>
              </w:rPr>
              <w:t>1U，内存：8G，硬盘：128G SSD，接口：6个10/100/1000BASE-T接口，应用层吞吐率：4Gbps，并发连接数：400万，含原厂三年软硬件质保及技术支持服务</w:t>
            </w:r>
          </w:p>
          <w:p>
            <w:pPr>
              <w:pStyle w:val="null3"/>
            </w:pPr>
            <w:r>
              <w:rPr>
                <w:rFonts w:ascii="仿宋_GB2312" w:hAnsi="仿宋_GB2312" w:cs="仿宋_GB2312" w:eastAsia="仿宋_GB2312"/>
              </w:rPr>
              <w:t>通过上述设备及服务，实现对内部用户上网行为的精细化管理，并实时检测和防御网络入侵攻击，满足等保</w:t>
            </w:r>
            <w:r>
              <w:rPr>
                <w:rFonts w:ascii="仿宋_GB2312" w:hAnsi="仿宋_GB2312" w:cs="仿宋_GB2312" w:eastAsia="仿宋_GB2312"/>
              </w:rPr>
              <w:t>2.0及网络安全法相关要求。</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（一）机房割接方案</w:t>
            </w:r>
          </w:p>
          <w:p>
            <w:pPr>
              <w:pStyle w:val="null3"/>
            </w:pPr>
            <w:r>
              <w:rPr>
                <w:rFonts w:ascii="仿宋_GB2312" w:hAnsi="仿宋_GB2312" w:cs="仿宋_GB2312" w:eastAsia="仿宋_GB2312"/>
              </w:rPr>
              <w:t>项目目标：在不影响核心业务运行的前提下，完成原有机房向模块化机房的升级改造。</w:t>
            </w:r>
          </w:p>
          <w:p>
            <w:pPr>
              <w:pStyle w:val="null3"/>
            </w:pPr>
            <w:r>
              <w:rPr>
                <w:rFonts w:ascii="仿宋_GB2312" w:hAnsi="仿宋_GB2312" w:cs="仿宋_GB2312" w:eastAsia="仿宋_GB2312"/>
              </w:rPr>
              <w:t>核心原则：业务不中断、数据不丢失、网络不中断。</w:t>
            </w:r>
          </w:p>
          <w:p>
            <w:pPr>
              <w:pStyle w:val="null3"/>
            </w:pPr>
            <w:r>
              <w:rPr>
                <w:rFonts w:ascii="仿宋_GB2312" w:hAnsi="仿宋_GB2312" w:cs="仿宋_GB2312" w:eastAsia="仿宋_GB2312"/>
              </w:rPr>
              <w:t>实施策略：分阶段实施，采用</w:t>
            </w:r>
            <w:r>
              <w:rPr>
                <w:rFonts w:ascii="仿宋_GB2312" w:hAnsi="仿宋_GB2312" w:cs="仿宋_GB2312" w:eastAsia="仿宋_GB2312"/>
              </w:rPr>
              <w:t>“先建过渡、再拆旧、后建新、终回迁”的模式。</w:t>
            </w:r>
          </w:p>
          <w:p>
            <w:pPr>
              <w:pStyle w:val="null3"/>
            </w:pPr>
            <w:r>
              <w:rPr>
                <w:rFonts w:ascii="仿宋_GB2312" w:hAnsi="仿宋_GB2312" w:cs="仿宋_GB2312" w:eastAsia="仿宋_GB2312"/>
              </w:rPr>
              <w:t>1.1施工期间业务保障措施</w:t>
            </w:r>
          </w:p>
          <w:p>
            <w:pPr>
              <w:pStyle w:val="null3"/>
            </w:pPr>
            <w:r>
              <w:rPr>
                <w:rFonts w:ascii="仿宋_GB2312" w:hAnsi="仿宋_GB2312" w:cs="仿宋_GB2312" w:eastAsia="仿宋_GB2312"/>
              </w:rPr>
              <w:t>为确保整个周期内临时机房环境下的业务连续性，采取以下保障：</w:t>
            </w:r>
          </w:p>
          <w:p>
            <w:pPr>
              <w:pStyle w:val="null3"/>
            </w:pPr>
            <w:r>
              <w:rPr>
                <w:rFonts w:ascii="仿宋_GB2312" w:hAnsi="仿宋_GB2312" w:cs="仿宋_GB2312" w:eastAsia="仿宋_GB2312"/>
              </w:rPr>
              <w:t>（</w:t>
            </w:r>
            <w:r>
              <w:rPr>
                <w:rFonts w:ascii="仿宋_GB2312" w:hAnsi="仿宋_GB2312" w:cs="仿宋_GB2312" w:eastAsia="仿宋_GB2312"/>
              </w:rPr>
              <w:t>1）双链路冗余：</w:t>
            </w:r>
          </w:p>
          <w:p>
            <w:pPr>
              <w:pStyle w:val="null3"/>
            </w:pPr>
            <w:r>
              <w:rPr>
                <w:rFonts w:ascii="仿宋_GB2312" w:hAnsi="仿宋_GB2312" w:cs="仿宋_GB2312" w:eastAsia="仿宋_GB2312"/>
              </w:rPr>
              <w:t>临时机房利旧原有物理路由的光缆。</w:t>
            </w:r>
          </w:p>
          <w:p>
            <w:pPr>
              <w:pStyle w:val="null3"/>
            </w:pPr>
            <w:r>
              <w:rPr>
                <w:rFonts w:ascii="仿宋_GB2312" w:hAnsi="仿宋_GB2312" w:cs="仿宋_GB2312" w:eastAsia="仿宋_GB2312"/>
              </w:rPr>
              <w:t>核心交换机配置端口聚合或</w:t>
            </w:r>
            <w:r>
              <w:rPr>
                <w:rFonts w:ascii="仿宋_GB2312" w:hAnsi="仿宋_GB2312" w:cs="仿宋_GB2312" w:eastAsia="仿宋_GB2312"/>
              </w:rPr>
              <w:t>VRRP（虚拟路由冗余协议），单条光缆中断不影响业务。</w:t>
            </w:r>
          </w:p>
          <w:p>
            <w:pPr>
              <w:pStyle w:val="null3"/>
            </w:pPr>
            <w:r>
              <w:rPr>
                <w:rFonts w:ascii="仿宋_GB2312" w:hAnsi="仿宋_GB2312" w:cs="仿宋_GB2312" w:eastAsia="仿宋_GB2312"/>
              </w:rPr>
              <w:t>（</w:t>
            </w:r>
            <w:r>
              <w:rPr>
                <w:rFonts w:ascii="仿宋_GB2312" w:hAnsi="仿宋_GB2312" w:cs="仿宋_GB2312" w:eastAsia="仿宋_GB2312"/>
              </w:rPr>
              <w:t>2）临时UPS保障：</w:t>
            </w:r>
          </w:p>
          <w:p>
            <w:pPr>
              <w:pStyle w:val="null3"/>
            </w:pPr>
            <w:r>
              <w:rPr>
                <w:rFonts w:ascii="仿宋_GB2312" w:hAnsi="仿宋_GB2312" w:cs="仿宋_GB2312" w:eastAsia="仿宋_GB2312"/>
              </w:rPr>
              <w:t>在临时机房部署独立</w:t>
            </w:r>
            <w:r>
              <w:rPr>
                <w:rFonts w:ascii="仿宋_GB2312" w:hAnsi="仿宋_GB2312" w:cs="仿宋_GB2312" w:eastAsia="仿宋_GB2312"/>
              </w:rPr>
              <w:t>UPS，确保市电波动时设备不宕机。</w:t>
            </w:r>
          </w:p>
          <w:p>
            <w:pPr>
              <w:pStyle w:val="null3"/>
            </w:pPr>
            <w:r>
              <w:rPr>
                <w:rFonts w:ascii="仿宋_GB2312" w:hAnsi="仿宋_GB2312" w:cs="仿宋_GB2312" w:eastAsia="仿宋_GB2312"/>
              </w:rPr>
              <w:t>每日巡检</w:t>
            </w:r>
            <w:r>
              <w:rPr>
                <w:rFonts w:ascii="仿宋_GB2312" w:hAnsi="仿宋_GB2312" w:cs="仿宋_GB2312" w:eastAsia="仿宋_GB2312"/>
              </w:rPr>
              <w:t>UPS负载及电池续航，准备移动发电机作为长效后备。</w:t>
            </w:r>
          </w:p>
          <w:p>
            <w:pPr>
              <w:pStyle w:val="null3"/>
            </w:pPr>
            <w:r>
              <w:rPr>
                <w:rFonts w:ascii="仿宋_GB2312" w:hAnsi="仿宋_GB2312" w:cs="仿宋_GB2312" w:eastAsia="仿宋_GB2312"/>
              </w:rPr>
              <w:t>（</w:t>
            </w:r>
            <w:r>
              <w:rPr>
                <w:rFonts w:ascii="仿宋_GB2312" w:hAnsi="仿宋_GB2312" w:cs="仿宋_GB2312" w:eastAsia="仿宋_GB2312"/>
              </w:rPr>
              <w:t>3）环境监控：</w:t>
            </w:r>
          </w:p>
          <w:p>
            <w:pPr>
              <w:pStyle w:val="null3"/>
            </w:pPr>
            <w:r>
              <w:rPr>
                <w:rFonts w:ascii="仿宋_GB2312" w:hAnsi="仿宋_GB2312" w:cs="仿宋_GB2312" w:eastAsia="仿宋_GB2312"/>
              </w:rPr>
              <w:t>在临时机房部署温湿度传感器及水浸传感器，接入动环监控或专人手机报警。</w:t>
            </w:r>
          </w:p>
          <w:p>
            <w:pPr>
              <w:pStyle w:val="null3"/>
            </w:pPr>
            <w:r>
              <w:rPr>
                <w:rFonts w:ascii="仿宋_GB2312" w:hAnsi="仿宋_GB2312" w:cs="仿宋_GB2312" w:eastAsia="仿宋_GB2312"/>
              </w:rPr>
              <w:t>若温度超过设定阈值（如</w:t>
            </w:r>
            <w:r>
              <w:rPr>
                <w:rFonts w:ascii="仿宋_GB2312" w:hAnsi="仿宋_GB2312" w:cs="仿宋_GB2312" w:eastAsia="仿宋_GB2312"/>
              </w:rPr>
              <w:t>30℃），立即启动备用风扇或进行物理通风。</w:t>
            </w:r>
          </w:p>
          <w:p>
            <w:pPr>
              <w:pStyle w:val="null3"/>
            </w:pPr>
            <w:r>
              <w:rPr>
                <w:rFonts w:ascii="仿宋_GB2312" w:hAnsi="仿宋_GB2312" w:cs="仿宋_GB2312" w:eastAsia="仿宋_GB2312"/>
              </w:rPr>
              <w:t>（</w:t>
            </w:r>
            <w:r>
              <w:rPr>
                <w:rFonts w:ascii="仿宋_GB2312" w:hAnsi="仿宋_GB2312" w:cs="仿宋_GB2312" w:eastAsia="仿宋_GB2312"/>
              </w:rPr>
              <w:t>4）人员值守：</w:t>
            </w:r>
          </w:p>
          <w:p>
            <w:pPr>
              <w:pStyle w:val="null3"/>
            </w:pPr>
            <w:r>
              <w:rPr>
                <w:rFonts w:ascii="仿宋_GB2312" w:hAnsi="仿宋_GB2312" w:cs="仿宋_GB2312" w:eastAsia="仿宋_GB2312"/>
              </w:rPr>
              <w:t>施工期间（特别是拆旧与装修阶段）安排</w:t>
            </w:r>
            <w:r>
              <w:rPr>
                <w:rFonts w:ascii="仿宋_GB2312" w:hAnsi="仿宋_GB2312" w:cs="仿宋_GB2312" w:eastAsia="仿宋_GB2312"/>
              </w:rPr>
              <w:t>7×24小时值班（技术+运维），随时应对突发情况。</w:t>
            </w:r>
          </w:p>
          <w:p>
            <w:pPr>
              <w:pStyle w:val="null3"/>
            </w:pPr>
            <w:r>
              <w:rPr>
                <w:rFonts w:ascii="仿宋_GB2312" w:hAnsi="仿宋_GB2312" w:cs="仿宋_GB2312" w:eastAsia="仿宋_GB2312"/>
              </w:rPr>
              <w:t>建立现场指挥部，配备对讲机、备用交换机、备用模块、预制线缆。</w:t>
            </w:r>
          </w:p>
          <w:p>
            <w:pPr>
              <w:pStyle w:val="null3"/>
            </w:pPr>
            <w:r>
              <w:rPr>
                <w:rFonts w:ascii="仿宋_GB2312" w:hAnsi="仿宋_GB2312" w:cs="仿宋_GB2312" w:eastAsia="仿宋_GB2312"/>
              </w:rPr>
              <w:t>1.2应急预案</w:t>
            </w:r>
          </w:p>
          <w:p>
            <w:pPr>
              <w:pStyle w:val="null3"/>
            </w:pPr>
            <w:r>
              <w:rPr>
                <w:rFonts w:ascii="仿宋_GB2312" w:hAnsi="仿宋_GB2312" w:cs="仿宋_GB2312" w:eastAsia="仿宋_GB2312"/>
              </w:rPr>
              <w:t>先建后拆：先在临时机房构建稳定运行环境。</w:t>
            </w:r>
          </w:p>
          <w:p>
            <w:pPr>
              <w:pStyle w:val="null3"/>
            </w:pPr>
            <w:r>
              <w:rPr>
                <w:rFonts w:ascii="仿宋_GB2312" w:hAnsi="仿宋_GB2312" w:cs="仿宋_GB2312" w:eastAsia="仿宋_GB2312"/>
              </w:rPr>
              <w:t>双窗口割接：仅占用两个周末凌晨窗口进行业务切换，最大限度减少对药监业务的影响。</w:t>
            </w:r>
          </w:p>
          <w:p>
            <w:pPr>
              <w:pStyle w:val="null3"/>
            </w:pPr>
            <w:r>
              <w:rPr>
                <w:rFonts w:ascii="仿宋_GB2312" w:hAnsi="仿宋_GB2312" w:cs="仿宋_GB2312" w:eastAsia="仿宋_GB2312"/>
              </w:rPr>
              <w:t>强化保障：通过双链路、双电路、备品备件及严格的人员值守，确保过渡期万无一失。</w:t>
            </w:r>
          </w:p>
          <w:p>
            <w:pPr>
              <w:pStyle w:val="null3"/>
            </w:pPr>
            <w:r>
              <w:rPr>
                <w:rFonts w:ascii="仿宋_GB2312" w:hAnsi="仿宋_GB2312" w:cs="仿宋_GB2312" w:eastAsia="仿宋_GB2312"/>
              </w:rPr>
              <w:t>在实施前，务必进行全流程演练，特别是网络配置的导入导出、数据库的备份恢复演练，确保割接窗口按计划执行。</w:t>
            </w:r>
          </w:p>
          <w:p>
            <w:pPr>
              <w:pStyle w:val="null3"/>
            </w:pPr>
            <w:r>
              <w:rPr>
                <w:rFonts w:ascii="仿宋_GB2312" w:hAnsi="仿宋_GB2312" w:cs="仿宋_GB2312" w:eastAsia="仿宋_GB2312"/>
              </w:rPr>
              <w:t>建设周期：</w:t>
            </w:r>
            <w:r>
              <w:rPr>
                <w:rFonts w:ascii="仿宋_GB2312" w:hAnsi="仿宋_GB2312" w:cs="仿宋_GB2312" w:eastAsia="仿宋_GB2312"/>
                <w:u w:val="single"/>
              </w:rPr>
              <w:t xml:space="preserve">  60 </w:t>
            </w:r>
            <w:r>
              <w:rPr>
                <w:rFonts w:ascii="仿宋_GB2312" w:hAnsi="仿宋_GB2312" w:cs="仿宋_GB2312" w:eastAsia="仿宋_GB2312"/>
              </w:rPr>
              <w:t>日历天。</w:t>
            </w:r>
          </w:p>
          <w:p>
            <w:pPr>
              <w:pStyle w:val="null3"/>
            </w:pPr>
            <w:r>
              <w:rPr>
                <w:rFonts w:ascii="仿宋_GB2312" w:hAnsi="仿宋_GB2312" w:cs="仿宋_GB2312" w:eastAsia="仿宋_GB2312"/>
              </w:rPr>
              <w:t>维护期：项目验收合格后</w:t>
            </w:r>
            <w:r>
              <w:rPr>
                <w:rFonts w:ascii="仿宋_GB2312" w:hAnsi="仿宋_GB2312" w:cs="仿宋_GB2312" w:eastAsia="仿宋_GB2312"/>
                <w:u w:val="single"/>
              </w:rPr>
              <w:t xml:space="preserve"> </w:t>
            </w:r>
            <w:r>
              <w:rPr>
                <w:rFonts w:ascii="仿宋_GB2312" w:hAnsi="仿宋_GB2312" w:cs="仿宋_GB2312" w:eastAsia="仿宋_GB2312"/>
                <w:u w:val="single"/>
              </w:rPr>
              <w:t>3</w:t>
            </w:r>
            <w:r>
              <w:rPr>
                <w:rFonts w:ascii="仿宋_GB2312" w:hAnsi="仿宋_GB2312" w:cs="仿宋_GB2312" w:eastAsia="仿宋_GB2312"/>
                <w:u w:val="single"/>
              </w:rPr>
              <w:t xml:space="preserve"> </w:t>
            </w:r>
            <w:r>
              <w:rPr>
                <w:rFonts w:ascii="仿宋_GB2312" w:hAnsi="仿宋_GB2312" w:cs="仿宋_GB2312" w:eastAsia="仿宋_GB2312"/>
              </w:rPr>
              <w:t>年</w:t>
            </w:r>
          </w:p>
          <w:p>
            <w:pPr>
              <w:pStyle w:val="null3"/>
              <w:jc w:val="both"/>
            </w:pPr>
            <w:r>
              <w:rPr>
                <w:rFonts w:ascii="仿宋_GB2312" w:hAnsi="仿宋_GB2312" w:cs="仿宋_GB2312" w:eastAsia="仿宋_GB2312"/>
                <w:sz w:val="21"/>
              </w:rPr>
              <w:t>六、服务地点：采购人指定地点。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建设周期：60 日历天；维护期：项目验收合格后 3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竞争性磋商文件、竞争性磋商响应文件、澄清表(函); 2、 本合同及附件文本(包括但不限于满意度调查表); 3、 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进度款，付款条件说明：首付款：合同签订生效且乙方向甲方提交等额正规发票后，达到付款条件起15个工作日内，支付合同总金额的60.0%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进度款，付款条件说明：尾款：服务期满，项目经甲方验收合格且乙方提交等额正规发票后，达到付款条件起15个工作日内，支付合同总金额的40.0%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1.双方应严格按照本合同履行义务，若未能履行义务而造成的损失，需承担违约责任。 2.在执行本合同中发生与本合同有关的争端，甲乙双方应通过友好协商解决，经协商未在30日内达成协议时，任一方可向甲方所在地有管辖权的人民法院起诉。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2.本项目专门面向中小企业采购（残疾人福利性单位、监狱企业视同小型、微型企业）。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4.供应商的报价明显低于其他通过符合性审查供应商报价的，由评标委员会按照《关于推动解决政府采购异常低价问题的通知》财库〔2026〕2号规定处理。 （1）政府采购评审中出现下列情形之一的，评审委员会应当启动异常低价投标（响应）审查程序：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5、本项目不组织供应商踏勘现场，供应商可自行踏勘，联系人：王伟，电话：029-62288091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供应商资质证书</w:t>
            </w:r>
          </w:p>
        </w:tc>
        <w:tc>
          <w:tcPr>
            <w:tcW w:type="dxa" w:w="3322"/>
          </w:tcPr>
          <w:p>
            <w:pPr>
              <w:pStyle w:val="null3"/>
            </w:pPr>
            <w:r>
              <w:rPr>
                <w:rFonts w:ascii="仿宋_GB2312" w:hAnsi="仿宋_GB2312" w:cs="仿宋_GB2312" w:eastAsia="仿宋_GB2312"/>
              </w:rPr>
              <w:t>供应商具备电子与智能化工程专业承包二级（或以上）资质，具有有效的安全生产许可证，供应商需在项目电子化交易系统中按要求上传相应证明文件并进行电子签章。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具备机电工程专业二级（或以上）注册建造师执业资格和有效的安全生产考核合格证书（B证），在本单位注册且未担任其他在施建设工程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提供法定代表人身份证明；法定代表人授权他人参加磋商的，须提供法定代表人授权委托书，被授权代表本单位证明：响应文件递交截止时间前连续近三个月（不含开标当月）供应商为其缴纳的养老保险缴纳证明。（法定代表人参加只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专门面向中小企业采购：本项目专门面向中小企业采购，仅限符合《政府采购促进中小企业发展管理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1）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响应文件递交截止时间后现场网站查询结果为准。 （2）供应商基本信息及拟派项目经理基本信息应在“陕西省住房和城乡建设厅-陕西省建筑市场监管与诚信信息发布平台”可查询，以响应文件递交截止时间后现场网站查询结果为准。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供应商的报价明显低于其他通过符合性审查供应商报价的，由评标委员会按照《关于推动解决政府采购异常低价问题的通知》财库〔2026〕2号规定处理。 （1）政府采购评审中出现下列情形之一的，评审委员会应当启动异常低价投标（响应）审查程序：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第一次磋商报价表.docx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相关资格证明资料.docx 方案响应部分.docx 政府采购供应商拒绝政府采购领域商业贿赂承诺书.docx 响应文件封面 第一次磋商报价表.docx 商务主要条款响应偏差表.docx 标的清单 其他资料.docx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相关资格证明资料.docx 方案响应部分.docx 政府采购供应商拒绝政府采购领域商业贿赂承诺书.docx 第一次磋商报价表.docx 商务主要条款响应偏差表.docx 标的清单 其他资料.docx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 符合文件要求</w:t>
            </w:r>
          </w:p>
        </w:tc>
        <w:tc>
          <w:tcPr>
            <w:tcW w:type="dxa" w:w="1661"/>
          </w:tcPr>
          <w:p>
            <w:pPr>
              <w:pStyle w:val="null3"/>
            </w:pPr>
            <w:r>
              <w:rPr>
                <w:rFonts w:ascii="仿宋_GB2312" w:hAnsi="仿宋_GB2312" w:cs="仿宋_GB2312" w:eastAsia="仿宋_GB2312"/>
              </w:rPr>
              <w:t>响应文件封面 第一次磋商报价表.docx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建设周期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方案响应部分.docx 第一次磋商报价表.docx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维护期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第一次磋商报价表.docx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商务主要条款响应偏差表.docx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内容至少包括①对本项目工作内容的理解及背景分析；②系统升级改造实现的功能；③性能分析；④发生故障的应急预案；⑤合同履行期内的保密制度等。以上内容专门针对本项目且符合本项目实际需求的得25分，每缺一项内容扣5分 , 若上述内容存在瑕疵，每出现一处瑕疵扣1分，扣完为止。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p>
            <w:pPr>
              <w:pStyle w:val="null3"/>
            </w:pPr>
            <w:r>
              <w:rPr>
                <w:rFonts w:ascii="仿宋_GB2312" w:hAnsi="仿宋_GB2312" w:cs="仿宋_GB2312" w:eastAsia="仿宋_GB2312"/>
              </w:rPr>
              <w:t>供应商认为有必要说明的其他事项（如有）.docx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项目实施进度计划内容至少包括①项目实施进度目标分析；②进度计划安排；③项目进度保障措施等。以上内容专门针对本项目且符合本项目实际需求的得3分，每缺一项内容扣1分 , 若上述内容存在瑕疵，每出现一处瑕疵扣0.5分，扣完为止。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服务保证措施内容至少包括①日常维护范围及巡检安排；②有完善的预警机制及监控手段；③故障响应时间、服务方式。以上内容专门针对本项目且符合本项目实际需求的得3分，每缺一项内容扣1分 , 若上述内容存在瑕疵，每出现一处瑕疵扣0.5分，扣完为止。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1、投标人具有ITSS信息技术服务运行维护标准符合型评估证书二级以上的证书得3分，不提供不得分。 2、投标人具有CCRC信息安全服务资质认证证书-运维服务证书三级及以上的证书得3分，没有不得分。 3、投标人具有ISO20000 信息技术服务管理体系认证证书、IS014001环境管理体系认证、ISOC27001信息安全管理体系认证、ISO45001职业健康安全管理体系认证的证书，每提供1份得1分，最高得4分，没有不得分。 备注：提供有效期内的认证证书复印件加盖公章，不提供不得分。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项目团队配置内容至少包括①团队组织人员配置明细；②团队人员管理制度；③配置人员学历证书及工作经验等。 团队组织人员配置明细、团队人员管理制度内容专门针对本项目且符合本项目实际需求的得3分，每缺一项扣1分；若上述单项内容存在瑕疵，每存在1处瑕疵扣0.5分，扣完为止。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项目团队人员证书</w:t>
            </w:r>
          </w:p>
        </w:tc>
        <w:tc>
          <w:tcPr>
            <w:tcW w:type="dxa" w:w="2492"/>
          </w:tcPr>
          <w:p>
            <w:pPr>
              <w:pStyle w:val="null3"/>
            </w:pPr>
            <w:r>
              <w:rPr>
                <w:rFonts w:ascii="仿宋_GB2312" w:hAnsi="仿宋_GB2312" w:cs="仿宋_GB2312" w:eastAsia="仿宋_GB2312"/>
              </w:rPr>
              <w:t>1、项目经理：同时具有信息系统项目管理师得4分，提供不全或不提供不得分。 2、网络工程师：网络工程师具备HCIE-Datacom或H3CIE认证证书或软考证书，每提供1个得1分，最高得2分，不提供不得分。 3、基础环境工程师：具备特种作业操作证书（低压或高压电工作业证）或数字能源认证证书，每提供1个得1分，最高得2分，不提供不得分。 4、安全工程师：具备CISP信息安全工程师认证证书，每提供1个得1分，最高得2分，不提供不得分。 5、服务工程师：具备ITSS服务经理认证证书，每提供1个得1分，最高得2分，不提供不得分。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内容至少包括①培训目标；②培训计划；③培训方式及内容；④培训质量保证措施（培训考核）等。以上内容专门针对本项目且符合本项目实际需求的得4分，每缺一项扣1分；若上述单项内容存在瑕疵，每存在1处瑕疵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供应商须具备本地化服务能力,提供承诺书得4分，不提供不得分。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供应商具有2023年1月1日至今（以合同签订时间为准）同类项目业绩，每提供1份得2分，最高得6分。 注：业绩以响应文件中的合同复印件加盖供应商公章为准。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详见附件：商务主要条款响应偏差表.docx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详见附件：供应商认为有必要说明的其他事项（如有）.docx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