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版本号：DQA-2026094-CS20260826001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16号学生公寓南侧运动场区域恢复工程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DQA-2026094-CS</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16号学生公寓南侧运动场区域恢复工程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DQA-2026094-CS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16号学生公寓南侧运动场区域恢复工程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铲除原有硅PU地面，破损混凝土修复，全场钢筋网片混凝土浇筑，硅PU地面施工，球场划线，围网制作安装，休息椅、羽毛球架采购安装，篮球架安装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采购包1（16号学生公寓南侧运动场区域恢复工程）：属于专门面向中小企业采购。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1、主体资格证明文件：提供营业执照。</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w:t>
      </w:r>
    </w:p>
    <w:p>
      <w:pPr>
        <w:pStyle w:val="null3"/>
      </w:pPr>
      <w:r>
        <w:rPr>
          <w:rFonts w:ascii="仿宋_GB2312" w:hAnsi="仿宋_GB2312" w:cs="仿宋_GB2312" w:eastAsia="仿宋_GB2312"/>
        </w:rPr>
        <w:t>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投标的，须提供法定代表人授权委托书，同时须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10、本项目不接受联合体投标，不允许分包：供应商应提供《非联合体不分包磋商声明》，视为独立响应，不分包。</w:t>
      </w:r>
    </w:p>
    <w:p>
      <w:pPr>
        <w:pStyle w:val="null3"/>
      </w:pPr>
      <w:r>
        <w:rPr>
          <w:rFonts w:ascii="仿宋_GB2312" w:hAnsi="仿宋_GB2312" w:cs="仿宋_GB2312" w:eastAsia="仿宋_GB2312"/>
        </w:rPr>
        <w:t>11、企业资质：供应商须具备建筑工程施工总承包三级及以上资质，以及合法有效的安全生产许可证。</w:t>
      </w:r>
    </w:p>
    <w:p>
      <w:pPr>
        <w:pStyle w:val="null3"/>
      </w:pPr>
      <w:r>
        <w:rPr>
          <w:rFonts w:ascii="仿宋_GB2312" w:hAnsi="仿宋_GB2312" w:cs="仿宋_GB2312" w:eastAsia="仿宋_GB2312"/>
        </w:rPr>
        <w:t>12、项目经理：供应商拟派项目经理具有建筑工程专业二级及以上注册建造师执业证书和有效的安全生产考核合格证书，供连续3个月及以上社保缴纳证明、劳动合同且未担任其他在建工程的注册建造师（提供无在建工程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采购包1：976,254.39元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休息椅”、“商品混凝土(C25)”</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银行账号：52880188000169346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 人如期履约完成且不存在其他任何违约责任，采购人无息由原缴费账户退还履约保证金全款。 3.若中标人未能按照合同约定履行，则采购人有权全额扣除履约保证金，并保留追究中标人违 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踏勘时间：2026-09-04 10:00:00</w:t>
            </w:r>
          </w:p>
          <w:p>
            <w:pPr>
              <w:pStyle w:val="null3"/>
              <w:ind w:firstLine="975"/>
            </w:pPr>
            <w:r>
              <w:rPr>
                <w:rFonts w:ascii="仿宋_GB2312" w:hAnsi="仿宋_GB2312" w:cs="仿宋_GB2312" w:eastAsia="仿宋_GB2312"/>
              </w:rPr>
              <w:t>踏勘地点：西安工业大学未央校区</w:t>
            </w:r>
          </w:p>
          <w:p>
            <w:pPr>
              <w:pStyle w:val="null3"/>
              <w:ind w:firstLine="975"/>
            </w:pPr>
            <w:r>
              <w:rPr>
                <w:rFonts w:ascii="仿宋_GB2312" w:hAnsi="仿宋_GB2312" w:cs="仿宋_GB2312" w:eastAsia="仿宋_GB2312"/>
              </w:rPr>
              <w:t>联系人：姚老师</w:t>
            </w:r>
          </w:p>
          <w:p>
            <w:pPr>
              <w:pStyle w:val="null3"/>
              <w:ind w:firstLine="975"/>
            </w:pPr>
            <w:r>
              <w:rPr>
                <w:rFonts w:ascii="仿宋_GB2312" w:hAnsi="仿宋_GB2312" w:cs="仿宋_GB2312" w:eastAsia="仿宋_GB2312"/>
              </w:rPr>
              <w:t>联系电话号码：18192641070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西安工业大学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使用该知识成果后，投标人需提供相关技术资料，并承诺提供无限期支持，采购人享有使用权（含采购人委托第三方在该项目后续升级的使用权）。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976,254.39</w:t>
      </w:r>
    </w:p>
    <w:p>
      <w:pPr>
        <w:pStyle w:val="null3"/>
      </w:pPr>
      <w:r>
        <w:rPr>
          <w:rFonts w:ascii="仿宋_GB2312" w:hAnsi="仿宋_GB2312" w:cs="仿宋_GB2312" w:eastAsia="仿宋_GB2312"/>
        </w:rPr>
        <w:t>采购包最高限价（元）: 976,254.39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16号学生公寓南侧运动场区域恢复工程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976,254.39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标的名称：16号学生公寓南侧运动场区域恢复工程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w:t>
            </w:r>
            <w:r>
              <w:rPr>
                <w:rFonts w:ascii="仿宋_GB2312" w:hAnsi="仿宋_GB2312" w:cs="仿宋_GB2312" w:eastAsia="仿宋_GB2312"/>
                <w:sz w:val="22"/>
              </w:rPr>
              <w:t>.</w:t>
            </w:r>
            <w:r>
              <w:rPr>
                <w:rFonts w:ascii="仿宋_GB2312" w:hAnsi="仿宋_GB2312" w:cs="仿宋_GB2312" w:eastAsia="仿宋_GB2312"/>
                <w:sz w:val="22"/>
              </w:rPr>
              <w:t>工程概况</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工程名称：西安工业大学</w:t>
            </w:r>
            <w:r>
              <w:rPr>
                <w:rFonts w:ascii="仿宋_GB2312" w:hAnsi="仿宋_GB2312" w:cs="仿宋_GB2312" w:eastAsia="仿宋_GB2312"/>
                <w:sz w:val="21"/>
              </w:rPr>
              <w:t>16#学生公寓南侧运动场区域恢复工程</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工程地址：</w:t>
            </w:r>
            <w:r>
              <w:rPr>
                <w:rFonts w:ascii="仿宋_GB2312" w:hAnsi="仿宋_GB2312" w:cs="仿宋_GB2312" w:eastAsia="仿宋_GB2312"/>
                <w:sz w:val="21"/>
              </w:rPr>
              <w:t>16#学生公寓南侧</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工程</w:t>
            </w:r>
            <w:r>
              <w:rPr>
                <w:rFonts w:ascii="仿宋_GB2312" w:hAnsi="仿宋_GB2312" w:cs="仿宋_GB2312" w:eastAsia="仿宋_GB2312"/>
                <w:sz w:val="21"/>
              </w:rPr>
              <w:t>内容</w:t>
            </w:r>
            <w:r>
              <w:rPr>
                <w:rFonts w:ascii="仿宋_GB2312" w:hAnsi="仿宋_GB2312" w:cs="仿宋_GB2312" w:eastAsia="仿宋_GB2312"/>
                <w:sz w:val="21"/>
              </w:rPr>
              <w:t>：总面积约</w:t>
            </w:r>
            <w:r>
              <w:rPr>
                <w:rFonts w:ascii="仿宋_GB2312" w:hAnsi="仿宋_GB2312" w:cs="仿宋_GB2312" w:eastAsia="仿宋_GB2312"/>
                <w:sz w:val="21"/>
              </w:rPr>
              <w:t>3760m²,规划建设6个羽毛球场地(南北向)和3个篮球场地，并沿周边设置4m高隔离围网。</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铲除清理原有硅</w:t>
            </w:r>
            <w:r>
              <w:rPr>
                <w:rFonts w:ascii="仿宋_GB2312" w:hAnsi="仿宋_GB2312" w:cs="仿宋_GB2312" w:eastAsia="仿宋_GB2312"/>
                <w:sz w:val="21"/>
              </w:rPr>
              <w:t>PU地面、</w:t>
            </w:r>
            <w:r>
              <w:rPr>
                <w:rFonts w:ascii="仿宋_GB2312" w:hAnsi="仿宋_GB2312" w:cs="仿宋_GB2312" w:eastAsia="仿宋_GB2312"/>
                <w:sz w:val="21"/>
              </w:rPr>
              <w:t>破损混凝土</w:t>
            </w:r>
            <w:r>
              <w:rPr>
                <w:rFonts w:ascii="仿宋_GB2312" w:hAnsi="仿宋_GB2312" w:cs="仿宋_GB2312" w:eastAsia="仿宋_GB2312"/>
                <w:sz w:val="21"/>
              </w:rPr>
              <w:t>清理，混凝土材料</w:t>
            </w:r>
            <w:r>
              <w:rPr>
                <w:rFonts w:ascii="仿宋_GB2312" w:hAnsi="仿宋_GB2312" w:cs="仿宋_GB2312" w:eastAsia="仿宋_GB2312"/>
                <w:sz w:val="21"/>
              </w:rPr>
              <w:t>修复</w:t>
            </w:r>
            <w:r>
              <w:rPr>
                <w:rFonts w:ascii="仿宋_GB2312" w:hAnsi="仿宋_GB2312" w:cs="仿宋_GB2312" w:eastAsia="仿宋_GB2312"/>
                <w:sz w:val="21"/>
              </w:rPr>
              <w:t>，混凝土面层打毛，清扫，建筑垃圾清理外运</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2）整个场地铺设100mm厚C25钢筋混凝土基层（内配φ6@200单层双向钢筋网片），打磨平整；</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防水底涂，两遍硅</w:t>
            </w:r>
            <w:r>
              <w:rPr>
                <w:rFonts w:ascii="仿宋_GB2312" w:hAnsi="仿宋_GB2312" w:cs="仿宋_GB2312" w:eastAsia="仿宋_GB2312"/>
                <w:sz w:val="21"/>
              </w:rPr>
              <w:t>PU弹性层，两遍硅PU面漆，总厚度</w:t>
            </w:r>
            <w:r>
              <w:rPr>
                <w:rFonts w:ascii="仿宋_GB2312" w:hAnsi="仿宋_GB2312" w:cs="仿宋_GB2312" w:eastAsia="仿宋_GB2312"/>
                <w:sz w:val="21"/>
              </w:rPr>
              <w:t xml:space="preserve">8mm </w:t>
            </w:r>
            <w:r>
              <w:rPr>
                <w:rFonts w:ascii="仿宋_GB2312" w:hAnsi="仿宋_GB2312" w:cs="仿宋_GB2312" w:eastAsia="仿宋_GB2312"/>
                <w:sz w:val="21"/>
              </w:rPr>
              <w:t>。</w:t>
            </w:r>
            <w:r>
              <w:rPr>
                <w:rFonts w:ascii="仿宋_GB2312" w:hAnsi="仿宋_GB2312" w:cs="仿宋_GB2312" w:eastAsia="仿宋_GB2312"/>
                <w:sz w:val="21"/>
              </w:rPr>
              <w:t>40mm/50mm宽白色热熔专用漆划线。硅PU颜色打样后由甲方确认后施工</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4）4m 高围网制作、安装</w:t>
            </w:r>
            <w:r>
              <w:rPr>
                <w:rFonts w:ascii="仿宋_GB2312" w:hAnsi="仿宋_GB2312" w:cs="仿宋_GB2312" w:eastAsia="仿宋_GB2312"/>
                <w:sz w:val="21"/>
              </w:rPr>
              <w:t>。门、框架、围网材质加工要求及性能要求，预埋、扣件连接及安装等方式详见图纸要求</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5）休息椅采购安装、移动式羽毛球架及网采购安装，现有篮球架翻新、运输及安装</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 xml:space="preserve">6）场地建筑垃圾清运、施工围挡等全部配套工作。  </w:t>
            </w:r>
          </w:p>
          <w:p>
            <w:pPr>
              <w:pStyle w:val="null3"/>
              <w:ind w:firstLine="420"/>
            </w:pPr>
            <w:r>
              <w:rPr>
                <w:rFonts w:ascii="仿宋_GB2312" w:hAnsi="仿宋_GB2312" w:cs="仿宋_GB2312" w:eastAsia="仿宋_GB2312"/>
                <w:sz w:val="21"/>
              </w:rPr>
              <w:t>4.工期：30天</w:t>
            </w:r>
          </w:p>
          <w:p>
            <w:pPr>
              <w:pStyle w:val="null3"/>
              <w:ind w:firstLine="420"/>
            </w:pPr>
            <w:r>
              <w:rPr>
                <w:rFonts w:ascii="仿宋_GB2312" w:hAnsi="仿宋_GB2312" w:cs="仿宋_GB2312" w:eastAsia="仿宋_GB2312"/>
                <w:sz w:val="21"/>
              </w:rPr>
              <w:t>5.质保期限：自验收合格后5年</w:t>
            </w:r>
          </w:p>
          <w:p>
            <w:pPr>
              <w:pStyle w:val="null3"/>
            </w:pPr>
            <w:r>
              <w:rPr>
                <w:rFonts w:ascii="仿宋_GB2312" w:hAnsi="仿宋_GB2312" w:cs="仿宋_GB2312" w:eastAsia="仿宋_GB2312"/>
                <w:sz w:val="22"/>
              </w:rPr>
              <w:t>二</w:t>
            </w:r>
            <w:r>
              <w:rPr>
                <w:rFonts w:ascii="仿宋_GB2312" w:hAnsi="仿宋_GB2312" w:cs="仿宋_GB2312" w:eastAsia="仿宋_GB2312"/>
                <w:sz w:val="22"/>
              </w:rPr>
              <w:t>.技术要求</w:t>
            </w:r>
          </w:p>
          <w:p>
            <w:pPr>
              <w:pStyle w:val="null3"/>
              <w:ind w:firstLine="420"/>
            </w:pPr>
            <w:r>
              <w:rPr>
                <w:rFonts w:ascii="仿宋_GB2312" w:hAnsi="仿宋_GB2312" w:cs="仿宋_GB2312" w:eastAsia="仿宋_GB2312"/>
                <w:sz w:val="21"/>
              </w:rPr>
              <w:t>供应商应在已标价工程量清单及响应文件中注明主要材料选用品牌、规格型号等，要求所有建筑材料采用环保型材料，阻燃、无毒、无害、无放射性。供应商需提供主要施工材料来源渠道合法的证明文件</w:t>
            </w:r>
            <w:r>
              <w:rPr>
                <w:rFonts w:ascii="仿宋_GB2312" w:hAnsi="仿宋_GB2312" w:cs="仿宋_GB2312" w:eastAsia="仿宋_GB2312"/>
                <w:sz w:val="21"/>
              </w:rPr>
              <w:t>(</w:t>
            </w:r>
            <w:r>
              <w:rPr>
                <w:rFonts w:ascii="仿宋_GB2312" w:hAnsi="仿宋_GB2312" w:cs="仿宋_GB2312" w:eastAsia="仿宋_GB2312"/>
                <w:sz w:val="21"/>
              </w:rPr>
              <w:t>包括但不限于销售协议、代理协议、原厂授权等</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 xml:space="preserve"> </w:t>
            </w:r>
            <w:r>
              <w:rPr>
                <w:rFonts w:ascii="仿宋_GB2312" w:hAnsi="仿宋_GB2312" w:cs="仿宋_GB2312" w:eastAsia="仿宋_GB2312"/>
                <w:sz w:val="21"/>
              </w:rPr>
              <w:t>原材料及成品性能符合《中小学合成材料面层运动场地》（</w:t>
            </w:r>
            <w:r>
              <w:rPr>
                <w:rFonts w:ascii="仿宋_GB2312" w:hAnsi="仿宋_GB2312" w:cs="仿宋_GB2312" w:eastAsia="仿宋_GB2312"/>
                <w:sz w:val="21"/>
              </w:rPr>
              <w:t>GB36246-2018）、《合成材料运动场地面层》（</w:t>
            </w:r>
            <w:r>
              <w:rPr>
                <w:rFonts w:ascii="仿宋_GB2312" w:hAnsi="仿宋_GB2312" w:cs="仿宋_GB2312" w:eastAsia="仿宋_GB2312"/>
                <w:sz w:val="21"/>
              </w:rPr>
              <w:t>GB/T14833-2020</w:t>
            </w:r>
            <w:r>
              <w:rPr>
                <w:rFonts w:ascii="仿宋_GB2312" w:hAnsi="仿宋_GB2312" w:cs="仿宋_GB2312" w:eastAsia="仿宋_GB2312"/>
                <w:sz w:val="21"/>
              </w:rPr>
              <w:t>）及设计文件要求，进场提供</w:t>
            </w:r>
            <w:r>
              <w:rPr>
                <w:rFonts w:ascii="仿宋_GB2312" w:hAnsi="仿宋_GB2312" w:cs="仿宋_GB2312" w:eastAsia="仿宋_GB2312"/>
                <w:sz w:val="21"/>
              </w:rPr>
              <w:t>CMA/CNAS检测报告，现场取样检测，竣工后第三方现场取样复检合格，满足要求；冲击吸收、垂直变形、阻燃等级、干湿态抗滑性能、耐候抗紫外线，层间无分成不起泡等物理性能满足球类场地指标。</w:t>
            </w:r>
          </w:p>
          <w:p>
            <w:pPr>
              <w:pStyle w:val="null3"/>
              <w:ind w:firstLine="420"/>
            </w:pPr>
            <w:r>
              <w:rPr>
                <w:rFonts w:ascii="仿宋_GB2312" w:hAnsi="仿宋_GB2312" w:cs="仿宋_GB2312" w:eastAsia="仿宋_GB2312"/>
                <w:sz w:val="21"/>
              </w:rPr>
              <w:t>所有建筑材料采用环保型，主要材料进场时（进场时检测材料）和完工后（完工后整体检测）由学校相关部门委托专业检测机构进行环保检测</w:t>
            </w:r>
            <w:r>
              <w:rPr>
                <w:rFonts w:ascii="仿宋_GB2312" w:hAnsi="仿宋_GB2312" w:cs="仿宋_GB2312" w:eastAsia="仿宋_GB2312"/>
                <w:sz w:val="21"/>
              </w:rPr>
              <w:t>(</w:t>
            </w:r>
            <w:r>
              <w:rPr>
                <w:rFonts w:ascii="仿宋_GB2312" w:hAnsi="仿宋_GB2312" w:cs="仿宋_GB2312" w:eastAsia="仿宋_GB2312"/>
                <w:sz w:val="21"/>
              </w:rPr>
              <w:t>费用由乙方承担，，包含在报价中</w:t>
            </w:r>
            <w:r>
              <w:rPr>
                <w:rFonts w:ascii="仿宋_GB2312" w:hAnsi="仿宋_GB2312" w:cs="仿宋_GB2312" w:eastAsia="仿宋_GB2312"/>
                <w:sz w:val="21"/>
              </w:rPr>
              <w:t>)</w:t>
            </w:r>
            <w:r>
              <w:rPr>
                <w:rFonts w:ascii="仿宋_GB2312" w:hAnsi="仿宋_GB2312" w:cs="仿宋_GB2312" w:eastAsia="仿宋_GB2312"/>
                <w:sz w:val="21"/>
              </w:rPr>
              <w:t>，因乙方施工不善或材料使用不当发生工程事故及人员伤害的，责任和由此而发生的各种费用由乙方全部承担。</w:t>
            </w:r>
          </w:p>
          <w:p>
            <w:pPr>
              <w:pStyle w:val="null3"/>
              <w:ind w:firstLine="420"/>
            </w:pPr>
            <w:r>
              <w:rPr>
                <w:rFonts w:ascii="仿宋_GB2312" w:hAnsi="仿宋_GB2312" w:cs="仿宋_GB2312" w:eastAsia="仿宋_GB2312"/>
                <w:sz w:val="21"/>
              </w:rPr>
              <w:t>休息椅、移动式羽毛球架需提供样品，甲方确认后进行采购。</w:t>
            </w:r>
          </w:p>
          <w:p>
            <w:pPr>
              <w:pStyle w:val="null3"/>
            </w:pPr>
            <w:r>
              <w:rPr>
                <w:rFonts w:ascii="仿宋_GB2312" w:hAnsi="仿宋_GB2312" w:cs="仿宋_GB2312" w:eastAsia="仿宋_GB2312"/>
                <w:sz w:val="21"/>
              </w:rPr>
              <w:t>三</w:t>
            </w:r>
            <w:r>
              <w:rPr>
                <w:rFonts w:ascii="仿宋_GB2312" w:hAnsi="仿宋_GB2312" w:cs="仿宋_GB2312" w:eastAsia="仿宋_GB2312"/>
                <w:sz w:val="21"/>
              </w:rPr>
              <w:t>.材料性能要求</w:t>
            </w:r>
          </w:p>
          <w:p>
            <w:pPr>
              <w:pStyle w:val="null3"/>
              <w:ind w:firstLine="420"/>
            </w:pPr>
            <w:r>
              <w:rPr>
                <w:rFonts w:ascii="仿宋_GB2312" w:hAnsi="仿宋_GB2312" w:cs="仿宋_GB2312" w:eastAsia="仿宋_GB2312"/>
                <w:sz w:val="21"/>
              </w:rPr>
              <w:t>1.球场面层具有多功能运动性能，如冲击吸收、垂直变形、抗滑值（干测、湿测）、拉伸强度、拉断伸长率、耐磨性、阻燃性能等符合</w:t>
            </w:r>
            <w:r>
              <w:rPr>
                <w:rFonts w:ascii="仿宋_GB2312" w:hAnsi="仿宋_GB2312" w:cs="仿宋_GB2312" w:eastAsia="仿宋_GB2312"/>
                <w:sz w:val="21"/>
              </w:rPr>
              <w:t>GB/T14833-2020</w:t>
            </w:r>
            <w:r>
              <w:rPr>
                <w:rFonts w:ascii="仿宋_GB2312" w:hAnsi="仿宋_GB2312" w:cs="仿宋_GB2312" w:eastAsia="仿宋_GB2312"/>
                <w:sz w:val="21"/>
              </w:rPr>
              <w:t>多功能运动场地面层性能要求及</w:t>
            </w:r>
            <w:r>
              <w:rPr>
                <w:rFonts w:ascii="仿宋_GB2312" w:hAnsi="仿宋_GB2312" w:cs="仿宋_GB2312" w:eastAsia="仿宋_GB2312"/>
                <w:sz w:val="21"/>
              </w:rPr>
              <w:t>GB36246-2018</w:t>
            </w:r>
            <w:r>
              <w:rPr>
                <w:rFonts w:ascii="仿宋_GB2312" w:hAnsi="仿宋_GB2312" w:cs="仿宋_GB2312" w:eastAsia="仿宋_GB2312"/>
                <w:sz w:val="21"/>
              </w:rPr>
              <w:t>标准检测。其他详见设计文件。</w:t>
            </w:r>
          </w:p>
          <w:p>
            <w:pPr>
              <w:pStyle w:val="null3"/>
              <w:ind w:firstLine="420"/>
            </w:pPr>
            <w:r>
              <w:rPr>
                <w:rFonts w:ascii="仿宋_GB2312" w:hAnsi="仿宋_GB2312" w:cs="仿宋_GB2312" w:eastAsia="仿宋_GB2312"/>
                <w:sz w:val="21"/>
              </w:rPr>
              <w:t>2.运动场休息椅：无靠背四人位，外形尺寸1800×445×420mm；座板为挤压铝合金型材，型材壁厚≥2.0mm，条板圆弧包边，板间预留排水缝隙；椅腿支架为压铸铝合金H型支架，一体压铸带加强筋，配置斜向加强支撑；全部铝合金构件做超耐候聚酯粉末静电喷涂，墨绿色；底部配置橡胶防滑脚垫；紧固件全部采用304不锈钢；模块化螺栓拼装，现场无焊接；可直接摆放或膨胀螺栓固定；产品性能符合QB/T2601‑2013《体育场馆公共座椅》相关要求；含全套配件、现场组装安装。</w:t>
            </w:r>
          </w:p>
          <w:p>
            <w:pPr>
              <w:pStyle w:val="null3"/>
              <w:ind w:firstLine="420"/>
            </w:pPr>
            <w:r>
              <w:rPr>
                <w:rFonts w:ascii="仿宋_GB2312" w:hAnsi="仿宋_GB2312" w:cs="仿宋_GB2312" w:eastAsia="仿宋_GB2312"/>
                <w:sz w:val="21"/>
              </w:rPr>
              <w:t>3.移动式羽毛球架及球网：所选产品符合BWF世界羽联认证要求，立柱高度1550mm，立柱Φ42mm圆钢管，壁厚≥2.5mm；配重移动底座，单只配重≥50kg，配置隐藏移动滚轮；带滑轮式紧网机构；整体除锈后静电粉末喷涂；焊缝牢固，边角钝化圆角处理；配套标准羽毛球球网，网孔15-20mm，网长≥6.1m；产品性能符合GB/T19851.13-2007《中小学体育器材和场地 第13部分：排球网柱、羽毛球网柱、网球网柱》、QB/T2758.2-2005《羽毛球网柱》；全套含网、配件，现场就位安装调试。</w:t>
            </w:r>
          </w:p>
          <w:p>
            <w:pPr>
              <w:pStyle w:val="null3"/>
            </w:pPr>
            <w:r>
              <w:rPr>
                <w:rFonts w:ascii="仿宋_GB2312" w:hAnsi="仿宋_GB2312" w:cs="仿宋_GB2312" w:eastAsia="仿宋_GB2312"/>
                <w:sz w:val="21"/>
              </w:rPr>
              <w:t>四</w:t>
            </w:r>
            <w:r>
              <w:rPr>
                <w:rFonts w:ascii="仿宋_GB2312" w:hAnsi="仿宋_GB2312" w:cs="仿宋_GB2312" w:eastAsia="仿宋_GB2312"/>
                <w:sz w:val="21"/>
              </w:rPr>
              <w:t>.产品来源与质量保证要求</w:t>
            </w:r>
          </w:p>
          <w:p>
            <w:pPr>
              <w:pStyle w:val="null3"/>
              <w:ind w:firstLine="420"/>
            </w:pPr>
            <w:r>
              <w:rPr>
                <w:rFonts w:ascii="仿宋_GB2312" w:hAnsi="仿宋_GB2312" w:cs="仿宋_GB2312" w:eastAsia="仿宋_GB2312"/>
                <w:sz w:val="21"/>
              </w:rPr>
              <w:t>1.产品来源</w:t>
            </w:r>
          </w:p>
          <w:p>
            <w:pPr>
              <w:pStyle w:val="null3"/>
              <w:ind w:firstLine="420"/>
            </w:pPr>
            <w:r>
              <w:rPr>
                <w:rFonts w:ascii="仿宋_GB2312" w:hAnsi="仿宋_GB2312" w:cs="仿宋_GB2312" w:eastAsia="仿宋_GB2312"/>
                <w:sz w:val="21"/>
              </w:rPr>
              <w:t>供应商提供主要施工材料来源渠道合法的证明文件</w:t>
            </w:r>
            <w:r>
              <w:rPr>
                <w:rFonts w:ascii="仿宋_GB2312" w:hAnsi="仿宋_GB2312" w:cs="仿宋_GB2312" w:eastAsia="仿宋_GB2312"/>
                <w:sz w:val="21"/>
              </w:rPr>
              <w:t>(包括但不限于销售协议、代理协议、原厂授权等</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质量保证措施</w:t>
            </w:r>
          </w:p>
          <w:p>
            <w:pPr>
              <w:pStyle w:val="null3"/>
              <w:ind w:firstLine="420"/>
            </w:pPr>
            <w:r>
              <w:rPr>
                <w:rFonts w:ascii="仿宋_GB2312" w:hAnsi="仿宋_GB2312" w:cs="仿宋_GB2312" w:eastAsia="仿宋_GB2312"/>
                <w:sz w:val="21"/>
              </w:rPr>
              <w:t>①</w:t>
            </w:r>
            <w:r>
              <w:rPr>
                <w:rFonts w:ascii="仿宋_GB2312" w:hAnsi="仿宋_GB2312" w:cs="仿宋_GB2312" w:eastAsia="仿宋_GB2312"/>
                <w:sz w:val="21"/>
              </w:rPr>
              <w:t>出厂检测：每批次提供原厂质量检测报告及合格证。</w:t>
            </w:r>
          </w:p>
          <w:p>
            <w:pPr>
              <w:pStyle w:val="null3"/>
              <w:ind w:firstLine="420"/>
            </w:pPr>
            <w:r>
              <w:rPr>
                <w:rFonts w:ascii="仿宋_GB2312" w:hAnsi="仿宋_GB2312" w:cs="仿宋_GB2312" w:eastAsia="仿宋_GB2312"/>
                <w:sz w:val="21"/>
              </w:rPr>
              <w:t>②</w:t>
            </w:r>
            <w:r>
              <w:rPr>
                <w:rFonts w:ascii="仿宋_GB2312" w:hAnsi="仿宋_GB2312" w:cs="仿宋_GB2312" w:eastAsia="仿宋_GB2312"/>
                <w:sz w:val="21"/>
              </w:rPr>
              <w:t>质量承诺：提供</w:t>
            </w:r>
            <w:r>
              <w:rPr>
                <w:rFonts w:ascii="仿宋_GB2312" w:hAnsi="仿宋_GB2312" w:cs="仿宋_GB2312" w:eastAsia="仿宋_GB2312"/>
                <w:sz w:val="21"/>
              </w:rPr>
              <w:t>5</w:t>
            </w:r>
            <w:r>
              <w:rPr>
                <w:rFonts w:ascii="仿宋_GB2312" w:hAnsi="仿宋_GB2312" w:cs="仿宋_GB2312" w:eastAsia="仿宋_GB2312"/>
                <w:sz w:val="21"/>
              </w:rPr>
              <w:t>年以上质量承诺，终身维护服务。</w:t>
            </w:r>
          </w:p>
          <w:p>
            <w:pPr>
              <w:pStyle w:val="null3"/>
              <w:ind w:firstLine="420"/>
            </w:pPr>
            <w:r>
              <w:rPr>
                <w:rFonts w:ascii="仿宋_GB2312" w:hAnsi="仿宋_GB2312" w:cs="仿宋_GB2312" w:eastAsia="仿宋_GB2312"/>
                <w:sz w:val="21"/>
              </w:rPr>
              <w:t>③</w:t>
            </w:r>
            <w:r>
              <w:rPr>
                <w:rFonts w:ascii="仿宋_GB2312" w:hAnsi="仿宋_GB2312" w:cs="仿宋_GB2312" w:eastAsia="仿宋_GB2312"/>
                <w:sz w:val="21"/>
              </w:rPr>
              <w:t>可追溯性：材料包装需标注合格证、生产批次、生产日期及生产厂家信息。</w:t>
            </w:r>
          </w:p>
          <w:p>
            <w:pPr>
              <w:pStyle w:val="null3"/>
            </w:pPr>
            <w:r>
              <w:rPr>
                <w:rFonts w:ascii="仿宋_GB2312" w:hAnsi="仿宋_GB2312" w:cs="仿宋_GB2312" w:eastAsia="仿宋_GB2312"/>
                <w:sz w:val="21"/>
              </w:rPr>
              <w:t>五</w:t>
            </w:r>
            <w:r>
              <w:rPr>
                <w:rFonts w:ascii="仿宋_GB2312" w:hAnsi="仿宋_GB2312" w:cs="仿宋_GB2312" w:eastAsia="仿宋_GB2312"/>
                <w:sz w:val="21"/>
              </w:rPr>
              <w:t>.主材进场检测与施工验收要求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进场检测</w:t>
            </w:r>
          </w:p>
          <w:p>
            <w:pPr>
              <w:pStyle w:val="null3"/>
              <w:ind w:firstLine="420"/>
            </w:pPr>
            <w:r>
              <w:rPr>
                <w:rFonts w:ascii="仿宋_GB2312" w:hAnsi="仿宋_GB2312" w:cs="仿宋_GB2312" w:eastAsia="仿宋_GB2312"/>
                <w:sz w:val="21"/>
              </w:rPr>
              <w:t>①</w:t>
            </w:r>
            <w:r>
              <w:rPr>
                <w:rFonts w:ascii="仿宋_GB2312" w:hAnsi="仿宋_GB2312" w:cs="仿宋_GB2312" w:eastAsia="仿宋_GB2312"/>
                <w:sz w:val="21"/>
              </w:rPr>
              <w:t>文件核验：检查产品合格证、环保认证、材料检测报告。</w:t>
            </w:r>
          </w:p>
          <w:p>
            <w:pPr>
              <w:pStyle w:val="null3"/>
              <w:ind w:firstLine="420"/>
            </w:pPr>
            <w:r>
              <w:rPr>
                <w:rFonts w:ascii="仿宋_GB2312" w:hAnsi="仿宋_GB2312" w:cs="仿宋_GB2312" w:eastAsia="仿宋_GB2312"/>
                <w:sz w:val="21"/>
              </w:rPr>
              <w:t>②</w:t>
            </w:r>
            <w:r>
              <w:rPr>
                <w:rFonts w:ascii="仿宋_GB2312" w:hAnsi="仿宋_GB2312" w:cs="仿宋_GB2312" w:eastAsia="仿宋_GB2312"/>
                <w:sz w:val="21"/>
              </w:rPr>
              <w:t>物理检测：随机抽取</w:t>
            </w:r>
            <w:r>
              <w:rPr>
                <w:rFonts w:ascii="仿宋_GB2312" w:hAnsi="仿宋_GB2312" w:cs="仿宋_GB2312" w:eastAsia="仿宋_GB2312"/>
                <w:sz w:val="21"/>
              </w:rPr>
              <w:t>3</w:t>
            </w:r>
            <w:r>
              <w:rPr>
                <w:rFonts w:ascii="仿宋_GB2312" w:hAnsi="仿宋_GB2312" w:cs="仿宋_GB2312" w:eastAsia="仿宋_GB2312"/>
                <w:sz w:val="21"/>
              </w:rPr>
              <w:t>组样品，委托第三方检测机构复检关键指标。</w:t>
            </w:r>
          </w:p>
          <w:p>
            <w:pPr>
              <w:pStyle w:val="null3"/>
              <w:ind w:firstLine="420"/>
            </w:pPr>
            <w:r>
              <w:rPr>
                <w:rFonts w:ascii="仿宋_GB2312" w:hAnsi="仿宋_GB2312" w:cs="仿宋_GB2312" w:eastAsia="仿宋_GB2312"/>
                <w:sz w:val="21"/>
              </w:rPr>
              <w:t>③</w:t>
            </w:r>
            <w:r>
              <w:rPr>
                <w:rFonts w:ascii="仿宋_GB2312" w:hAnsi="仿宋_GB2312" w:cs="仿宋_GB2312" w:eastAsia="仿宋_GB2312"/>
                <w:sz w:val="21"/>
              </w:rPr>
              <w:t>外观检查：观察材料有无结块、分层、变色等异常现象。</w:t>
            </w:r>
          </w:p>
          <w:p>
            <w:pPr>
              <w:pStyle w:val="null3"/>
              <w:ind w:firstLine="420"/>
            </w:pPr>
            <w:r>
              <w:rPr>
                <w:rFonts w:ascii="仿宋_GB2312" w:hAnsi="仿宋_GB2312" w:cs="仿宋_GB2312" w:eastAsia="仿宋_GB2312"/>
                <w:sz w:val="21"/>
              </w:rPr>
              <w:t>④</w:t>
            </w:r>
            <w:r>
              <w:rPr>
                <w:rFonts w:ascii="仿宋_GB2312" w:hAnsi="仿宋_GB2312" w:cs="仿宋_GB2312" w:eastAsia="仿宋_GB2312"/>
                <w:sz w:val="21"/>
              </w:rPr>
              <w:t>质量承诺：提供</w:t>
            </w:r>
            <w:r>
              <w:rPr>
                <w:rFonts w:ascii="仿宋_GB2312" w:hAnsi="仿宋_GB2312" w:cs="仿宋_GB2312" w:eastAsia="仿宋_GB2312"/>
                <w:sz w:val="21"/>
              </w:rPr>
              <w:t>5</w:t>
            </w:r>
            <w:r>
              <w:rPr>
                <w:rFonts w:ascii="仿宋_GB2312" w:hAnsi="仿宋_GB2312" w:cs="仿宋_GB2312" w:eastAsia="仿宋_GB2312"/>
                <w:sz w:val="21"/>
              </w:rPr>
              <w:t>年以上质量承诺，终身维护服务。</w:t>
            </w:r>
          </w:p>
          <w:p>
            <w:pPr>
              <w:pStyle w:val="null3"/>
              <w:ind w:firstLine="420"/>
            </w:pPr>
            <w:r>
              <w:rPr>
                <w:rFonts w:ascii="仿宋_GB2312" w:hAnsi="仿宋_GB2312" w:cs="仿宋_GB2312" w:eastAsia="仿宋_GB2312"/>
                <w:sz w:val="21"/>
              </w:rPr>
              <w:t>⑤</w:t>
            </w:r>
            <w:r>
              <w:rPr>
                <w:rFonts w:ascii="仿宋_GB2312" w:hAnsi="仿宋_GB2312" w:cs="仿宋_GB2312" w:eastAsia="仿宋_GB2312"/>
                <w:sz w:val="21"/>
              </w:rPr>
              <w:t>可追溯性：材料包装需标注合格证、生产批次、生产日期及生产厂家信息。</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施工过程管控</w:t>
            </w:r>
          </w:p>
          <w:p>
            <w:pPr>
              <w:pStyle w:val="null3"/>
              <w:ind w:firstLine="420"/>
            </w:pPr>
            <w:r>
              <w:rPr>
                <w:rFonts w:ascii="仿宋_GB2312" w:hAnsi="仿宋_GB2312" w:cs="仿宋_GB2312" w:eastAsia="仿宋_GB2312"/>
                <w:sz w:val="21"/>
              </w:rPr>
              <w:t>①</w:t>
            </w:r>
            <w:r>
              <w:rPr>
                <w:rFonts w:ascii="仿宋_GB2312" w:hAnsi="仿宋_GB2312" w:cs="仿宋_GB2312" w:eastAsia="仿宋_GB2312"/>
                <w:sz w:val="21"/>
              </w:rPr>
              <w:t>基层验收：基础密实度</w:t>
            </w:r>
            <w:r>
              <w:rPr>
                <w:rFonts w:ascii="仿宋_GB2312" w:hAnsi="仿宋_GB2312" w:cs="仿宋_GB2312" w:eastAsia="仿宋_GB2312"/>
                <w:sz w:val="21"/>
              </w:rPr>
              <w:t>≥95%</w:t>
            </w:r>
            <w:r>
              <w:rPr>
                <w:rFonts w:ascii="仿宋_GB2312" w:hAnsi="仿宋_GB2312" w:cs="仿宋_GB2312" w:eastAsia="仿宋_GB2312"/>
                <w:sz w:val="21"/>
              </w:rPr>
              <w:t>，平整度误差</w:t>
            </w:r>
            <w:r>
              <w:rPr>
                <w:rFonts w:ascii="仿宋_GB2312" w:hAnsi="仿宋_GB2312" w:cs="仿宋_GB2312" w:eastAsia="仿宋_GB2312"/>
                <w:sz w:val="21"/>
              </w:rPr>
              <w:t>≤3mm/3m</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②</w:t>
            </w:r>
            <w:r>
              <w:rPr>
                <w:rFonts w:ascii="仿宋_GB2312" w:hAnsi="仿宋_GB2312" w:cs="仿宋_GB2312" w:eastAsia="仿宋_GB2312"/>
                <w:sz w:val="21"/>
              </w:rPr>
              <w:t>工艺标准</w:t>
            </w:r>
          </w:p>
          <w:p>
            <w:pPr>
              <w:pStyle w:val="null3"/>
              <w:ind w:firstLine="420"/>
            </w:pPr>
            <w:r>
              <w:rPr>
                <w:rFonts w:ascii="仿宋_GB2312" w:hAnsi="仿宋_GB2312" w:cs="仿宋_GB2312" w:eastAsia="仿宋_GB2312"/>
                <w:sz w:val="21"/>
              </w:rPr>
              <w:t>防水底涂，两遍硅</w:t>
            </w:r>
            <w:r>
              <w:rPr>
                <w:rFonts w:ascii="仿宋_GB2312" w:hAnsi="仿宋_GB2312" w:cs="仿宋_GB2312" w:eastAsia="仿宋_GB2312"/>
                <w:sz w:val="21"/>
              </w:rPr>
              <w:t>PU弹性层，两编硅PU面漆，总厚度8mm 。40mm/50mm宽白色热熔专用漆划线</w:t>
            </w:r>
          </w:p>
          <w:p>
            <w:pPr>
              <w:pStyle w:val="null3"/>
              <w:ind w:firstLine="420"/>
            </w:pPr>
            <w:r>
              <w:rPr>
                <w:rFonts w:ascii="仿宋_GB2312" w:hAnsi="仿宋_GB2312" w:cs="仿宋_GB2312" w:eastAsia="仿宋_GB2312"/>
                <w:sz w:val="21"/>
              </w:rPr>
              <w:t>③</w:t>
            </w:r>
            <w:r>
              <w:rPr>
                <w:rFonts w:ascii="仿宋_GB2312" w:hAnsi="仿宋_GB2312" w:cs="仿宋_GB2312" w:eastAsia="仿宋_GB2312"/>
                <w:sz w:val="21"/>
              </w:rPr>
              <w:t>环境要求：施工温度</w:t>
            </w:r>
            <w:r>
              <w:rPr>
                <w:rFonts w:ascii="仿宋_GB2312" w:hAnsi="仿宋_GB2312" w:cs="仿宋_GB2312" w:eastAsia="仿宋_GB2312"/>
                <w:sz w:val="21"/>
              </w:rPr>
              <w:t>5-35℃</w:t>
            </w:r>
            <w:r>
              <w:rPr>
                <w:rFonts w:ascii="仿宋_GB2312" w:hAnsi="仿宋_GB2312" w:cs="仿宋_GB2312" w:eastAsia="仿宋_GB2312"/>
                <w:sz w:val="21"/>
              </w:rPr>
              <w:t>，湿度＜</w:t>
            </w:r>
            <w:r>
              <w:rPr>
                <w:rFonts w:ascii="仿宋_GB2312" w:hAnsi="仿宋_GB2312" w:cs="仿宋_GB2312" w:eastAsia="仿宋_GB2312"/>
                <w:sz w:val="21"/>
              </w:rPr>
              <w:t>85%</w:t>
            </w:r>
            <w:r>
              <w:rPr>
                <w:rFonts w:ascii="仿宋_GB2312" w:hAnsi="仿宋_GB2312" w:cs="仿宋_GB2312" w:eastAsia="仿宋_GB2312"/>
                <w:sz w:val="21"/>
              </w:rPr>
              <w:t>，雨天禁止施工。</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竣工验收</w:t>
            </w:r>
          </w:p>
          <w:p>
            <w:pPr>
              <w:pStyle w:val="null3"/>
              <w:ind w:firstLine="420"/>
            </w:pPr>
            <w:r>
              <w:rPr>
                <w:rFonts w:ascii="仿宋_GB2312" w:hAnsi="仿宋_GB2312" w:cs="仿宋_GB2312" w:eastAsia="仿宋_GB2312"/>
                <w:sz w:val="21"/>
              </w:rPr>
              <w:t>①</w:t>
            </w:r>
            <w:r>
              <w:rPr>
                <w:rFonts w:ascii="仿宋_GB2312" w:hAnsi="仿宋_GB2312" w:cs="仿宋_GB2312" w:eastAsia="仿宋_GB2312"/>
                <w:sz w:val="21"/>
              </w:rPr>
              <w:t>检测项目：厚度测量（</w:t>
            </w:r>
            <w:r>
              <w:rPr>
                <w:rFonts w:ascii="仿宋_GB2312" w:hAnsi="仿宋_GB2312" w:cs="仿宋_GB2312" w:eastAsia="仿宋_GB2312"/>
                <w:sz w:val="21"/>
              </w:rPr>
              <w:t>8±0.5mm</w:t>
            </w:r>
            <w:r>
              <w:rPr>
                <w:rFonts w:ascii="仿宋_GB2312" w:hAnsi="仿宋_GB2312" w:cs="仿宋_GB2312" w:eastAsia="仿宋_GB2312"/>
                <w:sz w:val="21"/>
              </w:rPr>
              <w:t>）、平整度、抗滑值、拉伸强度、环保指标。</w:t>
            </w:r>
          </w:p>
          <w:p>
            <w:pPr>
              <w:pStyle w:val="null3"/>
              <w:ind w:firstLine="420"/>
            </w:pPr>
            <w:r>
              <w:rPr>
                <w:rFonts w:ascii="仿宋_GB2312" w:hAnsi="仿宋_GB2312" w:cs="仿宋_GB2312" w:eastAsia="仿宋_GB2312"/>
                <w:sz w:val="21"/>
              </w:rPr>
              <w:t>②</w:t>
            </w:r>
            <w:r>
              <w:rPr>
                <w:rFonts w:ascii="仿宋_GB2312" w:hAnsi="仿宋_GB2312" w:cs="仿宋_GB2312" w:eastAsia="仿宋_GB2312"/>
                <w:sz w:val="21"/>
              </w:rPr>
              <w:t>验收文件：施工记录、材料检测报告、第三方检测机构出具的验收合格证明。</w:t>
            </w:r>
          </w:p>
          <w:p>
            <w:pPr>
              <w:pStyle w:val="null3"/>
            </w:pPr>
            <w:r>
              <w:rPr>
                <w:rFonts w:ascii="仿宋_GB2312" w:hAnsi="仿宋_GB2312" w:cs="仿宋_GB2312" w:eastAsia="仿宋_GB2312"/>
                <w:sz w:val="21"/>
              </w:rPr>
              <w:t>六</w:t>
            </w:r>
            <w:r>
              <w:rPr>
                <w:rFonts w:ascii="仿宋_GB2312" w:hAnsi="仿宋_GB2312" w:cs="仿宋_GB2312" w:eastAsia="仿宋_GB2312"/>
                <w:sz w:val="21"/>
              </w:rPr>
              <w:t>.工程施工应按国家现行标准和相应的行业技术规范执行，这些标准和技术规范应为合同签订日为止最新公布发行的标准和技术规范，包括但不限于国标G</w:t>
            </w:r>
            <w:r>
              <w:rPr>
                <w:rFonts w:ascii="仿宋_GB2312" w:hAnsi="仿宋_GB2312" w:cs="仿宋_GB2312" w:eastAsia="仿宋_GB2312"/>
                <w:sz w:val="21"/>
              </w:rPr>
              <w:t>B36246-2018</w:t>
            </w:r>
            <w:r>
              <w:rPr>
                <w:rFonts w:ascii="仿宋_GB2312" w:hAnsi="仿宋_GB2312" w:cs="仿宋_GB2312" w:eastAsia="仿宋_GB2312"/>
                <w:sz w:val="21"/>
              </w:rPr>
              <w:t>《中小学合成材料面层运动场地》、</w:t>
            </w:r>
            <w:r>
              <w:rPr>
                <w:rFonts w:ascii="仿宋_GB2312" w:hAnsi="仿宋_GB2312" w:cs="仿宋_GB2312" w:eastAsia="仿宋_GB2312"/>
                <w:sz w:val="21"/>
              </w:rPr>
              <w:t>GB/T14833-2020</w:t>
            </w:r>
            <w:r>
              <w:rPr>
                <w:rFonts w:ascii="仿宋_GB2312" w:hAnsi="仿宋_GB2312" w:cs="仿宋_GB2312" w:eastAsia="仿宋_GB2312"/>
                <w:sz w:val="21"/>
              </w:rPr>
              <w:t>《合成材料运动场地面层》及设计文件要求。休息椅产品性能符合</w:t>
            </w:r>
            <w:r>
              <w:rPr>
                <w:rFonts w:ascii="仿宋_GB2312" w:hAnsi="仿宋_GB2312" w:cs="仿宋_GB2312" w:eastAsia="仿宋_GB2312"/>
                <w:sz w:val="21"/>
              </w:rPr>
              <w:t>QB/T2601‑2013《体育场馆公共座椅》相关要求。移动式羽毛球架及球网符合BWF世界羽联认证要求、GB/T19851.13-2007《中小学体育器材和场地 第13部分：排球网柱、羽毛球网柱、网球网柱》及QB/T2758.2-2005《羽毛球网柱》要求。</w:t>
            </w:r>
          </w:p>
          <w:p>
            <w:pPr>
              <w:pStyle w:val="null3"/>
              <w:ind w:firstLine="420"/>
            </w:pPr>
            <w:r>
              <w:rPr>
                <w:rFonts w:ascii="仿宋_GB2312" w:hAnsi="仿宋_GB2312" w:cs="仿宋_GB2312" w:eastAsia="仿宋_GB2312"/>
                <w:sz w:val="21"/>
              </w:rPr>
              <w:t>工程质量须符合国家施工验收规范要求，达到合格标准。</w:t>
            </w:r>
          </w:p>
          <w:p>
            <w:pPr>
              <w:pStyle w:val="null3"/>
            </w:pPr>
            <w:r>
              <w:rPr>
                <w:rFonts w:ascii="仿宋_GB2312" w:hAnsi="仿宋_GB2312" w:cs="仿宋_GB2312" w:eastAsia="仿宋_GB2312"/>
                <w:sz w:val="21"/>
              </w:rPr>
              <w:t>七</w:t>
            </w:r>
            <w:r>
              <w:rPr>
                <w:rFonts w:ascii="仿宋_GB2312" w:hAnsi="仿宋_GB2312" w:cs="仿宋_GB2312" w:eastAsia="仿宋_GB2312"/>
                <w:sz w:val="21"/>
              </w:rPr>
              <w:t>.施工中，对不拆除的设施需进行有效保护，部分设施拆除、待恢复的按保护性拆除，其保护及恢复等相关费用计入施工工程。如因措施不到位，或保护不到位，造成的损失及恢复费用由施工单位承担。</w:t>
            </w:r>
          </w:p>
          <w:p>
            <w:pPr>
              <w:pStyle w:val="null3"/>
            </w:pPr>
            <w:r>
              <w:rPr>
                <w:rFonts w:ascii="仿宋_GB2312" w:hAnsi="仿宋_GB2312" w:cs="仿宋_GB2312" w:eastAsia="仿宋_GB2312"/>
                <w:sz w:val="21"/>
              </w:rPr>
              <w:t>八</w:t>
            </w:r>
            <w:r>
              <w:rPr>
                <w:rFonts w:ascii="仿宋_GB2312" w:hAnsi="仿宋_GB2312" w:cs="仿宋_GB2312" w:eastAsia="仿宋_GB2312"/>
                <w:sz w:val="21"/>
              </w:rPr>
              <w:t>.付款方式</w:t>
            </w:r>
          </w:p>
          <w:p>
            <w:pPr>
              <w:pStyle w:val="null3"/>
              <w:ind w:firstLine="420"/>
            </w:pPr>
            <w:r>
              <w:rPr>
                <w:rFonts w:ascii="仿宋_GB2312" w:hAnsi="仿宋_GB2312" w:cs="仿宋_GB2312" w:eastAsia="仿宋_GB2312"/>
                <w:sz w:val="21"/>
              </w:rPr>
              <w:t>1.成交供应商在本协议签订前5个工作日内，向采购人缴纳合同总价5%的履约保证金；</w:t>
            </w:r>
          </w:p>
          <w:p>
            <w:pPr>
              <w:pStyle w:val="null3"/>
              <w:ind w:firstLine="420"/>
            </w:pPr>
            <w:r>
              <w:rPr>
                <w:rFonts w:ascii="仿宋_GB2312" w:hAnsi="仿宋_GB2312" w:cs="仿宋_GB2312" w:eastAsia="仿宋_GB2312"/>
                <w:sz w:val="21"/>
              </w:rPr>
              <w:t>2.合同签订后，甲方向乙方支付合同总价的40%预付款，工程验收合格后付款时一次性扣回，预付款支付前乙方须提供项目等额预付款担保，预付款担保形式为向甲方缴纳合同总价的40%的作为预付款保证金；（该阶段支付仅面对中小企业供应商，如乙方不是中小企业请删除括号内容）；</w:t>
            </w:r>
          </w:p>
          <w:p>
            <w:pPr>
              <w:pStyle w:val="null3"/>
              <w:ind w:firstLine="420"/>
            </w:pPr>
            <w:r>
              <w:rPr>
                <w:rFonts w:ascii="仿宋_GB2312" w:hAnsi="仿宋_GB2312" w:cs="仿宋_GB2312" w:eastAsia="仿宋_GB2312"/>
                <w:sz w:val="21"/>
              </w:rPr>
              <w:t>3.工程验收合格后10日，采购人支付至合同总价的70％；</w:t>
            </w:r>
          </w:p>
          <w:p>
            <w:pPr>
              <w:pStyle w:val="null3"/>
              <w:ind w:firstLine="420"/>
            </w:pPr>
            <w:r>
              <w:rPr>
                <w:rFonts w:ascii="仿宋_GB2312" w:hAnsi="仿宋_GB2312" w:cs="仿宋_GB2312" w:eastAsia="仿宋_GB2312"/>
                <w:sz w:val="21"/>
              </w:rPr>
              <w:t>4.工程竣工验收合格后10日，由成交供应商书面递交工程完整资料报采购人开展审计，审计完成后六十日内，采购人支付至审计金额的100%；</w:t>
            </w:r>
          </w:p>
          <w:p>
            <w:pPr>
              <w:pStyle w:val="null3"/>
              <w:ind w:firstLine="420"/>
            </w:pPr>
            <w:r>
              <w:rPr>
                <w:rFonts w:ascii="仿宋_GB2312" w:hAnsi="仿宋_GB2312" w:cs="仿宋_GB2312" w:eastAsia="仿宋_GB2312"/>
                <w:sz w:val="21"/>
              </w:rPr>
              <w:t>5.合同如期履约完成且保修期届满，采购人扣除相关费用后，采购人免息原缴费账户退还履约保证金余额。</w:t>
            </w:r>
          </w:p>
          <w:p>
            <w:pPr>
              <w:pStyle w:val="null3"/>
              <w:ind w:firstLine="420"/>
            </w:pPr>
            <w:r>
              <w:rPr>
                <w:rFonts w:ascii="仿宋_GB2312" w:hAnsi="仿宋_GB2312" w:cs="仿宋_GB2312" w:eastAsia="仿宋_GB2312"/>
                <w:sz w:val="21"/>
              </w:rPr>
              <w:t>6.采购人应支付的一切款项及应承担的责任均包含在最终审计金额内，之外再无其他款项。</w:t>
            </w:r>
          </w:p>
          <w:p>
            <w:pPr>
              <w:pStyle w:val="null3"/>
              <w:ind w:firstLine="420"/>
            </w:pPr>
            <w:r>
              <w:rPr>
                <w:rFonts w:ascii="仿宋_GB2312" w:hAnsi="仿宋_GB2312" w:cs="仿宋_GB2312" w:eastAsia="仿宋_GB2312"/>
                <w:sz w:val="21"/>
              </w:rPr>
              <w:t>7.成交供应商应当在采购人支付每笔工程款之前向采购人开具等额合法有效且符合采购人要求的增值税发票，否则采购人有权拒绝支付工程款且不承担任何违约责任。</w:t>
            </w:r>
          </w:p>
          <w:p>
            <w:pPr>
              <w:pStyle w:val="null3"/>
              <w:ind w:firstLine="420"/>
            </w:pPr>
            <w:r>
              <w:rPr>
                <w:rFonts w:ascii="仿宋_GB2312" w:hAnsi="仿宋_GB2312" w:cs="仿宋_GB2312" w:eastAsia="仿宋_GB2312"/>
                <w:sz w:val="21"/>
              </w:rPr>
              <w:t>8.合同价款支付最终结算以采购人审定金额为准。审减率超过8%的，由成交供应商承担该工程全部审计费用;审减率低于8%(含)的，由采购人承担该工程全部审计费用。</w:t>
            </w:r>
          </w:p>
          <w:p>
            <w:pPr>
              <w:pStyle w:val="null3"/>
              <w:ind w:firstLine="420"/>
            </w:pPr>
            <w:r>
              <w:rPr>
                <w:rFonts w:ascii="仿宋_GB2312" w:hAnsi="仿宋_GB2312" w:cs="仿宋_GB2312" w:eastAsia="仿宋_GB2312"/>
                <w:sz w:val="21"/>
              </w:rPr>
              <w:t>9.本项目以采购人最终审计价格为准，供应商自行在施工过程中如产生隐蔽工程费用及施工所需增加相关费用，由供应商自行解决。供应商应在现场踏勘时论证设计方案的合理性、可行性等，如在施工过程中设计方案变更发生的一切费用由供应商承担。</w:t>
            </w:r>
          </w:p>
          <w:p>
            <w:pPr>
              <w:pStyle w:val="null3"/>
              <w:ind w:firstLine="420"/>
            </w:pPr>
            <w:r>
              <w:rPr>
                <w:rFonts w:ascii="仿宋_GB2312" w:hAnsi="仿宋_GB2312" w:cs="仿宋_GB2312" w:eastAsia="仿宋_GB2312"/>
                <w:sz w:val="21"/>
              </w:rPr>
              <w:t>10.本项目水电费在结算阶段统一核算计取，由审计处依据陕西省及学校相关管理规定，以项目审定工程造价为基数，按千分之六标准计算水电费，该笔费用单独列示在审计通知书中。乙方须遵照学校规定办理缴费，且须在甲方支付审计结算款项前足额付清全部水电费；乙方逾期未缴纳的，甲方有权直接从应付工程款或履约保证金中扣除等额水电费。</w:t>
            </w:r>
          </w:p>
          <w:p>
            <w:pPr>
              <w:pStyle w:val="null3"/>
            </w:pPr>
            <w:r>
              <w:rPr>
                <w:rFonts w:ascii="仿宋_GB2312" w:hAnsi="仿宋_GB2312" w:cs="仿宋_GB2312" w:eastAsia="仿宋_GB2312"/>
                <w:sz w:val="21"/>
              </w:rPr>
              <w:t>九</w:t>
            </w:r>
            <w:r>
              <w:rPr>
                <w:rFonts w:ascii="仿宋_GB2312" w:hAnsi="仿宋_GB2312" w:cs="仿宋_GB2312" w:eastAsia="仿宋_GB2312"/>
                <w:sz w:val="21"/>
              </w:rPr>
              <w:t>.质量要求：合格</w:t>
            </w:r>
          </w:p>
          <w:p>
            <w:pPr>
              <w:pStyle w:val="null3"/>
            </w:pPr>
            <w:r>
              <w:rPr>
                <w:rFonts w:ascii="仿宋_GB2312" w:hAnsi="仿宋_GB2312" w:cs="仿宋_GB2312" w:eastAsia="仿宋_GB2312"/>
                <w:sz w:val="21"/>
              </w:rPr>
              <w:t>十</w:t>
            </w:r>
            <w:r>
              <w:rPr>
                <w:rFonts w:ascii="仿宋_GB2312" w:hAnsi="仿宋_GB2312" w:cs="仿宋_GB2312" w:eastAsia="仿宋_GB2312"/>
                <w:sz w:val="21"/>
              </w:rPr>
              <w:t>.其他要求：</w:t>
            </w:r>
          </w:p>
          <w:p>
            <w:pPr>
              <w:pStyle w:val="null3"/>
              <w:ind w:firstLine="420"/>
            </w:pPr>
            <w:r>
              <w:rPr>
                <w:rFonts w:ascii="仿宋_GB2312" w:hAnsi="仿宋_GB2312" w:cs="仿宋_GB2312" w:eastAsia="仿宋_GB2312"/>
                <w:sz w:val="21"/>
              </w:rPr>
              <w:t>1.施工单位的食宿由施工方自行解决，应遵守国家和采购人的各项规定，及时至采购人保卫处办理入校相关手续，施工期间的所有安全问题及由此而发生的各种费用由施工单位全部负责和承担。</w:t>
            </w:r>
          </w:p>
          <w:p>
            <w:pPr>
              <w:pStyle w:val="null3"/>
              <w:ind w:firstLine="420"/>
            </w:pPr>
            <w:r>
              <w:rPr>
                <w:rFonts w:ascii="仿宋_GB2312" w:hAnsi="仿宋_GB2312" w:cs="仿宋_GB2312" w:eastAsia="仿宋_GB2312"/>
                <w:sz w:val="21"/>
              </w:rPr>
              <w:t>2.严格按照原设计图纸进行施工，不得私自变更；如因采购人要求和现场情况需要变更签证，需严格按照采购人签证变更管理办法相关程序申报；</w:t>
            </w:r>
          </w:p>
          <w:p>
            <w:pPr>
              <w:pStyle w:val="null3"/>
              <w:ind w:firstLine="420"/>
            </w:pPr>
            <w:r>
              <w:rPr>
                <w:rFonts w:ascii="仿宋_GB2312" w:hAnsi="仿宋_GB2312" w:cs="仿宋_GB2312" w:eastAsia="仿宋_GB2312"/>
                <w:sz w:val="21"/>
              </w:rPr>
              <w:t>3.施工单位必须按照采购人要求，严格按照工期要求保质保量完成工程；若延误工期，每逾期一日乙方暂定合同总价的【5‰】支付违约金。逾期15日，甲方有权单方解除本合同，合同解除后，乙方应返还甲方全部已付款项且甲方不再向乙方支付任何款项，乙方还应向甲方支付暂定合同总价30%违约金，并向甲方赔偿因此产生的全部损失。</w:t>
            </w:r>
          </w:p>
          <w:p>
            <w:pPr>
              <w:pStyle w:val="null3"/>
              <w:ind w:firstLine="420"/>
            </w:pPr>
            <w:r>
              <w:rPr>
                <w:rFonts w:ascii="仿宋_GB2312" w:hAnsi="仿宋_GB2312" w:cs="仿宋_GB2312" w:eastAsia="仿宋_GB2312"/>
                <w:sz w:val="21"/>
              </w:rPr>
              <w:t>4.施工前，成交供应商应向采购人提交项目人员安排、进度计划表、安全措施、材料采购计划等（与响应文件一致），如有变动，应做书面说明并经采购人认可。</w:t>
            </w:r>
          </w:p>
          <w:p>
            <w:pPr>
              <w:pStyle w:val="null3"/>
              <w:ind w:firstLine="420"/>
            </w:pPr>
            <w:r>
              <w:rPr>
                <w:rFonts w:ascii="仿宋_GB2312" w:hAnsi="仿宋_GB2312" w:cs="仿宋_GB2312" w:eastAsia="仿宋_GB2312"/>
                <w:sz w:val="21"/>
              </w:rPr>
              <w:t>5.施工过程中，施工单位必须严格按照磋商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w:t>
            </w:r>
          </w:p>
          <w:p>
            <w:pPr>
              <w:pStyle w:val="null3"/>
              <w:ind w:firstLine="420"/>
            </w:pPr>
            <w:r>
              <w:rPr>
                <w:rFonts w:ascii="仿宋_GB2312" w:hAnsi="仿宋_GB2312" w:cs="仿宋_GB2312" w:eastAsia="仿宋_GB2312"/>
                <w:sz w:val="21"/>
              </w:rPr>
              <w:t>6.成交供应商须严格落实安全协议书相关条款和提交的安全措施，如设置施工安全标志、施工人员佩戴安全防护用品、定期组织安全教育培训等。</w:t>
            </w:r>
          </w:p>
          <w:p>
            <w:pPr>
              <w:pStyle w:val="null3"/>
            </w:pPr>
            <w:r>
              <w:rPr>
                <w:rFonts w:ascii="仿宋_GB2312" w:hAnsi="仿宋_GB2312" w:cs="仿宋_GB2312" w:eastAsia="仿宋_GB2312"/>
                <w:sz w:val="21"/>
              </w:rPr>
              <w:t>7.施工前施工单位要在施工区域设置围挡，张贴施工告示，明确工期、负责人及联系方式等，工程材料应集中堆放；施工时严格采取措施控制好扬尘、噪音；施工中产生的建筑垃圾应装袋后及时清理。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应按国家现行标准和相应的行业技术规范执行，这些标准和技术规范应为合同签订日为止最新公布发行的标准和技术规范，包括但不限于国标GB36246-2018《中小学合成材料面层运动场地》、GB/T14833-2020《合成材料运动场地面层》及设计文件要求。工程质量须符合国家施工验收规范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供应商需要在线提交所有通过电子化交易平台实施的政府采购项目的响应文件，同时，线下提交纸质响应文件贰份；若电子响应文件与纸质响应文件不一致的，以电子响应文件为准；响应文件装订成册密封（经编标工具生成的文件直接打印，在书脊处标明项目名称、供应商名称（机打或手写均可），逐页标注连续页码），在封口处加盖供应商公章；纸质响应文件递交截止时间与线上开评标时间一致；纸质响应文件可邮寄递交，应于递交响应文件截止时间前邮寄到代理机构（地点：西安市高新区丈八一路1号汇鑫中心D座2206陕西德勤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投标的，须提供法定代表人授权委托书，同时须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供应商应提供《非联合体不分包磋商声明》，视为独立响应，不分包。</w:t>
            </w:r>
          </w:p>
        </w:tc>
        <w:tc>
          <w:tcPr>
            <w:tcW w:type="dxa" w:w="1661"/>
          </w:tcPr>
          <w:p>
            <w:pPr>
              <w:pStyle w:val="null3"/>
            </w:pPr>
            <w:r>
              <w:rPr>
                <w:rFonts w:ascii="仿宋_GB2312" w:hAnsi="仿宋_GB2312" w:cs="仿宋_GB2312" w:eastAsia="仿宋_GB2312"/>
              </w:rPr>
              <w:t>非联合体不分包磋商声明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供应商须具备建筑工程施工总承包三级及以上资质，以及合法有效的安全生产许可证。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执业证书和有效的安全生产考核合格证书，供连续3个月及以上社保缴纳证明、劳动合同且未担任其他在建工程的注册建造师（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保证金汇款声明函 技术服务合同条款及其他商务要求应答表 供应商应提交的相关资格证明材料 控股管理关系 法定代表人授权书 响应文件封面 非联合体不分包磋商声明 近三年无重大违法、违纪书面声明 报价函 标的清单 响应函 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（1）响应报价符合唯一性要求： （2）响应报价填写符合要求；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保证金汇款声明函 中小企业声明函 技术服务合同条款及其他商务要求应答表 供应商应提交的相关资格证明材料 控股管理关系 法定代表人授权书 强制优先采购产品承诺函 响应文件封面 非联合体不分包磋商声明 近三年无重大违法、违纪书面声明 施工组织方案 项目管理机构组成表 残疾人福利性单位声明函 报价函 标的清单 供应商类似项目业绩一览表 响应函 书面声明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施工组织方案</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（1）每项评审内容完整无缺陷得4分；未提供得0分；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施工组织方案</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（1）每项评审内容完整无缺陷得4分；未提供得0分；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（1）每项评审内容完整无缺陷得2.5分；未提供得0分；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施工组织方案</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（一）评审内容： ①人员配置、岗位职责及分工； ②人员学历、专业背景、技术能力、从业经验及相关证明材料。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提供近三年（2023年8月至今）项目负责人相关业绩（硅PU运动场），每具有一项业绩得2.5分，最多得5分，未提供不得分。（提供具有明确标注项目负责人的合同扫描件，以签订时间为准）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供应商近三年（2023年8月至今）供应商相关业绩（硅PU运动场），每具有1项类似业绩得2分，最多得10分，未提供得0分。（提供合同扫描件，以合同签订时间为准）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满足磋商文件要求且最后报价最低的价格为磋商基准价得30分； 其他供应商的价格分按下列公式计算： 磋商报价得分=(磋商基准价／最终磋商报价)×30%×100。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详见附件：施工组织方案</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详见附件：西安工业大学工程协议书.docx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