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版本号：ZBZB-2026-291020260605002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学习贯彻档案工作重要批示精神成果展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ZBZB-2026-2910</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学习贯彻档案工作重要批示精神成果展</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ZBZB-2026-2910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学习贯彻档案工作重要批示精神成果展</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学习贯彻档案工作重要批示精神成果展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采购包1（学习贯彻档案工作重要批示精神成果展）：属于专门面向中小企业采购。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供应商需在项目电子化交易系统中按要求上传相应证明文件并进行电子签章。</w:t>
      </w:r>
    </w:p>
    <w:p>
      <w:pPr>
        <w:pStyle w:val="null3"/>
      </w:pPr>
      <w:r>
        <w:rPr>
          <w:rFonts w:ascii="仿宋_GB2312" w:hAnsi="仿宋_GB2312" w:cs="仿宋_GB2312" w:eastAsia="仿宋_GB2312"/>
        </w:rPr>
        <w:t>3、财务状况报告：提供2024或2025年度财务审计报告（至少包括常规和三表一注，成立时间至提交磋商响应文件截止时间不足一年的可提供成立后任意时段的资产负债表），或其开标前六个月内基本存款账户开户银行出具的资信证明；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10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pPr>
        <w:pStyle w:val="null3"/>
      </w:pPr>
      <w:r>
        <w:rPr>
          <w:rFonts w:ascii="仿宋_GB2312" w:hAnsi="仿宋_GB2312" w:cs="仿宋_GB2312" w:eastAsia="仿宋_GB2312"/>
        </w:rPr>
        <w:t>5、税收缴纳证明：提供2025年10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7、承诺函：提供具有履行合同所必需的设备和专业技术能力的承诺书； 供应商需在项目电子化交易系统中按要求上传相应证明文件并进行电子签章。</w:t>
      </w:r>
    </w:p>
    <w:p>
      <w:pPr>
        <w:pStyle w:val="null3"/>
      </w:pPr>
      <w:r>
        <w:rPr>
          <w:rFonts w:ascii="仿宋_GB2312" w:hAnsi="仿宋_GB2312" w:cs="仿宋_GB2312" w:eastAsia="仿宋_GB2312"/>
        </w:rPr>
        <w:t>8、特殊资质：供应商具备建筑装修装饰工程专业承包二级以上（含二级）资质，具备有效的安全生产许可证；供应商需在项目电子化交易系统中按要求上传相应证明文件并进行电子签章。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银行账号：30205380002097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启动前，乙方先转入甲方指定账户合同总价的5%作为履约保证金，项目结束且验收合格后，半年内无异议，乙方可提出书面申请，甲方全额无息退回履约保证金。若乙方违反合同约定，甲方有权从履约保证金中直接予以扣除违约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发改价格【2011】534号文规定，经协商由成交供应商向采购代理机构支付招标代理服务费（包含“招标代理费、会务费（如有）”），如本项目各包服务费不足伍仟元则供应商按伍仟元支付服务费。 缴交渠道： 开户名称：陕西正邦招标有限责任公司 开户银行：平安银行西安分行营业部/平安银行西安分行 银行账号： 30205380002097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踏勘时间：2026-06-08 09:00:00</w:t>
            </w:r>
          </w:p>
          <w:p>
            <w:pPr>
              <w:pStyle w:val="null3"/>
              <w:ind w:firstLine="975"/>
            </w:pPr>
            <w:r>
              <w:rPr>
                <w:rFonts w:ascii="仿宋_GB2312" w:hAnsi="仿宋_GB2312" w:cs="仿宋_GB2312" w:eastAsia="仿宋_GB2312"/>
              </w:rPr>
              <w:t>踏勘地点：西安市长安区子午大道与学府大街十字东北角南门</w:t>
            </w:r>
          </w:p>
          <w:p>
            <w:pPr>
              <w:pStyle w:val="null3"/>
              <w:ind w:firstLine="975"/>
            </w:pPr>
            <w:r>
              <w:rPr>
                <w:rFonts w:ascii="仿宋_GB2312" w:hAnsi="仿宋_GB2312" w:cs="仿宋_GB2312" w:eastAsia="仿宋_GB2312"/>
              </w:rPr>
              <w:t>联系人：许老师</w:t>
            </w:r>
          </w:p>
          <w:p>
            <w:pPr>
              <w:pStyle w:val="null3"/>
              <w:ind w:firstLine="975"/>
            </w:pPr>
            <w:r>
              <w:rPr>
                <w:rFonts w:ascii="仿宋_GB2312" w:hAnsi="仿宋_GB2312" w:cs="仿宋_GB2312" w:eastAsia="仿宋_GB2312"/>
              </w:rPr>
              <w:t>联系电话号码：029-89230868</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联系电话：029-85578186转827</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学习贯彻档案工作重要批示精神成果展</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标的名称：学习贯彻档案工作重要批示精神成果展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left="570"/>
              <w:jc w:val="left"/>
            </w:pPr>
            <w:r>
              <w:rPr>
                <w:rFonts w:ascii="仿宋_GB2312" w:hAnsi="仿宋_GB2312" w:cs="仿宋_GB2312" w:eastAsia="仿宋_GB2312"/>
                <w:sz w:val="20"/>
                <w:b/>
              </w:rPr>
              <w:t>一、采购内容</w:t>
            </w:r>
          </w:p>
          <w:tbl>
            <w:tblPr>
              <w:tblInd w:type="dxa" w:w="90"/>
              <w:tblBorders>
                <w:top w:val="none" w:color="000000" w:sz="4"/>
                <w:left w:val="none" w:color="000000" w:sz="4"/>
                <w:bottom w:val="none" w:color="000000" w:sz="4"/>
                <w:right w:val="none" w:color="000000" w:sz="4"/>
                <w:insideH w:val="none"/>
                <w:insideV w:val="none"/>
              </w:tblBorders>
            </w:tblPr>
            <w:tblGrid>
              <w:gridCol w:w="146"/>
              <w:gridCol w:w="582"/>
              <w:gridCol w:w="223"/>
              <w:gridCol w:w="402"/>
              <w:gridCol w:w="511"/>
              <w:gridCol w:w="239"/>
              <w:gridCol w:w="146"/>
              <w:gridCol w:w="293"/>
            </w:tblGrid>
            <w:tr>
              <w:tc>
                <w:tcPr>
                  <w:tcW w:type="dxa" w:w="2542"/>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类别</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详细</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p>
              </w:tc>
              <w:tc>
                <w:tcPr>
                  <w:tcW w:type="dxa" w:w="3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color w:val="000000"/>
                    </w:rPr>
                    <w:t>数量／单位</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展厅展陈策划及</w:t>
                  </w:r>
                  <w:r>
                    <w:br/>
                  </w:r>
                  <w:r>
                    <w:rPr>
                      <w:rFonts w:ascii="仿宋_GB2312" w:hAnsi="仿宋_GB2312" w:cs="仿宋_GB2312" w:eastAsia="仿宋_GB2312"/>
                      <w:sz w:val="20"/>
                      <w:color w:val="000000"/>
                    </w:rPr>
                    <w:t>展陈效果图设计</w:t>
                  </w:r>
                </w:p>
              </w:tc>
              <w:tc>
                <w:tcPr>
                  <w:tcW w:type="dxa" w:w="2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设计策划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展厅内所有文字内容策划、梳理、二次编辑、整合、修改、审核等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730</w:t>
                  </w:r>
                </w:p>
              </w:tc>
              <w:tc>
                <w:tcPr>
                  <w:tcW w:type="dxa" w:w="1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82"/>
                  <w:vMerge/>
                  <w:tcBorders>
                    <w:top w:val="none" w:color="000000" w:sz="4"/>
                    <w:left w:val="none" w:color="000000" w:sz="4"/>
                    <w:bottom w:val="single" w:color="000000" w:sz="4"/>
                    <w:right w:val="single" w:color="000000" w:sz="4"/>
                  </w:tcBorders>
                </w:tcPr>
                <w:p/>
              </w:tc>
              <w:tc>
                <w:tcPr>
                  <w:tcW w:type="dxa" w:w="223"/>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整体平面布局设计、</w:t>
                  </w:r>
                  <w:r>
                    <w:rPr>
                      <w:rFonts w:ascii="仿宋_GB2312" w:hAnsi="仿宋_GB2312" w:cs="仿宋_GB2312" w:eastAsia="仿宋_GB2312"/>
                      <w:sz w:val="20"/>
                      <w:color w:val="000000"/>
                    </w:rPr>
                    <w:t>3D效果图设计、施工图设计出图、上机文件设计出图、灯光、可移动展板设计方案等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vMerge/>
                  <w:tcBorders>
                    <w:top w:val="none" w:color="000000" w:sz="4"/>
                    <w:left w:val="none" w:color="000000" w:sz="4"/>
                    <w:bottom w:val="single" w:color="000000" w:sz="4"/>
                    <w:right w:val="single" w:color="000000" w:sz="4"/>
                  </w:tcBorders>
                </w:tcPr>
                <w:p/>
              </w:tc>
              <w:tc>
                <w:tcPr>
                  <w:tcW w:type="dxa" w:w="146"/>
                  <w:vMerge/>
                  <w:tcBorders>
                    <w:top w:val="none" w:color="000000" w:sz="4"/>
                    <w:left w:val="none" w:color="000000" w:sz="4"/>
                    <w:bottom w:val="single" w:color="000000" w:sz="4"/>
                    <w:right w:val="single" w:color="000000" w:sz="4"/>
                  </w:tcBorders>
                </w:tcP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82"/>
                  <w:vMerge/>
                  <w:tcBorders>
                    <w:top w:val="none" w:color="000000" w:sz="4"/>
                    <w:left w:val="none" w:color="000000" w:sz="4"/>
                    <w:bottom w:val="single" w:color="000000" w:sz="4"/>
                    <w:right w:val="single" w:color="000000" w:sz="4"/>
                  </w:tcBorders>
                </w:tcPr>
                <w:p/>
              </w:tc>
              <w:tc>
                <w:tcPr>
                  <w:tcW w:type="dxa" w:w="223"/>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字体设计、墙面内容排版设计、图片高清修复、视频剪辑设计、优化、电视、广告机播放内容设计等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vMerge/>
                  <w:tcBorders>
                    <w:top w:val="none" w:color="000000" w:sz="4"/>
                    <w:left w:val="none" w:color="000000" w:sz="4"/>
                    <w:bottom w:val="single" w:color="000000" w:sz="4"/>
                    <w:right w:val="single" w:color="000000" w:sz="4"/>
                  </w:tcBorders>
                </w:tcPr>
                <w:p/>
              </w:tc>
              <w:tc>
                <w:tcPr>
                  <w:tcW w:type="dxa" w:w="146"/>
                  <w:vMerge/>
                  <w:tcBorders>
                    <w:top w:val="none" w:color="000000" w:sz="4"/>
                    <w:left w:val="none" w:color="000000" w:sz="4"/>
                    <w:bottom w:val="single" w:color="000000" w:sz="4"/>
                    <w:right w:val="single" w:color="000000" w:sz="4"/>
                  </w:tcBorders>
                </w:tcP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施工图绘制</w:t>
                  </w:r>
                </w:p>
              </w:tc>
              <w:tc>
                <w:tcPr>
                  <w:tcW w:type="dxa" w:w="2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装饰装修深化设计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装饰装修深化设计</w:t>
                  </w:r>
                  <w:r>
                    <w:rPr>
                      <w:rFonts w:ascii="仿宋_GB2312" w:hAnsi="仿宋_GB2312" w:cs="仿宋_GB2312" w:eastAsia="仿宋_GB2312"/>
                      <w:sz w:val="20"/>
                      <w:color w:val="000000"/>
                    </w:rPr>
                    <w:t>(包含平面施工文件）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vMerge/>
                  <w:tcBorders>
                    <w:top w:val="none" w:color="000000" w:sz="4"/>
                    <w:left w:val="none" w:color="000000" w:sz="4"/>
                    <w:bottom w:val="single" w:color="000000" w:sz="4"/>
                    <w:right w:val="single" w:color="000000" w:sz="4"/>
                  </w:tcBorders>
                </w:tcPr>
                <w:p/>
              </w:tc>
              <w:tc>
                <w:tcPr>
                  <w:tcW w:type="dxa" w:w="146"/>
                  <w:vMerge/>
                  <w:tcBorders>
                    <w:top w:val="none" w:color="000000" w:sz="4"/>
                    <w:left w:val="none" w:color="000000" w:sz="4"/>
                    <w:bottom w:val="single" w:color="000000" w:sz="4"/>
                    <w:right w:val="single" w:color="000000" w:sz="4"/>
                  </w:tcBorders>
                </w:tcP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82"/>
                  <w:vMerge/>
                  <w:tcBorders>
                    <w:top w:val="none" w:color="000000" w:sz="4"/>
                    <w:left w:val="none" w:color="000000" w:sz="4"/>
                    <w:bottom w:val="single" w:color="000000" w:sz="4"/>
                    <w:right w:val="single" w:color="000000" w:sz="4"/>
                  </w:tcBorders>
                </w:tcPr>
                <w:p/>
              </w:tc>
              <w:tc>
                <w:tcPr>
                  <w:tcW w:type="dxa" w:w="223"/>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强弱电深化设计（包含可移动展板电路）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vMerge/>
                  <w:tcBorders>
                    <w:top w:val="none" w:color="000000" w:sz="4"/>
                    <w:left w:val="none" w:color="000000" w:sz="4"/>
                    <w:bottom w:val="single" w:color="000000" w:sz="4"/>
                    <w:right w:val="single" w:color="000000" w:sz="4"/>
                  </w:tcBorders>
                </w:tcPr>
                <w:p/>
              </w:tc>
              <w:tc>
                <w:tcPr>
                  <w:tcW w:type="dxa" w:w="146"/>
                  <w:vMerge/>
                  <w:tcBorders>
                    <w:top w:val="none" w:color="000000" w:sz="4"/>
                    <w:left w:val="none" w:color="000000" w:sz="4"/>
                    <w:bottom w:val="single" w:color="000000" w:sz="4"/>
                    <w:right w:val="single" w:color="000000" w:sz="4"/>
                  </w:tcBorders>
                </w:tcP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拆除及基础工作</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吊顶及墙面拆除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原有局部吊顶、灯具、大门拆除</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墙面基层处理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墙面找平、修补坑洞、打磨、刷基膜</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金属踢脚线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7cm 铝合金，定制色、切割、安装、打胶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金属收边条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切割、安装、打胶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墙面隔墙搭建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75轻钢龙骨隔墙、阻燃板基层、石膏板、2遍腻子、找平、打磨、刷基膜</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可移动墙面搭建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木龙骨、阻燃板、浮雕宣绒壁布、万向轮</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LED大屏结构墙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木工基础造型墙、背架</w:t>
                  </w:r>
                  <w:r>
                    <w:rPr>
                      <w:rFonts w:ascii="仿宋_GB2312" w:hAnsi="仿宋_GB2312" w:cs="仿宋_GB2312" w:eastAsia="仿宋_GB2312"/>
                      <w:sz w:val="20"/>
                      <w:color w:val="000000"/>
                    </w:rPr>
                    <w:t>3*6矩管、石膏板、腻子找平、浮雕宣绒壁布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墙面装饰</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木工基础造型墙、</w:t>
                  </w:r>
                  <w:r>
                    <w:rPr>
                      <w:rFonts w:ascii="仿宋_GB2312" w:hAnsi="仿宋_GB2312" w:cs="仿宋_GB2312" w:eastAsia="仿宋_GB2312"/>
                      <w:sz w:val="20"/>
                      <w:color w:val="000000"/>
                    </w:rPr>
                    <w:t>3mm浮雕宣绒壁布、1cm亚克力字烤体（一级标题）、8mm亚克力立体烤漆字（二级标题）、讲话内容1.5cm精工不锈钢立体字10cm或以上约210字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省委工作展示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木工基础造型墙</w:t>
                  </w:r>
                  <w:r>
                    <w:rPr>
                      <w:rFonts w:ascii="仿宋_GB2312" w:hAnsi="仿宋_GB2312" w:cs="仿宋_GB2312" w:eastAsia="仿宋_GB2312"/>
                      <w:sz w:val="20"/>
                      <w:color w:val="000000"/>
                    </w:rPr>
                    <w:t>+3mm浮雕宣绒壁布+1cm亚克力字烤体（一级标题）+8mm亚克力立体烤漆字（二级标题）+磁吸照片墙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档案局馆展示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1.2mm木工基础造型墙+3mm浮雕宣绒壁布+1cm亚克力字烤体（一级标题）+8mm亚克力立体烤漆字（二级标题）+磁吸照片墙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地区特色展示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1.2cm木工基础造型+3mm浮雕宣绒壁布+1cm亚克力字烤体（一级标题）+8mm亚克力立体烤漆字（二级标题）+磁吸照片墙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机关展示区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1.2cm木工基础造型+3mm浮雕宣绒壁布+1cm亚克力字烤体（一级标题）+8mm亚克力立体烤漆字（二级标题）+磁吸照片墙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高校展示区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1.2cm木工基础造型+3mm浮雕宣绒壁布+1cm亚克力字烤体（一级标题）+8mm亚克力立体烤漆字（二级标题）+磁吸照片墙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企业展示区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1.2cm木工基础造型+3mm浮雕宣绒壁布+1cm亚克力字烤体（一级标题）+8mm亚克力立体烤漆字（二级标题）+磁吸照片墙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LED大屏结构墙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浮雕宣绒壁布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5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机电照明</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强电</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配电线路设计改造、箱柜、开关等及系统调试</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弱电</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综合布线、监控、网络系统、音响等扩声系统布线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桥架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钢制桥架、</w:t>
                  </w:r>
                  <w:r>
                    <w:rPr>
                      <w:rFonts w:ascii="仿宋_GB2312" w:hAnsi="仿宋_GB2312" w:cs="仿宋_GB2312" w:eastAsia="仿宋_GB2312"/>
                      <w:sz w:val="20"/>
                      <w:color w:val="000000"/>
                    </w:rPr>
                    <w:t>10*10cm、镀锌钢板厚度不小于85μm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电线、灯线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²铜线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大屏线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r>
                    <w:rPr>
                      <w:rFonts w:ascii="仿宋_GB2312" w:hAnsi="仿宋_GB2312" w:cs="仿宋_GB2312" w:eastAsia="仿宋_GB2312"/>
                      <w:sz w:val="20"/>
                      <w:color w:val="000000"/>
                    </w:rPr>
                    <w:t>²</w:t>
                  </w:r>
                  <w:r>
                    <w:rPr>
                      <w:rFonts w:ascii="仿宋_GB2312" w:hAnsi="仿宋_GB2312" w:cs="仿宋_GB2312" w:eastAsia="仿宋_GB2312"/>
                      <w:sz w:val="20"/>
                      <w:color w:val="000000"/>
                    </w:rPr>
                    <w:t>铜线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SC穿线钢管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插座</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品牌国标五孔插座</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电类施工辅料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网络点位</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超六类网线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582"/>
                  <w:vMerge/>
                  <w:tcBorders>
                    <w:top w:val="none" w:color="000000" w:sz="4"/>
                    <w:left w:val="none" w:color="000000" w:sz="4"/>
                    <w:bottom w:val="single" w:color="000000" w:sz="4"/>
                    <w:right w:val="single" w:color="000000" w:sz="4"/>
                  </w:tcBorders>
                </w:tcPr>
                <w:p/>
              </w:tc>
              <w:tc>
                <w:tcPr>
                  <w:tcW w:type="dxa" w:w="2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照明及光源</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1m轨道灯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582"/>
                  <w:vMerge/>
                  <w:tcBorders>
                    <w:top w:val="none" w:color="000000" w:sz="4"/>
                    <w:left w:val="none" w:color="000000" w:sz="4"/>
                    <w:bottom w:val="single" w:color="000000" w:sz="4"/>
                    <w:right w:val="single" w:color="000000" w:sz="4"/>
                  </w:tcBorders>
                </w:tcPr>
                <w:p/>
              </w:tc>
              <w:tc>
                <w:tcPr>
                  <w:tcW w:type="dxa" w:w="223"/>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展厅专用防眩射灯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582"/>
                  <w:vMerge/>
                  <w:tcBorders>
                    <w:top w:val="none" w:color="000000" w:sz="4"/>
                    <w:left w:val="none" w:color="000000" w:sz="4"/>
                    <w:bottom w:val="single" w:color="000000" w:sz="4"/>
                    <w:right w:val="single" w:color="000000" w:sz="4"/>
                  </w:tcBorders>
                </w:tcPr>
                <w:p/>
              </w:tc>
              <w:tc>
                <w:tcPr>
                  <w:tcW w:type="dxa" w:w="223"/>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LED节能灯带</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5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多媒体工程安装及调试</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LED大屏</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室内高清全彩</w:t>
                  </w:r>
                  <w:r>
                    <w:rPr>
                      <w:rFonts w:ascii="仿宋_GB2312" w:hAnsi="仿宋_GB2312" w:cs="仿宋_GB2312" w:eastAsia="仿宋_GB2312"/>
                      <w:sz w:val="20"/>
                      <w:color w:val="000000"/>
                    </w:rPr>
                    <w:t>P1.53LED显示屏</w:t>
                  </w:r>
                  <w:r>
                    <w:br/>
                  </w:r>
                  <w:r>
                    <w:rPr>
                      <w:rFonts w:ascii="仿宋_GB2312" w:hAnsi="仿宋_GB2312" w:cs="仿宋_GB2312" w:eastAsia="仿宋_GB2312"/>
                      <w:sz w:val="20"/>
                      <w:color w:val="000000"/>
                    </w:rPr>
                    <w:t>像素间距（</w:t>
                  </w:r>
                  <w:r>
                    <w:rPr>
                      <w:rFonts w:ascii="仿宋_GB2312" w:hAnsi="仿宋_GB2312" w:cs="仿宋_GB2312" w:eastAsia="仿宋_GB2312"/>
                      <w:sz w:val="20"/>
                      <w:color w:val="000000"/>
                    </w:rPr>
                    <w:t>mm） 1.5、模组分辨率（W×H） 209*104</w:t>
                  </w:r>
                  <w:r>
                    <w:br/>
                  </w:r>
                  <w:r>
                    <w:rPr>
                      <w:rFonts w:ascii="仿宋_GB2312" w:hAnsi="仿宋_GB2312" w:cs="仿宋_GB2312" w:eastAsia="仿宋_GB2312"/>
                      <w:sz w:val="20"/>
                      <w:color w:val="000000"/>
                    </w:rPr>
                    <w:t>模组尺寸（</w:t>
                  </w:r>
                  <w:r>
                    <w:rPr>
                      <w:rFonts w:ascii="仿宋_GB2312" w:hAnsi="仿宋_GB2312" w:cs="仿宋_GB2312" w:eastAsia="仿宋_GB2312"/>
                      <w:sz w:val="20"/>
                      <w:color w:val="000000"/>
                    </w:rPr>
                    <w:t>mm） 320（W）×160（H）</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7.36*2.56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配套设备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电源盒、接收卡、发送卡、处理器、控制主机、机柜、电脑等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展厅智能控制系统</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负责大屏、音响等控制，展厅智能控制系统搭建及设备、</w:t>
                  </w:r>
                  <w:r>
                    <w:rPr>
                      <w:rFonts w:ascii="仿宋_GB2312" w:hAnsi="仿宋_GB2312" w:cs="仿宋_GB2312" w:eastAsia="仿宋_GB2312"/>
                      <w:sz w:val="20"/>
                      <w:color w:val="000000"/>
                    </w:rPr>
                    <w:t>ipad、系统制作等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电视机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55寸数字电视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触摸屏</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55寸触控一体机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广告机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32寸超薄极窄边框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设备安装及调试</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所有屏显文件文件导入、现场调试、测试等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582"/>
                  <w:vMerge/>
                  <w:tcBorders>
                    <w:top w:val="none" w:color="000000" w:sz="4"/>
                    <w:left w:val="none" w:color="000000" w:sz="4"/>
                    <w:bottom w:val="single" w:color="000000" w:sz="4"/>
                    <w:right w:val="single" w:color="000000" w:sz="4"/>
                  </w:tcBorders>
                </w:tcPr>
                <w:p/>
              </w:tc>
              <w:tc>
                <w:tcPr>
                  <w:tcW w:type="dxa" w:w="2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音响设备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满足</w:t>
                  </w:r>
                  <w:r>
                    <w:rPr>
                      <w:rFonts w:ascii="仿宋_GB2312" w:hAnsi="仿宋_GB2312" w:cs="仿宋_GB2312" w:eastAsia="仿宋_GB2312"/>
                      <w:sz w:val="20"/>
                      <w:color w:val="000000"/>
                    </w:rPr>
                    <w:t>730m</w:t>
                  </w:r>
                  <w:r>
                    <w:rPr>
                      <w:rFonts w:ascii="仿宋_GB2312" w:hAnsi="仿宋_GB2312" w:cs="仿宋_GB2312" w:eastAsia="仿宋_GB2312"/>
                      <w:sz w:val="20"/>
                      <w:color w:val="000000"/>
                    </w:rPr>
                    <w:t>²空间</w:t>
                  </w:r>
                  <w:r>
                    <w:rPr>
                      <w:rFonts w:ascii="仿宋_GB2312" w:hAnsi="仿宋_GB2312" w:cs="仿宋_GB2312" w:eastAsia="仿宋_GB2312"/>
                      <w:sz w:val="20"/>
                      <w:color w:val="000000"/>
                    </w:rPr>
                    <w:t>公共广播</w:t>
                  </w:r>
                  <w:r>
                    <w:rPr>
                      <w:rFonts w:ascii="仿宋_GB2312" w:hAnsi="仿宋_GB2312" w:cs="仿宋_GB2312" w:eastAsia="仿宋_GB2312"/>
                      <w:sz w:val="20"/>
                      <w:color w:val="000000"/>
                    </w:rPr>
                    <w:t>、背景音乐播放、定点播放、吸顶音像设备设计及施工</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582"/>
                  <w:vMerge/>
                  <w:tcBorders>
                    <w:top w:val="none" w:color="000000" w:sz="4"/>
                    <w:left w:val="none" w:color="000000" w:sz="4"/>
                    <w:bottom w:val="single" w:color="000000" w:sz="4"/>
                    <w:right w:val="single" w:color="000000" w:sz="4"/>
                  </w:tcBorders>
                </w:tcPr>
                <w:p/>
              </w:tc>
              <w:tc>
                <w:tcPr>
                  <w:tcW w:type="dxa" w:w="223"/>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音乐编辑及系统调试、安装等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5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展陈道具</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可移动书柜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实木多层木质柜体</w:t>
                  </w:r>
                  <w:r>
                    <w:rPr>
                      <w:rFonts w:ascii="仿宋_GB2312" w:hAnsi="仿宋_GB2312" w:cs="仿宋_GB2312" w:eastAsia="仿宋_GB2312"/>
                      <w:sz w:val="20"/>
                      <w:color w:val="000000"/>
                    </w:rPr>
                    <w:t>+带柜门+万向轮</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1.4*2.2m</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玻璃展柜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木质烤漆展柜</w:t>
                  </w:r>
                  <w:r>
                    <w:rPr>
                      <w:rFonts w:ascii="仿宋_GB2312" w:hAnsi="仿宋_GB2312" w:cs="仿宋_GB2312" w:eastAsia="仿宋_GB2312"/>
                      <w:sz w:val="20"/>
                      <w:color w:val="000000"/>
                    </w:rPr>
                    <w:t>+玻璃罩</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1.2*0.8*0.6m</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玻璃展柜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金属斜面玻璃展柜</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1*0.4*0.3m</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陈列柜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防尘液压玻璃柜，钢化玻璃、金属烤漆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1*0.5*0.9m</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可移动座椅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木质烤漆座椅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2*0.5*0.5m</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5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措施及其他</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现场保护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现场成品、地面保护</w:t>
                  </w:r>
                  <w:r>
                    <w:rPr>
                      <w:rFonts w:ascii="仿宋_GB2312" w:hAnsi="仿宋_GB2312" w:cs="仿宋_GB2312" w:eastAsia="仿宋_GB2312"/>
                      <w:sz w:val="20"/>
                      <w:color w:val="000000"/>
                    </w:rPr>
                    <w:t>+专业保洁二次粗保洁、一次精保洁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现场放样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针对设计图</w:t>
                  </w:r>
                  <w:r>
                    <w:rPr>
                      <w:rFonts w:ascii="仿宋_GB2312" w:hAnsi="仿宋_GB2312" w:cs="仿宋_GB2312" w:eastAsia="仿宋_GB2312"/>
                      <w:sz w:val="20"/>
                      <w:color w:val="000000"/>
                    </w:rPr>
                    <w:t>1:1尺寸喷绘布现场放样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²</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垃圾清运</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全场垃圾清理及外运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保险</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团体商业意外险</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人工费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包含</w:t>
                  </w:r>
                  <w:r>
                    <w:rPr>
                      <w:rFonts w:ascii="仿宋_GB2312" w:hAnsi="仿宋_GB2312" w:cs="仿宋_GB2312" w:eastAsia="仿宋_GB2312"/>
                      <w:sz w:val="20"/>
                      <w:color w:val="000000"/>
                    </w:rPr>
                    <w:t>24小时不间断施工10日以上现场施工</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运输及安装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材料运输、人工搬运、现场安装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施工辅料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包含现场脚手架搭建、耗材、五金</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82"/>
                  <w:vMerge/>
                  <w:tcBorders>
                    <w:top w:val="non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现场管理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0"/>
                <w:b/>
              </w:rPr>
              <w:t>二</w:t>
            </w:r>
            <w:r>
              <w:rPr>
                <w:rFonts w:ascii="仿宋_GB2312" w:hAnsi="仿宋_GB2312" w:cs="仿宋_GB2312" w:eastAsia="仿宋_GB2312"/>
                <w:sz w:val="20"/>
                <w:b/>
              </w:rPr>
              <w:t>、商务要求</w:t>
            </w:r>
          </w:p>
          <w:p>
            <w:pPr>
              <w:pStyle w:val="null3"/>
              <w:jc w:val="both"/>
            </w:pPr>
            <w:r>
              <w:rPr>
                <w:rFonts w:ascii="仿宋_GB2312" w:hAnsi="仿宋_GB2312" w:cs="仿宋_GB2312" w:eastAsia="仿宋_GB2312"/>
                <w:sz w:val="20"/>
              </w:rPr>
              <w:t>1.付款方式及条件</w:t>
            </w:r>
          </w:p>
          <w:p>
            <w:pPr>
              <w:pStyle w:val="null3"/>
              <w:jc w:val="both"/>
            </w:pPr>
            <w:r>
              <w:rPr>
                <w:rFonts w:ascii="仿宋_GB2312" w:hAnsi="仿宋_GB2312" w:cs="仿宋_GB2312" w:eastAsia="仿宋_GB2312"/>
                <w:sz w:val="20"/>
              </w:rPr>
              <w:t>分两次支付，合同签订后，项目启动前，乙方先转入甲方指定账户合同总价的</w:t>
            </w:r>
            <w:r>
              <w:rPr>
                <w:rFonts w:ascii="仿宋_GB2312" w:hAnsi="仿宋_GB2312" w:cs="仿宋_GB2312" w:eastAsia="仿宋_GB2312"/>
                <w:sz w:val="20"/>
              </w:rPr>
              <w:t>5%作为履约保证金，项目启动后，甲方向乙方支付首付款即总价50%的费用，剩余50%待项目完成并验收合格后一次性结算。项目结束且验收合格后，半年内无异议，乙方可提出书面申请，甲方全额无息退回履约保证金。若乙方违反合同约定，甲方有权从履约保证金中直接予以扣除违约金。</w:t>
            </w:r>
          </w:p>
          <w:p>
            <w:pPr>
              <w:pStyle w:val="null3"/>
              <w:jc w:val="both"/>
            </w:pPr>
            <w:r>
              <w:rPr>
                <w:rFonts w:ascii="仿宋_GB2312" w:hAnsi="仿宋_GB2312" w:cs="仿宋_GB2312" w:eastAsia="仿宋_GB2312"/>
                <w:sz w:val="20"/>
              </w:rPr>
              <w:t>2.其他要求</w:t>
            </w:r>
          </w:p>
          <w:p>
            <w:pPr>
              <w:pStyle w:val="null3"/>
              <w:jc w:val="both"/>
            </w:pPr>
            <w:r>
              <w:rPr>
                <w:rFonts w:ascii="仿宋_GB2312" w:hAnsi="仿宋_GB2312" w:cs="仿宋_GB2312" w:eastAsia="仿宋_GB2312"/>
                <w:sz w:val="20"/>
              </w:rPr>
              <w:t>供应商在施工、安装、调试全过程中，必须严格保护展厅内现有的空调、新风、监控、消防设施（含烟感、喷淋、报警器、消防栓、灭火器、疏散指示等）及其他既有设施设备（如道路、电梯等），不得造成物理损坏、功能干扰或覆盖遮挡。若造成损坏，自愿按采购人要求恢复原状并承担全部费用。</w:t>
            </w:r>
          </w:p>
          <w:p>
            <w:pPr>
              <w:pStyle w:val="null3"/>
              <w:jc w:val="both"/>
            </w:pPr>
            <w:r>
              <w:rPr>
                <w:rFonts w:ascii="仿宋_GB2312" w:hAnsi="仿宋_GB2312" w:cs="仿宋_GB2312" w:eastAsia="仿宋_GB2312"/>
                <w:sz w:val="20"/>
                <w:b/>
              </w:rPr>
              <w:t>2.质量保证</w:t>
            </w:r>
          </w:p>
          <w:p>
            <w:pPr>
              <w:pStyle w:val="null3"/>
              <w:ind w:firstLine="480"/>
              <w:jc w:val="both"/>
            </w:pPr>
            <w:r>
              <w:rPr>
                <w:rFonts w:ascii="仿宋_GB2312" w:hAnsi="仿宋_GB2312" w:cs="仿宋_GB2312" w:eastAsia="仿宋_GB2312"/>
              </w:rPr>
              <w:t>2.1主要材料需提供相关合格证书。</w:t>
            </w:r>
          </w:p>
          <w:p>
            <w:pPr>
              <w:pStyle w:val="null3"/>
              <w:ind w:firstLine="480"/>
              <w:jc w:val="both"/>
            </w:pPr>
            <w:r>
              <w:rPr>
                <w:rFonts w:ascii="仿宋_GB2312" w:hAnsi="仿宋_GB2312" w:cs="仿宋_GB2312" w:eastAsia="仿宋_GB2312"/>
              </w:rPr>
              <w:t>2.2工程质保期按国家规定的工程质保期限执行。</w:t>
            </w:r>
          </w:p>
          <w:p>
            <w:pPr>
              <w:pStyle w:val="null3"/>
              <w:ind w:firstLine="480"/>
              <w:jc w:val="both"/>
            </w:pPr>
            <w:r>
              <w:rPr>
                <w:rFonts w:ascii="仿宋_GB2312" w:hAnsi="仿宋_GB2312" w:cs="仿宋_GB2312" w:eastAsia="仿宋_GB2312"/>
              </w:rPr>
              <w:t>2.3供应商必须保证提供的货物是通过正常渠道获得的、全新的、未使用过的合格产品；其有关知识产权、技术、专利、检验、商务等均要符合中华人民共和国的有关法律、法规；中标人必须承担因所供货物而引起的全部法律责任。</w:t>
            </w:r>
          </w:p>
          <w:p>
            <w:pPr>
              <w:pStyle w:val="null3"/>
              <w:ind w:firstLine="480"/>
              <w:jc w:val="both"/>
            </w:pPr>
            <w:r>
              <w:rPr>
                <w:rFonts w:ascii="仿宋_GB2312" w:hAnsi="仿宋_GB2312" w:cs="仿宋_GB2312" w:eastAsia="仿宋_GB2312"/>
              </w:rPr>
              <w:t>2.4整个项目质保期自验收之日起不得少于</w:t>
            </w:r>
            <w:r>
              <w:rPr>
                <w:rFonts w:ascii="仿宋_GB2312" w:hAnsi="仿宋_GB2312" w:cs="仿宋_GB2312" w:eastAsia="仿宋_GB2312"/>
                <w:u w:val="single"/>
              </w:rPr>
              <w:t xml:space="preserve"> </w:t>
            </w:r>
            <w:r>
              <w:rPr>
                <w:rFonts w:ascii="仿宋_GB2312" w:hAnsi="仿宋_GB2312" w:cs="仿宋_GB2312" w:eastAsia="仿宋_GB2312"/>
                <w:u w:val="single"/>
              </w:rPr>
              <w:t>1</w:t>
            </w:r>
            <w:r>
              <w:rPr>
                <w:rFonts w:ascii="仿宋_GB2312" w:hAnsi="仿宋_GB2312" w:cs="仿宋_GB2312" w:eastAsia="仿宋_GB2312"/>
                <w:u w:val="single"/>
              </w:rPr>
              <w:t xml:space="preserve"> </w:t>
            </w:r>
            <w:r>
              <w:rPr>
                <w:rFonts w:ascii="仿宋_GB2312" w:hAnsi="仿宋_GB2312" w:cs="仿宋_GB2312" w:eastAsia="仿宋_GB2312"/>
              </w:rPr>
              <w:t>年，供应商承诺的质保时间限超过上述要求的，按其承诺时间执行。质保期内中标人应提供维修服务及本项目中货物的维修所需零配件，质保期内维修或更换产生的材料费及人工费属于质保范畴；质保期满后，中标人负责有偿维修，货物维修更换的零部件只收取材料成本费用。</w:t>
            </w:r>
          </w:p>
          <w:p>
            <w:pPr>
              <w:pStyle w:val="null3"/>
              <w:ind w:firstLine="480"/>
              <w:jc w:val="both"/>
            </w:pPr>
            <w:r>
              <w:rPr>
                <w:rFonts w:ascii="仿宋_GB2312" w:hAnsi="仿宋_GB2312" w:cs="仿宋_GB2312" w:eastAsia="仿宋_GB2312"/>
              </w:rPr>
              <w:t>2.5 成交供应商负责货物安装交付，保证货物在进行安装运行等过程中损坏的或有缺陷的部件可方便地得到修理和更换。</w:t>
            </w:r>
          </w:p>
          <w:p>
            <w:pPr>
              <w:pStyle w:val="null3"/>
              <w:ind w:firstLine="480"/>
              <w:jc w:val="both"/>
            </w:pPr>
            <w:r>
              <w:rPr>
                <w:rFonts w:ascii="仿宋_GB2312" w:hAnsi="仿宋_GB2312" w:cs="仿宋_GB2312" w:eastAsia="仿宋_GB2312"/>
              </w:rPr>
              <w:t>2.6 用户提出问题及维修要求后，保修期内，保证在12小时内做出答复，保修期外，保证在24小时内做出答复。</w:t>
            </w:r>
          </w:p>
          <w:p>
            <w:pPr>
              <w:pStyle w:val="null3"/>
              <w:jc w:val="both"/>
            </w:pPr>
            <w:r>
              <w:rPr>
                <w:rFonts w:ascii="仿宋_GB2312" w:hAnsi="仿宋_GB2312" w:cs="仿宋_GB2312" w:eastAsia="仿宋_GB2312"/>
                <w:sz w:val="20"/>
                <w:b/>
              </w:rPr>
              <w:t>3.服务期限</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签订合同之日起</w:t>
            </w:r>
            <w:r>
              <w:rPr>
                <w:rFonts w:ascii="仿宋_GB2312" w:hAnsi="仿宋_GB2312" w:cs="仿宋_GB2312" w:eastAsia="仿宋_GB2312"/>
                <w:sz w:val="21"/>
              </w:rPr>
              <w:t>25</w:t>
            </w:r>
            <w:r>
              <w:rPr>
                <w:rFonts w:ascii="仿宋_GB2312" w:hAnsi="仿宋_GB2312" w:cs="仿宋_GB2312" w:eastAsia="仿宋_GB2312"/>
                <w:sz w:val="21"/>
              </w:rPr>
              <w:t>日历天内完成。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符合采购文件及国家相关法律法规要求。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符合采购文件及国家相关法律法规要求。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同时，线下提交纸质响应文件正、副本分别胶装递交，递交截止时间：开标后2个工作日之内，递交地址：西安市雁塔区朱雀大街南段69号长丰园三区5号楼9层9006室。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财务审计报告（至少包括常规和三表一注，成立时间至提交磋商响应文件截止时间不足一年的可提供成立后任意时段的资产负债表），或其开标前六个月内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供应商具备建筑装修装饰工程专业承包二级以上（含二级）资质，具备有效的安全生产许可证；供应商需在项目电子化交易系统中按要求上传相应证明文件并进行电子签章。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项目管理机构组成表 中小企业声明函 残疾人福利性单位声明函 报价函 技术服务合同条款及其他商务要求应答表 供应商应提交的相关资格证明材料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项目管理机构组成表 中小企业声明函 残疾人福利性单位声明函 报价函 技术服务合同条款及其他商务要求应答表 供应商应提交的相关资格证明材料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 xml:space="preserve"> 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磋商报价是否唯一有效的或磋商报价是否超过采购预算、低于成本价的</w:t>
            </w:r>
          </w:p>
        </w:tc>
        <w:tc>
          <w:tcPr>
            <w:tcW w:type="dxa" w:w="1661"/>
          </w:tcPr>
          <w:p>
            <w:pPr>
              <w:pStyle w:val="null3"/>
            </w:pPr>
            <w:r>
              <w:rPr>
                <w:rFonts w:ascii="仿宋_GB2312" w:hAnsi="仿宋_GB2312" w:cs="仿宋_GB2312" w:eastAsia="仿宋_GB2312"/>
              </w:rPr>
              <w:t>响应文件封面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技术、商务要求是否满足实质性要求的（工期不响应采购要求、付款方式不满足采购要求）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投标产品技术参数完全符合磋商文件要求，没有负偏离的得20分，参数中每有一条技术参数负偏离扣0.5分，扣完为止。满分20分。 注：须在技术响应表中对技术参数进行回应，尽可能多的提供相关技术参数佐证材料（佐证材料包括但不限于：产品彩页、检测报告、官网截图 等证明材料，佐证材料须包含产品的技术参数，并按要求放入响应文件中）予以证明其技术参数的响应性。供应商自行承担因证明材料不全而被视为技术参数偏离的险。要求提供佐证材料的须提供佐证材料以佐证材料为准，不提供的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一、评审内容 内容包含设备选型 二、评审标准 1、完整性：切合本项目实际情况，对所投产品中有详细描述及其他内容的补充； 2、科学性：切合本项目实际情况，叙述清楚，符合客观实际情况； 3、合理性：符合项目实际特点，合理、恰当； 4、可靠性：所选设备质量可靠。 三、赋分标准（满分 8分） 设备选型：每完全满足一个评审标准得2分，满分8分；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项目实施计划和保证措施</w:t>
            </w:r>
          </w:p>
        </w:tc>
        <w:tc>
          <w:tcPr>
            <w:tcW w:type="dxa" w:w="2492"/>
          </w:tcPr>
          <w:p>
            <w:pPr>
              <w:pStyle w:val="null3"/>
            </w:pPr>
            <w:r>
              <w:rPr>
                <w:rFonts w:ascii="仿宋_GB2312" w:hAnsi="仿宋_GB2312" w:cs="仿宋_GB2312" w:eastAsia="仿宋_GB2312"/>
              </w:rPr>
              <w:t>一、评审内容 供应商需提供科学、完整、合理、规范的实施方案及措施。内容包含：①项目实施方案计划②进度保证措施③人员配置方案④供货、安装、调试方案措施。 二、评审标准 1、完整性：方案须全面，对评审内容中的各项要求描述详细； 2、可实施性：切合本项目实际情况，实施步骤清晰、合理； 3、针对性：方案能够紧扣项目实际情况，内容科学合理。 三、赋分依据（满分9分） ①项目实施方案计划：每完全满足一个评审标准得1分，满分3分； ②进度保证措施:每完全满足一个评审标准得0.5分，满分1.5分； ③人员配置方案:每完全满足一个评审标准得0.5分，满分1.5分； ④供货、安装、调试方案：每完全满足一个评审标准得1分，满分3分。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一、评审内容 根据项目实际需求提供工程部分施工组织设计方案。内容包含：①工程部分施工方案②安全文明施工措施③确保工程质量技术组织措施。 二、评审标准 1、完整性：方案须全面，对评审内容中的各项要求描述详细； 2、可实施性：切合本项目实际情况，实施步骤清晰、合理； 3、针对性：方案能够紧扣项目实际情况，内容科学合理。 三、赋分依据（满分9分） ①工程部分施工方案：每完全满足一个评审标准得1分，满分3分； ②安全文明施工措施：每完全满足一个评审标准得1分，满分3分； ③确保工程质量技术组织措施：每完全满足一个评审标准得1分，满分3分；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设计效果</w:t>
            </w:r>
          </w:p>
        </w:tc>
        <w:tc>
          <w:tcPr>
            <w:tcW w:type="dxa" w:w="2492"/>
          </w:tcPr>
          <w:p>
            <w:pPr>
              <w:pStyle w:val="null3"/>
            </w:pPr>
            <w:r>
              <w:rPr>
                <w:rFonts w:ascii="仿宋_GB2312" w:hAnsi="仿宋_GB2312" w:cs="仿宋_GB2312" w:eastAsia="仿宋_GB2312"/>
              </w:rPr>
              <w:t>根据现场实际情况进行效果设计，设计效果图精美、贴合实际需求、具有可行性及合理性得2分；设计效果一般得1分；未提供不得分。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根据项目实际需求提供售后服务方案。内容包含：①售后服务范围及保障措施②响应时间③故障处理及补救措施④定期回访及维护。 二、评审标准 1.完整性：方案须全面，对评审内容中的各项要求有详细描述； 2.可实施性：切合本项目实际情况，提出步骤清晰、合理的方案； 3.针对性：方案能够紧扣项目实际情况，内容科学合理。 三、赋分依据（满分9分） ①售后服务范围及保障措施：每完全满足一个评审标准得1分，满分3分； ②响应时间:每完全满足一个评审标准得1分，满分3分； ③故障处理及补救措施:每完全满足一个评审标准得0.5分，满分1.5分； ④定期回访及维护：完全满足一个评审标准得0.5分，满分1.5分。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一、评审内容 针对本项目提供验收方案内容包含：验收目标、验收方法及标准。 二、评审标准 1、完整性：方案须全面，对评审内容中的各项要求描述详细； 2、可实施性：切合本项目实际情况，实施步骤清晰、合理； 3、针对性：方案能够紧扣项目实际情况，内容科学合理。 三、赋分依据（满分3分） 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供应商提供自2023年1月1日起（以合同签订日为准）至今承担过类似业绩，每提供1个业绩合同得2分，最高得10分。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以合格供应商有效投标总报价中的最低价为基准价，基准价为30分。投标报价得分＝（评标基准价/投标报价）×30%×100（小数点后保留2位小数）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