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版本号：JZDCG-2026-03020260625001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白水县铁牛河水库灌区续建配套与现代化改造项目（一期）设计服务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JZDCG-2026-030</w:t>
      </w:r>
      <w:r>
        <w:br/>
      </w:r>
      <w:r>
        <w:br/>
      </w:r>
      <w:r>
        <w:br/>
      </w:r>
    </w:p>
    <w:p>
      <w:pPr>
        <w:pStyle w:val="null3"/>
        <w:jc w:val="center"/>
        <w:outlineLvl w:val="2"/>
      </w:pPr>
      <w:r>
        <w:rPr>
          <w:rFonts w:ascii="仿宋_GB2312" w:hAnsi="仿宋_GB2312" w:cs="仿宋_GB2312" w:eastAsia="仿宋_GB2312"/>
          <w:sz w:val="28"/>
          <w:b/>
        </w:rPr>
        <w:t>白水县林皋水库灌溉管理处</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白水县林皋水库灌溉管理处</w:t>
      </w:r>
      <w:r>
        <w:rPr>
          <w:rFonts w:ascii="仿宋_GB2312" w:hAnsi="仿宋_GB2312" w:cs="仿宋_GB2312" w:eastAsia="仿宋_GB2312"/>
        </w:rPr>
        <w:t>委托，拟对</w:t>
      </w:r>
      <w:r>
        <w:rPr>
          <w:rFonts w:ascii="仿宋_GB2312" w:hAnsi="仿宋_GB2312" w:cs="仿宋_GB2312" w:eastAsia="仿宋_GB2312"/>
        </w:rPr>
        <w:t>白水县铁牛河水库灌区续建配套与现代化改造项目（一期）设计服务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JZDCG-2026-030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白水县铁牛河水库灌区续建配套与现代化改造项目（一期）设计服务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本项目为白水县铁牛河水库灌区续建配套与现代化改造项目（一期）设计服务，主要目标为提升泵站效率，改善，恢复灌溉面积。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采购包1（白水县铁牛河水库灌区续建配套与现代化改造项目(一期)设计服务）：属于专门面向中小企业采购。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2025年12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3、税收缴纳证明：自2025年12月01日以来已缴存的至少一个月的纳税证明或完税证明，纳税证明或完税证明上应有代收机构或税务机关的公章或业务专用章。依法免税的供应商应提供相关文件证明；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失信主体，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5、法定代表人授权委托书：须提供法定代表人授权书(附法定代表人、被授权人身份证复印件)；法定代表人直接参加磋商的，须提供法定代表人身份证明文件；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8、资质要求：供应商须具备工程设计综合甲级资质或水利行业工程设计乙级及以上资质或水利行业（灌溉排涝）专业工程设计乙级及以上资质；</w:t>
      </w:r>
    </w:p>
    <w:p>
      <w:pPr>
        <w:pStyle w:val="null3"/>
      </w:pPr>
      <w:r>
        <w:rPr>
          <w:rFonts w:ascii="仿宋_GB2312" w:hAnsi="仿宋_GB2312" w:cs="仿宋_GB2312" w:eastAsia="仿宋_GB2312"/>
        </w:rPr>
        <w:t>9、联合体不得参与：供应商应提供针对本项目的非联合体声明；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白水县林皋水库灌溉管理处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白水县北井头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王友萌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13992388389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 3 号橡树星座 B 座902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采购包1：422,900.00元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白水县林皋水库灌溉管理处</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白水县林皋水库灌溉管理处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白水县林皋水库灌溉管理处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根据采购文件要求及合同约定执行。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本项目为白水县铁牛河水库灌区续建配套与现代化改造项目（一期）设计服务，主要目标为提升泵站效率，改善，恢复灌溉面积。</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422,900.00</w:t>
      </w:r>
    </w:p>
    <w:p>
      <w:pPr>
        <w:pStyle w:val="null3"/>
      </w:pPr>
      <w:r>
        <w:rPr>
          <w:rFonts w:ascii="仿宋_GB2312" w:hAnsi="仿宋_GB2312" w:cs="仿宋_GB2312" w:eastAsia="仿宋_GB2312"/>
        </w:rPr>
        <w:t>采购包最高限价（元）: 422,900.00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白水县铁牛河水库灌区续建配套与现代化改造项目（一期）设计服务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422,900.00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白水县铁牛河水库灌区续建配套与现代化改造项目（一期）设计服务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白水县铁牛河水库灌区续建配套与现代化改造项目（一期）实施方案（初步设计）、招标图设计及施工图设计。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（1）设计内容应符合国家法律法规、现行行业设计标准（规范），并充分考虑经济性、合理性，设计深度应满足采购人要求；</w:t>
            </w:r>
          </w:p>
          <w:p>
            <w:pPr>
              <w:pStyle w:val="null3"/>
            </w:pPr>
            <w:r>
              <w:rPr>
                <w:rFonts w:ascii="仿宋_GB2312" w:hAnsi="仿宋_GB2312" w:cs="仿宋_GB2312" w:eastAsia="仿宋_GB2312"/>
              </w:rPr>
              <w:t>（2）在项目实施各阶段应积极配合采购人及其他相关单位的工作，包含但不限于：图纸审核、图纸修改、图纸答疑、设计交底、协助解决施工技术问题及设计文件报批等；</w:t>
            </w:r>
          </w:p>
          <w:p>
            <w:pPr>
              <w:pStyle w:val="null3"/>
            </w:pPr>
            <w:r>
              <w:rPr>
                <w:rFonts w:ascii="仿宋_GB2312" w:hAnsi="仿宋_GB2312" w:cs="仿宋_GB2312" w:eastAsia="仿宋_GB2312"/>
              </w:rPr>
              <w:t>（3）在项目实施过程中负责存在的设计变更及与变更相关的其他工作；</w:t>
            </w:r>
          </w:p>
          <w:p>
            <w:pPr>
              <w:pStyle w:val="null3"/>
            </w:pPr>
            <w:r>
              <w:rPr>
                <w:rFonts w:ascii="仿宋_GB2312" w:hAnsi="仿宋_GB2312" w:cs="仿宋_GB2312" w:eastAsia="仿宋_GB2312"/>
              </w:rPr>
              <w:t>（4）在项目实施过程中应随时根据采购人或建设单位的要求派人到场协调解决问题，并按时参加定期组织的现场沟通协调会。</w:t>
            </w:r>
          </w:p>
          <w:p>
            <w:pPr>
              <w:pStyle w:val="null3"/>
            </w:pPr>
            <w:r>
              <w:rPr>
                <w:rFonts w:ascii="仿宋_GB2312" w:hAnsi="仿宋_GB2312" w:cs="仿宋_GB2312" w:eastAsia="仿宋_GB2312"/>
              </w:rPr>
              <w:t>（5）参加工程验收工作。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三、成果文件要求</w:t>
            </w:r>
          </w:p>
          <w:p>
            <w:pPr>
              <w:pStyle w:val="null3"/>
            </w:pPr>
            <w:r>
              <w:rPr>
                <w:rFonts w:ascii="仿宋_GB2312" w:hAnsi="仿宋_GB2312" w:cs="仿宋_GB2312" w:eastAsia="仿宋_GB2312"/>
              </w:rPr>
              <w:t>（1）成果文件质量：应符合现行行业设计标准（规范），质量合格；</w:t>
            </w:r>
          </w:p>
          <w:p>
            <w:pPr>
              <w:pStyle w:val="null3"/>
            </w:pPr>
            <w:r>
              <w:rPr>
                <w:rFonts w:ascii="仿宋_GB2312" w:hAnsi="仿宋_GB2312" w:cs="仿宋_GB2312" w:eastAsia="仿宋_GB2312"/>
              </w:rPr>
              <w:t>（2）成果文件内容：实施方案（初步设计）报告、概算、图册，招标图设计图册及施工图设计图册；</w:t>
            </w:r>
          </w:p>
          <w:p>
            <w:pPr>
              <w:pStyle w:val="null3"/>
            </w:pPr>
            <w:r>
              <w:rPr>
                <w:rFonts w:ascii="仿宋_GB2312" w:hAnsi="仿宋_GB2312" w:cs="仿宋_GB2312" w:eastAsia="仿宋_GB2312"/>
              </w:rPr>
              <w:t>（3）交付方式及数量：纸质版8套，电子版根据采购人要求交付；</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供应商应根据项目需求并结合自身情况合理配置项目团队人员，项目团队总成员人数不少于7人，其中项目负责人1人，应具备水利相关类高级职称，其他成员6人，且必须包含1名水利工程专业造价人员。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合同签订后，实施方案（初步设计）不超过30日历日，招标图及施工图设计按照采购人要求的时间节点完成，总服务期不超过60日历日。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渭南市白水县内采购人指定地点。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预付款，合同签订为付款条件，达到付款条件起15个工作日内，支付合同总金额的40.0%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进度款，完成初步设计为付款条件，达到付款条件起15个工作日内，支付合同总金额的20.0%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进度款，完成招标图设计及施工图设计为付款条件，达到付款条件起15个工作日内，支付合同总金额的30.0%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进度款，项目竣工验收合格为付款条件，达到付款条件起15个工作日内，支付合同总金额的10.0%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财务审计报告（至少包括资产负债表、利润表、现金流量表及财务报表附注，成立时间至提交投标文件截止时间不足一年的可提供成立后任意时段的资产负债表），或开标前3个月内其基本存款账户开户银行出具的资信证明及基本存款账户开户证明资料；</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供应商需在项目电子化交易系统中按要求填写《投标函》及承诺并进行电子签章。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12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自2025年12月01日以来已缴存的至少一个月的纳税证明或完税证明，纳税证明或完税证明上应有代收机构或税务机关的公章或业务专用章。依法免税的供应商应提供相关文件证明；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未被列入“信用中国”网站（www.creditchina.gov.cn）失信被执行人和重大税收违法失信主体，不得为“中国政府采购网”（www.ccgp.gov.cn）政府采购严重违法失信行为记录名单中禁止参加政府采购活动的供应商；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须提供法定代表人授权书(附法定代表人、被授权人身份证复印件)；法定代表人直接参加磋商的，须提供法定代表人身份证明文件；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供应商须具备工程设计综合甲级资质或水利行业工程设计乙级及以上资质或水利行业（灌溉排涝）专业工程设计乙级及以上资质；</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供应商应提供针对本项目的非联合体声明；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符合磋商文件中“磋商响应文件格式”要求</w:t>
            </w:r>
          </w:p>
        </w:tc>
        <w:tc>
          <w:tcPr>
            <w:tcW w:type="dxa" w:w="1661"/>
          </w:tcPr>
          <w:p>
            <w:pPr>
              <w:pStyle w:val="null3"/>
            </w:pPr>
            <w:r>
              <w:rPr>
                <w:rFonts w:ascii="仿宋_GB2312" w:hAnsi="仿宋_GB2312" w:cs="仿宋_GB2312" w:eastAsia="仿宋_GB2312"/>
              </w:rPr>
              <w:t>响应文件封面 服务响应偏离表 商务响应偏离表 一般资格审查证明材料 服务方案 标的清单 特殊资格审查资料 报价表 响应函 类似业绩一览表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服务响应偏离表 商务响应偏离表 中小企业声明函 报价表 响应文件封面 残疾人福利性单位声明函 一般资格审查证明材料 服务方案 标的清单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服务响应偏离表 商务响应偏离表 一般资格审查证明材料 服务方案 特殊资格审查资料 类似业绩一览表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服务响应偏离表 商务响应偏离表 服务方案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项目理解及需求分析</w:t>
            </w:r>
          </w:p>
        </w:tc>
        <w:tc>
          <w:tcPr>
            <w:tcW w:type="dxa" w:w="2492"/>
          </w:tcPr>
          <w:p>
            <w:pPr>
              <w:pStyle w:val="null3"/>
            </w:pPr>
            <w:r>
              <w:rPr>
                <w:rFonts w:ascii="仿宋_GB2312" w:hAnsi="仿宋_GB2312" w:cs="仿宋_GB2312" w:eastAsia="仿宋_GB2312"/>
              </w:rPr>
              <w:t>1、评审内容 包含2项：①对本项目理解；②对本项目需求分析 2、评审标准 （1）评审内容每项满分为2分，共4分；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设计实施方案</w:t>
            </w:r>
          </w:p>
        </w:tc>
        <w:tc>
          <w:tcPr>
            <w:tcW w:type="dxa" w:w="2492"/>
          </w:tcPr>
          <w:p>
            <w:pPr>
              <w:pStyle w:val="null3"/>
            </w:pPr>
            <w:r>
              <w:rPr>
                <w:rFonts w:ascii="仿宋_GB2312" w:hAnsi="仿宋_GB2312" w:cs="仿宋_GB2312" w:eastAsia="仿宋_GB2312"/>
              </w:rPr>
              <w:t>1、评审内容 包含6项：①总体目标及技术规范；②初设阶段工作内容及流程；③招标图阶段工作内容及流程；④施工图阶段工作内容及流程；⑤设计深度及经济合理性保证措施；⑥各阶段相关配合服务。 2、评审标准 （1）评审内容每项满分为4分，共24分； （2）评审内容每缺失一项扣4分，每项内容有下列任意瑕疵的扣0.4分（单项评审内容中有相同瑕疵不重复扣分），扣完为止；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质量控制及进度保障措施</w:t>
            </w:r>
          </w:p>
        </w:tc>
        <w:tc>
          <w:tcPr>
            <w:tcW w:type="dxa" w:w="2492"/>
          </w:tcPr>
          <w:p>
            <w:pPr>
              <w:pStyle w:val="null3"/>
            </w:pPr>
            <w:r>
              <w:rPr>
                <w:rFonts w:ascii="仿宋_GB2312" w:hAnsi="仿宋_GB2312" w:cs="仿宋_GB2312" w:eastAsia="仿宋_GB2312"/>
              </w:rPr>
              <w:t>1、评审内容 包含2项：①质量目标及保障措施；②进度计划及保障措施； 2、评审标准 （1）评审内容每项满分为3分，共6分；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重难点分解及应对措施</w:t>
            </w:r>
          </w:p>
        </w:tc>
        <w:tc>
          <w:tcPr>
            <w:tcW w:type="dxa" w:w="2492"/>
          </w:tcPr>
          <w:p>
            <w:pPr>
              <w:pStyle w:val="null3"/>
            </w:pPr>
            <w:r>
              <w:rPr>
                <w:rFonts w:ascii="仿宋_GB2312" w:hAnsi="仿宋_GB2312" w:cs="仿宋_GB2312" w:eastAsia="仿宋_GB2312"/>
              </w:rPr>
              <w:t>1、评审内容 包含2项：①针对本项目重点难点分析；②针对重点难点应对措施； 2、评审标准 （1）评审内容每项满分为3分，共6分； （2）评审内容每缺失一项扣3分，每项内容有下列任意瑕疵的扣0.3分（单项评审内容中有相同瑕疵不重复扣分），扣完为止；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1、学历：项目负责人具有本科及以上学历得2分； 注：须提供学历证明资料，包括但不限于毕业证、学信⽹经查证的《教育部学历证书电⼦注册备案表》； 2、业绩：提供项目负责人2023年1月1日以来参与过的类似业绩，每提供1个业绩计2分，最高得4分； 注：业绩证明文件以合同（协议）为准，时间以合同（协议）签订时间为准，业绩证明文件应体现项目负责人信息，未提供或无项目负责人信息或业绩内容不清晰导致无法识别的不予认可。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1、项目团队专业造价人员为水利工程专业一级注册造价工程师的得2分； 2、除项目负责人及专业造价人员外，每有1名水利相关专业高级职称人员的得2分，最高得6分；每有1名水利相关专业中级职称人员的得1分，最高得2分。 注：以上内容须提供身份证、注册造价师证、职称证、社保证明作为证明材料，未提供证明材料不得分；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①人员岗位制度；②培训考核制度；③质量控制制度；④档案管理与保密制度 2、评审标准 每提供1项制度方案且内容明确得2分，最高得8分；未提供管理制度不得分。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供应商结合自身情况针对本项目实施提出合理化建议。 2、评审标准 每提出1项合理化建议得2分，最高得6分，合理化建议内容不明确或未提供的不得分。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后续免费增值服务</w:t>
            </w:r>
          </w:p>
        </w:tc>
        <w:tc>
          <w:tcPr>
            <w:tcW w:type="dxa" w:w="2492"/>
          </w:tcPr>
          <w:p>
            <w:pPr>
              <w:pStyle w:val="null3"/>
            </w:pPr>
            <w:r>
              <w:rPr>
                <w:rFonts w:ascii="仿宋_GB2312" w:hAnsi="仿宋_GB2312" w:cs="仿宋_GB2312" w:eastAsia="仿宋_GB2312"/>
              </w:rPr>
              <w:t>1、评审内容 供应商结合和自身情况针对本项目提出后续免费增值服务。 2、评审标准 每提出1项后续免费增值服务得2分，最高得6分，免费增值服务内容不明确或未提供的不得分。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包含4项：①服务质量的满意度承诺；②服务工作的优质高效承诺；③本项目服务人员的稳定性承诺；④相关配合服务的承诺； 2、评审标准 每项提供承诺书且内容明确得2分，最高得8分，未提供承诺函不得分。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供应商提供2023年1月1日以来独立承担过类似项目业绩，每个业绩计2分，最高计6分。注：业绩证明文件以合同为准，时间以合同签订时间为准，未提供或不清晰导致无法识别的不予认可。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满足磋商文件要求且最终报价最低的供应商的价格为磋商基准价得10分，其他各供应商的最终报价得分按下列公式计算：（磋商基准价/最终磋商报价）×10％×100。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