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版本号：CZCSY(2026)XYC-120260810001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校园餐加工服务项目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CZCSY(2026)XYC-1</w:t>
      </w:r>
      <w:r>
        <w:br/>
      </w:r>
      <w:r>
        <w:br/>
      </w:r>
      <w:r>
        <w:br/>
      </w:r>
    </w:p>
    <w:p>
      <w:pPr>
        <w:pStyle w:val="null3"/>
        <w:jc w:val="center"/>
        <w:outlineLvl w:val="2"/>
      </w:pPr>
      <w:r>
        <w:rPr>
          <w:rFonts w:ascii="仿宋_GB2312" w:hAnsi="仿宋_GB2312" w:cs="仿宋_GB2312" w:eastAsia="仿宋_GB2312"/>
          <w:sz w:val="28"/>
          <w:b/>
        </w:rPr>
        <w:t>澄城县城关第四小学</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澄城县城关第四小学</w:t>
      </w:r>
      <w:r>
        <w:rPr>
          <w:rFonts w:ascii="仿宋_GB2312" w:hAnsi="仿宋_GB2312" w:cs="仿宋_GB2312" w:eastAsia="仿宋_GB2312"/>
        </w:rPr>
        <w:t>委托，拟对</w:t>
      </w:r>
      <w:r>
        <w:rPr>
          <w:rFonts w:ascii="仿宋_GB2312" w:hAnsi="仿宋_GB2312" w:cs="仿宋_GB2312" w:eastAsia="仿宋_GB2312"/>
        </w:rPr>
        <w:t>校园餐加工服务项目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CZCSY(2026)XYC-1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校园餐加工服务项目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根据学生年龄、性别、身体状况等因素，制定营养餐食谱；合理搭配主食、蔬菜、水果、肉类等食材，确保营养均衡；严格控制⻝品烹饪时间和温度，保证食品口感和营养价值。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采购包1（校园餐加工服务项目）：属于专门面向中小企业采购。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pPr>
        <w:pStyle w:val="null3"/>
      </w:pPr>
      <w:r>
        <w:rPr>
          <w:rFonts w:ascii="仿宋_GB2312" w:hAnsi="仿宋_GB2312" w:cs="仿宋_GB2312" w:eastAsia="仿宋_GB2312"/>
        </w:rPr>
        <w:t>2、信用记录：供应商不得为“中国执行信息公开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p>
      <w:pPr>
        <w:pStyle w:val="null3"/>
      </w:pPr>
      <w:r>
        <w:rPr>
          <w:rFonts w:ascii="仿宋_GB2312" w:hAnsi="仿宋_GB2312" w:cs="仿宋_GB2312" w:eastAsia="仿宋_GB2312"/>
        </w:rPr>
        <w:t>3、联合体：本项目不接受联合体投标。（提供非联合体声明, 格式自拟加盖投标人公章）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澄城县城关第四小学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澄城县6路中段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18220437707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澄城县城关第四小学</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澄城县城关第四小学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澄城县城关第四小学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澄城县城关第四小学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澄城县城关第四小学</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澄城县城关第四小学</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联系电话：18220437707</w:t>
      </w:r>
    </w:p>
    <w:p>
      <w:pPr>
        <w:pStyle w:val="null3"/>
      </w:pPr>
      <w:r>
        <w:rPr>
          <w:rFonts w:ascii="仿宋_GB2312" w:hAnsi="仿宋_GB2312" w:cs="仿宋_GB2312" w:eastAsia="仿宋_GB2312"/>
        </w:rPr>
        <w:t>地址：澄城县6路中段</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根据学生年龄、性别、身体状况等因素，制定营养餐食谱；合理搭配主食、蔬菜、水果、肉类等食材，确保营养均衡；严格控制食品烹饪时间和温度，保证食品口感和营养价值。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338,000.00</w:t>
      </w:r>
    </w:p>
    <w:p>
      <w:pPr>
        <w:pStyle w:val="null3"/>
      </w:pPr>
      <w:r>
        <w:rPr>
          <w:rFonts w:ascii="仿宋_GB2312" w:hAnsi="仿宋_GB2312" w:cs="仿宋_GB2312" w:eastAsia="仿宋_GB2312"/>
        </w:rPr>
        <w:t>采购包最高限价（元）: 338,000.00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校园餐加工服务项目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标的名称：校园餐加工服务项目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32"/>
              <w:gridCol w:w="236"/>
              <w:gridCol w:w="2075"/>
            </w:tblGrid>
            <w:tr>
              <w:tc>
                <w:tcPr>
                  <w:tcW w:type="dxa" w:w="2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30"/>
                    </w:rPr>
                    <w:t>项目</w:t>
                  </w:r>
                </w:p>
                <w:p>
                  <w:pPr>
                    <w:pStyle w:val="null3"/>
                    <w:spacing w:before="150"/>
                    <w:jc w:val="both"/>
                  </w:pPr>
                  <w:r>
                    <w:rPr>
                      <w:rFonts w:ascii="仿宋_GB2312" w:hAnsi="仿宋_GB2312" w:cs="仿宋_GB2312" w:eastAsia="仿宋_GB2312"/>
                      <w:sz w:val="30"/>
                    </w:rPr>
                    <w:t>名称</w:t>
                  </w:r>
                </w:p>
              </w:tc>
              <w:tc>
                <w:tcPr>
                  <w:tcW w:type="dxa" w:w="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90"/>
                    <w:jc w:val="both"/>
                  </w:pPr>
                  <w:r>
                    <w:rPr>
                      <w:rFonts w:ascii="仿宋_GB2312" w:hAnsi="仿宋_GB2312" w:cs="仿宋_GB2312" w:eastAsia="仿宋_GB2312"/>
                      <w:sz w:val="30"/>
                    </w:rPr>
                    <w:t>人数</w:t>
                  </w:r>
                </w:p>
              </w:tc>
              <w:tc>
                <w:tcPr>
                  <w:tcW w:type="dxa" w:w="20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980"/>
                    <w:jc w:val="both"/>
                  </w:pPr>
                  <w:r>
                    <w:rPr>
                      <w:rFonts w:ascii="仿宋_GB2312" w:hAnsi="仿宋_GB2312" w:cs="仿宋_GB2312" w:eastAsia="仿宋_GB2312"/>
                      <w:sz w:val="30"/>
                    </w:rPr>
                    <w:t>人员要求</w:t>
                  </w:r>
                </w:p>
              </w:tc>
            </w:tr>
            <w:tr>
              <w:tc>
                <w:tcPr>
                  <w:tcW w:type="dxa" w:w="2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firstLine="320"/>
                    <w:jc w:val="both"/>
                  </w:pPr>
                  <w:r>
                    <w:rPr>
                      <w:rFonts w:ascii="仿宋_GB2312" w:hAnsi="仿宋_GB2312" w:cs="仿宋_GB2312" w:eastAsia="仿宋_GB2312"/>
                      <w:sz w:val="32"/>
                      <w:color w:val="000000"/>
                      <w:shd w:fill="FFFFFF" w:val="clear"/>
                    </w:rPr>
                    <w:t>校</w:t>
                  </w:r>
                </w:p>
                <w:p>
                  <w:pPr>
                    <w:pStyle w:val="null3"/>
                    <w:spacing w:before="150"/>
                    <w:ind w:firstLine="320"/>
                    <w:jc w:val="both"/>
                  </w:pPr>
                  <w:r>
                    <w:rPr>
                      <w:rFonts w:ascii="仿宋_GB2312" w:hAnsi="仿宋_GB2312" w:cs="仿宋_GB2312" w:eastAsia="仿宋_GB2312"/>
                      <w:sz w:val="32"/>
                      <w:color w:val="000000"/>
                      <w:shd w:fill="FFFFFF" w:val="clear"/>
                    </w:rPr>
                    <w:t>园</w:t>
                  </w:r>
                </w:p>
                <w:p>
                  <w:pPr>
                    <w:pStyle w:val="null3"/>
                    <w:spacing w:before="150"/>
                    <w:ind w:firstLine="320"/>
                    <w:jc w:val="both"/>
                  </w:pPr>
                  <w:r>
                    <w:rPr>
                      <w:rFonts w:ascii="仿宋_GB2312" w:hAnsi="仿宋_GB2312" w:cs="仿宋_GB2312" w:eastAsia="仿宋_GB2312"/>
                      <w:sz w:val="32"/>
                      <w:color w:val="000000"/>
                      <w:shd w:fill="FFFFFF" w:val="clear"/>
                    </w:rPr>
                    <w:t>餐</w:t>
                  </w:r>
                </w:p>
                <w:p>
                  <w:pPr>
                    <w:pStyle w:val="null3"/>
                    <w:spacing w:before="150"/>
                    <w:ind w:firstLine="320"/>
                    <w:jc w:val="both"/>
                  </w:pPr>
                  <w:r>
                    <w:rPr>
                      <w:rFonts w:ascii="仿宋_GB2312" w:hAnsi="仿宋_GB2312" w:cs="仿宋_GB2312" w:eastAsia="仿宋_GB2312"/>
                      <w:sz w:val="32"/>
                      <w:color w:val="000000"/>
                      <w:shd w:fill="FFFFFF" w:val="clear"/>
                    </w:rPr>
                    <w:t>加</w:t>
                  </w:r>
                </w:p>
                <w:p>
                  <w:pPr>
                    <w:pStyle w:val="null3"/>
                    <w:spacing w:before="150"/>
                    <w:ind w:firstLine="320"/>
                    <w:jc w:val="both"/>
                  </w:pPr>
                  <w:r>
                    <w:rPr>
                      <w:rFonts w:ascii="仿宋_GB2312" w:hAnsi="仿宋_GB2312" w:cs="仿宋_GB2312" w:eastAsia="仿宋_GB2312"/>
                      <w:sz w:val="32"/>
                      <w:color w:val="000000"/>
                      <w:shd w:fill="FFFFFF" w:val="clear"/>
                    </w:rPr>
                    <w:t>工</w:t>
                  </w:r>
                </w:p>
                <w:p>
                  <w:pPr>
                    <w:pStyle w:val="null3"/>
                    <w:spacing w:before="150"/>
                    <w:ind w:firstLine="320"/>
                    <w:jc w:val="both"/>
                  </w:pPr>
                  <w:r>
                    <w:rPr>
                      <w:rFonts w:ascii="仿宋_GB2312" w:hAnsi="仿宋_GB2312" w:cs="仿宋_GB2312" w:eastAsia="仿宋_GB2312"/>
                      <w:sz w:val="32"/>
                      <w:color w:val="000000"/>
                      <w:shd w:fill="FFFFFF" w:val="clear"/>
                    </w:rPr>
                    <w:t>人</w:t>
                  </w:r>
                </w:p>
                <w:p>
                  <w:pPr>
                    <w:pStyle w:val="null3"/>
                    <w:spacing w:before="150"/>
                    <w:ind w:firstLine="320"/>
                    <w:jc w:val="both"/>
                  </w:pPr>
                  <w:r>
                    <w:rPr>
                      <w:rFonts w:ascii="仿宋_GB2312" w:hAnsi="仿宋_GB2312" w:cs="仿宋_GB2312" w:eastAsia="仿宋_GB2312"/>
                      <w:sz w:val="32"/>
                      <w:color w:val="000000"/>
                      <w:shd w:fill="FFFFFF" w:val="clear"/>
                    </w:rPr>
                    <w:t>员</w:t>
                  </w:r>
                </w:p>
              </w:tc>
              <w:tc>
                <w:tcPr>
                  <w:tcW w:type="dxa" w:w="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40"/>
                    <w:jc w:val="both"/>
                  </w:pPr>
                  <w:r>
                    <w:rPr>
                      <w:rFonts w:ascii="仿宋_GB2312" w:hAnsi="仿宋_GB2312" w:cs="仿宋_GB2312" w:eastAsia="仿宋_GB2312"/>
                      <w:sz w:val="32"/>
                      <w:color w:val="000000"/>
                      <w:shd w:fill="FFFFFF" w:val="clear"/>
                    </w:rPr>
                    <w:t>10人</w:t>
                  </w:r>
                </w:p>
              </w:tc>
              <w:tc>
                <w:tcPr>
                  <w:tcW w:type="dxa" w:w="20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after="120"/>
                    <w:jc w:val="left"/>
                  </w:pPr>
                  <w:r>
                    <w:rPr>
                      <w:rFonts w:ascii="仿宋_GB2312" w:hAnsi="仿宋_GB2312" w:cs="仿宋_GB2312" w:eastAsia="仿宋_GB2312"/>
                      <w:sz w:val="30"/>
                      <w:color w:val="000000"/>
                      <w:shd w:fill="FFFFFF" w:val="clear"/>
                    </w:rPr>
                    <w:t>1.政治品德：</w:t>
                  </w:r>
                  <w:r>
                    <w:rPr>
                      <w:rFonts w:ascii="仿宋_GB2312" w:hAnsi="仿宋_GB2312" w:cs="仿宋_GB2312" w:eastAsia="仿宋_GB2312"/>
                      <w:sz w:val="30"/>
                    </w:rPr>
                    <w:t>拥护国家教育方针，自觉遵守食品安全、校园管理相关法律法规，无违法违纪思想倾向。</w:t>
                  </w:r>
                </w:p>
                <w:p>
                  <w:pPr>
                    <w:pStyle w:val="null3"/>
                    <w:spacing w:before="120" w:after="120"/>
                    <w:jc w:val="left"/>
                  </w:pPr>
                  <w:r>
                    <w:rPr>
                      <w:rFonts w:ascii="仿宋_GB2312" w:hAnsi="仿宋_GB2312" w:cs="仿宋_GB2312" w:eastAsia="仿宋_GB2312"/>
                      <w:sz w:val="30"/>
                      <w:color w:val="000000"/>
                      <w:shd w:fill="FFFFFF" w:val="clear"/>
                    </w:rPr>
                    <w:t>2.资质证照：</w:t>
                  </w:r>
                  <w:r>
                    <w:rPr>
                      <w:rFonts w:ascii="仿宋_GB2312" w:hAnsi="仿宋_GB2312" w:cs="仿宋_GB2312" w:eastAsia="仿宋_GB2312"/>
                      <w:sz w:val="30"/>
                    </w:rPr>
                    <w:t>有效健康证</w:t>
                  </w:r>
                  <w:r>
                    <w:rPr>
                      <w:rFonts w:ascii="仿宋_GB2312" w:hAnsi="仿宋_GB2312" w:cs="仿宋_GB2312" w:eastAsia="仿宋_GB2312"/>
                      <w:sz w:val="30"/>
                    </w:rPr>
                    <w:t>由正规医疗机构出具，在有效期内，每年按时复检；患有痢疾、皮肤病、呼吸道传染病等有碍食品安全疾病者不予录用。</w:t>
                  </w:r>
                </w:p>
                <w:p>
                  <w:pPr>
                    <w:pStyle w:val="null3"/>
                    <w:spacing w:before="120" w:after="120"/>
                    <w:jc w:val="left"/>
                  </w:pPr>
                  <w:r>
                    <w:rPr>
                      <w:rFonts w:ascii="仿宋_GB2312" w:hAnsi="仿宋_GB2312" w:cs="仿宋_GB2312" w:eastAsia="仿宋_GB2312"/>
                      <w:sz w:val="30"/>
                      <w:color w:val="000000"/>
                      <w:shd w:fill="FFFFFF" w:val="clear"/>
                    </w:rPr>
                    <w:t>3.学历专业：</w:t>
                  </w:r>
                  <w:r>
                    <w:rPr>
                      <w:rFonts w:ascii="仿宋_GB2312" w:hAnsi="仿宋_GB2312" w:cs="仿宋_GB2312" w:eastAsia="仿宋_GB2312"/>
                      <w:sz w:val="30"/>
                    </w:rPr>
                    <w:t>初中及以上学历能看懂消杀配比、操作标识。</w:t>
                  </w:r>
                </w:p>
                <w:p>
                  <w:pPr>
                    <w:pStyle w:val="null3"/>
                    <w:spacing w:before="120" w:after="120"/>
                    <w:jc w:val="left"/>
                  </w:pPr>
                  <w:r>
                    <w:rPr>
                      <w:rFonts w:ascii="仿宋_GB2312" w:hAnsi="仿宋_GB2312" w:cs="仿宋_GB2312" w:eastAsia="仿宋_GB2312"/>
                      <w:sz w:val="30"/>
                      <w:color w:val="000000"/>
                      <w:shd w:fill="FFFFFF" w:val="clear"/>
                    </w:rPr>
                    <w:t>4.能力技能：</w:t>
                  </w:r>
                  <w:r>
                    <w:rPr>
                      <w:rFonts w:ascii="仿宋_GB2312" w:hAnsi="仿宋_GB2312" w:cs="仿宋_GB2312" w:eastAsia="仿宋_GB2312"/>
                      <w:sz w:val="30"/>
                    </w:rPr>
                    <w:t>能看懂消毒配比、台账记录表格，可手写填写每日消杀、留样。熟练掌握餐具清洗、环境消杀、排水沟清理、厨余垃圾处理全套规范流程。掌握</w:t>
                  </w:r>
                  <w:r>
                    <w:rPr>
                      <w:rFonts w:ascii="仿宋_GB2312" w:hAnsi="仿宋_GB2312" w:cs="仿宋_GB2312" w:eastAsia="仿宋_GB2312"/>
                      <w:sz w:val="30"/>
                    </w:rPr>
                    <w:t>250mg/L 含氯消毒液标准配比、使用、残留清除操作，区分工业消毒液与食品级消杀用品。掌握食材分类存放、生熟分开、食品留样规范操作，会识别变质食</w:t>
                  </w:r>
                </w:p>
                <w:p>
                  <w:pPr>
                    <w:pStyle w:val="null3"/>
                    <w:spacing w:before="150"/>
                    <w:jc w:val="both"/>
                  </w:pPr>
                  <w:r>
                    <w:rPr>
                      <w:rFonts w:ascii="仿宋_GB2312" w:hAnsi="仿宋_GB2312" w:cs="仿宋_GB2312" w:eastAsia="仿宋_GB2312"/>
                      <w:sz w:val="30"/>
                      <w:color w:val="000000"/>
                      <w:shd w:fill="FFFFFF" w:val="clear"/>
                    </w:rPr>
                    <w:t>5.年龄健康：年龄为23-50周岁（优秀者可放宽至50岁以上周岁）；身体健康 。</w:t>
                  </w:r>
                </w:p>
                <w:p>
                  <w:pPr>
                    <w:pStyle w:val="null3"/>
                    <w:spacing w:before="150"/>
                    <w:jc w:val="both"/>
                  </w:pPr>
                  <w:r>
                    <w:rPr>
                      <w:rFonts w:ascii="仿宋_GB2312" w:hAnsi="仿宋_GB2312" w:cs="仿宋_GB2312" w:eastAsia="仿宋_GB2312"/>
                      <w:sz w:val="30"/>
                      <w:color w:val="000000"/>
                      <w:shd w:fill="FFFFFF" w:val="clear"/>
                    </w:rPr>
                    <w:t>6.合规背景：无犯罪记录、未处于失信惩戒期 。</w:t>
                  </w:r>
                </w:p>
              </w:tc>
            </w:tr>
            <w:tr>
              <w:tc>
                <w:tcPr>
                  <w:tcW w:type="dxa" w:w="4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40"/>
                    <w:jc w:val="center"/>
                  </w:pPr>
                  <w:r>
                    <w:rPr>
                      <w:rFonts w:ascii="仿宋_GB2312" w:hAnsi="仿宋_GB2312" w:cs="仿宋_GB2312" w:eastAsia="仿宋_GB2312"/>
                      <w:sz w:val="32"/>
                      <w:color w:val="000000"/>
                      <w:shd w:fill="FFFFFF" w:val="clear"/>
                    </w:rPr>
                    <w:t>服</w:t>
                  </w:r>
                </w:p>
                <w:p>
                  <w:pPr>
                    <w:pStyle w:val="null3"/>
                    <w:spacing w:before="180"/>
                    <w:jc w:val="center"/>
                  </w:pPr>
                  <w:r>
                    <w:rPr>
                      <w:rFonts w:ascii="仿宋_GB2312" w:hAnsi="仿宋_GB2312" w:cs="仿宋_GB2312" w:eastAsia="仿宋_GB2312"/>
                      <w:sz w:val="32"/>
                      <w:color w:val="000000"/>
                      <w:shd w:fill="FFFFFF" w:val="clear"/>
                    </w:rPr>
                    <w:t>务</w:t>
                  </w:r>
                </w:p>
                <w:p>
                  <w:pPr>
                    <w:pStyle w:val="null3"/>
                    <w:spacing w:before="180"/>
                    <w:jc w:val="center"/>
                  </w:pPr>
                  <w:r>
                    <w:rPr>
                      <w:rFonts w:ascii="仿宋_GB2312" w:hAnsi="仿宋_GB2312" w:cs="仿宋_GB2312" w:eastAsia="仿宋_GB2312"/>
                      <w:sz w:val="32"/>
                      <w:color w:val="000000"/>
                      <w:shd w:fill="FFFFFF" w:val="clear"/>
                    </w:rPr>
                    <w:t>内</w:t>
                  </w:r>
                </w:p>
                <w:p>
                  <w:pPr>
                    <w:pStyle w:val="null3"/>
                    <w:spacing w:before="180"/>
                    <w:jc w:val="center"/>
                  </w:pPr>
                  <w:r>
                    <w:rPr>
                      <w:rFonts w:ascii="仿宋_GB2312" w:hAnsi="仿宋_GB2312" w:cs="仿宋_GB2312" w:eastAsia="仿宋_GB2312"/>
                      <w:sz w:val="32"/>
                      <w:color w:val="000000"/>
                      <w:shd w:fill="FFFFFF" w:val="clear"/>
                    </w:rPr>
                    <w:t>容</w:t>
                  </w:r>
                </w:p>
              </w:tc>
              <w:tc>
                <w:tcPr>
                  <w:tcW w:type="dxa" w:w="20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after="120"/>
                    <w:jc w:val="left"/>
                  </w:pPr>
                  <w:r>
                    <w:rPr>
                      <w:rFonts w:ascii="仿宋_GB2312" w:hAnsi="仿宋_GB2312" w:cs="仿宋_GB2312" w:eastAsia="仿宋_GB2312"/>
                      <w:sz w:val="21"/>
                    </w:rPr>
                    <w:t xml:space="preserve"> </w:t>
                  </w:r>
                  <w:r>
                    <w:rPr>
                      <w:rFonts w:ascii="仿宋_GB2312" w:hAnsi="仿宋_GB2312" w:cs="仿宋_GB2312" w:eastAsia="仿宋_GB2312"/>
                      <w:sz w:val="30"/>
                      <w:b/>
                    </w:rPr>
                    <w:t>1. 食品安全基础服务</w:t>
                  </w:r>
                </w:p>
                <w:p>
                  <w:pPr>
                    <w:pStyle w:val="null3"/>
                    <w:spacing w:before="120" w:after="120"/>
                    <w:jc w:val="left"/>
                  </w:pPr>
                  <w:r>
                    <w:rPr>
                      <w:rFonts w:ascii="仿宋_GB2312" w:hAnsi="仿宋_GB2312" w:cs="仿宋_GB2312" w:eastAsia="仿宋_GB2312"/>
                      <w:sz w:val="30"/>
                    </w:rPr>
                    <w:t>每日清理后厨地面、排水沟、油污淤泥、蛛网；及时清运厨余垃圾，清理积水防蚊虫滋生；按频次开展全域消杀并记录台账。</w:t>
                  </w:r>
                </w:p>
                <w:p>
                  <w:pPr>
                    <w:pStyle w:val="null3"/>
                    <w:spacing w:before="300" w:after="120"/>
                    <w:jc w:val="left"/>
                  </w:pPr>
                  <w:r>
                    <w:rPr>
                      <w:rFonts w:ascii="仿宋_GB2312" w:hAnsi="仿宋_GB2312" w:cs="仿宋_GB2312" w:eastAsia="仿宋_GB2312"/>
                      <w:sz w:val="30"/>
                      <w:b/>
                    </w:rPr>
                    <w:t>2. 食材加工管控服务</w:t>
                  </w:r>
                </w:p>
                <w:p>
                  <w:pPr>
                    <w:pStyle w:val="null3"/>
                    <w:spacing w:before="120" w:after="120"/>
                    <w:jc w:val="left"/>
                  </w:pPr>
                  <w:r>
                    <w:rPr>
                      <w:rFonts w:ascii="仿宋_GB2312" w:hAnsi="仿宋_GB2312" w:cs="仿宋_GB2312" w:eastAsia="仿宋_GB2312"/>
                      <w:sz w:val="30"/>
                    </w:rPr>
                    <w:t>生熟刀具容器分区使用；处理食材、清理垃圾后规范手部消毒；破损污染手套立即更换，严禁徒手接触直接入口食品。</w:t>
                  </w:r>
                </w:p>
                <w:p>
                  <w:pPr>
                    <w:pStyle w:val="null3"/>
                    <w:spacing w:before="300" w:after="120"/>
                    <w:jc w:val="left"/>
                  </w:pPr>
                  <w:r>
                    <w:rPr>
                      <w:rFonts w:ascii="仿宋_GB2312" w:hAnsi="仿宋_GB2312" w:cs="仿宋_GB2312" w:eastAsia="仿宋_GB2312"/>
                      <w:sz w:val="30"/>
                      <w:b/>
                    </w:rPr>
                    <w:t>3. 消毒标准化服务</w:t>
                  </w:r>
                </w:p>
                <w:p>
                  <w:pPr>
                    <w:pStyle w:val="null3"/>
                    <w:spacing w:before="120" w:after="120"/>
                    <w:jc w:val="left"/>
                  </w:pPr>
                  <w:r>
                    <w:rPr>
                      <w:rFonts w:ascii="仿宋_GB2312" w:hAnsi="仿宋_GB2312" w:cs="仿宋_GB2312" w:eastAsia="仿宋_GB2312"/>
                      <w:sz w:val="30"/>
                    </w:rPr>
                    <w:t>严格使用食品级合规消毒液，按</w:t>
                  </w:r>
                  <w:r>
                    <w:rPr>
                      <w:rFonts w:ascii="仿宋_GB2312" w:hAnsi="仿宋_GB2312" w:cs="仿宋_GB2312" w:eastAsia="仿宋_GB2312"/>
                      <w:sz w:val="30"/>
                    </w:rPr>
                    <w:t>250mg/L 标准配比消杀地面、垃圾桶；规范操作避免药剂残留灼伤，消毒后清水清洁；餐具执行一洗二冲三消毒四保洁流程。</w:t>
                  </w:r>
                </w:p>
                <w:p>
                  <w:pPr>
                    <w:pStyle w:val="null3"/>
                    <w:spacing w:before="300" w:after="120"/>
                    <w:jc w:val="left"/>
                  </w:pPr>
                  <w:r>
                    <w:rPr>
                      <w:rFonts w:ascii="仿宋_GB2312" w:hAnsi="仿宋_GB2312" w:cs="仿宋_GB2312" w:eastAsia="仿宋_GB2312"/>
                      <w:sz w:val="30"/>
                      <w:b/>
                    </w:rPr>
                    <w:t>4. 师生就餐保障服务</w:t>
                  </w:r>
                </w:p>
                <w:p>
                  <w:pPr>
                    <w:pStyle w:val="null3"/>
                    <w:spacing w:before="120" w:after="120"/>
                    <w:jc w:val="left"/>
                  </w:pPr>
                  <w:r>
                    <w:rPr>
                      <w:rFonts w:ascii="仿宋_GB2312" w:hAnsi="仿宋_GB2312" w:cs="仿宋_GB2312" w:eastAsia="仿宋_GB2312"/>
                      <w:sz w:val="30"/>
                    </w:rPr>
                    <w:t>按时制作、分餐，保证餐食温度与卫生；文明应答师生就餐咨询，妥善处理餐食意见；维护就餐区域整洁，及时清理餐桌垃圾。</w:t>
                  </w:r>
                </w:p>
                <w:p>
                  <w:pPr>
                    <w:pStyle w:val="null3"/>
                    <w:spacing w:before="300" w:after="120"/>
                    <w:jc w:val="left"/>
                  </w:pPr>
                  <w:r>
                    <w:rPr>
                      <w:rFonts w:ascii="仿宋_GB2312" w:hAnsi="仿宋_GB2312" w:cs="仿宋_GB2312" w:eastAsia="仿宋_GB2312"/>
                      <w:sz w:val="30"/>
                      <w:b/>
                    </w:rPr>
                    <w:t>5. 台账与校园配合服务</w:t>
                  </w:r>
                </w:p>
                <w:p>
                  <w:pPr>
                    <w:pStyle w:val="null3"/>
                    <w:spacing w:before="120" w:after="120"/>
                    <w:jc w:val="left"/>
                  </w:pPr>
                  <w:r>
                    <w:rPr>
                      <w:rFonts w:ascii="仿宋_GB2312" w:hAnsi="仿宋_GB2312" w:cs="仿宋_GB2312" w:eastAsia="仿宋_GB2312"/>
                      <w:sz w:val="30"/>
                    </w:rPr>
                    <w:t>每日填写消毒记录、食品留样记录；配合学校、市场监管开展食品安全检查、专项培训、整改落实；服从校园餐专项整治、信访隐患排查等临时工作安排。</w:t>
                  </w:r>
                </w:p>
                <w:p>
                  <w:pPr>
                    <w:pStyle w:val="null3"/>
                    <w:spacing w:before="300" w:after="120"/>
                    <w:jc w:val="left"/>
                  </w:pPr>
                  <w:r>
                    <w:rPr>
                      <w:rFonts w:ascii="仿宋_GB2312" w:hAnsi="仿宋_GB2312" w:cs="仿宋_GB2312" w:eastAsia="仿宋_GB2312"/>
                      <w:sz w:val="30"/>
                      <w:b/>
                    </w:rPr>
                    <w:t>6. 物资与库房管理服务</w:t>
                  </w:r>
                </w:p>
                <w:p>
                  <w:pPr>
                    <w:pStyle w:val="null3"/>
                    <w:spacing w:before="120" w:after="120"/>
                    <w:jc w:val="left"/>
                  </w:pPr>
                  <w:r>
                    <w:rPr>
                      <w:rFonts w:ascii="仿宋_GB2312" w:hAnsi="仿宋_GB2312" w:cs="仿宋_GB2312" w:eastAsia="仿宋_GB2312"/>
                      <w:sz w:val="30"/>
                    </w:rPr>
                    <w:t>食材、餐具分区存放，清晰标识分类，妥善保管消杀药剂，单独存放、规范领用登记。</w:t>
                  </w:r>
                </w:p>
                <w:p>
                  <w:pPr>
                    <w:pStyle w:val="null3"/>
                    <w:spacing w:before="150"/>
                    <w:jc w:val="both"/>
                  </w:pPr>
                </w:p>
              </w:tc>
            </w:tr>
            <w:tr>
              <w:tc>
                <w:tcPr>
                  <w:tcW w:type="dxa" w:w="46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32"/>
                      <w:color w:val="000000"/>
                      <w:shd w:fill="FFFFFF" w:val="clear"/>
                    </w:rPr>
                    <w:t>备注</w:t>
                  </w:r>
                </w:p>
              </w:tc>
              <w:tc>
                <w:tcPr>
                  <w:tcW w:type="dxa" w:w="20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32"/>
                      <w:color w:val="000000"/>
                      <w:shd w:fill="FFFFFF" w:val="clear"/>
                    </w:rPr>
                    <w:t>服务企业</w:t>
                  </w:r>
                  <w:r>
                    <w:rPr>
                      <w:rFonts w:ascii="仿宋_GB2312" w:hAnsi="仿宋_GB2312" w:cs="仿宋_GB2312" w:eastAsia="仿宋_GB2312"/>
                      <w:sz w:val="32"/>
                      <w:color w:val="000000"/>
                      <w:shd w:fill="FFFFFF" w:val="clear"/>
                    </w:rPr>
                    <w:t>必须为</w:t>
                  </w:r>
                  <w:r>
                    <w:rPr>
                      <w:rFonts w:ascii="仿宋_GB2312" w:hAnsi="仿宋_GB2312" w:cs="仿宋_GB2312" w:eastAsia="仿宋_GB2312"/>
                      <w:sz w:val="32"/>
                      <w:color w:val="000000"/>
                      <w:shd w:fill="FFFFFF" w:val="clear"/>
                    </w:rPr>
                    <w:t>其缴纳意外保险</w:t>
                  </w:r>
                  <w:r>
                    <w:rPr>
                      <w:rFonts w:ascii="仿宋_GB2312" w:hAnsi="仿宋_GB2312" w:cs="仿宋_GB2312" w:eastAsia="仿宋_GB2312"/>
                      <w:sz w:val="32"/>
                      <w:color w:val="000000"/>
                      <w:shd w:fill="FFFFFF" w:val="clear"/>
                    </w:rPr>
                    <w:t>，养老、医疗等可由个人以灵活就业自愿参保。</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澄城县城关第四小学校内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所提供服务的质量水平，符合采购文件服务企业投标承诺及采购合同约定的要求。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预付款，合同签订生效，达到付款条件起15个工作日内，支付合同总金额的20.0%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进度款，中期验收合格，达到付款条件起10个工作日内，支付合同总金额的40.0%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进度款，服务期满终验全部达标，达到付款条件起10个工作日内，支付合同总金额的40.0%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(1)具有独立承担民事责任能力，提供供应商合法注册的法人或其他组织的营业执照； (2)财务状况证明：提供2025年度经审计的财务报告（包含审计报告和审计报告中所涉及的财务报表和报表附注）或提供2025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 (3)提供具有履行合同所必需的设备和专业技术能力的说明及承诺（详见附件，加盖投标人公章） (4)税收缴纳证明：提供投标截止时间前六个月内任意一个月的纳税证明或完税证明；（以税款所属期为准，依法免税的应提供相关证明材料） (5)社会保障资金缴纳证明：供应商提供本单位2026年01月至今已缴纳的至少一个月的社会保障资金缴存单据或社保机构开具的社会保险参保缴费情况证明；（依法不需要缴纳社会保障资金的投标人应提供相关证明） (6)提供参加政府采购活动前三年内在经营活动中没有重大违法记录的书面声明；（详见附件，加盖投标人公章）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(7)单位负责人为同一人或者存在直接控股、管理关系的不同供应商不得参加同一合同项下的政府采购活动；（提供承诺函，格式自拟加盖投标人公章） (8)为本项目提供整体设计、规范编制或者项目管理、监理、检测等服务的供应商，不得再参加该采购项目的其他采购活动。（提供声明, 格式自拟加盖投标人公章）</w:t>
            </w:r>
          </w:p>
        </w:tc>
        <w:tc>
          <w:tcPr>
            <w:tcW w:type="dxa" w:w="1661"/>
          </w:tcPr>
          <w:p>
            <w:pPr>
              <w:pStyle w:val="null3"/>
            </w:pPr>
            <w:r>
              <w:rPr>
                <w:rFonts w:ascii="仿宋_GB2312" w:hAnsi="仿宋_GB2312" w:cs="仿宋_GB2312" w:eastAsia="仿宋_GB2312"/>
              </w:rPr>
              <w:t>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 网”（http://zxgk.court.gov.cn/）中列入失信 被执行人和“信用中国网站”（www.creditchina. gov.cn）重大税收违法案件当事人名单的供应商 ，不得为中国政府采购网（www.ccgp.gov.cn ）政府采购严重违法失信行为记录名单中被财政 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分项报价表(服务).docx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按照采购项目全部商务要求逐条响应，且不可负偏离，否则视为无效投标。</w:t>
            </w:r>
          </w:p>
        </w:tc>
        <w:tc>
          <w:tcPr>
            <w:tcW w:type="dxa" w:w="1661"/>
          </w:tcPr>
          <w:p>
            <w:pPr>
              <w:pStyle w:val="null3"/>
            </w:pPr>
            <w:r>
              <w:rPr>
                <w:rFonts w:ascii="仿宋_GB2312" w:hAnsi="仿宋_GB2312" w:cs="仿宋_GB2312" w:eastAsia="仿宋_GB2312"/>
              </w:rPr>
              <w:t>服务内容及服务要求应答表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①日常服务质量监管（5分）： 方案须包含每餐菜品质量检查、份量抽查、温度检测、剩餐分析、问题整改闭环等五项措施，每缺少一项措施扣1分，每一项中内容存在缺陷的，扣0.3-1分，扣完为止。 ②满意度测评与意见反馈（5分）： 方案须包含满意度调查方式（面向学校管理人员、学生及家长）、调查频次（每学期不少于1次）、意见收集渠道、改进措施、测评结果运用等五项措施，每缺少一项措施扣1分，每一项中内容存在缺陷的，扣0.3-1分，扣完为止。 说明：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人员紧急替补与供餐保障机制</w:t>
            </w:r>
          </w:p>
        </w:tc>
        <w:tc>
          <w:tcPr>
            <w:tcW w:type="dxa" w:w="2492"/>
          </w:tcPr>
          <w:p>
            <w:pPr>
              <w:pStyle w:val="null3"/>
            </w:pPr>
            <w:r>
              <w:rPr>
                <w:rFonts w:ascii="仿宋_GB2312" w:hAnsi="仿宋_GB2312" w:cs="仿宋_GB2312" w:eastAsia="仿宋_GB2312"/>
              </w:rPr>
              <w:t>须包含人员储备库建设、缺岗报告与响应时限、替补人员到岗时限、顶岗交接培训四项措施，每缺少一项措施扣1.5分，每一项中内容存在缺陷的，扣0.5-1.5分，扣完为止。 说明：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人员配备：拟投入的项目服务人员结构（年龄、学历）合理、岗位职责明确，项目服务人员须持有有效健康证和无犯罪证明，10人或10人以上得10分，不足10人得0分。（提供人员健康证和无犯罪证明复印件或扫描件） （2）项目服务人员中，每具有一个营养师证书 得1分，厨师证（国家职业资格三级及以上）得1分，食品安全管理员证书（或食品安全管理人员培训合格证明）得1分，本项最多得10分。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①供应商具有有效的食品经营许可证的得4分；未提供的不得分。②供应商具有有效的ISO22000食品安全管理体系认证或ISO9001质量管理体系认证证书的，每提供一项得1.5分，最高3分。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①培训内容设计（4分）： 方案须包含岗前培训及定期培训，培训内容须覆盖食品安全操作规范、营养搭配基础知识、服务礼仪与沟通技巧、突发事件应急处置等四项内容，每缺少一项内容扣1分，每一项中内容存在缺陷的，扣0.2-1分，扣完为止。 ②培训组织实施与考核验证（4分）： 方案须包含培训频次（每月不少于1次）、培训档案留存、考核合格标准、不合格人员再培训机制等四项措施，每缺少一项措施扣1分，每一项中内容存在缺陷的，扣0.2-1分，扣完为止。 说明： 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①卫生管理措施（6分）： 方案须包含餐厅环境卫生管理、餐具卫生管理、后厨卫生管理、食物储存卫生管理、从业人员个人卫生管理等五项内容，每缺少一项内容扣1.2分，每一项中存在缺陷的，扣0.3-1.2分，扣完为止。 ②卫生检查措施（4分）： 方案须包含日常检查频次及方式、检查记录与台账管理、问题整改与复查闭环、检查结果公示与运用等四项内容，每缺少一项内容扣1分，每一项中存在缺陷的，扣0.3-1分，扣完为止。 说明： 内容存在缺陷是指：内容与本项目无关、内容前后矛盾、明显违背常识或不可能实现的情形等任意一种情形。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履约能力综合承诺</w:t>
            </w:r>
          </w:p>
        </w:tc>
        <w:tc>
          <w:tcPr>
            <w:tcW w:type="dxa" w:w="2492"/>
          </w:tcPr>
          <w:p>
            <w:pPr>
              <w:pStyle w:val="null3"/>
            </w:pPr>
            <w:r>
              <w:rPr>
                <w:rFonts w:ascii="仿宋_GB2312" w:hAnsi="仿宋_GB2312" w:cs="仿宋_GB2312" w:eastAsia="仿宋_GB2312"/>
              </w:rPr>
              <w:t>供应商须同时作出以下五项承诺，每缺少一项扣2分：①承诺严格按照合同约定配备足额服务人员，不随意缩减人员；②承诺服务人员上岗前全部完成食品安全知识培训并考核合格；③承诺每日对服务人员进行晨检并记录，患有发热、腹泻、皮肤伤口感染等有碍食品安全疾病的从业人员立即调离岗位；④承诺规范使用学校提供的设施设备，发现故障或安全隐患立即报告校方；⑤承诺配合采购人及各级监管部门开展的各项检查，对检查发现的问题在规定时限内整改到位。每一项中存在缺陷的，扣1分。 说明： 内容存在缺陷是指：内容与本项目无关、内容前后矛盾、明显违背常识或不可能实现的情形等任意一种情形。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食堂现场管理方案</w:t>
            </w:r>
          </w:p>
        </w:tc>
        <w:tc>
          <w:tcPr>
            <w:tcW w:type="dxa" w:w="2492"/>
          </w:tcPr>
          <w:p>
            <w:pPr>
              <w:pStyle w:val="null3"/>
            </w:pPr>
            <w:r>
              <w:rPr>
                <w:rFonts w:ascii="仿宋_GB2312" w:hAnsi="仿宋_GB2312" w:cs="仿宋_GB2312" w:eastAsia="仿宋_GB2312"/>
              </w:rPr>
              <w:t>供应商针对本项目制定食堂现场管理方案。方案须同时包含以下五项内容：①食堂功能分区管理制度（含粗加工区、切配区、烹饪区、备餐区、洗消区等功能区的现场管理要求）；②食品添加剂专人保管、专人领用、专人登记、专柜保存、专用称量“五专”管理制度；③食堂防鼠、防虫、防蝇“三防”设施管理及定期检查制度；④餐厨废弃物分类存放及日产日清管理制度。每缺少一项扣2分。每一项中存在缺陷的，扣1分。说明： 内容存在缺陷是指：内容与本项目无关、内容前后矛盾、明显违背常识或不可能实现的情形等任意一种情形。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供应商2024年1月1日至今同类项目业绩，每提供1份得2分，最高得6分；业绩证明（以合同或中标通知书为准，须在投标文件中附合同或中标通知书的扫描件加盖单位公章）弄虚作假者，取消其中标资格。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 2.满足竞争性磋商文件实质性要求且最后报价最低的供应商的价格为磋商基准价，其价格分为满分15分。 3.磋商报价得分=（磋商基准价/磋商评审价）×15%×100的公式计算得分。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