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5C739">
      <w:pPr>
        <w:snapToGrid w:val="0"/>
        <w:rPr>
          <w:rFonts w:hint="eastAsia" w:ascii="宋体" w:hAnsi="宋体" w:eastAsia="宋体" w:cs="宋体"/>
          <w:b/>
          <w:color w:val="auto"/>
          <w:sz w:val="32"/>
          <w:szCs w:val="32"/>
          <w:lang w:eastAsia="zh-CN"/>
        </w:rPr>
      </w:pPr>
      <w:bookmarkStart w:id="0" w:name="_Toc183682338"/>
      <w:bookmarkStart w:id="1" w:name="_Toc217446030"/>
      <w:r>
        <w:rPr>
          <w:rFonts w:hint="eastAsia" w:ascii="宋体" w:hAnsi="宋体" w:cs="宋体"/>
          <w:b/>
          <w:color w:val="auto"/>
          <w:sz w:val="32"/>
          <w:szCs w:val="32"/>
        </w:rPr>
        <w:t>采购项目编号：</w:t>
      </w:r>
      <w:r>
        <w:rPr>
          <w:rFonts w:hint="eastAsia" w:ascii="宋体" w:hAnsi="宋体" w:cs="宋体"/>
          <w:b/>
          <w:color w:val="auto"/>
          <w:sz w:val="32"/>
          <w:lang w:eastAsia="zh-CN"/>
        </w:rPr>
        <w:t>YZ2026-ZB035</w:t>
      </w:r>
    </w:p>
    <w:p w14:paraId="09BF43E9">
      <w:pPr>
        <w:jc w:val="both"/>
        <w:rPr>
          <w:rFonts w:hint="eastAsia" w:cs="仿宋_GB2312" w:asciiTheme="minorEastAsia" w:hAnsiTheme="minorEastAsia" w:eastAsiaTheme="minorEastAsia"/>
          <w:b/>
          <w:bCs/>
          <w:color w:val="auto"/>
          <w:sz w:val="52"/>
          <w:szCs w:val="52"/>
          <w:lang w:eastAsia="zh-CN"/>
        </w:rPr>
      </w:pPr>
    </w:p>
    <w:p w14:paraId="6F099927">
      <w:pPr>
        <w:jc w:val="center"/>
        <w:rPr>
          <w:rFonts w:hint="eastAsia" w:cs="仿宋_GB2312" w:asciiTheme="minorEastAsia" w:hAnsiTheme="minorEastAsia" w:eastAsiaTheme="minorEastAsia"/>
          <w:b/>
          <w:bCs/>
          <w:color w:val="auto"/>
          <w:sz w:val="52"/>
          <w:szCs w:val="52"/>
          <w:lang w:val="en-US" w:eastAsia="zh-CN"/>
        </w:rPr>
      </w:pPr>
    </w:p>
    <w:p w14:paraId="64DD4D25">
      <w:pPr>
        <w:jc w:val="center"/>
        <w:rPr>
          <w:rFonts w:hint="eastAsia"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val="en-US" w:eastAsia="zh-CN"/>
        </w:rPr>
        <w:t>2026年大庄镇大东村、大西村、布王村集体经济建设项目</w:t>
      </w:r>
    </w:p>
    <w:p w14:paraId="4911D43E">
      <w:pPr>
        <w:jc w:val="center"/>
        <w:rPr>
          <w:rFonts w:hint="default"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eastAsia="zh-CN"/>
        </w:rPr>
        <w:t>二标段</w:t>
      </w:r>
    </w:p>
    <w:p w14:paraId="5630E332">
      <w:pPr>
        <w:jc w:val="center"/>
        <w:rPr>
          <w:rFonts w:hint="eastAsia" w:cs="仿宋_GB2312" w:asciiTheme="minorEastAsia" w:hAnsiTheme="minorEastAsia" w:eastAsiaTheme="minorEastAsia"/>
          <w:b/>
          <w:color w:val="auto"/>
          <w:sz w:val="72"/>
          <w:szCs w:val="72"/>
        </w:rPr>
      </w:pPr>
    </w:p>
    <w:p w14:paraId="5B6D3211">
      <w:pPr>
        <w:jc w:val="center"/>
        <w:rPr>
          <w:rFonts w:cs="仿宋_GB2312" w:asciiTheme="minorEastAsia" w:hAnsiTheme="minorEastAsia" w:eastAsiaTheme="minorEastAsia"/>
          <w:b/>
          <w:color w:val="auto"/>
          <w:sz w:val="40"/>
          <w:szCs w:val="32"/>
        </w:rPr>
      </w:pPr>
      <w:r>
        <w:rPr>
          <w:rFonts w:hint="eastAsia" w:cs="仿宋_GB2312" w:asciiTheme="minorEastAsia" w:hAnsiTheme="minorEastAsia" w:eastAsiaTheme="minorEastAsia"/>
          <w:b/>
          <w:color w:val="auto"/>
          <w:sz w:val="72"/>
          <w:szCs w:val="72"/>
        </w:rPr>
        <w:t>竞争性磋商文件</w:t>
      </w:r>
    </w:p>
    <w:p w14:paraId="290DCED1">
      <w:pPr>
        <w:pStyle w:val="14"/>
        <w:jc w:val="center"/>
        <w:rPr>
          <w:rFonts w:asciiTheme="minorEastAsia" w:hAnsiTheme="minorEastAsia" w:eastAsiaTheme="minorEastAsia"/>
          <w:color w:val="auto"/>
        </w:rPr>
      </w:pPr>
    </w:p>
    <w:p w14:paraId="5E263919">
      <w:pPr>
        <w:pStyle w:val="14"/>
        <w:jc w:val="center"/>
        <w:rPr>
          <w:rFonts w:ascii="宋体" w:hAnsi="宋体" w:cs="宋体"/>
          <w:color w:val="auto"/>
        </w:rPr>
      </w:pPr>
    </w:p>
    <w:p w14:paraId="4BA4F7AE">
      <w:pPr>
        <w:pStyle w:val="14"/>
        <w:jc w:val="center"/>
        <w:rPr>
          <w:rFonts w:cs="仿宋_GB2312" w:asciiTheme="minorEastAsia" w:hAnsiTheme="minorEastAsia" w:eastAsiaTheme="minorEastAsia"/>
          <w:color w:val="auto"/>
          <w:sz w:val="32"/>
        </w:rPr>
      </w:pPr>
      <w:r>
        <w:rPr>
          <w:rFonts w:hint="eastAsia" w:ascii="宋体" w:hAnsi="宋体" w:cs="宋体"/>
          <w:color w:val="auto"/>
        </w:rPr>
        <w:drawing>
          <wp:inline distT="0" distB="0" distL="114300" distR="114300">
            <wp:extent cx="2515235" cy="2515235"/>
            <wp:effectExtent l="0" t="0" r="18415" b="18415"/>
            <wp:docPr id="1" name="图片 1" descr="7baaeb6231b94665937627eb79c6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aaeb6231b94665937627eb79c636b"/>
                    <pic:cNvPicPr>
                      <a:picLocks noChangeAspect="1"/>
                    </pic:cNvPicPr>
                  </pic:nvPicPr>
                  <pic:blipFill>
                    <a:blip r:embed="rId23">
                      <a:clrChange>
                        <a:clrFrom>
                          <a:srgbClr val="FFFFFF"/>
                        </a:clrFrom>
                        <a:clrTo>
                          <a:srgbClr val="FFFFFF">
                            <a:alpha val="0"/>
                          </a:srgbClr>
                        </a:clrTo>
                      </a:clrChange>
                    </a:blip>
                    <a:stretch>
                      <a:fillRect/>
                    </a:stretch>
                  </pic:blipFill>
                  <pic:spPr>
                    <a:xfrm>
                      <a:off x="0" y="0"/>
                      <a:ext cx="2515235" cy="2515235"/>
                    </a:xfrm>
                    <a:prstGeom prst="rect">
                      <a:avLst/>
                    </a:prstGeom>
                    <a:noFill/>
                    <a:ln>
                      <a:noFill/>
                    </a:ln>
                  </pic:spPr>
                </pic:pic>
              </a:graphicData>
            </a:graphic>
          </wp:inline>
        </w:drawing>
      </w:r>
    </w:p>
    <w:p w14:paraId="2AC562D9">
      <w:pPr>
        <w:pStyle w:val="2"/>
        <w:rPr>
          <w:rFonts w:hint="eastAsia" w:eastAsia="宋体"/>
          <w:color w:val="auto"/>
          <w:lang w:eastAsia="zh-CN"/>
        </w:rPr>
      </w:pPr>
    </w:p>
    <w:p w14:paraId="1E9246E7">
      <w:pPr>
        <w:rPr>
          <w:color w:val="auto"/>
        </w:rPr>
      </w:pPr>
    </w:p>
    <w:p w14:paraId="2CF522D2">
      <w:pPr>
        <w:pStyle w:val="2"/>
        <w:rPr>
          <w:color w:val="auto"/>
        </w:rPr>
      </w:pPr>
    </w:p>
    <w:p w14:paraId="51F785B6">
      <w:pPr>
        <w:rPr>
          <w:color w:val="auto"/>
        </w:rPr>
      </w:pPr>
    </w:p>
    <w:p w14:paraId="3C2974D2">
      <w:pPr>
        <w:snapToGrid w:val="0"/>
        <w:spacing w:line="600" w:lineRule="auto"/>
        <w:ind w:firstLine="1807" w:firstLineChars="600"/>
        <w:rPr>
          <w:rFonts w:hint="default" w:cs="仿宋_GB2312" w:asciiTheme="minorEastAsia" w:hAnsiTheme="minorEastAsia" w:eastAsiaTheme="minorEastAsia"/>
          <w:b/>
          <w:color w:val="auto"/>
          <w:sz w:val="30"/>
          <w:szCs w:val="30"/>
          <w:lang w:val="en-US" w:eastAsia="zh-CN"/>
        </w:rPr>
      </w:pPr>
      <w:r>
        <w:rPr>
          <w:rFonts w:hint="eastAsia" w:cs="仿宋_GB2312" w:asciiTheme="minorEastAsia" w:hAnsiTheme="minorEastAsia" w:eastAsiaTheme="minorEastAsia"/>
          <w:b/>
          <w:color w:val="auto"/>
          <w:sz w:val="30"/>
          <w:szCs w:val="30"/>
        </w:rPr>
        <w:t>采   购   人：</w:t>
      </w:r>
      <w:r>
        <w:rPr>
          <w:rFonts w:hint="eastAsia" w:cs="仿宋_GB2312" w:asciiTheme="minorEastAsia" w:hAnsiTheme="minorEastAsia" w:eastAsiaTheme="minorEastAsia"/>
          <w:b/>
          <w:color w:val="auto"/>
          <w:sz w:val="30"/>
          <w:szCs w:val="30"/>
          <w:lang w:eastAsia="zh-CN"/>
        </w:rPr>
        <w:t>武功县</w:t>
      </w:r>
      <w:r>
        <w:rPr>
          <w:rFonts w:hint="eastAsia" w:cs="仿宋_GB2312" w:asciiTheme="minorEastAsia" w:hAnsiTheme="minorEastAsia" w:eastAsiaTheme="minorEastAsia"/>
          <w:b/>
          <w:color w:val="auto"/>
          <w:sz w:val="30"/>
          <w:szCs w:val="30"/>
          <w:lang w:val="en-US" w:eastAsia="zh-CN"/>
        </w:rPr>
        <w:t>大庄镇人民政府</w:t>
      </w:r>
    </w:p>
    <w:p w14:paraId="1C64CA63">
      <w:pPr>
        <w:snapToGrid w:val="0"/>
        <w:spacing w:line="600" w:lineRule="auto"/>
        <w:ind w:firstLine="1807" w:firstLineChars="600"/>
        <w:jc w:val="left"/>
        <w:rPr>
          <w:rFonts w:cs="仿宋_GB2312" w:asciiTheme="minorEastAsia" w:hAnsiTheme="minorEastAsia" w:eastAsiaTheme="minorEastAsia"/>
          <w:b/>
          <w:color w:val="auto"/>
          <w:sz w:val="30"/>
          <w:szCs w:val="30"/>
        </w:rPr>
      </w:pPr>
      <w:r>
        <w:rPr>
          <w:rFonts w:hint="eastAsia" w:cs="仿宋_GB2312" w:asciiTheme="minorEastAsia" w:hAnsiTheme="minorEastAsia" w:eastAsiaTheme="minorEastAsia"/>
          <w:b/>
          <w:color w:val="auto"/>
          <w:sz w:val="30"/>
          <w:szCs w:val="30"/>
        </w:rPr>
        <w:t xml:space="preserve">采购代理机构：陕西优正项目管理有限公司   </w:t>
      </w:r>
    </w:p>
    <w:p w14:paraId="74FE21D3">
      <w:pPr>
        <w:snapToGrid w:val="0"/>
        <w:spacing w:line="600" w:lineRule="auto"/>
        <w:jc w:val="center"/>
        <w:rPr>
          <w:rFonts w:ascii="宋体" w:hAnsi="宋体"/>
          <w:b/>
          <w:color w:val="auto"/>
          <w:sz w:val="28"/>
          <w:szCs w:val="28"/>
        </w:rPr>
        <w:sectPr>
          <w:headerReference r:id="rId4" w:type="first"/>
          <w:footerReference r:id="rId5" w:type="first"/>
          <w:headerReference r:id="rId3" w:type="default"/>
          <w:pgSz w:w="11906" w:h="16838"/>
          <w:pgMar w:top="1440" w:right="1080" w:bottom="1440" w:left="1080" w:header="851" w:footer="992" w:gutter="0"/>
          <w:cols w:space="720" w:num="1"/>
          <w:docGrid w:linePitch="312" w:charSpace="0"/>
        </w:sectPr>
      </w:pP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〇</w:t>
      </w: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六</w:t>
      </w:r>
      <w:r>
        <w:rPr>
          <w:rFonts w:hint="eastAsia" w:cs="仿宋_GB2312" w:asciiTheme="minorEastAsia" w:hAnsiTheme="minorEastAsia" w:eastAsiaTheme="minorEastAsia"/>
          <w:b/>
          <w:color w:val="auto"/>
          <w:sz w:val="30"/>
          <w:szCs w:val="30"/>
        </w:rPr>
        <w:t>年</w:t>
      </w:r>
      <w:r>
        <w:rPr>
          <w:rFonts w:hint="eastAsia" w:cs="仿宋_GB2312" w:asciiTheme="minorEastAsia" w:hAnsiTheme="minorEastAsia" w:eastAsiaTheme="minorEastAsia"/>
          <w:b/>
          <w:color w:val="auto"/>
          <w:sz w:val="30"/>
          <w:szCs w:val="30"/>
          <w:lang w:val="en-US" w:eastAsia="zh-CN"/>
        </w:rPr>
        <w:t>九</w:t>
      </w:r>
      <w:r>
        <w:rPr>
          <w:rFonts w:hint="eastAsia" w:cs="仿宋_GB2312" w:asciiTheme="minorEastAsia" w:hAnsiTheme="minorEastAsia" w:eastAsiaTheme="minorEastAsia"/>
          <w:b/>
          <w:color w:val="auto"/>
          <w:sz w:val="30"/>
          <w:szCs w:val="30"/>
        </w:rPr>
        <w:t>月</w:t>
      </w:r>
      <w:bookmarkEnd w:id="0"/>
      <w:bookmarkEnd w:id="1"/>
    </w:p>
    <w:sdt>
      <w:sdtPr>
        <w:rPr>
          <w:rFonts w:ascii="宋体" w:hAnsi="宋体" w:eastAsia="宋体" w:cs="Times New Roman"/>
          <w:b/>
          <w:bCs/>
          <w:kern w:val="2"/>
          <w:sz w:val="32"/>
          <w:szCs w:val="40"/>
          <w:lang w:val="en-US" w:eastAsia="zh-CN" w:bidi="ar-SA"/>
        </w:rPr>
        <w:id w:val="147454017"/>
        <w15:color w:val="DBDBDB"/>
        <w:docPartObj>
          <w:docPartGallery w:val="Table of Contents"/>
          <w:docPartUnique/>
        </w:docPartObj>
      </w:sdtPr>
      <w:sdtEndPr>
        <w:rPr>
          <w:rFonts w:ascii="宋体" w:hAnsi="宋体" w:eastAsia="宋体" w:cs="Times New Roman"/>
          <w:b/>
          <w:bCs/>
          <w:color w:val="auto"/>
          <w:kern w:val="2"/>
          <w:sz w:val="21"/>
          <w:szCs w:val="44"/>
          <w:lang w:val="zh-CN" w:eastAsia="zh-CN" w:bidi="ar-SA"/>
        </w:rPr>
      </w:sdtEndPr>
      <w:sdtContent>
        <w:p w14:paraId="035D57FC">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b/>
              <w:bCs/>
              <w:sz w:val="32"/>
              <w:szCs w:val="40"/>
            </w:rPr>
          </w:pPr>
          <w:r>
            <w:rPr>
              <w:rFonts w:ascii="宋体" w:hAnsi="宋体" w:eastAsia="宋体"/>
              <w:b/>
              <w:bCs/>
              <w:sz w:val="32"/>
              <w:szCs w:val="40"/>
            </w:rPr>
            <w:t>目</w:t>
          </w:r>
          <w:r>
            <w:rPr>
              <w:rFonts w:hint="eastAsia" w:ascii="宋体" w:hAnsi="宋体" w:eastAsia="宋体"/>
              <w:b/>
              <w:bCs/>
              <w:sz w:val="32"/>
              <w:szCs w:val="40"/>
              <w:lang w:val="en-US" w:eastAsia="zh-CN"/>
            </w:rPr>
            <w:t xml:space="preserve">   </w:t>
          </w:r>
          <w:r>
            <w:rPr>
              <w:rFonts w:ascii="宋体" w:hAnsi="宋体" w:eastAsia="宋体"/>
              <w:b/>
              <w:bCs/>
              <w:sz w:val="32"/>
              <w:szCs w:val="40"/>
            </w:rPr>
            <w:t>录</w:t>
          </w:r>
        </w:p>
        <w:p w14:paraId="4AF796BD">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b/>
              <w:color w:val="auto"/>
              <w:sz w:val="60"/>
              <w:szCs w:val="60"/>
              <w:lang w:val="zh-CN"/>
            </w:rPr>
            <w:fldChar w:fldCharType="begin"/>
          </w:r>
          <w:r>
            <w:rPr>
              <w:rFonts w:ascii="宋体" w:hAnsi="宋体"/>
              <w:b/>
              <w:color w:val="auto"/>
              <w:sz w:val="60"/>
              <w:szCs w:val="60"/>
              <w:lang w:val="zh-CN"/>
            </w:rPr>
            <w:instrText xml:space="preserve">TOC \o "1-1" \h \u </w:instrText>
          </w:r>
          <w:r>
            <w:rPr>
              <w:rFonts w:ascii="宋体" w:hAnsi="宋体"/>
              <w:b/>
              <w:color w:val="auto"/>
              <w:sz w:val="60"/>
              <w:szCs w:val="60"/>
              <w:lang w:val="zh-CN"/>
            </w:rPr>
            <w:fldChar w:fldCharType="separate"/>
          </w:r>
          <w:r>
            <w:rPr>
              <w:rFonts w:ascii="宋体" w:hAnsi="宋体"/>
              <w:color w:val="auto"/>
              <w:sz w:val="32"/>
              <w:szCs w:val="60"/>
              <w:lang w:val="zh-CN"/>
            </w:rPr>
            <w:fldChar w:fldCharType="begin"/>
          </w:r>
          <w:r>
            <w:rPr>
              <w:rFonts w:ascii="宋体" w:hAnsi="宋体"/>
              <w:sz w:val="32"/>
              <w:szCs w:val="60"/>
              <w:lang w:val="zh-CN"/>
            </w:rPr>
            <w:instrText xml:space="preserve"> HYPERLINK \l _Toc14137 </w:instrText>
          </w:r>
          <w:r>
            <w:rPr>
              <w:rFonts w:ascii="宋体" w:hAnsi="宋体"/>
              <w:sz w:val="32"/>
              <w:szCs w:val="60"/>
              <w:lang w:val="zh-CN"/>
            </w:rPr>
            <w:fldChar w:fldCharType="separate"/>
          </w:r>
          <w:r>
            <w:rPr>
              <w:rFonts w:hint="eastAsia" w:ascii="宋体" w:hAnsi="宋体"/>
              <w:bCs/>
              <w:sz w:val="32"/>
              <w:szCs w:val="60"/>
            </w:rPr>
            <w:t>第一章 竞争性磋商公告</w:t>
          </w:r>
          <w:r>
            <w:rPr>
              <w:sz w:val="32"/>
              <w:szCs w:val="40"/>
            </w:rPr>
            <w:tab/>
          </w:r>
          <w:r>
            <w:rPr>
              <w:sz w:val="32"/>
              <w:szCs w:val="40"/>
            </w:rPr>
            <w:fldChar w:fldCharType="begin"/>
          </w:r>
          <w:r>
            <w:rPr>
              <w:sz w:val="32"/>
              <w:szCs w:val="40"/>
            </w:rPr>
            <w:instrText xml:space="preserve"> PAGEREF _Toc14137 \h </w:instrText>
          </w:r>
          <w:r>
            <w:rPr>
              <w:sz w:val="32"/>
              <w:szCs w:val="40"/>
            </w:rPr>
            <w:fldChar w:fldCharType="separate"/>
          </w:r>
          <w:r>
            <w:rPr>
              <w:sz w:val="32"/>
              <w:szCs w:val="40"/>
            </w:rPr>
            <w:t>3</w:t>
          </w:r>
          <w:r>
            <w:rPr>
              <w:sz w:val="32"/>
              <w:szCs w:val="40"/>
            </w:rPr>
            <w:fldChar w:fldCharType="end"/>
          </w:r>
          <w:r>
            <w:rPr>
              <w:rFonts w:ascii="宋体" w:hAnsi="宋体"/>
              <w:color w:val="auto"/>
              <w:sz w:val="32"/>
              <w:szCs w:val="60"/>
              <w:lang w:val="zh-CN"/>
            </w:rPr>
            <w:fldChar w:fldCharType="end"/>
          </w:r>
        </w:p>
        <w:p w14:paraId="3CFDAE6B">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_Toc15283 </w:instrText>
          </w:r>
          <w:r>
            <w:rPr>
              <w:rFonts w:ascii="宋体" w:hAnsi="宋体"/>
              <w:sz w:val="32"/>
              <w:szCs w:val="60"/>
              <w:lang w:val="zh-CN"/>
            </w:rPr>
            <w:fldChar w:fldCharType="separate"/>
          </w:r>
          <w:r>
            <w:rPr>
              <w:rFonts w:hint="eastAsia" w:ascii="宋体" w:hAnsi="宋体"/>
              <w:sz w:val="32"/>
              <w:szCs w:val="60"/>
            </w:rPr>
            <w:t>第二章 供应商须知</w:t>
          </w:r>
          <w:r>
            <w:rPr>
              <w:sz w:val="32"/>
              <w:szCs w:val="40"/>
            </w:rPr>
            <w:tab/>
          </w:r>
          <w:r>
            <w:rPr>
              <w:sz w:val="32"/>
              <w:szCs w:val="40"/>
            </w:rPr>
            <w:fldChar w:fldCharType="begin"/>
          </w:r>
          <w:r>
            <w:rPr>
              <w:sz w:val="32"/>
              <w:szCs w:val="40"/>
            </w:rPr>
            <w:instrText xml:space="preserve"> PAGEREF _Toc15283 \h </w:instrText>
          </w:r>
          <w:r>
            <w:rPr>
              <w:sz w:val="32"/>
              <w:szCs w:val="40"/>
            </w:rPr>
            <w:fldChar w:fldCharType="separate"/>
          </w:r>
          <w:r>
            <w:rPr>
              <w:sz w:val="32"/>
              <w:szCs w:val="40"/>
            </w:rPr>
            <w:t>11</w:t>
          </w:r>
          <w:r>
            <w:rPr>
              <w:sz w:val="32"/>
              <w:szCs w:val="40"/>
            </w:rPr>
            <w:fldChar w:fldCharType="end"/>
          </w:r>
          <w:r>
            <w:rPr>
              <w:rFonts w:ascii="宋体" w:hAnsi="宋体"/>
              <w:color w:val="auto"/>
              <w:sz w:val="32"/>
              <w:szCs w:val="60"/>
              <w:lang w:val="zh-CN"/>
            </w:rPr>
            <w:fldChar w:fldCharType="end"/>
          </w:r>
        </w:p>
        <w:p w14:paraId="6743DAF0">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_Toc24960 </w:instrText>
          </w:r>
          <w:r>
            <w:rPr>
              <w:rFonts w:ascii="宋体" w:hAnsi="宋体"/>
              <w:sz w:val="32"/>
              <w:szCs w:val="60"/>
              <w:lang w:val="zh-CN"/>
            </w:rPr>
            <w:fldChar w:fldCharType="separate"/>
          </w:r>
          <w:r>
            <w:rPr>
              <w:rFonts w:hint="eastAsia" w:ascii="宋体" w:hAnsi="宋体"/>
              <w:sz w:val="32"/>
              <w:szCs w:val="60"/>
            </w:rPr>
            <w:t>第三章 磋商办法</w:t>
          </w:r>
          <w:r>
            <w:rPr>
              <w:sz w:val="32"/>
              <w:szCs w:val="40"/>
            </w:rPr>
            <w:tab/>
          </w:r>
          <w:r>
            <w:rPr>
              <w:sz w:val="32"/>
              <w:szCs w:val="40"/>
            </w:rPr>
            <w:fldChar w:fldCharType="begin"/>
          </w:r>
          <w:r>
            <w:rPr>
              <w:sz w:val="32"/>
              <w:szCs w:val="40"/>
            </w:rPr>
            <w:instrText xml:space="preserve"> PAGEREF _Toc24960 \h </w:instrText>
          </w:r>
          <w:r>
            <w:rPr>
              <w:sz w:val="32"/>
              <w:szCs w:val="40"/>
            </w:rPr>
            <w:fldChar w:fldCharType="separate"/>
          </w:r>
          <w:r>
            <w:rPr>
              <w:sz w:val="32"/>
              <w:szCs w:val="40"/>
            </w:rPr>
            <w:t>50</w:t>
          </w:r>
          <w:r>
            <w:rPr>
              <w:sz w:val="32"/>
              <w:szCs w:val="40"/>
            </w:rPr>
            <w:fldChar w:fldCharType="end"/>
          </w:r>
          <w:r>
            <w:rPr>
              <w:rFonts w:ascii="宋体" w:hAnsi="宋体"/>
              <w:color w:val="auto"/>
              <w:sz w:val="32"/>
              <w:szCs w:val="60"/>
              <w:lang w:val="zh-CN"/>
            </w:rPr>
            <w:fldChar w:fldCharType="end"/>
          </w:r>
        </w:p>
        <w:p w14:paraId="45C56324">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_Toc6620 </w:instrText>
          </w:r>
          <w:r>
            <w:rPr>
              <w:rFonts w:ascii="宋体" w:hAnsi="宋体"/>
              <w:sz w:val="32"/>
              <w:szCs w:val="60"/>
              <w:lang w:val="zh-CN"/>
            </w:rPr>
            <w:fldChar w:fldCharType="separate"/>
          </w:r>
          <w:r>
            <w:rPr>
              <w:rFonts w:hint="eastAsia" w:ascii="宋体" w:hAnsi="宋体"/>
              <w:sz w:val="32"/>
              <w:szCs w:val="60"/>
            </w:rPr>
            <w:t>第四章 采购内容及</w:t>
          </w:r>
          <w:r>
            <w:rPr>
              <w:rFonts w:hint="eastAsia" w:ascii="宋体" w:hAnsi="宋体"/>
              <w:sz w:val="32"/>
              <w:szCs w:val="60"/>
              <w:lang w:val="en-US" w:eastAsia="zh-CN"/>
            </w:rPr>
            <w:t>商务</w:t>
          </w:r>
          <w:r>
            <w:rPr>
              <w:rFonts w:hint="eastAsia" w:ascii="宋体" w:hAnsi="宋体"/>
              <w:sz w:val="32"/>
              <w:szCs w:val="60"/>
            </w:rPr>
            <w:t>要求</w:t>
          </w:r>
          <w:r>
            <w:rPr>
              <w:sz w:val="32"/>
              <w:szCs w:val="40"/>
            </w:rPr>
            <w:tab/>
          </w:r>
          <w:r>
            <w:rPr>
              <w:sz w:val="32"/>
              <w:szCs w:val="40"/>
            </w:rPr>
            <w:fldChar w:fldCharType="begin"/>
          </w:r>
          <w:r>
            <w:rPr>
              <w:sz w:val="32"/>
              <w:szCs w:val="40"/>
            </w:rPr>
            <w:instrText xml:space="preserve"> PAGEREF _Toc6620 \h </w:instrText>
          </w:r>
          <w:r>
            <w:rPr>
              <w:sz w:val="32"/>
              <w:szCs w:val="40"/>
            </w:rPr>
            <w:fldChar w:fldCharType="separate"/>
          </w:r>
          <w:r>
            <w:rPr>
              <w:sz w:val="32"/>
              <w:szCs w:val="40"/>
            </w:rPr>
            <w:t>64</w:t>
          </w:r>
          <w:r>
            <w:rPr>
              <w:sz w:val="32"/>
              <w:szCs w:val="40"/>
            </w:rPr>
            <w:fldChar w:fldCharType="end"/>
          </w:r>
          <w:r>
            <w:rPr>
              <w:rFonts w:ascii="宋体" w:hAnsi="宋体"/>
              <w:color w:val="auto"/>
              <w:sz w:val="32"/>
              <w:szCs w:val="60"/>
              <w:lang w:val="zh-CN"/>
            </w:rPr>
            <w:fldChar w:fldCharType="end"/>
          </w:r>
        </w:p>
        <w:p w14:paraId="5B386201">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_Toc26929 </w:instrText>
          </w:r>
          <w:r>
            <w:rPr>
              <w:rFonts w:ascii="宋体" w:hAnsi="宋体"/>
              <w:sz w:val="32"/>
              <w:szCs w:val="60"/>
              <w:lang w:val="zh-CN"/>
            </w:rPr>
            <w:fldChar w:fldCharType="separate"/>
          </w:r>
          <w:r>
            <w:rPr>
              <w:rFonts w:hint="eastAsia" w:ascii="宋体" w:hAnsi="宋体" w:eastAsia="宋体" w:cs="Times New Roman"/>
              <w:kern w:val="44"/>
              <w:sz w:val="32"/>
              <w:szCs w:val="60"/>
              <w:lang w:val="en-US" w:eastAsia="zh-CN"/>
            </w:rPr>
            <w:t>第五章 主</w:t>
          </w:r>
          <w:r>
            <w:rPr>
              <w:rFonts w:hint="eastAsia" w:ascii="宋体" w:hAnsi="宋体"/>
              <w:kern w:val="44"/>
              <w:sz w:val="32"/>
              <w:szCs w:val="60"/>
              <w:lang w:val="en-US" w:eastAsia="zh-CN"/>
            </w:rPr>
            <w:t>要</w:t>
          </w:r>
          <w:r>
            <w:rPr>
              <w:rFonts w:hint="eastAsia" w:ascii="宋体" w:hAnsi="宋体"/>
              <w:kern w:val="44"/>
              <w:sz w:val="32"/>
              <w:szCs w:val="60"/>
            </w:rPr>
            <w:t>合同条款</w:t>
          </w:r>
          <w:r>
            <w:rPr>
              <w:sz w:val="32"/>
              <w:szCs w:val="40"/>
            </w:rPr>
            <w:tab/>
          </w:r>
          <w:r>
            <w:rPr>
              <w:sz w:val="32"/>
              <w:szCs w:val="40"/>
            </w:rPr>
            <w:fldChar w:fldCharType="begin"/>
          </w:r>
          <w:r>
            <w:rPr>
              <w:sz w:val="32"/>
              <w:szCs w:val="40"/>
            </w:rPr>
            <w:instrText xml:space="preserve"> PAGEREF _Toc26929 \h </w:instrText>
          </w:r>
          <w:r>
            <w:rPr>
              <w:sz w:val="32"/>
              <w:szCs w:val="40"/>
            </w:rPr>
            <w:fldChar w:fldCharType="separate"/>
          </w:r>
          <w:r>
            <w:rPr>
              <w:sz w:val="32"/>
              <w:szCs w:val="40"/>
            </w:rPr>
            <w:t>67</w:t>
          </w:r>
          <w:r>
            <w:rPr>
              <w:sz w:val="32"/>
              <w:szCs w:val="40"/>
            </w:rPr>
            <w:fldChar w:fldCharType="end"/>
          </w:r>
          <w:r>
            <w:rPr>
              <w:rFonts w:ascii="宋体" w:hAnsi="宋体"/>
              <w:color w:val="auto"/>
              <w:sz w:val="32"/>
              <w:szCs w:val="60"/>
              <w:lang w:val="zh-CN"/>
            </w:rPr>
            <w:fldChar w:fldCharType="end"/>
          </w:r>
        </w:p>
        <w:p w14:paraId="37650DE5">
          <w:pPr>
            <w:pStyle w:val="16"/>
            <w:keepNext w:val="0"/>
            <w:keepLines w:val="0"/>
            <w:pageBreakBefore w:val="0"/>
            <w:widowControl w:val="0"/>
            <w:tabs>
              <w:tab w:val="right" w:leader="dot" w:pos="9746"/>
            </w:tabs>
            <w:kinsoku/>
            <w:wordWrap/>
            <w:overflowPunct/>
            <w:topLinePunct w:val="0"/>
            <w:autoSpaceDE/>
            <w:autoSpaceDN/>
            <w:bidi w:val="0"/>
            <w:adjustRightInd/>
            <w:snapToGrid/>
            <w:spacing w:line="480" w:lineRule="auto"/>
            <w:textAlignment w:val="auto"/>
            <w:rPr>
              <w:sz w:val="32"/>
              <w:szCs w:val="40"/>
            </w:rPr>
          </w:pPr>
          <w:r>
            <w:rPr>
              <w:rFonts w:ascii="宋体" w:hAnsi="宋体"/>
              <w:color w:val="auto"/>
              <w:sz w:val="32"/>
              <w:szCs w:val="60"/>
              <w:lang w:val="zh-CN"/>
            </w:rPr>
            <w:fldChar w:fldCharType="begin"/>
          </w:r>
          <w:r>
            <w:rPr>
              <w:rFonts w:ascii="宋体" w:hAnsi="宋体"/>
              <w:sz w:val="32"/>
              <w:szCs w:val="60"/>
              <w:lang w:val="zh-CN"/>
            </w:rPr>
            <w:instrText xml:space="preserve"> HYPERLINK \l _Toc28898 </w:instrText>
          </w:r>
          <w:r>
            <w:rPr>
              <w:rFonts w:ascii="宋体" w:hAnsi="宋体"/>
              <w:sz w:val="32"/>
              <w:szCs w:val="60"/>
              <w:lang w:val="zh-CN"/>
            </w:rPr>
            <w:fldChar w:fldCharType="separate"/>
          </w:r>
          <w:r>
            <w:rPr>
              <w:rFonts w:hint="eastAsia" w:ascii="宋体" w:hAnsi="宋体"/>
              <w:sz w:val="32"/>
              <w:szCs w:val="60"/>
            </w:rPr>
            <w:t>第六章 响应文件格式</w:t>
          </w:r>
          <w:r>
            <w:rPr>
              <w:sz w:val="32"/>
              <w:szCs w:val="40"/>
            </w:rPr>
            <w:tab/>
          </w:r>
          <w:r>
            <w:rPr>
              <w:sz w:val="32"/>
              <w:szCs w:val="40"/>
            </w:rPr>
            <w:fldChar w:fldCharType="begin"/>
          </w:r>
          <w:r>
            <w:rPr>
              <w:sz w:val="32"/>
              <w:szCs w:val="40"/>
            </w:rPr>
            <w:instrText xml:space="preserve"> PAGEREF _Toc28898 \h </w:instrText>
          </w:r>
          <w:r>
            <w:rPr>
              <w:sz w:val="32"/>
              <w:szCs w:val="40"/>
            </w:rPr>
            <w:fldChar w:fldCharType="separate"/>
          </w:r>
          <w:r>
            <w:rPr>
              <w:sz w:val="32"/>
              <w:szCs w:val="40"/>
            </w:rPr>
            <w:t>101</w:t>
          </w:r>
          <w:r>
            <w:rPr>
              <w:sz w:val="32"/>
              <w:szCs w:val="40"/>
            </w:rPr>
            <w:fldChar w:fldCharType="end"/>
          </w:r>
          <w:r>
            <w:rPr>
              <w:rFonts w:ascii="宋体" w:hAnsi="宋体"/>
              <w:color w:val="auto"/>
              <w:sz w:val="32"/>
              <w:szCs w:val="60"/>
              <w:lang w:val="zh-CN"/>
            </w:rPr>
            <w:fldChar w:fldCharType="end"/>
          </w:r>
        </w:p>
        <w:p w14:paraId="25D271BA">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eastAsia="宋体" w:cs="Times New Roman"/>
              <w:color w:val="auto"/>
              <w:kern w:val="2"/>
              <w:sz w:val="21"/>
              <w:szCs w:val="44"/>
              <w:lang w:val="zh-CN" w:eastAsia="zh-CN" w:bidi="ar-SA"/>
            </w:rPr>
          </w:pPr>
          <w:r>
            <w:rPr>
              <w:rFonts w:ascii="宋体" w:hAnsi="宋体"/>
              <w:color w:val="auto"/>
              <w:sz w:val="32"/>
              <w:szCs w:val="60"/>
              <w:lang w:val="zh-CN"/>
            </w:rPr>
            <w:fldChar w:fldCharType="end"/>
          </w:r>
        </w:p>
      </w:sdtContent>
    </w:sdt>
    <w:p w14:paraId="3220D8D0">
      <w:pPr>
        <w:rPr>
          <w:rFonts w:hint="eastAsia" w:ascii="宋体" w:hAnsi="宋体"/>
          <w:b/>
          <w:bCs/>
          <w:color w:val="auto"/>
          <w:sz w:val="44"/>
          <w:szCs w:val="44"/>
        </w:rPr>
      </w:pPr>
      <w:bookmarkStart w:id="2" w:name="_Toc14137"/>
      <w:bookmarkStart w:id="3" w:name="_Toc10021"/>
      <w:r>
        <w:rPr>
          <w:rFonts w:hint="eastAsia" w:ascii="宋体" w:hAnsi="宋体"/>
          <w:b/>
          <w:bCs/>
          <w:color w:val="auto"/>
          <w:sz w:val="44"/>
          <w:szCs w:val="44"/>
        </w:rPr>
        <w:br w:type="page"/>
      </w:r>
    </w:p>
    <w:p w14:paraId="6B6B10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
          <w:bCs/>
          <w:color w:val="auto"/>
        </w:rPr>
      </w:pPr>
      <w:r>
        <w:rPr>
          <w:rFonts w:hint="eastAsia" w:ascii="宋体" w:hAnsi="宋体"/>
          <w:b/>
          <w:bCs/>
          <w:color w:val="auto"/>
          <w:sz w:val="44"/>
          <w:szCs w:val="44"/>
        </w:rPr>
        <w:t>第一章  竞争性磋商公告</w:t>
      </w:r>
      <w:bookmarkEnd w:id="2"/>
      <w:bookmarkEnd w:id="3"/>
    </w:p>
    <w:p w14:paraId="7BDDF3C6">
      <w:pPr>
        <w:pStyle w:val="2"/>
        <w:spacing w:before="0" w:after="200" w:line="360" w:lineRule="auto"/>
        <w:jc w:val="center"/>
        <w:rPr>
          <w:rFonts w:hint="eastAsia"/>
          <w:b/>
          <w:bCs/>
          <w:spacing w:val="7"/>
          <w:sz w:val="28"/>
          <w:szCs w:val="28"/>
          <w:lang w:eastAsia="zh-CN"/>
        </w:rPr>
      </w:pPr>
      <w:bookmarkStart w:id="4" w:name="_Toc213396759"/>
      <w:bookmarkStart w:id="5" w:name="_Toc213397009"/>
      <w:bookmarkStart w:id="6" w:name="_Toc213396945"/>
      <w:bookmarkStart w:id="7" w:name="_Toc213496267"/>
      <w:bookmarkStart w:id="8" w:name="_Toc217446031"/>
      <w:bookmarkStart w:id="9" w:name="_Toc89075871"/>
      <w:bookmarkStart w:id="10" w:name="_Toc183682339"/>
      <w:bookmarkStart w:id="11" w:name="_Toc183582202"/>
      <w:bookmarkStart w:id="12" w:name="_Toc77400776"/>
      <w:r>
        <w:rPr>
          <w:rFonts w:hint="eastAsia"/>
          <w:b/>
          <w:bCs/>
          <w:spacing w:val="7"/>
          <w:sz w:val="28"/>
          <w:szCs w:val="28"/>
          <w:lang w:eastAsia="zh-CN"/>
        </w:rPr>
        <w:t>2026年大庄镇大东村、大西村、布王村集体经济建设项目</w:t>
      </w:r>
    </w:p>
    <w:p w14:paraId="7AC2F6D4">
      <w:pPr>
        <w:pStyle w:val="2"/>
        <w:spacing w:before="0" w:after="200" w:line="360" w:lineRule="auto"/>
        <w:jc w:val="center"/>
      </w:pPr>
      <w:r>
        <w:rPr>
          <w:b/>
          <w:bCs/>
          <w:spacing w:val="7"/>
          <w:sz w:val="28"/>
          <w:szCs w:val="28"/>
        </w:rPr>
        <w:t>竞争性磋商公告</w:t>
      </w:r>
    </w:p>
    <w:p w14:paraId="6E8CB9C7">
      <w:pPr>
        <w:pStyle w:val="41"/>
        <w:spacing w:before="120" w:after="40" w:line="360" w:lineRule="auto"/>
        <w:ind w:left="145"/>
        <w:outlineLvl w:val="9"/>
        <w:rPr>
          <w:rFonts w:hint="eastAsia" w:ascii="仿宋" w:hAnsi="仿宋" w:eastAsia="仿宋" w:cs="仿宋"/>
          <w:sz w:val="24"/>
          <w:szCs w:val="24"/>
        </w:rPr>
      </w:pPr>
      <w:r>
        <w:rPr>
          <w:rFonts w:hint="eastAsia" w:ascii="仿宋" w:hAnsi="仿宋" w:eastAsia="仿宋" w:cs="仿宋"/>
          <w:b/>
          <w:bCs/>
          <w:spacing w:val="6"/>
          <w:sz w:val="24"/>
          <w:szCs w:val="24"/>
        </w:rPr>
        <w:t>项目概况</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5DCB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71" w:type="dxa"/>
          </w:tcPr>
          <w:p w14:paraId="362D24E4">
            <w:pPr>
              <w:spacing w:before="0" w:after="60" w:line="360" w:lineRule="auto"/>
              <w:ind w:firstLine="508" w:firstLineChars="200"/>
              <w:rPr>
                <w:rFonts w:hint="eastAsia" w:ascii="仿宋" w:hAnsi="仿宋" w:eastAsia="仿宋" w:cs="仿宋"/>
                <w:spacing w:val="6"/>
                <w:sz w:val="24"/>
                <w:szCs w:val="24"/>
                <w:vertAlign w:val="baseline"/>
              </w:rPr>
            </w:pPr>
            <w:r>
              <w:rPr>
                <w:rFonts w:hint="eastAsia" w:ascii="仿宋" w:hAnsi="仿宋" w:eastAsia="仿宋" w:cs="仿宋"/>
                <w:spacing w:val="7"/>
                <w:sz w:val="24"/>
                <w:szCs w:val="24"/>
                <w:lang w:eastAsia="zh-CN"/>
              </w:rPr>
              <w:t>2026年大庄镇大东村、大西村、布王村集体经济建设项目</w:t>
            </w:r>
            <w:r>
              <w:rPr>
                <w:rFonts w:hint="eastAsia" w:ascii="仿宋" w:hAnsi="仿宋" w:eastAsia="仿宋" w:cs="仿宋"/>
                <w:spacing w:val="7"/>
                <w:sz w:val="24"/>
                <w:szCs w:val="24"/>
              </w:rPr>
              <w:t>的潜在供应商应在陕西省咸阳市秦都区新华大厦1508室</w:t>
            </w:r>
            <w:r>
              <w:rPr>
                <w:rFonts w:hint="eastAsia" w:ascii="仿宋" w:hAnsi="仿宋" w:eastAsia="仿宋" w:cs="仿宋"/>
                <w:spacing w:val="6"/>
                <w:sz w:val="24"/>
                <w:szCs w:val="24"/>
              </w:rPr>
              <w:t>获取采购文件，并</w:t>
            </w:r>
            <w:r>
              <w:rPr>
                <w:rFonts w:hint="eastAsia" w:ascii="仿宋" w:hAnsi="仿宋" w:eastAsia="仿宋" w:cs="仿宋"/>
                <w:spacing w:val="4"/>
                <w:sz w:val="24"/>
                <w:szCs w:val="24"/>
              </w:rPr>
              <w:t>于2026年</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月</w:t>
            </w:r>
            <w:r>
              <w:rPr>
                <w:rFonts w:hint="eastAsia" w:ascii="仿宋" w:hAnsi="仿宋" w:eastAsia="仿宋" w:cs="仿宋"/>
                <w:spacing w:val="4"/>
                <w:sz w:val="24"/>
                <w:szCs w:val="24"/>
                <w:lang w:val="en-US" w:eastAsia="zh-CN"/>
              </w:rPr>
              <w:t>22</w:t>
            </w:r>
            <w:r>
              <w:rPr>
                <w:rFonts w:hint="eastAsia" w:ascii="仿宋" w:hAnsi="仿宋" w:eastAsia="仿宋" w:cs="仿宋"/>
                <w:spacing w:val="4"/>
                <w:sz w:val="24"/>
                <w:szCs w:val="24"/>
              </w:rPr>
              <w:t>日</w:t>
            </w:r>
            <w:r>
              <w:rPr>
                <w:rFonts w:hint="eastAsia" w:ascii="仿宋" w:hAnsi="仿宋" w:eastAsia="仿宋" w:cs="仿宋"/>
                <w:spacing w:val="4"/>
                <w:sz w:val="24"/>
                <w:szCs w:val="24"/>
                <w:lang w:val="en-US" w:eastAsia="zh-CN"/>
              </w:rPr>
              <w:t>09</w:t>
            </w:r>
            <w:r>
              <w:rPr>
                <w:rFonts w:hint="eastAsia" w:ascii="仿宋" w:hAnsi="仿宋" w:eastAsia="仿宋" w:cs="仿宋"/>
                <w:spacing w:val="4"/>
                <w:sz w:val="24"/>
                <w:szCs w:val="24"/>
              </w:rPr>
              <w:t>时</w:t>
            </w:r>
            <w:r>
              <w:rPr>
                <w:rFonts w:hint="eastAsia" w:ascii="仿宋" w:hAnsi="仿宋" w:eastAsia="仿宋" w:cs="仿宋"/>
                <w:spacing w:val="4"/>
                <w:sz w:val="24"/>
                <w:szCs w:val="24"/>
                <w:lang w:val="en-US" w:eastAsia="zh-CN"/>
              </w:rPr>
              <w:t>30</w:t>
            </w:r>
            <w:r>
              <w:rPr>
                <w:rFonts w:hint="eastAsia" w:ascii="仿宋" w:hAnsi="仿宋" w:eastAsia="仿宋" w:cs="仿宋"/>
                <w:spacing w:val="4"/>
                <w:sz w:val="24"/>
                <w:szCs w:val="24"/>
              </w:rPr>
              <w:t>分（北京时间）前提交响应文件。</w:t>
            </w:r>
          </w:p>
        </w:tc>
      </w:tr>
    </w:tbl>
    <w:p w14:paraId="0113B0BE">
      <w:pPr>
        <w:pStyle w:val="2"/>
        <w:keepNext w:val="0"/>
        <w:keepLines w:val="0"/>
        <w:pageBreakBefore w:val="0"/>
        <w:numPr>
          <w:ilvl w:val="0"/>
          <w:numId w:val="2"/>
        </w:numPr>
        <w:kinsoku/>
        <w:wordWrap/>
        <w:overflowPunct/>
        <w:topLinePunct w:val="0"/>
        <w:autoSpaceDE/>
        <w:autoSpaceDN/>
        <w:bidi w:val="0"/>
        <w:adjustRightInd/>
        <w:snapToGrid/>
        <w:spacing w:before="200" w:after="60" w:line="360" w:lineRule="auto"/>
        <w:textAlignment w:val="auto"/>
        <w:outlineLvl w:val="9"/>
        <w:rPr>
          <w:rFonts w:hint="eastAsia" w:ascii="仿宋" w:hAnsi="仿宋" w:eastAsia="仿宋" w:cs="仿宋"/>
          <w:b/>
          <w:bCs/>
          <w:spacing w:val="6"/>
          <w:sz w:val="24"/>
          <w:szCs w:val="24"/>
        </w:rPr>
      </w:pPr>
      <w:r>
        <w:rPr>
          <w:rFonts w:hint="eastAsia" w:ascii="仿宋" w:hAnsi="仿宋" w:eastAsia="仿宋" w:cs="仿宋"/>
          <w:b/>
          <w:bCs/>
          <w:spacing w:val="6"/>
          <w:sz w:val="24"/>
          <w:szCs w:val="24"/>
        </w:rPr>
        <w:t>项目基本情况</w:t>
      </w:r>
    </w:p>
    <w:p w14:paraId="554EDDC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项目编号：YZ2026-ZB035</w:t>
      </w:r>
    </w:p>
    <w:p w14:paraId="4E0C7C0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项目名称：2026年大庄镇大东村、大西村、布王村集体经济建设项目</w:t>
      </w:r>
    </w:p>
    <w:p w14:paraId="49DA2C6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53BE57A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预算金额：2,558,085.12元</w:t>
      </w:r>
    </w:p>
    <w:p w14:paraId="2D6F6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49F18D4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w:t>
      </w:r>
    </w:p>
    <w:p w14:paraId="32CD0E00">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合同包预算金额：1,632,401.13元</w:t>
      </w:r>
    </w:p>
    <w:p w14:paraId="683CC5EC">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合同包最高限价：1,632,401.13元</w:t>
      </w:r>
    </w:p>
    <w:tbl>
      <w:tblPr>
        <w:tblStyle w:val="23"/>
        <w:tblW w:w="1013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1"/>
        <w:gridCol w:w="1664"/>
        <w:gridCol w:w="2847"/>
        <w:gridCol w:w="1042"/>
        <w:gridCol w:w="1636"/>
        <w:gridCol w:w="1958"/>
      </w:tblGrid>
      <w:tr w14:paraId="3CCB9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1" w:hRule="atLeast"/>
        </w:trPr>
        <w:tc>
          <w:tcPr>
            <w:tcW w:w="991" w:type="dxa"/>
          </w:tcPr>
          <w:p w14:paraId="0B8E038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664" w:type="dxa"/>
          </w:tcPr>
          <w:p w14:paraId="1EC33C4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47" w:type="dxa"/>
          </w:tcPr>
          <w:p w14:paraId="57B02C3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042" w:type="dxa"/>
          </w:tcPr>
          <w:p w14:paraId="6585F2E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36" w:type="dxa"/>
          </w:tcPr>
          <w:p w14:paraId="6A9F830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958" w:type="dxa"/>
          </w:tcPr>
          <w:p w14:paraId="58A509F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04BE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83" w:hRule="atLeast"/>
        </w:trPr>
        <w:tc>
          <w:tcPr>
            <w:tcW w:w="991" w:type="dxa"/>
          </w:tcPr>
          <w:p w14:paraId="04539AB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664" w:type="dxa"/>
          </w:tcPr>
          <w:p w14:paraId="6F7A2F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47" w:type="dxa"/>
          </w:tcPr>
          <w:p w14:paraId="749EE503">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2026年大庄镇大东村、大西村、布王村集体经济建设项目一标段</w:t>
            </w:r>
          </w:p>
        </w:tc>
        <w:tc>
          <w:tcPr>
            <w:tcW w:w="1042" w:type="dxa"/>
          </w:tcPr>
          <w:p w14:paraId="6B36412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36" w:type="dxa"/>
          </w:tcPr>
          <w:p w14:paraId="2A531FF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958" w:type="dxa"/>
          </w:tcPr>
          <w:p w14:paraId="1A46A6E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1,632,401.13</w:t>
            </w:r>
          </w:p>
        </w:tc>
      </w:tr>
    </w:tbl>
    <w:p w14:paraId="3EA76BC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23E1499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4F1FFE2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w:t>
      </w:r>
    </w:p>
    <w:p w14:paraId="48741A21">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合同包预算金额：402,394.40元</w:t>
      </w:r>
    </w:p>
    <w:p w14:paraId="645869CD">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合同包最高限价：402,394.40元</w:t>
      </w:r>
    </w:p>
    <w:tbl>
      <w:tblPr>
        <w:tblStyle w:val="23"/>
        <w:tblW w:w="101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6"/>
        <w:gridCol w:w="1594"/>
        <w:gridCol w:w="2894"/>
        <w:gridCol w:w="1176"/>
        <w:gridCol w:w="1690"/>
        <w:gridCol w:w="1729"/>
      </w:tblGrid>
      <w:tr w14:paraId="59437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9" w:hRule="atLeast"/>
        </w:trPr>
        <w:tc>
          <w:tcPr>
            <w:tcW w:w="1096" w:type="dxa"/>
          </w:tcPr>
          <w:p w14:paraId="3699F7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66A8508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894" w:type="dxa"/>
          </w:tcPr>
          <w:p w14:paraId="23E37C2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38C6E7D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0" w:type="dxa"/>
          </w:tcPr>
          <w:p w14:paraId="0ACEDE7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29" w:type="dxa"/>
          </w:tcPr>
          <w:p w14:paraId="6E96E575">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B1CD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5" w:hRule="atLeast"/>
        </w:trPr>
        <w:tc>
          <w:tcPr>
            <w:tcW w:w="1096" w:type="dxa"/>
          </w:tcPr>
          <w:p w14:paraId="4DD64B2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594" w:type="dxa"/>
          </w:tcPr>
          <w:p w14:paraId="5FA7E88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894" w:type="dxa"/>
          </w:tcPr>
          <w:p w14:paraId="48D694B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2026年大庄镇大东村、大西村、布王村集体经济建设项目二标段</w:t>
            </w:r>
          </w:p>
        </w:tc>
        <w:tc>
          <w:tcPr>
            <w:tcW w:w="1176" w:type="dxa"/>
          </w:tcPr>
          <w:p w14:paraId="0DD8C43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0" w:type="dxa"/>
          </w:tcPr>
          <w:p w14:paraId="7931F91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29" w:type="dxa"/>
          </w:tcPr>
          <w:p w14:paraId="6453F109">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402,394.40</w:t>
            </w:r>
          </w:p>
        </w:tc>
      </w:tr>
    </w:tbl>
    <w:p w14:paraId="3F90BDF6">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7E7E2E1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3145A1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w:t>
      </w:r>
    </w:p>
    <w:p w14:paraId="7415F39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合同包预算金额：523,289.59元</w:t>
      </w:r>
    </w:p>
    <w:p w14:paraId="4ABE7022">
      <w:pPr>
        <w:pStyle w:val="43"/>
        <w:keepNext w:val="0"/>
        <w:keepLines w:val="0"/>
        <w:pageBreakBefore w:val="0"/>
        <w:kinsoku/>
        <w:wordWrap/>
        <w:overflowPunct/>
        <w:topLinePunct w:val="0"/>
        <w:autoSpaceDE/>
        <w:autoSpaceDN/>
        <w:bidi w:val="0"/>
        <w:adjustRightInd/>
        <w:snapToGrid/>
        <w:spacing w:line="360" w:lineRule="auto"/>
        <w:ind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合同包最高限价：523,289.59元</w:t>
      </w:r>
    </w:p>
    <w:tbl>
      <w:tblPr>
        <w:tblStyle w:val="23"/>
        <w:tblW w:w="1019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4"/>
        <w:gridCol w:w="1594"/>
        <w:gridCol w:w="2918"/>
        <w:gridCol w:w="1176"/>
        <w:gridCol w:w="1693"/>
        <w:gridCol w:w="1732"/>
      </w:tblGrid>
      <w:tr w14:paraId="435A6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5" w:hRule="atLeast"/>
        </w:trPr>
        <w:tc>
          <w:tcPr>
            <w:tcW w:w="1084" w:type="dxa"/>
          </w:tcPr>
          <w:p w14:paraId="777E2AA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594" w:type="dxa"/>
          </w:tcPr>
          <w:p w14:paraId="1131DFDA">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918" w:type="dxa"/>
          </w:tcPr>
          <w:p w14:paraId="206A0A1C">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6" w:type="dxa"/>
          </w:tcPr>
          <w:p w14:paraId="44A883D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数量（单位）</w:t>
            </w:r>
          </w:p>
        </w:tc>
        <w:tc>
          <w:tcPr>
            <w:tcW w:w="1693" w:type="dxa"/>
          </w:tcPr>
          <w:p w14:paraId="2546537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732" w:type="dxa"/>
          </w:tcPr>
          <w:p w14:paraId="682D13D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47FD5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9" w:hRule="atLeast"/>
        </w:trPr>
        <w:tc>
          <w:tcPr>
            <w:tcW w:w="1084" w:type="dxa"/>
          </w:tcPr>
          <w:p w14:paraId="0B55844F">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3-1</w:t>
            </w:r>
          </w:p>
        </w:tc>
        <w:tc>
          <w:tcPr>
            <w:tcW w:w="1594" w:type="dxa"/>
          </w:tcPr>
          <w:p w14:paraId="3D3C790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其他建筑工程</w:t>
            </w:r>
          </w:p>
        </w:tc>
        <w:tc>
          <w:tcPr>
            <w:tcW w:w="2918" w:type="dxa"/>
          </w:tcPr>
          <w:p w14:paraId="67EAAC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2026年大庄镇大东村、大西村、布王村集体经济建设项目三标段</w:t>
            </w:r>
          </w:p>
        </w:tc>
        <w:tc>
          <w:tcPr>
            <w:tcW w:w="1176" w:type="dxa"/>
          </w:tcPr>
          <w:p w14:paraId="089C107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693" w:type="dxa"/>
          </w:tcPr>
          <w:p w14:paraId="12A5AFD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732" w:type="dxa"/>
          </w:tcPr>
          <w:p w14:paraId="634F2E5D">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523,289.59</w:t>
            </w:r>
          </w:p>
        </w:tc>
      </w:tr>
    </w:tbl>
    <w:p w14:paraId="1DC8D8A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6C2BD1B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 xml:space="preserve"> 合同履行期限：详见竞争性磋商文件</w:t>
      </w:r>
    </w:p>
    <w:p w14:paraId="53170670">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二、申请人的资格要求：</w:t>
      </w:r>
    </w:p>
    <w:p w14:paraId="212B1C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D56ABD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629A62B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合同包1(2026年大庄镇大东村、大西村、布王村集体经济建设项目一标段)落实政府采购政策需满足的资格要求如下:</w:t>
      </w:r>
    </w:p>
    <w:p w14:paraId="53ABDFEA">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7A173797">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合同包2(2026年大庄镇大东村、大西村、布王村集体经济建设项目二标段)落实政府采购政策需满足的资格要求如下:</w:t>
      </w:r>
    </w:p>
    <w:p w14:paraId="6D83D1A8">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6A281A32">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合同包3(2026年大庄镇大东村、大西村、布王村集体经济建设项目三标段)落实政府采购政策需满足的资格要求如下:</w:t>
      </w:r>
    </w:p>
    <w:p w14:paraId="187BC2CC">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 46号）；</w:t>
      </w:r>
      <w:r>
        <w:rPr>
          <w:rFonts w:hint="eastAsia" w:ascii="仿宋" w:hAnsi="仿宋" w:eastAsia="仿宋" w:cs="仿宋"/>
          <w:sz w:val="24"/>
          <w:szCs w:val="24"/>
        </w:rPr>
        <w:br w:type="textWrapping"/>
      </w:r>
      <w:r>
        <w:rPr>
          <w:rFonts w:hint="eastAsia" w:ascii="仿宋" w:hAnsi="仿宋" w:eastAsia="仿宋" w:cs="仿宋"/>
          <w:sz w:val="24"/>
          <w:szCs w:val="24"/>
        </w:rPr>
        <w:t>（2）《关于进一步加大政府采购支持中小企业力度的通知》（财库〔2022〕 19号）；</w:t>
      </w:r>
      <w:r>
        <w:rPr>
          <w:rFonts w:hint="eastAsia" w:ascii="仿宋" w:hAnsi="仿宋" w:eastAsia="仿宋" w:cs="仿宋"/>
          <w:sz w:val="24"/>
          <w:szCs w:val="24"/>
        </w:rPr>
        <w:br w:type="textWrapping"/>
      </w:r>
      <w:r>
        <w:rPr>
          <w:rFonts w:hint="eastAsia" w:ascii="仿宋" w:hAnsi="仿宋" w:eastAsia="仿宋" w:cs="仿宋"/>
          <w:sz w:val="24"/>
          <w:szCs w:val="24"/>
        </w:rPr>
        <w:t>（3）《财政部司法部关于政府采购支持监狱企业发展有关问题的通知》（财库〔2014〕 68号）；</w:t>
      </w:r>
      <w:r>
        <w:rPr>
          <w:rFonts w:hint="eastAsia" w:ascii="仿宋" w:hAnsi="仿宋" w:eastAsia="仿宋" w:cs="仿宋"/>
          <w:sz w:val="24"/>
          <w:szCs w:val="24"/>
        </w:rPr>
        <w:br w:type="textWrapping"/>
      </w:r>
      <w:r>
        <w:rPr>
          <w:rFonts w:hint="eastAsia" w:ascii="仿宋" w:hAnsi="仿宋" w:eastAsia="仿宋" w:cs="仿宋"/>
          <w:sz w:val="24"/>
          <w:szCs w:val="24"/>
        </w:rPr>
        <w:t>（4）《国务院办公厅关于建立政府强制采购节能产品制度的通知》（国办发〔2007〕 51号）；</w:t>
      </w:r>
      <w:r>
        <w:rPr>
          <w:rFonts w:hint="eastAsia" w:ascii="仿宋" w:hAnsi="仿宋" w:eastAsia="仿宋" w:cs="仿宋"/>
          <w:sz w:val="24"/>
          <w:szCs w:val="24"/>
        </w:rPr>
        <w:br w:type="textWrapping"/>
      </w:r>
      <w:r>
        <w:rPr>
          <w:rFonts w:hint="eastAsia" w:ascii="仿宋" w:hAnsi="仿宋" w:eastAsia="仿宋" w:cs="仿宋"/>
          <w:sz w:val="24"/>
          <w:szCs w:val="24"/>
        </w:rPr>
        <w:t>（5）《关于促进残疾人就业政府采购政策的通知》财库〔2017〕 141号；</w:t>
      </w:r>
      <w:r>
        <w:rPr>
          <w:rFonts w:hint="eastAsia" w:ascii="仿宋" w:hAnsi="仿宋" w:eastAsia="仿宋" w:cs="仿宋"/>
          <w:sz w:val="24"/>
          <w:szCs w:val="24"/>
        </w:rPr>
        <w:br w:type="textWrapping"/>
      </w:r>
      <w:r>
        <w:rPr>
          <w:rFonts w:hint="eastAsia" w:ascii="仿宋" w:hAnsi="仿宋" w:eastAsia="仿宋" w:cs="仿宋"/>
          <w:sz w:val="24"/>
          <w:szCs w:val="24"/>
        </w:rPr>
        <w:t>（6）《关于调整优化节能产品、环境标志产品政府采购执行机制的通知》（财库〔2019〕 9号）；</w:t>
      </w:r>
      <w:r>
        <w:rPr>
          <w:rFonts w:hint="eastAsia" w:ascii="仿宋" w:hAnsi="仿宋" w:eastAsia="仿宋" w:cs="仿宋"/>
          <w:sz w:val="24"/>
          <w:szCs w:val="24"/>
        </w:rPr>
        <w:br w:type="textWrapping"/>
      </w:r>
      <w:r>
        <w:rPr>
          <w:rFonts w:hint="eastAsia" w:ascii="仿宋" w:hAnsi="仿宋" w:eastAsia="仿宋" w:cs="仿宋"/>
          <w:sz w:val="24"/>
          <w:szCs w:val="24"/>
        </w:rPr>
        <w:t>（7）《关于运用政府采购政策支持乡村产业振兴的通知》（财库〔2021〕 19号）；</w:t>
      </w:r>
      <w:r>
        <w:rPr>
          <w:rFonts w:hint="eastAsia" w:ascii="仿宋" w:hAnsi="仿宋" w:eastAsia="仿宋" w:cs="仿宋"/>
          <w:sz w:val="24"/>
          <w:szCs w:val="24"/>
        </w:rPr>
        <w:br w:type="textWrapping"/>
      </w:r>
      <w:r>
        <w:rPr>
          <w:rFonts w:hint="eastAsia" w:ascii="仿宋" w:hAnsi="仿宋" w:eastAsia="仿宋" w:cs="仿宋"/>
          <w:sz w:val="24"/>
          <w:szCs w:val="24"/>
        </w:rPr>
        <w:t>（8）《陕西省中小企业政府采购信用融资办法》（陕财办采〔2018〕 23号）；</w:t>
      </w:r>
      <w:r>
        <w:rPr>
          <w:rFonts w:hint="eastAsia" w:ascii="仿宋" w:hAnsi="仿宋" w:eastAsia="仿宋" w:cs="仿宋"/>
          <w:sz w:val="24"/>
          <w:szCs w:val="24"/>
        </w:rPr>
        <w:br w:type="textWrapping"/>
      </w:r>
      <w:r>
        <w:rPr>
          <w:rFonts w:hint="eastAsia" w:ascii="仿宋" w:hAnsi="仿宋" w:eastAsia="仿宋" w:cs="仿宋"/>
          <w:sz w:val="24"/>
          <w:szCs w:val="24"/>
        </w:rPr>
        <w:t>（9）《陕西省财政厅关于加快推进我省中小企业政府采购信用融资工作的通知》（陕财办采〔2020〕 15号）；</w:t>
      </w:r>
      <w:r>
        <w:rPr>
          <w:rFonts w:hint="eastAsia" w:ascii="仿宋" w:hAnsi="仿宋" w:eastAsia="仿宋" w:cs="仿宋"/>
          <w:sz w:val="24"/>
          <w:szCs w:val="24"/>
        </w:rPr>
        <w:br w:type="textWrapping"/>
      </w:r>
      <w:r>
        <w:rPr>
          <w:rFonts w:hint="eastAsia" w:ascii="仿宋" w:hAnsi="仿宋" w:eastAsia="仿宋" w:cs="仿宋"/>
          <w:sz w:val="24"/>
          <w:szCs w:val="24"/>
        </w:rPr>
        <w:t>（10）《陕西省财政厅关于进一步加强政府绿色采购有关问题的通知》（陕财办采〔2021〕 29号）；</w:t>
      </w:r>
      <w:r>
        <w:rPr>
          <w:rFonts w:hint="eastAsia" w:ascii="仿宋" w:hAnsi="仿宋" w:eastAsia="仿宋" w:cs="仿宋"/>
          <w:sz w:val="24"/>
          <w:szCs w:val="24"/>
        </w:rPr>
        <w:br w:type="textWrapping"/>
      </w:r>
      <w:r>
        <w:rPr>
          <w:rFonts w:hint="eastAsia" w:ascii="仿宋" w:hAnsi="仿宋" w:eastAsia="仿宋" w:cs="仿宋"/>
          <w:sz w:val="24"/>
          <w:szCs w:val="24"/>
        </w:rPr>
        <w:t>（11）其他需要落实的政府采购政策,如有最新颁布的政府采购政策，按最新的文件执行。</w:t>
      </w:r>
    </w:p>
    <w:p w14:paraId="5A7EA7A8">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2B2BB9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合同包1(2026年大庄镇大东村、大西村、布王村集体经济建设项目一标段)特定资格要求如下:</w:t>
      </w:r>
    </w:p>
    <w:p w14:paraId="5EFC9C00">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37F05C2B">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合同包2(2026年大庄镇大东村、大西村、布王村集体经济建设项目二标段)特定资格要求如下:</w:t>
      </w:r>
    </w:p>
    <w:p w14:paraId="49B6FA8B">
      <w:pPr>
        <w:pStyle w:val="43"/>
        <w:keepNext w:val="0"/>
        <w:keepLines w:val="0"/>
        <w:pageBreakBefore w:val="0"/>
        <w:kinsoku/>
        <w:wordWrap/>
        <w:overflowPunct/>
        <w:topLinePunct w:val="0"/>
        <w:autoSpaceDE/>
        <w:autoSpaceDN/>
        <w:bidi w:val="0"/>
        <w:adjustRightInd/>
        <w:snapToGrid/>
        <w:spacing w:line="360" w:lineRule="auto"/>
        <w:ind w:left="480"/>
        <w:textAlignment w:val="auto"/>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405EEA31">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合同包3(2026年大庄镇大东村、大西村、布王村集体经济建设项目三标段)特定资格要求如下:</w:t>
      </w:r>
    </w:p>
    <w:p w14:paraId="62649FD1">
      <w:pPr>
        <w:pStyle w:val="43"/>
        <w:keepNext w:val="0"/>
        <w:keepLines w:val="0"/>
        <w:pageBreakBefore w:val="0"/>
        <w:kinsoku/>
        <w:wordWrap/>
        <w:overflowPunct/>
        <w:topLinePunct w:val="0"/>
        <w:autoSpaceDE/>
        <w:autoSpaceDN/>
        <w:bidi w:val="0"/>
        <w:adjustRightInd/>
        <w:snapToGrid/>
        <w:spacing w:line="360" w:lineRule="auto"/>
        <w:ind w:left="480"/>
        <w:textAlignment w:val="auto"/>
        <w:outlineLvl w:val="9"/>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75B4964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三、获取采购文件</w:t>
      </w:r>
    </w:p>
    <w:p w14:paraId="66791C74">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时间： 2026年09月10日 至 2026年09月16日 ，每天上午 09:00:00 至 12:00:00 ，下午 14:00:00 至 17:00:00 （北京时间）</w:t>
      </w:r>
    </w:p>
    <w:p w14:paraId="3859BB5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途径：陕西省咸阳市秦都区新华大厦1508室</w:t>
      </w:r>
    </w:p>
    <w:p w14:paraId="3E56D54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方式：现场获取</w:t>
      </w:r>
    </w:p>
    <w:p w14:paraId="3B39F2C0">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0F23402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四、响应文件提交</w:t>
      </w:r>
    </w:p>
    <w:p w14:paraId="79C0403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截止时间： 2026年09月22日 09时30分00秒 （北京时间）</w:t>
      </w:r>
    </w:p>
    <w:p w14:paraId="4F1066ED">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336D448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五、开启</w:t>
      </w:r>
    </w:p>
    <w:p w14:paraId="5BCC768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时间： 2026年09月22日 09时30分00秒 （北京时间）</w:t>
      </w:r>
    </w:p>
    <w:p w14:paraId="5DE7E27E">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地点：陕西省咸阳市秦都区新华大厦1508室</w:t>
      </w:r>
    </w:p>
    <w:p w14:paraId="1078DE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六、公告期限</w:t>
      </w:r>
    </w:p>
    <w:p w14:paraId="46B733FE">
      <w:pPr>
        <w:pStyle w:val="43"/>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177E664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七、其他补充事宜</w:t>
      </w:r>
    </w:p>
    <w:p w14:paraId="4C3ABED0">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1、本项目专门面向中小企业采购。</w:t>
      </w:r>
    </w:p>
    <w:p w14:paraId="4BBB0797">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2、获取竞争性磋商文件时需携带：单位介绍信、经办人身份证原件及复印件。法定代表人获取文件时携带法定代表人身份证明书及本人身份证原件以上资料均须加盖供应商公章。</w:t>
      </w:r>
    </w:p>
    <w:p w14:paraId="32B03B19">
      <w:pPr>
        <w:pStyle w:val="43"/>
        <w:keepNext w:val="0"/>
        <w:keepLines w:val="0"/>
        <w:pageBreakBefore w:val="0"/>
        <w:kinsoku/>
        <w:wordWrap/>
        <w:overflowPunct/>
        <w:topLinePunct w:val="0"/>
        <w:autoSpaceDE/>
        <w:autoSpaceDN/>
        <w:bidi w:val="0"/>
        <w:adjustRightInd/>
        <w:snapToGrid/>
        <w:spacing w:line="360" w:lineRule="auto"/>
        <w:ind w:firstLine="420"/>
        <w:jc w:val="both"/>
        <w:textAlignment w:val="auto"/>
        <w:rPr>
          <w:rFonts w:hint="eastAsia" w:ascii="仿宋" w:hAnsi="仿宋" w:eastAsia="仿宋" w:cs="仿宋"/>
          <w:sz w:val="24"/>
          <w:szCs w:val="24"/>
        </w:rPr>
      </w:pPr>
      <w:r>
        <w:rPr>
          <w:rFonts w:hint="eastAsia" w:ascii="仿宋" w:hAnsi="仿宋" w:eastAsia="仿宋" w:cs="仿宋"/>
          <w:sz w:val="24"/>
          <w:szCs w:val="24"/>
          <w:shd w:val="clear" w:fill="FFFFFF"/>
        </w:rPr>
        <w:t>3、投标人登记免费领取竞争性磋商文件的，如不参与项目投标，应在递交投标（或响应）文件截止时间一日前以书面形式告知采购代理机构。否则，采购代理机构可以向财政部门反映情况并提供相应的佐证。投标人一年内累计出现三次该情形，将被监管部门记录为失信行为。</w:t>
      </w:r>
    </w:p>
    <w:p w14:paraId="02954533">
      <w:pPr>
        <w:pStyle w:val="4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4、请投标人按照陕西省财政厅关于政府采购投标人注册登记有关事项的通知中的要求， 通过陕西省政府采购网（http://www.ccgp-shaanxi.gov.cn/）注册登记加入陕西省政府采购投标人库。</w:t>
      </w:r>
    </w:p>
    <w:p w14:paraId="7FDD1F4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6BCFB51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1.采购人信息</w:t>
      </w:r>
    </w:p>
    <w:p w14:paraId="16C811D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名称：武功县大庄镇人民政府</w:t>
      </w:r>
    </w:p>
    <w:p w14:paraId="6C695F03">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地址：武功县大庄镇曹家十字东100米</w:t>
      </w:r>
    </w:p>
    <w:p w14:paraId="5503268C">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联系方式：029-37511368</w:t>
      </w:r>
    </w:p>
    <w:p w14:paraId="68E1B157">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2.采购代理机构信息</w:t>
      </w:r>
    </w:p>
    <w:p w14:paraId="2FD5E6AF">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名称：陕西优正项目管理有限公司</w:t>
      </w:r>
    </w:p>
    <w:p w14:paraId="3E93C4C5">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地址：陕西省咸阳市秦都区新华大厦1508室</w:t>
      </w:r>
    </w:p>
    <w:p w14:paraId="645563A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联系方式：13060389778</w:t>
      </w:r>
    </w:p>
    <w:p w14:paraId="637DDE99">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b/>
          <w:sz w:val="24"/>
          <w:szCs w:val="24"/>
        </w:rPr>
        <w:t>3.项目联系方式</w:t>
      </w:r>
    </w:p>
    <w:p w14:paraId="11AF9938">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项目联系人：王亚倩</w:t>
      </w:r>
    </w:p>
    <w:p w14:paraId="2DF11BB4">
      <w:pPr>
        <w:pStyle w:val="43"/>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电话：13060389978</w:t>
      </w:r>
    </w:p>
    <w:p w14:paraId="657C73DE">
      <w:pPr>
        <w:pStyle w:val="43"/>
        <w:keepNext w:val="0"/>
        <w:keepLines w:val="0"/>
        <w:pageBreakBefore w:val="0"/>
        <w:kinsoku/>
        <w:wordWrap/>
        <w:overflowPunct/>
        <w:topLinePunct w:val="0"/>
        <w:autoSpaceDE/>
        <w:autoSpaceDN/>
        <w:bidi w:val="0"/>
        <w:adjustRightInd/>
        <w:snapToGrid/>
        <w:spacing w:line="360" w:lineRule="auto"/>
        <w:jc w:val="right"/>
        <w:textAlignment w:val="auto"/>
      </w:pPr>
      <w:r>
        <w:rPr>
          <w:rFonts w:hint="eastAsia" w:ascii="仿宋" w:hAnsi="仿宋" w:eastAsia="仿宋" w:cs="仿宋"/>
          <w:sz w:val="24"/>
          <w:szCs w:val="24"/>
        </w:rPr>
        <w:t>陕西优正项目管理有限公</w:t>
      </w:r>
      <w:r>
        <w:rPr>
          <w:rFonts w:ascii="仿宋_GB2312" w:hAnsi="仿宋_GB2312" w:eastAsia="仿宋_GB2312" w:cs="仿宋_GB2312"/>
        </w:rPr>
        <w:t>司</w:t>
      </w:r>
    </w:p>
    <w:p w14:paraId="21F5A75D">
      <w:pPr>
        <w:pStyle w:val="43"/>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仿宋" w:hAnsi="仿宋" w:eastAsia="仿宋" w:cs="仿宋"/>
          <w:sz w:val="24"/>
          <w:szCs w:val="24"/>
        </w:rPr>
      </w:pPr>
      <w:r>
        <w:rPr>
          <w:rFonts w:hint="eastAsia" w:ascii="仿宋" w:hAnsi="仿宋" w:eastAsia="仿宋" w:cs="仿宋"/>
          <w:sz w:val="24"/>
          <w:szCs w:val="24"/>
        </w:rPr>
        <w:t>2026年09月09日</w:t>
      </w:r>
    </w:p>
    <w:p w14:paraId="18E869FC">
      <w:pPr>
        <w:rPr>
          <w:rFonts w:ascii="宋体" w:hAnsi="宋体"/>
          <w:color w:val="auto"/>
          <w:sz w:val="44"/>
          <w:szCs w:val="44"/>
        </w:rPr>
      </w:pPr>
      <w:r>
        <w:rPr>
          <w:rFonts w:hint="eastAsia" w:ascii="宋体" w:hAnsi="宋体"/>
          <w:color w:val="auto"/>
          <w:sz w:val="44"/>
          <w:szCs w:val="44"/>
        </w:rPr>
        <w:br w:type="page"/>
      </w:r>
    </w:p>
    <w:p w14:paraId="27B653B2">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44"/>
          <w:szCs w:val="44"/>
        </w:rPr>
      </w:pPr>
      <w:bookmarkStart w:id="13" w:name="_Toc23949"/>
      <w:bookmarkStart w:id="14" w:name="_Toc15283"/>
      <w:r>
        <w:rPr>
          <w:rFonts w:hint="eastAsia" w:ascii="宋体" w:hAnsi="宋体"/>
          <w:color w:val="auto"/>
          <w:sz w:val="44"/>
          <w:szCs w:val="44"/>
        </w:rPr>
        <w:t>第二章  供应商须知</w:t>
      </w:r>
      <w:bookmarkEnd w:id="4"/>
      <w:bookmarkEnd w:id="5"/>
      <w:bookmarkEnd w:id="6"/>
      <w:bookmarkEnd w:id="7"/>
      <w:bookmarkEnd w:id="8"/>
      <w:bookmarkEnd w:id="13"/>
      <w:bookmarkEnd w:id="14"/>
      <w:bookmarkStart w:id="15" w:name="_Toc184283909"/>
      <w:bookmarkStart w:id="16" w:name="_Toc184274915"/>
    </w:p>
    <w:p w14:paraId="38A554F3">
      <w:pPr>
        <w:jc w:val="center"/>
        <w:rPr>
          <w:b/>
          <w:bCs/>
          <w:color w:val="auto"/>
          <w:sz w:val="24"/>
        </w:rPr>
      </w:pPr>
      <w:bookmarkStart w:id="17" w:name="_Toc213397010"/>
      <w:bookmarkStart w:id="18" w:name="_Toc213396946"/>
      <w:bookmarkStart w:id="19" w:name="_Toc213396760"/>
      <w:bookmarkStart w:id="20" w:name="_Toc189727030"/>
      <w:bookmarkStart w:id="21" w:name="_Toc213496268"/>
      <w:bookmarkStart w:id="22" w:name="_Toc217446032"/>
      <w:r>
        <w:rPr>
          <w:rFonts w:hint="eastAsia"/>
          <w:b/>
          <w:bCs/>
          <w:color w:val="auto"/>
          <w:sz w:val="24"/>
        </w:rPr>
        <w:t>供应商须知前附表</w:t>
      </w:r>
    </w:p>
    <w:tbl>
      <w:tblPr>
        <w:tblStyle w:val="23"/>
        <w:tblW w:w="10138" w:type="dxa"/>
        <w:jc w:val="center"/>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fixed"/>
        <w:tblCellMar>
          <w:top w:w="0" w:type="dxa"/>
          <w:left w:w="0" w:type="dxa"/>
          <w:bottom w:w="0" w:type="dxa"/>
          <w:right w:w="0" w:type="dxa"/>
        </w:tblCellMar>
      </w:tblPr>
      <w:tblGrid>
        <w:gridCol w:w="640"/>
        <w:gridCol w:w="2182"/>
        <w:gridCol w:w="7316"/>
      </w:tblGrid>
      <w:tr w14:paraId="207A2A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tblHeader/>
          <w:jc w:val="center"/>
        </w:trPr>
        <w:tc>
          <w:tcPr>
            <w:tcW w:w="640" w:type="dxa"/>
            <w:tcBorders>
              <w:bottom w:val="single" w:color="auto" w:sz="8" w:space="0"/>
              <w:right w:val="single" w:color="auto" w:sz="8" w:space="0"/>
            </w:tcBorders>
            <w:vAlign w:val="center"/>
          </w:tcPr>
          <w:p w14:paraId="4D5C9937">
            <w:pPr>
              <w:pStyle w:val="28"/>
              <w:snapToGrid w:val="0"/>
              <w:spacing w:line="360" w:lineRule="exact"/>
              <w:ind w:left="9"/>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序号 </w:t>
            </w:r>
          </w:p>
        </w:tc>
        <w:tc>
          <w:tcPr>
            <w:tcW w:w="2182" w:type="dxa"/>
            <w:tcBorders>
              <w:left w:val="single" w:color="auto" w:sz="8" w:space="0"/>
              <w:bottom w:val="single" w:color="auto" w:sz="8" w:space="0"/>
              <w:right w:val="single" w:color="auto" w:sz="8" w:space="0"/>
            </w:tcBorders>
            <w:vAlign w:val="center"/>
          </w:tcPr>
          <w:p w14:paraId="4C8FD8C9">
            <w:pPr>
              <w:pStyle w:val="28"/>
              <w:snapToGrid w:val="0"/>
              <w:spacing w:line="360" w:lineRule="exact"/>
              <w:ind w:left="38"/>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内容</w:t>
            </w:r>
          </w:p>
        </w:tc>
        <w:tc>
          <w:tcPr>
            <w:tcW w:w="7316" w:type="dxa"/>
            <w:tcBorders>
              <w:left w:val="single" w:color="auto" w:sz="8" w:space="0"/>
              <w:bottom w:val="single" w:color="auto" w:sz="8" w:space="0"/>
            </w:tcBorders>
            <w:vAlign w:val="center"/>
          </w:tcPr>
          <w:p w14:paraId="7C7DA061">
            <w:pPr>
              <w:pStyle w:val="28"/>
              <w:snapToGrid w:val="0"/>
              <w:spacing w:line="360" w:lineRule="exact"/>
              <w:jc w:val="center"/>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说明和要求</w:t>
            </w:r>
          </w:p>
        </w:tc>
      </w:tr>
      <w:tr w14:paraId="767E7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613" w:hRule="atLeast"/>
          <w:jc w:val="center"/>
        </w:trPr>
        <w:tc>
          <w:tcPr>
            <w:tcW w:w="640" w:type="dxa"/>
            <w:tcBorders>
              <w:top w:val="single" w:color="auto" w:sz="8" w:space="0"/>
              <w:bottom w:val="single" w:color="auto" w:sz="8" w:space="0"/>
              <w:right w:val="single" w:color="auto" w:sz="8" w:space="0"/>
            </w:tcBorders>
            <w:vAlign w:val="center"/>
          </w:tcPr>
          <w:p w14:paraId="40FC5B15">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p>
        </w:tc>
        <w:tc>
          <w:tcPr>
            <w:tcW w:w="2182" w:type="dxa"/>
            <w:tcBorders>
              <w:top w:val="single" w:color="auto" w:sz="8" w:space="0"/>
              <w:left w:val="single" w:color="auto" w:sz="8" w:space="0"/>
              <w:bottom w:val="single" w:color="auto" w:sz="8" w:space="0"/>
              <w:right w:val="single" w:color="auto" w:sz="8" w:space="0"/>
            </w:tcBorders>
            <w:vAlign w:val="center"/>
          </w:tcPr>
          <w:p w14:paraId="15FDD8C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w:t>
            </w:r>
          </w:p>
        </w:tc>
        <w:tc>
          <w:tcPr>
            <w:tcW w:w="7316" w:type="dxa"/>
            <w:tcBorders>
              <w:top w:val="single" w:color="auto" w:sz="8" w:space="0"/>
              <w:left w:val="single" w:color="auto" w:sz="8" w:space="0"/>
              <w:bottom w:val="single" w:color="auto" w:sz="8" w:space="0"/>
            </w:tcBorders>
            <w:vAlign w:val="center"/>
          </w:tcPr>
          <w:p w14:paraId="2C497F6F">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采购人名称：</w:t>
            </w:r>
            <w:r>
              <w:rPr>
                <w:rFonts w:hint="eastAsia" w:ascii="仿宋" w:hAnsi="仿宋" w:eastAsia="仿宋" w:cs="仿宋"/>
                <w:sz w:val="24"/>
                <w:szCs w:val="24"/>
              </w:rPr>
              <w:t>武功县大庄镇人民政府</w:t>
            </w:r>
          </w:p>
          <w:p w14:paraId="7270737E">
            <w:pPr>
              <w:adjustRightInd w:val="0"/>
              <w:snapToGrid w:val="0"/>
              <w:spacing w:line="360" w:lineRule="exact"/>
              <w:ind w:firstLine="240" w:firstLineChars="100"/>
              <w:jc w:val="left"/>
              <w:rPr>
                <w:rFonts w:hint="eastAsia" w:ascii="仿宋" w:hAnsi="仿宋" w:eastAsia="仿宋" w:cs="仿宋"/>
                <w:bCs/>
                <w:color w:val="auto"/>
                <w:kern w:val="0"/>
                <w:sz w:val="24"/>
                <w:szCs w:val="24"/>
                <w:lang w:eastAsia="zh-CN"/>
              </w:rPr>
            </w:pPr>
            <w:r>
              <w:rPr>
                <w:rFonts w:hint="eastAsia" w:ascii="仿宋" w:hAnsi="仿宋" w:eastAsia="仿宋" w:cs="仿宋"/>
                <w:bCs/>
                <w:color w:val="auto"/>
                <w:sz w:val="24"/>
                <w:szCs w:val="24"/>
              </w:rPr>
              <w:t>地址</w:t>
            </w:r>
            <w:r>
              <w:rPr>
                <w:rFonts w:hint="eastAsia" w:ascii="仿宋" w:hAnsi="仿宋" w:eastAsia="仿宋" w:cs="仿宋"/>
                <w:bCs/>
                <w:color w:val="auto"/>
                <w:kern w:val="0"/>
                <w:sz w:val="24"/>
                <w:szCs w:val="24"/>
              </w:rPr>
              <w:t>：</w:t>
            </w:r>
            <w:r>
              <w:rPr>
                <w:rFonts w:hint="eastAsia" w:ascii="仿宋" w:hAnsi="仿宋" w:eastAsia="仿宋" w:cs="仿宋"/>
                <w:sz w:val="24"/>
                <w:szCs w:val="24"/>
              </w:rPr>
              <w:t>武功县大庄镇曹家十字东100米</w:t>
            </w:r>
          </w:p>
          <w:p w14:paraId="095EDF93">
            <w:pPr>
              <w:adjustRightInd w:val="0"/>
              <w:snapToGrid w:val="0"/>
              <w:spacing w:line="360" w:lineRule="exact"/>
              <w:ind w:firstLine="240" w:firstLineChars="100"/>
              <w:jc w:val="lef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rPr>
              <w:t>联系人：</w:t>
            </w:r>
            <w:r>
              <w:rPr>
                <w:rFonts w:hint="eastAsia" w:ascii="仿宋" w:hAnsi="仿宋" w:eastAsia="仿宋" w:cs="仿宋"/>
                <w:bCs/>
                <w:color w:val="auto"/>
                <w:kern w:val="0"/>
                <w:sz w:val="24"/>
                <w:szCs w:val="24"/>
                <w:lang w:val="en-US" w:eastAsia="zh-CN"/>
              </w:rPr>
              <w:t>韩涛</w:t>
            </w:r>
          </w:p>
          <w:p w14:paraId="33C15F50">
            <w:pPr>
              <w:adjustRightInd w:val="0"/>
              <w:snapToGrid w:val="0"/>
              <w:spacing w:line="360" w:lineRule="exact"/>
              <w:ind w:firstLine="240" w:firstLineChars="100"/>
              <w:jc w:val="left"/>
              <w:rPr>
                <w:rFonts w:hint="eastAsia" w:ascii="仿宋" w:hAnsi="仿宋" w:eastAsia="仿宋" w:cs="仿宋"/>
                <w:bCs/>
                <w:color w:val="auto"/>
                <w:sz w:val="24"/>
                <w:szCs w:val="24"/>
                <w:lang w:eastAsia="zh-CN"/>
              </w:rPr>
            </w:pPr>
            <w:r>
              <w:rPr>
                <w:rFonts w:hint="eastAsia" w:ascii="仿宋" w:hAnsi="仿宋" w:eastAsia="仿宋" w:cs="仿宋"/>
                <w:bCs/>
                <w:color w:val="auto"/>
                <w:kern w:val="0"/>
                <w:sz w:val="24"/>
                <w:szCs w:val="24"/>
              </w:rPr>
              <w:t>电话：</w:t>
            </w:r>
            <w:r>
              <w:rPr>
                <w:rFonts w:hint="eastAsia" w:ascii="仿宋" w:hAnsi="仿宋" w:eastAsia="仿宋" w:cs="仿宋"/>
                <w:bCs/>
                <w:color w:val="auto"/>
                <w:kern w:val="0"/>
                <w:sz w:val="24"/>
                <w:szCs w:val="24"/>
                <w:lang w:val="en-US" w:eastAsia="zh-CN"/>
              </w:rPr>
              <w:t>18691006090</w:t>
            </w:r>
            <w:r>
              <w:rPr>
                <w:rFonts w:hint="eastAsia" w:ascii="仿宋" w:hAnsi="仿宋" w:eastAsia="仿宋" w:cs="仿宋"/>
                <w:bCs/>
                <w:color w:val="auto"/>
                <w:kern w:val="0"/>
                <w:sz w:val="24"/>
                <w:szCs w:val="24"/>
                <w:lang w:eastAsia="zh-CN"/>
              </w:rPr>
              <w:t xml:space="preserve"> </w:t>
            </w:r>
          </w:p>
        </w:tc>
      </w:tr>
      <w:tr w14:paraId="2661CEB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24" w:hRule="atLeast"/>
          <w:jc w:val="center"/>
        </w:trPr>
        <w:tc>
          <w:tcPr>
            <w:tcW w:w="640" w:type="dxa"/>
            <w:tcBorders>
              <w:top w:val="single" w:color="auto" w:sz="8" w:space="0"/>
              <w:bottom w:val="single" w:color="auto" w:sz="8" w:space="0"/>
              <w:right w:val="single" w:color="auto" w:sz="8" w:space="0"/>
            </w:tcBorders>
            <w:vAlign w:val="center"/>
          </w:tcPr>
          <w:p w14:paraId="6FCBD939">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w:t>
            </w:r>
          </w:p>
        </w:tc>
        <w:tc>
          <w:tcPr>
            <w:tcW w:w="2182" w:type="dxa"/>
            <w:tcBorders>
              <w:top w:val="single" w:color="auto" w:sz="8" w:space="0"/>
              <w:left w:val="single" w:color="auto" w:sz="8" w:space="0"/>
              <w:bottom w:val="single" w:color="auto" w:sz="8" w:space="0"/>
              <w:right w:val="single" w:color="auto" w:sz="8" w:space="0"/>
            </w:tcBorders>
            <w:vAlign w:val="center"/>
          </w:tcPr>
          <w:p w14:paraId="7A40FCE0">
            <w:pPr>
              <w:adjustRightInd w:val="0"/>
              <w:snapToGrid w:val="0"/>
              <w:spacing w:line="360" w:lineRule="exact"/>
              <w:ind w:firstLine="240" w:firstLineChars="100"/>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采购代理机构</w:t>
            </w:r>
          </w:p>
        </w:tc>
        <w:tc>
          <w:tcPr>
            <w:tcW w:w="7316" w:type="dxa"/>
            <w:tcBorders>
              <w:top w:val="single" w:color="auto" w:sz="8" w:space="0"/>
              <w:left w:val="single" w:color="auto" w:sz="8" w:space="0"/>
              <w:bottom w:val="single" w:color="auto" w:sz="8" w:space="0"/>
            </w:tcBorders>
            <w:vAlign w:val="center"/>
          </w:tcPr>
          <w:p w14:paraId="53B96867">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采购代理机构名称：陕西优正项目管理有限公司</w:t>
            </w:r>
          </w:p>
          <w:p w14:paraId="2703B26A">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rPr>
              <w:t>地址：陕西省咸阳市秦都区新华大厦1508室</w:t>
            </w:r>
          </w:p>
          <w:p w14:paraId="750F599B">
            <w:pPr>
              <w:adjustRightInd w:val="0"/>
              <w:snapToGrid w:val="0"/>
              <w:spacing w:line="360" w:lineRule="exact"/>
              <w:ind w:firstLine="240" w:firstLineChars="1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李滢</w:t>
            </w:r>
          </w:p>
          <w:p w14:paraId="264497AF">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电话：</w:t>
            </w:r>
            <w:r>
              <w:rPr>
                <w:rFonts w:hint="eastAsia" w:ascii="仿宋" w:hAnsi="仿宋" w:eastAsia="仿宋" w:cs="仿宋"/>
                <w:bCs/>
                <w:color w:val="auto"/>
                <w:kern w:val="0"/>
                <w:sz w:val="24"/>
                <w:szCs w:val="24"/>
                <w:lang w:val="en-US" w:eastAsia="zh-CN"/>
              </w:rPr>
              <w:t>13060389978</w:t>
            </w:r>
          </w:p>
          <w:p w14:paraId="4B832EC8">
            <w:pPr>
              <w:adjustRightInd w:val="0"/>
              <w:snapToGrid w:val="0"/>
              <w:spacing w:line="360" w:lineRule="exact"/>
              <w:ind w:firstLine="240" w:firstLineChars="100"/>
              <w:jc w:val="lef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电子邮箱：</w:t>
            </w:r>
            <w:r>
              <w:rPr>
                <w:rFonts w:hint="eastAsia" w:ascii="仿宋" w:hAnsi="仿宋" w:eastAsia="仿宋" w:cs="仿宋"/>
                <w:color w:val="auto"/>
                <w:sz w:val="24"/>
                <w:szCs w:val="24"/>
                <w:lang w:val="en-US" w:eastAsia="zh-CN"/>
              </w:rPr>
              <w:t>2625967025@qq.com</w:t>
            </w:r>
          </w:p>
        </w:tc>
      </w:tr>
      <w:tr w14:paraId="3082651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4" w:hRule="exact"/>
          <w:jc w:val="center"/>
        </w:trPr>
        <w:tc>
          <w:tcPr>
            <w:tcW w:w="640" w:type="dxa"/>
            <w:tcBorders>
              <w:top w:val="single" w:color="auto" w:sz="8" w:space="0"/>
              <w:bottom w:val="single" w:color="auto" w:sz="8" w:space="0"/>
              <w:right w:val="single" w:color="auto" w:sz="8" w:space="0"/>
            </w:tcBorders>
            <w:vAlign w:val="center"/>
          </w:tcPr>
          <w:p w14:paraId="6AE1AF8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w:t>
            </w:r>
          </w:p>
        </w:tc>
        <w:tc>
          <w:tcPr>
            <w:tcW w:w="2182" w:type="dxa"/>
            <w:tcBorders>
              <w:top w:val="single" w:color="auto" w:sz="8" w:space="0"/>
              <w:left w:val="single" w:color="auto" w:sz="8" w:space="0"/>
              <w:bottom w:val="single" w:color="auto" w:sz="8" w:space="0"/>
              <w:right w:val="single" w:color="auto" w:sz="8" w:space="0"/>
            </w:tcBorders>
            <w:vAlign w:val="center"/>
          </w:tcPr>
          <w:p w14:paraId="36CCD94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tc>
        <w:tc>
          <w:tcPr>
            <w:tcW w:w="7316" w:type="dxa"/>
            <w:tcBorders>
              <w:top w:val="single" w:color="auto" w:sz="8" w:space="0"/>
              <w:left w:val="single" w:color="auto" w:sz="8" w:space="0"/>
              <w:bottom w:val="single" w:color="auto" w:sz="8" w:space="0"/>
            </w:tcBorders>
            <w:vAlign w:val="center"/>
          </w:tcPr>
          <w:p w14:paraId="42FFC177">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2026年大庄镇大东村、大西村、布王村集体经济建设项目</w:t>
            </w:r>
          </w:p>
        </w:tc>
      </w:tr>
      <w:tr w14:paraId="5DD36A4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jc w:val="center"/>
        </w:trPr>
        <w:tc>
          <w:tcPr>
            <w:tcW w:w="640" w:type="dxa"/>
            <w:tcBorders>
              <w:top w:val="single" w:color="auto" w:sz="8" w:space="0"/>
              <w:bottom w:val="single" w:color="auto" w:sz="8" w:space="0"/>
              <w:right w:val="single" w:color="auto" w:sz="8" w:space="0"/>
            </w:tcBorders>
            <w:vAlign w:val="center"/>
          </w:tcPr>
          <w:p w14:paraId="4D9ABD1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w:t>
            </w:r>
          </w:p>
        </w:tc>
        <w:tc>
          <w:tcPr>
            <w:tcW w:w="2182" w:type="dxa"/>
            <w:tcBorders>
              <w:top w:val="single" w:color="auto" w:sz="8" w:space="0"/>
              <w:left w:val="single" w:color="auto" w:sz="8" w:space="0"/>
              <w:bottom w:val="single" w:color="auto" w:sz="8" w:space="0"/>
              <w:right w:val="single" w:color="auto" w:sz="8" w:space="0"/>
            </w:tcBorders>
            <w:vAlign w:val="center"/>
          </w:tcPr>
          <w:p w14:paraId="724ACB4E">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w:t>
            </w:r>
          </w:p>
        </w:tc>
        <w:tc>
          <w:tcPr>
            <w:tcW w:w="7316" w:type="dxa"/>
            <w:tcBorders>
              <w:top w:val="single" w:color="auto" w:sz="8" w:space="0"/>
              <w:left w:val="single" w:color="auto" w:sz="8" w:space="0"/>
              <w:bottom w:val="single" w:color="auto" w:sz="8" w:space="0"/>
            </w:tcBorders>
            <w:vAlign w:val="center"/>
          </w:tcPr>
          <w:p w14:paraId="3CA87A8A">
            <w:pPr>
              <w:adjustRightInd w:val="0"/>
              <w:snapToGrid w:val="0"/>
              <w:spacing w:line="360" w:lineRule="exact"/>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YZ2026-ZB035</w:t>
            </w:r>
          </w:p>
        </w:tc>
      </w:tr>
      <w:tr w14:paraId="0B822CE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exact"/>
          <w:jc w:val="center"/>
        </w:trPr>
        <w:tc>
          <w:tcPr>
            <w:tcW w:w="640" w:type="dxa"/>
            <w:tcBorders>
              <w:top w:val="single" w:color="auto" w:sz="8" w:space="0"/>
              <w:bottom w:val="single" w:color="auto" w:sz="8" w:space="0"/>
              <w:right w:val="single" w:color="auto" w:sz="8" w:space="0"/>
            </w:tcBorders>
            <w:vAlign w:val="center"/>
          </w:tcPr>
          <w:p w14:paraId="5EDE95D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5</w:t>
            </w:r>
          </w:p>
        </w:tc>
        <w:tc>
          <w:tcPr>
            <w:tcW w:w="2182" w:type="dxa"/>
            <w:tcBorders>
              <w:top w:val="single" w:color="auto" w:sz="8" w:space="0"/>
              <w:left w:val="single" w:color="auto" w:sz="8" w:space="0"/>
              <w:bottom w:val="single" w:color="auto" w:sz="8" w:space="0"/>
              <w:right w:val="single" w:color="auto" w:sz="8" w:space="0"/>
            </w:tcBorders>
            <w:vAlign w:val="center"/>
          </w:tcPr>
          <w:p w14:paraId="7337956D">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资金来源</w:t>
            </w:r>
          </w:p>
        </w:tc>
        <w:tc>
          <w:tcPr>
            <w:tcW w:w="7316" w:type="dxa"/>
            <w:tcBorders>
              <w:top w:val="single" w:color="auto" w:sz="8" w:space="0"/>
              <w:left w:val="single" w:color="auto" w:sz="8" w:space="0"/>
              <w:bottom w:val="single" w:color="auto" w:sz="8" w:space="0"/>
            </w:tcBorders>
            <w:vAlign w:val="center"/>
          </w:tcPr>
          <w:p w14:paraId="3FAA78C4">
            <w:pPr>
              <w:adjustRightInd w:val="0"/>
              <w:snapToGrid w:val="0"/>
              <w:spacing w:line="360" w:lineRule="exact"/>
              <w:ind w:firstLine="120" w:firstLineChars="50"/>
              <w:rPr>
                <w:rFonts w:hint="eastAsia" w:ascii="仿宋" w:hAnsi="仿宋" w:eastAsia="仿宋" w:cs="仿宋"/>
                <w:color w:val="auto"/>
                <w:sz w:val="24"/>
                <w:szCs w:val="24"/>
                <w:lang w:val="en-US"/>
              </w:rPr>
            </w:pPr>
            <w:r>
              <w:rPr>
                <w:rFonts w:hint="eastAsia" w:ascii="仿宋" w:hAnsi="仿宋" w:eastAsia="仿宋" w:cs="仿宋"/>
                <w:color w:val="auto"/>
                <w:kern w:val="0"/>
                <w:sz w:val="24"/>
                <w:szCs w:val="24"/>
                <w:lang w:val="zh-CN" w:eastAsia="zh-CN" w:bidi="ar-SA"/>
              </w:rPr>
              <w:t xml:space="preserve"> </w:t>
            </w:r>
            <w:r>
              <w:rPr>
                <w:rFonts w:hint="eastAsia" w:ascii="仿宋" w:hAnsi="仿宋" w:eastAsia="仿宋" w:cs="仿宋"/>
                <w:color w:val="auto"/>
                <w:kern w:val="0"/>
                <w:sz w:val="24"/>
                <w:szCs w:val="24"/>
                <w:lang w:val="en-US" w:eastAsia="zh-CN" w:bidi="ar-SA"/>
              </w:rPr>
              <w:t>财政资金</w:t>
            </w:r>
          </w:p>
        </w:tc>
      </w:tr>
      <w:tr w14:paraId="6B311B1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241168A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6</w:t>
            </w:r>
          </w:p>
        </w:tc>
        <w:tc>
          <w:tcPr>
            <w:tcW w:w="2182" w:type="dxa"/>
            <w:tcBorders>
              <w:top w:val="single" w:color="auto" w:sz="8" w:space="0"/>
              <w:left w:val="single" w:color="auto" w:sz="8" w:space="0"/>
              <w:bottom w:val="single" w:color="auto" w:sz="8" w:space="0"/>
              <w:right w:val="single" w:color="auto" w:sz="8" w:space="0"/>
            </w:tcBorders>
            <w:vAlign w:val="center"/>
          </w:tcPr>
          <w:p w14:paraId="6B27F065">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预算金额</w:t>
            </w:r>
          </w:p>
        </w:tc>
        <w:tc>
          <w:tcPr>
            <w:tcW w:w="7316" w:type="dxa"/>
            <w:tcBorders>
              <w:top w:val="single" w:color="auto" w:sz="8" w:space="0"/>
              <w:left w:val="single" w:color="auto" w:sz="8" w:space="0"/>
              <w:bottom w:val="single" w:color="auto" w:sz="8" w:space="0"/>
            </w:tcBorders>
            <w:vAlign w:val="center"/>
          </w:tcPr>
          <w:p w14:paraId="23D7DDDE">
            <w:pPr>
              <w:pStyle w:val="28"/>
              <w:snapToGrid w:val="0"/>
              <w:spacing w:line="360" w:lineRule="exact"/>
              <w:ind w:firstLine="240" w:firstLineChars="100"/>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本项目</w:t>
            </w:r>
            <w:r>
              <w:rPr>
                <w:rFonts w:hint="eastAsia" w:ascii="仿宋" w:hAnsi="仿宋" w:eastAsia="仿宋" w:cs="仿宋"/>
                <w:color w:val="auto"/>
                <w:sz w:val="24"/>
                <w:szCs w:val="24"/>
                <w:lang w:val="en-US" w:eastAsia="zh-CN"/>
              </w:rPr>
              <w:t>包2</w:t>
            </w:r>
            <w:r>
              <w:rPr>
                <w:rFonts w:hint="eastAsia" w:ascii="仿宋" w:hAnsi="仿宋" w:eastAsia="仿宋" w:cs="仿宋"/>
                <w:color w:val="auto"/>
                <w:sz w:val="24"/>
                <w:szCs w:val="24"/>
              </w:rPr>
              <w:t>采购预算金额</w:t>
            </w:r>
            <w:r>
              <w:rPr>
                <w:rFonts w:hint="eastAsia" w:ascii="仿宋" w:hAnsi="仿宋" w:eastAsia="仿宋" w:cs="仿宋"/>
                <w:color w:val="auto"/>
                <w:sz w:val="24"/>
                <w:szCs w:val="24"/>
                <w:u w:val="single"/>
              </w:rPr>
              <w:t>￥402,394.40</w:t>
            </w:r>
            <w:r>
              <w:rPr>
                <w:rFonts w:hint="eastAsia" w:ascii="仿宋" w:hAnsi="仿宋" w:eastAsia="仿宋" w:cs="仿宋"/>
                <w:color w:val="auto"/>
                <w:sz w:val="24"/>
                <w:szCs w:val="24"/>
                <w:u w:val="single"/>
                <w:lang w:eastAsia="zh-CN"/>
              </w:rPr>
              <w:t>；</w:t>
            </w:r>
          </w:p>
          <w:p w14:paraId="2588CA29">
            <w:pPr>
              <w:pStyle w:val="28"/>
              <w:snapToGrid w:val="0"/>
              <w:spacing w:line="360" w:lineRule="exact"/>
              <w:ind w:firstLine="240" w:firstLineChars="100"/>
              <w:jc w:val="both"/>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rPr>
              <w:t>供应商磋商报价超出采购预算金额的，作为不实质性响应磋商文件，按无效响应文件处理</w:t>
            </w:r>
            <w:r>
              <w:rPr>
                <w:rFonts w:hint="eastAsia" w:ascii="仿宋" w:hAnsi="仿宋" w:eastAsia="仿宋" w:cs="仿宋"/>
                <w:color w:val="auto"/>
                <w:sz w:val="24"/>
                <w:szCs w:val="24"/>
                <w:lang w:eastAsia="zh-CN"/>
              </w:rPr>
              <w:t>。</w:t>
            </w:r>
          </w:p>
        </w:tc>
      </w:tr>
      <w:tr w14:paraId="113F6E2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2174" w:hRule="exact"/>
          <w:jc w:val="center"/>
        </w:trPr>
        <w:tc>
          <w:tcPr>
            <w:tcW w:w="640" w:type="dxa"/>
            <w:tcBorders>
              <w:top w:val="single" w:color="auto" w:sz="8" w:space="0"/>
              <w:bottom w:val="single" w:color="auto" w:sz="8" w:space="0"/>
              <w:right w:val="single" w:color="auto" w:sz="8" w:space="0"/>
            </w:tcBorders>
            <w:vAlign w:val="center"/>
          </w:tcPr>
          <w:p w14:paraId="0EA91864">
            <w:pPr>
              <w:snapToGrid w:val="0"/>
              <w:spacing w:line="360" w:lineRule="auto"/>
              <w:jc w:val="center"/>
              <w:rPr>
                <w:rFonts w:hint="eastAsia" w:ascii="仿宋" w:hAnsi="仿宋" w:eastAsia="仿宋" w:cs="仿宋"/>
                <w:color w:val="auto"/>
                <w:sz w:val="24"/>
                <w:szCs w:val="24"/>
                <w:lang w:val="zh-CN"/>
              </w:rPr>
            </w:pPr>
            <w:r>
              <w:rPr>
                <w:rFonts w:hint="eastAsia" w:ascii="仿宋" w:hAnsi="仿宋" w:eastAsia="仿宋" w:cs="仿宋"/>
                <w:sz w:val="24"/>
                <w:szCs w:val="24"/>
                <w:highlight w:val="none"/>
              </w:rPr>
              <w:t>7</w:t>
            </w:r>
          </w:p>
        </w:tc>
        <w:tc>
          <w:tcPr>
            <w:tcW w:w="2182" w:type="dxa"/>
            <w:tcBorders>
              <w:top w:val="single" w:color="auto" w:sz="8" w:space="0"/>
              <w:left w:val="single" w:color="auto" w:sz="8" w:space="0"/>
              <w:bottom w:val="single" w:color="auto" w:sz="8" w:space="0"/>
              <w:right w:val="single" w:color="auto" w:sz="8" w:space="0"/>
            </w:tcBorders>
            <w:vAlign w:val="center"/>
          </w:tcPr>
          <w:p w14:paraId="63A0FE32">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jc w:val="center"/>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包的划分</w:t>
            </w:r>
          </w:p>
        </w:tc>
        <w:tc>
          <w:tcPr>
            <w:tcW w:w="7316" w:type="dxa"/>
            <w:tcBorders>
              <w:top w:val="single" w:color="auto" w:sz="8" w:space="0"/>
              <w:left w:val="single" w:color="auto" w:sz="8" w:space="0"/>
              <w:bottom w:val="single" w:color="auto" w:sz="8" w:space="0"/>
            </w:tcBorders>
            <w:vAlign w:val="center"/>
          </w:tcPr>
          <w:p w14:paraId="0C0674A8">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firstLine="0" w:firstLineChars="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本次投标的最小单元为“包”，</w:t>
            </w:r>
            <w:r>
              <w:rPr>
                <w:rFonts w:hint="eastAsia" w:ascii="仿宋" w:hAnsi="仿宋" w:eastAsia="仿宋" w:cs="仿宋"/>
                <w:b w:val="0"/>
                <w:bCs w:val="0"/>
                <w:sz w:val="24"/>
                <w:szCs w:val="24"/>
                <w:lang w:val="en-US" w:eastAsia="zh-CN"/>
              </w:rPr>
              <w:t>投标人</w:t>
            </w:r>
            <w:r>
              <w:rPr>
                <w:rFonts w:hint="eastAsia" w:ascii="仿宋" w:hAnsi="仿宋" w:eastAsia="仿宋" w:cs="仿宋"/>
                <w:b w:val="0"/>
                <w:bCs w:val="0"/>
                <w:sz w:val="24"/>
                <w:szCs w:val="24"/>
              </w:rPr>
              <w:t>可根据自身的资质情况进行投标，但不得将其子目自行分解或针对该项目各品目进行不完全投标，任何不完全的投标将按无效投标处理。</w:t>
            </w:r>
          </w:p>
          <w:p w14:paraId="147C2631">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textAlignment w:val="auto"/>
              <w:rPr>
                <w:rFonts w:hint="eastAsia" w:ascii="仿宋" w:hAnsi="仿宋" w:eastAsia="仿宋" w:cs="仿宋"/>
                <w:color w:val="auto"/>
                <w:sz w:val="24"/>
                <w:szCs w:val="24"/>
                <w:lang w:val="zh-CN"/>
              </w:rPr>
            </w:pPr>
            <w:r>
              <w:rPr>
                <w:rFonts w:hint="eastAsia" w:ascii="仿宋" w:hAnsi="仿宋" w:eastAsia="仿宋" w:cs="仿宋"/>
                <w:b w:val="0"/>
                <w:bCs w:val="0"/>
                <w:sz w:val="24"/>
                <w:szCs w:val="24"/>
                <w:lang w:val="en-US" w:eastAsia="zh-CN"/>
              </w:rPr>
              <w:t>2、各标包同一家单位可以参与多个标包的投标，但最终只能获得一个标包的中标资格。开标顺序按标包依次开启，若本标包已中标的单位，将不再参与后续标包的评审。</w:t>
            </w:r>
          </w:p>
        </w:tc>
      </w:tr>
      <w:tr w14:paraId="00E8FA9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9" w:hRule="exact"/>
          <w:jc w:val="center"/>
        </w:trPr>
        <w:tc>
          <w:tcPr>
            <w:tcW w:w="640" w:type="dxa"/>
            <w:tcBorders>
              <w:top w:val="single" w:color="auto" w:sz="8" w:space="0"/>
              <w:bottom w:val="single" w:color="auto" w:sz="8" w:space="0"/>
              <w:right w:val="single" w:color="auto" w:sz="8" w:space="0"/>
            </w:tcBorders>
            <w:vAlign w:val="center"/>
          </w:tcPr>
          <w:p w14:paraId="19ADFDC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8</w:t>
            </w:r>
          </w:p>
        </w:tc>
        <w:tc>
          <w:tcPr>
            <w:tcW w:w="2182" w:type="dxa"/>
            <w:tcBorders>
              <w:top w:val="single" w:color="auto" w:sz="8" w:space="0"/>
              <w:left w:val="single" w:color="auto" w:sz="8" w:space="0"/>
              <w:bottom w:val="single" w:color="auto" w:sz="8" w:space="0"/>
              <w:right w:val="single" w:color="auto" w:sz="8" w:space="0"/>
            </w:tcBorders>
            <w:vAlign w:val="center"/>
          </w:tcPr>
          <w:p w14:paraId="779383BC">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采购方式</w:t>
            </w:r>
          </w:p>
        </w:tc>
        <w:tc>
          <w:tcPr>
            <w:tcW w:w="7316" w:type="dxa"/>
            <w:tcBorders>
              <w:top w:val="single" w:color="auto" w:sz="8" w:space="0"/>
              <w:left w:val="single" w:color="auto" w:sz="8" w:space="0"/>
              <w:bottom w:val="single" w:color="auto" w:sz="8" w:space="0"/>
            </w:tcBorders>
            <w:vAlign w:val="center"/>
          </w:tcPr>
          <w:p w14:paraId="032A8F17">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竞争性磋商</w:t>
            </w:r>
          </w:p>
        </w:tc>
      </w:tr>
      <w:tr w14:paraId="3CF56FD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2" w:hRule="exact"/>
          <w:jc w:val="center"/>
        </w:trPr>
        <w:tc>
          <w:tcPr>
            <w:tcW w:w="640" w:type="dxa"/>
            <w:tcBorders>
              <w:top w:val="single" w:color="auto" w:sz="8" w:space="0"/>
              <w:bottom w:val="single" w:color="auto" w:sz="8" w:space="0"/>
              <w:right w:val="single" w:color="auto" w:sz="8" w:space="0"/>
            </w:tcBorders>
            <w:vAlign w:val="center"/>
          </w:tcPr>
          <w:p w14:paraId="16C9933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9</w:t>
            </w:r>
          </w:p>
        </w:tc>
        <w:tc>
          <w:tcPr>
            <w:tcW w:w="2182" w:type="dxa"/>
            <w:tcBorders>
              <w:top w:val="single" w:color="auto" w:sz="8" w:space="0"/>
              <w:left w:val="single" w:color="auto" w:sz="8" w:space="0"/>
              <w:bottom w:val="single" w:color="auto" w:sz="8" w:space="0"/>
              <w:right w:val="single" w:color="auto" w:sz="8" w:space="0"/>
            </w:tcBorders>
            <w:vAlign w:val="center"/>
          </w:tcPr>
          <w:p w14:paraId="0224A677">
            <w:pPr>
              <w:pStyle w:val="28"/>
              <w:snapToGrid w:val="0"/>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采购内容</w:t>
            </w:r>
          </w:p>
        </w:tc>
        <w:tc>
          <w:tcPr>
            <w:tcW w:w="7316" w:type="dxa"/>
            <w:tcBorders>
              <w:top w:val="single" w:color="auto" w:sz="8" w:space="0"/>
              <w:left w:val="single" w:color="auto" w:sz="8" w:space="0"/>
              <w:bottom w:val="single" w:color="auto" w:sz="8" w:space="0"/>
            </w:tcBorders>
            <w:vAlign w:val="center"/>
          </w:tcPr>
          <w:p w14:paraId="2F6BAC4F">
            <w:pPr>
              <w:pStyle w:val="28"/>
              <w:snapToGrid w:val="0"/>
              <w:spacing w:line="360" w:lineRule="exact"/>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详见第四章</w:t>
            </w:r>
          </w:p>
        </w:tc>
      </w:tr>
      <w:tr w14:paraId="565D1F9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82" w:hRule="atLeast"/>
          <w:jc w:val="center"/>
        </w:trPr>
        <w:tc>
          <w:tcPr>
            <w:tcW w:w="640" w:type="dxa"/>
            <w:tcBorders>
              <w:top w:val="single" w:color="auto" w:sz="8" w:space="0"/>
              <w:bottom w:val="single" w:color="auto" w:sz="8" w:space="0"/>
              <w:right w:val="single" w:color="auto" w:sz="8" w:space="0"/>
            </w:tcBorders>
            <w:vAlign w:val="center"/>
          </w:tcPr>
          <w:p w14:paraId="68BF1950">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10</w:t>
            </w:r>
          </w:p>
        </w:tc>
        <w:tc>
          <w:tcPr>
            <w:tcW w:w="2182" w:type="dxa"/>
            <w:tcBorders>
              <w:top w:val="single" w:color="auto" w:sz="8" w:space="0"/>
              <w:left w:val="single" w:color="auto" w:sz="8" w:space="0"/>
              <w:bottom w:val="single" w:color="auto" w:sz="8" w:space="0"/>
              <w:right w:val="single" w:color="auto" w:sz="8" w:space="0"/>
            </w:tcBorders>
            <w:vAlign w:val="center"/>
          </w:tcPr>
          <w:p w14:paraId="030C2B84">
            <w:pPr>
              <w:pStyle w:val="28"/>
              <w:snapToGrid w:val="0"/>
              <w:spacing w:line="360" w:lineRule="exact"/>
              <w:ind w:left="96"/>
              <w:jc w:val="center"/>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工期</w:t>
            </w:r>
          </w:p>
        </w:tc>
        <w:tc>
          <w:tcPr>
            <w:tcW w:w="7316" w:type="dxa"/>
            <w:tcBorders>
              <w:top w:val="single" w:color="auto" w:sz="8" w:space="0"/>
              <w:left w:val="single" w:color="auto" w:sz="8" w:space="0"/>
              <w:bottom w:val="single" w:color="auto" w:sz="8" w:space="0"/>
            </w:tcBorders>
            <w:vAlign w:val="center"/>
          </w:tcPr>
          <w:p w14:paraId="08BE09D7">
            <w:pPr>
              <w:pStyle w:val="28"/>
              <w:snapToGrid w:val="0"/>
              <w:spacing w:line="360" w:lineRule="exact"/>
              <w:ind w:firstLine="240" w:firstLineChars="10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合同签订之日起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lang w:val="zh-CN"/>
              </w:rPr>
              <w:t>日历天</w:t>
            </w:r>
            <w:r>
              <w:rPr>
                <w:rFonts w:hint="eastAsia" w:ascii="仿宋" w:hAnsi="仿宋" w:eastAsia="仿宋" w:cs="仿宋"/>
                <w:color w:val="auto"/>
                <w:sz w:val="24"/>
                <w:szCs w:val="24"/>
                <w:lang w:val="en-US" w:eastAsia="zh-CN"/>
              </w:rPr>
              <w:t>内完成</w:t>
            </w:r>
          </w:p>
        </w:tc>
      </w:tr>
      <w:tr w14:paraId="23D4C1F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7" w:hRule="atLeast"/>
          <w:jc w:val="center"/>
        </w:trPr>
        <w:tc>
          <w:tcPr>
            <w:tcW w:w="640" w:type="dxa"/>
            <w:tcBorders>
              <w:top w:val="single" w:color="auto" w:sz="8" w:space="0"/>
              <w:bottom w:val="single" w:color="auto" w:sz="8" w:space="0"/>
              <w:right w:val="single" w:color="auto" w:sz="8" w:space="0"/>
            </w:tcBorders>
            <w:vAlign w:val="center"/>
          </w:tcPr>
          <w:p w14:paraId="72616B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11</w:t>
            </w:r>
          </w:p>
        </w:tc>
        <w:tc>
          <w:tcPr>
            <w:tcW w:w="2182" w:type="dxa"/>
            <w:tcBorders>
              <w:top w:val="single" w:color="auto" w:sz="8" w:space="0"/>
              <w:left w:val="single" w:color="auto" w:sz="8" w:space="0"/>
              <w:bottom w:val="single" w:color="auto" w:sz="8" w:space="0"/>
              <w:right w:val="single" w:color="auto" w:sz="8" w:space="0"/>
            </w:tcBorders>
            <w:vAlign w:val="center"/>
          </w:tcPr>
          <w:p w14:paraId="65F3AD8F">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639C997C">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采购人指定地点</w:t>
            </w:r>
          </w:p>
        </w:tc>
      </w:tr>
      <w:tr w14:paraId="4C3AF1D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9" w:hRule="exact"/>
          <w:jc w:val="center"/>
        </w:trPr>
        <w:tc>
          <w:tcPr>
            <w:tcW w:w="640" w:type="dxa"/>
            <w:tcBorders>
              <w:top w:val="single" w:color="auto" w:sz="8" w:space="0"/>
              <w:bottom w:val="single" w:color="auto" w:sz="8" w:space="0"/>
              <w:right w:val="single" w:color="auto" w:sz="8" w:space="0"/>
            </w:tcBorders>
            <w:vAlign w:val="center"/>
          </w:tcPr>
          <w:p w14:paraId="0F75F9A2">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12</w:t>
            </w:r>
          </w:p>
        </w:tc>
        <w:tc>
          <w:tcPr>
            <w:tcW w:w="2182" w:type="dxa"/>
            <w:tcBorders>
              <w:top w:val="single" w:color="auto" w:sz="8" w:space="0"/>
              <w:left w:val="single" w:color="auto" w:sz="8" w:space="0"/>
              <w:bottom w:val="single" w:color="auto" w:sz="8" w:space="0"/>
              <w:right w:val="single" w:color="auto" w:sz="8" w:space="0"/>
            </w:tcBorders>
            <w:vAlign w:val="center"/>
          </w:tcPr>
          <w:p w14:paraId="7D6D4EA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质量</w:t>
            </w:r>
          </w:p>
        </w:tc>
        <w:tc>
          <w:tcPr>
            <w:tcW w:w="7316" w:type="dxa"/>
            <w:tcBorders>
              <w:top w:val="single" w:color="auto" w:sz="8" w:space="0"/>
              <w:left w:val="single" w:color="auto" w:sz="8" w:space="0"/>
              <w:bottom w:val="single" w:color="auto" w:sz="8" w:space="0"/>
            </w:tcBorders>
            <w:vAlign w:val="center"/>
          </w:tcPr>
          <w:p w14:paraId="7565D510">
            <w:pPr>
              <w:pStyle w:val="28"/>
              <w:snapToGrid w:val="0"/>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达到国家现行验收规范合格标准</w:t>
            </w:r>
          </w:p>
        </w:tc>
      </w:tr>
      <w:tr w14:paraId="2C9FC73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107DCC7A">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13</w:t>
            </w:r>
          </w:p>
        </w:tc>
        <w:tc>
          <w:tcPr>
            <w:tcW w:w="2182" w:type="dxa"/>
            <w:tcBorders>
              <w:top w:val="single" w:color="auto" w:sz="8" w:space="0"/>
              <w:left w:val="single" w:color="auto" w:sz="8" w:space="0"/>
              <w:bottom w:val="single" w:color="auto" w:sz="8" w:space="0"/>
              <w:right w:val="single" w:color="auto" w:sz="8" w:space="0"/>
            </w:tcBorders>
            <w:vAlign w:val="center"/>
          </w:tcPr>
          <w:p w14:paraId="04D8C61D">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支付方式、</w:t>
            </w:r>
          </w:p>
          <w:p w14:paraId="69AD8E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时间和条件</w:t>
            </w:r>
          </w:p>
        </w:tc>
        <w:tc>
          <w:tcPr>
            <w:tcW w:w="7316" w:type="dxa"/>
            <w:tcBorders>
              <w:top w:val="single" w:color="auto" w:sz="8" w:space="0"/>
              <w:left w:val="single" w:color="auto" w:sz="8" w:space="0"/>
              <w:bottom w:val="single" w:color="auto" w:sz="8" w:space="0"/>
            </w:tcBorders>
            <w:vAlign w:val="center"/>
          </w:tcPr>
          <w:p w14:paraId="619F663F">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详见磋商文件第五章</w:t>
            </w:r>
          </w:p>
        </w:tc>
      </w:tr>
      <w:tr w14:paraId="098E837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8" w:hRule="atLeast"/>
          <w:jc w:val="center"/>
        </w:trPr>
        <w:tc>
          <w:tcPr>
            <w:tcW w:w="640" w:type="dxa"/>
            <w:tcBorders>
              <w:top w:val="single" w:color="auto" w:sz="8" w:space="0"/>
              <w:bottom w:val="single" w:color="auto" w:sz="8" w:space="0"/>
              <w:right w:val="single" w:color="auto" w:sz="8" w:space="0"/>
            </w:tcBorders>
            <w:vAlign w:val="center"/>
          </w:tcPr>
          <w:p w14:paraId="1856F202">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2182" w:type="dxa"/>
            <w:tcBorders>
              <w:top w:val="single" w:color="auto" w:sz="8" w:space="0"/>
              <w:left w:val="single" w:color="auto" w:sz="8" w:space="0"/>
              <w:bottom w:val="single" w:color="auto" w:sz="8" w:space="0"/>
              <w:right w:val="single" w:color="auto" w:sz="8" w:space="0"/>
            </w:tcBorders>
            <w:vAlign w:val="center"/>
          </w:tcPr>
          <w:p w14:paraId="1B3AC97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项目属性</w:t>
            </w:r>
          </w:p>
        </w:tc>
        <w:tc>
          <w:tcPr>
            <w:tcW w:w="7316" w:type="dxa"/>
            <w:tcBorders>
              <w:top w:val="single" w:color="auto" w:sz="8" w:space="0"/>
              <w:left w:val="single" w:color="auto" w:sz="8" w:space="0"/>
              <w:bottom w:val="single" w:color="auto" w:sz="8" w:space="0"/>
            </w:tcBorders>
            <w:vAlign w:val="center"/>
          </w:tcPr>
          <w:p w14:paraId="18178BBD">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类</w:t>
            </w:r>
          </w:p>
        </w:tc>
      </w:tr>
      <w:tr w14:paraId="690A203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26A757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2182" w:type="dxa"/>
            <w:tcBorders>
              <w:top w:val="single" w:color="auto" w:sz="8" w:space="0"/>
              <w:left w:val="single" w:color="auto" w:sz="8" w:space="0"/>
              <w:bottom w:val="single" w:color="auto" w:sz="8" w:space="0"/>
              <w:right w:val="single" w:color="auto" w:sz="8" w:space="0"/>
            </w:tcBorders>
            <w:vAlign w:val="center"/>
          </w:tcPr>
          <w:p w14:paraId="4411A9C3">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rPr>
              <w:t>采购标的对应的中小企业所属行业</w:t>
            </w:r>
          </w:p>
        </w:tc>
        <w:tc>
          <w:tcPr>
            <w:tcW w:w="7316" w:type="dxa"/>
            <w:tcBorders>
              <w:top w:val="single" w:color="auto" w:sz="8" w:space="0"/>
              <w:left w:val="single" w:color="auto" w:sz="8" w:space="0"/>
              <w:bottom w:val="single" w:color="auto" w:sz="8" w:space="0"/>
            </w:tcBorders>
            <w:vAlign w:val="center"/>
          </w:tcPr>
          <w:p w14:paraId="41750138">
            <w:pPr>
              <w:adjustRightInd w:val="0"/>
              <w:snapToGrid w:val="0"/>
              <w:spacing w:line="360" w:lineRule="exact"/>
              <w:ind w:left="105" w:leftChars="50" w:right="105" w:rightChars="50" w:firstLine="120" w:firstLineChars="5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建筑业</w:t>
            </w:r>
          </w:p>
        </w:tc>
      </w:tr>
      <w:tr w14:paraId="64E7F98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67" w:hRule="atLeast"/>
          <w:jc w:val="center"/>
        </w:trPr>
        <w:tc>
          <w:tcPr>
            <w:tcW w:w="640" w:type="dxa"/>
            <w:tcBorders>
              <w:top w:val="single" w:color="auto" w:sz="8" w:space="0"/>
              <w:bottom w:val="single" w:color="auto" w:sz="8" w:space="0"/>
              <w:right w:val="single" w:color="auto" w:sz="8" w:space="0"/>
            </w:tcBorders>
            <w:vAlign w:val="center"/>
          </w:tcPr>
          <w:p w14:paraId="50445F0F">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2182" w:type="dxa"/>
            <w:tcBorders>
              <w:top w:val="single" w:color="auto" w:sz="8" w:space="0"/>
              <w:left w:val="single" w:color="auto" w:sz="8" w:space="0"/>
              <w:bottom w:val="single" w:color="auto" w:sz="8" w:space="0"/>
              <w:right w:val="single" w:color="auto" w:sz="8" w:space="0"/>
            </w:tcBorders>
            <w:vAlign w:val="center"/>
          </w:tcPr>
          <w:p w14:paraId="35D91DEB">
            <w:pPr>
              <w:pStyle w:val="28"/>
              <w:spacing w:line="360" w:lineRule="exact"/>
              <w:ind w:left="38"/>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是否专门面向中小</w:t>
            </w:r>
          </w:p>
          <w:p w14:paraId="670D7B8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企业采购</w:t>
            </w:r>
          </w:p>
        </w:tc>
        <w:tc>
          <w:tcPr>
            <w:tcW w:w="7316" w:type="dxa"/>
            <w:tcBorders>
              <w:top w:val="single" w:color="auto" w:sz="8" w:space="0"/>
              <w:left w:val="single" w:color="auto" w:sz="8" w:space="0"/>
              <w:bottom w:val="single" w:color="auto" w:sz="8" w:space="0"/>
            </w:tcBorders>
            <w:vAlign w:val="center"/>
          </w:tcPr>
          <w:p w14:paraId="0205D62F">
            <w:pPr>
              <w:pStyle w:val="28"/>
              <w:spacing w:line="360" w:lineRule="exact"/>
              <w:ind w:firstLine="240" w:firstLineChars="1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是 </w:t>
            </w:r>
          </w:p>
        </w:tc>
      </w:tr>
      <w:tr w14:paraId="6506E1B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1C992651">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2182" w:type="dxa"/>
            <w:tcBorders>
              <w:top w:val="single" w:color="auto" w:sz="8" w:space="0"/>
              <w:left w:val="single" w:color="auto" w:sz="8" w:space="0"/>
              <w:bottom w:val="single" w:color="auto" w:sz="8" w:space="0"/>
              <w:right w:val="single" w:color="auto" w:sz="8" w:space="0"/>
            </w:tcBorders>
            <w:vAlign w:val="center"/>
          </w:tcPr>
          <w:p w14:paraId="6DB5E9DE">
            <w:pPr>
              <w:pStyle w:val="28"/>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是否允许大中企业向小微企业分包</w:t>
            </w:r>
          </w:p>
        </w:tc>
        <w:tc>
          <w:tcPr>
            <w:tcW w:w="7316" w:type="dxa"/>
            <w:tcBorders>
              <w:top w:val="single" w:color="auto" w:sz="8" w:space="0"/>
              <w:left w:val="single" w:color="auto" w:sz="8" w:space="0"/>
              <w:bottom w:val="single" w:color="auto" w:sz="8" w:space="0"/>
            </w:tcBorders>
            <w:vAlign w:val="center"/>
          </w:tcPr>
          <w:p w14:paraId="422551F1">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否</w:t>
            </w:r>
          </w:p>
        </w:tc>
      </w:tr>
      <w:tr w14:paraId="6E6C1DF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786622D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2182" w:type="dxa"/>
            <w:tcBorders>
              <w:top w:val="single" w:color="auto" w:sz="8" w:space="0"/>
              <w:left w:val="single" w:color="auto" w:sz="8" w:space="0"/>
              <w:bottom w:val="single" w:color="auto" w:sz="8" w:space="0"/>
              <w:right w:val="single" w:color="auto" w:sz="8" w:space="0"/>
            </w:tcBorders>
            <w:vAlign w:val="center"/>
          </w:tcPr>
          <w:p w14:paraId="242F5B83">
            <w:pPr>
              <w:pStyle w:val="28"/>
              <w:snapToGrid w:val="0"/>
              <w:spacing w:line="360" w:lineRule="exact"/>
              <w:ind w:left="96"/>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支持中小企业</w:t>
            </w:r>
          </w:p>
        </w:tc>
        <w:tc>
          <w:tcPr>
            <w:tcW w:w="7316" w:type="dxa"/>
            <w:tcBorders>
              <w:top w:val="single" w:color="auto" w:sz="8" w:space="0"/>
              <w:left w:val="single" w:color="auto" w:sz="8" w:space="0"/>
              <w:bottom w:val="single" w:color="auto" w:sz="8" w:space="0"/>
            </w:tcBorders>
            <w:vAlign w:val="center"/>
          </w:tcPr>
          <w:p w14:paraId="664B0FED">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eastAsia="zh-CN"/>
              </w:rPr>
              <w:t>非专门面向中小企业采购项目(价格扣除)：</w:t>
            </w:r>
            <w:r>
              <w:rPr>
                <w:rFonts w:hint="eastAsia" w:ascii="仿宋" w:hAnsi="仿宋" w:eastAsia="仿宋" w:cs="仿宋"/>
                <w:color w:val="auto"/>
                <w:sz w:val="24"/>
                <w:szCs w:val="24"/>
                <w:lang w:val="en-US" w:eastAsia="zh-CN"/>
              </w:rPr>
              <w:t>根据财政部《</w:t>
            </w:r>
            <w:r>
              <w:rPr>
                <w:rFonts w:hint="eastAsia" w:ascii="仿宋" w:hAnsi="仿宋" w:eastAsia="仿宋" w:cs="仿宋"/>
                <w:color w:val="auto"/>
                <w:sz w:val="24"/>
                <w:szCs w:val="24"/>
                <w:lang w:val="zh-CN" w:eastAsia="zh-CN"/>
              </w:rPr>
              <w:t>关于进一步加大政府采购支持中小企业力度的通知</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财库〔2022〕19号</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对</w:t>
            </w:r>
            <w:r>
              <w:rPr>
                <w:rFonts w:hint="eastAsia" w:ascii="仿宋" w:hAnsi="仿宋" w:eastAsia="仿宋" w:cs="仿宋"/>
                <w:color w:val="auto"/>
                <w:sz w:val="24"/>
                <w:szCs w:val="24"/>
                <w:lang w:val="en-US" w:eastAsia="zh-CN"/>
              </w:rPr>
              <w:t>提供</w:t>
            </w:r>
            <w:r>
              <w:rPr>
                <w:rFonts w:hint="eastAsia" w:ascii="仿宋" w:hAnsi="仿宋" w:eastAsia="仿宋" w:cs="仿宋"/>
                <w:color w:val="auto"/>
                <w:sz w:val="24"/>
                <w:szCs w:val="24"/>
                <w:lang w:val="zh-CN" w:eastAsia="zh-CN"/>
              </w:rPr>
              <w:t>全部由小型和微型企业制造的货物、或者承接的服务</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lang w:val="zh-CN" w:eastAsia="zh-CN"/>
              </w:rPr>
              <w:t>价格给予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0%（工程项目为3%—5%）的扣除，用扣除后的价格参与评审。本项目的扣除比例为：扣除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%。中小企业划型标准按照《关于印发中小企业划型标准规定的通知（工信部联企业〔2011〕300号）》文的相关规定认定。</w:t>
            </w:r>
          </w:p>
          <w:p w14:paraId="6A54F790">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监狱企业可视同小微企业在价格评审时给予3%—5%的扣除，用扣除后的价格参与评审。本项目的扣除比例为：扣除</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val="zh-CN" w:eastAsia="zh-CN"/>
              </w:rPr>
              <w:t>%。 根据《财库〔2014〕68号》，监狱企业参加政府采购活动时， 应当提供由省级以上监狱管理局、戒毒管理局（含新疆生产建设兵团）出具的属于监狱企业的证明文件）。</w:t>
            </w:r>
          </w:p>
          <w:p w14:paraId="1CC848A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残疾人福利性单位可视同小微企业在价格评审时给予3%—5%的扣除，用扣除后的价格参与评审。</w:t>
            </w:r>
          </w:p>
          <w:p w14:paraId="1BDB922C">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本项目的扣除比例为：扣除</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%；但应满足下列条件：</w:t>
            </w:r>
          </w:p>
          <w:p w14:paraId="4EEC3DDB">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 ①</w:t>
            </w:r>
            <w:r>
              <w:rPr>
                <w:rFonts w:hint="eastAsia" w:ascii="仿宋" w:hAnsi="仿宋" w:eastAsia="仿宋" w:cs="仿宋"/>
                <w:color w:val="auto"/>
                <w:sz w:val="24"/>
                <w:szCs w:val="24"/>
                <w:lang w:val="zh-CN" w:eastAsia="zh-CN"/>
              </w:rPr>
              <w:t>残疾人福利性单位应符合《财政部、民政部、中国残疾人联合会关于促进残疾人就业政府采购政策的通知》（财库[2017]141号）文件规定，并提供《残疾人福利性单位声明函》。</w:t>
            </w:r>
          </w:p>
          <w:p w14:paraId="7F3877F5">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②</w:t>
            </w:r>
            <w:r>
              <w:rPr>
                <w:rFonts w:hint="eastAsia" w:ascii="仿宋" w:hAnsi="仿宋" w:eastAsia="仿宋" w:cs="仿宋"/>
                <w:color w:val="auto"/>
                <w:sz w:val="24"/>
                <w:szCs w:val="24"/>
                <w:lang w:val="zh-CN" w:eastAsia="zh-CN"/>
              </w:rPr>
              <w:t>残疾人福利性单位属于小型、微型企业的，不重复享受政策。</w:t>
            </w:r>
          </w:p>
          <w:p w14:paraId="438692B2">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 xml:space="preserve"> 4、本项目</w:t>
            </w:r>
            <w:r>
              <w:rPr>
                <w:rFonts w:hint="eastAsia" w:ascii="仿宋" w:hAnsi="仿宋" w:eastAsia="仿宋" w:cs="仿宋"/>
                <w:color w:val="auto"/>
                <w:sz w:val="24"/>
                <w:szCs w:val="24"/>
                <w:lang w:val="zh-CN" w:eastAsia="zh-CN"/>
              </w:rPr>
              <w:t>专门面向中小企业</w:t>
            </w: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lang w:val="zh-CN" w:eastAsia="zh-CN"/>
              </w:rPr>
              <w:t>，不再执行价格评审优惠的扶持政策。</w:t>
            </w:r>
          </w:p>
        </w:tc>
      </w:tr>
      <w:tr w14:paraId="5999756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0" w:hRule="atLeast"/>
          <w:jc w:val="center"/>
        </w:trPr>
        <w:tc>
          <w:tcPr>
            <w:tcW w:w="640" w:type="dxa"/>
            <w:tcBorders>
              <w:top w:val="single" w:color="auto" w:sz="8" w:space="0"/>
              <w:bottom w:val="single" w:color="auto" w:sz="8" w:space="0"/>
              <w:right w:val="single" w:color="auto" w:sz="8" w:space="0"/>
            </w:tcBorders>
            <w:vAlign w:val="center"/>
          </w:tcPr>
          <w:p w14:paraId="375A976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0D985E3F">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联合体磋商</w:t>
            </w:r>
          </w:p>
        </w:tc>
        <w:tc>
          <w:tcPr>
            <w:tcW w:w="7316" w:type="dxa"/>
            <w:tcBorders>
              <w:top w:val="single" w:color="auto" w:sz="8" w:space="0"/>
              <w:left w:val="single" w:color="auto" w:sz="8" w:space="0"/>
              <w:bottom w:val="single" w:color="auto" w:sz="8" w:space="0"/>
            </w:tcBorders>
            <w:vAlign w:val="center"/>
          </w:tcPr>
          <w:p w14:paraId="36221F33">
            <w:pPr>
              <w:spacing w:line="36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不接受</w:t>
            </w:r>
          </w:p>
        </w:tc>
      </w:tr>
      <w:tr w14:paraId="5E72098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001" w:hRule="atLeast"/>
          <w:jc w:val="center"/>
        </w:trPr>
        <w:tc>
          <w:tcPr>
            <w:tcW w:w="640" w:type="dxa"/>
            <w:tcBorders>
              <w:top w:val="single" w:color="auto" w:sz="8" w:space="0"/>
              <w:bottom w:val="single" w:color="auto" w:sz="8" w:space="0"/>
              <w:right w:val="single" w:color="auto" w:sz="8" w:space="0"/>
            </w:tcBorders>
            <w:vAlign w:val="center"/>
          </w:tcPr>
          <w:p w14:paraId="454BFD07">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2182" w:type="dxa"/>
            <w:tcBorders>
              <w:top w:val="single" w:color="auto" w:sz="8" w:space="0"/>
              <w:left w:val="single" w:color="auto" w:sz="8" w:space="0"/>
              <w:bottom w:val="single" w:color="auto" w:sz="8" w:space="0"/>
              <w:right w:val="single" w:color="auto" w:sz="8" w:space="0"/>
            </w:tcBorders>
            <w:vAlign w:val="center"/>
          </w:tcPr>
          <w:p w14:paraId="03321FF3">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磋商文件</w:t>
            </w:r>
            <w:r>
              <w:rPr>
                <w:rFonts w:hint="eastAsia" w:ascii="仿宋" w:hAnsi="仿宋" w:eastAsia="仿宋" w:cs="仿宋"/>
                <w:color w:val="auto"/>
                <w:sz w:val="24"/>
                <w:szCs w:val="24"/>
              </w:rPr>
              <w:t>领取</w:t>
            </w:r>
          </w:p>
        </w:tc>
        <w:tc>
          <w:tcPr>
            <w:tcW w:w="7316" w:type="dxa"/>
            <w:tcBorders>
              <w:top w:val="single" w:color="auto" w:sz="8" w:space="0"/>
              <w:left w:val="single" w:color="auto" w:sz="8" w:space="0"/>
              <w:bottom w:val="single" w:color="auto" w:sz="8" w:space="0"/>
            </w:tcBorders>
          </w:tcPr>
          <w:p w14:paraId="54EB4014">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领取时间：</w:t>
            </w:r>
            <w:r>
              <w:rPr>
                <w:rFonts w:hint="eastAsia" w:ascii="仿宋" w:hAnsi="仿宋" w:eastAsia="仿宋" w:cs="仿宋"/>
                <w:color w:val="auto"/>
                <w:sz w:val="24"/>
                <w:szCs w:val="24"/>
                <w:lang w:eastAsia="zh-CN"/>
              </w:rPr>
              <w:t>20</w:t>
            </w:r>
            <w:r>
              <w:rPr>
                <w:rFonts w:hint="eastAsia" w:ascii="仿宋" w:hAnsi="仿宋" w:eastAsia="仿宋" w:cs="仿宋"/>
                <w:color w:val="auto"/>
                <w:sz w:val="24"/>
                <w:szCs w:val="24"/>
                <w:lang w:val="en-US" w:eastAsia="zh-CN"/>
              </w:rPr>
              <w:t>26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lang w:eastAsia="zh-CN"/>
              </w:rPr>
              <w:t>日至202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lang w:eastAsia="zh-CN"/>
              </w:rPr>
              <w:t>月</w:t>
            </w: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rPr>
              <w:t>，每天上午</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:00:00至12:00:00，下午14:00:00至</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:00:00（北京时间,法定节假日除外）</w:t>
            </w:r>
          </w:p>
          <w:p w14:paraId="3C0BA163">
            <w:pPr>
              <w:adjustRightInd w:val="0"/>
              <w:snapToGrid w:val="0"/>
              <w:spacing w:line="360" w:lineRule="auto"/>
              <w:ind w:left="105" w:leftChars="50" w:right="105" w:rightChars="50" w:firstLine="120" w:firstLineChars="50"/>
              <w:rPr>
                <w:rFonts w:hint="eastAsia" w:ascii="仿宋" w:hAnsi="仿宋" w:eastAsia="仿宋" w:cs="仿宋"/>
                <w:color w:val="auto"/>
                <w:sz w:val="24"/>
                <w:szCs w:val="24"/>
              </w:rPr>
            </w:pPr>
            <w:r>
              <w:rPr>
                <w:rFonts w:hint="eastAsia" w:ascii="仿宋" w:hAnsi="仿宋" w:eastAsia="仿宋" w:cs="仿宋"/>
                <w:color w:val="auto"/>
                <w:sz w:val="24"/>
                <w:szCs w:val="24"/>
              </w:rPr>
              <w:t>领取地点：陕西省咸阳市秦都区人民中路新华大厦1508室</w:t>
            </w:r>
          </w:p>
        </w:tc>
      </w:tr>
      <w:tr w14:paraId="557DDD3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45" w:hRule="atLeast"/>
          <w:jc w:val="center"/>
        </w:trPr>
        <w:tc>
          <w:tcPr>
            <w:tcW w:w="640" w:type="dxa"/>
            <w:tcBorders>
              <w:top w:val="single" w:color="auto" w:sz="8" w:space="0"/>
              <w:bottom w:val="single" w:color="auto" w:sz="8" w:space="0"/>
              <w:right w:val="single" w:color="auto" w:sz="8" w:space="0"/>
            </w:tcBorders>
            <w:vAlign w:val="center"/>
          </w:tcPr>
          <w:p w14:paraId="660AB38C">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2182" w:type="dxa"/>
            <w:tcBorders>
              <w:top w:val="single" w:color="auto" w:sz="8" w:space="0"/>
              <w:left w:val="single" w:color="auto" w:sz="8" w:space="0"/>
              <w:bottom w:val="single" w:color="auto" w:sz="8" w:space="0"/>
              <w:right w:val="single" w:color="auto" w:sz="8" w:space="0"/>
            </w:tcBorders>
            <w:vAlign w:val="center"/>
          </w:tcPr>
          <w:p w14:paraId="372B4F84">
            <w:pPr>
              <w:spacing w:line="360" w:lineRule="exact"/>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获取文件规定</w:t>
            </w:r>
          </w:p>
        </w:tc>
        <w:tc>
          <w:tcPr>
            <w:tcW w:w="7316" w:type="dxa"/>
            <w:tcBorders>
              <w:top w:val="single" w:color="auto" w:sz="8" w:space="0"/>
              <w:left w:val="single" w:color="auto" w:sz="8" w:space="0"/>
              <w:bottom w:val="single" w:color="auto" w:sz="8" w:space="0"/>
            </w:tcBorders>
            <w:vAlign w:val="center"/>
          </w:tcPr>
          <w:p w14:paraId="29F16F39">
            <w:pPr>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lang w:val="zh-CN"/>
              </w:rPr>
              <w:t xml:space="preserve"> 供应商登记领取采购文件的，如不参与项目投标，应在递交投标（或</w:t>
            </w:r>
            <w:r>
              <w:rPr>
                <w:rFonts w:hint="eastAsia" w:ascii="仿宋" w:hAnsi="仿宋" w:eastAsia="仿宋" w:cs="仿宋"/>
                <w:color w:val="auto"/>
                <w:sz w:val="24"/>
                <w:szCs w:val="24"/>
              </w:rPr>
              <w:t>响应</w:t>
            </w:r>
            <w:r>
              <w:rPr>
                <w:rFonts w:hint="eastAsia" w:ascii="仿宋" w:hAnsi="仿宋" w:eastAsia="仿宋" w:cs="仿宋"/>
                <w:color w:val="auto"/>
                <w:sz w:val="24"/>
                <w:szCs w:val="24"/>
                <w:lang w:val="zh-CN"/>
              </w:rPr>
              <w:t>）文件截止时间前一日以书面形式告知采购代理机构。否则，采购代理机构可以向财政部门反映情况并提供相应的佐证。供应商一年内累计出现三次该情形，将被监管部门记录失信行为。</w:t>
            </w:r>
          </w:p>
        </w:tc>
      </w:tr>
      <w:tr w14:paraId="711E919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71" w:hRule="atLeast"/>
          <w:jc w:val="center"/>
        </w:trPr>
        <w:tc>
          <w:tcPr>
            <w:tcW w:w="640" w:type="dxa"/>
            <w:tcBorders>
              <w:top w:val="single" w:color="auto" w:sz="8" w:space="0"/>
              <w:bottom w:val="single" w:color="auto" w:sz="8" w:space="0"/>
              <w:right w:val="single" w:color="auto" w:sz="8" w:space="0"/>
            </w:tcBorders>
            <w:vAlign w:val="center"/>
          </w:tcPr>
          <w:p w14:paraId="4F587B84">
            <w:pPr>
              <w:pStyle w:val="28"/>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2182" w:type="dxa"/>
            <w:tcBorders>
              <w:top w:val="single" w:color="auto" w:sz="8" w:space="0"/>
              <w:left w:val="single" w:color="auto" w:sz="8" w:space="0"/>
              <w:bottom w:val="single" w:color="auto" w:sz="8" w:space="0"/>
              <w:right w:val="single" w:color="auto" w:sz="8" w:space="0"/>
            </w:tcBorders>
            <w:vAlign w:val="center"/>
          </w:tcPr>
          <w:p w14:paraId="27736427">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考察现场、磋商前</w:t>
            </w:r>
          </w:p>
          <w:p w14:paraId="00AAEA2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答疑会</w:t>
            </w:r>
          </w:p>
        </w:tc>
        <w:tc>
          <w:tcPr>
            <w:tcW w:w="7316" w:type="dxa"/>
            <w:tcBorders>
              <w:top w:val="single" w:color="auto" w:sz="8" w:space="0"/>
              <w:left w:val="single" w:color="auto" w:sz="8" w:space="0"/>
              <w:bottom w:val="single" w:color="auto" w:sz="8" w:space="0"/>
            </w:tcBorders>
            <w:vAlign w:val="center"/>
          </w:tcPr>
          <w:p w14:paraId="43EAFE15">
            <w:pPr>
              <w:pStyle w:val="28"/>
              <w:snapToGrid w:val="0"/>
              <w:spacing w:line="360" w:lineRule="exact"/>
              <w:ind w:left="210" w:left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不组织</w:t>
            </w:r>
          </w:p>
        </w:tc>
      </w:tr>
      <w:tr w14:paraId="059AA54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71" w:hRule="atLeast"/>
          <w:jc w:val="center"/>
        </w:trPr>
        <w:tc>
          <w:tcPr>
            <w:tcW w:w="640" w:type="dxa"/>
            <w:tcBorders>
              <w:top w:val="single" w:color="auto" w:sz="8" w:space="0"/>
              <w:bottom w:val="single" w:color="auto" w:sz="8" w:space="0"/>
              <w:right w:val="single" w:color="auto" w:sz="8" w:space="0"/>
            </w:tcBorders>
            <w:vAlign w:val="center"/>
          </w:tcPr>
          <w:p w14:paraId="1E7D4F2E">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64554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转包与分包</w:t>
            </w:r>
          </w:p>
        </w:tc>
        <w:tc>
          <w:tcPr>
            <w:tcW w:w="7316" w:type="dxa"/>
            <w:tcBorders>
              <w:top w:val="single" w:color="auto" w:sz="8" w:space="0"/>
              <w:left w:val="single" w:color="auto" w:sz="8" w:space="0"/>
              <w:bottom w:val="single" w:color="auto" w:sz="8" w:space="0"/>
            </w:tcBorders>
            <w:vAlign w:val="center"/>
          </w:tcPr>
          <w:p w14:paraId="7BFCA8A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不得转</w:t>
            </w:r>
            <w:r>
              <w:rPr>
                <w:rFonts w:hint="eastAsia" w:ascii="仿宋" w:hAnsi="仿宋" w:eastAsia="仿宋" w:cs="仿宋"/>
                <w:color w:val="auto"/>
                <w:sz w:val="24"/>
                <w:szCs w:val="24"/>
              </w:rPr>
              <w:t>包</w:t>
            </w:r>
          </w:p>
        </w:tc>
      </w:tr>
      <w:tr w14:paraId="21AE2F4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32" w:hRule="atLeast"/>
          <w:jc w:val="center"/>
        </w:trPr>
        <w:tc>
          <w:tcPr>
            <w:tcW w:w="640" w:type="dxa"/>
            <w:tcBorders>
              <w:top w:val="single" w:color="auto" w:sz="8" w:space="0"/>
              <w:bottom w:val="single" w:color="auto" w:sz="8" w:space="0"/>
              <w:right w:val="single" w:color="auto" w:sz="8" w:space="0"/>
            </w:tcBorders>
            <w:vAlign w:val="center"/>
          </w:tcPr>
          <w:p w14:paraId="0B0FC53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2A113AA">
            <w:pPr>
              <w:pStyle w:val="8"/>
              <w:adjustRightInd w:val="0"/>
              <w:snapToGrid w:val="0"/>
              <w:spacing w:line="360" w:lineRule="exact"/>
              <w:ind w:firstLine="0"/>
              <w:jc w:val="center"/>
              <w:rPr>
                <w:rFonts w:hint="eastAsia" w:ascii="仿宋" w:hAnsi="仿宋" w:eastAsia="仿宋" w:cs="仿宋"/>
                <w:color w:val="auto"/>
                <w:sz w:val="24"/>
                <w:szCs w:val="24"/>
              </w:rPr>
            </w:pPr>
            <w:r>
              <w:rPr>
                <w:rFonts w:hint="eastAsia" w:ascii="仿宋" w:hAnsi="仿宋" w:eastAsia="仿宋" w:cs="仿宋"/>
                <w:color w:val="auto"/>
                <w:sz w:val="24"/>
                <w:szCs w:val="24"/>
              </w:rPr>
              <w:t>磋商文件澄清或修改</w:t>
            </w:r>
          </w:p>
          <w:p w14:paraId="37FEF392">
            <w:pPr>
              <w:pStyle w:val="8"/>
              <w:adjustRightInd w:val="0"/>
              <w:snapToGrid w:val="0"/>
              <w:spacing w:line="360" w:lineRule="exact"/>
              <w:ind w:firstLine="0" w:firstLineChars="0"/>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时间、形式</w:t>
            </w:r>
          </w:p>
        </w:tc>
        <w:tc>
          <w:tcPr>
            <w:tcW w:w="7316" w:type="dxa"/>
            <w:tcBorders>
              <w:top w:val="single" w:color="auto" w:sz="8" w:space="0"/>
              <w:left w:val="single" w:color="auto" w:sz="8" w:space="0"/>
              <w:bottom w:val="single" w:color="auto" w:sz="8" w:space="0"/>
            </w:tcBorders>
            <w:vAlign w:val="center"/>
          </w:tcPr>
          <w:p w14:paraId="2599908B">
            <w:pPr>
              <w:pStyle w:val="8"/>
              <w:adjustRightInd w:val="0"/>
              <w:snapToGrid w:val="0"/>
              <w:spacing w:line="36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lang w:val="zh-CN"/>
              </w:rPr>
              <w:t>时间：</w:t>
            </w:r>
            <w:r>
              <w:rPr>
                <w:rFonts w:hint="eastAsia" w:ascii="仿宋" w:hAnsi="仿宋" w:eastAsia="仿宋" w:cs="仿宋"/>
                <w:color w:val="auto"/>
                <w:sz w:val="24"/>
                <w:szCs w:val="24"/>
              </w:rPr>
              <w:t>提交响应文件截至时间5日前</w:t>
            </w:r>
          </w:p>
          <w:p w14:paraId="1EC5AE2D">
            <w:pPr>
              <w:pStyle w:val="8"/>
              <w:adjustRightInd w:val="0"/>
              <w:snapToGrid w:val="0"/>
              <w:spacing w:line="360" w:lineRule="exact"/>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形式：书面和公告</w:t>
            </w:r>
          </w:p>
        </w:tc>
      </w:tr>
      <w:tr w14:paraId="54493E1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40" w:type="dxa"/>
            <w:tcBorders>
              <w:top w:val="single" w:color="auto" w:sz="8" w:space="0"/>
              <w:bottom w:val="single" w:color="auto" w:sz="8" w:space="0"/>
              <w:right w:val="single" w:color="auto" w:sz="8" w:space="0"/>
            </w:tcBorders>
            <w:vAlign w:val="center"/>
          </w:tcPr>
          <w:p w14:paraId="314FE1D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F5DFC2A">
            <w:pPr>
              <w:pStyle w:val="28"/>
              <w:snapToGrid w:val="0"/>
              <w:spacing w:line="360" w:lineRule="exact"/>
              <w:ind w:left="52"/>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构成磋商文件的其他</w:t>
            </w:r>
          </w:p>
          <w:p w14:paraId="0F66DFD2">
            <w:pPr>
              <w:pStyle w:val="28"/>
              <w:snapToGrid w:val="0"/>
              <w:spacing w:line="360" w:lineRule="exact"/>
              <w:ind w:left="52"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文件</w:t>
            </w:r>
          </w:p>
        </w:tc>
        <w:tc>
          <w:tcPr>
            <w:tcW w:w="7316" w:type="dxa"/>
            <w:tcBorders>
              <w:top w:val="single" w:color="auto" w:sz="8" w:space="0"/>
              <w:left w:val="single" w:color="auto" w:sz="8" w:space="0"/>
              <w:bottom w:val="single" w:color="auto" w:sz="8" w:space="0"/>
            </w:tcBorders>
            <w:vAlign w:val="center"/>
          </w:tcPr>
          <w:p w14:paraId="0E0DE19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磋商文件的澄清</w:t>
            </w:r>
            <w:r>
              <w:rPr>
                <w:rFonts w:hint="eastAsia" w:ascii="仿宋" w:hAnsi="仿宋" w:eastAsia="仿宋" w:cs="仿宋"/>
                <w:color w:val="auto"/>
                <w:sz w:val="24"/>
                <w:szCs w:val="24"/>
              </w:rPr>
              <w:t>、修改书及有关补充通知为磋商文件的有效组成部分</w:t>
            </w:r>
          </w:p>
        </w:tc>
      </w:tr>
      <w:tr w14:paraId="65262F2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81" w:hRule="atLeast"/>
          <w:jc w:val="center"/>
        </w:trPr>
        <w:tc>
          <w:tcPr>
            <w:tcW w:w="640" w:type="dxa"/>
            <w:tcBorders>
              <w:top w:val="single" w:color="auto" w:sz="8" w:space="0"/>
              <w:bottom w:val="single" w:color="auto" w:sz="8" w:space="0"/>
              <w:right w:val="single" w:color="auto" w:sz="8" w:space="0"/>
            </w:tcBorders>
            <w:vAlign w:val="center"/>
          </w:tcPr>
          <w:p w14:paraId="301B81B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2080D8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供应商对磋商文件提出质疑的时间、形式</w:t>
            </w:r>
          </w:p>
        </w:tc>
        <w:tc>
          <w:tcPr>
            <w:tcW w:w="7316" w:type="dxa"/>
            <w:tcBorders>
              <w:top w:val="single" w:color="auto" w:sz="8" w:space="0"/>
              <w:left w:val="single" w:color="auto" w:sz="8" w:space="0"/>
              <w:bottom w:val="single" w:color="auto" w:sz="8" w:space="0"/>
            </w:tcBorders>
            <w:vAlign w:val="center"/>
          </w:tcPr>
          <w:p w14:paraId="5829FE91">
            <w:pPr>
              <w:pStyle w:val="28"/>
              <w:snapToGrid w:val="0"/>
              <w:spacing w:line="360" w:lineRule="exact"/>
              <w:ind w:left="930" w:leftChars="100" w:hanging="720" w:hangingChars="3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时间：自供应商收到磋商文件之日起7个工作日内，超过期限的采购人或采购代理机构不再受理</w:t>
            </w:r>
          </w:p>
          <w:p w14:paraId="546E93F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形式：书面形式（详见</w:t>
            </w:r>
            <w:r>
              <w:rPr>
                <w:rFonts w:hint="eastAsia" w:ascii="仿宋" w:hAnsi="仿宋" w:eastAsia="仿宋" w:cs="仿宋"/>
                <w:color w:val="auto"/>
                <w:sz w:val="24"/>
                <w:szCs w:val="24"/>
              </w:rPr>
              <w:t>供应商须知第12.1.2条款</w:t>
            </w:r>
            <w:r>
              <w:rPr>
                <w:rFonts w:hint="eastAsia" w:ascii="仿宋" w:hAnsi="仿宋" w:eastAsia="仿宋" w:cs="仿宋"/>
                <w:color w:val="auto"/>
                <w:sz w:val="24"/>
                <w:szCs w:val="24"/>
                <w:lang w:val="zh-CN"/>
              </w:rPr>
              <w:t>）</w:t>
            </w:r>
          </w:p>
        </w:tc>
      </w:tr>
      <w:tr w14:paraId="4C8DFBE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337" w:hRule="atLeast"/>
          <w:jc w:val="center"/>
        </w:trPr>
        <w:tc>
          <w:tcPr>
            <w:tcW w:w="640" w:type="dxa"/>
            <w:tcBorders>
              <w:top w:val="single" w:color="auto" w:sz="8" w:space="0"/>
              <w:bottom w:val="single" w:color="auto" w:sz="8" w:space="0"/>
              <w:right w:val="single" w:color="auto" w:sz="8" w:space="0"/>
            </w:tcBorders>
            <w:vAlign w:val="center"/>
          </w:tcPr>
          <w:p w14:paraId="0B73DB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7561EC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对供应商提出质疑答复时间、形式</w:t>
            </w:r>
          </w:p>
        </w:tc>
        <w:tc>
          <w:tcPr>
            <w:tcW w:w="7316" w:type="dxa"/>
            <w:tcBorders>
              <w:top w:val="single" w:color="auto" w:sz="8" w:space="0"/>
              <w:left w:val="single" w:color="auto" w:sz="8" w:space="0"/>
              <w:bottom w:val="single" w:color="auto" w:sz="8" w:space="0"/>
            </w:tcBorders>
            <w:vAlign w:val="center"/>
          </w:tcPr>
          <w:p w14:paraId="5C58E539">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时间：自收到供应商质疑函之日起7个工作日内</w:t>
            </w:r>
          </w:p>
          <w:p w14:paraId="69BE6EF5">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形式：书面形式</w:t>
            </w:r>
          </w:p>
        </w:tc>
      </w:tr>
      <w:tr w14:paraId="6EB5A42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15" w:hRule="atLeast"/>
          <w:jc w:val="center"/>
        </w:trPr>
        <w:tc>
          <w:tcPr>
            <w:tcW w:w="640" w:type="dxa"/>
            <w:tcBorders>
              <w:top w:val="single" w:color="auto" w:sz="8" w:space="0"/>
              <w:bottom w:val="single" w:color="auto" w:sz="8" w:space="0"/>
              <w:right w:val="single" w:color="auto" w:sz="8" w:space="0"/>
            </w:tcBorders>
            <w:vAlign w:val="center"/>
          </w:tcPr>
          <w:p w14:paraId="583A932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4D9597A">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响应文件有效期</w:t>
            </w:r>
          </w:p>
        </w:tc>
        <w:tc>
          <w:tcPr>
            <w:tcW w:w="7316" w:type="dxa"/>
            <w:tcBorders>
              <w:top w:val="single" w:color="auto" w:sz="8" w:space="0"/>
              <w:left w:val="single" w:color="auto" w:sz="8" w:space="0"/>
              <w:bottom w:val="single" w:color="auto" w:sz="8" w:space="0"/>
            </w:tcBorders>
            <w:vAlign w:val="center"/>
          </w:tcPr>
          <w:p w14:paraId="55B7DD7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从响应文件首次提交截止之日起90</w:t>
            </w:r>
            <w:r>
              <w:rPr>
                <w:rFonts w:hint="eastAsia" w:ascii="仿宋" w:hAnsi="仿宋" w:eastAsia="仿宋" w:cs="仿宋"/>
                <w:color w:val="auto"/>
                <w:sz w:val="24"/>
                <w:szCs w:val="24"/>
              </w:rPr>
              <w:t>日历天</w:t>
            </w:r>
          </w:p>
        </w:tc>
      </w:tr>
      <w:tr w14:paraId="11E3E07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23" w:hRule="exact"/>
          <w:jc w:val="center"/>
        </w:trPr>
        <w:tc>
          <w:tcPr>
            <w:tcW w:w="640" w:type="dxa"/>
            <w:tcBorders>
              <w:top w:val="single" w:color="auto" w:sz="8" w:space="0"/>
              <w:bottom w:val="single" w:color="auto" w:sz="8" w:space="0"/>
              <w:right w:val="single" w:color="auto" w:sz="8" w:space="0"/>
            </w:tcBorders>
            <w:vAlign w:val="center"/>
          </w:tcPr>
          <w:p w14:paraId="0EAD3D4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2</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4F32E0D9">
            <w:pPr>
              <w:pStyle w:val="28"/>
              <w:snapToGrid w:val="0"/>
              <w:spacing w:line="360" w:lineRule="exact"/>
              <w:ind w:left="33"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是否允许递交多个备选磋商方案</w:t>
            </w:r>
          </w:p>
        </w:tc>
        <w:tc>
          <w:tcPr>
            <w:tcW w:w="7316" w:type="dxa"/>
            <w:tcBorders>
              <w:top w:val="single" w:color="auto" w:sz="8" w:space="0"/>
              <w:left w:val="single" w:color="auto" w:sz="8" w:space="0"/>
              <w:bottom w:val="single" w:color="auto" w:sz="8" w:space="0"/>
            </w:tcBorders>
            <w:vAlign w:val="center"/>
          </w:tcPr>
          <w:p w14:paraId="0FD1359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不允许</w:t>
            </w:r>
          </w:p>
        </w:tc>
      </w:tr>
      <w:tr w14:paraId="3777100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99" w:hRule="exact"/>
          <w:jc w:val="center"/>
        </w:trPr>
        <w:tc>
          <w:tcPr>
            <w:tcW w:w="640" w:type="dxa"/>
            <w:tcBorders>
              <w:top w:val="single" w:color="auto" w:sz="8" w:space="0"/>
              <w:bottom w:val="single" w:color="auto" w:sz="8" w:space="0"/>
              <w:right w:val="single" w:color="auto" w:sz="8" w:space="0"/>
            </w:tcBorders>
            <w:vAlign w:val="center"/>
          </w:tcPr>
          <w:p w14:paraId="3E22CB9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30</w:t>
            </w:r>
          </w:p>
        </w:tc>
        <w:tc>
          <w:tcPr>
            <w:tcW w:w="2182" w:type="dxa"/>
            <w:tcBorders>
              <w:top w:val="single" w:color="auto" w:sz="8" w:space="0"/>
              <w:left w:val="single" w:color="auto" w:sz="8" w:space="0"/>
              <w:bottom w:val="single" w:color="auto" w:sz="8" w:space="0"/>
              <w:right w:val="single" w:color="auto" w:sz="8" w:space="0"/>
            </w:tcBorders>
            <w:vAlign w:val="center"/>
          </w:tcPr>
          <w:p w14:paraId="43C932DB">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磋商</w:t>
            </w:r>
            <w:r>
              <w:rPr>
                <w:rFonts w:hint="eastAsia" w:ascii="仿宋" w:hAnsi="仿宋" w:eastAsia="仿宋" w:cs="仿宋"/>
                <w:color w:val="auto"/>
                <w:sz w:val="24"/>
                <w:szCs w:val="24"/>
                <w:lang w:val="zh-CN"/>
              </w:rPr>
              <w:t>保证金</w:t>
            </w:r>
          </w:p>
        </w:tc>
        <w:tc>
          <w:tcPr>
            <w:tcW w:w="7316" w:type="dxa"/>
            <w:tcBorders>
              <w:top w:val="single" w:color="auto" w:sz="8" w:space="0"/>
              <w:left w:val="single" w:color="auto" w:sz="8" w:space="0"/>
              <w:bottom w:val="single" w:color="auto" w:sz="8" w:space="0"/>
            </w:tcBorders>
            <w:vAlign w:val="center"/>
          </w:tcPr>
          <w:p w14:paraId="42788521">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本项目不收取保证金。</w:t>
            </w:r>
          </w:p>
        </w:tc>
      </w:tr>
      <w:tr w14:paraId="33DF5D2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14" w:hRule="exact"/>
          <w:jc w:val="center"/>
        </w:trPr>
        <w:tc>
          <w:tcPr>
            <w:tcW w:w="640" w:type="dxa"/>
            <w:tcBorders>
              <w:top w:val="single" w:color="auto" w:sz="8" w:space="0"/>
              <w:bottom w:val="single" w:color="auto" w:sz="8" w:space="0"/>
              <w:right w:val="single" w:color="auto" w:sz="8" w:space="0"/>
            </w:tcBorders>
            <w:vAlign w:val="center"/>
          </w:tcPr>
          <w:p w14:paraId="4E81698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31</w:t>
            </w:r>
          </w:p>
        </w:tc>
        <w:tc>
          <w:tcPr>
            <w:tcW w:w="2182" w:type="dxa"/>
            <w:tcBorders>
              <w:top w:val="single" w:color="auto" w:sz="8" w:space="0"/>
              <w:left w:val="single" w:color="auto" w:sz="8" w:space="0"/>
              <w:bottom w:val="single" w:color="auto" w:sz="8" w:space="0"/>
              <w:right w:val="single" w:color="auto" w:sz="8" w:space="0"/>
            </w:tcBorders>
            <w:vAlign w:val="center"/>
          </w:tcPr>
          <w:p w14:paraId="55247D1E">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不予退还磋商保证金</w:t>
            </w:r>
          </w:p>
          <w:p w14:paraId="39C2AF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的情形</w:t>
            </w:r>
          </w:p>
        </w:tc>
        <w:tc>
          <w:tcPr>
            <w:tcW w:w="7316" w:type="dxa"/>
            <w:tcBorders>
              <w:top w:val="single" w:color="auto" w:sz="8" w:space="0"/>
              <w:left w:val="single" w:color="auto" w:sz="8" w:space="0"/>
              <w:bottom w:val="single" w:color="auto" w:sz="8" w:space="0"/>
            </w:tcBorders>
            <w:vAlign w:val="center"/>
          </w:tcPr>
          <w:p w14:paraId="13F1E2D3">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w:t>
            </w:r>
            <w:r>
              <w:rPr>
                <w:rFonts w:hint="eastAsia" w:ascii="仿宋" w:hAnsi="仿宋" w:eastAsia="仿宋" w:cs="仿宋"/>
                <w:color w:val="auto"/>
                <w:sz w:val="24"/>
                <w:szCs w:val="24"/>
              </w:rPr>
              <w:t>供应商须知第4.5.3.2条款</w:t>
            </w:r>
          </w:p>
        </w:tc>
      </w:tr>
      <w:tr w14:paraId="2CB583F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atLeast"/>
          <w:jc w:val="center"/>
        </w:trPr>
        <w:tc>
          <w:tcPr>
            <w:tcW w:w="640" w:type="dxa"/>
            <w:tcBorders>
              <w:top w:val="single" w:color="auto" w:sz="8" w:space="0"/>
              <w:bottom w:val="single" w:color="auto" w:sz="8" w:space="0"/>
              <w:right w:val="single" w:color="auto" w:sz="8" w:space="0"/>
            </w:tcBorders>
            <w:vAlign w:val="center"/>
          </w:tcPr>
          <w:p w14:paraId="20778B7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32</w:t>
            </w:r>
          </w:p>
        </w:tc>
        <w:tc>
          <w:tcPr>
            <w:tcW w:w="2182" w:type="dxa"/>
            <w:tcBorders>
              <w:top w:val="single" w:color="auto" w:sz="8" w:space="0"/>
              <w:left w:val="single" w:color="auto" w:sz="8" w:space="0"/>
              <w:bottom w:val="single" w:color="auto" w:sz="8" w:space="0"/>
              <w:right w:val="single" w:color="auto" w:sz="8" w:space="0"/>
            </w:tcBorders>
            <w:vAlign w:val="center"/>
          </w:tcPr>
          <w:p w14:paraId="563CC7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响应文件份数</w:t>
            </w:r>
          </w:p>
        </w:tc>
        <w:tc>
          <w:tcPr>
            <w:tcW w:w="7316" w:type="dxa"/>
            <w:tcBorders>
              <w:top w:val="single" w:color="auto" w:sz="8" w:space="0"/>
              <w:left w:val="single" w:color="auto" w:sz="8" w:space="0"/>
              <w:bottom w:val="single" w:color="auto" w:sz="8" w:space="0"/>
            </w:tcBorders>
            <w:vAlign w:val="center"/>
          </w:tcPr>
          <w:p w14:paraId="2F9FDEE2">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正本1套、副本</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套和电子文件（U盘</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PDF及广联达计价软件版</w:t>
            </w:r>
            <w:r>
              <w:rPr>
                <w:rFonts w:hint="eastAsia" w:ascii="仿宋" w:hAnsi="仿宋" w:eastAsia="仿宋" w:cs="仿宋"/>
                <w:color w:val="auto"/>
                <w:sz w:val="24"/>
                <w:szCs w:val="24"/>
              </w:rPr>
              <w:t>）2份</w:t>
            </w:r>
          </w:p>
        </w:tc>
      </w:tr>
      <w:tr w14:paraId="36A3EBD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7" w:hRule="exact"/>
          <w:jc w:val="center"/>
        </w:trPr>
        <w:tc>
          <w:tcPr>
            <w:tcW w:w="640" w:type="dxa"/>
            <w:tcBorders>
              <w:top w:val="single" w:color="auto" w:sz="8" w:space="0"/>
              <w:bottom w:val="single" w:color="auto" w:sz="8" w:space="0"/>
              <w:right w:val="single" w:color="auto" w:sz="8" w:space="0"/>
            </w:tcBorders>
            <w:vAlign w:val="center"/>
          </w:tcPr>
          <w:p w14:paraId="7F78A45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5D7F8FE8">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响应文件签字或盖章</w:t>
            </w:r>
          </w:p>
          <w:p w14:paraId="6794CD4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要求</w:t>
            </w:r>
          </w:p>
        </w:tc>
        <w:tc>
          <w:tcPr>
            <w:tcW w:w="7316" w:type="dxa"/>
            <w:tcBorders>
              <w:top w:val="single" w:color="auto" w:sz="8" w:space="0"/>
              <w:left w:val="single" w:color="auto" w:sz="8" w:space="0"/>
              <w:bottom w:val="single" w:color="auto" w:sz="8" w:space="0"/>
            </w:tcBorders>
            <w:vAlign w:val="center"/>
          </w:tcPr>
          <w:p w14:paraId="312C197F">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供应商必须按照磋商文件的规定和要求签字、盖章</w:t>
            </w:r>
          </w:p>
        </w:tc>
      </w:tr>
      <w:tr w14:paraId="1F799C8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7" w:hRule="exact"/>
          <w:jc w:val="center"/>
        </w:trPr>
        <w:tc>
          <w:tcPr>
            <w:tcW w:w="640" w:type="dxa"/>
            <w:tcBorders>
              <w:top w:val="single" w:color="auto" w:sz="8" w:space="0"/>
              <w:bottom w:val="single" w:color="auto" w:sz="8" w:space="0"/>
              <w:right w:val="single" w:color="auto" w:sz="8" w:space="0"/>
            </w:tcBorders>
            <w:vAlign w:val="center"/>
          </w:tcPr>
          <w:p w14:paraId="6834B2F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45A8DFE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响应文件装订</w:t>
            </w:r>
          </w:p>
        </w:tc>
        <w:tc>
          <w:tcPr>
            <w:tcW w:w="7316" w:type="dxa"/>
            <w:tcBorders>
              <w:top w:val="single" w:color="auto" w:sz="8" w:space="0"/>
              <w:left w:val="single" w:color="auto" w:sz="8" w:space="0"/>
              <w:bottom w:val="single" w:color="auto" w:sz="8" w:space="0"/>
            </w:tcBorders>
            <w:vAlign w:val="center"/>
          </w:tcPr>
          <w:p w14:paraId="09971C0D">
            <w:pPr>
              <w:autoSpaceDE w:val="0"/>
              <w:autoSpaceDN w:val="0"/>
              <w:adjustRightInd w:val="0"/>
              <w:snapToGrid w:val="0"/>
              <w:spacing w:line="360" w:lineRule="exact"/>
              <w:ind w:firstLine="240" w:firstLineChars="100"/>
              <w:rPr>
                <w:rFonts w:hint="eastAsia" w:ascii="仿宋" w:hAnsi="仿宋" w:eastAsia="仿宋" w:cs="仿宋"/>
                <w:color w:val="auto"/>
                <w:kern w:val="0"/>
                <w:sz w:val="24"/>
                <w:szCs w:val="24"/>
                <w:lang w:val="zh-CN" w:eastAsia="zh-CN" w:bidi="ar-SA"/>
              </w:rPr>
            </w:pPr>
            <w:r>
              <w:rPr>
                <w:rFonts w:hint="eastAsia" w:ascii="仿宋" w:hAnsi="仿宋" w:eastAsia="仿宋" w:cs="仿宋"/>
                <w:color w:val="auto"/>
                <w:kern w:val="0"/>
                <w:sz w:val="24"/>
                <w:szCs w:val="24"/>
              </w:rPr>
              <w:t>磋商响应文件应当采用A4页幅、</w:t>
            </w:r>
            <w:r>
              <w:rPr>
                <w:rFonts w:hint="eastAsia" w:ascii="仿宋" w:hAnsi="仿宋" w:eastAsia="仿宋" w:cs="仿宋"/>
                <w:color w:val="auto"/>
                <w:kern w:val="0"/>
                <w:sz w:val="24"/>
                <w:szCs w:val="24"/>
                <w:lang w:val="en-US" w:eastAsia="zh-CN"/>
              </w:rPr>
              <w:t>建议</w:t>
            </w:r>
            <w:r>
              <w:rPr>
                <w:rFonts w:hint="eastAsia" w:ascii="仿宋" w:hAnsi="仿宋" w:eastAsia="仿宋" w:cs="仿宋"/>
                <w:color w:val="auto"/>
                <w:kern w:val="0"/>
                <w:sz w:val="24"/>
                <w:szCs w:val="24"/>
              </w:rPr>
              <w:t>双面打印、左侧胶装方式装订，装订应牢固、不易拆散和换页，</w:t>
            </w:r>
            <w:r>
              <w:rPr>
                <w:rFonts w:hint="eastAsia" w:ascii="仿宋" w:hAnsi="仿宋" w:eastAsia="仿宋" w:cs="仿宋"/>
                <w:color w:val="auto"/>
                <w:sz w:val="24"/>
                <w:szCs w:val="24"/>
              </w:rPr>
              <w:t>正副本分别密封，电子文件置于正本密封袋中。</w:t>
            </w:r>
          </w:p>
        </w:tc>
      </w:tr>
      <w:tr w14:paraId="267B535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62" w:hRule="exact"/>
          <w:jc w:val="center"/>
        </w:trPr>
        <w:tc>
          <w:tcPr>
            <w:tcW w:w="640" w:type="dxa"/>
            <w:tcBorders>
              <w:top w:val="single" w:color="auto" w:sz="8" w:space="0"/>
              <w:bottom w:val="single" w:color="auto" w:sz="8" w:space="0"/>
              <w:right w:val="single" w:color="auto" w:sz="8" w:space="0"/>
            </w:tcBorders>
            <w:vAlign w:val="center"/>
          </w:tcPr>
          <w:p w14:paraId="0A4730C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1DE8C194">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响应文件封面标注</w:t>
            </w:r>
          </w:p>
        </w:tc>
        <w:tc>
          <w:tcPr>
            <w:tcW w:w="7316" w:type="dxa"/>
            <w:tcBorders>
              <w:top w:val="single" w:color="auto" w:sz="8" w:space="0"/>
              <w:left w:val="single" w:color="auto" w:sz="8" w:space="0"/>
              <w:bottom w:val="single" w:color="auto" w:sz="8" w:space="0"/>
            </w:tcBorders>
            <w:vAlign w:val="center"/>
          </w:tcPr>
          <w:p w14:paraId="0A1709FC">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响应文件正本和副本的封面上均应标明：采购项目名称、项目编号、供应商名称、年月日；并分别在右上角标明“正本”和“副本”字样</w:t>
            </w:r>
          </w:p>
        </w:tc>
      </w:tr>
      <w:tr w14:paraId="52864A5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3E3677A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0C1CE42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封套上应载明的信息</w:t>
            </w:r>
          </w:p>
        </w:tc>
        <w:tc>
          <w:tcPr>
            <w:tcW w:w="7316" w:type="dxa"/>
            <w:tcBorders>
              <w:top w:val="single" w:color="auto" w:sz="8" w:space="0"/>
              <w:left w:val="single" w:color="auto" w:sz="8" w:space="0"/>
              <w:bottom w:val="single" w:color="auto" w:sz="8" w:space="0"/>
            </w:tcBorders>
            <w:vAlign w:val="center"/>
          </w:tcPr>
          <w:p w14:paraId="3BFBD43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项目编号：“正本”或“副本”字样</w:t>
            </w:r>
          </w:p>
          <w:p w14:paraId="4F0F08CA">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p w14:paraId="2F47FF30">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w:t>
            </w:r>
          </w:p>
          <w:p w14:paraId="1498F1BC">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采购人名称：</w:t>
            </w:r>
          </w:p>
          <w:p w14:paraId="276D8926">
            <w:pPr>
              <w:pStyle w:val="28"/>
              <w:snapToGrid w:val="0"/>
              <w:spacing w:line="360" w:lineRule="exact"/>
              <w:ind w:firstLine="240" w:firstLineChars="100"/>
              <w:jc w:val="both"/>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供应商名称：</w:t>
            </w:r>
          </w:p>
          <w:p w14:paraId="2657EE4E">
            <w:pPr>
              <w:pStyle w:val="28"/>
              <w:snapToGrid w:val="0"/>
              <w:spacing w:line="360" w:lineRule="exact"/>
              <w:ind w:firstLine="240" w:firstLineChars="100"/>
              <w:jc w:val="both"/>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在    年  月  日  时  分前不得开启</w:t>
            </w:r>
          </w:p>
        </w:tc>
      </w:tr>
      <w:tr w14:paraId="29C6150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3525CD8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7</w:t>
            </w:r>
          </w:p>
        </w:tc>
        <w:tc>
          <w:tcPr>
            <w:tcW w:w="2182" w:type="dxa"/>
            <w:tcBorders>
              <w:top w:val="single" w:color="auto" w:sz="8" w:space="0"/>
              <w:left w:val="single" w:color="auto" w:sz="8" w:space="0"/>
              <w:bottom w:val="single" w:color="auto" w:sz="8" w:space="0"/>
              <w:right w:val="single" w:color="auto" w:sz="8" w:space="0"/>
            </w:tcBorders>
            <w:vAlign w:val="center"/>
          </w:tcPr>
          <w:p w14:paraId="5584BD9B">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提交响应文件截至</w:t>
            </w:r>
          </w:p>
          <w:p w14:paraId="2629BAD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时间</w:t>
            </w:r>
          </w:p>
        </w:tc>
        <w:tc>
          <w:tcPr>
            <w:tcW w:w="7316" w:type="dxa"/>
            <w:tcBorders>
              <w:top w:val="single" w:color="auto" w:sz="8" w:space="0"/>
              <w:left w:val="single" w:color="auto" w:sz="8" w:space="0"/>
              <w:bottom w:val="single" w:color="auto" w:sz="8" w:space="0"/>
            </w:tcBorders>
            <w:vAlign w:val="center"/>
          </w:tcPr>
          <w:p w14:paraId="2E6EDA28">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6-09</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22</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 xml:space="preserve">:30:00 </w:t>
            </w:r>
          </w:p>
        </w:tc>
      </w:tr>
      <w:tr w14:paraId="7D43213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15" w:hRule="atLeast"/>
          <w:jc w:val="center"/>
        </w:trPr>
        <w:tc>
          <w:tcPr>
            <w:tcW w:w="640" w:type="dxa"/>
            <w:tcBorders>
              <w:top w:val="single" w:color="auto" w:sz="8" w:space="0"/>
              <w:bottom w:val="single" w:color="auto" w:sz="8" w:space="0"/>
              <w:right w:val="single" w:color="auto" w:sz="8" w:space="0"/>
            </w:tcBorders>
            <w:vAlign w:val="center"/>
          </w:tcPr>
          <w:p w14:paraId="7BB2637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8</w:t>
            </w:r>
          </w:p>
        </w:tc>
        <w:tc>
          <w:tcPr>
            <w:tcW w:w="2182" w:type="dxa"/>
            <w:tcBorders>
              <w:top w:val="single" w:color="auto" w:sz="8" w:space="0"/>
              <w:left w:val="single" w:color="auto" w:sz="8" w:space="0"/>
              <w:bottom w:val="single" w:color="auto" w:sz="8" w:space="0"/>
              <w:right w:val="single" w:color="auto" w:sz="8" w:space="0"/>
            </w:tcBorders>
            <w:vAlign w:val="center"/>
          </w:tcPr>
          <w:p w14:paraId="63ECB6E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提交响应文件地点</w:t>
            </w:r>
          </w:p>
        </w:tc>
        <w:tc>
          <w:tcPr>
            <w:tcW w:w="7316" w:type="dxa"/>
            <w:tcBorders>
              <w:top w:val="single" w:color="auto" w:sz="8" w:space="0"/>
              <w:left w:val="single" w:color="auto" w:sz="8" w:space="0"/>
              <w:bottom w:val="single" w:color="auto" w:sz="8" w:space="0"/>
            </w:tcBorders>
            <w:vAlign w:val="center"/>
          </w:tcPr>
          <w:p w14:paraId="028264F0">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陕西省咸阳市秦都区人民中路新华大厦1508会议室</w:t>
            </w:r>
            <w:r>
              <w:rPr>
                <w:rFonts w:hint="eastAsia" w:ascii="仿宋" w:hAnsi="仿宋" w:eastAsia="仿宋" w:cs="仿宋"/>
                <w:color w:val="auto"/>
                <w:sz w:val="24"/>
                <w:szCs w:val="24"/>
              </w:rPr>
              <w:t xml:space="preserve"> </w:t>
            </w:r>
          </w:p>
        </w:tc>
      </w:tr>
      <w:tr w14:paraId="04A11B6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1" w:hRule="exact"/>
          <w:jc w:val="center"/>
        </w:trPr>
        <w:tc>
          <w:tcPr>
            <w:tcW w:w="640" w:type="dxa"/>
            <w:tcBorders>
              <w:top w:val="single" w:color="auto" w:sz="8" w:space="0"/>
              <w:bottom w:val="single" w:color="auto" w:sz="8" w:space="0"/>
              <w:right w:val="single" w:color="auto" w:sz="8" w:space="0"/>
            </w:tcBorders>
            <w:vAlign w:val="center"/>
          </w:tcPr>
          <w:p w14:paraId="5F075BCD">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9</w:t>
            </w:r>
          </w:p>
        </w:tc>
        <w:tc>
          <w:tcPr>
            <w:tcW w:w="2182" w:type="dxa"/>
            <w:tcBorders>
              <w:top w:val="single" w:color="auto" w:sz="8" w:space="0"/>
              <w:left w:val="single" w:color="auto" w:sz="8" w:space="0"/>
              <w:bottom w:val="single" w:color="auto" w:sz="8" w:space="0"/>
              <w:right w:val="single" w:color="auto" w:sz="8" w:space="0"/>
            </w:tcBorders>
            <w:vAlign w:val="center"/>
          </w:tcPr>
          <w:p w14:paraId="3063A11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响应文件是否退还</w:t>
            </w:r>
          </w:p>
        </w:tc>
        <w:tc>
          <w:tcPr>
            <w:tcW w:w="7316" w:type="dxa"/>
            <w:tcBorders>
              <w:top w:val="single" w:color="auto" w:sz="8" w:space="0"/>
              <w:left w:val="single" w:color="auto" w:sz="8" w:space="0"/>
              <w:bottom w:val="single" w:color="auto" w:sz="8" w:space="0"/>
            </w:tcBorders>
            <w:vAlign w:val="center"/>
          </w:tcPr>
          <w:p w14:paraId="7C4EA0B2">
            <w:pPr>
              <w:autoSpaceDE w:val="0"/>
              <w:autoSpaceDN w:val="0"/>
              <w:adjustRightInd w:val="0"/>
              <w:snapToGrid w:val="0"/>
              <w:spacing w:line="360" w:lineRule="exact"/>
              <w:ind w:firstLine="240" w:firstLineChars="100"/>
              <w:jc w:val="left"/>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否</w:t>
            </w:r>
          </w:p>
        </w:tc>
      </w:tr>
      <w:tr w14:paraId="1DDAD1B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33" w:hRule="exact"/>
          <w:jc w:val="center"/>
        </w:trPr>
        <w:tc>
          <w:tcPr>
            <w:tcW w:w="640" w:type="dxa"/>
            <w:tcBorders>
              <w:top w:val="single" w:color="auto" w:sz="8" w:space="0"/>
              <w:bottom w:val="single" w:color="auto" w:sz="8" w:space="0"/>
              <w:right w:val="single" w:color="auto" w:sz="8" w:space="0"/>
            </w:tcBorders>
            <w:vAlign w:val="center"/>
          </w:tcPr>
          <w:p w14:paraId="21C60F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40</w:t>
            </w:r>
          </w:p>
        </w:tc>
        <w:tc>
          <w:tcPr>
            <w:tcW w:w="2182" w:type="dxa"/>
            <w:tcBorders>
              <w:top w:val="single" w:color="auto" w:sz="8" w:space="0"/>
              <w:left w:val="single" w:color="auto" w:sz="8" w:space="0"/>
              <w:bottom w:val="single" w:color="auto" w:sz="8" w:space="0"/>
              <w:right w:val="single" w:color="auto" w:sz="8" w:space="0"/>
            </w:tcBorders>
            <w:vAlign w:val="center"/>
          </w:tcPr>
          <w:p w14:paraId="34423BBC">
            <w:pPr>
              <w:pStyle w:val="28"/>
              <w:snapToGrid w:val="0"/>
              <w:spacing w:line="36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开启响应文件时间和</w:t>
            </w:r>
          </w:p>
          <w:p w14:paraId="2F80EBE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地点</w:t>
            </w:r>
          </w:p>
        </w:tc>
        <w:tc>
          <w:tcPr>
            <w:tcW w:w="7316" w:type="dxa"/>
            <w:tcBorders>
              <w:top w:val="single" w:color="auto" w:sz="8" w:space="0"/>
              <w:left w:val="single" w:color="auto" w:sz="8" w:space="0"/>
              <w:bottom w:val="single" w:color="auto" w:sz="8" w:space="0"/>
            </w:tcBorders>
            <w:vAlign w:val="center"/>
          </w:tcPr>
          <w:p w14:paraId="2496ED0B">
            <w:pPr>
              <w:pStyle w:val="28"/>
              <w:snapToGrid w:val="0"/>
              <w:spacing w:line="360" w:lineRule="exact"/>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开启响应文件时间：同提交响应文件截至时间</w:t>
            </w:r>
          </w:p>
          <w:p w14:paraId="19D133ED">
            <w:pPr>
              <w:pStyle w:val="28"/>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开启响应文件地点：同提交响应文件地点</w:t>
            </w:r>
          </w:p>
        </w:tc>
      </w:tr>
      <w:tr w14:paraId="77ED46F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99" w:hRule="exact"/>
          <w:jc w:val="center"/>
        </w:trPr>
        <w:tc>
          <w:tcPr>
            <w:tcW w:w="640" w:type="dxa"/>
            <w:tcBorders>
              <w:top w:val="single" w:color="auto" w:sz="8" w:space="0"/>
              <w:bottom w:val="single" w:color="auto" w:sz="8" w:space="0"/>
              <w:right w:val="single" w:color="auto" w:sz="8" w:space="0"/>
            </w:tcBorders>
            <w:vAlign w:val="center"/>
          </w:tcPr>
          <w:p w14:paraId="6290F237">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41</w:t>
            </w:r>
          </w:p>
        </w:tc>
        <w:tc>
          <w:tcPr>
            <w:tcW w:w="2182" w:type="dxa"/>
            <w:tcBorders>
              <w:top w:val="single" w:color="auto" w:sz="8" w:space="0"/>
              <w:left w:val="single" w:color="auto" w:sz="8" w:space="0"/>
              <w:bottom w:val="single" w:color="auto" w:sz="8" w:space="0"/>
              <w:right w:val="single" w:color="auto" w:sz="8" w:space="0"/>
            </w:tcBorders>
            <w:vAlign w:val="center"/>
          </w:tcPr>
          <w:p w14:paraId="2EEB97B3">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磋商小组的组建</w:t>
            </w:r>
          </w:p>
        </w:tc>
        <w:tc>
          <w:tcPr>
            <w:tcW w:w="7316" w:type="dxa"/>
            <w:tcBorders>
              <w:top w:val="single" w:color="auto" w:sz="8" w:space="0"/>
              <w:left w:val="single" w:color="auto" w:sz="8" w:space="0"/>
              <w:bottom w:val="single" w:color="auto" w:sz="8" w:space="0"/>
            </w:tcBorders>
            <w:vAlign w:val="center"/>
          </w:tcPr>
          <w:p w14:paraId="19B4D567">
            <w:pPr>
              <w:pStyle w:val="28"/>
              <w:snapToGrid w:val="0"/>
              <w:spacing w:line="360" w:lineRule="exact"/>
              <w:ind w:left="694" w:leftChars="102" w:hanging="480" w:hanging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磋商小组构成形式、人数，评审专家确定方式：</w:t>
            </w:r>
          </w:p>
          <w:p w14:paraId="07BC99A5">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详见供应商须知第7.1.1条款</w:t>
            </w:r>
          </w:p>
        </w:tc>
      </w:tr>
      <w:tr w14:paraId="3A946E6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50" w:hRule="atLeast"/>
          <w:jc w:val="center"/>
        </w:trPr>
        <w:tc>
          <w:tcPr>
            <w:tcW w:w="640" w:type="dxa"/>
            <w:tcBorders>
              <w:top w:val="single" w:color="auto" w:sz="8" w:space="0"/>
              <w:bottom w:val="single" w:color="auto" w:sz="8" w:space="0"/>
              <w:right w:val="single" w:color="auto" w:sz="8" w:space="0"/>
            </w:tcBorders>
            <w:vAlign w:val="center"/>
          </w:tcPr>
          <w:p w14:paraId="60367EA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rPr>
              <w:t>42</w:t>
            </w:r>
          </w:p>
        </w:tc>
        <w:tc>
          <w:tcPr>
            <w:tcW w:w="2182" w:type="dxa"/>
            <w:tcBorders>
              <w:top w:val="single" w:color="auto" w:sz="8" w:space="0"/>
              <w:left w:val="single" w:color="auto" w:sz="8" w:space="0"/>
              <w:bottom w:val="single" w:color="auto" w:sz="8" w:space="0"/>
              <w:right w:val="single" w:color="auto" w:sz="8" w:space="0"/>
            </w:tcBorders>
            <w:vAlign w:val="center"/>
          </w:tcPr>
          <w:p w14:paraId="39422BE7">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磋商办法</w:t>
            </w:r>
          </w:p>
        </w:tc>
        <w:tc>
          <w:tcPr>
            <w:tcW w:w="7316" w:type="dxa"/>
            <w:tcBorders>
              <w:top w:val="single" w:color="auto" w:sz="8" w:space="0"/>
              <w:left w:val="single" w:color="auto" w:sz="8" w:space="0"/>
              <w:bottom w:val="single" w:color="auto" w:sz="8" w:space="0"/>
            </w:tcBorders>
            <w:vAlign w:val="center"/>
          </w:tcPr>
          <w:p w14:paraId="3E711564">
            <w:pPr>
              <w:pStyle w:val="28"/>
              <w:snapToGrid w:val="0"/>
              <w:spacing w:line="360" w:lineRule="exact"/>
              <w:ind w:left="694" w:leftChars="102" w:hanging="480" w:hangingChars="2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详见第三章磋商办法</w:t>
            </w:r>
          </w:p>
        </w:tc>
      </w:tr>
      <w:tr w14:paraId="7B519057">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5" w:hRule="atLeast"/>
          <w:jc w:val="center"/>
        </w:trPr>
        <w:tc>
          <w:tcPr>
            <w:tcW w:w="640" w:type="dxa"/>
            <w:tcBorders>
              <w:top w:val="single" w:color="auto" w:sz="8" w:space="0"/>
              <w:bottom w:val="single" w:color="auto" w:sz="8" w:space="0"/>
              <w:right w:val="single" w:color="auto" w:sz="8" w:space="0"/>
            </w:tcBorders>
            <w:vAlign w:val="center"/>
          </w:tcPr>
          <w:p w14:paraId="49B274E5">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3</w:t>
            </w:r>
          </w:p>
        </w:tc>
        <w:tc>
          <w:tcPr>
            <w:tcW w:w="2182" w:type="dxa"/>
            <w:tcBorders>
              <w:top w:val="single" w:color="auto" w:sz="8" w:space="0"/>
              <w:left w:val="single" w:color="auto" w:sz="8" w:space="0"/>
              <w:bottom w:val="single" w:color="auto" w:sz="8" w:space="0"/>
              <w:right w:val="single" w:color="auto" w:sz="8" w:space="0"/>
            </w:tcBorders>
            <w:vAlign w:val="center"/>
          </w:tcPr>
          <w:p w14:paraId="2E84DB93">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磋商小组推荐成交候选供应商的家数</w:t>
            </w:r>
          </w:p>
        </w:tc>
        <w:tc>
          <w:tcPr>
            <w:tcW w:w="7316" w:type="dxa"/>
            <w:tcBorders>
              <w:top w:val="single" w:color="auto" w:sz="8" w:space="0"/>
              <w:left w:val="single" w:color="auto" w:sz="8" w:space="0"/>
              <w:bottom w:val="single" w:color="auto" w:sz="8" w:space="0"/>
            </w:tcBorders>
            <w:vAlign w:val="center"/>
          </w:tcPr>
          <w:p w14:paraId="7C4BD528">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3 </w:t>
            </w:r>
          </w:p>
        </w:tc>
      </w:tr>
      <w:tr w14:paraId="60B1971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640" w:type="dxa"/>
            <w:tcBorders>
              <w:top w:val="single" w:color="auto" w:sz="8" w:space="0"/>
              <w:bottom w:val="single" w:color="auto" w:sz="8" w:space="0"/>
              <w:right w:val="single" w:color="auto" w:sz="8" w:space="0"/>
            </w:tcBorders>
            <w:vAlign w:val="center"/>
          </w:tcPr>
          <w:p w14:paraId="204BD90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4</w:t>
            </w:r>
          </w:p>
        </w:tc>
        <w:tc>
          <w:tcPr>
            <w:tcW w:w="2182" w:type="dxa"/>
            <w:tcBorders>
              <w:top w:val="single" w:color="auto" w:sz="8" w:space="0"/>
              <w:left w:val="single" w:color="auto" w:sz="8" w:space="0"/>
              <w:bottom w:val="single" w:color="auto" w:sz="8" w:space="0"/>
              <w:right w:val="single" w:color="auto" w:sz="8" w:space="0"/>
            </w:tcBorders>
            <w:vAlign w:val="center"/>
          </w:tcPr>
          <w:p w14:paraId="5DE23208">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是否授权磋商小组确定成交供应商</w:t>
            </w:r>
          </w:p>
        </w:tc>
        <w:tc>
          <w:tcPr>
            <w:tcW w:w="7316" w:type="dxa"/>
            <w:tcBorders>
              <w:top w:val="single" w:color="auto" w:sz="8" w:space="0"/>
              <w:left w:val="single" w:color="auto" w:sz="8" w:space="0"/>
              <w:bottom w:val="single" w:color="auto" w:sz="8" w:space="0"/>
            </w:tcBorders>
            <w:vAlign w:val="center"/>
          </w:tcPr>
          <w:p w14:paraId="5F9F4EF3">
            <w:pPr>
              <w:pStyle w:val="28"/>
              <w:tabs>
                <w:tab w:val="left" w:pos="561"/>
              </w:tabs>
              <w:snapToGrid w:val="0"/>
              <w:spacing w:line="360" w:lineRule="exact"/>
              <w:ind w:firstLine="240" w:firstLineChars="10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否</w:t>
            </w:r>
          </w:p>
        </w:tc>
      </w:tr>
      <w:tr w14:paraId="06004E7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2E0CBEFA">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5</w:t>
            </w:r>
          </w:p>
        </w:tc>
        <w:tc>
          <w:tcPr>
            <w:tcW w:w="2182" w:type="dxa"/>
            <w:tcBorders>
              <w:top w:val="single" w:color="auto" w:sz="8" w:space="0"/>
              <w:left w:val="single" w:color="auto" w:sz="8" w:space="0"/>
              <w:bottom w:val="single" w:color="auto" w:sz="8" w:space="0"/>
              <w:right w:val="single" w:color="auto" w:sz="8" w:space="0"/>
            </w:tcBorders>
            <w:vAlign w:val="center"/>
          </w:tcPr>
          <w:p w14:paraId="5B58752D">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发布成交公告的时间、媒介和期限</w:t>
            </w:r>
          </w:p>
        </w:tc>
        <w:tc>
          <w:tcPr>
            <w:tcW w:w="7316" w:type="dxa"/>
            <w:tcBorders>
              <w:top w:val="single" w:color="auto" w:sz="8" w:space="0"/>
              <w:left w:val="single" w:color="auto" w:sz="8" w:space="0"/>
              <w:bottom w:val="single" w:color="auto" w:sz="8" w:space="0"/>
            </w:tcBorders>
            <w:vAlign w:val="center"/>
          </w:tcPr>
          <w:p w14:paraId="6C49972C">
            <w:pPr>
              <w:pStyle w:val="28"/>
              <w:snapToGrid w:val="0"/>
              <w:spacing w:line="360" w:lineRule="exact"/>
              <w:ind w:left="21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公告时间：在确定成交供应商之日起</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lang w:val="zh-CN"/>
              </w:rPr>
              <w:t>个工作日内</w:t>
            </w:r>
          </w:p>
          <w:p w14:paraId="6A3AA85E">
            <w:pPr>
              <w:pStyle w:val="28"/>
              <w:snapToGrid w:val="0"/>
              <w:spacing w:line="360" w:lineRule="exact"/>
              <w:ind w:left="21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zh-CN"/>
              </w:rPr>
              <w:t>公告媒介：陕西</w:t>
            </w:r>
            <w:r>
              <w:rPr>
                <w:rFonts w:hint="eastAsia" w:ascii="仿宋" w:hAnsi="仿宋" w:eastAsia="仿宋" w:cs="仿宋"/>
                <w:color w:val="auto"/>
                <w:sz w:val="24"/>
                <w:szCs w:val="24"/>
                <w:lang w:val="en-US" w:eastAsia="zh-CN"/>
              </w:rPr>
              <w:t>省政府采购网</w:t>
            </w:r>
          </w:p>
          <w:p w14:paraId="4349CD5B">
            <w:pPr>
              <w:pStyle w:val="28"/>
              <w:snapToGrid w:val="0"/>
              <w:spacing w:line="360" w:lineRule="exact"/>
              <w:ind w:left="210" w:leftChars="0"/>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公告期限：1个工作日</w:t>
            </w:r>
          </w:p>
        </w:tc>
      </w:tr>
      <w:tr w14:paraId="7B861CE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34" w:hRule="atLeast"/>
          <w:jc w:val="center"/>
        </w:trPr>
        <w:tc>
          <w:tcPr>
            <w:tcW w:w="640" w:type="dxa"/>
            <w:tcBorders>
              <w:top w:val="single" w:color="auto" w:sz="8" w:space="0"/>
              <w:bottom w:val="single" w:color="auto" w:sz="8" w:space="0"/>
              <w:right w:val="single" w:color="auto" w:sz="8" w:space="0"/>
            </w:tcBorders>
            <w:vAlign w:val="center"/>
          </w:tcPr>
          <w:p w14:paraId="05DE3E16">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4</w:t>
            </w:r>
            <w:r>
              <w:rPr>
                <w:rFonts w:hint="eastAsia" w:ascii="仿宋" w:hAnsi="仿宋" w:eastAsia="仿宋" w:cs="仿宋"/>
                <w:color w:val="auto"/>
                <w:sz w:val="24"/>
                <w:szCs w:val="24"/>
              </w:rPr>
              <w:t>6</w:t>
            </w:r>
          </w:p>
        </w:tc>
        <w:tc>
          <w:tcPr>
            <w:tcW w:w="2182" w:type="dxa"/>
            <w:tcBorders>
              <w:top w:val="single" w:color="auto" w:sz="8" w:space="0"/>
              <w:left w:val="single" w:color="auto" w:sz="8" w:space="0"/>
              <w:bottom w:val="single" w:color="auto" w:sz="8" w:space="0"/>
              <w:right w:val="single" w:color="auto" w:sz="8" w:space="0"/>
            </w:tcBorders>
            <w:vAlign w:val="center"/>
          </w:tcPr>
          <w:p w14:paraId="2B43539F">
            <w:pPr>
              <w:pStyle w:val="28"/>
              <w:snapToGrid w:val="0"/>
              <w:spacing w:line="360" w:lineRule="exact"/>
              <w:ind w:left="96" w:leftChars="0"/>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履约保证金</w:t>
            </w:r>
          </w:p>
        </w:tc>
        <w:tc>
          <w:tcPr>
            <w:tcW w:w="7316" w:type="dxa"/>
            <w:tcBorders>
              <w:top w:val="single" w:color="auto" w:sz="8" w:space="0"/>
              <w:left w:val="single" w:color="auto" w:sz="8" w:space="0"/>
              <w:bottom w:val="single" w:color="auto" w:sz="8" w:space="0"/>
            </w:tcBorders>
            <w:vAlign w:val="center"/>
          </w:tcPr>
          <w:p w14:paraId="00B434F2">
            <w:pPr>
              <w:pStyle w:val="28"/>
              <w:snapToGrid w:val="0"/>
              <w:spacing w:line="360" w:lineRule="exact"/>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 xml:space="preserve">  不要求</w:t>
            </w:r>
          </w:p>
        </w:tc>
      </w:tr>
      <w:tr w14:paraId="570105E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0" w:type="dxa"/>
            <w:tcBorders>
              <w:top w:val="single" w:color="auto" w:sz="8" w:space="0"/>
              <w:bottom w:val="single" w:color="auto" w:sz="8" w:space="0"/>
              <w:right w:val="single" w:color="auto" w:sz="8" w:space="0"/>
            </w:tcBorders>
            <w:vAlign w:val="center"/>
          </w:tcPr>
          <w:p w14:paraId="0EB5DD0D">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47</w:t>
            </w:r>
          </w:p>
        </w:tc>
        <w:tc>
          <w:tcPr>
            <w:tcW w:w="2182" w:type="dxa"/>
            <w:tcBorders>
              <w:top w:val="single" w:color="auto" w:sz="8" w:space="0"/>
              <w:left w:val="single" w:color="auto" w:sz="8" w:space="0"/>
              <w:bottom w:val="single" w:color="auto" w:sz="8" w:space="0"/>
              <w:right w:val="single" w:color="auto" w:sz="8" w:space="0"/>
            </w:tcBorders>
            <w:vAlign w:val="center"/>
          </w:tcPr>
          <w:p w14:paraId="6C9BB740">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供应商信用信息查询截至</w:t>
            </w:r>
            <w:r>
              <w:rPr>
                <w:rFonts w:hint="eastAsia" w:ascii="仿宋" w:hAnsi="仿宋" w:eastAsia="仿宋" w:cs="仿宋"/>
                <w:color w:val="auto"/>
                <w:sz w:val="24"/>
                <w:szCs w:val="24"/>
                <w:lang w:val="en-US" w:eastAsia="zh-CN"/>
              </w:rPr>
              <w:t>时间</w:t>
            </w:r>
          </w:p>
        </w:tc>
        <w:tc>
          <w:tcPr>
            <w:tcW w:w="7316" w:type="dxa"/>
            <w:tcBorders>
              <w:top w:val="single" w:color="auto" w:sz="8" w:space="0"/>
              <w:left w:val="single" w:color="auto" w:sz="8" w:space="0"/>
              <w:bottom w:val="single" w:color="auto" w:sz="8" w:space="0"/>
            </w:tcBorders>
            <w:vAlign w:val="center"/>
          </w:tcPr>
          <w:p w14:paraId="33A551BE">
            <w:pPr>
              <w:adjustRightInd w:val="0"/>
              <w:snapToGrid w:val="0"/>
              <w:spacing w:line="360" w:lineRule="exact"/>
              <w:ind w:left="210" w:leftChars="0" w:right="105" w:rightChars="5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磋商公告期限截至日至</w:t>
            </w:r>
            <w:r>
              <w:rPr>
                <w:rFonts w:hint="eastAsia" w:ascii="仿宋" w:hAnsi="仿宋" w:eastAsia="仿宋" w:cs="仿宋"/>
                <w:color w:val="auto"/>
                <w:sz w:val="24"/>
                <w:szCs w:val="24"/>
                <w:lang w:val="en-US" w:eastAsia="zh-CN"/>
              </w:rPr>
              <w:t>递交截止日</w:t>
            </w:r>
          </w:p>
        </w:tc>
      </w:tr>
      <w:tr w14:paraId="548A91E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3" w:hRule="atLeast"/>
          <w:jc w:val="center"/>
        </w:trPr>
        <w:tc>
          <w:tcPr>
            <w:tcW w:w="640" w:type="dxa"/>
            <w:tcBorders>
              <w:top w:val="single" w:color="auto" w:sz="8" w:space="0"/>
              <w:bottom w:val="single" w:color="auto" w:sz="8" w:space="0"/>
              <w:right w:val="single" w:color="auto" w:sz="8" w:space="0"/>
            </w:tcBorders>
            <w:vAlign w:val="center"/>
          </w:tcPr>
          <w:p w14:paraId="6CF13AFE">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48</w:t>
            </w:r>
          </w:p>
        </w:tc>
        <w:tc>
          <w:tcPr>
            <w:tcW w:w="2182" w:type="dxa"/>
            <w:tcBorders>
              <w:top w:val="single" w:color="auto" w:sz="8" w:space="0"/>
              <w:left w:val="single" w:color="auto" w:sz="8" w:space="0"/>
              <w:bottom w:val="single" w:color="auto" w:sz="8" w:space="0"/>
              <w:right w:val="single" w:color="auto" w:sz="8" w:space="0"/>
            </w:tcBorders>
            <w:vAlign w:val="center"/>
          </w:tcPr>
          <w:p w14:paraId="3C96666C">
            <w:pPr>
              <w:pStyle w:val="28"/>
              <w:snapToGrid w:val="0"/>
              <w:spacing w:line="360" w:lineRule="exact"/>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rPr>
              <w:t>开启响应文件现场是否演示与陈述响应文件</w:t>
            </w:r>
          </w:p>
        </w:tc>
        <w:tc>
          <w:tcPr>
            <w:tcW w:w="7316" w:type="dxa"/>
            <w:tcBorders>
              <w:top w:val="single" w:color="auto" w:sz="8" w:space="0"/>
              <w:left w:val="single" w:color="auto" w:sz="8" w:space="0"/>
              <w:bottom w:val="single" w:color="auto" w:sz="8" w:space="0"/>
            </w:tcBorders>
            <w:vAlign w:val="center"/>
          </w:tcPr>
          <w:p w14:paraId="2C182080">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46D2D2C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80" w:hRule="atLeast"/>
          <w:jc w:val="center"/>
        </w:trPr>
        <w:tc>
          <w:tcPr>
            <w:tcW w:w="640" w:type="dxa"/>
            <w:tcBorders>
              <w:top w:val="single" w:color="auto" w:sz="8" w:space="0"/>
              <w:bottom w:val="single" w:color="auto" w:sz="8" w:space="0"/>
              <w:right w:val="single" w:color="auto" w:sz="8" w:space="0"/>
            </w:tcBorders>
            <w:vAlign w:val="center"/>
          </w:tcPr>
          <w:p w14:paraId="32BEDC35">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49</w:t>
            </w:r>
          </w:p>
        </w:tc>
        <w:tc>
          <w:tcPr>
            <w:tcW w:w="2182" w:type="dxa"/>
            <w:tcBorders>
              <w:top w:val="single" w:color="auto" w:sz="8" w:space="0"/>
              <w:left w:val="single" w:color="auto" w:sz="8" w:space="0"/>
              <w:bottom w:val="single" w:color="auto" w:sz="8" w:space="0"/>
              <w:right w:val="single" w:color="auto" w:sz="8" w:space="0"/>
            </w:tcBorders>
            <w:vAlign w:val="center"/>
          </w:tcPr>
          <w:p w14:paraId="51F62961">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开启响应文件现场是否提供样品</w:t>
            </w:r>
          </w:p>
        </w:tc>
        <w:tc>
          <w:tcPr>
            <w:tcW w:w="7316" w:type="dxa"/>
            <w:tcBorders>
              <w:top w:val="single" w:color="auto" w:sz="8" w:space="0"/>
              <w:left w:val="single" w:color="auto" w:sz="8" w:space="0"/>
              <w:bottom w:val="single" w:color="auto" w:sz="8" w:space="0"/>
            </w:tcBorders>
            <w:vAlign w:val="center"/>
          </w:tcPr>
          <w:p w14:paraId="06E14188">
            <w:pPr>
              <w:adjustRightInd w:val="0"/>
              <w:snapToGrid w:val="0"/>
              <w:spacing w:line="360" w:lineRule="exact"/>
              <w:ind w:right="105" w:rightChars="50" w:firstLine="240" w:firstLineChars="1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不需要</w:t>
            </w:r>
          </w:p>
        </w:tc>
      </w:tr>
      <w:tr w14:paraId="6C201AF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4" w:hRule="atLeast"/>
          <w:jc w:val="center"/>
        </w:trPr>
        <w:tc>
          <w:tcPr>
            <w:tcW w:w="640" w:type="dxa"/>
            <w:tcBorders>
              <w:top w:val="single" w:color="auto" w:sz="8" w:space="0"/>
              <w:bottom w:val="single" w:color="auto" w:sz="8" w:space="0"/>
              <w:right w:val="single" w:color="auto" w:sz="8" w:space="0"/>
            </w:tcBorders>
            <w:vAlign w:val="center"/>
          </w:tcPr>
          <w:p w14:paraId="4FE5B9CB">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50</w:t>
            </w:r>
          </w:p>
        </w:tc>
        <w:tc>
          <w:tcPr>
            <w:tcW w:w="2182" w:type="dxa"/>
            <w:tcBorders>
              <w:top w:val="single" w:color="auto" w:sz="8" w:space="0"/>
              <w:left w:val="single" w:color="auto" w:sz="8" w:space="0"/>
              <w:bottom w:val="single" w:color="auto" w:sz="8" w:space="0"/>
              <w:right w:val="single" w:color="auto" w:sz="8" w:space="0"/>
            </w:tcBorders>
            <w:vAlign w:val="center"/>
          </w:tcPr>
          <w:p w14:paraId="15805C5F">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供应商资格要求</w:t>
            </w:r>
          </w:p>
        </w:tc>
        <w:tc>
          <w:tcPr>
            <w:tcW w:w="7316" w:type="dxa"/>
            <w:tcBorders>
              <w:top w:val="single" w:color="auto" w:sz="8" w:space="0"/>
              <w:left w:val="single" w:color="auto" w:sz="8" w:space="0"/>
              <w:bottom w:val="single" w:color="auto" w:sz="8" w:space="0"/>
            </w:tcBorders>
            <w:vAlign w:val="center"/>
          </w:tcPr>
          <w:p w14:paraId="61E7D19D">
            <w:pPr>
              <w:spacing w:line="360" w:lineRule="auto"/>
              <w:ind w:firstLine="240"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（2）供应商需具备建筑工程施工总承包二级（含二级）及以上资质，具有有效的安全生产许可证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（8）投标人应出具参加政府采购活动前 3 年内在经营活动中没有重大违法记录的书面声明；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（9）投标人应出具履行合同所必需的设备和专业技术能力的承诺声明；</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sz w:val="24"/>
                <w:szCs w:val="24"/>
                <w:lang w:eastAsia="zh-CN"/>
              </w:rPr>
              <w:t>。</w:t>
            </w:r>
          </w:p>
          <w:p w14:paraId="45C6E156">
            <w:pPr>
              <w:widowControl/>
              <w:snapToGrid w:val="0"/>
              <w:spacing w:line="360" w:lineRule="auto"/>
              <w:ind w:firstLine="480" w:firstLineChars="0"/>
              <w:jc w:val="left"/>
              <w:rPr>
                <w:rFonts w:hint="eastAsia" w:ascii="仿宋" w:hAnsi="仿宋" w:eastAsia="仿宋" w:cs="仿宋"/>
                <w:color w:val="auto"/>
                <w:kern w:val="0"/>
                <w:sz w:val="24"/>
                <w:szCs w:val="24"/>
                <w:lang w:val="en-US" w:eastAsia="zh-CN" w:bidi="ar-SA"/>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r>
              <w:rPr>
                <w:rFonts w:hint="eastAsia" w:ascii="仿宋" w:hAnsi="仿宋" w:eastAsia="仿宋" w:cs="仿宋"/>
                <w:color w:val="auto"/>
                <w:kern w:val="2"/>
                <w:sz w:val="24"/>
                <w:szCs w:val="24"/>
                <w:lang w:val="en-US" w:eastAsia="zh-CN" w:bidi="ar-SA"/>
              </w:rPr>
              <w:t xml:space="preserve"> </w:t>
            </w:r>
          </w:p>
        </w:tc>
      </w:tr>
      <w:tr w14:paraId="64FCA633">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F83EEF9">
            <w:pPr>
              <w:pStyle w:val="28"/>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51</w:t>
            </w:r>
          </w:p>
        </w:tc>
        <w:tc>
          <w:tcPr>
            <w:tcW w:w="2182" w:type="dxa"/>
            <w:tcBorders>
              <w:top w:val="single" w:color="auto" w:sz="8" w:space="0"/>
              <w:left w:val="single" w:color="auto" w:sz="8" w:space="0"/>
              <w:bottom w:val="single" w:color="auto" w:sz="8" w:space="0"/>
              <w:right w:val="single" w:color="auto" w:sz="8" w:space="0"/>
            </w:tcBorders>
            <w:vAlign w:val="center"/>
          </w:tcPr>
          <w:p w14:paraId="2F47ED32">
            <w:pPr>
              <w:pStyle w:val="28"/>
              <w:snapToGrid w:val="0"/>
              <w:spacing w:line="360" w:lineRule="exact"/>
              <w:jc w:val="center"/>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rPr>
              <w:t>其他</w:t>
            </w:r>
          </w:p>
        </w:tc>
        <w:tc>
          <w:tcPr>
            <w:tcW w:w="7316" w:type="dxa"/>
            <w:tcBorders>
              <w:top w:val="single" w:color="auto" w:sz="8" w:space="0"/>
              <w:left w:val="single" w:color="auto" w:sz="8" w:space="0"/>
              <w:bottom w:val="single" w:color="auto" w:sz="8" w:space="0"/>
            </w:tcBorders>
            <w:vAlign w:val="center"/>
          </w:tcPr>
          <w:p w14:paraId="5616D3B2">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代理服务费账户信息</w:t>
            </w:r>
          </w:p>
          <w:p w14:paraId="4F31AE63">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0CF91D36">
            <w:pPr>
              <w:spacing w:line="360" w:lineRule="auto"/>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7239B973">
            <w:pPr>
              <w:spacing w:line="360" w:lineRule="auto"/>
              <w:ind w:firstLine="240" w:firstLineChars="1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账    号：102075807616</w:t>
            </w:r>
          </w:p>
        </w:tc>
      </w:tr>
    </w:tbl>
    <w:p w14:paraId="4A0D35CE">
      <w:pPr>
        <w:spacing w:before="0" w:after="120" w:afterLines="50" w:line="360" w:lineRule="exact"/>
        <w:outlineLvl w:val="9"/>
        <w:rPr>
          <w:rFonts w:hint="eastAsia" w:ascii="仿宋" w:hAnsi="仿宋" w:eastAsia="仿宋" w:cs="仿宋"/>
          <w:bCs/>
          <w:color w:val="auto"/>
          <w:sz w:val="24"/>
          <w:szCs w:val="24"/>
        </w:rPr>
      </w:pPr>
      <w:r>
        <w:rPr>
          <w:color w:val="auto"/>
        </w:rPr>
        <w:br w:type="page"/>
      </w:r>
      <w:bookmarkEnd w:id="9"/>
      <w:bookmarkEnd w:id="10"/>
      <w:bookmarkEnd w:id="11"/>
      <w:bookmarkEnd w:id="12"/>
      <w:bookmarkEnd w:id="15"/>
      <w:bookmarkEnd w:id="16"/>
      <w:bookmarkEnd w:id="17"/>
      <w:bookmarkEnd w:id="18"/>
      <w:bookmarkEnd w:id="19"/>
      <w:bookmarkEnd w:id="20"/>
      <w:bookmarkEnd w:id="21"/>
      <w:bookmarkEnd w:id="22"/>
      <w:bookmarkStart w:id="23" w:name="_Toc217446034"/>
      <w:bookmarkStart w:id="24" w:name="_Toc183682342"/>
      <w:bookmarkStart w:id="25" w:name="_Toc183582205"/>
      <w:r>
        <w:rPr>
          <w:rFonts w:hint="eastAsia" w:ascii="仿宋" w:hAnsi="仿宋" w:eastAsia="仿宋" w:cs="仿宋"/>
          <w:b w:val="0"/>
          <w:color w:val="auto"/>
          <w:sz w:val="24"/>
          <w:szCs w:val="24"/>
        </w:rPr>
        <w:t xml:space="preserve"> </w:t>
      </w:r>
      <w:bookmarkStart w:id="26" w:name="_Toc77400778"/>
      <w:bookmarkStart w:id="27" w:name="_Toc18074967"/>
      <w:bookmarkStart w:id="28" w:name="_Toc16609"/>
      <w:bookmarkStart w:id="29" w:name="_Toc183682341"/>
      <w:bookmarkStart w:id="30" w:name="_Toc183582204"/>
      <w:bookmarkStart w:id="31" w:name="_Toc217446033"/>
      <w:bookmarkStart w:id="32" w:name="_Toc89075873"/>
      <w:r>
        <w:rPr>
          <w:rFonts w:hint="eastAsia" w:ascii="仿宋" w:hAnsi="仿宋" w:eastAsia="仿宋" w:cs="仿宋"/>
          <w:b w:val="0"/>
          <w:color w:val="auto"/>
          <w:sz w:val="24"/>
          <w:szCs w:val="24"/>
        </w:rPr>
        <w:t>1.总  则</w:t>
      </w:r>
      <w:bookmarkEnd w:id="26"/>
      <w:bookmarkEnd w:id="27"/>
      <w:bookmarkEnd w:id="28"/>
      <w:bookmarkEnd w:id="29"/>
      <w:bookmarkEnd w:id="30"/>
      <w:bookmarkEnd w:id="31"/>
      <w:bookmarkEnd w:id="32"/>
    </w:p>
    <w:p w14:paraId="15050D09">
      <w:pPr>
        <w:spacing w:line="360" w:lineRule="auto"/>
        <w:outlineLvl w:val="9"/>
        <w:rPr>
          <w:rFonts w:hint="eastAsia" w:ascii="仿宋" w:hAnsi="仿宋" w:eastAsia="仿宋" w:cs="仿宋"/>
          <w:b/>
          <w:bCs/>
          <w:color w:val="auto"/>
          <w:sz w:val="24"/>
          <w:szCs w:val="24"/>
        </w:rPr>
      </w:pPr>
      <w:bookmarkStart w:id="33" w:name="_Toc18074968"/>
      <w:r>
        <w:rPr>
          <w:rFonts w:hint="eastAsia" w:ascii="仿宋" w:hAnsi="仿宋" w:eastAsia="仿宋" w:cs="仿宋"/>
          <w:b/>
          <w:color w:val="auto"/>
          <w:sz w:val="24"/>
          <w:szCs w:val="24"/>
        </w:rPr>
        <w:t>1.1适用范围</w:t>
      </w:r>
      <w:bookmarkEnd w:id="33"/>
    </w:p>
    <w:p w14:paraId="575EE33A">
      <w:pPr>
        <w:tabs>
          <w:tab w:val="left" w:pos="7665"/>
        </w:tabs>
        <w:spacing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color w:val="auto"/>
          <w:sz w:val="24"/>
          <w:szCs w:val="24"/>
        </w:rPr>
        <w:t>1.1.1本竞争性磋商文件仅适用于本次竞争性磋商（以下简称磋商）所叙述的</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项目采购活动。</w:t>
      </w:r>
    </w:p>
    <w:p w14:paraId="23F5452B">
      <w:pPr>
        <w:tabs>
          <w:tab w:val="left" w:pos="7665"/>
        </w:tabs>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1.1.2供应商须知前附表规定专门面向中小企业采购的，仅适用中小微企业、监狱企业和残疾人福利性单位参加投标的采购活动。</w:t>
      </w:r>
    </w:p>
    <w:p w14:paraId="09C3E423">
      <w:pPr>
        <w:tabs>
          <w:tab w:val="left" w:pos="7665"/>
        </w:tabs>
        <w:spacing w:before="120" w:beforeLines="50" w:after="120" w:afterLines="50" w:line="360" w:lineRule="auto"/>
        <w:ind w:firstLine="1"/>
        <w:outlineLvl w:val="9"/>
        <w:rPr>
          <w:rFonts w:hint="eastAsia" w:ascii="仿宋" w:hAnsi="仿宋" w:eastAsia="仿宋" w:cs="仿宋"/>
          <w:b/>
          <w:color w:val="auto"/>
          <w:sz w:val="24"/>
          <w:szCs w:val="24"/>
        </w:rPr>
      </w:pPr>
      <w:r>
        <w:rPr>
          <w:rFonts w:hint="eastAsia" w:ascii="仿宋" w:hAnsi="仿宋" w:eastAsia="仿宋" w:cs="仿宋"/>
          <w:b/>
          <w:color w:val="auto"/>
          <w:sz w:val="24"/>
          <w:szCs w:val="24"/>
        </w:rPr>
        <w:t>1.2名词解释</w:t>
      </w:r>
    </w:p>
    <w:p w14:paraId="45EC6629">
      <w:pPr>
        <w:adjustRightInd w:val="0"/>
        <w:snapToGrid w:val="0"/>
        <w:spacing w:before="120" w:beforeLines="50"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1.2.1</w:t>
      </w:r>
      <w:r>
        <w:rPr>
          <w:rFonts w:hint="eastAsia" w:ascii="仿宋" w:hAnsi="仿宋" w:eastAsia="仿宋" w:cs="仿宋"/>
          <w:b/>
          <w:color w:val="auto"/>
          <w:sz w:val="24"/>
          <w:szCs w:val="24"/>
        </w:rPr>
        <w:t>采购人</w:t>
      </w:r>
      <w:r>
        <w:rPr>
          <w:rFonts w:hint="eastAsia" w:ascii="仿宋" w:hAnsi="仿宋" w:eastAsia="仿宋" w:cs="仿宋"/>
          <w:color w:val="auto"/>
          <w:sz w:val="24"/>
          <w:szCs w:val="24"/>
        </w:rPr>
        <w:t>系指依法进行政府采购的国家机关、事业单位、团体组织。本次采购的采购人名称、地址、电话、联系人见供应商须知前附表。</w:t>
      </w:r>
    </w:p>
    <w:p w14:paraId="36DE1E82">
      <w:pPr>
        <w:adjustRightInd w:val="0"/>
        <w:snapToGrid w:val="0"/>
        <w:spacing w:line="360" w:lineRule="auto"/>
        <w:ind w:firstLine="480" w:firstLineChars="200"/>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1.2.2</w:t>
      </w:r>
      <w:r>
        <w:rPr>
          <w:rFonts w:hint="eastAsia" w:ascii="仿宋" w:hAnsi="仿宋" w:eastAsia="仿宋" w:cs="仿宋"/>
          <w:b/>
          <w:color w:val="auto"/>
          <w:sz w:val="24"/>
          <w:szCs w:val="24"/>
        </w:rPr>
        <w:t>监督机构</w:t>
      </w:r>
      <w:r>
        <w:rPr>
          <w:rFonts w:hint="eastAsia" w:ascii="仿宋" w:hAnsi="仿宋" w:eastAsia="仿宋" w:cs="仿宋"/>
          <w:color w:val="auto"/>
          <w:sz w:val="24"/>
          <w:szCs w:val="24"/>
        </w:rPr>
        <w:t>系指政府采购行政监督管理部门。</w:t>
      </w:r>
    </w:p>
    <w:p w14:paraId="5716F17D">
      <w:pPr>
        <w:adjustRightInd w:val="0"/>
        <w:snapToGrid w:val="0"/>
        <w:spacing w:line="360" w:lineRule="auto"/>
        <w:ind w:firstLine="480" w:firstLineChars="200"/>
        <w:outlineLvl w:val="9"/>
        <w:rPr>
          <w:rFonts w:hint="eastAsia" w:ascii="仿宋" w:hAnsi="仿宋" w:eastAsia="仿宋" w:cs="仿宋"/>
          <w:b/>
          <w:color w:val="auto"/>
          <w:sz w:val="24"/>
          <w:szCs w:val="24"/>
        </w:rPr>
      </w:pPr>
      <w:r>
        <w:rPr>
          <w:rFonts w:hint="eastAsia" w:ascii="仿宋" w:hAnsi="仿宋" w:eastAsia="仿宋" w:cs="仿宋"/>
          <w:color w:val="auto"/>
          <w:sz w:val="24"/>
          <w:szCs w:val="24"/>
        </w:rPr>
        <w:t>1.2.3</w:t>
      </w:r>
      <w:r>
        <w:rPr>
          <w:rFonts w:hint="eastAsia" w:ascii="仿宋" w:hAnsi="仿宋" w:eastAsia="仿宋" w:cs="仿宋"/>
          <w:b/>
          <w:color w:val="auto"/>
          <w:sz w:val="24"/>
          <w:szCs w:val="24"/>
        </w:rPr>
        <w:t>采购代理机构</w:t>
      </w:r>
      <w:r>
        <w:rPr>
          <w:rFonts w:hint="eastAsia" w:ascii="仿宋" w:hAnsi="仿宋" w:eastAsia="仿宋" w:cs="仿宋"/>
          <w:color w:val="auto"/>
          <w:sz w:val="24"/>
          <w:szCs w:val="24"/>
        </w:rPr>
        <w:t>系指接受采购人委托，代理采购项目的依法经财政部门认定资格的采购代理机构。本次采购的采购代理机构名称、地址、电话、联系人见供应商须知前附表。</w:t>
      </w:r>
    </w:p>
    <w:p w14:paraId="2A3E7FF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1.2.4 </w:t>
      </w:r>
      <w:r>
        <w:rPr>
          <w:rFonts w:hint="eastAsia" w:ascii="仿宋" w:hAnsi="仿宋" w:eastAsia="仿宋" w:cs="仿宋"/>
          <w:b/>
          <w:color w:val="auto"/>
          <w:sz w:val="24"/>
          <w:szCs w:val="24"/>
        </w:rPr>
        <w:t>供应商</w:t>
      </w:r>
      <w:r>
        <w:rPr>
          <w:rFonts w:hint="eastAsia" w:ascii="仿宋" w:hAnsi="仿宋" w:eastAsia="仿宋" w:cs="仿宋"/>
          <w:color w:val="auto"/>
          <w:sz w:val="24"/>
          <w:szCs w:val="24"/>
        </w:rPr>
        <w:t>是指响应和符合竞争性磋商文件（以下简称磋商文件）规定资格条件且参与磋商竞争的法人或其他组织或个人。</w:t>
      </w:r>
    </w:p>
    <w:p w14:paraId="638824AA">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1.2.5 </w:t>
      </w:r>
      <w:r>
        <w:rPr>
          <w:rFonts w:hint="eastAsia" w:ascii="仿宋" w:hAnsi="仿宋" w:eastAsia="仿宋" w:cs="仿宋"/>
          <w:b/>
          <w:bCs/>
          <w:color w:val="auto"/>
          <w:sz w:val="24"/>
          <w:szCs w:val="24"/>
          <w:lang w:val="en-US" w:eastAsia="zh-CN"/>
        </w:rPr>
        <w:t>工程</w:t>
      </w:r>
      <w:r>
        <w:rPr>
          <w:rFonts w:hint="eastAsia" w:ascii="仿宋" w:hAnsi="仿宋" w:eastAsia="仿宋" w:cs="仿宋"/>
          <w:color w:val="auto"/>
          <w:sz w:val="24"/>
          <w:szCs w:val="24"/>
        </w:rPr>
        <w:t>是指本磋商文件中第四章所述所有</w:t>
      </w:r>
      <w:r>
        <w:rPr>
          <w:rFonts w:hint="eastAsia" w:ascii="仿宋" w:hAnsi="仿宋" w:eastAsia="仿宋" w:cs="仿宋"/>
          <w:color w:val="auto"/>
          <w:sz w:val="24"/>
          <w:szCs w:val="24"/>
          <w:lang w:val="en-US" w:eastAsia="zh-CN"/>
        </w:rPr>
        <w:t>建设项目</w:t>
      </w:r>
      <w:r>
        <w:rPr>
          <w:rFonts w:hint="eastAsia" w:ascii="仿宋" w:hAnsi="仿宋" w:eastAsia="仿宋" w:cs="仿宋"/>
          <w:color w:val="auto"/>
          <w:sz w:val="24"/>
          <w:szCs w:val="24"/>
        </w:rPr>
        <w:t>。</w:t>
      </w:r>
    </w:p>
    <w:p w14:paraId="667CAEB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1.2.6 </w:t>
      </w:r>
      <w:r>
        <w:rPr>
          <w:rFonts w:hint="eastAsia" w:ascii="仿宋" w:hAnsi="仿宋" w:eastAsia="仿宋" w:cs="仿宋"/>
          <w:b/>
          <w:color w:val="auto"/>
          <w:sz w:val="24"/>
          <w:szCs w:val="24"/>
        </w:rPr>
        <w:t>服务</w:t>
      </w:r>
      <w:r>
        <w:rPr>
          <w:rFonts w:hint="eastAsia" w:ascii="仿宋" w:hAnsi="仿宋" w:eastAsia="仿宋" w:cs="仿宋"/>
          <w:color w:val="auto"/>
          <w:sz w:val="24"/>
          <w:szCs w:val="24"/>
        </w:rPr>
        <w:t>是指为满足</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文件要求所提供的服务。</w:t>
      </w:r>
    </w:p>
    <w:p w14:paraId="0E030F2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1.2.7 </w:t>
      </w:r>
      <w:r>
        <w:rPr>
          <w:rFonts w:hint="eastAsia" w:ascii="仿宋" w:hAnsi="仿宋" w:eastAsia="仿宋" w:cs="仿宋"/>
          <w:b/>
          <w:color w:val="auto"/>
          <w:sz w:val="24"/>
          <w:szCs w:val="24"/>
        </w:rPr>
        <w:t>节能产品</w:t>
      </w:r>
      <w:r>
        <w:rPr>
          <w:rFonts w:hint="eastAsia" w:ascii="仿宋" w:hAnsi="仿宋" w:eastAsia="仿宋" w:cs="仿宋"/>
          <w:color w:val="auto"/>
          <w:sz w:val="24"/>
          <w:szCs w:val="24"/>
        </w:rPr>
        <w:t>指财政部、发展改革委、生态环境部等部门发布的《节能产品品目清单》中的产品。</w:t>
      </w:r>
    </w:p>
    <w:p w14:paraId="0836371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1.2.8 </w:t>
      </w:r>
      <w:r>
        <w:rPr>
          <w:rFonts w:hint="eastAsia" w:ascii="仿宋" w:hAnsi="仿宋" w:eastAsia="仿宋" w:cs="仿宋"/>
          <w:b/>
          <w:color w:val="auto"/>
          <w:sz w:val="24"/>
          <w:szCs w:val="24"/>
        </w:rPr>
        <w:t>环境标志产品</w:t>
      </w:r>
      <w:r>
        <w:rPr>
          <w:rFonts w:hint="eastAsia" w:ascii="仿宋" w:hAnsi="仿宋" w:eastAsia="仿宋" w:cs="仿宋"/>
          <w:color w:val="auto"/>
          <w:sz w:val="24"/>
          <w:szCs w:val="24"/>
        </w:rPr>
        <w:t>是指财政部、发展改革委、生态环境部等部门发布的《环境标志产品品目清单》中的产品。</w:t>
      </w:r>
    </w:p>
    <w:p w14:paraId="4B241BC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1.2.9 </w:t>
      </w:r>
      <w:r>
        <w:rPr>
          <w:rFonts w:hint="eastAsia" w:ascii="仿宋" w:hAnsi="仿宋" w:eastAsia="仿宋" w:cs="仿宋"/>
          <w:b/>
          <w:color w:val="auto"/>
          <w:kern w:val="0"/>
          <w:sz w:val="24"/>
          <w:szCs w:val="24"/>
        </w:rPr>
        <w:t>进口产品</w:t>
      </w:r>
      <w:r>
        <w:rPr>
          <w:rFonts w:hint="eastAsia" w:ascii="仿宋" w:hAnsi="仿宋" w:eastAsia="仿宋" w:cs="仿宋"/>
          <w:color w:val="auto"/>
          <w:kern w:val="0"/>
          <w:sz w:val="24"/>
          <w:szCs w:val="24"/>
        </w:rPr>
        <w:t>是指通过中国海关报关验放进入中国境内且产自关境外的产品，详见《关于政府采购进口产品管理有关问题的通知》(财库[2007]119号)。</w:t>
      </w:r>
    </w:p>
    <w:p w14:paraId="4D34C893">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1.2.10</w:t>
      </w:r>
      <w:r>
        <w:rPr>
          <w:rFonts w:hint="eastAsia" w:ascii="仿宋" w:hAnsi="仿宋" w:eastAsia="仿宋" w:cs="仿宋"/>
          <w:b/>
          <w:color w:val="auto"/>
          <w:sz w:val="24"/>
          <w:szCs w:val="24"/>
        </w:rPr>
        <w:t>中小企业</w:t>
      </w:r>
      <w:r>
        <w:rPr>
          <w:rFonts w:hint="eastAsia" w:ascii="仿宋" w:hAnsi="仿宋" w:eastAsia="仿宋" w:cs="仿宋"/>
          <w:color w:val="auto"/>
          <w:kern w:val="0"/>
          <w:sz w:val="24"/>
          <w:szCs w:val="24"/>
        </w:rPr>
        <w:t>是指在中华人民共和国境内依法设立，依据国务院批准的中小企业划分标准确定的中型企业、小型企业和微型企业，但与大企业的负责人为同一人，或者与大企业存在直接控股、管理关系的除外。</w:t>
      </w:r>
    </w:p>
    <w:p w14:paraId="44B48BE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1.2.11 </w:t>
      </w:r>
      <w:r>
        <w:rPr>
          <w:rFonts w:hint="eastAsia" w:ascii="仿宋" w:hAnsi="仿宋" w:eastAsia="仿宋" w:cs="仿宋"/>
          <w:b/>
          <w:color w:val="auto"/>
          <w:sz w:val="24"/>
          <w:szCs w:val="24"/>
        </w:rPr>
        <w:t>监狱企业</w:t>
      </w:r>
      <w:r>
        <w:rPr>
          <w:rFonts w:hint="eastAsia" w:ascii="仿宋" w:hAnsi="仿宋" w:eastAsia="仿宋" w:cs="仿宋"/>
          <w:color w:val="auto"/>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2DDEAE">
      <w:pPr>
        <w:adjustRightInd w:val="0"/>
        <w:snapToGrid w:val="0"/>
        <w:spacing w:line="360" w:lineRule="auto"/>
        <w:ind w:firstLine="480" w:firstLineChars="200"/>
        <w:rPr>
          <w:rFonts w:ascii="宋体" w:hAnsi="宋体"/>
          <w:color w:val="auto"/>
          <w:szCs w:val="21"/>
        </w:rPr>
      </w:pPr>
      <w:r>
        <w:rPr>
          <w:rFonts w:hint="eastAsia" w:ascii="仿宋" w:hAnsi="仿宋" w:eastAsia="仿宋" w:cs="仿宋"/>
          <w:color w:val="auto"/>
          <w:sz w:val="24"/>
          <w:szCs w:val="24"/>
        </w:rPr>
        <w:t xml:space="preserve">1.2.12 </w:t>
      </w:r>
      <w:r>
        <w:rPr>
          <w:rFonts w:hint="eastAsia" w:ascii="仿宋" w:hAnsi="仿宋" w:eastAsia="仿宋" w:cs="仿宋"/>
          <w:b/>
          <w:color w:val="auto"/>
          <w:kern w:val="0"/>
          <w:sz w:val="24"/>
          <w:szCs w:val="24"/>
        </w:rPr>
        <w:t>残疾人福利性单位</w:t>
      </w:r>
      <w:r>
        <w:rPr>
          <w:rFonts w:hint="eastAsia" w:ascii="仿宋" w:hAnsi="仿宋" w:eastAsia="仿宋" w:cs="仿宋"/>
          <w:color w:val="auto"/>
          <w:kern w:val="0"/>
          <w:sz w:val="24"/>
          <w:szCs w:val="24"/>
        </w:rPr>
        <w:t>是指符合</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〔2017〕141</w:t>
      </w:r>
      <w:r>
        <w:rPr>
          <w:rFonts w:hint="eastAsia" w:ascii="仿宋" w:hAnsi="仿宋" w:eastAsia="仿宋" w:cs="仿宋"/>
          <w:color w:val="auto"/>
          <w:spacing w:val="6"/>
          <w:sz w:val="24"/>
          <w:szCs w:val="24"/>
        </w:rPr>
        <w:t>号）规定条件的单位。</w:t>
      </w:r>
    </w:p>
    <w:p w14:paraId="16458936">
      <w:pPr>
        <w:adjustRightInd w:val="0"/>
        <w:snapToGrid w:val="0"/>
        <w:spacing w:before="120" w:beforeLines="50" w:after="120" w:afterLines="50" w:line="360" w:lineRule="auto"/>
        <w:rPr>
          <w:rFonts w:hint="eastAsia" w:ascii="仿宋" w:hAnsi="仿宋" w:eastAsia="仿宋" w:cs="仿宋"/>
          <w:b/>
          <w:color w:val="auto"/>
          <w:kern w:val="0"/>
          <w:sz w:val="24"/>
          <w:szCs w:val="24"/>
        </w:rPr>
      </w:pPr>
      <w:r>
        <w:rPr>
          <w:rFonts w:hint="eastAsia" w:ascii="仿宋" w:hAnsi="仿宋" w:eastAsia="仿宋" w:cs="仿宋"/>
          <w:b/>
          <w:color w:val="auto"/>
          <w:sz w:val="24"/>
          <w:szCs w:val="24"/>
        </w:rPr>
        <w:t>1.3 合格的供应商</w:t>
      </w:r>
    </w:p>
    <w:p w14:paraId="41DF3D26">
      <w:pPr>
        <w:tabs>
          <w:tab w:val="left" w:pos="7665"/>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1.3.1 合格的供应商应具备以下条件：</w:t>
      </w:r>
    </w:p>
    <w:p w14:paraId="3898B460">
      <w:pPr>
        <w:tabs>
          <w:tab w:val="left" w:pos="7665"/>
        </w:tabs>
        <w:spacing w:line="360" w:lineRule="auto"/>
        <w:ind w:firstLine="480" w:firstLineChars="200"/>
        <w:rPr>
          <w:rFonts w:hint="eastAsia" w:ascii="仿宋" w:hAnsi="仿宋" w:eastAsia="仿宋" w:cs="仿宋"/>
          <w:color w:val="auto"/>
          <w:spacing w:val="-4"/>
          <w:sz w:val="24"/>
          <w:szCs w:val="24"/>
        </w:rPr>
      </w:pPr>
      <w:r>
        <w:rPr>
          <w:rFonts w:hint="eastAsia" w:ascii="仿宋" w:hAnsi="仿宋" w:eastAsia="仿宋" w:cs="仿宋"/>
          <w:color w:val="auto"/>
          <w:sz w:val="24"/>
          <w:szCs w:val="24"/>
        </w:rPr>
        <w:t>（1）具备且满足磋商文件规定的供应商资格条件</w:t>
      </w:r>
      <w:r>
        <w:rPr>
          <w:rFonts w:hint="eastAsia" w:ascii="仿宋" w:hAnsi="仿宋" w:eastAsia="仿宋" w:cs="仿宋"/>
          <w:color w:val="auto"/>
          <w:spacing w:val="-4"/>
          <w:sz w:val="24"/>
          <w:szCs w:val="24"/>
        </w:rPr>
        <w:t>；</w:t>
      </w:r>
    </w:p>
    <w:p w14:paraId="4666764E">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（2）从采购代理机构获取了磋商文件；</w:t>
      </w:r>
    </w:p>
    <w:p w14:paraId="27C4063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（3）向采购代理机构交纳了磋商保证金（仅限供应商须知前附表要求供应商提交保证金的）；</w:t>
      </w:r>
    </w:p>
    <w:p w14:paraId="08A80E03">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（4）遵守国家和地方有关的法律法规、规章和规范性文件要求。</w:t>
      </w:r>
    </w:p>
    <w:p w14:paraId="66E2C0D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1.3.2 供应商不得存在下列情形之一：</w:t>
      </w:r>
    </w:p>
    <w:p w14:paraId="1931C1D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（l）与采购人、采购代理机构存在</w:t>
      </w:r>
      <w:r>
        <w:rPr>
          <w:rFonts w:hint="eastAsia" w:ascii="仿宋" w:hAnsi="仿宋" w:eastAsia="仿宋" w:cs="仿宋"/>
          <w:bCs/>
          <w:color w:val="auto"/>
          <w:sz w:val="24"/>
          <w:szCs w:val="24"/>
        </w:rPr>
        <w:t>隶属关系或者其他利害关系，且可能影响磋商公正性；</w:t>
      </w:r>
    </w:p>
    <w:p w14:paraId="64A8EAD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（2）与本采购项目其他供应商的法定代表人（或者负责人）为同一人；</w:t>
      </w:r>
    </w:p>
    <w:p w14:paraId="607F0DCE">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（3）与本采购项目其他供应商存在控股、管理关系；</w:t>
      </w:r>
    </w:p>
    <w:p w14:paraId="23D00FC3">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（4）为本项目采购代理机构；</w:t>
      </w:r>
    </w:p>
    <w:p w14:paraId="68F4B6A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（5）为本项目代理磋商的为其采购代理机构；</w:t>
      </w:r>
    </w:p>
    <w:p w14:paraId="58286EF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（6）为本项目提供整体设计、规范编制或者项目管理、监理、检测、咨询服务；</w:t>
      </w:r>
    </w:p>
    <w:p w14:paraId="7C458275">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（7）</w:t>
      </w:r>
      <w:r>
        <w:rPr>
          <w:rFonts w:hint="eastAsia" w:ascii="仿宋" w:hAnsi="仿宋" w:eastAsia="仿宋" w:cs="仿宋"/>
          <w:bCs/>
          <w:color w:val="auto"/>
          <w:sz w:val="24"/>
          <w:szCs w:val="24"/>
        </w:rPr>
        <w:t>受到刑事处罚；</w:t>
      </w:r>
    </w:p>
    <w:p w14:paraId="3BEB4424">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（8）受到财政部门5万元以上数额罚款的行政处罚或其他行政部门较大数额罚款的行政处罚（举行听证会的）；</w:t>
      </w:r>
    </w:p>
    <w:p w14:paraId="2ECB56FD">
      <w:pPr>
        <w:adjustRightInd w:val="0"/>
        <w:snapToGrid w:val="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    （9）被责令停产停业、暂扣或者吊销许可证、暂扣或者吊销执照的行政处罚；</w:t>
      </w:r>
    </w:p>
    <w:p w14:paraId="536CFD4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（10）</w:t>
      </w:r>
      <w:r>
        <w:rPr>
          <w:rFonts w:hint="eastAsia" w:ascii="仿宋" w:hAnsi="仿宋" w:eastAsia="仿宋" w:cs="仿宋"/>
          <w:color w:val="auto"/>
          <w:sz w:val="24"/>
          <w:szCs w:val="24"/>
        </w:rPr>
        <w:t>被列入失信被执行人名单；</w:t>
      </w:r>
    </w:p>
    <w:p w14:paraId="72FE5532">
      <w:pPr>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（11）被列入重大税收违法案件当事人名单；</w:t>
      </w:r>
    </w:p>
    <w:p w14:paraId="5855F34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（12）被禁止在一至三年内参加政府采购活动或存在</w:t>
      </w:r>
      <w:r>
        <w:rPr>
          <w:rFonts w:hint="eastAsia" w:ascii="仿宋" w:hAnsi="仿宋" w:eastAsia="仿宋" w:cs="仿宋"/>
          <w:color w:val="auto"/>
          <w:sz w:val="24"/>
          <w:szCs w:val="24"/>
        </w:rPr>
        <w:t>财政部门认定的其他重大违法记录；</w:t>
      </w:r>
    </w:p>
    <w:p w14:paraId="10103AF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（13）法律法规规定的其他情形。</w:t>
      </w:r>
    </w:p>
    <w:p w14:paraId="048C2F63">
      <w:pPr>
        <w:adjustRightInd w:val="0"/>
        <w:snapToGrid w:val="0"/>
        <w:spacing w:before="120" w:beforeLines="50" w:after="120" w:afterLines="50"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1.4 合格的</w:t>
      </w:r>
      <w:r>
        <w:rPr>
          <w:rFonts w:hint="eastAsia" w:ascii="仿宋" w:hAnsi="仿宋" w:eastAsia="仿宋" w:cs="仿宋"/>
          <w:b/>
          <w:bCs/>
          <w:color w:val="auto"/>
          <w:sz w:val="24"/>
          <w:szCs w:val="24"/>
          <w:lang w:val="en-US" w:eastAsia="zh-CN"/>
        </w:rPr>
        <w:t>工程</w:t>
      </w:r>
    </w:p>
    <w:bookmarkEnd w:id="23"/>
    <w:bookmarkEnd w:id="24"/>
    <w:bookmarkEnd w:id="25"/>
    <w:p w14:paraId="31C94463">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bookmarkStart w:id="34" w:name="_Toc217446047"/>
      <w:bookmarkStart w:id="35" w:name="_Toc217446037"/>
      <w:bookmarkStart w:id="36" w:name="_Toc183582208"/>
      <w:bookmarkStart w:id="37" w:name="_Toc183682345"/>
      <w:r>
        <w:rPr>
          <w:rFonts w:hint="eastAsia" w:ascii="仿宋" w:hAnsi="仿宋" w:eastAsia="仿宋" w:cs="仿宋"/>
          <w:color w:val="auto"/>
          <w:sz w:val="24"/>
          <w:szCs w:val="24"/>
          <w:highlight w:val="none"/>
        </w:rPr>
        <w:t>1.4.1 供应商</w:t>
      </w:r>
      <w:r>
        <w:rPr>
          <w:rFonts w:hint="eastAsia" w:ascii="仿宋" w:hAnsi="仿宋" w:eastAsia="仿宋" w:cs="仿宋"/>
          <w:color w:val="auto"/>
          <w:sz w:val="24"/>
          <w:szCs w:val="24"/>
          <w:highlight w:val="none"/>
          <w:lang w:val="en-US" w:eastAsia="zh-CN"/>
        </w:rPr>
        <w:t>提供</w:t>
      </w:r>
      <w:r>
        <w:rPr>
          <w:rFonts w:hint="eastAsia" w:ascii="仿宋" w:hAnsi="仿宋" w:eastAsia="仿宋" w:cs="仿宋"/>
          <w:color w:val="auto"/>
          <w:sz w:val="24"/>
          <w:szCs w:val="24"/>
          <w:highlight w:val="none"/>
        </w:rPr>
        <w:t>的所有</w:t>
      </w:r>
      <w:r>
        <w:rPr>
          <w:rFonts w:hint="eastAsia" w:ascii="仿宋" w:hAnsi="仿宋" w:eastAsia="仿宋" w:cs="仿宋"/>
          <w:color w:val="auto"/>
          <w:sz w:val="24"/>
          <w:szCs w:val="24"/>
          <w:highlight w:val="none"/>
          <w:lang w:val="en-US" w:eastAsia="zh-CN"/>
        </w:rPr>
        <w:t>工程</w:t>
      </w:r>
      <w:r>
        <w:rPr>
          <w:rFonts w:hint="eastAsia" w:ascii="仿宋" w:hAnsi="仿宋" w:eastAsia="仿宋" w:cs="仿宋"/>
          <w:color w:val="auto"/>
          <w:sz w:val="24"/>
          <w:szCs w:val="24"/>
          <w:highlight w:val="none"/>
        </w:rPr>
        <w:t>，符合国家有关标准和规范，并满足</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文件规定的</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要求。</w:t>
      </w:r>
    </w:p>
    <w:p w14:paraId="3BB1E0FC">
      <w:pPr>
        <w:shd w:val="clear"/>
        <w:tabs>
          <w:tab w:val="left" w:pos="747"/>
        </w:tabs>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若本项目包括提供货物的，所供货物亦必须是合法生产、合法来源，符合国家有关标准要求，并满足</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文件规定的规格、参数、质量、有效期、售后服务及供应商须承担的运输、安装、技术支持、培训和</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文件规定的其它伴随服务等要求。</w:t>
      </w:r>
    </w:p>
    <w:p w14:paraId="7CDECE3D">
      <w:pPr>
        <w:shd w:val="clear"/>
        <w:tabs>
          <w:tab w:val="left" w:pos="747"/>
        </w:tabs>
        <w:snapToGrid w:val="0"/>
        <w:spacing w:line="360" w:lineRule="auto"/>
        <w:ind w:firstLine="480" w:firstLineChars="200"/>
        <w:rPr>
          <w:rFonts w:ascii="宋体" w:hAnsi="宋体"/>
          <w:color w:val="auto"/>
          <w:szCs w:val="21"/>
          <w:highlight w:val="none"/>
        </w:rPr>
      </w:pPr>
      <w:r>
        <w:rPr>
          <w:rFonts w:hint="eastAsia" w:ascii="仿宋" w:hAnsi="仿宋" w:eastAsia="仿宋" w:cs="仿宋"/>
          <w:color w:val="auto"/>
          <w:sz w:val="24"/>
          <w:szCs w:val="24"/>
          <w:highlight w:val="none"/>
        </w:rPr>
        <w:t>1.4.2 采购人有权拒绝接受任何不合格的</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，由此产生的费用及相关后果均由供应商自行承担。</w:t>
      </w:r>
    </w:p>
    <w:p w14:paraId="246D8E20">
      <w:pPr>
        <w:pStyle w:val="11"/>
        <w:spacing w:before="120" w:beforeLines="50" w:after="120" w:afterLines="50" w:line="360" w:lineRule="auto"/>
        <w:ind w:firstLine="0"/>
        <w:rPr>
          <w:rFonts w:hint="eastAsia" w:ascii="仿宋" w:hAnsi="仿宋" w:eastAsia="仿宋" w:cs="仿宋"/>
          <w:b/>
          <w:bCs/>
          <w:color w:val="auto"/>
          <w:sz w:val="24"/>
          <w:szCs w:val="24"/>
        </w:rPr>
      </w:pPr>
      <w:r>
        <w:rPr>
          <w:rFonts w:hint="eastAsia" w:ascii="仿宋" w:hAnsi="仿宋" w:eastAsia="仿宋" w:cs="仿宋"/>
          <w:b/>
          <w:bCs/>
          <w:color w:val="auto"/>
          <w:sz w:val="24"/>
          <w:szCs w:val="24"/>
        </w:rPr>
        <w:t>1.5 知识产权</w:t>
      </w:r>
      <w:bookmarkEnd w:id="34"/>
    </w:p>
    <w:p w14:paraId="78ED1893">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1.5.1 供应商应保证在本项目提供的任何服务和货物（包括部分使用）时，不会产生因第三方提出侵犯其专利权、商标权或其它知识产权而引起的法律和经济纠纷，如因专利权、商标权或其它知识产权而引起法律和经济纠纷，由供应商承担所有相关责任。</w:t>
      </w:r>
    </w:p>
    <w:p w14:paraId="2D8E5F4B">
      <w:pPr>
        <w:pStyle w:val="11"/>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采购人享有本项目实施过程中产生的知识成果及知识产权。</w:t>
      </w:r>
    </w:p>
    <w:p w14:paraId="184C7B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76C6ED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1.5.4 如采用供应商所不拥有的知识产权，则在报价中必须包括合法获取该知识产权的相关费用。</w:t>
      </w:r>
    </w:p>
    <w:p w14:paraId="191D5FE6">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磋商费用</w:t>
      </w:r>
      <w:bookmarkEnd w:id="35"/>
      <w:bookmarkEnd w:id="36"/>
      <w:bookmarkEnd w:id="37"/>
    </w:p>
    <w:p w14:paraId="40B57821">
      <w:pPr>
        <w:tabs>
          <w:tab w:val="left" w:pos="7665"/>
        </w:tabs>
        <w:spacing w:line="360" w:lineRule="auto"/>
        <w:ind w:firstLine="491" w:firstLineChars="205"/>
        <w:rPr>
          <w:rFonts w:hint="eastAsia" w:ascii="仿宋" w:hAnsi="仿宋" w:eastAsia="仿宋" w:cs="仿宋"/>
          <w:color w:val="auto"/>
          <w:sz w:val="24"/>
          <w:szCs w:val="24"/>
        </w:rPr>
      </w:pPr>
      <w:r>
        <w:rPr>
          <w:rFonts w:hint="eastAsia" w:ascii="仿宋" w:hAnsi="仿宋" w:eastAsia="仿宋" w:cs="仿宋"/>
          <w:color w:val="auto"/>
          <w:sz w:val="24"/>
          <w:szCs w:val="24"/>
        </w:rPr>
        <w:t>不论磋商结果如何，供应商应自行承担所有与准备和参加磋商相关的全部费用。</w:t>
      </w:r>
      <w:bookmarkStart w:id="38" w:name="_Toc183582209"/>
      <w:bookmarkStart w:id="39" w:name="_Toc89075875"/>
      <w:bookmarkStart w:id="40" w:name="_Toc217446038"/>
      <w:bookmarkStart w:id="41" w:name="_Toc183682346"/>
      <w:bookmarkStart w:id="42" w:name="_Toc77400779"/>
    </w:p>
    <w:p w14:paraId="20F7662E">
      <w:pPr>
        <w:autoSpaceDE w:val="0"/>
        <w:autoSpaceDN w:val="0"/>
        <w:spacing w:before="120" w:beforeLines="50" w:after="120" w:afterLines="50"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1.7 保密</w:t>
      </w:r>
    </w:p>
    <w:p w14:paraId="7F461C4D">
      <w:pPr>
        <w:autoSpaceDE w:val="0"/>
        <w:autoSpaceDN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lang w:val="zh-CN"/>
        </w:rPr>
        <w:t xml:space="preserve">参与采购活动的当事人应对磋商文件和响应文件中的商业秘密、技术秘密和个人隐私等保密，违者应对由此造成的后果承担法律责任。 </w:t>
      </w:r>
    </w:p>
    <w:p w14:paraId="1F478932">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1.8语言文字</w:t>
      </w:r>
    </w:p>
    <w:p w14:paraId="1D4188BA">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1.8.1 磋商文件与响应文件使用的语言为中文。专用术语使用外文的，应附有中文注释。</w:t>
      </w:r>
    </w:p>
    <w:p w14:paraId="7579D85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1.8.2 响应文件中如附有外文资料，必须逐一对应翻译成中文并加盖供应商单位章后附在相关外文资料后面，否则，供应商的响应文件将作为无效响应文件处理。</w:t>
      </w:r>
    </w:p>
    <w:p w14:paraId="3F139526">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1.8.3 响应文件中翻译的中文资料与外文资料如果出现差异和矛盾时，以中文为准。但不能故意错误翻译，否则，供应商的响应文件将作为无效响应文件处理。</w:t>
      </w:r>
      <w:r>
        <w:rPr>
          <w:rFonts w:hint="eastAsia" w:ascii="仿宋" w:hAnsi="仿宋" w:eastAsia="仿宋" w:cs="仿宋"/>
          <w:color w:val="auto"/>
          <w:kern w:val="0"/>
          <w:sz w:val="24"/>
          <w:szCs w:val="24"/>
        </w:rPr>
        <w:t>必要时采购人可以要求供应商提供附有公证书的中文翻译文件或者与原版文件签章相一致的中文翻译文件。</w:t>
      </w:r>
    </w:p>
    <w:p w14:paraId="296D3A2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1.9计量单位</w:t>
      </w:r>
    </w:p>
    <w:p w14:paraId="061BDE2D">
      <w:pPr>
        <w:tabs>
          <w:tab w:val="left" w:pos="7665"/>
        </w:tabs>
        <w:spacing w:line="360" w:lineRule="auto"/>
        <w:ind w:firstLine="405"/>
        <w:rPr>
          <w:rFonts w:hint="eastAsia" w:ascii="仿宋" w:hAnsi="仿宋" w:eastAsia="仿宋" w:cs="仿宋"/>
          <w:color w:val="auto"/>
          <w:sz w:val="24"/>
          <w:szCs w:val="24"/>
        </w:rPr>
      </w:pPr>
      <w:r>
        <w:rPr>
          <w:rFonts w:hint="eastAsia" w:ascii="仿宋" w:hAnsi="仿宋" w:eastAsia="仿宋" w:cs="仿宋"/>
          <w:color w:val="auto"/>
          <w:sz w:val="24"/>
          <w:szCs w:val="24"/>
        </w:rPr>
        <w:t>所有计量单位均采用中华人民共和国法定计量单位。</w:t>
      </w:r>
    </w:p>
    <w:p w14:paraId="66BC88A7">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1.10 答疑会或现场考察</w:t>
      </w:r>
    </w:p>
    <w:p w14:paraId="3BC031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1.10.1 根据本采购项目的具体情况，采购代理机构认为有必要，可以组织召磋商前答疑会或组织供应商对项目现场进行考察，澄清供应商提出的问题。答疑会或进行现场考察的时间与地点，采购代理机构将以书面形式通知所有获取了磋商文件的供应商。</w:t>
      </w:r>
    </w:p>
    <w:p w14:paraId="4AEC8D62">
      <w:pPr>
        <w:adjustRightInd w:val="0"/>
        <w:snapToGrid w:val="0"/>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1.10.2 答疑会或现场考察后，采购人或采购代理机构对供应商所提问题的澄清，以书面形式通知所有获取了磋商文件的供应商。该澄清内容为磋商文件的组成部分。</w:t>
      </w:r>
    </w:p>
    <w:p w14:paraId="7D2EB09A">
      <w:pPr>
        <w:adjustRightInd w:val="0"/>
        <w:snapToGrid w:val="0"/>
        <w:spacing w:line="360" w:lineRule="auto"/>
        <w:ind w:firstLine="420" w:firstLineChars="175"/>
        <w:rPr>
          <w:rFonts w:ascii="宋体" w:hAnsi="宋体"/>
          <w:color w:val="auto"/>
          <w:szCs w:val="21"/>
        </w:rPr>
      </w:pPr>
      <w:r>
        <w:rPr>
          <w:rFonts w:hint="eastAsia" w:ascii="仿宋" w:hAnsi="仿宋" w:eastAsia="仿宋" w:cs="仿宋"/>
          <w:color w:val="auto"/>
          <w:sz w:val="24"/>
          <w:szCs w:val="24"/>
        </w:rPr>
        <w:t>1.10.3 采购人或采购代理机构不对供应商现场考察而做出的推论、理解和结论负责。一旦成交，成交供应商不得以任何借口，提出额外补偿，或延长合同期限的要求。</w:t>
      </w:r>
    </w:p>
    <w:p w14:paraId="46D74C63">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1.11响应与偏离</w:t>
      </w:r>
    </w:p>
    <w:p w14:paraId="4B48ADE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1.11.1响应文件应当对磋商文件实质性要求和条件作出满足性或有利于采购人的响应，否则，供应商的响应文件无效。</w:t>
      </w:r>
    </w:p>
    <w:p w14:paraId="5C79FBE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1.11.2</w:t>
      </w:r>
      <w:r>
        <w:rPr>
          <w:rFonts w:hint="eastAsia" w:ascii="仿宋" w:hAnsi="仿宋" w:eastAsia="仿宋" w:cs="仿宋"/>
          <w:b/>
          <w:color w:val="auto"/>
          <w:sz w:val="24"/>
          <w:szCs w:val="24"/>
        </w:rPr>
        <w:t>偏离</w:t>
      </w:r>
      <w:r>
        <w:rPr>
          <w:rFonts w:hint="eastAsia" w:ascii="仿宋" w:hAnsi="仿宋" w:eastAsia="仿宋" w:cs="仿宋"/>
          <w:color w:val="auto"/>
          <w:sz w:val="24"/>
          <w:szCs w:val="24"/>
        </w:rPr>
        <w:t>是指响应文件不响应或者不满足磋商文件提出的要求和条件，分为实质性偏离和非实质性偏离。</w:t>
      </w:r>
    </w:p>
    <w:p w14:paraId="4B18E1EB">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1.11.3除法律、法规和磋商文件规定的其他响应无效情形外，磋商文件中用“</w:t>
      </w:r>
      <w:r>
        <w:rPr>
          <w:rFonts w:hint="eastAsia" w:ascii="仿宋" w:hAnsi="仿宋" w:eastAsia="仿宋" w:cs="仿宋"/>
          <w:bCs/>
          <w:color w:val="auto"/>
          <w:sz w:val="24"/>
          <w:szCs w:val="24"/>
        </w:rPr>
        <w:t>☆</w:t>
      </w:r>
      <w:r>
        <w:rPr>
          <w:rFonts w:hint="eastAsia" w:ascii="仿宋" w:hAnsi="仿宋" w:eastAsia="仿宋" w:cs="仿宋"/>
          <w:color w:val="auto"/>
          <w:sz w:val="24"/>
          <w:szCs w:val="24"/>
        </w:rPr>
        <w:t>”符号标明的条款为实质性要求和条件，响应文件对其中任何一条的偏离，为实质性偏离，其响应文件无效。</w:t>
      </w:r>
    </w:p>
    <w:p w14:paraId="2B5707EF">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1.11.4 响应文件偏离磋商文件的非实质性要求和条件，为非实质性偏离。非实质性偏离的范围和项数应当符合供应商须知前附表的规定，超出偏离范围和最高项数的响应文件无效。</w:t>
      </w:r>
    </w:p>
    <w:p w14:paraId="745C7F9E">
      <w:pPr>
        <w:adjustRightInd w:val="0"/>
        <w:snapToGrid w:val="0"/>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1.11.5 响应文件对磋商文件的全部偏离，均应在响应文件商务条款偏离表和技术参数偏离表中列明，除列明的内容外，视为供应商响应响应磋商文件的全部要求。</w:t>
      </w:r>
    </w:p>
    <w:p w14:paraId="2007BA3D">
      <w:pPr>
        <w:adjustRightInd w:val="0"/>
        <w:snapToGrid w:val="0"/>
        <w:spacing w:line="360" w:lineRule="auto"/>
        <w:ind w:firstLine="480" w:firstLineChars="200"/>
        <w:jc w:val="left"/>
        <w:rPr>
          <w:color w:val="auto"/>
        </w:rPr>
      </w:pPr>
      <w:r>
        <w:rPr>
          <w:rFonts w:hint="eastAsia" w:ascii="仿宋" w:hAnsi="仿宋" w:eastAsia="仿宋" w:cs="仿宋"/>
          <w:color w:val="auto"/>
          <w:sz w:val="24"/>
          <w:szCs w:val="24"/>
        </w:rPr>
        <w:t>1.11.6 在磋商过程中，磋商小组若根据磋商文件和磋商情况实质性变动采购需求中的技术、服务要求以及合同草案条款的，供应商据此重新提交的响应文件，也适用本条款</w:t>
      </w:r>
      <w:r>
        <w:rPr>
          <w:rFonts w:hint="eastAsia" w:ascii="宋体" w:hAnsi="宋体"/>
          <w:color w:val="auto"/>
        </w:rPr>
        <w:t>。</w:t>
      </w:r>
    </w:p>
    <w:p w14:paraId="63E234FA">
      <w:pPr>
        <w:jc w:val="left"/>
        <w:outlineLvl w:val="9"/>
        <w:rPr>
          <w:rFonts w:hint="eastAsia" w:ascii="仿宋" w:hAnsi="仿宋" w:eastAsia="仿宋" w:cs="仿宋"/>
          <w:b w:val="0"/>
          <w:color w:val="auto"/>
          <w:sz w:val="24"/>
          <w:szCs w:val="24"/>
        </w:rPr>
      </w:pPr>
      <w:bookmarkStart w:id="43" w:name="_Toc24496"/>
      <w:r>
        <w:rPr>
          <w:rFonts w:hint="eastAsia" w:ascii="仿宋" w:hAnsi="仿宋" w:eastAsia="仿宋" w:cs="仿宋"/>
          <w:b w:val="0"/>
          <w:color w:val="auto"/>
          <w:sz w:val="24"/>
          <w:szCs w:val="24"/>
        </w:rPr>
        <w:t>2.磋商文件</w:t>
      </w:r>
      <w:bookmarkEnd w:id="38"/>
      <w:bookmarkEnd w:id="39"/>
      <w:bookmarkEnd w:id="40"/>
      <w:bookmarkEnd w:id="41"/>
      <w:bookmarkEnd w:id="42"/>
      <w:bookmarkEnd w:id="43"/>
      <w:bookmarkStart w:id="44" w:name="_Toc183582210"/>
      <w:bookmarkStart w:id="45" w:name="_Toc183682347"/>
      <w:bookmarkStart w:id="46" w:name="_Toc217446039"/>
    </w:p>
    <w:p w14:paraId="6B757EA7">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2.1 磋商文件的</w:t>
      </w:r>
      <w:bookmarkEnd w:id="44"/>
      <w:bookmarkEnd w:id="45"/>
      <w:bookmarkEnd w:id="46"/>
      <w:r>
        <w:rPr>
          <w:rFonts w:hint="eastAsia" w:ascii="仿宋" w:hAnsi="仿宋" w:eastAsia="仿宋" w:cs="仿宋"/>
          <w:b/>
          <w:color w:val="auto"/>
          <w:sz w:val="24"/>
          <w:szCs w:val="24"/>
        </w:rPr>
        <w:t>组成</w:t>
      </w:r>
    </w:p>
    <w:p w14:paraId="3DD3DB30">
      <w:pPr>
        <w:tabs>
          <w:tab w:val="left" w:pos="7665"/>
        </w:tabs>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本磋商文件包括以下内容：</w:t>
      </w:r>
    </w:p>
    <w:p w14:paraId="4240897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（1）竞争性磋商公告；</w:t>
      </w:r>
    </w:p>
    <w:p w14:paraId="2E7E20E0">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（2）供应商须知；</w:t>
      </w:r>
    </w:p>
    <w:p w14:paraId="2170FFC9">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（3）磋商办法；</w:t>
      </w:r>
    </w:p>
    <w:p w14:paraId="52607094">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（4）采购内容及要求；</w:t>
      </w:r>
    </w:p>
    <w:p w14:paraId="47985458">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（5）合同主要条款；</w:t>
      </w:r>
    </w:p>
    <w:p w14:paraId="47AA93E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（6）响应文件格式要求。</w:t>
      </w:r>
      <w:bookmarkStart w:id="47" w:name="_Toc183682348"/>
      <w:bookmarkStart w:id="48" w:name="_Toc183582211"/>
      <w:bookmarkStart w:id="49" w:name="_Toc217446040"/>
    </w:p>
    <w:p w14:paraId="7032A358">
      <w:pPr>
        <w:tabs>
          <w:tab w:val="left" w:pos="7665"/>
        </w:tabs>
        <w:spacing w:line="360" w:lineRule="auto"/>
        <w:ind w:firstLine="480" w:firstLineChars="200"/>
        <w:rPr>
          <w:rFonts w:ascii="宋体" w:hAnsi="宋体"/>
          <w:color w:val="auto"/>
          <w:szCs w:val="21"/>
        </w:rPr>
      </w:pPr>
      <w:r>
        <w:rPr>
          <w:rFonts w:hint="eastAsia" w:ascii="仿宋" w:hAnsi="仿宋" w:eastAsia="仿宋" w:cs="仿宋"/>
          <w:color w:val="auto"/>
          <w:sz w:val="24"/>
          <w:szCs w:val="24"/>
        </w:rPr>
        <w:t>根据本章第1.10条款、第2.2条款款对磋商文件所作的澄清、修改，构成磋商文件的组成部分</w:t>
      </w:r>
      <w:r>
        <w:rPr>
          <w:rFonts w:hint="eastAsia" w:ascii="宋体" w:hAnsi="宋体"/>
          <w:color w:val="auto"/>
          <w:szCs w:val="21"/>
        </w:rPr>
        <w:t>。</w:t>
      </w:r>
    </w:p>
    <w:p w14:paraId="480AFE34">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2.2 磋商文件的澄清</w:t>
      </w:r>
      <w:bookmarkEnd w:id="47"/>
      <w:bookmarkEnd w:id="48"/>
      <w:r>
        <w:rPr>
          <w:rFonts w:hint="eastAsia" w:ascii="仿宋" w:hAnsi="仿宋" w:eastAsia="仿宋" w:cs="仿宋"/>
          <w:b/>
          <w:color w:val="auto"/>
          <w:sz w:val="24"/>
          <w:szCs w:val="24"/>
        </w:rPr>
        <w:t>和修改</w:t>
      </w:r>
      <w:bookmarkEnd w:id="49"/>
    </w:p>
    <w:p w14:paraId="1BD88B58">
      <w:pPr>
        <w:tabs>
          <w:tab w:val="left" w:pos="72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2.2.1 在提交首次响应文件截止时间前，采购代理机构无论出于何种原因，可以对磋商文件进行澄清或者修改。</w:t>
      </w:r>
    </w:p>
    <w:p w14:paraId="06848B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 采购人或采购代理机构可以对已发出的磋商文件进行必要的澄清或者修改，澄清或修改的内容可能影响响应文件编制的，应当在提交首次响应文件截止时间</w:t>
      </w:r>
      <w:r>
        <w:rPr>
          <w:rFonts w:hint="eastAsia" w:ascii="仿宋" w:hAnsi="仿宋" w:eastAsia="仿宋" w:cs="仿宋"/>
          <w:b/>
          <w:color w:val="auto"/>
          <w:sz w:val="24"/>
          <w:szCs w:val="24"/>
        </w:rPr>
        <w:t>5</w:t>
      </w:r>
      <w:r>
        <w:rPr>
          <w:rFonts w:hint="eastAsia" w:ascii="仿宋" w:hAnsi="仿宋" w:eastAsia="仿宋" w:cs="仿宋"/>
          <w:color w:val="auto"/>
          <w:sz w:val="24"/>
          <w:szCs w:val="24"/>
        </w:rPr>
        <w:t>日前，以书面形式将澄清或者修改的内容通知所有获取磋商文件的供应商，同时在原信息发布媒体上发布变更公告；供应商在收到上述通知后，应立即以书面形式向采购代理机构确认；不足</w:t>
      </w:r>
      <w:r>
        <w:rPr>
          <w:rFonts w:hint="eastAsia" w:ascii="仿宋" w:hAnsi="仿宋" w:eastAsia="仿宋" w:cs="仿宋"/>
          <w:b/>
          <w:color w:val="auto"/>
          <w:sz w:val="24"/>
          <w:szCs w:val="24"/>
        </w:rPr>
        <w:t>5</w:t>
      </w:r>
      <w:r>
        <w:rPr>
          <w:rFonts w:hint="eastAsia" w:ascii="仿宋" w:hAnsi="仿宋" w:eastAsia="仿宋" w:cs="仿宋"/>
          <w:color w:val="auto"/>
          <w:sz w:val="24"/>
          <w:szCs w:val="24"/>
        </w:rPr>
        <w:t>日的，将相应顺延提交首次响应文件截止时间。</w:t>
      </w:r>
    </w:p>
    <w:p w14:paraId="07A376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w:t>
      </w:r>
      <w:r>
        <w:rPr>
          <w:rFonts w:hint="eastAsia" w:ascii="仿宋" w:hAnsi="仿宋" w:eastAsia="仿宋" w:cs="仿宋"/>
          <w:bCs/>
          <w:color w:val="auto"/>
          <w:sz w:val="24"/>
          <w:szCs w:val="24"/>
        </w:rPr>
        <w:t xml:space="preserve">.3 </w:t>
      </w:r>
      <w:r>
        <w:rPr>
          <w:rFonts w:hint="eastAsia" w:ascii="仿宋" w:hAnsi="仿宋" w:eastAsia="仿宋" w:cs="仿宋"/>
          <w:color w:val="auto"/>
          <w:sz w:val="24"/>
          <w:szCs w:val="24"/>
        </w:rPr>
        <w:t>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w:t>
      </w:r>
      <w:r>
        <w:rPr>
          <w:rFonts w:hint="eastAsia" w:ascii="仿宋" w:hAnsi="仿宋" w:eastAsia="仿宋" w:cs="仿宋"/>
          <w:b/>
          <w:color w:val="auto"/>
          <w:sz w:val="24"/>
          <w:szCs w:val="24"/>
        </w:rPr>
        <w:t>3</w:t>
      </w:r>
      <w:r>
        <w:rPr>
          <w:rFonts w:hint="eastAsia" w:ascii="仿宋" w:hAnsi="仿宋" w:eastAsia="仿宋" w:cs="仿宋"/>
          <w:color w:val="auto"/>
          <w:sz w:val="24"/>
          <w:szCs w:val="24"/>
        </w:rPr>
        <w:t>日前按磋商文件中的联系方式，以书面形式向采购代理机构提出，采购代理机构应当在</w:t>
      </w:r>
      <w:r>
        <w:rPr>
          <w:rFonts w:hint="eastAsia" w:ascii="仿宋" w:hAnsi="仿宋" w:eastAsia="仿宋" w:cs="仿宋"/>
          <w:b/>
          <w:color w:val="auto"/>
          <w:sz w:val="24"/>
          <w:szCs w:val="24"/>
        </w:rPr>
        <w:t>2</w:t>
      </w:r>
      <w:r>
        <w:rPr>
          <w:rFonts w:hint="eastAsia" w:ascii="仿宋" w:hAnsi="仿宋" w:eastAsia="仿宋" w:cs="仿宋"/>
          <w:color w:val="auto"/>
          <w:sz w:val="24"/>
          <w:szCs w:val="24"/>
        </w:rPr>
        <w:t>日内，以书面形式予以答复（答复中不包括问题的来源），或认为有必要召开答疑会。超过该时间收到的询问或需要澄清的内容，采购代理机构有权不予答复。</w:t>
      </w:r>
    </w:p>
    <w:p w14:paraId="2FDC884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2.2.4 在提交首次响应文件截止时间前，采购代理机构可以视采购具体情况，延长提交首次响应文件截止时间，并将变更时间以书面形式通知所有获取了磋商文件的供应商，同时在原信息发布媒体上发布变更公告。</w:t>
      </w:r>
      <w:bookmarkStart w:id="50" w:name="_Toc183682350"/>
      <w:bookmarkStart w:id="51" w:name="_Toc208848971"/>
      <w:bookmarkStart w:id="52" w:name="_Toc183582213"/>
      <w:bookmarkStart w:id="53" w:name="_Toc217446041"/>
    </w:p>
    <w:p w14:paraId="45356DB5">
      <w:pPr>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2.2.5 当磋商文件的澄清、答复、修改或补充通知与磋商文件就同一内容表述不一致时，以最后发出的书面文件内容为准。</w:t>
      </w:r>
    </w:p>
    <w:bookmarkEnd w:id="50"/>
    <w:bookmarkEnd w:id="51"/>
    <w:bookmarkEnd w:id="52"/>
    <w:bookmarkEnd w:id="53"/>
    <w:p w14:paraId="49E48B29">
      <w:pPr>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2.3磋商文件的解释权</w:t>
      </w:r>
    </w:p>
    <w:p w14:paraId="0781DA26">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磋商文件的解释权归采购代理机构，如发现磋商文件内容与现行法律法规不相符的情况，以现行法律法规为准。</w:t>
      </w:r>
    </w:p>
    <w:p w14:paraId="6091F67B">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54" w:name="_Toc21394"/>
      <w:bookmarkStart w:id="55" w:name="_Toc183582214"/>
      <w:bookmarkStart w:id="56" w:name="_Toc183682351"/>
      <w:bookmarkStart w:id="57" w:name="_Toc89075876"/>
      <w:bookmarkStart w:id="58" w:name="_Toc77400780"/>
      <w:bookmarkStart w:id="59" w:name="_Toc217446042"/>
      <w:r>
        <w:rPr>
          <w:rFonts w:hint="eastAsia" w:ascii="仿宋" w:hAnsi="仿宋" w:eastAsia="仿宋" w:cs="仿宋"/>
          <w:color w:val="auto"/>
          <w:sz w:val="24"/>
          <w:szCs w:val="24"/>
        </w:rPr>
        <w:t>3.供应商</w:t>
      </w:r>
      <w:bookmarkEnd w:id="54"/>
    </w:p>
    <w:bookmarkEnd w:id="55"/>
    <w:bookmarkEnd w:id="56"/>
    <w:bookmarkEnd w:id="57"/>
    <w:bookmarkEnd w:id="58"/>
    <w:bookmarkEnd w:id="59"/>
    <w:p w14:paraId="13A1A4AD">
      <w:pPr>
        <w:pStyle w:val="8"/>
        <w:keepNext w:val="0"/>
        <w:keepLines w:val="0"/>
        <w:pageBreakBefore w:val="0"/>
        <w:kinsoku/>
        <w:wordWrap/>
        <w:overflowPunct/>
        <w:topLinePunct w:val="0"/>
        <w:autoSpaceDE/>
        <w:autoSpaceDN/>
        <w:bidi w:val="0"/>
        <w:spacing w:after="120" w:afterLines="50" w:line="360" w:lineRule="auto"/>
        <w:ind w:firstLine="0"/>
        <w:rPr>
          <w:rFonts w:hint="eastAsia" w:ascii="仿宋" w:hAnsi="仿宋" w:eastAsia="仿宋" w:cs="仿宋"/>
          <w:b/>
          <w:color w:val="auto"/>
          <w:sz w:val="24"/>
          <w:szCs w:val="24"/>
        </w:rPr>
      </w:pPr>
      <w:bookmarkStart w:id="60" w:name="_Toc183682352"/>
      <w:bookmarkStart w:id="61" w:name="_Toc217446043"/>
      <w:bookmarkStart w:id="62" w:name="_Toc183582215"/>
      <w:r>
        <w:rPr>
          <w:rFonts w:hint="eastAsia" w:ascii="仿宋" w:hAnsi="仿宋" w:eastAsia="仿宋" w:cs="仿宋"/>
          <w:b/>
          <w:color w:val="auto"/>
          <w:sz w:val="24"/>
          <w:szCs w:val="24"/>
        </w:rPr>
        <w:t>3.1供应商资格要求</w:t>
      </w:r>
    </w:p>
    <w:p w14:paraId="434FBF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3.1.1 </w:t>
      </w:r>
      <w:r>
        <w:rPr>
          <w:rFonts w:hint="eastAsia" w:ascii="仿宋" w:hAnsi="仿宋" w:eastAsia="仿宋" w:cs="仿宋"/>
          <w:color w:val="auto"/>
          <w:kern w:val="0"/>
          <w:sz w:val="24"/>
          <w:szCs w:val="24"/>
        </w:rPr>
        <w:t>供应商应符合《中华人民共和国政府采购法》第二十二条规定的资格条件，</w:t>
      </w:r>
      <w:r>
        <w:rPr>
          <w:rFonts w:hint="eastAsia" w:ascii="仿宋" w:hAnsi="仿宋" w:eastAsia="仿宋" w:cs="仿宋"/>
          <w:color w:val="auto"/>
          <w:kern w:val="0"/>
          <w:sz w:val="24"/>
          <w:szCs w:val="24"/>
          <w:lang w:val="zh-CN"/>
        </w:rPr>
        <w:t>并按照《政府采购法实施条例》第十七条规定提供下列材料：</w:t>
      </w:r>
    </w:p>
    <w:p w14:paraId="235F0CE3">
      <w:pPr>
        <w:pStyle w:val="43"/>
        <w:keepNext w:val="0"/>
        <w:keepLines w:val="0"/>
        <w:pageBreakBefore w:val="0"/>
        <w:kinsoku/>
        <w:wordWrap/>
        <w:overflowPunct/>
        <w:topLinePunct w:val="0"/>
        <w:autoSpaceDE/>
        <w:autoSpaceDN/>
        <w:bidi w:val="0"/>
        <w:spacing w:line="360" w:lineRule="auto"/>
        <w:ind w:left="480"/>
        <w:rPr>
          <w:rFonts w:hint="eastAsia" w:ascii="仿宋" w:hAnsi="仿宋" w:eastAsia="仿宋" w:cs="仿宋"/>
          <w:sz w:val="24"/>
          <w:szCs w:val="24"/>
        </w:rPr>
      </w:pPr>
      <w:r>
        <w:rPr>
          <w:rFonts w:hint="eastAsia" w:ascii="仿宋" w:hAnsi="仿宋" w:eastAsia="仿宋" w:cs="仿宋"/>
          <w:sz w:val="24"/>
          <w:szCs w:val="24"/>
        </w:rPr>
        <w:t>（1）具有独立承担民事责任能力的法人、其他组织或自然人， 并出具合法有效的营业执照或事业单位法人证书等国家规定的相关证明， 自然人参与的提供其身份证明；</w:t>
      </w:r>
      <w:r>
        <w:rPr>
          <w:rFonts w:hint="eastAsia" w:ascii="仿宋" w:hAnsi="仿宋" w:eastAsia="仿宋" w:cs="仿宋"/>
          <w:sz w:val="24"/>
          <w:szCs w:val="24"/>
        </w:rPr>
        <w:br w:type="textWrapping"/>
      </w:r>
      <w:r>
        <w:rPr>
          <w:rFonts w:hint="eastAsia" w:ascii="仿宋" w:hAnsi="仿宋" w:eastAsia="仿宋" w:cs="仿宋"/>
          <w:sz w:val="24"/>
          <w:szCs w:val="24"/>
        </w:rPr>
        <w:t>（2）供应商需具备建筑工程施工总承包二级（含二级）及以上资质，具有有效的安全生产许可证</w:t>
      </w:r>
      <w:r>
        <w:rPr>
          <w:rFonts w:hint="eastAsia" w:ascii="仿宋" w:hAnsi="仿宋" w:eastAsia="仿宋" w:cs="仿宋"/>
          <w:sz w:val="24"/>
          <w:szCs w:val="24"/>
        </w:rPr>
        <w:br w:type="textWrapping"/>
      </w:r>
      <w:r>
        <w:rPr>
          <w:rFonts w:hint="eastAsia" w:ascii="仿宋" w:hAnsi="仿宋" w:eastAsia="仿宋" w:cs="仿宋"/>
          <w:sz w:val="24"/>
          <w:szCs w:val="24"/>
        </w:rPr>
        <w:t>（3）拟派项目经理需具备建筑工程专业二级（含二级）及以上注册建造师证书，具有有效的安全生产考核合格证（B 证）书，且未担任其他在建工程项目的项目经理</w:t>
      </w:r>
      <w:r>
        <w:rPr>
          <w:rFonts w:hint="eastAsia" w:ascii="仿宋" w:hAnsi="仿宋" w:eastAsia="仿宋" w:cs="仿宋"/>
          <w:sz w:val="24"/>
          <w:szCs w:val="24"/>
        </w:rPr>
        <w:br w:type="textWrapping"/>
      </w:r>
      <w:r>
        <w:rPr>
          <w:rFonts w:hint="eastAsia" w:ascii="仿宋" w:hAnsi="仿宋" w:eastAsia="仿宋" w:cs="仿宋"/>
          <w:sz w:val="24"/>
          <w:szCs w:val="24"/>
        </w:rPr>
        <w:t>（4）法定代表人授权代表参加投标的， 提供法定代表人授权委托书及被授权人身份证原件；法定代表人参加投标时,提供法定代表人身份证明及本人身份证原件；</w:t>
      </w:r>
      <w:r>
        <w:rPr>
          <w:rFonts w:hint="eastAsia" w:ascii="仿宋" w:hAnsi="仿宋" w:eastAsia="仿宋" w:cs="仿宋"/>
          <w:sz w:val="24"/>
          <w:szCs w:val="24"/>
        </w:rPr>
        <w:br w:type="textWrapping"/>
      </w:r>
      <w:r>
        <w:rPr>
          <w:rFonts w:hint="eastAsia" w:ascii="仿宋" w:hAnsi="仿宋" w:eastAsia="仿宋" w:cs="仿宋"/>
          <w:sz w:val="24"/>
          <w:szCs w:val="24"/>
        </w:rPr>
        <w:t>（5）社会保障资金缴纳证明：投标人提供本单位响应截止时间前六个月内已缴纳的至少一个月的社会保障资金缴存单据或社保机构开具的社会保险参保缴费情况证明，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（6）税收缴纳证明：投标人提供本单位响应截止时间前六个月内已缴纳的至少一个月的纳税证明或完税证明（增值税，印花税，企业所得税等一种或多种税种），依法免税的单位应提供相关证明材料；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sz w:val="24"/>
          <w:szCs w:val="24"/>
        </w:rPr>
        <w:br w:type="textWrapping"/>
      </w:r>
      <w:r>
        <w:rPr>
          <w:rFonts w:hint="eastAsia" w:ascii="仿宋" w:hAnsi="仿宋" w:eastAsia="仿宋" w:cs="仿宋"/>
          <w:sz w:val="24"/>
          <w:szCs w:val="24"/>
        </w:rPr>
        <w:t>（7）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r>
        <w:rPr>
          <w:rFonts w:hint="eastAsia" w:ascii="仿宋" w:hAnsi="仿宋" w:eastAsia="仿宋" w:cs="仿宋"/>
          <w:sz w:val="24"/>
          <w:szCs w:val="24"/>
        </w:rPr>
        <w:br w:type="textWrapping"/>
      </w:r>
      <w:r>
        <w:rPr>
          <w:rFonts w:hint="eastAsia" w:ascii="仿宋" w:hAnsi="仿宋" w:eastAsia="仿宋" w:cs="仿宋"/>
          <w:sz w:val="24"/>
          <w:szCs w:val="24"/>
        </w:rPr>
        <w:t>（8）投标人应出具参加政府采购活动前 3 年内在经营活动中没有重大违法记录的书面声明；</w:t>
      </w:r>
      <w:r>
        <w:rPr>
          <w:rFonts w:hint="eastAsia" w:ascii="仿宋" w:hAnsi="仿宋" w:eastAsia="仿宋" w:cs="仿宋"/>
          <w:sz w:val="24"/>
          <w:szCs w:val="24"/>
        </w:rPr>
        <w:br w:type="textWrapping"/>
      </w:r>
      <w:r>
        <w:rPr>
          <w:rFonts w:hint="eastAsia" w:ascii="仿宋" w:hAnsi="仿宋" w:eastAsia="仿宋" w:cs="仿宋"/>
          <w:sz w:val="24"/>
          <w:szCs w:val="24"/>
        </w:rPr>
        <w:t>（9）投标人应出具履行合同所必需的设备和专业技术能力的承诺声明；</w:t>
      </w:r>
      <w:r>
        <w:rPr>
          <w:rFonts w:hint="eastAsia" w:ascii="仿宋" w:hAnsi="仿宋" w:eastAsia="仿宋" w:cs="仿宋"/>
          <w:sz w:val="24"/>
          <w:szCs w:val="24"/>
        </w:rPr>
        <w:br w:type="textWrapping"/>
      </w:r>
      <w:r>
        <w:rPr>
          <w:rFonts w:hint="eastAsia" w:ascii="仿宋" w:hAnsi="仿宋" w:eastAsia="仿宋" w:cs="仿宋"/>
          <w:sz w:val="24"/>
          <w:szCs w:val="24"/>
        </w:rPr>
        <w:t>（10）投标人不得被列入“中国执行信息公开网（http://zxgk.court.gov.cn）失信被执行人，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p>
    <w:p w14:paraId="004D1AF9">
      <w:pPr>
        <w:widowControl/>
        <w:snapToGrid w:val="0"/>
        <w:spacing w:line="360" w:lineRule="auto"/>
        <w:ind w:firstLine="480"/>
        <w:jc w:val="left"/>
        <w:rPr>
          <w:rFonts w:hint="eastAsia" w:ascii="仿宋" w:hAnsi="仿宋" w:eastAsia="仿宋" w:cs="仿宋"/>
          <w:b/>
          <w:bCs/>
          <w:color w:val="auto"/>
          <w:sz w:val="24"/>
          <w:szCs w:val="24"/>
          <w:shd w:val="clear" w:color="auto" w:fill="FFFFFF"/>
        </w:rPr>
      </w:pPr>
      <w:r>
        <w:rPr>
          <w:rFonts w:hint="eastAsia" w:ascii="仿宋" w:hAnsi="仿宋" w:eastAsia="仿宋" w:cs="仿宋"/>
          <w:b w:val="0"/>
          <w:bCs w:val="0"/>
          <w:color w:val="auto"/>
          <w:kern w:val="0"/>
          <w:sz w:val="24"/>
          <w:szCs w:val="24"/>
          <w:shd w:val="clear" w:color="auto" w:fill="FFFFFF"/>
          <w:lang w:val="en-US" w:eastAsia="zh-CN" w:bidi="ar-SA"/>
        </w:rPr>
        <w:t>备注：本项目不接受联合体磋商。</w:t>
      </w:r>
    </w:p>
    <w:p w14:paraId="234C6534">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采购人或采购代理机构</w:t>
      </w:r>
      <w:r>
        <w:rPr>
          <w:rFonts w:hint="eastAsia" w:ascii="仿宋" w:hAnsi="仿宋" w:eastAsia="仿宋" w:cs="仿宋"/>
          <w:color w:val="auto"/>
          <w:sz w:val="24"/>
          <w:szCs w:val="24"/>
          <w:shd w:val="clear" w:color="auto" w:fill="FFFFFF"/>
        </w:rPr>
        <w:t>将在磋商截止日当天资格审查阶段通过【信用中国（www.creditchina.gov.cn）】和【中国政府采购网（www.ccgp.gov.cn）】等网站对供应商的信用情况进行查询，并将网页截图附在评审资料中作为留存依据（如相关失信记录已失效，供应商需提供相关证明资料，若没有则此项不需要提供）。</w:t>
      </w:r>
    </w:p>
    <w:p w14:paraId="512DC392">
      <w:pPr>
        <w:snapToGrid w:val="0"/>
        <w:spacing w:line="360" w:lineRule="auto"/>
        <w:ind w:firstLine="482" w:firstLineChars="200"/>
        <w:jc w:val="left"/>
        <w:rPr>
          <w:rFonts w:hint="eastAsia" w:ascii="仿宋" w:hAnsi="仿宋" w:eastAsia="仿宋" w:cs="仿宋"/>
          <w:b/>
          <w:color w:val="000000"/>
          <w:sz w:val="24"/>
          <w:szCs w:val="24"/>
          <w:lang w:val="en-US" w:eastAsia="zh-CN"/>
        </w:rPr>
      </w:pPr>
      <w:r>
        <w:rPr>
          <w:rFonts w:hint="eastAsia" w:ascii="仿宋" w:hAnsi="仿宋" w:eastAsia="仿宋" w:cs="仿宋"/>
          <w:b/>
          <w:bCs/>
          <w:color w:val="000000"/>
          <w:sz w:val="24"/>
          <w:szCs w:val="24"/>
        </w:rPr>
        <w:t>注：</w:t>
      </w:r>
      <w:r>
        <w:rPr>
          <w:rFonts w:hint="eastAsia" w:ascii="仿宋" w:hAnsi="仿宋" w:eastAsia="仿宋" w:cs="仿宋"/>
          <w:b/>
          <w:color w:val="000000"/>
          <w:sz w:val="24"/>
          <w:szCs w:val="24"/>
        </w:rPr>
        <w:t>以上为必备资质，缺一项或某项达不到要求，按无效</w:t>
      </w:r>
      <w:r>
        <w:rPr>
          <w:rFonts w:hint="eastAsia" w:ascii="仿宋" w:hAnsi="仿宋" w:eastAsia="仿宋" w:cs="仿宋"/>
          <w:b/>
          <w:color w:val="000000"/>
          <w:sz w:val="24"/>
          <w:szCs w:val="24"/>
          <w:lang w:val="en-US" w:eastAsia="zh-CN"/>
        </w:rPr>
        <w:t>响应</w:t>
      </w:r>
      <w:r>
        <w:rPr>
          <w:rFonts w:hint="eastAsia" w:ascii="仿宋" w:hAnsi="仿宋" w:eastAsia="仿宋" w:cs="仿宋"/>
          <w:b/>
          <w:color w:val="000000"/>
          <w:sz w:val="24"/>
          <w:szCs w:val="24"/>
        </w:rPr>
        <w:t>处理。上述资格证明文件均须</w:t>
      </w:r>
      <w:bookmarkStart w:id="63" w:name="OLE_LINK5"/>
      <w:r>
        <w:rPr>
          <w:rFonts w:hint="eastAsia" w:ascii="仿宋" w:hAnsi="仿宋" w:eastAsia="仿宋" w:cs="仿宋"/>
          <w:b/>
          <w:color w:val="000000"/>
          <w:sz w:val="24"/>
          <w:szCs w:val="24"/>
        </w:rPr>
        <w:t>加盖公章。</w:t>
      </w:r>
      <w:r>
        <w:rPr>
          <w:rFonts w:hint="eastAsia" w:ascii="仿宋" w:hAnsi="仿宋" w:eastAsia="仿宋" w:cs="仿宋"/>
          <w:b/>
          <w:color w:val="000000"/>
          <w:sz w:val="24"/>
          <w:szCs w:val="24"/>
          <w:lang w:val="en-US" w:eastAsia="zh-CN"/>
        </w:rPr>
        <w:t>资格审查时以响应文件中所附证明材料为准；以采购人或</w:t>
      </w:r>
      <w:bookmarkEnd w:id="63"/>
      <w:r>
        <w:rPr>
          <w:rFonts w:hint="eastAsia" w:ascii="仿宋" w:hAnsi="仿宋" w:eastAsia="仿宋" w:cs="仿宋"/>
          <w:b/>
          <w:color w:val="000000"/>
          <w:sz w:val="24"/>
          <w:szCs w:val="24"/>
          <w:lang w:val="en-US" w:eastAsia="zh-CN"/>
        </w:rPr>
        <w:t>采购代理机构将在磋商响应截止日当天资格审查阶段通过</w:t>
      </w:r>
    </w:p>
    <w:p w14:paraId="033A5EC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bookmarkStart w:id="64" w:name="OLE_LINK6"/>
      <w:r>
        <w:rPr>
          <w:rFonts w:hint="eastAsia" w:ascii="仿宋" w:hAnsi="仿宋" w:eastAsia="仿宋" w:cs="仿宋"/>
          <w:b/>
          <w:color w:val="000000"/>
          <w:sz w:val="24"/>
          <w:szCs w:val="24"/>
          <w:lang w:val="en-US" w:eastAsia="zh-CN"/>
        </w:rPr>
        <w:t>【中国执行信息公开网”（http://zxgk.court.gov.cn）</w:t>
      </w:r>
      <w:bookmarkStart w:id="65" w:name="OLE_LINK3"/>
      <w:r>
        <w:rPr>
          <w:rFonts w:hint="eastAsia" w:ascii="仿宋" w:hAnsi="仿宋" w:eastAsia="仿宋" w:cs="仿宋"/>
          <w:b/>
          <w:color w:val="000000"/>
          <w:sz w:val="24"/>
          <w:szCs w:val="24"/>
          <w:lang w:val="en-US" w:eastAsia="zh-CN"/>
        </w:rPr>
        <w:t>】</w:t>
      </w:r>
      <w:bookmarkEnd w:id="64"/>
    </w:p>
    <w:p w14:paraId="0DDFB32D">
      <w:pPr>
        <w:snapToGrid w:val="0"/>
        <w:spacing w:line="360" w:lineRule="auto"/>
        <w:ind w:left="420" w:leftChars="200" w:firstLine="0" w:firstLineChars="0"/>
        <w:jc w:val="left"/>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w:t>
      </w:r>
      <w:bookmarkEnd w:id="65"/>
      <w:r>
        <w:rPr>
          <w:rFonts w:hint="eastAsia" w:ascii="仿宋" w:hAnsi="仿宋" w:eastAsia="仿宋" w:cs="仿宋"/>
          <w:b/>
          <w:color w:val="000000"/>
          <w:sz w:val="24"/>
          <w:szCs w:val="24"/>
          <w:lang w:val="en-US" w:eastAsia="zh-CN"/>
        </w:rPr>
        <w:t>信用中国（www.creditchina.gov.cn）</w:t>
      </w:r>
      <w:bookmarkStart w:id="66" w:name="OLE_LINK4"/>
      <w:r>
        <w:rPr>
          <w:rFonts w:hint="eastAsia" w:ascii="仿宋" w:hAnsi="仿宋" w:eastAsia="仿宋" w:cs="仿宋"/>
          <w:b/>
          <w:color w:val="000000"/>
          <w:sz w:val="24"/>
          <w:szCs w:val="24"/>
          <w:lang w:val="en-US" w:eastAsia="zh-CN"/>
        </w:rPr>
        <w:t>】</w:t>
      </w:r>
      <w:bookmarkEnd w:id="66"/>
    </w:p>
    <w:p w14:paraId="7B5093E1">
      <w:pPr>
        <w:tabs>
          <w:tab w:val="left" w:pos="720"/>
        </w:tabs>
        <w:snapToGrid w:val="0"/>
        <w:spacing w:before="120" w:beforeLines="50" w:after="120" w:afterLines="50" w:line="360" w:lineRule="auto"/>
        <w:ind w:firstLine="482" w:firstLineChars="200"/>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【中国政府采购网（www.ccgp.gov.cn）】网站对供应商的信用情况进行查询为准。（如相关失信记录已失效，供应商需提供相关证明资料，若没有则此项不需要提供）</w:t>
      </w:r>
    </w:p>
    <w:p w14:paraId="1B57DF7F">
      <w:pPr>
        <w:tabs>
          <w:tab w:val="left" w:pos="720"/>
        </w:tabs>
        <w:snapToGrid w:val="0"/>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3.2</w:t>
      </w:r>
      <w:r>
        <w:rPr>
          <w:rFonts w:hint="eastAsia" w:ascii="仿宋" w:hAnsi="仿宋" w:eastAsia="仿宋" w:cs="仿宋"/>
          <w:b/>
          <w:bCs/>
          <w:color w:val="auto"/>
          <w:sz w:val="24"/>
          <w:szCs w:val="24"/>
        </w:rPr>
        <w:t>授权委托</w:t>
      </w:r>
    </w:p>
    <w:p w14:paraId="32CBF427">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3.2.1法定代表人参加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的，提供法定代表人身份证明书（附法定代表人身份证复印件）；法定代表人授权他人参加</w:t>
      </w:r>
      <w:r>
        <w:rPr>
          <w:rFonts w:hint="eastAsia" w:ascii="仿宋" w:hAnsi="仿宋" w:eastAsia="仿宋" w:cs="仿宋"/>
          <w:b/>
          <w:bCs/>
          <w:color w:val="auto"/>
          <w:sz w:val="24"/>
          <w:szCs w:val="24"/>
          <w:shd w:val="clear" w:color="auto" w:fill="FFFFFF"/>
          <w:lang w:val="en-US" w:eastAsia="zh-CN"/>
        </w:rPr>
        <w:t>磋商</w:t>
      </w:r>
      <w:r>
        <w:rPr>
          <w:rFonts w:hint="eastAsia" w:ascii="仿宋" w:hAnsi="仿宋" w:eastAsia="仿宋" w:cs="仿宋"/>
          <w:b/>
          <w:bCs/>
          <w:color w:val="auto"/>
          <w:sz w:val="24"/>
          <w:szCs w:val="24"/>
          <w:shd w:val="clear" w:color="auto" w:fill="FFFFFF"/>
        </w:rPr>
        <w:t>的，提供法定代表人授权委托书（附法定代表人身份证复印件及被授权人身份证复印件）</w:t>
      </w:r>
      <w:r>
        <w:rPr>
          <w:rFonts w:hint="eastAsia" w:ascii="仿宋" w:hAnsi="仿宋" w:eastAsia="仿宋" w:cs="仿宋"/>
          <w:b/>
          <w:bCs/>
          <w:color w:val="auto"/>
          <w:sz w:val="24"/>
          <w:szCs w:val="24"/>
          <w:shd w:val="clear" w:color="auto" w:fill="FFFFFF"/>
          <w:lang w:val="en-US" w:eastAsia="zh-CN"/>
        </w:rPr>
        <w:t>及近一个月社保证明材料</w:t>
      </w:r>
      <w:r>
        <w:rPr>
          <w:rFonts w:hint="eastAsia" w:ascii="仿宋" w:hAnsi="仿宋" w:eastAsia="仿宋" w:cs="仿宋"/>
          <w:b/>
          <w:bCs/>
          <w:color w:val="auto"/>
          <w:sz w:val="24"/>
          <w:szCs w:val="24"/>
          <w:shd w:val="clear" w:color="auto" w:fill="FFFFFF"/>
        </w:rPr>
        <w:t>；</w:t>
      </w:r>
    </w:p>
    <w:p w14:paraId="451FBEC1">
      <w:pPr>
        <w:pStyle w:val="12"/>
        <w:adjustRightInd w:val="0"/>
        <w:snapToGrid w:val="0"/>
        <w:spacing w:line="360" w:lineRule="auto"/>
        <w:ind w:firstLine="602" w:firstLineChars="250"/>
        <w:rPr>
          <w:rFonts w:hint="eastAsia" w:ascii="仿宋" w:hAnsi="仿宋" w:eastAsia="仿宋" w:cs="仿宋"/>
          <w:b/>
          <w:bCs/>
          <w:color w:val="auto"/>
          <w:sz w:val="24"/>
          <w:szCs w:val="24"/>
          <w:shd w:val="clear" w:color="auto" w:fill="FFFFFF"/>
        </w:rPr>
      </w:pPr>
      <w:r>
        <w:rPr>
          <w:rFonts w:hint="eastAsia" w:ascii="仿宋" w:hAnsi="仿宋" w:eastAsia="仿宋" w:cs="仿宋"/>
          <w:b/>
          <w:bCs/>
          <w:color w:val="auto"/>
          <w:sz w:val="24"/>
          <w:szCs w:val="24"/>
          <w:shd w:val="clear" w:color="auto" w:fill="FFFFFF"/>
        </w:rPr>
        <w:t>3.2.2供应商应当委托本单位正式员工作为磋商代表，且磋商代表只能接受一个供应商的委托参加磋商。</w:t>
      </w:r>
    </w:p>
    <w:p w14:paraId="23000971">
      <w:pPr>
        <w:pStyle w:val="12"/>
        <w:adjustRightInd w:val="0"/>
        <w:snapToGrid w:val="0"/>
        <w:spacing w:before="120" w:beforeLines="50" w:after="120" w:afterLines="50" w:line="360" w:lineRule="auto"/>
        <w:ind w:left="-178" w:leftChars="-85" w:firstLine="176" w:firstLineChars="73"/>
        <w:rPr>
          <w:rFonts w:hint="eastAsia" w:ascii="仿宋" w:hAnsi="仿宋" w:eastAsia="仿宋" w:cs="仿宋"/>
          <w:color w:val="auto"/>
          <w:kern w:val="0"/>
          <w:sz w:val="24"/>
          <w:szCs w:val="24"/>
        </w:rPr>
      </w:pPr>
      <w:r>
        <w:rPr>
          <w:rFonts w:hint="eastAsia" w:ascii="仿宋" w:hAnsi="仿宋" w:eastAsia="仿宋" w:cs="仿宋"/>
          <w:b/>
          <w:color w:val="auto"/>
          <w:sz w:val="24"/>
          <w:szCs w:val="24"/>
        </w:rPr>
        <w:t>3.3联合体磋商</w:t>
      </w:r>
    </w:p>
    <w:p w14:paraId="4D1A1C0E">
      <w:pPr>
        <w:tabs>
          <w:tab w:val="left" w:pos="7665"/>
        </w:tabs>
        <w:spacing w:line="360" w:lineRule="auto"/>
        <w:ind w:left="13" w:leftChars="6"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本项目不允许联合投标。</w:t>
      </w:r>
    </w:p>
    <w:p w14:paraId="052EF6D2">
      <w:pPr>
        <w:adjustRightInd w:val="0"/>
        <w:snapToGrid w:val="0"/>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3.4享受的政府采购政策</w:t>
      </w:r>
    </w:p>
    <w:p w14:paraId="73D0072F">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3.4.1落实促进支持中小企业、监狱企业、残疾人福利性单位发展、脱贫攻坚工作的政策(如为专门面向中小企业的采购项目（或采购包），不执行3.4.1.1，3.4.1.2，3.4.1.3条款。)</w:t>
      </w:r>
    </w:p>
    <w:p w14:paraId="01FE4919">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3.4.1.1 《政府采购促进中小企业发展管理办法》（财库〔2020〕46号）</w:t>
      </w:r>
    </w:p>
    <w:p w14:paraId="40E7E20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在政府采购活动中，供应商提供的货物、工程或者服务符合下列情形的，享受《办法》规定的中小企业扶持政策：</w:t>
      </w:r>
    </w:p>
    <w:p w14:paraId="273F306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(一)在货物采购项目中，货物由中小企业制造，即货物由中小企业生产且使用该中小企业商号或者注册商标；</w:t>
      </w:r>
    </w:p>
    <w:p w14:paraId="0C327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(二)在工程采购项目中，工程由中小企业承建，即工程施工单位为中小企业；</w:t>
      </w:r>
    </w:p>
    <w:p w14:paraId="7BD303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(三)在服务采购项目中，服务由中小企业承接，即提供服务的人员为中小企业依照《中华人民共和国劳动法》订立劳动合同的从业人员。</w:t>
      </w:r>
    </w:p>
    <w:p w14:paraId="72655D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在货物采购项目中，供应商提供的货物既有中小企业制造货物，也有大型企业制造货物的，不享受《办法》规定的中小企业扶持政策。</w:t>
      </w:r>
    </w:p>
    <w:p w14:paraId="55BFF9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以联合体形式参加政府采购活动，联合体各方均为中小企业的，联合体视同中小企业。其中，联合体各方均为小微企业的，联合体视同小微企业。</w:t>
      </w:r>
    </w:p>
    <w:p w14:paraId="1DACFA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依据《办法》规定享受扶持政策获得政府采购合同的，小微企业不得将合同分包给大中型企业，中型企业不得将合同分包给大型企业。</w:t>
      </w:r>
    </w:p>
    <w:p w14:paraId="2229E80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21DBA4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政府采购促进中小企业发展管理办法》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5E771B5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1A500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3.4.1.2 《财政部 司法部关于政府采购支持监狱企业发展有关问题的通知》（财库〔2014〕68号） </w:t>
      </w:r>
    </w:p>
    <w:p w14:paraId="032E91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监狱企业参加政府采购活动时，应当提供由省级以上监狱管理局、戒毒管理局（含新疆生产建设兵团）出具的属于监狱企业的证明文件。在政府采购活动中，监狱企业视同小型、微型企业。</w:t>
      </w:r>
    </w:p>
    <w:p w14:paraId="3A28DB8C">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3.4.1.3 《三部门联合发布关于促进残疾人就业政府采购政策的通知》（财库〔2017〕141号）；</w:t>
      </w:r>
    </w:p>
    <w:p w14:paraId="63F97791">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2CF6C75F">
      <w:pPr>
        <w:adjustRightInd w:val="0"/>
        <w:snapToGrid w:val="0"/>
        <w:spacing w:line="360" w:lineRule="auto"/>
        <w:ind w:firstLine="723" w:firstLineChars="300"/>
        <w:rPr>
          <w:rFonts w:hint="eastAsia" w:ascii="仿宋" w:hAnsi="仿宋" w:eastAsia="仿宋" w:cs="仿宋"/>
          <w:b/>
          <w:bCs/>
          <w:color w:val="auto"/>
          <w:sz w:val="24"/>
          <w:szCs w:val="24"/>
        </w:rPr>
      </w:pPr>
      <w:r>
        <w:rPr>
          <w:rFonts w:hint="eastAsia" w:ascii="仿宋" w:hAnsi="仿宋" w:eastAsia="仿宋" w:cs="仿宋"/>
          <w:b/>
          <w:bCs/>
          <w:color w:val="auto"/>
          <w:sz w:val="24"/>
          <w:szCs w:val="24"/>
        </w:rPr>
        <w:t>3.4.1.4《财政部国务院扶贫办关于运用政府采购政策支持脱贫攻坚的通知》--（财库〔2019〕27号）</w:t>
      </w:r>
    </w:p>
    <w:p w14:paraId="382D75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财政部国务院扶贫办关于运用政府采购政策支持脱贫攻坚的通知》--（财库〔2019〕27号）各级预算单位采购农副产品的，同等条件下应优先采购贫困地区农副产品。贫困地区农副产品是指832个国家级贫困县域内注册的企业、农民专业合作社、家庭农场等出产的农副产品。</w:t>
      </w:r>
    </w:p>
    <w:p w14:paraId="5C0F65DF">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各级预算单位使用财政性资金采购物业服务的，有条件的应当优先采购注册地在832个国家级贫困县域内，且聘用建档立卡贫困人员物业公司提供的物业服务。</w:t>
      </w:r>
    </w:p>
    <w:p w14:paraId="6013AA78">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3.4.2落实优先采购节能、环保产品的政策</w:t>
      </w:r>
    </w:p>
    <w:p w14:paraId="040C425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3.4.2.1 根据《财政部 国家发展改革委关于印发〈节能产品政府采购实施意见〉的通知》（财库〔2004〕185号）规定“政府采购属于节能产品品目清单的，在技术、服务等指标同等条件下，应当优先采购节能品目清单的节能产品。”</w:t>
      </w:r>
    </w:p>
    <w:p w14:paraId="713DA22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37C8DD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6206183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2002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所有投标产品进入 “节能产品政府采购品目清单”的，应提供相关证书复印件，相关证书的颁发机构应来自《参与实施政府采购节能产品认证机构名录》。</w:t>
      </w:r>
    </w:p>
    <w:p w14:paraId="5C706D00">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所有投标产品进入“环境标志产品政府采购品目清单”的，应提供相关证书复印件，相关证书的颁发机构应来自《参与实施政府采购环境标志产品认证机构名录》。</w:t>
      </w:r>
    </w:p>
    <w:p w14:paraId="5D7F00F6">
      <w:pPr>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3.4.2.5  享受中小企业扶持政策的供应商，可以同时享受节能产品、环境标志产品优先采购政策。</w:t>
      </w:r>
    </w:p>
    <w:p w14:paraId="49A12FA2">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3.4.3政府采购信用融资政策</w:t>
      </w:r>
    </w:p>
    <w:p w14:paraId="17BA8ED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http://www.ccgp-shaanxi.gov.cn/zcdservice/zcd/shanxi/）”查询并办理相关业务。</w:t>
      </w:r>
    </w:p>
    <w:p w14:paraId="55A4525A">
      <w:pPr>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color w:val="auto"/>
          <w:sz w:val="24"/>
          <w:szCs w:val="24"/>
        </w:rPr>
        <w:t>3.4.4 供应商提供的《中小企业声明函》或者《残疾人福利性单位声明函》存在明显错误的，磋商小组可以按照第三章第1.3条款的规定，要求供应商作出澄清；澄清后，符合小微企业条件的，供应商可以享受价格扣除优惠政策；否则，不享受价格扣除优惠政策</w:t>
      </w:r>
      <w:r>
        <w:rPr>
          <w:rFonts w:hint="eastAsia" w:ascii="仿宋" w:hAnsi="仿宋" w:eastAsia="仿宋" w:cs="仿宋"/>
          <w:color w:val="auto"/>
          <w:sz w:val="24"/>
          <w:szCs w:val="24"/>
        </w:rPr>
        <w:t>。</w:t>
      </w:r>
    </w:p>
    <w:p w14:paraId="0A564C69">
      <w:pPr>
        <w:pStyle w:val="12"/>
        <w:adjustRightInd w:val="0"/>
        <w:snapToGrid w:val="0"/>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3.4.5 政府采购监督检查、投诉处理及政府采购行政处罚中对中小企业的认定，由服务商注册登记所在地的县级以上人民政府中小企业主管部门负责。</w:t>
      </w:r>
    </w:p>
    <w:p w14:paraId="6C3226C5">
      <w:pPr>
        <w:widowControl/>
        <w:spacing w:before="120" w:beforeLines="50" w:after="120" w:afterLines="50" w:line="360" w:lineRule="auto"/>
        <w:jc w:val="left"/>
        <w:rPr>
          <w:rFonts w:hint="eastAsia" w:ascii="仿宋" w:hAnsi="仿宋" w:eastAsia="仿宋" w:cs="仿宋"/>
          <w:b/>
          <w:bCs/>
          <w:color w:val="auto"/>
          <w:kern w:val="0"/>
          <w:sz w:val="24"/>
          <w:szCs w:val="24"/>
        </w:rPr>
      </w:pPr>
      <w:r>
        <w:rPr>
          <w:rFonts w:hint="eastAsia" w:ascii="仿宋" w:hAnsi="仿宋" w:eastAsia="仿宋" w:cs="仿宋"/>
          <w:b/>
          <w:bCs/>
          <w:color w:val="auto"/>
          <w:sz w:val="24"/>
          <w:szCs w:val="24"/>
        </w:rPr>
        <w:t>3.5</w:t>
      </w:r>
      <w:r>
        <w:rPr>
          <w:rFonts w:hint="eastAsia" w:ascii="仿宋" w:hAnsi="仿宋" w:eastAsia="仿宋" w:cs="仿宋"/>
          <w:b/>
          <w:bCs/>
          <w:color w:val="auto"/>
          <w:kern w:val="0"/>
          <w:sz w:val="24"/>
          <w:szCs w:val="24"/>
        </w:rPr>
        <w:t>转包与分包</w:t>
      </w:r>
    </w:p>
    <w:p w14:paraId="5B1AFFB6">
      <w:pPr>
        <w:widowControl/>
        <w:snapToGrid w:val="0"/>
        <w:spacing w:line="360" w:lineRule="auto"/>
        <w:ind w:firstLine="480" w:firstLineChars="200"/>
        <w:jc w:val="left"/>
        <w:rPr>
          <w:rFonts w:hint="eastAsia" w:ascii="仿宋" w:hAnsi="仿宋" w:eastAsia="仿宋" w:cs="仿宋"/>
          <w:b/>
          <w:bCs/>
          <w:color w:val="auto"/>
          <w:kern w:val="0"/>
          <w:sz w:val="24"/>
          <w:szCs w:val="24"/>
        </w:rPr>
      </w:pPr>
      <w:r>
        <w:rPr>
          <w:rFonts w:hint="eastAsia" w:ascii="仿宋" w:hAnsi="仿宋" w:eastAsia="仿宋" w:cs="仿宋"/>
          <w:color w:val="auto"/>
          <w:sz w:val="24"/>
          <w:szCs w:val="24"/>
        </w:rPr>
        <w:t xml:space="preserve">3.5.1 </w:t>
      </w:r>
      <w:r>
        <w:rPr>
          <w:rFonts w:hint="eastAsia" w:ascii="仿宋" w:hAnsi="仿宋" w:eastAsia="仿宋" w:cs="仿宋"/>
          <w:color w:val="auto"/>
          <w:kern w:val="0"/>
          <w:sz w:val="24"/>
          <w:szCs w:val="24"/>
        </w:rPr>
        <w:t>本项目严禁采取转包或分包方式履行合同。本项项目所称转包，是指中标人将政府采购合同业务转让给第三人，并退出现有政府采购合同当事人双方权利业务关系，受让人（即第三人）成为政府采购合同的另一方当事人的行为。</w:t>
      </w:r>
    </w:p>
    <w:p w14:paraId="72BF00F7">
      <w:pPr>
        <w:widowControl/>
        <w:snapToGrid w:val="0"/>
        <w:spacing w:line="360" w:lineRule="auto"/>
        <w:ind w:firstLine="482"/>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成交供应商</w:t>
      </w:r>
      <w:r>
        <w:rPr>
          <w:rFonts w:hint="eastAsia" w:ascii="仿宋" w:hAnsi="仿宋" w:eastAsia="仿宋" w:cs="仿宋"/>
          <w:color w:val="auto"/>
          <w:kern w:val="0"/>
          <w:sz w:val="24"/>
          <w:szCs w:val="24"/>
        </w:rPr>
        <w:t>转包的，视同拒绝履行政府采购合同业务，将依法追究法律责任。</w:t>
      </w:r>
    </w:p>
    <w:p w14:paraId="4E903B09">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3.5.2 </w:t>
      </w:r>
      <w:r>
        <w:rPr>
          <w:rFonts w:hint="eastAsia" w:ascii="仿宋" w:hAnsi="仿宋" w:eastAsia="仿宋" w:cs="仿宋"/>
          <w:color w:val="auto"/>
          <w:sz w:val="24"/>
          <w:szCs w:val="24"/>
        </w:rPr>
        <w:t>享受中小企业扶持政策获得政府采购合同的，小微企业不得将合同分包给大中型企业。否则，将依法追究法律责任。</w:t>
      </w:r>
    </w:p>
    <w:p w14:paraId="606063D8">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3.5.3供应商须知前附表规定允许大中型企业向小微企业分包的，成交供应商可以将采购项目分包给小微企业完成，并在响应文件中提供分包意向协议。</w:t>
      </w:r>
    </w:p>
    <w:p w14:paraId="627ADF27">
      <w:pPr>
        <w:spacing w:line="360" w:lineRule="auto"/>
        <w:ind w:firstLine="480" w:firstLineChars="200"/>
        <w:rPr>
          <w:rFonts w:hint="eastAsia" w:ascii="仿宋" w:hAnsi="仿宋" w:eastAsia="仿宋" w:cs="仿宋"/>
          <w:b/>
          <w:bCs/>
          <w:color w:val="auto"/>
          <w:kern w:val="0"/>
          <w:sz w:val="24"/>
          <w:szCs w:val="24"/>
        </w:rPr>
      </w:pPr>
      <w:r>
        <w:rPr>
          <w:rFonts w:hint="eastAsia" w:ascii="仿宋" w:hAnsi="仿宋" w:eastAsia="仿宋" w:cs="仿宋"/>
          <w:color w:val="auto"/>
          <w:kern w:val="0"/>
          <w:sz w:val="24"/>
          <w:szCs w:val="24"/>
        </w:rPr>
        <w:t>接受分包的供应商不得再次分包。</w:t>
      </w:r>
      <w:r>
        <w:rPr>
          <w:rFonts w:hint="eastAsia" w:ascii="仿宋" w:hAnsi="仿宋" w:eastAsia="仿宋" w:cs="仿宋"/>
          <w:color w:val="auto"/>
          <w:sz w:val="24"/>
          <w:szCs w:val="24"/>
        </w:rPr>
        <w:t>采购合同实行分包履行的，成交供应商就采购项目和分包项目向采购人负责，分包供应商就分包项目承担责任。</w:t>
      </w:r>
    </w:p>
    <w:p w14:paraId="216A9179">
      <w:pPr>
        <w:widowControl/>
        <w:spacing w:before="120" w:beforeLines="50" w:after="120" w:afterLines="50" w:line="360" w:lineRule="auto"/>
        <w:jc w:val="left"/>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rPr>
        <w:t>3.6 供应商的风险</w:t>
      </w:r>
    </w:p>
    <w:p w14:paraId="2023D35A">
      <w:pPr>
        <w:tabs>
          <w:tab w:val="left" w:pos="7665"/>
        </w:tabs>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供应商应认真阅读和充分理解磋商文件中所有的事项、格式条款和规范要求，任何对</w:t>
      </w:r>
      <w:r>
        <w:rPr>
          <w:rFonts w:hint="eastAsia" w:ascii="仿宋" w:hAnsi="仿宋" w:eastAsia="仿宋" w:cs="仿宋"/>
          <w:bCs/>
          <w:color w:val="auto"/>
          <w:sz w:val="24"/>
          <w:szCs w:val="24"/>
        </w:rPr>
        <w:t>磋商</w:t>
      </w:r>
      <w:r>
        <w:rPr>
          <w:rFonts w:hint="eastAsia" w:ascii="仿宋" w:hAnsi="仿宋" w:eastAsia="仿宋" w:cs="仿宋"/>
          <w:color w:val="auto"/>
          <w:sz w:val="24"/>
          <w:szCs w:val="24"/>
        </w:rPr>
        <w:t>文件的忽略或误解不能作为响应文件存在缺陷或瑕疵的理由；供应商</w:t>
      </w:r>
      <w:r>
        <w:rPr>
          <w:rFonts w:hint="eastAsia" w:ascii="仿宋" w:hAnsi="仿宋" w:eastAsia="仿宋" w:cs="仿宋"/>
          <w:color w:val="auto"/>
          <w:kern w:val="0"/>
          <w:sz w:val="24"/>
          <w:szCs w:val="24"/>
        </w:rPr>
        <w:t>没有按照磋商文件要求提供全部资料，</w:t>
      </w:r>
      <w:r>
        <w:rPr>
          <w:rFonts w:hint="eastAsia" w:ascii="仿宋" w:hAnsi="仿宋" w:eastAsia="仿宋" w:cs="仿宋"/>
          <w:color w:val="auto"/>
          <w:sz w:val="24"/>
          <w:szCs w:val="24"/>
        </w:rPr>
        <w:t>或对磋商文件未全面做出实质性响应是供应商的风险，</w:t>
      </w:r>
      <w:r>
        <w:rPr>
          <w:rFonts w:hint="eastAsia" w:ascii="仿宋" w:hAnsi="仿宋" w:eastAsia="仿宋" w:cs="仿宋"/>
          <w:color w:val="auto"/>
          <w:kern w:val="0"/>
          <w:sz w:val="24"/>
          <w:szCs w:val="24"/>
        </w:rPr>
        <w:t>并可能导致其响应文件被拒绝。</w:t>
      </w:r>
    </w:p>
    <w:p w14:paraId="2CBD6C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3.7供应商的纪律要求</w:t>
      </w:r>
    </w:p>
    <w:p w14:paraId="70EF7A27">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3.7.1 有下列情形之一的，属于不合格供应商，其磋商或成交资格将被取消：</w:t>
      </w:r>
    </w:p>
    <w:p w14:paraId="1644F0C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（1）提供虚假材料谋取成交资格；</w:t>
      </w:r>
    </w:p>
    <w:p w14:paraId="4188FA18">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（2）提供假冒伪劣产品；</w:t>
      </w:r>
    </w:p>
    <w:p w14:paraId="4682C652">
      <w:pPr>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（3）采取不正当手段诋毁、排挤其他供应商；</w:t>
      </w:r>
    </w:p>
    <w:p w14:paraId="151759A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（4）与采购人、采购代理机构、其他供应商恶意串通；</w:t>
      </w:r>
    </w:p>
    <w:p w14:paraId="4E5393A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（5）向采购人、采购代理机构、磋商小组成员行贿或者提供其他不正当利益；</w:t>
      </w:r>
    </w:p>
    <w:p w14:paraId="67755152">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（6）拒绝有关部门的监督检查或者向监督检查部门提供虚假情况；</w:t>
      </w:r>
    </w:p>
    <w:p w14:paraId="5ADEA606">
      <w:pPr>
        <w:pStyle w:val="13"/>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（7）法律法规规定的其他情形。</w:t>
      </w:r>
    </w:p>
    <w:p w14:paraId="15F40B9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3.7.2有下列情形之一的，视为供应商相互恶意串通磋商响应，其响应文件无效：</w:t>
      </w:r>
    </w:p>
    <w:p w14:paraId="330256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（1）不同供应商的响应文件由同一单位或者个人编制；</w:t>
      </w:r>
    </w:p>
    <w:p w14:paraId="12BEBBB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（2）不同供应商委托同一单位或者个人办理磋商事宜；</w:t>
      </w:r>
    </w:p>
    <w:p w14:paraId="2AD5E74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（3）不同供应商的响应文件载明的项目管理成员为同一人；</w:t>
      </w:r>
    </w:p>
    <w:p w14:paraId="77D108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（4）不同供应商的响应文件异常一致或者磋商报价呈规律性差异；</w:t>
      </w:r>
    </w:p>
    <w:p w14:paraId="02D2D5E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（5）不同供应商的响应文件相互混装；</w:t>
      </w:r>
    </w:p>
    <w:p w14:paraId="0F7279C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（6）不同供应商的响应文件由同一单位送达。</w:t>
      </w:r>
    </w:p>
    <w:p w14:paraId="78233729">
      <w:pPr>
        <w:spacing w:line="240" w:lineRule="auto"/>
        <w:outlineLvl w:val="9"/>
        <w:rPr>
          <w:rFonts w:hint="eastAsia" w:ascii="仿宋" w:hAnsi="仿宋" w:eastAsia="仿宋" w:cs="仿宋"/>
          <w:b w:val="0"/>
          <w:color w:val="auto"/>
          <w:kern w:val="0"/>
          <w:sz w:val="24"/>
          <w:szCs w:val="24"/>
        </w:rPr>
      </w:pPr>
      <w:bookmarkStart w:id="67" w:name="_Toc18157"/>
      <w:r>
        <w:rPr>
          <w:rFonts w:hint="eastAsia" w:ascii="仿宋" w:hAnsi="仿宋" w:eastAsia="仿宋" w:cs="仿宋"/>
          <w:b w:val="0"/>
          <w:color w:val="auto"/>
          <w:sz w:val="24"/>
          <w:szCs w:val="24"/>
        </w:rPr>
        <w:t>4.响应文件</w:t>
      </w:r>
      <w:bookmarkEnd w:id="67"/>
    </w:p>
    <w:p w14:paraId="67818B71">
      <w:pPr>
        <w:spacing w:line="360" w:lineRule="auto"/>
        <w:rPr>
          <w:rFonts w:hint="eastAsia" w:ascii="仿宋" w:hAnsi="仿宋" w:eastAsia="仿宋" w:cs="仿宋"/>
          <w:b/>
          <w:bCs/>
          <w:color w:val="auto"/>
          <w:sz w:val="24"/>
          <w:szCs w:val="24"/>
        </w:rPr>
      </w:pPr>
      <w:bookmarkStart w:id="68" w:name="_Toc18074969"/>
      <w:r>
        <w:rPr>
          <w:rFonts w:hint="eastAsia" w:ascii="仿宋" w:hAnsi="仿宋" w:eastAsia="仿宋" w:cs="仿宋"/>
          <w:b/>
          <w:bCs/>
          <w:color w:val="auto"/>
          <w:sz w:val="24"/>
          <w:szCs w:val="24"/>
        </w:rPr>
        <w:t>4.1 响应文件的编写原则和要求</w:t>
      </w:r>
      <w:bookmarkEnd w:id="68"/>
    </w:p>
    <w:p w14:paraId="44B488DF">
      <w:pPr>
        <w:tabs>
          <w:tab w:val="left" w:pos="720"/>
        </w:tabs>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4.1.1供应商应仔细阅读磋商文件的所有内容，按照磋商文件规定及要求编写，应当对磋商文件提出的实质性要求做出响应，并提交完整的响应文件。供应商应对采购的货物和服务提供完整详细的技术说明，若供应商对指定的技术要求不能完全响应，应在响应文件中清楚地注明。供应商对本磋商文件的每一项要求所给予的响应必须是唯一的，否则将视为无效响应文件。</w:t>
      </w:r>
    </w:p>
    <w:bookmarkEnd w:id="60"/>
    <w:bookmarkEnd w:id="61"/>
    <w:bookmarkEnd w:id="62"/>
    <w:p w14:paraId="46549142">
      <w:pPr>
        <w:tabs>
          <w:tab w:val="left" w:pos="720"/>
        </w:tabs>
        <w:snapToGrid w:val="0"/>
        <w:spacing w:line="360" w:lineRule="auto"/>
        <w:ind w:firstLine="482" w:firstLineChars="200"/>
        <w:rPr>
          <w:rFonts w:hint="eastAsia" w:ascii="仿宋" w:hAnsi="仿宋" w:eastAsia="仿宋" w:cs="仿宋"/>
          <w:b/>
          <w:color w:val="auto"/>
          <w:sz w:val="24"/>
          <w:szCs w:val="24"/>
        </w:rPr>
      </w:pPr>
      <w:bookmarkStart w:id="69" w:name="_Toc183682354"/>
      <w:bookmarkStart w:id="70" w:name="_Toc217446048"/>
      <w:bookmarkStart w:id="71" w:name="_Toc183582217"/>
      <w:r>
        <w:rPr>
          <w:rFonts w:hint="eastAsia" w:ascii="仿宋" w:hAnsi="仿宋" w:eastAsia="仿宋" w:cs="仿宋"/>
          <w:b/>
          <w:color w:val="auto"/>
          <w:sz w:val="24"/>
          <w:szCs w:val="24"/>
        </w:rPr>
        <w:t>4.1.2 真实性原则</w:t>
      </w:r>
    </w:p>
    <w:p w14:paraId="12995962">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4.1.2.1 供应商应保证所提供的响应文件和所有资料的真实性、准确性和完整性。</w:t>
      </w:r>
    </w:p>
    <w:p w14:paraId="31B8E2B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4.1.2.2 供应商被认定为在政府采购活动中提供不真实材料的，无论其材料是否重要，采购人均有权拒绝，并取消其磋商或成交资格，供应商需承担相应的法律后果。</w:t>
      </w:r>
    </w:p>
    <w:p w14:paraId="4A39C386">
      <w:pPr>
        <w:tabs>
          <w:tab w:val="left" w:pos="720"/>
        </w:tabs>
        <w:snapToGrid w:val="0"/>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4.1.3 报价使用货币</w:t>
      </w:r>
    </w:p>
    <w:p w14:paraId="531EB039">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本项目的报价均以人民币报价。</w:t>
      </w:r>
    </w:p>
    <w:p w14:paraId="4310BB6C">
      <w:pPr>
        <w:tabs>
          <w:tab w:val="left" w:pos="720"/>
        </w:tabs>
        <w:snapToGrid w:val="0"/>
        <w:spacing w:line="360" w:lineRule="auto"/>
        <w:ind w:firstLine="484" w:firstLineChars="201"/>
        <w:rPr>
          <w:rFonts w:hint="eastAsia" w:ascii="仿宋" w:hAnsi="仿宋" w:eastAsia="仿宋" w:cs="仿宋"/>
          <w:b/>
          <w:color w:val="auto"/>
          <w:sz w:val="24"/>
          <w:szCs w:val="24"/>
        </w:rPr>
      </w:pPr>
      <w:r>
        <w:rPr>
          <w:rFonts w:hint="eastAsia" w:ascii="仿宋" w:hAnsi="仿宋" w:eastAsia="仿宋" w:cs="仿宋"/>
          <w:b/>
          <w:color w:val="auto"/>
          <w:sz w:val="24"/>
          <w:szCs w:val="24"/>
        </w:rPr>
        <w:t>4.1.4 响应文件形式</w:t>
      </w:r>
    </w:p>
    <w:p w14:paraId="1CD92914">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本项目响应文件应采用书面文件形式，电报、传真、电子邮件形式的响应文件不予接受。</w:t>
      </w:r>
    </w:p>
    <w:p w14:paraId="3D51630A">
      <w:pPr>
        <w:tabs>
          <w:tab w:val="left" w:pos="720"/>
        </w:tabs>
        <w:snapToGrid w:val="0"/>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4.1.5 备选方案</w:t>
      </w:r>
    </w:p>
    <w:p w14:paraId="7CFF7D7A">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4.1.5.1 除供应商须知前附表规定允许外，供应商不得递交备选响应方案，响应文件的报价只允许有一个报价，不接受具有附加条件的报价，否则，视为无效响应文件。</w:t>
      </w:r>
    </w:p>
    <w:p w14:paraId="095A7135">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4.1.5.2 允许供应商递交备选响应方案的，只有成交供应商所递交的备选响应方案方可予以考虑。磋商小组认为成交供应商的备选响应方案优于其按照磋商文件要求编制的响应方案的，采购人可以接受该备选方案。</w:t>
      </w:r>
    </w:p>
    <w:p w14:paraId="3460A8BC">
      <w:pPr>
        <w:tabs>
          <w:tab w:val="left" w:pos="720"/>
        </w:tabs>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4.1.5.3 供应商提供两个或两个以上磋商报价，或者在响应文件中提供一个磋商报价，但同时提供两个或两个以上</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方案的，视为提供备选方案。</w:t>
      </w:r>
    </w:p>
    <w:p w14:paraId="5091368C">
      <w:pPr>
        <w:tabs>
          <w:tab w:val="left" w:pos="720"/>
        </w:tabs>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4.2 响应文件的组成</w:t>
      </w:r>
    </w:p>
    <w:p w14:paraId="0FD00E8B">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4.2.1响应文件由下列文件组成：</w:t>
      </w:r>
    </w:p>
    <w:p w14:paraId="207EB6CA">
      <w:pPr>
        <w:tabs>
          <w:tab w:val="left" w:pos="2730"/>
        </w:tabs>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（1）资格审查部分；</w:t>
      </w:r>
      <w:r>
        <w:rPr>
          <w:rFonts w:hint="eastAsia" w:ascii="仿宋" w:hAnsi="仿宋" w:eastAsia="仿宋" w:cs="仿宋"/>
          <w:color w:val="auto"/>
          <w:sz w:val="24"/>
          <w:szCs w:val="24"/>
        </w:rPr>
        <w:tab/>
      </w:r>
    </w:p>
    <w:p w14:paraId="4883E9B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（2）商务与技术部分。</w:t>
      </w:r>
    </w:p>
    <w:p w14:paraId="4052ABB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4.2.2 资格审查部分包括本章第3.1.1条款内容。</w:t>
      </w:r>
    </w:p>
    <w:p w14:paraId="1B315257">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4.2.3 商务与技术部分主要包括下列内容：</w:t>
      </w:r>
    </w:p>
    <w:bookmarkEnd w:id="69"/>
    <w:bookmarkEnd w:id="70"/>
    <w:bookmarkEnd w:id="71"/>
    <w:p w14:paraId="1B64B377">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（1）竞争性磋商响应函；</w:t>
      </w:r>
    </w:p>
    <w:p w14:paraId="65229DC2">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（2）磋商报价一览表</w:t>
      </w:r>
    </w:p>
    <w:p w14:paraId="2D1BD18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技术方案</w:t>
      </w:r>
    </w:p>
    <w:p w14:paraId="675DC777">
      <w:pPr>
        <w:spacing w:line="360" w:lineRule="auto"/>
        <w:ind w:left="527" w:leftChars="236" w:hanging="31" w:hangingChars="13"/>
        <w:rPr>
          <w:rFonts w:hint="eastAsia" w:ascii="仿宋" w:hAnsi="仿宋" w:eastAsia="仿宋" w:cs="仿宋"/>
          <w:color w:val="auto"/>
          <w:sz w:val="24"/>
          <w:szCs w:val="24"/>
        </w:rPr>
      </w:pPr>
      <w:r>
        <w:rPr>
          <w:rFonts w:hint="eastAsia" w:ascii="仿宋" w:hAnsi="仿宋" w:eastAsia="仿宋" w:cs="仿宋"/>
          <w:color w:val="auto"/>
          <w:sz w:val="24"/>
          <w:szCs w:val="24"/>
        </w:rPr>
        <w:t>（4）商务条款偏离表</w:t>
      </w:r>
    </w:p>
    <w:p w14:paraId="1CBB3474">
      <w:pPr>
        <w:spacing w:line="360" w:lineRule="auto"/>
        <w:ind w:left="508" w:leftChars="226" w:hanging="33" w:hangingChars="1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（5）</w:t>
      </w:r>
      <w:r>
        <w:rPr>
          <w:rFonts w:hint="eastAsia" w:ascii="仿宋" w:hAnsi="仿宋" w:eastAsia="仿宋" w:cs="仿宋"/>
          <w:color w:val="auto"/>
          <w:sz w:val="24"/>
          <w:szCs w:val="24"/>
          <w:lang w:val="en-US" w:eastAsia="zh-CN"/>
        </w:rPr>
        <w:t>履约能力</w:t>
      </w:r>
    </w:p>
    <w:p w14:paraId="2EBA4B76">
      <w:pPr>
        <w:spacing w:line="360" w:lineRule="auto"/>
        <w:ind w:left="508" w:leftChars="226" w:hanging="33" w:hangingChars="14"/>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）供应商认为需要提供的其他文件和资料</w:t>
      </w:r>
    </w:p>
    <w:p w14:paraId="13243572">
      <w:pPr>
        <w:spacing w:line="360" w:lineRule="auto"/>
        <w:ind w:left="508" w:leftChars="226" w:hanging="33" w:hangingChars="14"/>
        <w:rPr>
          <w:rFonts w:hint="eastAsia" w:ascii="仿宋" w:hAnsi="仿宋" w:eastAsia="仿宋" w:cs="仿宋"/>
          <w:b/>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）陕西省政府采购供应商拒绝政府采购领域商业贿赂承诺书</w:t>
      </w:r>
    </w:p>
    <w:p w14:paraId="742A50F8">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4.3磋商报价</w:t>
      </w:r>
    </w:p>
    <w:p w14:paraId="27AA8B8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 xml:space="preserve">4.3.1 </w:t>
      </w:r>
      <w:r>
        <w:rPr>
          <w:rFonts w:hint="eastAsia" w:ascii="仿宋" w:hAnsi="仿宋" w:eastAsia="仿宋" w:cs="仿宋"/>
          <w:bCs/>
          <w:color w:val="auto"/>
          <w:sz w:val="24"/>
          <w:szCs w:val="24"/>
        </w:rPr>
        <w:t>供应商应当</w:t>
      </w:r>
      <w:r>
        <w:rPr>
          <w:rFonts w:hint="eastAsia" w:ascii="仿宋" w:hAnsi="仿宋" w:eastAsia="仿宋" w:cs="仿宋"/>
          <w:color w:val="auto"/>
          <w:sz w:val="24"/>
          <w:szCs w:val="24"/>
        </w:rPr>
        <w:t>按照磋商文件要求进行磋商报价，并充分了解本采购项目的总体情况以及影响磋商报价的其他要素。</w:t>
      </w:r>
    </w:p>
    <w:p w14:paraId="544A30C1">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4.3.2供应商的磋商报价是供应商响应磋商项目要求的全部工作内容的价格体现，包括供应商完成本项目所需的人工费、设备费、管理费、验收费、利润和税金等全部费用。在提供服务的过程中的任何遗漏，均由成交供应商免费提供，采购人将不再支付任何费用。</w:t>
      </w:r>
    </w:p>
    <w:p w14:paraId="6CD7CEA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4.3.3 </w:t>
      </w:r>
      <w:r>
        <w:rPr>
          <w:rFonts w:hint="eastAsia" w:ascii="仿宋" w:hAnsi="仿宋" w:eastAsia="仿宋" w:cs="仿宋"/>
          <w:b/>
          <w:color w:val="auto"/>
          <w:sz w:val="24"/>
          <w:szCs w:val="24"/>
        </w:rPr>
        <w:t>本项目将根据磋商的具体情况来确定磋商轮次，最终一轮磋商报价为最后报价</w:t>
      </w:r>
      <w:r>
        <w:rPr>
          <w:rFonts w:hint="eastAsia" w:ascii="仿宋" w:hAnsi="仿宋" w:eastAsia="仿宋" w:cs="仿宋"/>
          <w:color w:val="auto"/>
          <w:sz w:val="24"/>
          <w:szCs w:val="24"/>
        </w:rPr>
        <w:t>。</w:t>
      </w:r>
    </w:p>
    <w:p w14:paraId="2A80AE1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4.3.4 供应商的各轮次磋商报价不得超过供应商</w:t>
      </w:r>
      <w:r>
        <w:rPr>
          <w:rFonts w:hint="eastAsia" w:ascii="仿宋" w:hAnsi="仿宋" w:eastAsia="仿宋" w:cs="仿宋"/>
          <w:b/>
          <w:color w:val="auto"/>
          <w:sz w:val="24"/>
          <w:szCs w:val="24"/>
        </w:rPr>
        <w:t>须知前附表规定的</w:t>
      </w:r>
      <w:r>
        <w:rPr>
          <w:rFonts w:hint="eastAsia" w:ascii="仿宋" w:hAnsi="仿宋" w:eastAsia="仿宋" w:cs="仿宋"/>
          <w:color w:val="auto"/>
          <w:sz w:val="24"/>
          <w:szCs w:val="24"/>
        </w:rPr>
        <w:t>预算金额，否则，作为不实质性响应磋商文件，按无效响应文件处理；</w:t>
      </w:r>
      <w:r>
        <w:rPr>
          <w:rFonts w:hint="eastAsia" w:ascii="仿宋" w:hAnsi="仿宋" w:eastAsia="仿宋" w:cs="仿宋"/>
          <w:b/>
          <w:color w:val="auto"/>
          <w:sz w:val="24"/>
          <w:szCs w:val="24"/>
        </w:rPr>
        <w:t>供应商须知前附表设定</w:t>
      </w:r>
      <w:r>
        <w:rPr>
          <w:rFonts w:hint="eastAsia" w:ascii="仿宋" w:hAnsi="仿宋" w:eastAsia="仿宋" w:cs="仿宋"/>
          <w:color w:val="auto"/>
          <w:sz w:val="24"/>
          <w:szCs w:val="24"/>
        </w:rPr>
        <w:t>了最高限价的，供应商的各轮次磋商报价也不得超过最高限价，否则，作为不实质性响应磋商文件，按无效响应文件处理。</w:t>
      </w:r>
    </w:p>
    <w:p w14:paraId="4B229864">
      <w:pPr>
        <w:adjustRightInd w:val="0"/>
        <w:snapToGrid w:val="0"/>
        <w:spacing w:line="360" w:lineRule="auto"/>
        <w:ind w:firstLine="480" w:firstLineChars="200"/>
        <w:rPr>
          <w:rFonts w:ascii="宋体" w:hAnsi="宋体" w:cs="宋体"/>
          <w:color w:val="auto"/>
          <w:kern w:val="0"/>
          <w:szCs w:val="21"/>
        </w:rPr>
      </w:pPr>
      <w:r>
        <w:rPr>
          <w:rFonts w:hint="eastAsia" w:ascii="仿宋" w:hAnsi="仿宋" w:eastAsia="仿宋" w:cs="仿宋"/>
          <w:color w:val="auto"/>
          <w:sz w:val="24"/>
          <w:szCs w:val="24"/>
        </w:rPr>
        <w:t>4.3.5 供应商</w:t>
      </w:r>
      <w:r>
        <w:rPr>
          <w:rFonts w:hint="eastAsia" w:ascii="仿宋" w:hAnsi="仿宋" w:eastAsia="仿宋" w:cs="仿宋"/>
          <w:color w:val="auto"/>
          <w:kern w:val="0"/>
          <w:sz w:val="24"/>
          <w:szCs w:val="24"/>
        </w:rPr>
        <w:t>应按</w:t>
      </w:r>
      <w:r>
        <w:rPr>
          <w:rFonts w:hint="eastAsia" w:ascii="仿宋" w:hAnsi="仿宋" w:eastAsia="仿宋" w:cs="仿宋"/>
          <w:color w:val="auto"/>
          <w:sz w:val="24"/>
          <w:szCs w:val="24"/>
        </w:rPr>
        <w:t>“磋商报价一览表”</w:t>
      </w:r>
      <w:r>
        <w:rPr>
          <w:rFonts w:hint="eastAsia" w:ascii="仿宋" w:hAnsi="仿宋" w:eastAsia="仿宋" w:cs="仿宋"/>
          <w:color w:val="auto"/>
          <w:kern w:val="0"/>
          <w:sz w:val="24"/>
          <w:szCs w:val="24"/>
        </w:rPr>
        <w:t>的内容</w:t>
      </w:r>
      <w:r>
        <w:rPr>
          <w:rFonts w:hint="eastAsia" w:ascii="仿宋" w:hAnsi="仿宋" w:eastAsia="仿宋" w:cs="仿宋"/>
          <w:color w:val="auto"/>
          <w:sz w:val="24"/>
          <w:szCs w:val="24"/>
        </w:rPr>
        <w:t>和格式要求填写各项服务的分项价格和总价。磋商报价为各分项报价金额之和。磋商报价与分项报价的合价不一致的，应以各分项合价累计数为准，修正磋商报价；如分项报价中存在遗漏项，视为缺项价格已包含在其他分项报价之中。</w:t>
      </w:r>
    </w:p>
    <w:p w14:paraId="1BE42229">
      <w:pPr>
        <w:adjustRightInd w:val="0"/>
        <w:snapToGrid w:val="0"/>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kern w:val="0"/>
          <w:sz w:val="24"/>
          <w:szCs w:val="24"/>
        </w:rPr>
        <w:t xml:space="preserve">4.3.6 </w:t>
      </w:r>
      <w:r>
        <w:rPr>
          <w:rFonts w:hint="eastAsia" w:ascii="仿宋" w:hAnsi="仿宋" w:eastAsia="仿宋" w:cs="仿宋"/>
          <w:b/>
          <w:color w:val="auto"/>
          <w:kern w:val="0"/>
          <w:sz w:val="24"/>
          <w:szCs w:val="24"/>
        </w:rPr>
        <w:t>供应商除首次磋商报价外，其余轮次报价只报总价，不报分项价格，由供应商法定代表人签字或者委托代理人签字或者加盖单位章确认。由委托代理人签字的，应附法人代表授权委托书；供应商为自然人的，应当由本人签字。</w:t>
      </w:r>
    </w:p>
    <w:p w14:paraId="649AFDA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4.3.7 成交后供应商不得擅自改变</w:t>
      </w:r>
      <w:r>
        <w:rPr>
          <w:rFonts w:hint="eastAsia" w:ascii="仿宋" w:hAnsi="仿宋" w:eastAsia="仿宋" w:cs="仿宋"/>
          <w:color w:val="auto"/>
          <w:sz w:val="24"/>
          <w:szCs w:val="24"/>
          <w:lang w:val="en-US" w:eastAsia="zh-CN"/>
        </w:rPr>
        <w:t>工程</w:t>
      </w:r>
      <w:r>
        <w:rPr>
          <w:rFonts w:hint="eastAsia" w:ascii="仿宋" w:hAnsi="仿宋" w:eastAsia="仿宋" w:cs="仿宋"/>
          <w:color w:val="auto"/>
          <w:sz w:val="24"/>
          <w:szCs w:val="24"/>
        </w:rPr>
        <w:t>内容、</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标准、</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和追加项目预算。磋商报价在合同履行过程中是固定不变的，任何有选择或可调整的报价将不予接受，并按无效响应文件处理。</w:t>
      </w:r>
    </w:p>
    <w:p w14:paraId="4CE3DB06">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4.3.8 采购人不接受供应商给予的赠品、回扣或者与采购无关的其他商品、服务。如有赠与行为，其响应文件无效。</w:t>
      </w:r>
    </w:p>
    <w:p w14:paraId="43F33E77">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4.4磋商有效期</w:t>
      </w:r>
    </w:p>
    <w:p w14:paraId="7294937B">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4.4.1磋商有效期见供应商须知前附表。在此期间响应文件对供应商具有法律约束力，从</w:t>
      </w:r>
      <w:r>
        <w:rPr>
          <w:rFonts w:hint="eastAsia" w:ascii="仿宋" w:hAnsi="仿宋" w:eastAsia="仿宋" w:cs="仿宋"/>
          <w:b/>
          <w:color w:val="auto"/>
          <w:sz w:val="24"/>
          <w:szCs w:val="24"/>
        </w:rPr>
        <w:t>供应商须知前附表规定</w:t>
      </w:r>
      <w:r>
        <w:rPr>
          <w:rFonts w:hint="eastAsia" w:ascii="仿宋" w:hAnsi="仿宋" w:eastAsia="仿宋" w:cs="仿宋"/>
          <w:color w:val="auto"/>
          <w:sz w:val="24"/>
          <w:szCs w:val="24"/>
        </w:rPr>
        <w:t>的</w:t>
      </w:r>
      <w:r>
        <w:rPr>
          <w:rFonts w:hint="eastAsia" w:ascii="仿宋" w:hAnsi="仿宋" w:eastAsia="仿宋" w:cs="仿宋"/>
          <w:color w:val="auto"/>
          <w:kern w:val="0"/>
          <w:sz w:val="24"/>
          <w:szCs w:val="24"/>
        </w:rPr>
        <w:t>递交首次响应文件截止时间</w:t>
      </w:r>
      <w:r>
        <w:rPr>
          <w:rFonts w:hint="eastAsia" w:ascii="仿宋" w:hAnsi="仿宋" w:eastAsia="仿宋" w:cs="仿宋"/>
          <w:color w:val="auto"/>
          <w:sz w:val="24"/>
          <w:szCs w:val="24"/>
        </w:rPr>
        <w:t>之日起计算。响应文件中必须载明磋商有效期，载明的磋商有效期可以长于磋商文件规定的期限，但不得短于磋商文件规定的期限，否则，属于非实质性响应，将按无效响应文件处理。</w:t>
      </w:r>
    </w:p>
    <w:p w14:paraId="36E21160">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946C52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4.4.3 在磋商有效期内，供应商撤销响应文件的，应承担磋商文件和法律规定的责任。</w:t>
      </w:r>
    </w:p>
    <w:p w14:paraId="05173826">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4.4.4 成交供应商的磋商有效期自动延长至合同终止为止。</w:t>
      </w:r>
    </w:p>
    <w:p w14:paraId="3208CE7F">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bCs/>
          <w:color w:val="auto"/>
          <w:sz w:val="24"/>
          <w:szCs w:val="24"/>
        </w:rPr>
        <w:t>4.5磋商保证金</w:t>
      </w:r>
    </w:p>
    <w:p w14:paraId="11C11BA9">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根据</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须知前附表要求，本项目不要求</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提交投标保证金。</w:t>
      </w:r>
    </w:p>
    <w:p w14:paraId="56491B22">
      <w:pPr>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4.6 商务部分</w:t>
      </w:r>
    </w:p>
    <w:p w14:paraId="00BAFCEA">
      <w:pPr>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bCs/>
          <w:color w:val="auto"/>
          <w:sz w:val="24"/>
          <w:szCs w:val="24"/>
        </w:rPr>
        <w:t>4.6.1供应商应</w:t>
      </w:r>
      <w:r>
        <w:rPr>
          <w:rFonts w:hint="eastAsia" w:ascii="仿宋" w:hAnsi="仿宋" w:eastAsia="仿宋" w:cs="仿宋"/>
          <w:color w:val="auto"/>
          <w:sz w:val="24"/>
          <w:szCs w:val="24"/>
        </w:rPr>
        <w:t>按照磋商文件商务要求做出完全响应。未作出商务响应的，作为不实质性响应磋商文件，按无效响应文件处理。</w:t>
      </w:r>
    </w:p>
    <w:p w14:paraId="452BCE5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4.6.2 供应商应对以下（不限于）要求作出承诺：</w:t>
      </w:r>
    </w:p>
    <w:p w14:paraId="3C29F8B9">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bCs/>
          <w:color w:val="auto"/>
          <w:sz w:val="24"/>
          <w:szCs w:val="24"/>
        </w:rPr>
        <w:t>（1）</w:t>
      </w:r>
      <w:r>
        <w:rPr>
          <w:rFonts w:hint="eastAsia" w:ascii="仿宋" w:hAnsi="仿宋" w:eastAsia="仿宋" w:cs="仿宋"/>
          <w:color w:val="auto"/>
          <w:sz w:val="24"/>
          <w:szCs w:val="24"/>
        </w:rPr>
        <w:t>承诺给予采购人的各种优惠条件；</w:t>
      </w:r>
    </w:p>
    <w:p w14:paraId="772906D3">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（2）服务质量和</w:t>
      </w:r>
      <w:r>
        <w:rPr>
          <w:rFonts w:hint="eastAsia" w:ascii="仿宋" w:hAnsi="仿宋" w:eastAsia="仿宋" w:cs="仿宋"/>
          <w:color w:val="auto"/>
          <w:sz w:val="24"/>
          <w:szCs w:val="24"/>
        </w:rPr>
        <w:t>利于用户的售后服务承诺；</w:t>
      </w:r>
    </w:p>
    <w:p w14:paraId="1CD7BE75">
      <w:pPr>
        <w:spacing w:line="360" w:lineRule="auto"/>
        <w:ind w:left="2" w:leftChars="1"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（3）严格按照磋商文件对本项目的要求，精心组织、合理安排提供各项服务和产品（如有）；</w:t>
      </w:r>
    </w:p>
    <w:p w14:paraId="38D2663B">
      <w:pPr>
        <w:spacing w:line="360" w:lineRule="auto"/>
        <w:ind w:left="2" w:leftChars="1"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（4）未经采购人许可，不得将本采购项目采取转包实施的办法，一经发现，立即取消其成交资格，并承担由此产生的一切经济损失和法律后果；</w:t>
      </w:r>
    </w:p>
    <w:p w14:paraId="611F879C">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（5）接受采购人或采购人委托相关单位对项目实施方案、服务进度、服务质量、售后服务、费用支付与结算审核等方面监督和管理；</w:t>
      </w:r>
    </w:p>
    <w:p w14:paraId="1CA99901">
      <w:pPr>
        <w:pStyle w:val="8"/>
        <w:spacing w:line="360" w:lineRule="auto"/>
        <w:ind w:firstLine="540" w:firstLineChars="225"/>
        <w:rPr>
          <w:rFonts w:hint="eastAsia" w:ascii="仿宋" w:hAnsi="仿宋" w:eastAsia="仿宋" w:cs="仿宋"/>
          <w:color w:val="auto"/>
          <w:sz w:val="24"/>
          <w:szCs w:val="24"/>
        </w:rPr>
      </w:pPr>
      <w:r>
        <w:rPr>
          <w:rFonts w:hint="eastAsia" w:ascii="仿宋" w:hAnsi="仿宋" w:eastAsia="仿宋" w:cs="仿宋"/>
          <w:color w:val="auto"/>
          <w:sz w:val="24"/>
          <w:szCs w:val="24"/>
        </w:rPr>
        <w:t>（6）其它承诺。</w:t>
      </w:r>
    </w:p>
    <w:p w14:paraId="7396187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4.6.3 其他证明材料不是必备证明材料，仅作为评审因素；供应商未提供的，评审时不予考虑；包括供应商享受政府采购优惠政策的证明材料、类似业绩证明材料等。</w:t>
      </w:r>
    </w:p>
    <w:p w14:paraId="18795DD1">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4.7 技术部分</w:t>
      </w:r>
    </w:p>
    <w:p w14:paraId="4FF542E4">
      <w:pPr>
        <w:pStyle w:val="8"/>
        <w:spacing w:line="360" w:lineRule="auto"/>
        <w:ind w:firstLine="465"/>
        <w:rPr>
          <w:rFonts w:hint="eastAsia" w:ascii="仿宋" w:hAnsi="仿宋" w:eastAsia="仿宋" w:cs="仿宋"/>
          <w:color w:val="auto"/>
          <w:sz w:val="24"/>
          <w:szCs w:val="24"/>
        </w:rPr>
      </w:pPr>
      <w:r>
        <w:rPr>
          <w:rFonts w:hint="eastAsia" w:ascii="仿宋" w:hAnsi="仿宋" w:eastAsia="仿宋" w:cs="仿宋"/>
          <w:color w:val="auto"/>
          <w:sz w:val="24"/>
          <w:szCs w:val="24"/>
        </w:rPr>
        <w:t xml:space="preserve">4.7.1 </w:t>
      </w:r>
      <w:r>
        <w:rPr>
          <w:rFonts w:hint="eastAsia" w:ascii="仿宋" w:hAnsi="仿宋" w:eastAsia="仿宋" w:cs="仿宋"/>
          <w:bCs/>
          <w:color w:val="auto"/>
          <w:sz w:val="24"/>
          <w:szCs w:val="24"/>
        </w:rPr>
        <w:t>供应商应</w:t>
      </w:r>
      <w:r>
        <w:rPr>
          <w:rFonts w:hint="eastAsia" w:ascii="仿宋" w:hAnsi="仿宋" w:eastAsia="仿宋" w:cs="仿宋"/>
          <w:color w:val="auto"/>
          <w:sz w:val="24"/>
          <w:szCs w:val="24"/>
        </w:rPr>
        <w:t xml:space="preserve">按照磋商文件要求做出的技术应答，主要是针对采购项目的技术指标和技术服务要求做出的实质性响应和满足。 </w:t>
      </w:r>
    </w:p>
    <w:p w14:paraId="41F7F924">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4.7.2 证明服务符合磋商文件要求的相关文件，可以是文字资料、图纸、数据、宣传彩页等，所有证明文件，表达意思必须统一。 </w:t>
      </w:r>
    </w:p>
    <w:p w14:paraId="3EE83DC5">
      <w:pPr>
        <w:tabs>
          <w:tab w:val="left" w:pos="7665"/>
        </w:tabs>
        <w:spacing w:before="120" w:beforeLines="50" w:after="120" w:afterLines="5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4.8 响应文件的制作和签署</w:t>
      </w:r>
    </w:p>
    <w:p w14:paraId="3D9C051F">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4.8.1 响应文件应根据磋商文件的要求制作。供应商应填写全称，同时加盖单位章，签署、盖章和内容应完整，如有遗漏，将被视为无效响应文件。</w:t>
      </w:r>
    </w:p>
    <w:p w14:paraId="05371281">
      <w:pPr>
        <w:tabs>
          <w:tab w:val="left" w:pos="7665"/>
        </w:tabs>
        <w:spacing w:line="360" w:lineRule="auto"/>
        <w:ind w:left="13" w:leftChars="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4.8.2 响应文件格式。供应商应严格按照第六章提供的“响应文件格式”编写相关内容。除明确允许供应商可以自行编写外，供应商不得以“响应文件格式”规定之外的方式填写相关内容。否则，供应商提供的响应文件将作为无效响应文件处理。</w:t>
      </w:r>
    </w:p>
    <w:p w14:paraId="435BD21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4.8.3 对于没有格式要求的响应文件由供应商自行编写。</w:t>
      </w:r>
    </w:p>
    <w:p w14:paraId="08251F81">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4.8.4 供应商应按“供应商须知前附表”规定的份数准备响应文件正本、副本和相应的电子文件。正本和副本封面右上角应清楚地标明“正本”或“副本”字样。当副本和正本有不一致的内容，以正本书面响应文件为准。</w:t>
      </w:r>
    </w:p>
    <w:p w14:paraId="1DBE7B8A">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4.8.5 响应文件的正本和副本均需打印或用不褪色、不变质的墨水书写，并由供应商的法定代表人或其委托代理人在规定签章处签字和盖章。响应文件副本可采用正本的复印件。</w:t>
      </w:r>
    </w:p>
    <w:p w14:paraId="44D90361">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4.8.6 响应文件的打印或书写应清楚工整，尽量避免行间插字、涂改或增删。如出现上述情况，改动之处应由供应商的法定代表人或其委托代理人签字或盖单位章。字迹潦草、表达不清或可能导致非唯一理解的响应文件可能视为无效响应文件。</w:t>
      </w:r>
    </w:p>
    <w:p w14:paraId="4F89C003">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4.8.7 响应文件的正本和副本</w:t>
      </w:r>
      <w:r>
        <w:rPr>
          <w:rFonts w:hint="eastAsia" w:ascii="仿宋" w:hAnsi="仿宋" w:eastAsia="仿宋" w:cs="仿宋"/>
          <w:color w:val="auto"/>
          <w:sz w:val="24"/>
          <w:szCs w:val="24"/>
          <w:lang w:val="zh-CN"/>
        </w:rPr>
        <w:t>一律采用A4纸幅面，并</w:t>
      </w:r>
      <w:r>
        <w:rPr>
          <w:rFonts w:hint="eastAsia" w:ascii="仿宋" w:hAnsi="仿宋" w:eastAsia="仿宋" w:cs="仿宋"/>
          <w:color w:val="auto"/>
          <w:sz w:val="24"/>
          <w:szCs w:val="24"/>
        </w:rPr>
        <w:t>分别装订和编制目录。响应文件需分册装订的，具体分册装订要求见</w:t>
      </w:r>
      <w:r>
        <w:rPr>
          <w:rFonts w:hint="eastAsia" w:ascii="仿宋" w:hAnsi="仿宋" w:eastAsia="仿宋" w:cs="仿宋"/>
          <w:color w:val="auto"/>
          <w:sz w:val="24"/>
          <w:szCs w:val="24"/>
          <w:lang w:val="zh-CN"/>
        </w:rPr>
        <w:t>供应商须知前附表的规定。响应文件</w:t>
      </w:r>
      <w:r>
        <w:rPr>
          <w:rFonts w:hint="eastAsia" w:ascii="仿宋" w:hAnsi="仿宋" w:eastAsia="仿宋" w:cs="仿宋"/>
          <w:color w:val="auto"/>
          <w:sz w:val="24"/>
          <w:szCs w:val="24"/>
        </w:rPr>
        <w:t>胶装后，页面不可抽取，不得有活动页，无破损、不可拆分。</w:t>
      </w:r>
    </w:p>
    <w:p w14:paraId="455F0D44">
      <w:pPr>
        <w:spacing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4.8.8 电子文件制作要求。电子文件与纸质正本响应文件的内容应保持一致，具有同等法律效力。电子文件应具有项目名称和供应商名称标识。</w:t>
      </w:r>
      <w:bookmarkStart w:id="72" w:name="_Toc5"/>
    </w:p>
    <w:p w14:paraId="29A2B8D7">
      <w:pPr>
        <w:pStyle w:val="8"/>
        <w:spacing w:before="120" w:beforeLines="50" w:after="120" w:afterLines="50" w:line="360" w:lineRule="auto"/>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5.响应文件的提交</w:t>
      </w:r>
      <w:bookmarkEnd w:id="72"/>
    </w:p>
    <w:p w14:paraId="79D87500">
      <w:pPr>
        <w:tabs>
          <w:tab w:val="left" w:pos="1080"/>
        </w:tabs>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5.1 响应文件内容要求</w:t>
      </w:r>
    </w:p>
    <w:p w14:paraId="5304A085">
      <w:pPr>
        <w:tabs>
          <w:tab w:val="left" w:pos="1080"/>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供应商应仔细阅读磋商文件中的所有事项、格式、条款和要求，对磋商文件的全部内容及要求作出实质性响应，提交相应资料。若分包，应以包为单位提交，不得在其中选项提交或将其中内容再行分解；否则，响应文件将视为无效响应文件。</w:t>
      </w:r>
    </w:p>
    <w:p w14:paraId="11DF3F5E">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5.2 响应文件的密封和标记</w:t>
      </w:r>
    </w:p>
    <w:p w14:paraId="4E79A76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5.2.1 </w:t>
      </w:r>
      <w:r>
        <w:rPr>
          <w:rFonts w:hint="eastAsia" w:ascii="仿宋" w:hAnsi="仿宋" w:eastAsia="仿宋" w:cs="仿宋"/>
          <w:color w:val="auto"/>
          <w:kern w:val="0"/>
          <w:sz w:val="24"/>
          <w:szCs w:val="24"/>
        </w:rPr>
        <w:t>开启响应文件前，供应商应将响应文件所有正本、副本、电子文件全部密封。</w:t>
      </w:r>
    </w:p>
    <w:p w14:paraId="66E3AB6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 xml:space="preserve">5.2.2 </w:t>
      </w:r>
      <w:r>
        <w:rPr>
          <w:rFonts w:hint="eastAsia" w:ascii="仿宋" w:hAnsi="仿宋" w:eastAsia="仿宋" w:cs="仿宋"/>
          <w:color w:val="auto"/>
          <w:sz w:val="24"/>
          <w:szCs w:val="24"/>
        </w:rPr>
        <w:t>响应文件装订、密封、装袋要求见供应商须知前附表，并在封套的封口处（缝隙处）加贴封条，应粘贴牢固，加盖密封章（供应商单位章）。</w:t>
      </w:r>
    </w:p>
    <w:p w14:paraId="0DE0081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5.2.3 响应文件封套上应写明的内容见供应商须知前附表。</w:t>
      </w:r>
    </w:p>
    <w:p w14:paraId="40E819BC">
      <w:pPr>
        <w:adjustRightInd w:val="0"/>
        <w:snapToGrid w:val="0"/>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5.2.4 未按要求密封的响应文件，采购代理机构将予以拒收。</w:t>
      </w:r>
    </w:p>
    <w:p w14:paraId="4206322F">
      <w:pPr>
        <w:tabs>
          <w:tab w:val="left" w:pos="1080"/>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5.3 响应文件的提交</w:t>
      </w:r>
    </w:p>
    <w:p w14:paraId="71822850">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5.3.1 供应商应在供应商须知前附表规定的提交响应文件截止时间前提交响应文件。</w:t>
      </w:r>
    </w:p>
    <w:p w14:paraId="7F531989">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5.3.2 供应商提交响应文件地点：见供应商须知前附表。</w:t>
      </w:r>
    </w:p>
    <w:p w14:paraId="49EA6966">
      <w:pPr>
        <w:tabs>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5.3.3 除供应商须知前附表另有规定外，供应商提交的响应文件不予退还。</w:t>
      </w:r>
    </w:p>
    <w:p w14:paraId="2B54A34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5.3.4采购代理机构收到响应文件后，应当如实记载响应文件的送达时间、份数、密封情况和提交人等信息。</w:t>
      </w:r>
    </w:p>
    <w:p w14:paraId="051F5246">
      <w:pPr>
        <w:tabs>
          <w:tab w:val="left" w:pos="851"/>
          <w:tab w:val="left" w:pos="1095"/>
        </w:tabs>
        <w:spacing w:line="360" w:lineRule="auto"/>
        <w:ind w:firstLine="460" w:firstLineChars="192"/>
        <w:rPr>
          <w:rFonts w:hint="eastAsia" w:ascii="仿宋" w:hAnsi="仿宋" w:eastAsia="仿宋" w:cs="仿宋"/>
          <w:color w:val="auto"/>
          <w:sz w:val="24"/>
          <w:szCs w:val="24"/>
        </w:rPr>
      </w:pPr>
      <w:r>
        <w:rPr>
          <w:rFonts w:hint="eastAsia" w:ascii="仿宋" w:hAnsi="仿宋" w:eastAsia="仿宋" w:cs="仿宋"/>
          <w:color w:val="auto"/>
          <w:sz w:val="24"/>
          <w:szCs w:val="24"/>
        </w:rPr>
        <w:t>5.3.5 逾期送达的响应文件，采购代理机构将予以拒收。</w:t>
      </w:r>
    </w:p>
    <w:p w14:paraId="140334B8">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5.3.6 本次磋商不接受邮寄的响应文件。</w:t>
      </w:r>
    </w:p>
    <w:p w14:paraId="140917A4">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5.3.7 需要供应商提供样品的，同响应文件一起提交。</w:t>
      </w:r>
    </w:p>
    <w:p w14:paraId="1BBE73A4">
      <w:pPr>
        <w:pStyle w:val="8"/>
        <w:spacing w:before="120" w:beforeLines="50" w:after="120" w:afterLines="50" w:line="360" w:lineRule="auto"/>
        <w:ind w:firstLine="0"/>
        <w:jc w:val="left"/>
        <w:rPr>
          <w:rFonts w:hint="eastAsia" w:ascii="仿宋" w:hAnsi="仿宋" w:eastAsia="仿宋" w:cs="仿宋"/>
          <w:b/>
          <w:color w:val="auto"/>
          <w:sz w:val="24"/>
          <w:szCs w:val="24"/>
        </w:rPr>
      </w:pPr>
      <w:r>
        <w:rPr>
          <w:rFonts w:hint="eastAsia" w:ascii="仿宋" w:hAnsi="仿宋" w:eastAsia="仿宋" w:cs="仿宋"/>
          <w:b/>
          <w:bCs/>
          <w:color w:val="auto"/>
          <w:sz w:val="24"/>
          <w:szCs w:val="24"/>
        </w:rPr>
        <w:t>5.4 响应文件的修改和撤回</w:t>
      </w:r>
    </w:p>
    <w:p w14:paraId="4535949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5.4.1 在本章第5.3.1项规定的提交响应文件截止时间前，供应商可以补充、修改或者撤回已提交的响应文件，但应以书面形式通知采购代理机构。</w:t>
      </w:r>
    </w:p>
    <w:p w14:paraId="3B7C5D1C">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5.4.2 供应商的补充、修改或者撤回通知书，应由其法定代表人或委托代理人签署并盖单位章。补充、修改或者撤回通知书应按本章第5.2.2项规定进行密封，并在密封袋上标注“响应文件补充、修改”或“响应文件撤回通知”字样，“补充、修改文件”作为响应文件的组成部分。补充、修改内容与响应文件不一致的，以补充、修改的内容为准。</w:t>
      </w:r>
    </w:p>
    <w:p w14:paraId="62C78431">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5.4.3 供应商撤回响应文件的，采购代理机构自收到供应商书面撤回通知之日起5个工作日内退还已收取的磋商保证金。</w:t>
      </w:r>
    </w:p>
    <w:p w14:paraId="4CF4CBAF">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5.4.4 在提交响应文件截止时间之后，供应商不得对其提交的响应文件做任何补充、修改或者撤销响应文件。</w:t>
      </w:r>
    </w:p>
    <w:p w14:paraId="62BD3050">
      <w:pPr>
        <w:pStyle w:val="8"/>
        <w:spacing w:before="120" w:beforeLines="50" w:after="120" w:afterLines="50" w:line="360" w:lineRule="auto"/>
        <w:ind w:firstLine="0"/>
        <w:outlineLvl w:val="9"/>
        <w:rPr>
          <w:rFonts w:hint="eastAsia" w:ascii="仿宋" w:hAnsi="仿宋" w:eastAsia="仿宋" w:cs="仿宋"/>
          <w:bCs/>
          <w:color w:val="auto"/>
          <w:sz w:val="24"/>
          <w:szCs w:val="24"/>
        </w:rPr>
      </w:pPr>
      <w:bookmarkStart w:id="73" w:name="_Toc23218"/>
      <w:r>
        <w:rPr>
          <w:rFonts w:hint="eastAsia" w:ascii="仿宋" w:hAnsi="仿宋" w:eastAsia="仿宋" w:cs="仿宋"/>
          <w:bCs/>
          <w:color w:val="auto"/>
          <w:sz w:val="24"/>
          <w:szCs w:val="24"/>
        </w:rPr>
        <w:t>6.开启响应文件</w:t>
      </w:r>
      <w:bookmarkEnd w:id="73"/>
    </w:p>
    <w:p w14:paraId="16E65FE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6.1开启响应文件的时间和地点</w:t>
      </w:r>
    </w:p>
    <w:p w14:paraId="3BCF492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6.1.1 采购代理机构在供应商须知前附表中规定的开启响应文件时间和地点开启响应文件，并邀请采购人、所有获取磋商文件的供应商派代表准时参加并签到以证明其出席。</w:t>
      </w:r>
    </w:p>
    <w:p w14:paraId="50176058">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6.1.2</w:t>
      </w:r>
      <w:r>
        <w:rPr>
          <w:rFonts w:hint="eastAsia" w:ascii="仿宋" w:hAnsi="仿宋" w:eastAsia="仿宋" w:cs="仿宋"/>
          <w:color w:val="auto"/>
          <w:sz w:val="24"/>
          <w:szCs w:val="24"/>
        </w:rPr>
        <w:t>投标人未参加开标的，视同认可开标结果</w:t>
      </w:r>
      <w:r>
        <w:rPr>
          <w:rFonts w:hint="eastAsia" w:ascii="仿宋" w:hAnsi="仿宋" w:eastAsia="仿宋" w:cs="仿宋"/>
          <w:color w:val="auto"/>
          <w:sz w:val="24"/>
          <w:szCs w:val="24"/>
          <w:lang w:val="en-US" w:eastAsia="zh-CN"/>
        </w:rPr>
        <w:t>。</w:t>
      </w:r>
    </w:p>
    <w:p w14:paraId="4A3EC4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 xml:space="preserve"> 采购代理机构将邀请有关监督管理机构对开启响应文件现场进行监督。</w:t>
      </w:r>
    </w:p>
    <w:p w14:paraId="0594402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供应商不足3家的，不得开启响应文件。</w:t>
      </w:r>
    </w:p>
    <w:p w14:paraId="4DD63C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6.2 开启响应文件程序</w:t>
      </w:r>
    </w:p>
    <w:p w14:paraId="62AE47FB">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6.2.1 根据财政部《政府采购竞争性磋商采购方式管理暂行办法》（财库[2014]214号）第五条规定，开启响应文件和每轮磋商结束时均不公开报价。</w:t>
      </w:r>
    </w:p>
    <w:p w14:paraId="674930D0">
      <w:pPr>
        <w:pStyle w:val="17"/>
        <w:ind w:firstLine="420"/>
        <w:rPr>
          <w:rFonts w:hint="eastAsia" w:ascii="仿宋" w:hAnsi="仿宋" w:eastAsia="仿宋" w:cs="仿宋"/>
          <w:color w:val="auto"/>
          <w:sz w:val="24"/>
          <w:szCs w:val="24"/>
        </w:rPr>
      </w:pPr>
      <w:r>
        <w:rPr>
          <w:rFonts w:hint="eastAsia" w:ascii="仿宋" w:hAnsi="仿宋" w:eastAsia="仿宋" w:cs="仿宋"/>
          <w:color w:val="auto"/>
          <w:sz w:val="24"/>
          <w:szCs w:val="24"/>
        </w:rPr>
        <w:t>6.2.2开启响应文件由采购代理机构主持。主持人按照磋商文件规定的开启响应文件时间宣布开启响应文件开始，并按下列程序进行（但不限于）：</w:t>
      </w:r>
    </w:p>
    <w:p w14:paraId="1DF23B7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（1）宣布开启响应文件开始和开启录音录像设备并致辞；</w:t>
      </w:r>
    </w:p>
    <w:p w14:paraId="67956EA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（2）宣布开启响应文件纪律和有关注意事项；</w:t>
      </w:r>
    </w:p>
    <w:p w14:paraId="198C19A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（3）公布在提交响应文件截止时间前提交响应文件的供应商名称；</w:t>
      </w:r>
    </w:p>
    <w:p w14:paraId="1837822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（4）宣布参加开启响应文件的现场监督人员和主持人、会议记录等有关工作人员；</w:t>
      </w:r>
    </w:p>
    <w:p w14:paraId="21D1FDC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（5）检查并宣布响应文件的密封情况</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由</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或者其推选的代表检查其自己递交的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文件的密封情况，以确认各</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的</w:t>
      </w: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 xml:space="preserve">文件密封情况是否与递交时一致，没有被提前启封等异常情况，经检查无误后，签字确认； </w:t>
      </w:r>
    </w:p>
    <w:p w14:paraId="4D7C4BC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（6）启封响应文件；</w:t>
      </w:r>
    </w:p>
    <w:p w14:paraId="7BDF40B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（7）启封响应文件结束，供应商退场；</w:t>
      </w:r>
    </w:p>
    <w:p w14:paraId="48CCD2E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（8）向采购人及监督人员宣布供应商首次磋商报价，并由监督人员确认；</w:t>
      </w:r>
    </w:p>
    <w:p w14:paraId="6D038E8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（9）开启响应文件结束。</w:t>
      </w:r>
    </w:p>
    <w:p w14:paraId="5A3A18B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6.2.3 所有提交了响应文件的供应商在退场后，不要远离会场并保持通讯设备的畅通，以方便后续磋商和在评审过程中磋商小组要求供应商对响应文件的必要澄清。</w:t>
      </w:r>
    </w:p>
    <w:p w14:paraId="092EEBE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6.2.4 检查响应文件密封情况是指，由供应商或者其推选的代表检查其自己提交的响应文件的密封情况，经检查无误后，签字确认。</w:t>
      </w:r>
    </w:p>
    <w:p w14:paraId="653A72F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6.2.5 供应商或者其推选的代表确认响应文件情况，仅限于确认其自己提交的响应文件的密封情况，不代表对其他供应商的响应文件的密封情况确认。供应商或者其推选的代表检对其他供应商的响应文件密封情况有异议的，可以当场反映开启响应文件主持人或者现场监督人员，要求开启响应文件现场记录人员予以记录，但不得干扰、阻挠开启响应文件工作的正常进行。</w:t>
      </w:r>
    </w:p>
    <w:p w14:paraId="416D7B7A">
      <w:pPr>
        <w:spacing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6.2.6 供应商认为采购人、采购代理机构相关工作人员有需要回避情形的，应当场提出询问或者回避申请。采购人、采购代理机构对供应商提出的询问或者回避申请应当及时处理，并制作记录。</w:t>
      </w:r>
    </w:p>
    <w:p w14:paraId="28EC7154">
      <w:pPr>
        <w:pStyle w:val="8"/>
        <w:spacing w:before="120" w:beforeLines="50" w:after="120" w:afterLines="50" w:line="360" w:lineRule="auto"/>
        <w:ind w:firstLine="0"/>
        <w:outlineLvl w:val="9"/>
        <w:rPr>
          <w:rFonts w:hint="eastAsia" w:ascii="仿宋" w:hAnsi="仿宋" w:eastAsia="仿宋" w:cs="仿宋"/>
          <w:color w:val="auto"/>
          <w:sz w:val="24"/>
          <w:szCs w:val="24"/>
        </w:rPr>
      </w:pPr>
      <w:bookmarkStart w:id="74" w:name="_Toc14972"/>
      <w:r>
        <w:rPr>
          <w:rFonts w:hint="eastAsia" w:ascii="仿宋" w:hAnsi="仿宋" w:eastAsia="仿宋" w:cs="仿宋"/>
          <w:color w:val="auto"/>
          <w:sz w:val="24"/>
          <w:szCs w:val="24"/>
        </w:rPr>
        <w:t>7.磋商</w:t>
      </w:r>
      <w:bookmarkEnd w:id="74"/>
    </w:p>
    <w:p w14:paraId="7D0200F1">
      <w:pPr>
        <w:spacing w:before="120" w:beforeLines="50" w:after="120" w:afterLines="50" w:line="360" w:lineRule="auto"/>
        <w:ind w:left="117" w:leftChars="50" w:hanging="12" w:hangingChars="5"/>
        <w:rPr>
          <w:rFonts w:hint="eastAsia" w:ascii="仿宋" w:hAnsi="仿宋" w:eastAsia="仿宋" w:cs="仿宋"/>
          <w:color w:val="auto"/>
          <w:sz w:val="24"/>
          <w:szCs w:val="24"/>
        </w:rPr>
      </w:pPr>
      <w:bookmarkStart w:id="75" w:name="_Toc217446058"/>
      <w:r>
        <w:rPr>
          <w:rFonts w:hint="eastAsia" w:ascii="仿宋" w:hAnsi="仿宋" w:eastAsia="仿宋" w:cs="仿宋"/>
          <w:b/>
          <w:color w:val="auto"/>
          <w:sz w:val="24"/>
          <w:szCs w:val="24"/>
        </w:rPr>
        <w:t>7.1 磋商小组</w:t>
      </w:r>
    </w:p>
    <w:p w14:paraId="3D6EE406">
      <w:pPr>
        <w:pStyle w:val="20"/>
        <w:spacing w:before="0" w:beforeAutospacing="0" w:after="0" w:afterAutospacing="0" w:line="360" w:lineRule="auto"/>
        <w:ind w:firstLine="480" w:firstLineChars="200"/>
        <w:rPr>
          <w:rFonts w:hint="eastAsia" w:ascii="仿宋" w:hAnsi="仿宋" w:eastAsia="仿宋" w:cs="仿宋"/>
          <w:color w:val="auto"/>
          <w:spacing w:val="6"/>
          <w:sz w:val="24"/>
          <w:szCs w:val="24"/>
        </w:rPr>
      </w:pPr>
      <w:r>
        <w:rPr>
          <w:rFonts w:hint="eastAsia" w:ascii="仿宋" w:hAnsi="仿宋" w:eastAsia="仿宋" w:cs="仿宋"/>
          <w:color w:val="auto"/>
          <w:sz w:val="24"/>
          <w:szCs w:val="24"/>
        </w:rPr>
        <w:t>7.1.1 磋商由采购代理机构依法组建的磋商小组负责。磋商小组由采购人代表和评审专家组成，成员由3人以上单数组成，或者达到公开招标限额标准的项目由5人以上单数组成</w:t>
      </w:r>
      <w:r>
        <w:rPr>
          <w:rFonts w:hint="eastAsia" w:ascii="仿宋" w:hAnsi="仿宋" w:eastAsia="仿宋" w:cs="仿宋"/>
          <w:color w:val="auto"/>
          <w:spacing w:val="6"/>
          <w:sz w:val="24"/>
          <w:szCs w:val="24"/>
        </w:rPr>
        <w:t>，其中评审专家不得少于成员总数的三分之二。采购人代表不得以评审专家身份参加本单位或者本部门采购项目的评审。</w:t>
      </w:r>
    </w:p>
    <w:p w14:paraId="39F15415">
      <w:pPr>
        <w:pStyle w:val="20"/>
        <w:spacing w:before="0" w:beforeAutospacing="0" w:after="0" w:afterAutospacing="0" w:line="360" w:lineRule="auto"/>
        <w:ind w:firstLine="504" w:firstLineChars="200"/>
        <w:rPr>
          <w:rFonts w:hint="eastAsia" w:ascii="仿宋" w:hAnsi="仿宋" w:eastAsia="仿宋" w:cs="仿宋"/>
          <w:bCs/>
          <w:color w:val="auto"/>
          <w:kern w:val="2"/>
          <w:sz w:val="24"/>
          <w:szCs w:val="24"/>
        </w:rPr>
      </w:pPr>
      <w:r>
        <w:rPr>
          <w:rFonts w:hint="eastAsia" w:ascii="仿宋" w:hAnsi="仿宋" w:eastAsia="仿宋" w:cs="仿宋"/>
          <w:color w:val="auto"/>
          <w:spacing w:val="6"/>
          <w:sz w:val="24"/>
          <w:szCs w:val="24"/>
        </w:rPr>
        <w:t>7.1.2 评审</w:t>
      </w:r>
      <w:r>
        <w:rPr>
          <w:rFonts w:hint="eastAsia" w:ascii="仿宋" w:hAnsi="仿宋" w:eastAsia="仿宋" w:cs="仿宋"/>
          <w:color w:val="auto"/>
          <w:sz w:val="24"/>
          <w:szCs w:val="24"/>
        </w:rPr>
        <w:t>专家应当从省级财政部门设立的政府采购评审专家库内相关专业的专家名单中随机抽取。</w:t>
      </w:r>
      <w:r>
        <w:rPr>
          <w:rFonts w:hint="eastAsia" w:ascii="仿宋" w:hAnsi="仿宋" w:eastAsia="仿宋" w:cs="仿宋"/>
          <w:bCs/>
          <w:color w:val="auto"/>
          <w:kern w:val="2"/>
          <w:sz w:val="24"/>
          <w:szCs w:val="24"/>
        </w:rPr>
        <w:t>对技术复杂、专业性强的采购项目，通过随机方式难以确定合适评审专家的，经主管预算单位同意，采购人或采购代理机构可以自行选定相应专业领域的评审专家。技术复杂、专业性强的采购项目，评审专家中应当包括1名法律专家。</w:t>
      </w:r>
    </w:p>
    <w:p w14:paraId="7890F08B">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7.1.3 磋商小组成员到位后，推荐一名评审专家担任磋商小组组长，并由磋商小组组长牵头组织该项目磋商工作，采购人代表，不得担任磋商小组组长。</w:t>
      </w:r>
    </w:p>
    <w:p w14:paraId="39E8A53D">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7.1.4 磋商小组成员有下列情形之一的，应当回避：</w:t>
      </w:r>
    </w:p>
    <w:p w14:paraId="1E228A3C">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（1）采购人或供应商的主要负责人的近亲属；</w:t>
      </w:r>
    </w:p>
    <w:p w14:paraId="254B80C1">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（2）与供应商有经济利益关系，可能影响对响应文件公正评审的；</w:t>
      </w:r>
    </w:p>
    <w:p w14:paraId="1B7F2B2F">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（3）曾因在招标、评审以及其他与招标投标有关活动中从事违法行为而受过行政处罚或刑事处罚的。</w:t>
      </w:r>
    </w:p>
    <w:p w14:paraId="260E3819">
      <w:pPr>
        <w:autoSpaceDE w:val="0"/>
        <w:autoSpaceDN w:val="0"/>
        <w:spacing w:line="360" w:lineRule="auto"/>
        <w:ind w:firstLine="480" w:firstLineChars="200"/>
        <w:rPr>
          <w:rFonts w:hint="eastAsia" w:ascii="仿宋" w:hAnsi="仿宋" w:eastAsia="仿宋" w:cs="仿宋"/>
          <w:color w:val="auto"/>
          <w:kern w:val="0"/>
          <w:sz w:val="24"/>
          <w:szCs w:val="24"/>
          <w:lang w:val="zh-CN"/>
        </w:rPr>
      </w:pPr>
      <w:r>
        <w:rPr>
          <w:rFonts w:hint="eastAsia" w:ascii="仿宋" w:hAnsi="仿宋" w:eastAsia="仿宋" w:cs="仿宋"/>
          <w:color w:val="auto"/>
          <w:sz w:val="24"/>
          <w:szCs w:val="24"/>
        </w:rPr>
        <w:t xml:space="preserve">7.1.5 </w:t>
      </w:r>
      <w:r>
        <w:rPr>
          <w:rFonts w:hint="eastAsia" w:ascii="仿宋" w:hAnsi="仿宋" w:eastAsia="仿宋" w:cs="仿宋"/>
          <w:color w:val="auto"/>
          <w:kern w:val="0"/>
          <w:sz w:val="24"/>
          <w:szCs w:val="24"/>
        </w:rPr>
        <w:t>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起响应文件、磋商和评审资料，依法重新组建磋商小组进行磋商。原磋商小组所作出的评审意见无效。</w:t>
      </w:r>
      <w:r>
        <w:rPr>
          <w:rFonts w:hint="eastAsia" w:ascii="仿宋" w:hAnsi="仿宋" w:eastAsia="仿宋" w:cs="仿宋"/>
          <w:color w:val="auto"/>
          <w:kern w:val="0"/>
          <w:sz w:val="24"/>
          <w:szCs w:val="24"/>
          <w:lang w:val="zh-CN"/>
        </w:rPr>
        <w:t>采购代理机构</w:t>
      </w:r>
      <w:r>
        <w:rPr>
          <w:rFonts w:hint="eastAsia" w:ascii="仿宋" w:hAnsi="仿宋" w:eastAsia="仿宋" w:cs="仿宋"/>
          <w:color w:val="auto"/>
          <w:kern w:val="0"/>
          <w:sz w:val="24"/>
          <w:szCs w:val="24"/>
        </w:rPr>
        <w:t>应当将变更、重新组建磋商小组的情况予以记录，并随采购文件一并存档。</w:t>
      </w:r>
    </w:p>
    <w:p w14:paraId="68EA4B6C">
      <w:pPr>
        <w:autoSpaceDE w:val="0"/>
        <w:autoSpaceDN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7.1.6 磋商小组成员名单在成交结果公告前，应当保密。</w:t>
      </w:r>
    </w:p>
    <w:p w14:paraId="5EB8575A">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7.1.7 磋商小组及其成员，在磋商中不得有下列行为：</w:t>
      </w:r>
    </w:p>
    <w:p w14:paraId="67F63F3C">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（1）确定参与磋商至磋商结束前私自接触供应商；</w:t>
      </w:r>
    </w:p>
    <w:p w14:paraId="7B881B9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（2）接受供应商提出的与响应文件不一致的澄清和说明；</w:t>
      </w:r>
    </w:p>
    <w:p w14:paraId="0F4016EE">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（3）未集中与单一供应商分别进行磋商或者未给予所有参加磋商的供应商平等的磋商机会；</w:t>
      </w:r>
    </w:p>
    <w:p w14:paraId="2EC51CDF">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（4）违反评审纪律发表倾向性意见或者</w:t>
      </w:r>
      <w:r>
        <w:rPr>
          <w:rFonts w:hint="eastAsia" w:ascii="仿宋" w:hAnsi="仿宋" w:eastAsia="仿宋" w:cs="仿宋"/>
          <w:color w:val="auto"/>
          <w:sz w:val="24"/>
          <w:szCs w:val="24"/>
        </w:rPr>
        <w:t>征询采购人的倾向性意见；</w:t>
      </w:r>
    </w:p>
    <w:p w14:paraId="0EF8D130">
      <w:pPr>
        <w:widowControl/>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对需要专业判断的主观评审因素协商评分；</w:t>
      </w:r>
    </w:p>
    <w:p w14:paraId="7E2A8368">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（6）在磋商或评审环节擅离职守，影响磋商或评审程序正常进行的；</w:t>
      </w:r>
    </w:p>
    <w:p w14:paraId="521E4634">
      <w:pPr>
        <w:pStyle w:val="12"/>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（7）记录、复制或带走任何评审资料；</w:t>
      </w:r>
    </w:p>
    <w:p w14:paraId="3C25EE53">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（8）</w:t>
      </w:r>
      <w:r>
        <w:rPr>
          <w:rFonts w:hint="eastAsia" w:ascii="仿宋" w:hAnsi="仿宋" w:eastAsia="仿宋" w:cs="仿宋"/>
          <w:color w:val="auto"/>
          <w:kern w:val="0"/>
          <w:sz w:val="24"/>
          <w:szCs w:val="24"/>
        </w:rPr>
        <w:t>其他不遵守评审纪律的行为。</w:t>
      </w:r>
    </w:p>
    <w:p w14:paraId="7E49FCD4">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磋商小组成员有前款第一至五项行为之一的，其评审意见无效，</w:t>
      </w:r>
      <w:r>
        <w:rPr>
          <w:rFonts w:hint="eastAsia" w:ascii="仿宋" w:hAnsi="仿宋" w:eastAsia="仿宋" w:cs="仿宋"/>
          <w:color w:val="auto"/>
          <w:kern w:val="0"/>
          <w:sz w:val="24"/>
          <w:szCs w:val="24"/>
        </w:rPr>
        <w:t>并不得获取评审劳务报酬和报销异地评审差旅费。</w:t>
      </w:r>
    </w:p>
    <w:p w14:paraId="5283660C">
      <w:pPr>
        <w:spacing w:before="120" w:beforeLines="50" w:after="120" w:afterLines="50"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7.2 磋商原则</w:t>
      </w:r>
    </w:p>
    <w:p w14:paraId="6AA2910D">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7.2.1“客观、公正、审慎”为本次磋商的基本原则，磋商小组按照这一原则的要求，公正、平等地对待各供应商。同时，在磋商中恪守以下原则：</w:t>
      </w:r>
    </w:p>
    <w:p w14:paraId="5D33D0A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（1）统一性原则：磋商小组将按照统一的磋商原则和方法，用统一标准进行评审。</w:t>
      </w:r>
    </w:p>
    <w:p w14:paraId="52D21A8B">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（2）独立性原则:磋商工作在磋商小组内部独立进行，不受外界任何因素的干扰和影响。磋商小组成员对其出具的意见承担个人责任。</w:t>
      </w:r>
      <w:r>
        <w:rPr>
          <w:rFonts w:hint="eastAsia" w:ascii="仿宋" w:hAnsi="仿宋" w:eastAsia="仿宋" w:cs="仿宋"/>
          <w:color w:val="auto"/>
          <w:kern w:val="0"/>
          <w:sz w:val="24"/>
          <w:szCs w:val="24"/>
        </w:rPr>
        <w:t>供应商试图影响或干预评审的任何行为，将导致其丧失磋商的资格，并承担相应的法律责任。</w:t>
      </w:r>
    </w:p>
    <w:p w14:paraId="35065AA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（3）物有所值原则：通过首轮的磋商报价，激发供应商展开竞争，进一步优化方案，并使报价符合预期目标。</w:t>
      </w:r>
    </w:p>
    <w:p w14:paraId="6C1CFCE3">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（4）客观性原则：磋商小组将严格按照磋商文件要求，对供应商的响应文件进行认真评审；磋商小组对响应文件的评审仅依据响应文件本身，而不依据响应文件以外的任何因素。</w:t>
      </w:r>
    </w:p>
    <w:p w14:paraId="3DA91EF5">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（5）保密性原则：采购代理机构应当采取必要的措施，保证评审在严格保密情况下进行。</w:t>
      </w:r>
    </w:p>
    <w:p w14:paraId="4A8BD224">
      <w:pPr>
        <w:tabs>
          <w:tab w:val="left" w:pos="0"/>
        </w:tabs>
        <w:adjustRightInd w:val="0"/>
        <w:snapToGrid w:val="0"/>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（6）综合性原则:磋商小组将综合分析、评审供应商的各项指标，而不以单项指标的优劣评定出成交供应商。</w:t>
      </w:r>
    </w:p>
    <w:p w14:paraId="35B7098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7.2.2 磋商小组有权对整个磋商和评审过程中出现的所有问题，可根据《中华人民共和国政府采购法》及实施条例和《政府采购竞争性磋商采购方式管理暂行办法》等相关规定进行处理。</w:t>
      </w:r>
    </w:p>
    <w:p w14:paraId="3105A6DF">
      <w:pPr>
        <w:pStyle w:val="20"/>
        <w:spacing w:before="120" w:beforeLines="50" w:beforeAutospacing="0" w:after="120" w:afterLines="50" w:afterAutospacing="0" w:line="360" w:lineRule="auto"/>
        <w:rPr>
          <w:rFonts w:hint="eastAsia" w:ascii="仿宋" w:hAnsi="仿宋" w:eastAsia="仿宋" w:cs="仿宋"/>
          <w:b/>
          <w:color w:val="auto"/>
          <w:kern w:val="2"/>
          <w:sz w:val="24"/>
          <w:szCs w:val="24"/>
        </w:rPr>
      </w:pPr>
      <w:r>
        <w:rPr>
          <w:rFonts w:hint="eastAsia" w:ascii="仿宋" w:hAnsi="仿宋" w:eastAsia="仿宋" w:cs="仿宋"/>
          <w:b/>
          <w:color w:val="auto"/>
          <w:kern w:val="2"/>
          <w:sz w:val="24"/>
          <w:szCs w:val="24"/>
        </w:rPr>
        <w:t>7.3磋商</w:t>
      </w:r>
    </w:p>
    <w:p w14:paraId="3E02A8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7.3.1 磋商小组根据磋商文件第三章“磋商办法”规定的方法、评审因素、标准和程序，在与单一供应商进行反复磋商的基础上，对其响应文件进行评审。第三章“磋商办法”没有规定的方法、评审因素和标准，不作为评审依据。</w:t>
      </w:r>
    </w:p>
    <w:p w14:paraId="41F7F71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7.3.2 磋商小组负责具体磋商事务，并独立履行下列职责：</w:t>
      </w:r>
    </w:p>
    <w:p w14:paraId="326FC85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（1）审查、评价响应文件是否符合磋商文件的商务、技术、服务等实质性要求；</w:t>
      </w:r>
    </w:p>
    <w:p w14:paraId="445A10D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（2）要求供应商对响应文件有关事项作出澄清或者说明；</w:t>
      </w:r>
    </w:p>
    <w:p w14:paraId="1DED4E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（3）与合格的供应商分别就技术和商务事务进行磋商；</w:t>
      </w:r>
    </w:p>
    <w:p w14:paraId="001AD77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（4）对响应文件进行比较和评价；</w:t>
      </w:r>
    </w:p>
    <w:p w14:paraId="10F24BE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（5）推荐成交候选人名单，或者根据采购人委托直接确定成交供应商；</w:t>
      </w:r>
    </w:p>
    <w:p w14:paraId="223EA25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（6）向采购人、采购代理机构或者有关部门报告非法干预磋商工作的行为。</w:t>
      </w:r>
    </w:p>
    <w:p w14:paraId="5867E0AB">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7.3.3磋商小组成员应当履行下列义务：</w:t>
      </w:r>
    </w:p>
    <w:p w14:paraId="05F9D5A0">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（1）遵纪守法，客观、公正、廉洁地履行职责；</w:t>
      </w:r>
    </w:p>
    <w:p w14:paraId="7365E843">
      <w:pPr>
        <w:pStyle w:val="20"/>
        <w:snapToGrid w:val="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（2）根据采购文件的规定独立进行评审，对个人的评审意见承担法律责任；</w:t>
      </w:r>
    </w:p>
    <w:p w14:paraId="46C2940F">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（3）参与评审报告的起草；</w:t>
      </w:r>
    </w:p>
    <w:p w14:paraId="0DAC10B6">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（4）配合采购人、采购代理机构答复供应商提出的质疑；</w:t>
      </w:r>
    </w:p>
    <w:p w14:paraId="4D84011B">
      <w:pPr>
        <w:pStyle w:val="20"/>
        <w:snapToGrid w:val="0"/>
        <w:spacing w:before="0" w:beforeAutospacing="0" w:after="0" w:afterAutospacing="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（5）配合财政部门的投诉处理和监督检查工作。</w:t>
      </w:r>
    </w:p>
    <w:p w14:paraId="1435C91A">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szCs w:val="24"/>
        </w:rPr>
        <w:t xml:space="preserve">7.3.4 </w:t>
      </w:r>
      <w:r>
        <w:rPr>
          <w:rFonts w:hint="eastAsia" w:ascii="仿宋" w:hAnsi="仿宋" w:eastAsia="仿宋" w:cs="仿宋"/>
          <w:color w:val="auto"/>
          <w:kern w:val="2"/>
          <w:sz w:val="24"/>
          <w:szCs w:val="24"/>
        </w:rPr>
        <w:t>采购代理机构负责组织磋商工作并履行下列职责：</w:t>
      </w:r>
    </w:p>
    <w:p w14:paraId="1B5F875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（1）核对评审专家身份和采购人代表授权函，</w:t>
      </w:r>
      <w:r>
        <w:rPr>
          <w:rFonts w:hint="eastAsia" w:ascii="仿宋" w:hAnsi="仿宋" w:eastAsia="仿宋" w:cs="仿宋"/>
          <w:color w:val="auto"/>
          <w:sz w:val="24"/>
          <w:szCs w:val="24"/>
        </w:rPr>
        <w:t>对评审专家在政府采购活动中的职责履行情况予以记录，并及时将有关违法违规行为向财政部门报告；</w:t>
      </w:r>
    </w:p>
    <w:p w14:paraId="7F9FC4FD">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（2）宣布磋商纪律和开启录音录像设备；</w:t>
      </w:r>
    </w:p>
    <w:p w14:paraId="4C974B2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（3）公布提交了响应文件的供应商名单，告知评审专家应当回避的情形；</w:t>
      </w:r>
    </w:p>
    <w:p w14:paraId="66EA92EE">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（4）组织磋商小组成员推选磋商小组组长，采购人代表不得担任组长；</w:t>
      </w:r>
    </w:p>
    <w:p w14:paraId="1BE57485">
      <w:pPr>
        <w:widowControl/>
        <w:spacing w:line="360"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（5）</w:t>
      </w:r>
      <w:r>
        <w:rPr>
          <w:rFonts w:hint="eastAsia" w:ascii="仿宋" w:hAnsi="仿宋" w:eastAsia="仿宋" w:cs="仿宋"/>
          <w:color w:val="auto"/>
          <w:kern w:val="0"/>
          <w:sz w:val="24"/>
          <w:szCs w:val="24"/>
        </w:rPr>
        <w:t>在磋商期间采取必要的通讯管理措施，保证磋商活动不受外界干扰；</w:t>
      </w:r>
    </w:p>
    <w:p w14:paraId="1B64DC67">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（6）根据磋商小组的要求介绍政府采购相关政策法规、磋商文件；</w:t>
      </w:r>
    </w:p>
    <w:p w14:paraId="64BCC202">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（7）维护磋商秩序，监督磋商小组依照磋商文件规定的磋商程序、评审方法和标准进行独立评审，对采购人代表、磋商小组成员的倾向性言论或违法违规行为及时制止和纠正；</w:t>
      </w:r>
    </w:p>
    <w:p w14:paraId="42E74061">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（8）核对评审结果，有《政府采购竞争性磋商采购方式暂行管理办法》第三十二条第一款规定情形的，要求磋商小组复核或书面说明理由，磋商小组拒绝的，应予记录并向采购人本级财政部门报告；</w:t>
      </w:r>
    </w:p>
    <w:p w14:paraId="02D4B802">
      <w:pPr>
        <w:widowControl/>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（9）</w:t>
      </w:r>
      <w:r>
        <w:rPr>
          <w:rFonts w:hint="eastAsia" w:ascii="仿宋" w:hAnsi="仿宋" w:eastAsia="仿宋" w:cs="仿宋"/>
          <w:bCs/>
          <w:color w:val="auto"/>
          <w:sz w:val="24"/>
          <w:szCs w:val="24"/>
        </w:rPr>
        <w:t>磋商</w:t>
      </w:r>
      <w:r>
        <w:rPr>
          <w:rFonts w:hint="eastAsia" w:ascii="仿宋" w:hAnsi="仿宋" w:eastAsia="仿宋" w:cs="仿宋"/>
          <w:color w:val="auto"/>
          <w:kern w:val="0"/>
          <w:sz w:val="24"/>
          <w:szCs w:val="24"/>
        </w:rPr>
        <w:t>工作完成后，按照规定向评审专家支付劳务报酬和异地评审差旅费，不得向评审专家以外的其他人员支付评审劳务报酬；</w:t>
      </w:r>
    </w:p>
    <w:p w14:paraId="019DEE96">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（10）处理与磋商有关的其他事项。</w:t>
      </w:r>
    </w:p>
    <w:p w14:paraId="455F394A">
      <w:pPr>
        <w:spacing w:line="360" w:lineRule="auto"/>
        <w:ind w:firstLine="504" w:firstLineChars="210"/>
        <w:rPr>
          <w:rFonts w:hint="eastAsia" w:ascii="仿宋" w:hAnsi="仿宋" w:eastAsia="仿宋" w:cs="仿宋"/>
          <w:color w:val="auto"/>
          <w:sz w:val="24"/>
          <w:szCs w:val="24"/>
        </w:rPr>
      </w:pPr>
      <w:r>
        <w:rPr>
          <w:rFonts w:hint="eastAsia" w:ascii="仿宋" w:hAnsi="仿宋" w:eastAsia="仿宋" w:cs="仿宋"/>
          <w:color w:val="auto"/>
          <w:sz w:val="24"/>
          <w:szCs w:val="24"/>
        </w:rPr>
        <w:t>7.3.5 采购人可以在磋商前介绍项目背景和采购需求，介绍内容不得含有歧视性、倾向性意见，不得超出磋商文件所述范围。介绍应当提交书面介绍材料，并随采购文件一并存档。</w:t>
      </w:r>
    </w:p>
    <w:p w14:paraId="4F7C4483">
      <w:pPr>
        <w:spacing w:line="360" w:lineRule="auto"/>
        <w:ind w:left="120" w:leftChars="57" w:firstLine="360" w:firstLineChars="150"/>
        <w:rPr>
          <w:rFonts w:hint="eastAsia" w:ascii="仿宋" w:hAnsi="仿宋" w:eastAsia="仿宋" w:cs="仿宋"/>
          <w:color w:val="auto"/>
          <w:sz w:val="24"/>
          <w:szCs w:val="24"/>
        </w:rPr>
      </w:pPr>
      <w:r>
        <w:rPr>
          <w:rFonts w:hint="eastAsia" w:ascii="仿宋" w:hAnsi="仿宋" w:eastAsia="仿宋" w:cs="仿宋"/>
          <w:color w:val="auto"/>
          <w:sz w:val="24"/>
          <w:szCs w:val="24"/>
        </w:rPr>
        <w:t>7.3.6 磋商过程严格保密</w:t>
      </w:r>
    </w:p>
    <w:p w14:paraId="1AD05BF5">
      <w:pPr>
        <w:autoSpaceDE w:val="0"/>
        <w:autoSpaceDN w:val="0"/>
        <w:spacing w:line="360" w:lineRule="auto"/>
        <w:ind w:firstLine="720" w:firstLineChars="300"/>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7.3.6.1 </w:t>
      </w:r>
      <w:r>
        <w:rPr>
          <w:rFonts w:hint="eastAsia" w:ascii="仿宋" w:hAnsi="仿宋" w:eastAsia="仿宋" w:cs="仿宋"/>
          <w:color w:val="auto"/>
          <w:kern w:val="0"/>
          <w:sz w:val="24"/>
          <w:szCs w:val="24"/>
        </w:rPr>
        <w:t>采购人、采购代理机构应当采取必要措施，保证磋商在严格保密的情况下进行。除采购人代表、磋商现场组织人员外，采购人的其他工作人员以及与磋商工作无关的人员不得进入磋商现场。</w:t>
      </w:r>
    </w:p>
    <w:p w14:paraId="3DD960C5">
      <w:pPr>
        <w:autoSpaceDE w:val="0"/>
        <w:autoSpaceDN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kern w:val="0"/>
          <w:sz w:val="24"/>
          <w:szCs w:val="24"/>
        </w:rPr>
        <w:t>7.3.6.2 有关人员对磋商情况以及在磋商过程中获悉的国家秘密、商业秘密负有保密责任。</w:t>
      </w:r>
      <w:r>
        <w:rPr>
          <w:rFonts w:hint="eastAsia" w:ascii="仿宋" w:hAnsi="仿宋" w:eastAsia="仿宋" w:cs="仿宋"/>
          <w:color w:val="auto"/>
          <w:sz w:val="24"/>
          <w:szCs w:val="24"/>
        </w:rPr>
        <w:t>开启响应文件后，直至授予成交供应商合同为止，凡属于对响应文件的审查、澄清、评价和比较的有关资料以及成交候选人的推荐情况，与磋商有关的其他任何情况均严格保密。</w:t>
      </w:r>
    </w:p>
    <w:p w14:paraId="310B2D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7.3.7 供应商对磋商小组的磋商过程或合同授予决定施加影响的任何行为都可能导致其响应文件无效。</w:t>
      </w:r>
    </w:p>
    <w:p w14:paraId="77DC6D03">
      <w:pPr>
        <w:tabs>
          <w:tab w:val="left" w:pos="426"/>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7.3.8 磋商完成后，磋商小组应当向采购人提交书面评审报告，并由采购代理机构转送。</w:t>
      </w:r>
    </w:p>
    <w:p w14:paraId="6D4D9939">
      <w:pPr>
        <w:outlineLvl w:val="9"/>
        <w:rPr>
          <w:rFonts w:hint="eastAsia" w:ascii="仿宋" w:hAnsi="仿宋" w:eastAsia="仿宋" w:cs="仿宋"/>
          <w:b w:val="0"/>
          <w:bCs/>
          <w:color w:val="auto"/>
          <w:sz w:val="24"/>
          <w:szCs w:val="24"/>
        </w:rPr>
      </w:pPr>
      <w:bookmarkStart w:id="76" w:name="_Toc1689"/>
      <w:r>
        <w:rPr>
          <w:rFonts w:hint="eastAsia" w:ascii="仿宋" w:hAnsi="仿宋" w:eastAsia="仿宋" w:cs="仿宋"/>
          <w:b w:val="0"/>
          <w:bCs/>
          <w:color w:val="auto"/>
          <w:sz w:val="24"/>
          <w:szCs w:val="24"/>
        </w:rPr>
        <w:t>8</w:t>
      </w:r>
      <w:bookmarkStart w:id="77" w:name="_Toc217446061"/>
      <w:r>
        <w:rPr>
          <w:rFonts w:hint="eastAsia" w:ascii="仿宋" w:hAnsi="仿宋" w:eastAsia="仿宋" w:cs="仿宋"/>
          <w:b w:val="0"/>
          <w:bCs/>
          <w:color w:val="auto"/>
          <w:sz w:val="24"/>
          <w:szCs w:val="24"/>
        </w:rPr>
        <w:t>.确定成交供应商</w:t>
      </w:r>
      <w:bookmarkEnd w:id="76"/>
    </w:p>
    <w:p w14:paraId="6006A1CC">
      <w:pPr>
        <w:spacing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8.1确定成交供应商原则</w:t>
      </w:r>
      <w:bookmarkEnd w:id="77"/>
    </w:p>
    <w:p w14:paraId="266196F2">
      <w:pPr>
        <w:spacing w:line="360" w:lineRule="auto"/>
        <w:ind w:firstLine="470" w:firstLineChars="196"/>
        <w:rPr>
          <w:rFonts w:hint="eastAsia" w:ascii="仿宋" w:hAnsi="仿宋" w:eastAsia="仿宋" w:cs="仿宋"/>
          <w:color w:val="auto"/>
          <w:sz w:val="24"/>
          <w:szCs w:val="24"/>
        </w:rPr>
      </w:pPr>
      <w:r>
        <w:rPr>
          <w:rFonts w:hint="eastAsia" w:ascii="仿宋" w:hAnsi="仿宋" w:eastAsia="仿宋" w:cs="仿宋"/>
          <w:color w:val="auto"/>
          <w:sz w:val="24"/>
          <w:szCs w:val="24"/>
        </w:rPr>
        <w:t>采购人或其授权的磋商小组按照评审报告中提出的成交候选人中，按照顺序由高到低的原则确定成交供应商。</w:t>
      </w:r>
      <w:bookmarkStart w:id="78" w:name="_Toc217446062"/>
    </w:p>
    <w:p w14:paraId="4F97148F">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8.2 确定成交供应商程序</w:t>
      </w:r>
      <w:bookmarkEnd w:id="78"/>
    </w:p>
    <w:p w14:paraId="712712FE">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8.2.1磋商小组将评审情况写出书面报告，推荐3个成交候选人，并按照综合得分高低标明排列顺序。得分相同的，按照最后报价由低到高顺序排列；得分且最后报价相同的按照技术指标优劣顺序排列。</w:t>
      </w:r>
    </w:p>
    <w:p w14:paraId="22BACE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8.2.2 采购代理机构在评审结束后2个工作日内将评审报告送采购人确认。</w:t>
      </w:r>
    </w:p>
    <w:p w14:paraId="78F62C5E">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8.2.3 采购人应当在收到评审报告后5个工作日内，按照评审报告中推荐的成交候选人中，按照顺序由高到低确定成交供应商。同时，将确定成交供应商的结果复函至采购代理机构。</w:t>
      </w:r>
    </w:p>
    <w:p w14:paraId="49FB05AC">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shd w:val="clear" w:color="auto" w:fill="FFFFFF"/>
        </w:rPr>
        <w:t>采购人在收到评审报告5个工作日内未按评审报告推荐的成交候人中顺序确定成交供应商，又不能说明合法理由的，视同按照评审报告推荐的顺序确定排名第一的成交候选人为成交供应商。</w:t>
      </w:r>
    </w:p>
    <w:p w14:paraId="0D893408">
      <w:pPr>
        <w:spacing w:line="360" w:lineRule="auto"/>
        <w:ind w:firstLine="420" w:firstLineChars="175"/>
        <w:rPr>
          <w:rFonts w:hint="eastAsia" w:ascii="仿宋" w:hAnsi="仿宋" w:eastAsia="仿宋" w:cs="仿宋"/>
          <w:color w:val="auto"/>
          <w:sz w:val="24"/>
          <w:szCs w:val="24"/>
        </w:rPr>
      </w:pPr>
      <w:r>
        <w:rPr>
          <w:rFonts w:hint="eastAsia" w:ascii="仿宋" w:hAnsi="仿宋" w:eastAsia="仿宋" w:cs="仿宋"/>
          <w:color w:val="auto"/>
          <w:sz w:val="24"/>
          <w:szCs w:val="24"/>
        </w:rPr>
        <w:t>8.2.4 采购代理机构应当在收到采购人“确定成交供应商结果”复函之日起2个工作日内，根据采购人确定的成交供应商，在省级以上财政部门指定的媒体上发布成交公告，同时向成交供应商发出《成交通知书》。</w:t>
      </w:r>
    </w:p>
    <w:p w14:paraId="38BB4CAB">
      <w:pPr>
        <w:widowControl/>
        <w:spacing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8.2.5 采购代理机构，应当</w:t>
      </w:r>
      <w:r>
        <w:rPr>
          <w:rFonts w:hint="eastAsia" w:ascii="仿宋" w:hAnsi="仿宋" w:eastAsia="仿宋" w:cs="仿宋"/>
          <w:color w:val="auto"/>
          <w:kern w:val="0"/>
          <w:sz w:val="24"/>
          <w:szCs w:val="24"/>
        </w:rPr>
        <w:t>对未通过资格审查或者符合性审查的供应商，告知其未通过的原因。</w:t>
      </w:r>
      <w:r>
        <w:rPr>
          <w:rFonts w:hint="eastAsia" w:ascii="宋体" w:hAnsi="宋体"/>
          <w:color w:val="auto"/>
          <w:szCs w:val="21"/>
        </w:rPr>
        <w:t xml:space="preserve"> </w:t>
      </w:r>
    </w:p>
    <w:p w14:paraId="634BB95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8.3 成交通知书</w:t>
      </w:r>
    </w:p>
    <w:p w14:paraId="443D2856">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w:t>
      </w:r>
      <w:r>
        <w:rPr>
          <w:rFonts w:hint="eastAsia" w:ascii="仿宋" w:hAnsi="仿宋" w:eastAsia="仿宋" w:cs="仿宋"/>
          <w:b/>
          <w:bCs/>
          <w:color w:val="auto"/>
          <w:sz w:val="24"/>
          <w:szCs w:val="24"/>
        </w:rPr>
        <w:t>.</w:t>
      </w:r>
      <w:r>
        <w:rPr>
          <w:rFonts w:hint="eastAsia" w:ascii="仿宋" w:hAnsi="仿宋" w:eastAsia="仿宋" w:cs="仿宋"/>
          <w:color w:val="auto"/>
          <w:sz w:val="24"/>
          <w:szCs w:val="24"/>
        </w:rPr>
        <w:t>1 成交通知书为签订政府采购合同的依据之一，是合同的有效组成部分。</w:t>
      </w:r>
    </w:p>
    <w:p w14:paraId="71B139C2">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8.3.2 成交通知书对采购人和成交供应商均具有法律效力。</w:t>
      </w:r>
      <w:r>
        <w:rPr>
          <w:rFonts w:hint="eastAsia" w:ascii="仿宋" w:hAnsi="仿宋" w:eastAsia="仿宋" w:cs="仿宋"/>
          <w:color w:val="auto"/>
          <w:sz w:val="24"/>
          <w:szCs w:val="24"/>
          <w:shd w:val="clear" w:color="auto" w:fill="FFFFFF"/>
        </w:rPr>
        <w:t>成交通知书发出后，采购人不得违法改变成交结果，成交供应商无正当理由不得放弃成交资格。否则，</w:t>
      </w:r>
      <w:r>
        <w:rPr>
          <w:rFonts w:hint="eastAsia" w:ascii="仿宋" w:hAnsi="仿宋" w:eastAsia="仿宋" w:cs="仿宋"/>
          <w:color w:val="auto"/>
          <w:sz w:val="24"/>
          <w:szCs w:val="24"/>
        </w:rPr>
        <w:t>应当承担相应的法律责任。</w:t>
      </w:r>
    </w:p>
    <w:p w14:paraId="4C88EBE7">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8.3.3 成交供应商应当在接到采购代理机构通知之日起2个工作日内领取《成交通知书》。</w:t>
      </w:r>
    </w:p>
    <w:p w14:paraId="48031AAD">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8.3.4 在《成交通知书》发出后，发现成交供应商有政府采购法律法规规章制度规定的成交无效情形的，采购代理机构应当宣布发出的成交通知书无效，并收回发出的成交通知书（成交供应商也应当交回），依法重新确定成交供应商或者重新开展采购活动，同时向同级财政部门报告。</w:t>
      </w:r>
      <w:bookmarkEnd w:id="75"/>
      <w:bookmarkStart w:id="79" w:name="_Toc217446064"/>
      <w:bookmarkStart w:id="80" w:name="_Toc183682377"/>
      <w:bookmarkStart w:id="81" w:name="_Toc183582240"/>
      <w:bookmarkStart w:id="82" w:name="_Toc217446065"/>
    </w:p>
    <w:p w14:paraId="1C23D175">
      <w:pPr>
        <w:outlineLvl w:val="9"/>
        <w:rPr>
          <w:rFonts w:hint="eastAsia" w:ascii="仿宋" w:hAnsi="仿宋" w:eastAsia="仿宋" w:cs="仿宋"/>
          <w:b w:val="0"/>
          <w:bCs/>
          <w:color w:val="auto"/>
          <w:sz w:val="24"/>
          <w:szCs w:val="24"/>
        </w:rPr>
      </w:pPr>
      <w:bookmarkStart w:id="83" w:name="_Toc28420"/>
      <w:r>
        <w:rPr>
          <w:rFonts w:hint="eastAsia" w:ascii="仿宋" w:hAnsi="仿宋" w:eastAsia="仿宋" w:cs="仿宋"/>
          <w:b w:val="0"/>
          <w:bCs/>
          <w:color w:val="auto"/>
          <w:sz w:val="24"/>
          <w:szCs w:val="24"/>
        </w:rPr>
        <w:t>9.合同</w:t>
      </w:r>
      <w:bookmarkEnd w:id="79"/>
      <w:r>
        <w:rPr>
          <w:rFonts w:hint="eastAsia" w:ascii="仿宋" w:hAnsi="仿宋" w:eastAsia="仿宋" w:cs="仿宋"/>
          <w:b w:val="0"/>
          <w:bCs/>
          <w:color w:val="auto"/>
          <w:sz w:val="24"/>
          <w:szCs w:val="24"/>
        </w:rPr>
        <w:t>授予</w:t>
      </w:r>
      <w:bookmarkEnd w:id="83"/>
    </w:p>
    <w:p w14:paraId="71B798FC">
      <w:pPr>
        <w:tabs>
          <w:tab w:val="left" w:pos="7665"/>
        </w:tabs>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9.1 履约保证金</w:t>
      </w:r>
    </w:p>
    <w:p w14:paraId="0654300F">
      <w:pPr>
        <w:tabs>
          <w:tab w:val="left" w:pos="7665"/>
        </w:tabs>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9.1.1本项目按照供应商须知前附表规定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566B3FBF">
      <w:pPr>
        <w:tabs>
          <w:tab w:val="left" w:pos="7665"/>
        </w:tabs>
        <w:spacing w:line="360" w:lineRule="auto"/>
        <w:ind w:firstLine="482"/>
        <w:rPr>
          <w:rFonts w:hint="eastAsia" w:ascii="仿宋" w:hAnsi="仿宋" w:eastAsia="仿宋" w:cs="仿宋"/>
          <w:b/>
          <w:color w:val="auto"/>
          <w:sz w:val="24"/>
          <w:szCs w:val="24"/>
        </w:rPr>
      </w:pPr>
      <w:r>
        <w:rPr>
          <w:rFonts w:hint="eastAsia" w:ascii="仿宋" w:hAnsi="仿宋" w:eastAsia="仿宋" w:cs="仿宋"/>
          <w:color w:val="auto"/>
          <w:sz w:val="24"/>
          <w:szCs w:val="24"/>
        </w:rPr>
        <w:t>9.1.2 成交供应商</w:t>
      </w:r>
      <w:r>
        <w:rPr>
          <w:rFonts w:hint="eastAsia" w:ascii="仿宋" w:hAnsi="仿宋" w:eastAsia="仿宋" w:cs="仿宋"/>
          <w:color w:val="auto"/>
          <w:spacing w:val="4"/>
          <w:sz w:val="24"/>
          <w:szCs w:val="24"/>
        </w:rPr>
        <w:t>不能按照本章第9.1.1项规定</w:t>
      </w:r>
      <w:r>
        <w:rPr>
          <w:rFonts w:hint="eastAsia" w:ascii="仿宋" w:hAnsi="仿宋" w:eastAsia="仿宋" w:cs="仿宋"/>
          <w:color w:val="auto"/>
          <w:sz w:val="24"/>
          <w:szCs w:val="24"/>
        </w:rPr>
        <w:t>提交履约保证金或履约担保的</w:t>
      </w:r>
      <w:r>
        <w:rPr>
          <w:rFonts w:hint="eastAsia" w:ascii="仿宋" w:hAnsi="仿宋" w:eastAsia="仿宋" w:cs="仿宋"/>
          <w:color w:val="auto"/>
          <w:spacing w:val="4"/>
          <w:sz w:val="24"/>
          <w:szCs w:val="24"/>
        </w:rPr>
        <w:t>，视为放弃</w:t>
      </w:r>
      <w:r>
        <w:rPr>
          <w:rFonts w:hint="eastAsia" w:ascii="仿宋" w:hAnsi="仿宋" w:eastAsia="仿宋" w:cs="仿宋"/>
          <w:color w:val="auto"/>
          <w:sz w:val="24"/>
          <w:szCs w:val="24"/>
        </w:rPr>
        <w:t>成交资格</w:t>
      </w:r>
      <w:r>
        <w:rPr>
          <w:rFonts w:hint="eastAsia" w:ascii="仿宋" w:hAnsi="仿宋" w:eastAsia="仿宋" w:cs="仿宋"/>
          <w:color w:val="auto"/>
          <w:spacing w:val="4"/>
          <w:sz w:val="24"/>
          <w:szCs w:val="24"/>
        </w:rPr>
        <w:t>，</w:t>
      </w:r>
      <w:r>
        <w:rPr>
          <w:rFonts w:hint="eastAsia" w:ascii="仿宋" w:hAnsi="仿宋" w:eastAsia="仿宋" w:cs="仿宋"/>
          <w:color w:val="auto"/>
          <w:spacing w:val="2"/>
          <w:sz w:val="24"/>
          <w:szCs w:val="24"/>
        </w:rPr>
        <w:t>其磋商保证金不予退还，给采购人造成损失的，成交供应商应当予以赔偿。</w:t>
      </w:r>
    </w:p>
    <w:p w14:paraId="1E8EA005">
      <w:pPr>
        <w:tabs>
          <w:tab w:val="left" w:pos="7665"/>
        </w:tabs>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9.2 签订合同</w:t>
      </w:r>
    </w:p>
    <w:p w14:paraId="2A67421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9.2.1 采购人应当自《成交通知书》发出之日起</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日内，按照磋商文件和成交供应商响应文件的的规定，与成交供应商签订书面合同。成交供应商无正当理由拒签合同，或者在签订合同时向采购人提出附件条件，采购人有权取消其成交资格，其磋商保证金不予退还，给采购人造成损失的，</w:t>
      </w:r>
      <w:r>
        <w:rPr>
          <w:rFonts w:hint="eastAsia" w:ascii="仿宋" w:hAnsi="仿宋" w:eastAsia="仿宋" w:cs="仿宋"/>
          <w:color w:val="auto"/>
          <w:spacing w:val="2"/>
          <w:sz w:val="24"/>
          <w:szCs w:val="24"/>
        </w:rPr>
        <w:t>成交供应商应当予以赔偿。采购人可以</w:t>
      </w:r>
      <w:r>
        <w:rPr>
          <w:rFonts w:hint="eastAsia" w:ascii="仿宋" w:hAnsi="仿宋" w:eastAsia="仿宋" w:cs="仿宋"/>
          <w:color w:val="auto"/>
          <w:sz w:val="24"/>
          <w:szCs w:val="24"/>
        </w:rPr>
        <w:t>按照评审报告推荐的成交候选人名单排序确定下一候选人为成交供应商，并签订合同或者重新开展采购活动。拒绝签订政府采购合同的成交供应商不得参加对该项目重新开展的采购活动。</w:t>
      </w:r>
    </w:p>
    <w:p w14:paraId="22C294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9.2.2 发出成交通知书后，采购人不得向成交供应商提出任何不合理要求，作为签订合的条件，不得与成交供应商私下订立背离合同实质性内容的任何协议，所签订的合同不得对磋商文件确定的事项和成交供应商响应文件做实质性修改。</w:t>
      </w:r>
    </w:p>
    <w:bookmarkEnd w:id="80"/>
    <w:bookmarkEnd w:id="81"/>
    <w:bookmarkEnd w:id="82"/>
    <w:p w14:paraId="62826366">
      <w:pPr>
        <w:spacing w:line="360" w:lineRule="auto"/>
        <w:ind w:firstLine="480" w:firstLineChars="200"/>
        <w:rPr>
          <w:rFonts w:hint="eastAsia" w:ascii="仿宋" w:hAnsi="仿宋" w:eastAsia="仿宋" w:cs="仿宋"/>
          <w:color w:val="auto"/>
          <w:sz w:val="24"/>
          <w:szCs w:val="24"/>
        </w:rPr>
      </w:pPr>
      <w:bookmarkStart w:id="84" w:name="_Toc217446081"/>
      <w:r>
        <w:rPr>
          <w:rFonts w:hint="eastAsia" w:ascii="仿宋" w:hAnsi="仿宋" w:eastAsia="仿宋" w:cs="仿宋"/>
          <w:color w:val="auto"/>
          <w:sz w:val="24"/>
          <w:szCs w:val="24"/>
        </w:rPr>
        <w:t>9.2.3 联合体成交的，联合体各方应当与采购人签订采购合同，就成交项目向采购人承担连带责任。</w:t>
      </w:r>
    </w:p>
    <w:p w14:paraId="38905408">
      <w:pPr>
        <w:tabs>
          <w:tab w:val="left" w:pos="426"/>
        </w:tabs>
        <w:autoSpaceDE w:val="0"/>
        <w:autoSpaceDN w:val="0"/>
        <w:adjustRightInd w:val="0"/>
        <w:snapToGrid w:val="0"/>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9.3 合同履行</w:t>
      </w:r>
    </w:p>
    <w:p w14:paraId="480E1136">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9.3.1 政府采购合同的履行、违约责任和解决争议的方法等适用《中华人民共和国民法典》。</w:t>
      </w:r>
    </w:p>
    <w:p w14:paraId="15048136">
      <w:pPr>
        <w:tabs>
          <w:tab w:val="left" w:pos="426"/>
        </w:tabs>
        <w:autoSpaceDE w:val="0"/>
        <w:autoSpaceDN w:val="0"/>
        <w:adjustRightInd w:val="0"/>
        <w:snapToGrid w:val="0"/>
        <w:spacing w:line="360" w:lineRule="auto"/>
        <w:ind w:firstLine="480"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9.3.2 </w:t>
      </w:r>
      <w:r>
        <w:rPr>
          <w:rFonts w:hint="eastAsia" w:ascii="仿宋" w:hAnsi="仿宋" w:eastAsia="仿宋" w:cs="仿宋"/>
          <w:color w:val="auto"/>
          <w:sz w:val="24"/>
          <w:szCs w:val="24"/>
          <w:lang w:eastAsia="zh-TW"/>
        </w:rPr>
        <w:t>政府采购合同订立后，合同各方不得擅自变更</w:t>
      </w:r>
      <w:r>
        <w:rPr>
          <w:rFonts w:hint="eastAsia" w:ascii="仿宋" w:hAnsi="仿宋" w:eastAsia="仿宋" w:cs="仿宋"/>
          <w:color w:val="auto"/>
          <w:sz w:val="24"/>
          <w:szCs w:val="24"/>
        </w:rPr>
        <w:t>或者</w:t>
      </w:r>
      <w:r>
        <w:rPr>
          <w:rFonts w:hint="eastAsia" w:ascii="仿宋" w:hAnsi="仿宋" w:eastAsia="仿宋" w:cs="仿宋"/>
          <w:color w:val="auto"/>
          <w:sz w:val="24"/>
          <w:szCs w:val="24"/>
          <w:lang w:eastAsia="zh-TW"/>
        </w:rPr>
        <w:t>中止或者终止合同。政府采购合同需要变更的，采购人应将有关合同变更内容，以书面形式报政府采购监督管理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备案；因特殊情况需要中止或终止合同的，采购人应将中止或终止合同的理由以及相应措施，以书面形式报政府采购监督管理</w:t>
      </w:r>
      <w:r>
        <w:rPr>
          <w:rFonts w:hint="eastAsia" w:ascii="仿宋" w:hAnsi="仿宋" w:eastAsia="仿宋" w:cs="仿宋"/>
          <w:color w:val="auto"/>
          <w:sz w:val="24"/>
          <w:szCs w:val="24"/>
        </w:rPr>
        <w:t>部门</w:t>
      </w:r>
      <w:r>
        <w:rPr>
          <w:rFonts w:hint="eastAsia" w:ascii="仿宋" w:hAnsi="仿宋" w:eastAsia="仿宋" w:cs="仿宋"/>
          <w:color w:val="auto"/>
          <w:sz w:val="24"/>
          <w:szCs w:val="24"/>
          <w:lang w:eastAsia="zh-TW"/>
        </w:rPr>
        <w:t>备案。</w:t>
      </w:r>
    </w:p>
    <w:p w14:paraId="56B63FAF">
      <w:pPr>
        <w:tabs>
          <w:tab w:val="left" w:pos="426"/>
        </w:tabs>
        <w:autoSpaceDE w:val="0"/>
        <w:autoSpaceDN w:val="0"/>
        <w:adjustRightInd w:val="0"/>
        <w:snapToGrid w:val="0"/>
        <w:spacing w:line="360" w:lineRule="auto"/>
        <w:ind w:firstLine="480" w:firstLineChars="200"/>
        <w:rPr>
          <w:rFonts w:hint="eastAsia" w:ascii="仿宋" w:hAnsi="仿宋" w:eastAsia="仿宋" w:cs="仿宋"/>
          <w:color w:val="auto"/>
          <w:sz w:val="24"/>
          <w:szCs w:val="24"/>
          <w:lang w:eastAsia="zh-TW"/>
        </w:rPr>
      </w:pPr>
      <w:r>
        <w:rPr>
          <w:rFonts w:hint="eastAsia" w:ascii="仿宋" w:hAnsi="仿宋" w:eastAsia="仿宋" w:cs="仿宋"/>
          <w:color w:val="auto"/>
          <w:sz w:val="24"/>
          <w:szCs w:val="24"/>
        </w:rPr>
        <w:t xml:space="preserve">9.3.3 </w:t>
      </w:r>
      <w:r>
        <w:rPr>
          <w:rFonts w:hint="eastAsia" w:ascii="仿宋" w:hAnsi="仿宋" w:eastAsia="仿宋" w:cs="仿宋"/>
          <w:color w:val="auto"/>
          <w:sz w:val="24"/>
          <w:szCs w:val="24"/>
          <w:lang w:eastAsia="zh-TW"/>
        </w:rPr>
        <w:t>政府采购合同履行中，采购人需追加与合同标的相同的货物的，在不改变合同其他条款的前提下，可以与</w:t>
      </w:r>
      <w:r>
        <w:rPr>
          <w:rFonts w:hint="eastAsia" w:ascii="仿宋" w:hAnsi="仿宋" w:eastAsia="仿宋" w:cs="仿宋"/>
          <w:color w:val="auto"/>
          <w:sz w:val="24"/>
          <w:szCs w:val="24"/>
        </w:rPr>
        <w:t>成交供应商</w:t>
      </w:r>
      <w:r>
        <w:rPr>
          <w:rFonts w:hint="eastAsia" w:ascii="仿宋" w:hAnsi="仿宋" w:eastAsia="仿宋" w:cs="仿宋"/>
          <w:color w:val="auto"/>
          <w:sz w:val="24"/>
          <w:szCs w:val="24"/>
          <w:lang w:eastAsia="zh-TW"/>
        </w:rPr>
        <w:t>签订补充合同，但所补充合同的采购金额不得超过原</w:t>
      </w:r>
      <w:r>
        <w:rPr>
          <w:rFonts w:hint="eastAsia" w:ascii="仿宋" w:hAnsi="仿宋" w:eastAsia="仿宋" w:cs="仿宋"/>
          <w:color w:val="auto"/>
          <w:sz w:val="24"/>
          <w:szCs w:val="24"/>
        </w:rPr>
        <w:t>合同</w:t>
      </w:r>
      <w:r>
        <w:rPr>
          <w:rFonts w:hint="eastAsia" w:ascii="仿宋" w:hAnsi="仿宋" w:eastAsia="仿宋" w:cs="仿宋"/>
          <w:color w:val="auto"/>
          <w:sz w:val="24"/>
          <w:szCs w:val="24"/>
          <w:lang w:eastAsia="zh-TW"/>
        </w:rPr>
        <w:t>采购金额的百分之十。签订补充合同的</w:t>
      </w:r>
      <w:r>
        <w:rPr>
          <w:rFonts w:hint="eastAsia" w:ascii="仿宋" w:hAnsi="仿宋" w:eastAsia="仿宋" w:cs="仿宋"/>
          <w:color w:val="auto"/>
          <w:sz w:val="24"/>
          <w:szCs w:val="24"/>
        </w:rPr>
        <w:t>应</w:t>
      </w:r>
      <w:r>
        <w:rPr>
          <w:rFonts w:hint="eastAsia" w:ascii="仿宋" w:hAnsi="仿宋" w:eastAsia="仿宋" w:cs="仿宋"/>
          <w:color w:val="auto"/>
          <w:sz w:val="24"/>
          <w:szCs w:val="24"/>
          <w:lang w:eastAsia="zh-TW"/>
        </w:rPr>
        <w:t>按规定备案。</w:t>
      </w:r>
    </w:p>
    <w:p w14:paraId="79438430">
      <w:pPr>
        <w:tabs>
          <w:tab w:val="left" w:pos="426"/>
        </w:tabs>
        <w:autoSpaceDE w:val="0"/>
        <w:autoSpaceDN w:val="0"/>
        <w:adjustRightInd w:val="0"/>
        <w:snapToGrid w:val="0"/>
        <w:spacing w:line="360" w:lineRule="auto"/>
        <w:ind w:firstLine="480" w:firstLineChars="200"/>
        <w:rPr>
          <w:color w:val="auto"/>
        </w:rPr>
      </w:pPr>
      <w:r>
        <w:rPr>
          <w:rFonts w:hint="eastAsia" w:ascii="仿宋" w:hAnsi="仿宋" w:eastAsia="仿宋" w:cs="仿宋"/>
          <w:color w:val="auto"/>
          <w:sz w:val="24"/>
          <w:szCs w:val="24"/>
        </w:rPr>
        <w:t>9.3.4 供应商须知前附表规定允许合同分包的，成交供应商享受了中小企业政府采购扶持政策，在履行合同时，未按分包意向协议约定的比例分包给小微企业的，视为提供虚假材料谋取中标情形，采购人将依法追究其法律责任。</w:t>
      </w:r>
    </w:p>
    <w:p w14:paraId="4BDDFC40">
      <w:pPr>
        <w:outlineLvl w:val="9"/>
        <w:rPr>
          <w:rFonts w:hint="eastAsia" w:ascii="仿宋" w:hAnsi="仿宋" w:eastAsia="仿宋" w:cs="仿宋"/>
          <w:b w:val="0"/>
          <w:bCs/>
          <w:color w:val="auto"/>
          <w:sz w:val="24"/>
          <w:szCs w:val="24"/>
        </w:rPr>
      </w:pPr>
      <w:bookmarkStart w:id="85" w:name="_Toc25071"/>
      <w:r>
        <w:rPr>
          <w:rFonts w:hint="eastAsia" w:ascii="仿宋" w:hAnsi="仿宋" w:eastAsia="仿宋" w:cs="仿宋"/>
          <w:b w:val="0"/>
          <w:bCs/>
          <w:color w:val="auto"/>
          <w:sz w:val="24"/>
          <w:szCs w:val="24"/>
        </w:rPr>
        <w:t>10.终止磋商</w:t>
      </w:r>
      <w:bookmarkEnd w:id="85"/>
    </w:p>
    <w:p w14:paraId="68A8CD78">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10.1出现下列情形之一的，采购人或者采购代理机构应当终止本次竞争性磋商采购活动，发布终止公告并说明原因，重新开展采购活动：</w:t>
      </w:r>
    </w:p>
    <w:p w14:paraId="15FA00EA">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（1）因情况变化，不再符合规定的竞争性磋商采购方式适用情形的；</w:t>
      </w:r>
    </w:p>
    <w:p w14:paraId="70EFBBFF">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（2）出现影响采购公正的违法、违规行为的；</w:t>
      </w:r>
    </w:p>
    <w:p w14:paraId="028354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（3）除《政府采购竞争性磋商采购方式管理暂行办法》办法第21条第3款规定的情形外，在采购过程中符合要求的供应商或者磋商报价未超过采购预算的供应商不足3家的。</w:t>
      </w:r>
    </w:p>
    <w:p w14:paraId="382A0151">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10.2在采购活动中因重大变故，采购任务取消的，采购人或者采购代理机构应当终止</w:t>
      </w:r>
      <w:r>
        <w:rPr>
          <w:rFonts w:hint="eastAsia" w:ascii="仿宋" w:hAnsi="仿宋" w:eastAsia="仿宋" w:cs="仿宋"/>
          <w:bCs/>
          <w:snapToGrid w:val="0"/>
          <w:color w:val="auto"/>
          <w:kern w:val="0"/>
          <w:sz w:val="24"/>
          <w:szCs w:val="24"/>
        </w:rPr>
        <w:t>项目</w:t>
      </w:r>
      <w:r>
        <w:rPr>
          <w:rFonts w:hint="eastAsia" w:ascii="仿宋" w:hAnsi="仿宋" w:eastAsia="仿宋" w:cs="仿宋"/>
          <w:snapToGrid w:val="0"/>
          <w:color w:val="auto"/>
          <w:kern w:val="0"/>
          <w:sz w:val="24"/>
          <w:szCs w:val="24"/>
        </w:rPr>
        <w:t>采购活动，通知所有参加采购活动的供应商，并将项目实施情况和采购任务取消原因报送本级财政部门。</w:t>
      </w:r>
    </w:p>
    <w:p w14:paraId="33008B7E">
      <w:pPr>
        <w:outlineLvl w:val="9"/>
        <w:rPr>
          <w:rFonts w:hint="eastAsia" w:ascii="仿宋" w:hAnsi="仿宋" w:eastAsia="仿宋" w:cs="仿宋"/>
          <w:b w:val="0"/>
          <w:bCs/>
          <w:color w:val="auto"/>
          <w:sz w:val="24"/>
          <w:szCs w:val="24"/>
        </w:rPr>
      </w:pPr>
      <w:bookmarkStart w:id="86" w:name="_Toc3421"/>
      <w:r>
        <w:rPr>
          <w:rFonts w:hint="eastAsia" w:ascii="仿宋" w:hAnsi="仿宋" w:eastAsia="仿宋" w:cs="仿宋"/>
          <w:b w:val="0"/>
          <w:bCs/>
          <w:color w:val="auto"/>
          <w:sz w:val="24"/>
          <w:szCs w:val="24"/>
        </w:rPr>
        <w:t>11.采购代理服务费</w:t>
      </w:r>
      <w:bookmarkEnd w:id="86"/>
    </w:p>
    <w:p w14:paraId="5A3B94F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11.1 </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采购代理服务费</w:t>
      </w:r>
      <w:r>
        <w:rPr>
          <w:rFonts w:hint="eastAsia" w:ascii="仿宋" w:hAnsi="仿宋" w:eastAsia="仿宋" w:cs="仿宋"/>
          <w:color w:val="auto"/>
          <w:sz w:val="24"/>
          <w:szCs w:val="24"/>
          <w:lang w:val="en-US" w:eastAsia="zh-CN"/>
        </w:rPr>
        <w:t>由成交单位支付</w:t>
      </w:r>
      <w:r>
        <w:rPr>
          <w:rFonts w:hint="eastAsia" w:ascii="仿宋" w:hAnsi="仿宋" w:eastAsia="仿宋" w:cs="仿宋"/>
          <w:color w:val="auto"/>
          <w:sz w:val="24"/>
          <w:szCs w:val="24"/>
        </w:rPr>
        <w:t>。</w:t>
      </w:r>
    </w:p>
    <w:p w14:paraId="182C068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11.2 采购代理服务费依据《国家计委关于印发招标代理服务收费管理暂行办法的通知》（计价格【2002】1980号）和国家发改委办公厅颁发的《关于招标代理服务收费有关问题的通知》（发改办价格【2003】857号）文件规定</w:t>
      </w:r>
      <w:r>
        <w:rPr>
          <w:rFonts w:hint="eastAsia" w:ascii="仿宋" w:hAnsi="仿宋" w:eastAsia="仿宋" w:cs="仿宋"/>
          <w:color w:val="auto"/>
          <w:sz w:val="24"/>
          <w:szCs w:val="24"/>
          <w:lang w:val="en-US" w:eastAsia="zh-CN"/>
        </w:rPr>
        <w:t>下浮5%</w:t>
      </w:r>
      <w:r>
        <w:rPr>
          <w:rFonts w:hint="eastAsia" w:ascii="仿宋" w:hAnsi="仿宋" w:eastAsia="仿宋" w:cs="仿宋"/>
          <w:color w:val="auto"/>
          <w:sz w:val="24"/>
          <w:szCs w:val="24"/>
        </w:rPr>
        <w:t>收取。</w:t>
      </w:r>
    </w:p>
    <w:p w14:paraId="78DC698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11.3 采购代理服务费，可以采取现金、支票、银行汇票、电汇、网银等方式交纳。</w:t>
      </w:r>
    </w:p>
    <w:p w14:paraId="7282096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11.4代理服务费账户信息</w:t>
      </w:r>
    </w:p>
    <w:p w14:paraId="5F22A6B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开户名称：陕西优正项目管理有限公司</w:t>
      </w:r>
    </w:p>
    <w:p w14:paraId="27F4D69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开户银行：中国银行股份有限公司咸阳渭城区支行</w:t>
      </w:r>
    </w:p>
    <w:p w14:paraId="4AA563F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账    号：102075807616</w:t>
      </w:r>
    </w:p>
    <w:p w14:paraId="40816527">
      <w:pPr>
        <w:outlineLvl w:val="9"/>
        <w:rPr>
          <w:rFonts w:hint="eastAsia" w:ascii="仿宋" w:hAnsi="仿宋" w:eastAsia="仿宋" w:cs="仿宋"/>
          <w:b w:val="0"/>
          <w:bCs/>
          <w:color w:val="auto"/>
          <w:sz w:val="24"/>
          <w:szCs w:val="24"/>
        </w:rPr>
      </w:pPr>
      <w:bookmarkStart w:id="87" w:name="_Toc9328"/>
      <w:r>
        <w:rPr>
          <w:rFonts w:hint="eastAsia" w:ascii="仿宋" w:hAnsi="仿宋" w:eastAsia="仿宋" w:cs="仿宋"/>
          <w:b w:val="0"/>
          <w:bCs/>
          <w:color w:val="auto"/>
          <w:sz w:val="24"/>
          <w:szCs w:val="24"/>
        </w:rPr>
        <w:t>12.质疑与投诉</w:t>
      </w:r>
      <w:bookmarkEnd w:id="87"/>
    </w:p>
    <w:p w14:paraId="60C94A4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12.1质疑</w:t>
      </w:r>
    </w:p>
    <w:p w14:paraId="0B6DBED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12.1.1如供应商对本次采购活动有疑问，认为需要提出质疑和投诉的，应当按照《政府采购质疑投诉办法》（财政部94号令）的有关规定办理。</w:t>
      </w:r>
    </w:p>
    <w:p w14:paraId="26EB3366">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12.1.2 供应商对采购文件、采购过程或成交结果使自身的合法权益受到损害，应当在法定期限内，按照质疑函范本格式要求以书面形式向采购代理机构或采购人提出质疑，并附必要的证明材料</w:t>
      </w:r>
      <w:r>
        <w:rPr>
          <w:rFonts w:hint="eastAsia" w:ascii="宋体" w:hAnsi="宋体"/>
          <w:color w:val="auto"/>
          <w:szCs w:val="21"/>
        </w:rPr>
        <w:t>。</w:t>
      </w:r>
    </w:p>
    <w:p w14:paraId="3385FE1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12.1.3 质疑函应当包括下列内容：</w:t>
      </w:r>
    </w:p>
    <w:p w14:paraId="5B271A6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供应商的姓名或者名称、地址、邮编、联系人及联系电话；</w:t>
      </w:r>
    </w:p>
    <w:p w14:paraId="1D1E56B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（2）质疑项目的名称、编号；</w:t>
      </w:r>
    </w:p>
    <w:p w14:paraId="128A1D0F">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（3）具体、明确的质疑事项和与质疑事项相关的请求；</w:t>
      </w:r>
    </w:p>
    <w:p w14:paraId="0588EA32">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（4）事实依据；</w:t>
      </w:r>
    </w:p>
    <w:p w14:paraId="152382C0">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（5）必要的法律依据；</w:t>
      </w:r>
    </w:p>
    <w:p w14:paraId="1B683818">
      <w:pPr>
        <w:widowControl/>
        <w:spacing w:line="360" w:lineRule="auto"/>
        <w:ind w:right="227" w:firstLine="600" w:firstLineChars="2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（6）提出质疑的日期。</w:t>
      </w:r>
    </w:p>
    <w:p w14:paraId="578D7950">
      <w:pPr>
        <w:widowControl/>
        <w:spacing w:line="360" w:lineRule="auto"/>
        <w:ind w:right="227"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供应商为自然人的，应当由本人签字；供应商为法人或者其他组织的，应当由法定代表人、主要负责人，或者其委托代理人签字或者盖章，并加盖单位章。</w:t>
      </w:r>
    </w:p>
    <w:p w14:paraId="70562CF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12.1.4质疑人可以委托代理人办理质疑事项，代理人办理质疑事项时，除提交质疑函外，还应当提交质疑人的授权委托书及代理人的有效身份证明，授权委托书应当载明委托代理的具体权限期限和相关事项。</w:t>
      </w:r>
    </w:p>
    <w:p w14:paraId="175A45D7">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12.1.5 质疑函范本格式在中国政府采购网站（http://www.ccgp.gov.cn/）自行下载。</w:t>
      </w:r>
    </w:p>
    <w:p w14:paraId="5F9BC451">
      <w:pPr>
        <w:widowControl/>
        <w:spacing w:line="360" w:lineRule="auto"/>
        <w:ind w:right="225"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12.1.6 </w:t>
      </w:r>
      <w:r>
        <w:rPr>
          <w:rFonts w:hint="eastAsia" w:ascii="仿宋" w:hAnsi="仿宋" w:eastAsia="仿宋" w:cs="仿宋"/>
          <w:color w:val="auto"/>
          <w:kern w:val="0"/>
          <w:sz w:val="24"/>
          <w:szCs w:val="24"/>
        </w:rPr>
        <w:t>接收质疑函的联系部门、联系电话和通讯地址同磋商公告。</w:t>
      </w:r>
    </w:p>
    <w:p w14:paraId="1C0C8074">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12.1.7 有下列情形之一的，属于无效质疑，采购代理机构和采购人不予受理：</w:t>
      </w:r>
    </w:p>
    <w:p w14:paraId="2BD9C66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（1）质疑人不是参与本次政府采购项目的供应商；</w:t>
      </w:r>
    </w:p>
    <w:p w14:paraId="45EA405A">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（2）质疑人与质疑事项不存在利害关系的；</w:t>
      </w:r>
    </w:p>
    <w:p w14:paraId="21AAAFB3">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（3）未在法定期限内提出质疑的；</w:t>
      </w:r>
    </w:p>
    <w:p w14:paraId="06B35595">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（4）质疑未以书面形式提出，以传真、电子邮件、移动通信等形式即时收悉提交的质疑材料；</w:t>
      </w:r>
    </w:p>
    <w:p w14:paraId="35814762">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（5）质疑未按质疑函范本格式提出的；</w:t>
      </w:r>
    </w:p>
    <w:p w14:paraId="36C3AC0C">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（6）未提交营业执照或法人证书复印件，由授权代表签字的，未提交授权委托书；</w:t>
      </w:r>
    </w:p>
    <w:p w14:paraId="682B3846">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（7）质疑书没有合法有效的签字、盖章的；</w:t>
      </w:r>
    </w:p>
    <w:p w14:paraId="31AAFF1E">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（8）以非法手段取得证据、材料的；</w:t>
      </w:r>
    </w:p>
    <w:p w14:paraId="526EBE00">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（9）质疑答复后，同一质疑人就同一事项再次提出质疑的；</w:t>
      </w:r>
    </w:p>
    <w:p w14:paraId="1F9951BB">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（10）不符合法律、法规、规章和政府采购监管机构规定的其他条件的。</w:t>
      </w:r>
    </w:p>
    <w:p w14:paraId="49996798">
      <w:pPr>
        <w:widowControl/>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12.1.8 采购代理机构或采购人将在收到书面质疑后7个工作日内做出答复，并以书面形式通知质疑人和其他有关供应商。</w:t>
      </w:r>
    </w:p>
    <w:p w14:paraId="5CD1B9E4">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12.2 投诉</w:t>
      </w:r>
    </w:p>
    <w:p w14:paraId="4184C8D9">
      <w:pPr>
        <w:widowControl/>
        <w:tabs>
          <w:tab w:val="left" w:pos="8931"/>
        </w:tabs>
        <w:spacing w:line="360" w:lineRule="auto"/>
        <w:ind w:right="-113"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12.2.1 质疑人对采购代理机构或采购人的答复不满意，</w:t>
      </w:r>
      <w:r>
        <w:rPr>
          <w:rFonts w:hint="eastAsia" w:ascii="仿宋" w:hAnsi="仿宋" w:eastAsia="仿宋" w:cs="仿宋"/>
          <w:color w:val="auto"/>
          <w:kern w:val="0"/>
          <w:sz w:val="24"/>
          <w:szCs w:val="24"/>
        </w:rPr>
        <w:t>或者采购人、采购代理机构未在规定时间内作出答复的，可以在答复期满后15个工作日内财政部门提起投诉。</w:t>
      </w:r>
    </w:p>
    <w:p w14:paraId="129EF348">
      <w:pPr>
        <w:widowControl/>
        <w:spacing w:line="360" w:lineRule="auto"/>
        <w:ind w:right="28"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12.2.2 </w:t>
      </w:r>
      <w:r>
        <w:rPr>
          <w:rFonts w:hint="eastAsia" w:ascii="仿宋" w:hAnsi="仿宋" w:eastAsia="仿宋" w:cs="仿宋"/>
          <w:color w:val="auto"/>
          <w:kern w:val="0"/>
          <w:sz w:val="24"/>
          <w:szCs w:val="24"/>
        </w:rPr>
        <w:t>供应商投诉时,应当提交投诉书和必要的证明材料，并按照被投诉采购人、采购代理机构（以下简称被投诉人）和与投诉事项有关的供应商数量提供投诉书的副本。投诉书应当包括下列内容：</w:t>
      </w:r>
    </w:p>
    <w:p w14:paraId="455D0796">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（1）投诉人和被投诉人的姓名或者名称、通讯地址、邮编、联系人及联系电话；</w:t>
      </w:r>
    </w:p>
    <w:p w14:paraId="46CCBD58">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（2）质疑和质疑答复情况说明及相关证明材料；</w:t>
      </w:r>
    </w:p>
    <w:p w14:paraId="08D10AA1">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（3）具体、明确的投诉事项和与投诉事项相关的投诉请求；</w:t>
      </w:r>
    </w:p>
    <w:p w14:paraId="46A6EF03">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（4）事实依据；</w:t>
      </w:r>
    </w:p>
    <w:p w14:paraId="77A2BFDB">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（5）法律依据；</w:t>
      </w:r>
    </w:p>
    <w:p w14:paraId="31CFCEA0">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（6）提起投诉的日期。</w:t>
      </w:r>
    </w:p>
    <w:p w14:paraId="58C0E318">
      <w:pPr>
        <w:widowControl/>
        <w:spacing w:line="360" w:lineRule="auto"/>
        <w:ind w:left="105" w:right="227" w:hanging="120" w:hangingChars="5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投诉人为自然人的，应当由本人签字；投诉人为法人或者其他组织的，应当由法定代表人、主要负责人，或者其委托代理人签字或者盖章，并加盖单位章。</w:t>
      </w:r>
    </w:p>
    <w:p w14:paraId="4B4CA76C">
      <w:pPr>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13.2.3 投诉书范本格式在中国政府采购网站（http：//www.ccgp.gov.cn/）自行下载。</w:t>
      </w:r>
    </w:p>
    <w:p w14:paraId="3F6F16C6">
      <w:pPr>
        <w:widowControl/>
        <w:spacing w:line="360" w:lineRule="auto"/>
        <w:ind w:left="301" w:right="227" w:firstLine="120" w:firstLineChars="5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13.2.4 </w:t>
      </w:r>
      <w:r>
        <w:rPr>
          <w:rFonts w:hint="eastAsia" w:ascii="仿宋" w:hAnsi="仿宋" w:eastAsia="仿宋" w:cs="仿宋"/>
          <w:color w:val="auto"/>
          <w:kern w:val="0"/>
          <w:sz w:val="24"/>
          <w:szCs w:val="24"/>
        </w:rPr>
        <w:t>投诉人提起投诉应当符合下列条件：</w:t>
      </w:r>
    </w:p>
    <w:p w14:paraId="1842FF74">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（1）提起投诉前已依法进行质疑；</w:t>
      </w:r>
    </w:p>
    <w:p w14:paraId="14CAD4B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（2）投诉书内容符合财政部94号令的规定；</w:t>
      </w:r>
    </w:p>
    <w:p w14:paraId="0152DCB2">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（3）在投诉有效期限内提起投诉；</w:t>
      </w:r>
    </w:p>
    <w:p w14:paraId="0C54A5AE">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（4）同一投诉事项未经财政部门投诉处理；</w:t>
      </w:r>
    </w:p>
    <w:p w14:paraId="585F230A">
      <w:pPr>
        <w:widowControl/>
        <w:spacing w:line="360" w:lineRule="auto"/>
        <w:ind w:left="301" w:right="227"/>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（5）财政部规定的其他条件。</w:t>
      </w:r>
    </w:p>
    <w:p w14:paraId="26816634">
      <w:pPr>
        <w:widowControl/>
        <w:spacing w:line="360" w:lineRule="auto"/>
        <w:ind w:right="28"/>
        <w:jc w:val="left"/>
        <w:rPr>
          <w:rFonts w:ascii="宋体" w:hAnsi="宋体" w:cs="Arial"/>
          <w:color w:val="auto"/>
          <w:kern w:val="0"/>
          <w:szCs w:val="21"/>
        </w:rPr>
      </w:pPr>
      <w:r>
        <w:rPr>
          <w:rFonts w:hint="eastAsia" w:ascii="仿宋" w:hAnsi="仿宋" w:eastAsia="仿宋" w:cs="仿宋"/>
          <w:color w:val="auto"/>
          <w:kern w:val="0"/>
          <w:sz w:val="24"/>
          <w:szCs w:val="24"/>
        </w:rPr>
        <w:t>　  13.2.5  投诉人投诉的事项不得超出已质疑事项的范围，但基于质疑答复内容提出的投诉事项除外。</w:t>
      </w:r>
    </w:p>
    <w:p w14:paraId="689D1D8F">
      <w:pPr>
        <w:outlineLvl w:val="9"/>
        <w:rPr>
          <w:rFonts w:hint="eastAsia" w:ascii="仿宋" w:hAnsi="仿宋" w:eastAsia="仿宋" w:cs="仿宋"/>
          <w:b w:val="0"/>
          <w:color w:val="auto"/>
          <w:sz w:val="24"/>
          <w:szCs w:val="24"/>
        </w:rPr>
      </w:pPr>
      <w:bookmarkStart w:id="88" w:name="_Toc24910"/>
      <w:r>
        <w:rPr>
          <w:rFonts w:hint="eastAsia" w:ascii="仿宋" w:hAnsi="仿宋" w:eastAsia="仿宋" w:cs="仿宋"/>
          <w:b w:val="0"/>
          <w:color w:val="auto"/>
          <w:sz w:val="24"/>
          <w:szCs w:val="24"/>
        </w:rPr>
        <w:t>13.其他</w:t>
      </w:r>
      <w:bookmarkEnd w:id="88"/>
    </w:p>
    <w:p w14:paraId="0AD9526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13.1成交供应商融资</w:t>
      </w:r>
    </w:p>
    <w:p w14:paraId="1518BE7F">
      <w:pPr>
        <w:spacing w:before="120" w:beforeLines="50" w:after="120" w:afterLines="50" w:line="360" w:lineRule="auto"/>
        <w:ind w:firstLine="480"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本着</w:t>
      </w:r>
      <w:r>
        <w:rPr>
          <w:rFonts w:hint="eastAsia" w:ascii="仿宋" w:hAnsi="仿宋" w:eastAsia="仿宋" w:cs="仿宋"/>
          <w:color w:val="auto"/>
          <w:sz w:val="24"/>
          <w:szCs w:val="24"/>
          <w:lang w:val="en"/>
        </w:rPr>
        <w:t xml:space="preserve"> “银企自愿，风险自担”的原则，</w:t>
      </w:r>
      <w:r>
        <w:rPr>
          <w:rFonts w:hint="eastAsia" w:ascii="仿宋" w:hAnsi="仿宋" w:eastAsia="仿宋" w:cs="仿宋"/>
          <w:color w:val="auto"/>
          <w:sz w:val="24"/>
          <w:szCs w:val="24"/>
        </w:rPr>
        <w:t>成交供应商为中小企业的可以自愿选择</w:t>
      </w:r>
      <w:r>
        <w:rPr>
          <w:rFonts w:hint="eastAsia" w:ascii="仿宋" w:hAnsi="仿宋" w:eastAsia="仿宋" w:cs="仿宋"/>
          <w:color w:val="auto"/>
          <w:sz w:val="24"/>
          <w:szCs w:val="24"/>
          <w:lang w:val="en"/>
        </w:rPr>
        <w:t>政府采购贷款进行融资，通过“陕西省政府采购合同融资平台”（http://www.ccgp-shaanxi.gov.cn/）实施。</w:t>
      </w:r>
    </w:p>
    <w:p w14:paraId="3425D4C4">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13.2陕西省中小企业政府采购信用融资办法及说明</w:t>
      </w:r>
    </w:p>
    <w:p w14:paraId="452E7D62">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陕西省中小企业政府采购信用融资办法</w:t>
      </w:r>
    </w:p>
    <w:p w14:paraId="2DE8F4FE">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第一条 为进一步贯彻落实国务院和我省关于支持中小企业发展的政策措施，发挥政府采购政策导向作用，充分利用信息化技术，通过搭建信息对称、相互对接的平台，有效缓解中小企业融资难、融资贵问题。根据《政府采购法》以及《政府采购促进中小企业发展暂行办法》等有关规定，结合本省实际，制定本办法。</w:t>
      </w:r>
    </w:p>
    <w:p w14:paraId="72B4672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第二条  本办法所称“中小企业”包括中型、小型及微型企业，其划型标准按照《关于印发中小企业划型标准规定的通知》（工信部联企业〔2011〕300号）规定执行。</w:t>
      </w:r>
    </w:p>
    <w:p w14:paraId="7DDDC14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3A31CE1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第四条  开展政府采购信用融资的银行，应当为在陕西省境内注册或设立分支机构，并经财政部门审核且在我省政府采购信息系统搭建服务链接窗口的金融机构。</w:t>
      </w:r>
    </w:p>
    <w:p w14:paraId="74BECB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第五条  政府采购信用融资应当坚持“财政引导，市场运行，银企自愿，互惠共赢”的原则。</w:t>
      </w:r>
    </w:p>
    <w:p w14:paraId="32AA3806">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第六条 省财政厅以全省统一的电子化政府采购系统为平台，对接银行信息化系统，推进政府采购中标成交信息、合同信息、融资信息、支付信息和信用信息等信息资源共享。</w:t>
      </w:r>
    </w:p>
    <w:p w14:paraId="07266165">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第七条 各级财政部门应当以政府采购诚信考核和信息化建设为基础，积极为中小企业信用融资搭建平台，提供银企对接的机会和相关的服务支持，但不得为相关贷款项目提供任何形式的担保。</w:t>
      </w:r>
    </w:p>
    <w:p w14:paraId="685D422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75D39E01">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6110459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25E836A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FBCEB3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第十二条 银行应按规定对申请信用融资的供应商的政府采购合同信息进行审查，必要时可通过陕西政府采购网对该政府采购合同进行审核，以确保政府采购合同的真实性和有效性。</w:t>
      </w:r>
    </w:p>
    <w:p w14:paraId="27EA4DB0">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1BDCFAA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1E54DFCD">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第十五条 省本级政府采购资金支付时，各采购单位必须将采购资金支付到备案合同中指定的融资银行及收款账号，以保障贷款资金的安全回收。</w:t>
      </w:r>
    </w:p>
    <w:p w14:paraId="157255E3">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第十六条 各市县操作程序由各地结合本地实际自行拟定，但应当体现“便捷高效、监管有效、风险可控”的原则。</w:t>
      </w:r>
    </w:p>
    <w:p w14:paraId="208E5D9B">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0756ED08">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第十八条 本办法由陕西省财政厅负责解释。</w:t>
      </w:r>
    </w:p>
    <w:p w14:paraId="6FD0697F">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供应商融资申请操作手册</w:t>
      </w:r>
    </w:p>
    <w:p w14:paraId="61C96799">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是指在地方财政部门引导下，参与政府采购中标（成交）的供应商可凭政府采购合同向银行申请信用融资，银行按优于一般中小企业贷款利率发放贷款的融资模式。这种融资模式以国库集中支付作为履约保障的政府采购合同为基础，借力政府采购诚信保障，提供了银企对接的机会，缓解了企业融资困境。</w:t>
      </w:r>
    </w:p>
    <w:p w14:paraId="623F2D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政府采购合同融资申请获批的必要条件是，供应商将意向申请银行指定的资金受监管账户签入采购合同，获得银行认可，以保障银行回收贷款路径安全。企业可在签署采购合同前完成在意向申请银行开户，并将开户账号签入采购合同作为唯一收款账户；如申请融资时已签署采购合同的，企业应将意向申请银行开户账号通过采购合同变更的方式，将开户账号签入采购合同作为唯一收款账户，无论哪种情况，最终的采购合同都需要获得银行的认可，才能获得银行的正式授信。</w:t>
      </w:r>
    </w:p>
    <w:p w14:paraId="790CD864">
      <w:pPr>
        <w:autoSpaceDE w:val="0"/>
        <w:autoSpaceDN w:val="0"/>
        <w:adjustRightInd w:val="0"/>
        <w:spacing w:line="460" w:lineRule="exact"/>
        <w:ind w:right="6"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办理平台（http://www.ccgp-shaanxi.gov.cn/zcdservice/zcd/shanxi/）</w:t>
      </w:r>
    </w:p>
    <w:p w14:paraId="352DD49A">
      <w:pPr>
        <w:autoSpaceDE w:val="0"/>
        <w:autoSpaceDN w:val="0"/>
        <w:adjustRightInd w:val="0"/>
        <w:spacing w:line="460" w:lineRule="exact"/>
        <w:ind w:right="6" w:firstLine="480" w:firstLineChars="200"/>
        <w:rPr>
          <w:rFonts w:ascii="宋体" w:hAnsi="宋体" w:cs="宋体"/>
          <w:color w:val="auto"/>
        </w:rPr>
      </w:pPr>
      <w:r>
        <w:rPr>
          <w:rFonts w:hint="eastAsia" w:ascii="仿宋" w:hAnsi="仿宋" w:eastAsia="仿宋" w:cs="仿宋"/>
          <w:color w:val="auto"/>
          <w:sz w:val="24"/>
          <w:szCs w:val="24"/>
        </w:rPr>
        <w:t>中标人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w:t>
      </w:r>
      <w:r>
        <w:rPr>
          <w:rFonts w:hint="eastAsia" w:ascii="仿宋" w:hAnsi="仿宋" w:eastAsia="仿宋" w:cs="仿宋"/>
          <w:color w:val="auto"/>
          <w:sz w:val="24"/>
          <w:szCs w:val="24"/>
          <w:lang w:eastAsia="zh-CN"/>
        </w:rPr>
        <w:t>陕西采购与招标网</w:t>
      </w:r>
      <w:r>
        <w:rPr>
          <w:rFonts w:hint="eastAsia" w:ascii="仿宋" w:hAnsi="仿宋" w:eastAsia="仿宋" w:cs="仿宋"/>
          <w:color w:val="auto"/>
          <w:sz w:val="24"/>
          <w:szCs w:val="24"/>
        </w:rPr>
        <w:t>(www.ccgp-shaanxi.gov.cn)重要通知专栏中查询了解</w:t>
      </w:r>
      <w:r>
        <w:rPr>
          <w:rFonts w:hint="eastAsia" w:ascii="宋体" w:hAnsi="宋体" w:cs="宋体"/>
          <w:color w:val="auto"/>
        </w:rPr>
        <w:t>。</w:t>
      </w:r>
    </w:p>
    <w:p w14:paraId="2FF5799F">
      <w:pPr>
        <w:widowControl/>
        <w:jc w:val="left"/>
        <w:rPr>
          <w:color w:val="auto"/>
        </w:rPr>
      </w:pPr>
    </w:p>
    <w:p w14:paraId="00EE0CB7">
      <w:pPr>
        <w:rPr>
          <w:color w:val="auto"/>
        </w:rPr>
      </w:pPr>
      <w:r>
        <w:rPr>
          <w:color w:val="auto"/>
        </w:rPr>
        <w:br w:type="page"/>
      </w:r>
    </w:p>
    <w:p w14:paraId="4261CA31">
      <w:pPr>
        <w:widowControl/>
        <w:jc w:val="left"/>
        <w:rPr>
          <w:color w:val="auto"/>
        </w:rPr>
      </w:pPr>
      <w:r>
        <w:rPr>
          <w:color w:val="auto"/>
        </w:rPr>
        <w:t>业务流程简图如下：</w:t>
      </w:r>
    </w:p>
    <w:p w14:paraId="39AEFE43">
      <w:pPr>
        <w:widowControl/>
        <w:jc w:val="left"/>
        <w:rPr>
          <w:color w:val="auto"/>
        </w:rPr>
      </w:pPr>
      <w:r>
        <w:rPr>
          <w:color w:val="auto"/>
        </w:rPr>
        <w:drawing>
          <wp:anchor distT="0" distB="0" distL="114935" distR="114935" simplePos="0" relativeHeight="251659264" behindDoc="1" locked="0" layoutInCell="1" allowOverlap="1">
            <wp:simplePos x="0" y="0"/>
            <wp:positionH relativeFrom="column">
              <wp:posOffset>165100</wp:posOffset>
            </wp:positionH>
            <wp:positionV relativeFrom="paragraph">
              <wp:posOffset>436880</wp:posOffset>
            </wp:positionV>
            <wp:extent cx="5252085" cy="3052445"/>
            <wp:effectExtent l="0" t="0" r="5715" b="14605"/>
            <wp:wrapThrough wrapText="bothSides">
              <wp:wrapPolygon>
                <wp:start x="0" y="0"/>
                <wp:lineTo x="0" y="21434"/>
                <wp:lineTo x="21545" y="21434"/>
                <wp:lineTo x="21545" y="0"/>
                <wp:lineTo x="0" y="0"/>
              </wp:wrapPolygon>
            </wp:wrapThrough>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24"/>
                    <a:stretch>
                      <a:fillRect/>
                    </a:stretch>
                  </pic:blipFill>
                  <pic:spPr>
                    <a:xfrm>
                      <a:off x="0" y="0"/>
                      <a:ext cx="5252085" cy="3052445"/>
                    </a:xfrm>
                    <a:prstGeom prst="rect">
                      <a:avLst/>
                    </a:prstGeom>
                    <a:noFill/>
                    <a:ln>
                      <a:noFill/>
                    </a:ln>
                  </pic:spPr>
                </pic:pic>
              </a:graphicData>
            </a:graphic>
          </wp:anchor>
        </w:drawing>
      </w:r>
      <w:r>
        <w:rPr>
          <w:color w:val="auto"/>
        </w:rPr>
        <w:drawing>
          <wp:anchor distT="0" distB="0" distL="114300" distR="114300" simplePos="0" relativeHeight="251660288" behindDoc="1" locked="0" layoutInCell="1" allowOverlap="1">
            <wp:simplePos x="0" y="0"/>
            <wp:positionH relativeFrom="column">
              <wp:posOffset>193675</wp:posOffset>
            </wp:positionH>
            <wp:positionV relativeFrom="paragraph">
              <wp:posOffset>3800475</wp:posOffset>
            </wp:positionV>
            <wp:extent cx="5268595" cy="3027680"/>
            <wp:effectExtent l="0" t="0" r="8255" b="1270"/>
            <wp:wrapThrough wrapText="bothSides">
              <wp:wrapPolygon>
                <wp:start x="0" y="0"/>
                <wp:lineTo x="0" y="21473"/>
                <wp:lineTo x="21556" y="21473"/>
                <wp:lineTo x="21556" y="0"/>
                <wp:lineTo x="0" y="0"/>
              </wp:wrapPolygon>
            </wp:wrapThrough>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5"/>
                    <a:stretch>
                      <a:fillRect/>
                    </a:stretch>
                  </pic:blipFill>
                  <pic:spPr>
                    <a:xfrm>
                      <a:off x="0" y="0"/>
                      <a:ext cx="5268595" cy="3027680"/>
                    </a:xfrm>
                    <a:prstGeom prst="rect">
                      <a:avLst/>
                    </a:prstGeom>
                    <a:noFill/>
                    <a:ln>
                      <a:noFill/>
                    </a:ln>
                  </pic:spPr>
                </pic:pic>
              </a:graphicData>
            </a:graphic>
          </wp:anchor>
        </w:drawing>
      </w:r>
      <w:r>
        <w:rPr>
          <w:color w:val="auto"/>
        </w:rPr>
        <w:br w:type="page"/>
      </w:r>
    </w:p>
    <w:p w14:paraId="2D230BDF">
      <w:pPr>
        <w:pStyle w:val="12"/>
        <w:rPr>
          <w:rFonts w:hint="eastAsia" w:ascii="仿宋" w:hAnsi="仿宋" w:eastAsia="仿宋" w:cs="仿宋"/>
          <w:color w:val="auto"/>
          <w:sz w:val="24"/>
          <w:szCs w:val="24"/>
        </w:rPr>
      </w:pPr>
      <w:r>
        <w:rPr>
          <w:rFonts w:hint="eastAsia" w:ascii="仿宋" w:hAnsi="仿宋" w:eastAsia="仿宋" w:cs="仿宋"/>
          <w:b/>
          <w:bCs/>
          <w:color w:val="auto"/>
          <w:sz w:val="24"/>
          <w:szCs w:val="24"/>
          <w:shd w:val="clear" w:color="auto" w:fill="FFFFFF"/>
        </w:rPr>
        <w:t>陕西省政府采购支持中小企业信用融资合作银行目录（参考）</w:t>
      </w:r>
    </w:p>
    <w:p w14:paraId="1E05259C">
      <w:pPr>
        <w:jc w:val="left"/>
        <w:rPr>
          <w:rFonts w:hint="eastAsia" w:ascii="仿宋" w:hAnsi="仿宋" w:eastAsia="仿宋" w:cs="仿宋"/>
          <w:color w:val="auto"/>
          <w:sz w:val="24"/>
          <w:szCs w:val="24"/>
        </w:rPr>
      </w:pPr>
    </w:p>
    <w:tbl>
      <w:tblPr>
        <w:tblStyle w:val="23"/>
        <w:tblW w:w="9417" w:type="dxa"/>
        <w:jc w:val="center"/>
        <w:shd w:val="clear" w:color="auto" w:fill="FFFFFF"/>
        <w:tblLayout w:type="autofit"/>
        <w:tblCellMar>
          <w:top w:w="0" w:type="dxa"/>
          <w:left w:w="0" w:type="dxa"/>
          <w:bottom w:w="0" w:type="dxa"/>
          <w:right w:w="0" w:type="dxa"/>
        </w:tblCellMar>
      </w:tblPr>
      <w:tblGrid>
        <w:gridCol w:w="722"/>
        <w:gridCol w:w="1539"/>
        <w:gridCol w:w="3061"/>
        <w:gridCol w:w="1708"/>
        <w:gridCol w:w="2387"/>
      </w:tblGrid>
      <w:tr w14:paraId="0EF42F8D">
        <w:tblPrEx>
          <w:tblCellMar>
            <w:top w:w="0" w:type="dxa"/>
            <w:left w:w="0" w:type="dxa"/>
            <w:bottom w:w="0" w:type="dxa"/>
            <w:right w:w="0" w:type="dxa"/>
          </w:tblCellMar>
        </w:tblPrEx>
        <w:trPr>
          <w:trHeight w:val="47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0048B8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392707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银行名称</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E84F7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授信额度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96D867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贷款期限</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F4F616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贷款利率</w:t>
            </w:r>
          </w:p>
        </w:tc>
      </w:tr>
      <w:tr w14:paraId="12166F82">
        <w:tblPrEx>
          <w:shd w:val="clear" w:color="auto" w:fill="FFFFFF"/>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74748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0A8A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上海浦东发展银行股份有限公司西安分行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C36632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融资申请人为公司的额度不低于300万元；</w:t>
            </w:r>
          </w:p>
          <w:p w14:paraId="09BD267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融资申请人为个人的，额度不高于（含）300万元；</w:t>
            </w:r>
          </w:p>
          <w:p w14:paraId="2FFF891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单笔额度不高于订单金额的70%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5EA09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55FC3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1、不超过中小企业同期市场利率水平2、利率浮动区间（1年期LPR-1年期LPR+194bps）</w:t>
            </w:r>
          </w:p>
        </w:tc>
      </w:tr>
      <w:tr w14:paraId="7184075D">
        <w:tblPrEx>
          <w:tblCellMar>
            <w:top w:w="0" w:type="dxa"/>
            <w:left w:w="0" w:type="dxa"/>
            <w:bottom w:w="0" w:type="dxa"/>
            <w:right w:w="0" w:type="dxa"/>
          </w:tblCellMar>
        </w:tblPrEx>
        <w:trPr>
          <w:trHeight w:val="118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5791C9">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25E8E3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中国建设银行陕西省分行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1E0C4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根据单笔政府采购合同金额核定，最高融资金额为合同金额的90%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7C44F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最长不超月或（360）天或（12）个月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E150F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p w14:paraId="0824B6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2、利率浮动区间（4.5%-5%）</w:t>
            </w:r>
          </w:p>
        </w:tc>
      </w:tr>
      <w:tr w14:paraId="5AA8E129">
        <w:tblPrEx>
          <w:shd w:val="clear" w:color="auto" w:fill="FFFFFF"/>
          <w:tblCellMar>
            <w:top w:w="0" w:type="dxa"/>
            <w:left w:w="0" w:type="dxa"/>
            <w:bottom w:w="0" w:type="dxa"/>
            <w:right w:w="0" w:type="dxa"/>
          </w:tblCellMar>
        </w:tblPrEx>
        <w:trPr>
          <w:trHeight w:val="11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371CB0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D6829C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中国光大银行股份有限公司西安分行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EA52B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原则上单户贷款金额最高不超过1000万元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2ECED">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38B5C2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46E51960">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45E8C2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B77A8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中信银行股份有限公司西安分行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FB837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232E1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55B61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1D9CAA38">
        <w:tblPrEx>
          <w:tblCellMar>
            <w:top w:w="0" w:type="dxa"/>
            <w:left w:w="0" w:type="dxa"/>
            <w:bottom w:w="0" w:type="dxa"/>
            <w:right w:w="0" w:type="dxa"/>
          </w:tblCellMar>
        </w:tblPrEx>
        <w:trPr>
          <w:trHeight w:val="225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1AE93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8DBCD5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北京银行股份有限公司西安分行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0906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不超过1000万元，我行依据中标供应商通过政府公开招投标程序中中标并执行的采购合同，通常提供不超过采购资金缺口70%的额度，对于优质客户可放宽至80%（采购资金缺口=合同金额-已付/预付货款-质保金）</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E068C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2年期综合授信（提前期1年，每笔业务期限不超过1年）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0105DA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386F14A4">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29AE83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C8E2E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235F6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463F3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最长不超月或（360）天过（12）个月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1E2FE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利率浮动区间（6%-8%）</w:t>
            </w:r>
          </w:p>
        </w:tc>
      </w:tr>
      <w:tr w14:paraId="674DB61A">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E570B6">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0ADA9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兴业银行股份有限公司西安分行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BFCAE90">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不超过1000万元（首次申贷客户不超过500万元）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0ED62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BB85C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0DEF9CE2">
        <w:tblPrEx>
          <w:tblCellMar>
            <w:top w:w="0" w:type="dxa"/>
            <w:left w:w="0" w:type="dxa"/>
            <w:bottom w:w="0" w:type="dxa"/>
            <w:right w:w="0" w:type="dxa"/>
          </w:tblCellMar>
        </w:tblPrEx>
        <w:trPr>
          <w:trHeight w:val="138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6DB544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27EC1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陕西秦农农村商业银行股份有限公司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4978B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最高授信额度1000万元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56516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原则上不超过1年，最长不超过2年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E307E8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06CBBB9">
        <w:tblPrEx>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3E742B0">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39B0A6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中国工商银行股份有限公司陕西省分行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3A73BD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经营快贷-政采贷单户不超过500万元且不超过订单金额的90%，线上供应链根据订单和应收贷款合理确定贷款额度。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A616AE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最长不超过（36）个月或3年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F185B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1、按照全国银行间同业拆借中心发布的贷款市场报价利率（LPR）确定；2、利率浮动去电（最高不超过LPR+50bp）</w:t>
            </w:r>
          </w:p>
        </w:tc>
      </w:tr>
      <w:tr w14:paraId="52DB7B5B">
        <w:tblPrEx>
          <w:shd w:val="clear" w:color="auto" w:fill="FFFFFF"/>
          <w:tblCellMar>
            <w:top w:w="0" w:type="dxa"/>
            <w:left w:w="0" w:type="dxa"/>
            <w:bottom w:w="0" w:type="dxa"/>
            <w:right w:w="0"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9E2ABD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9E571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招商银行股份有限公司西安分行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F32E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最高3000万元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F0DB43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非工程类不超过1年，工程类不超过3年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7B6E84B">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7D6A0FD1">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7E1199A">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FA5BFB6">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93C076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最高不超过1000万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6BD1F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EE6197">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利率浮动区间（依据总行利率指导价执行）</w:t>
            </w:r>
          </w:p>
        </w:tc>
      </w:tr>
      <w:tr w14:paraId="758331F0">
        <w:tblPrEx>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0E475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F3D8D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6D8C993">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中标合同金额70%，最高1000万元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95F0A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最长不超过（24）个月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95FF03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7449CE1">
        <w:tblPrEx>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5049B8E">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E3CFFB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中国邮政储蓄银行陕西省分行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47169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97D0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2960E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不超过中小企业同期市场利率水平，利率浮动区间为3.85%-5.95%</w:t>
            </w:r>
          </w:p>
        </w:tc>
      </w:tr>
      <w:tr w14:paraId="0D8E199A">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014262">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892ED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西安银行股份有限公司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502F6A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C7D99B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DD0F5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45D6A1D">
        <w:tblPrEx>
          <w:shd w:val="clear" w:color="auto" w:fill="FFFFFF"/>
          <w:tblCellMar>
            <w:top w:w="0" w:type="dxa"/>
            <w:left w:w="0" w:type="dxa"/>
            <w:bottom w:w="0" w:type="dxa"/>
            <w:right w:w="0" w:type="dxa"/>
          </w:tblCellMar>
        </w:tblPrEx>
        <w:trPr>
          <w:trHeight w:val="101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C3848DD">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E36E7E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中国民生银行股份有限公司西安分行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D890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09B5FF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233198">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w:t>
            </w:r>
          </w:p>
        </w:tc>
      </w:tr>
      <w:tr w14:paraId="5A88A630">
        <w:tblPrEx>
          <w:shd w:val="clear" w:color="auto" w:fill="FFFFFF"/>
          <w:tblCellMar>
            <w:top w:w="0" w:type="dxa"/>
            <w:left w:w="0" w:type="dxa"/>
            <w:bottom w:w="0" w:type="dxa"/>
            <w:right w:w="0" w:type="dxa"/>
          </w:tblCellMar>
        </w:tblPrEx>
        <w:trPr>
          <w:trHeight w:val="114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9645801">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BE1147A">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中国农业银行股份有限公司陕西省分行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AD944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3000万元以下</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FFE06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4465B25">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不超过中小企业同期市场利率水平，利率浮动期间（3.85%-4.35%）</w:t>
            </w:r>
          </w:p>
        </w:tc>
      </w:tr>
      <w:tr w14:paraId="69BA99A8">
        <w:tblPrEx>
          <w:shd w:val="clear" w:color="auto" w:fill="FFFFFF"/>
          <w:tblCellMar>
            <w:top w:w="0" w:type="dxa"/>
            <w:left w:w="0" w:type="dxa"/>
            <w:bottom w:w="0" w:type="dxa"/>
            <w:right w:w="0" w:type="dxa"/>
          </w:tblCellMar>
        </w:tblPrEx>
        <w:trPr>
          <w:trHeight w:val="7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19AC7B3">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E6B6332">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浙江网商银行股份有限公司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A236A0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8C31D54">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DDCE27E">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5%-7%</w:t>
            </w:r>
          </w:p>
        </w:tc>
      </w:tr>
      <w:tr w14:paraId="3252CAF5">
        <w:tblPrEx>
          <w:tblCellMar>
            <w:top w:w="0" w:type="dxa"/>
            <w:left w:w="0" w:type="dxa"/>
            <w:bottom w:w="0" w:type="dxa"/>
            <w:right w:w="0" w:type="dxa"/>
          </w:tblCellMar>
        </w:tblPrEx>
        <w:trPr>
          <w:trHeight w:val="79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CCDC3C4">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A13E6A9">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平安银行股份有限公司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7602D61">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B2CFC8F">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707D4C">
            <w:pPr>
              <w:widowControl/>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5%-9%</w:t>
            </w:r>
          </w:p>
        </w:tc>
      </w:tr>
    </w:tbl>
    <w:p w14:paraId="5BBAB4D6">
      <w:pPr>
        <w:widowControl/>
        <w:jc w:val="left"/>
        <w:rPr>
          <w:rFonts w:hint="eastAsia" w:ascii="仿宋" w:hAnsi="仿宋" w:eastAsia="仿宋" w:cs="仿宋"/>
          <w:color w:val="auto"/>
          <w:kern w:val="0"/>
          <w:sz w:val="24"/>
          <w:szCs w:val="24"/>
        </w:rPr>
      </w:pPr>
    </w:p>
    <w:p w14:paraId="3130DB6F">
      <w:pPr>
        <w:rPr>
          <w:rFonts w:hint="eastAsia" w:ascii="仿宋" w:hAnsi="仿宋" w:eastAsia="仿宋" w:cs="仿宋"/>
          <w:b/>
          <w:bCs/>
          <w:color w:val="auto"/>
          <w:sz w:val="24"/>
          <w:szCs w:val="24"/>
        </w:rPr>
      </w:pPr>
      <w:r>
        <w:rPr>
          <w:rFonts w:hint="eastAsia" w:ascii="仿宋" w:hAnsi="仿宋" w:eastAsia="仿宋" w:cs="仿宋"/>
          <w:color w:val="auto"/>
          <w:sz w:val="24"/>
          <w:szCs w:val="24"/>
        </w:rPr>
        <w:t>注：以上银行合作有效时间及授信额度、贷款期限、贷款利率仅供参考，</w:t>
      </w:r>
      <w:r>
        <w:rPr>
          <w:rFonts w:hint="eastAsia" w:ascii="仿宋" w:hAnsi="仿宋" w:eastAsia="仿宋" w:cs="仿宋"/>
          <w:bCs/>
          <w:color w:val="auto"/>
          <w:sz w:val="24"/>
          <w:szCs w:val="24"/>
        </w:rPr>
        <w:t>具体规定可登陆</w:t>
      </w:r>
      <w:r>
        <w:rPr>
          <w:rFonts w:hint="eastAsia" w:ascii="仿宋" w:hAnsi="仿宋" w:eastAsia="仿宋" w:cs="仿宋"/>
          <w:bCs/>
          <w:color w:val="auto"/>
          <w:sz w:val="24"/>
          <w:szCs w:val="24"/>
          <w:lang w:eastAsia="zh-CN"/>
        </w:rPr>
        <w:t>陕西采购与招标网</w:t>
      </w:r>
      <w:r>
        <w:rPr>
          <w:rFonts w:hint="eastAsia" w:ascii="仿宋" w:hAnsi="仿宋" w:eastAsia="仿宋" w:cs="仿宋"/>
          <w:bCs/>
          <w:color w:val="auto"/>
          <w:sz w:val="24"/>
          <w:szCs w:val="24"/>
        </w:rPr>
        <w:t>(www.ccgp-shaanxi.gov.cn/)重要通知专栏中查询了解。</w:t>
      </w:r>
    </w:p>
    <w:p w14:paraId="69C45E28">
      <w:pPr>
        <w:spacing w:before="120" w:beforeLines="50" w:after="120" w:afterLines="50" w:line="360" w:lineRule="auto"/>
        <w:jc w:val="left"/>
        <w:rPr>
          <w:rFonts w:hint="eastAsia" w:ascii="仿宋" w:hAnsi="仿宋" w:eastAsia="仿宋" w:cs="仿宋"/>
          <w:b/>
          <w:color w:val="auto"/>
          <w:sz w:val="24"/>
          <w:szCs w:val="24"/>
        </w:rPr>
      </w:pPr>
    </w:p>
    <w:p w14:paraId="7BF9CE0A">
      <w:pPr>
        <w:spacing w:before="120" w:beforeLines="50" w:after="120" w:after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13.2 录音录像</w:t>
      </w:r>
    </w:p>
    <w:p w14:paraId="27A32B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采购代理机构对开启响应文件、磋商和评审过程进行全程录音录像、文字记录，并存档备查。</w:t>
      </w:r>
    </w:p>
    <w:p w14:paraId="23C41E32">
      <w:pPr>
        <w:spacing w:before="120" w:beforeLines="50" w:line="360" w:lineRule="auto"/>
        <w:jc w:val="left"/>
        <w:rPr>
          <w:rFonts w:hint="eastAsia" w:ascii="仿宋" w:hAnsi="仿宋" w:eastAsia="仿宋" w:cs="仿宋"/>
          <w:b/>
          <w:color w:val="auto"/>
          <w:sz w:val="24"/>
          <w:szCs w:val="24"/>
        </w:rPr>
      </w:pPr>
      <w:r>
        <w:rPr>
          <w:rFonts w:hint="eastAsia" w:ascii="仿宋" w:hAnsi="仿宋" w:eastAsia="仿宋" w:cs="仿宋"/>
          <w:b/>
          <w:color w:val="auto"/>
          <w:sz w:val="24"/>
          <w:szCs w:val="24"/>
        </w:rPr>
        <w:t>13.3需要补充的其他内容</w:t>
      </w:r>
    </w:p>
    <w:p w14:paraId="3CF2E41C">
      <w:pPr>
        <w:adjustRightInd w:val="0"/>
        <w:snapToGrid w:val="0"/>
        <w:spacing w:before="120" w:beforeLines="50" w:line="360" w:lineRule="auto"/>
        <w:ind w:firstLine="480" w:firstLineChars="200"/>
        <w:jc w:val="left"/>
        <w:rPr>
          <w:rFonts w:ascii="宋体" w:hAnsi="宋体"/>
          <w:color w:val="auto"/>
          <w:szCs w:val="21"/>
        </w:rPr>
      </w:pPr>
      <w:r>
        <w:rPr>
          <w:rFonts w:hint="eastAsia" w:ascii="仿宋" w:hAnsi="仿宋" w:eastAsia="仿宋" w:cs="仿宋"/>
          <w:color w:val="auto"/>
          <w:sz w:val="24"/>
          <w:szCs w:val="24"/>
        </w:rPr>
        <w:t>招标文件需要补充的其他内容见</w:t>
      </w:r>
      <w:r>
        <w:rPr>
          <w:rFonts w:hint="eastAsia" w:ascii="仿宋" w:hAnsi="仿宋" w:eastAsia="仿宋" w:cs="仿宋"/>
          <w:b/>
          <w:color w:val="auto"/>
          <w:sz w:val="24"/>
          <w:szCs w:val="24"/>
        </w:rPr>
        <w:t>投标须知前附表</w:t>
      </w:r>
      <w:r>
        <w:rPr>
          <w:rFonts w:hint="eastAsia" w:ascii="宋体" w:hAnsi="宋体"/>
          <w:color w:val="auto"/>
          <w:szCs w:val="21"/>
        </w:rPr>
        <w:t>。</w:t>
      </w:r>
    </w:p>
    <w:p w14:paraId="29B32E4E">
      <w:pPr>
        <w:spacing w:line="360" w:lineRule="auto"/>
        <w:rPr>
          <w:color w:val="auto"/>
          <w:sz w:val="24"/>
        </w:rPr>
      </w:pPr>
      <w:r>
        <w:rPr>
          <w:color w:val="auto"/>
          <w:sz w:val="24"/>
        </w:rPr>
        <w:br w:type="page"/>
      </w:r>
    </w:p>
    <w:p w14:paraId="23569ECB">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24"/>
        </w:rPr>
      </w:pPr>
      <w:bookmarkStart w:id="89" w:name="_Toc31201"/>
      <w:bookmarkStart w:id="90" w:name="_Toc24960"/>
      <w:r>
        <w:rPr>
          <w:rFonts w:hint="eastAsia" w:ascii="宋体" w:hAnsi="宋体"/>
          <w:color w:val="auto"/>
          <w:sz w:val="44"/>
          <w:szCs w:val="44"/>
        </w:rPr>
        <w:t>第三章</w:t>
      </w:r>
      <w:bookmarkStart w:id="91" w:name="_Toc217446093"/>
      <w:r>
        <w:rPr>
          <w:rFonts w:hint="eastAsia" w:ascii="宋体" w:hAnsi="宋体"/>
          <w:color w:val="auto"/>
          <w:sz w:val="44"/>
          <w:szCs w:val="44"/>
        </w:rPr>
        <w:t xml:space="preserve"> 磋商办法</w:t>
      </w:r>
      <w:bookmarkEnd w:id="89"/>
      <w:bookmarkEnd w:id="90"/>
    </w:p>
    <w:p w14:paraId="56CF562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根据《中华人民共和国政府采购法》及其实施条例和财政部《政府采购竞争性磋商采购方式管理暂行办法》（财库【2014】214号）等法律法规的规定，结合采购项目特点，制定本磋商办法。</w:t>
      </w:r>
    </w:p>
    <w:p w14:paraId="297A6F78">
      <w:pPr>
        <w:outlineLvl w:val="9"/>
        <w:rPr>
          <w:rFonts w:hint="eastAsia" w:ascii="仿宋" w:hAnsi="仿宋" w:eastAsia="仿宋" w:cs="仿宋"/>
          <w:b w:val="0"/>
          <w:bCs/>
          <w:color w:val="auto"/>
          <w:sz w:val="24"/>
          <w:szCs w:val="24"/>
        </w:rPr>
      </w:pPr>
      <w:bookmarkStart w:id="92" w:name="_Toc595"/>
      <w:r>
        <w:rPr>
          <w:rFonts w:hint="eastAsia" w:ascii="仿宋" w:hAnsi="仿宋" w:eastAsia="仿宋" w:cs="仿宋"/>
          <w:b w:val="0"/>
          <w:bCs/>
          <w:color w:val="auto"/>
          <w:sz w:val="24"/>
          <w:szCs w:val="24"/>
        </w:rPr>
        <w:t>1.磋商程序</w:t>
      </w:r>
      <w:bookmarkEnd w:id="92"/>
    </w:p>
    <w:p w14:paraId="32D763DA">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1.1 磋商按下列程序进行：</w:t>
      </w:r>
    </w:p>
    <w:p w14:paraId="399DE7EB">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（1）响应文件初步评审；</w:t>
      </w:r>
    </w:p>
    <w:p w14:paraId="6F8996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（2）响应文件的澄清；</w:t>
      </w:r>
    </w:p>
    <w:p w14:paraId="0CB1048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（3）磋商（包括技术磋商、商务磋商、提交最后报价）；</w:t>
      </w:r>
    </w:p>
    <w:p w14:paraId="56FDBDD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（4）响应文件详细评审；</w:t>
      </w:r>
    </w:p>
    <w:p w14:paraId="4CA4C5D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（5）复核与核对评审结果；</w:t>
      </w:r>
    </w:p>
    <w:p w14:paraId="2BE9AB1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（6）确定成交候选人名单；</w:t>
      </w:r>
    </w:p>
    <w:p w14:paraId="50E2323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（7）编写评审报告。</w:t>
      </w:r>
    </w:p>
    <w:p w14:paraId="02A362D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1.2 响应文件初步评审</w:t>
      </w:r>
    </w:p>
    <w:p w14:paraId="64310A31">
      <w:pPr>
        <w:tabs>
          <w:tab w:val="left" w:pos="0"/>
        </w:tabs>
        <w:adjustRightInd w:val="0"/>
        <w:snapToGrid w:val="0"/>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1.2.1 资格性审查</w:t>
      </w:r>
    </w:p>
    <w:p w14:paraId="14311AF5">
      <w:pPr>
        <w:spacing w:before="120" w:beforeLines="50" w:after="120" w:afterLines="50"/>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1.2.1.1资格审查人员</w:t>
      </w:r>
    </w:p>
    <w:p w14:paraId="4AD1CCF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磋商会议结束后，</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按照《中华人民共和国政府采购法》，对响应文件正本中的供应商资格证明文件进行审查。资格审查结束后，资格审查人员对审查结果进行签字确认，若供应商资格审查未通过，注明未通过原因并告知供应商。</w:t>
      </w:r>
    </w:p>
    <w:p w14:paraId="6BE58292">
      <w:pPr>
        <w:snapToGrid w:val="0"/>
        <w:spacing w:before="120" w:beforeLines="50" w:after="120" w:afterLines="50" w:line="360" w:lineRule="auto"/>
        <w:ind w:firstLine="420"/>
        <w:rPr>
          <w:rFonts w:hint="eastAsia" w:ascii="仿宋" w:hAnsi="仿宋" w:eastAsia="仿宋" w:cs="仿宋"/>
          <w:b/>
          <w:color w:val="auto"/>
          <w:sz w:val="24"/>
          <w:szCs w:val="24"/>
        </w:rPr>
      </w:pPr>
      <w:r>
        <w:rPr>
          <w:rFonts w:hint="eastAsia" w:ascii="仿宋" w:hAnsi="仿宋" w:eastAsia="仿宋" w:cs="仿宋"/>
          <w:b/>
          <w:color w:val="auto"/>
          <w:sz w:val="24"/>
          <w:szCs w:val="24"/>
        </w:rPr>
        <w:t>1.2.2资格审查办法</w:t>
      </w:r>
    </w:p>
    <w:p w14:paraId="709D4A45">
      <w:pPr>
        <w:snapToGrid w:val="0"/>
        <w:spacing w:line="360" w:lineRule="auto"/>
        <w:ind w:firstLine="420"/>
        <w:rPr>
          <w:rFonts w:hint="eastAsia" w:ascii="仿宋" w:hAnsi="仿宋" w:eastAsia="仿宋" w:cs="仿宋"/>
          <w:color w:val="auto"/>
          <w:sz w:val="24"/>
          <w:szCs w:val="24"/>
        </w:rPr>
      </w:pPr>
      <w:r>
        <w:rPr>
          <w:rFonts w:hint="eastAsia" w:ascii="仿宋" w:hAnsi="仿宋" w:eastAsia="仿宋" w:cs="仿宋"/>
          <w:color w:val="auto"/>
          <w:sz w:val="24"/>
          <w:szCs w:val="24"/>
        </w:rPr>
        <w:t>1.2.2.1资格审查在开标之后评标之前进行。</w:t>
      </w:r>
    </w:p>
    <w:p w14:paraId="39920768">
      <w:pPr>
        <w:snapToGrid w:val="0"/>
        <w:spacing w:line="360" w:lineRule="auto"/>
        <w:ind w:firstLine="420"/>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1.2.2.2资格审查人员将依据供应商响应文件，按照磋商文件第三章3.1条款所述资格要求对供应商进行资格审查，以确定其是否具备相应资格。如果供应商不具备资格、不满足磋商文件所规定的资格条件,将被视为未实质性响应磋商文件,按无效投标处理，资格审查不合格的供应商，不得进入下一评审环节。</w:t>
      </w:r>
    </w:p>
    <w:p w14:paraId="289D3A8D">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1.2.2.3 供应商须知前附表规定本项目专门面向中小企业采购的，供应商应符合政府采购政策规定的中小企业条件，并提供相应证明材料：《中小企业声明函》或者《残疾人福利性单位声明函》或者监狱企业的证明。不提供或提供有瑕疵的，不得进入下一评标环节。</w:t>
      </w:r>
    </w:p>
    <w:p w14:paraId="4B82C9D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1.2.2.4供应商信用查询结果使用，凡存在下列情形之一的，审查不予通过：</w:t>
      </w:r>
    </w:p>
    <w:p w14:paraId="4490DF10">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（1）列入严重违法失信名单的；</w:t>
      </w:r>
    </w:p>
    <w:p w14:paraId="2938AD87">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（2）列入政府采购严重违法失信行为记录名单的；</w:t>
      </w:r>
    </w:p>
    <w:p w14:paraId="158D7B7F">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（3）列入重大税收违法案件当事人名单的；</w:t>
      </w:r>
    </w:p>
    <w:p w14:paraId="07C2FD99">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（4）近3年内受到暂扣或者吊销许可证、暂扣或者吊销执照行政处罚的；</w:t>
      </w:r>
    </w:p>
    <w:p w14:paraId="62A970F5">
      <w:pPr>
        <w:snapToGrid w:val="0"/>
        <w:spacing w:before="0" w:after="0" w:line="360" w:lineRule="auto"/>
        <w:ind w:firstLine="480" w:firstLineChars="200"/>
        <w:outlineLvl w:val="9"/>
        <w:rPr>
          <w:rFonts w:hint="eastAsia" w:ascii="仿宋" w:hAnsi="仿宋" w:eastAsia="仿宋" w:cs="仿宋"/>
          <w:b w:val="0"/>
          <w:color w:val="auto"/>
          <w:sz w:val="24"/>
          <w:szCs w:val="24"/>
        </w:rPr>
      </w:pPr>
      <w:r>
        <w:rPr>
          <w:rFonts w:hint="eastAsia" w:ascii="仿宋" w:hAnsi="仿宋" w:eastAsia="仿宋" w:cs="仿宋"/>
          <w:b w:val="0"/>
          <w:color w:val="auto"/>
          <w:sz w:val="24"/>
          <w:szCs w:val="24"/>
        </w:rPr>
        <w:t>（5）近3年内受到责令停产停业行政处罚的；</w:t>
      </w:r>
    </w:p>
    <w:p w14:paraId="653EA96A">
      <w:pPr>
        <w:snapToGrid w:val="0"/>
        <w:spacing w:before="0" w:after="0"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b w:val="0"/>
          <w:color w:val="auto"/>
          <w:sz w:val="24"/>
          <w:szCs w:val="24"/>
        </w:rPr>
        <w:t>（6）法律法规规定的其他情形的。</w:t>
      </w:r>
    </w:p>
    <w:p w14:paraId="5522EBA7">
      <w:pPr>
        <w:tabs>
          <w:tab w:val="left" w:pos="0"/>
        </w:tabs>
        <w:adjustRightInd w:val="0"/>
        <w:snapToGrid w:val="0"/>
        <w:spacing w:line="360" w:lineRule="auto"/>
        <w:ind w:firstLine="826" w:firstLineChars="343"/>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1.2.3基本资格条件的审查标准：</w:t>
      </w:r>
    </w:p>
    <w:p w14:paraId="65E1A9CC">
      <w:pPr>
        <w:tabs>
          <w:tab w:val="left" w:pos="0"/>
        </w:tabs>
        <w:adjustRightInd w:val="0"/>
        <w:snapToGrid w:val="0"/>
        <w:spacing w:after="120" w:afterLines="50" w:line="360" w:lineRule="auto"/>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采购人将按下表所列举的审查标准对供应商的基本资格条件进行</w:t>
      </w:r>
      <w:r>
        <w:rPr>
          <w:rFonts w:hint="eastAsia" w:ascii="仿宋" w:hAnsi="仿宋" w:eastAsia="仿宋" w:cs="仿宋"/>
          <w:bCs/>
          <w:color w:val="auto"/>
          <w:sz w:val="24"/>
          <w:szCs w:val="24"/>
        </w:rPr>
        <w:t>审查，供应商若</w:t>
      </w:r>
      <w:r>
        <w:rPr>
          <w:rFonts w:hint="eastAsia" w:ascii="仿宋" w:hAnsi="仿宋" w:eastAsia="仿宋" w:cs="仿宋"/>
          <w:color w:val="auto"/>
          <w:kern w:val="0"/>
          <w:sz w:val="24"/>
          <w:szCs w:val="24"/>
        </w:rPr>
        <w:t>有一项不合格，即判定其基本资格条件审查结果为不合格，将不具备磋商资格，按无效响应文件处理。</w:t>
      </w:r>
    </w:p>
    <w:tbl>
      <w:tblPr>
        <w:tblStyle w:val="23"/>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5785"/>
        <w:gridCol w:w="3541"/>
      </w:tblGrid>
      <w:tr w14:paraId="677F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3" w:type="dxa"/>
            <w:vAlign w:val="center"/>
          </w:tcPr>
          <w:p w14:paraId="71849F0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序号</w:t>
            </w:r>
          </w:p>
        </w:tc>
        <w:tc>
          <w:tcPr>
            <w:tcW w:w="5785" w:type="dxa"/>
            <w:vAlign w:val="center"/>
          </w:tcPr>
          <w:p w14:paraId="29A6833F">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审查因素</w:t>
            </w:r>
          </w:p>
        </w:tc>
        <w:tc>
          <w:tcPr>
            <w:tcW w:w="3541" w:type="dxa"/>
            <w:vAlign w:val="center"/>
          </w:tcPr>
          <w:p w14:paraId="60D7D5CD">
            <w:pPr>
              <w:tabs>
                <w:tab w:val="left" w:pos="0"/>
              </w:tabs>
              <w:adjustRightInd w:val="0"/>
              <w:snapToGrid w:val="0"/>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审查标准</w:t>
            </w:r>
          </w:p>
        </w:tc>
      </w:tr>
      <w:tr w14:paraId="58B2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vAlign w:val="center"/>
          </w:tcPr>
          <w:p w14:paraId="06714D19">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5785" w:type="dxa"/>
            <w:vAlign w:val="center"/>
          </w:tcPr>
          <w:p w14:paraId="12C7C060">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color w:val="auto"/>
                <w:kern w:val="2"/>
                <w:sz w:val="24"/>
                <w:szCs w:val="24"/>
                <w:lang w:val="en-US" w:eastAsia="zh-CN" w:bidi="ar-SA"/>
              </w:rPr>
              <w:t>具有独立承担民事责任能力的法人、其他组织或自然人，提供合法有效的统一社会信用代码营业执照（事业单位提供事业单位法人证书，自然人提供身份证明）；</w:t>
            </w:r>
          </w:p>
        </w:tc>
        <w:tc>
          <w:tcPr>
            <w:tcW w:w="3541" w:type="dxa"/>
            <w:vAlign w:val="center"/>
          </w:tcPr>
          <w:p w14:paraId="4787A85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0832B0">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4C0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763" w:type="dxa"/>
            <w:vAlign w:val="center"/>
          </w:tcPr>
          <w:p w14:paraId="1A49793F">
            <w:pPr>
              <w:tabs>
                <w:tab w:val="left" w:pos="0"/>
              </w:tabs>
              <w:adjustRightInd w:val="0"/>
              <w:snapToGrid w:val="0"/>
              <w:spacing w:line="360" w:lineRule="auto"/>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5785" w:type="dxa"/>
            <w:vAlign w:val="center"/>
          </w:tcPr>
          <w:p w14:paraId="5376A71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b w:val="0"/>
                <w:bCs w:val="0"/>
                <w:color w:val="auto"/>
                <w:sz w:val="24"/>
                <w:szCs w:val="24"/>
                <w:shd w:val="clear" w:color="auto" w:fill="FFFFFF"/>
              </w:rPr>
              <w:t>供应商需具备建筑工程施工总承包二级（含二级）及以上资质，具有有效的安全生产许可证；</w:t>
            </w:r>
          </w:p>
        </w:tc>
        <w:tc>
          <w:tcPr>
            <w:tcW w:w="3541" w:type="dxa"/>
            <w:vAlign w:val="center"/>
          </w:tcPr>
          <w:p w14:paraId="7C9329D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1B42ECE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6051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63" w:type="dxa"/>
            <w:vAlign w:val="center"/>
          </w:tcPr>
          <w:p w14:paraId="04F22D27">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3</w:t>
            </w:r>
          </w:p>
        </w:tc>
        <w:tc>
          <w:tcPr>
            <w:tcW w:w="5785" w:type="dxa"/>
            <w:vAlign w:val="center"/>
          </w:tcPr>
          <w:p w14:paraId="314345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2"/>
                <w:sz w:val="24"/>
                <w:szCs w:val="24"/>
                <w:lang w:val="en-US" w:eastAsia="zh-CN" w:bidi="ar-SA"/>
              </w:rPr>
            </w:pPr>
            <w:r>
              <w:rPr>
                <w:rFonts w:hint="eastAsia" w:ascii="仿宋" w:hAnsi="仿宋" w:eastAsia="仿宋" w:cs="仿宋"/>
                <w:b w:val="0"/>
                <w:bCs w:val="0"/>
                <w:color w:val="auto"/>
                <w:sz w:val="24"/>
                <w:szCs w:val="24"/>
                <w:shd w:val="clear" w:color="auto" w:fill="FFFFFF"/>
              </w:rPr>
              <w:t>拟派项目经理需具备建筑工程专业二级（含二级）及以上注册建造师证书，具有有效的安全生产考核合格证（B 证）书，且未担任其他在建工程项目的项目经理</w:t>
            </w:r>
          </w:p>
        </w:tc>
        <w:tc>
          <w:tcPr>
            <w:tcW w:w="3541" w:type="dxa"/>
            <w:vAlign w:val="center"/>
          </w:tcPr>
          <w:p w14:paraId="608A0DF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0BFD2355">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B4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63" w:type="dxa"/>
            <w:vAlign w:val="center"/>
          </w:tcPr>
          <w:p w14:paraId="6556DC94">
            <w:pPr>
              <w:tabs>
                <w:tab w:val="left" w:pos="0"/>
              </w:tabs>
              <w:adjustRightInd w:val="0"/>
              <w:snapToGrid w:val="0"/>
              <w:spacing w:line="360" w:lineRule="auto"/>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5785" w:type="dxa"/>
            <w:vAlign w:val="center"/>
          </w:tcPr>
          <w:p w14:paraId="3341E7F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b w:val="0"/>
                <w:bCs w:val="0"/>
                <w:color w:val="333333"/>
                <w:sz w:val="24"/>
                <w:szCs w:val="24"/>
                <w:shd w:val="clear" w:color="auto" w:fill="FFFFFF"/>
                <w:lang w:val="en-US" w:eastAsia="zh-CN"/>
              </w:rPr>
            </w:pPr>
            <w:r>
              <w:rPr>
                <w:rFonts w:hint="eastAsia" w:ascii="仿宋" w:hAnsi="仿宋" w:eastAsia="仿宋" w:cs="仿宋"/>
                <w:sz w:val="24"/>
                <w:szCs w:val="24"/>
              </w:rPr>
              <w:t>法定代表人授权代表参加投标的， 提供法定代表人授权委托书及被授权人身份证原件；法定代表人参加投标时,提供法定代表人身份证明及本人身份证原件</w:t>
            </w:r>
          </w:p>
        </w:tc>
        <w:tc>
          <w:tcPr>
            <w:tcW w:w="3541" w:type="dxa"/>
            <w:vAlign w:val="center"/>
          </w:tcPr>
          <w:p w14:paraId="3D24F5A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54C3EBF7">
            <w:pPr>
              <w:numPr>
                <w:ilvl w:val="0"/>
                <w:numId w:val="0"/>
              </w:numPr>
              <w:tabs>
                <w:tab w:val="left" w:pos="0"/>
              </w:tabs>
              <w:adjustRightInd w:val="0"/>
              <w:snapToGrid w:val="0"/>
              <w:ind w:leftChars="-253" w:firstLine="720" w:firstLineChars="30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0FA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763" w:type="dxa"/>
            <w:vAlign w:val="center"/>
          </w:tcPr>
          <w:p w14:paraId="2F7DD136">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5</w:t>
            </w:r>
          </w:p>
        </w:tc>
        <w:tc>
          <w:tcPr>
            <w:tcW w:w="5785" w:type="dxa"/>
            <w:vAlign w:val="center"/>
          </w:tcPr>
          <w:p w14:paraId="5A413858">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社会保障资金缴纳证明：投标人提供本单位响应截止时间前六个月内已缴纳的至少一个月的社会保障资金缴存单据或社保机构开具的社会保险参保缴费情况证明， 单据或证明上应有社保机构或代收机构的公章。依法不需要缴纳社会保障资金的供应商应提供相关文件证明</w:t>
            </w:r>
          </w:p>
        </w:tc>
        <w:tc>
          <w:tcPr>
            <w:tcW w:w="3541" w:type="dxa"/>
            <w:vAlign w:val="center"/>
          </w:tcPr>
          <w:p w14:paraId="50EC401D">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23591D98">
            <w:pPr>
              <w:numPr>
                <w:ilvl w:val="0"/>
                <w:numId w:val="0"/>
              </w:numPr>
              <w:tabs>
                <w:tab w:val="left" w:pos="0"/>
              </w:tabs>
              <w:adjustRightInd w:val="0"/>
              <w:snapToGrid w:val="0"/>
              <w:ind w:leftChars="-253" w:firstLine="1920" w:firstLineChars="8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5970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763" w:type="dxa"/>
            <w:vAlign w:val="center"/>
          </w:tcPr>
          <w:p w14:paraId="1A91D85A">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6</w:t>
            </w:r>
          </w:p>
        </w:tc>
        <w:tc>
          <w:tcPr>
            <w:tcW w:w="5785" w:type="dxa"/>
            <w:vAlign w:val="center"/>
          </w:tcPr>
          <w:p w14:paraId="32DAB307">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税收缴纳证明：投标人提供本单位响应截止时间前六个月内已缴纳的至少一个月的纳税证明或完税证明（增值税，印花税，企业所得税等一种或多种税种），依法免税的单位应提供相关证明材料</w:t>
            </w:r>
            <w:r>
              <w:rPr>
                <w:rFonts w:hint="eastAsia" w:ascii="仿宋" w:hAnsi="仿宋" w:eastAsia="仿宋" w:cs="仿宋"/>
                <w:color w:val="auto"/>
                <w:kern w:val="2"/>
                <w:sz w:val="24"/>
                <w:szCs w:val="24"/>
                <w:lang w:val="en-US" w:eastAsia="zh-CN" w:bidi="ar-SA"/>
              </w:rPr>
              <w:t>；</w:t>
            </w:r>
          </w:p>
        </w:tc>
        <w:tc>
          <w:tcPr>
            <w:tcW w:w="3541" w:type="dxa"/>
            <w:vAlign w:val="center"/>
          </w:tcPr>
          <w:p w14:paraId="018E5C43">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405B2A19">
            <w:pPr>
              <w:adjustRightInd w:val="0"/>
              <w:snapToGrid w:val="0"/>
              <w:ind w:left="594" w:leftChars="-3" w:hanging="600" w:hangingChars="25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3D1EF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63" w:type="dxa"/>
            <w:vAlign w:val="center"/>
          </w:tcPr>
          <w:p w14:paraId="30204310">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7</w:t>
            </w:r>
          </w:p>
        </w:tc>
        <w:tc>
          <w:tcPr>
            <w:tcW w:w="5785" w:type="dxa"/>
            <w:vAlign w:val="center"/>
          </w:tcPr>
          <w:p w14:paraId="60577B26">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en-US" w:eastAsia="zh-CN"/>
              </w:rPr>
            </w:pPr>
            <w:r>
              <w:rPr>
                <w:rFonts w:hint="eastAsia" w:ascii="仿宋" w:hAnsi="仿宋" w:eastAsia="仿宋" w:cs="仿宋"/>
                <w:sz w:val="24"/>
                <w:szCs w:val="24"/>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 3 个月的资信证明（基本存款账戶开戶银行出具的）</w:t>
            </w:r>
          </w:p>
        </w:tc>
        <w:tc>
          <w:tcPr>
            <w:tcW w:w="3541" w:type="dxa"/>
            <w:vAlign w:val="center"/>
          </w:tcPr>
          <w:p w14:paraId="528B4E91">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p w14:paraId="6469ACEB">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合法有效</w:t>
            </w:r>
          </w:p>
        </w:tc>
      </w:tr>
      <w:tr w14:paraId="002D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3" w:type="dxa"/>
            <w:vAlign w:val="center"/>
          </w:tcPr>
          <w:p w14:paraId="00BCB899">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8</w:t>
            </w:r>
          </w:p>
        </w:tc>
        <w:tc>
          <w:tcPr>
            <w:tcW w:w="5785" w:type="dxa"/>
            <w:vAlign w:val="center"/>
          </w:tcPr>
          <w:p w14:paraId="2D2BB38C">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投标人应出具参加政府采购活动前 3 年内在经营活动中没有重大违法记录的书面声明</w:t>
            </w:r>
          </w:p>
        </w:tc>
        <w:tc>
          <w:tcPr>
            <w:tcW w:w="3541" w:type="dxa"/>
            <w:vAlign w:val="center"/>
          </w:tcPr>
          <w:p w14:paraId="5117DBF2">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7E6D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63" w:type="dxa"/>
            <w:vAlign w:val="center"/>
          </w:tcPr>
          <w:p w14:paraId="0CD9CE6F">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9</w:t>
            </w:r>
          </w:p>
        </w:tc>
        <w:tc>
          <w:tcPr>
            <w:tcW w:w="5785" w:type="dxa"/>
            <w:vAlign w:val="center"/>
          </w:tcPr>
          <w:p w14:paraId="095A31F3">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rPr>
            </w:pPr>
            <w:r>
              <w:rPr>
                <w:rFonts w:hint="eastAsia" w:ascii="仿宋" w:hAnsi="仿宋" w:eastAsia="仿宋" w:cs="仿宋"/>
                <w:sz w:val="24"/>
                <w:szCs w:val="24"/>
              </w:rPr>
              <w:t>投标人应出具履行合同所必需的设备和专业技术能力的承诺声明</w:t>
            </w:r>
          </w:p>
        </w:tc>
        <w:tc>
          <w:tcPr>
            <w:tcW w:w="3541" w:type="dxa"/>
            <w:vAlign w:val="center"/>
          </w:tcPr>
          <w:p w14:paraId="55FFB6F5">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r w14:paraId="4DB4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3" w:type="dxa"/>
            <w:vAlign w:val="center"/>
          </w:tcPr>
          <w:p w14:paraId="4E4E9938">
            <w:pPr>
              <w:tabs>
                <w:tab w:val="left" w:pos="0"/>
              </w:tabs>
              <w:adjustRightInd w:val="0"/>
              <w:snapToGrid w:val="0"/>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rPr>
              <w:t>10</w:t>
            </w:r>
          </w:p>
        </w:tc>
        <w:tc>
          <w:tcPr>
            <w:tcW w:w="5785" w:type="dxa"/>
            <w:vAlign w:val="center"/>
          </w:tcPr>
          <w:p w14:paraId="36CC611B">
            <w:pPr>
              <w:pStyle w:val="20"/>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仿宋" w:hAnsi="仿宋" w:eastAsia="仿宋" w:cs="仿宋"/>
                <w:color w:val="auto"/>
                <w:kern w:val="0"/>
                <w:sz w:val="24"/>
                <w:szCs w:val="24"/>
                <w:lang w:val="zh-CN"/>
              </w:rPr>
            </w:pPr>
            <w:r>
              <w:rPr>
                <w:rFonts w:hint="eastAsia" w:ascii="仿宋" w:hAnsi="仿宋" w:eastAsia="仿宋" w:cs="仿宋"/>
                <w:sz w:val="24"/>
                <w:szCs w:val="24"/>
              </w:rPr>
              <w:t>投标人不得被列入“中国执行信息公开网（http://zxgk.court.gov.cn）失信被执行人， 不得被列入“信用中国”网站（www.cr editchina.gov.cn）重大税收违法失信主体， 不得被列入“中国政府采购网”（www.ccgp.gov.cn）政府采购严重违法失信行为记录名单中被财政部门禁止参加政府采购活动</w:t>
            </w:r>
            <w:r>
              <w:rPr>
                <w:rFonts w:hint="eastAsia" w:ascii="仿宋" w:hAnsi="仿宋" w:eastAsia="仿宋" w:cs="仿宋"/>
                <w:color w:val="auto"/>
                <w:kern w:val="2"/>
                <w:sz w:val="24"/>
                <w:szCs w:val="24"/>
                <w:lang w:val="en-US" w:eastAsia="zh-CN" w:bidi="ar-SA"/>
              </w:rPr>
              <w:t>；</w:t>
            </w:r>
          </w:p>
        </w:tc>
        <w:tc>
          <w:tcPr>
            <w:tcW w:w="3541" w:type="dxa"/>
            <w:vAlign w:val="center"/>
          </w:tcPr>
          <w:p w14:paraId="5408ABF4">
            <w:pPr>
              <w:tabs>
                <w:tab w:val="left" w:pos="0"/>
              </w:tabs>
              <w:adjustRightInd w:val="0"/>
              <w:snapToGri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符合磋商文件要求</w:t>
            </w:r>
          </w:p>
        </w:tc>
      </w:tr>
    </w:tbl>
    <w:p w14:paraId="1EB713B8">
      <w:pPr>
        <w:pStyle w:val="2"/>
        <w:rPr>
          <w:rFonts w:hint="eastAsia" w:ascii="宋体" w:hAnsi="宋体" w:cs="宋体"/>
          <w:b/>
          <w:bCs/>
          <w:color w:val="auto"/>
          <w:kern w:val="0"/>
          <w:szCs w:val="21"/>
          <w:lang w:val="en-US" w:eastAsia="zh-CN"/>
        </w:rPr>
      </w:pPr>
    </w:p>
    <w:p w14:paraId="225849D7">
      <w:pPr>
        <w:tabs>
          <w:tab w:val="left" w:pos="0"/>
        </w:tabs>
        <w:adjustRightInd w:val="0"/>
        <w:snapToGrid w:val="0"/>
        <w:spacing w:before="240" w:beforeLines="100" w:line="360" w:lineRule="auto"/>
        <w:ind w:firstLine="711" w:firstLineChars="29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1.2.3.1供应商落实政府采购政策资格条件审查</w:t>
      </w:r>
    </w:p>
    <w:p w14:paraId="55A56309">
      <w:pPr>
        <w:tabs>
          <w:tab w:val="left" w:pos="0"/>
        </w:tabs>
        <w:adjustRightInd w:val="0"/>
        <w:snapToGrid w:val="0"/>
        <w:spacing w:before="240" w:beforeLines="100" w:line="360" w:lineRule="auto"/>
        <w:ind w:firstLine="693" w:firstLineChars="289"/>
        <w:rPr>
          <w:rFonts w:hint="eastAsia" w:ascii="仿宋" w:hAnsi="仿宋" w:eastAsia="仿宋" w:cs="仿宋"/>
          <w:bCs/>
          <w:color w:val="auto"/>
          <w:kern w:val="0"/>
          <w:sz w:val="24"/>
          <w:szCs w:val="24"/>
        </w:rPr>
      </w:pPr>
      <w:r>
        <w:rPr>
          <w:rFonts w:hint="eastAsia" w:ascii="仿宋" w:hAnsi="仿宋" w:eastAsia="仿宋" w:cs="仿宋"/>
          <w:bCs/>
          <w:color w:val="auto"/>
          <w:kern w:val="0"/>
          <w:sz w:val="24"/>
          <w:szCs w:val="24"/>
        </w:rPr>
        <w:t>本项目属于专门面向中小企业的采购项目。</w:t>
      </w:r>
    </w:p>
    <w:p w14:paraId="1BBDCBAE">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r>
        <w:rPr>
          <w:rFonts w:hint="eastAsia" w:ascii="仿宋" w:hAnsi="仿宋" w:eastAsia="仿宋" w:cs="仿宋"/>
          <w:color w:val="auto"/>
          <w:sz w:val="24"/>
          <w:szCs w:val="24"/>
          <w:shd w:val="clear" w:color="auto" w:fill="FFFFFF"/>
        </w:rPr>
        <w:t>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165F1ED6">
      <w:pPr>
        <w:tabs>
          <w:tab w:val="left" w:pos="0"/>
        </w:tabs>
        <w:adjustRightInd w:val="0"/>
        <w:snapToGrid w:val="0"/>
        <w:spacing w:line="360" w:lineRule="auto"/>
        <w:ind w:firstLine="405"/>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1.2.3.2审查标准如下：</w:t>
      </w:r>
    </w:p>
    <w:p w14:paraId="7280F0C7">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（1）供应商存在第二章第1.3</w:t>
      </w:r>
      <w:r>
        <w:rPr>
          <w:rFonts w:hint="eastAsia" w:ascii="仿宋" w:hAnsi="仿宋" w:eastAsia="仿宋" w:cs="仿宋"/>
          <w:color w:val="auto"/>
          <w:sz w:val="24"/>
          <w:szCs w:val="24"/>
        </w:rPr>
        <w:t>条列举</w:t>
      </w:r>
      <w:r>
        <w:rPr>
          <w:rFonts w:hint="eastAsia" w:ascii="仿宋" w:hAnsi="仿宋" w:eastAsia="仿宋" w:cs="仿宋"/>
          <w:color w:val="auto"/>
          <w:kern w:val="0"/>
          <w:sz w:val="24"/>
          <w:szCs w:val="24"/>
        </w:rPr>
        <w:t>情形之一的，审查不予通过，即判定其资格条件审查结果为不合格，将不具备磋商资格，按无效响应文件处理。</w:t>
      </w:r>
    </w:p>
    <w:p w14:paraId="27BCD8B8">
      <w:pPr>
        <w:tabs>
          <w:tab w:val="left" w:pos="0"/>
        </w:tabs>
        <w:adjustRightInd w:val="0"/>
        <w:snapToGrid w:val="0"/>
        <w:spacing w:line="360" w:lineRule="auto"/>
        <w:ind w:firstLine="405"/>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（2）供应商须知前附表规定接受联合体磋商的，联合体任何一方存在第三章第</w:t>
      </w:r>
      <w:r>
        <w:rPr>
          <w:rFonts w:hint="eastAsia" w:ascii="仿宋" w:hAnsi="仿宋" w:eastAsia="仿宋" w:cs="仿宋"/>
          <w:color w:val="auto"/>
          <w:sz w:val="24"/>
          <w:szCs w:val="24"/>
        </w:rPr>
        <w:t>3.1条列举</w:t>
      </w:r>
      <w:r>
        <w:rPr>
          <w:rFonts w:hint="eastAsia" w:ascii="仿宋" w:hAnsi="仿宋" w:eastAsia="仿宋" w:cs="仿宋"/>
          <w:color w:val="auto"/>
          <w:kern w:val="0"/>
          <w:sz w:val="24"/>
          <w:szCs w:val="24"/>
        </w:rPr>
        <w:t>情形之一的，视同联合体存在相同情形，审查不予通过，即判定其限定资格条件审查结果为不合格，将不具备磋商资格，按无效响应文件处理。</w:t>
      </w:r>
    </w:p>
    <w:p w14:paraId="515B6C71">
      <w:pPr>
        <w:tabs>
          <w:tab w:val="left" w:pos="0"/>
        </w:tabs>
        <w:adjustRightInd w:val="0"/>
        <w:snapToGrid w:val="0"/>
        <w:spacing w:line="360" w:lineRule="auto"/>
        <w:ind w:firstLine="711" w:firstLineChars="295"/>
        <w:rPr>
          <w:rFonts w:hint="eastAsia" w:ascii="仿宋" w:hAnsi="仿宋" w:eastAsia="仿宋" w:cs="仿宋"/>
          <w:b/>
          <w:color w:val="auto"/>
          <w:sz w:val="24"/>
          <w:szCs w:val="24"/>
        </w:rPr>
      </w:pPr>
      <w:r>
        <w:rPr>
          <w:rFonts w:hint="eastAsia" w:ascii="仿宋" w:hAnsi="仿宋" w:eastAsia="仿宋" w:cs="仿宋"/>
          <w:b/>
          <w:color w:val="auto"/>
          <w:kern w:val="0"/>
          <w:sz w:val="24"/>
          <w:szCs w:val="24"/>
        </w:rPr>
        <w:t xml:space="preserve">1.2.3.3 </w:t>
      </w:r>
      <w:r>
        <w:rPr>
          <w:rFonts w:hint="eastAsia" w:ascii="仿宋" w:hAnsi="仿宋" w:eastAsia="仿宋" w:cs="仿宋"/>
          <w:b/>
          <w:color w:val="auto"/>
          <w:sz w:val="24"/>
          <w:szCs w:val="24"/>
        </w:rPr>
        <w:t>未通过资格审查的供应商，不得进入后续磋商环节。</w:t>
      </w:r>
    </w:p>
    <w:p w14:paraId="3ACA3806">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1.2.4 符合性审查</w:t>
      </w:r>
    </w:p>
    <w:p w14:paraId="5E87DB4A">
      <w:pPr>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1.2.4.1 磋商小组依法对符合资格条件的供应商的响应文件进行符合性审查。磋商小组从响应文件的有效性、完整性和对磋商文件的响应程度进行审查，以确定其是否对磋商文件实质性内容作出响应</w:t>
      </w:r>
      <w:r>
        <w:rPr>
          <w:rFonts w:hint="eastAsia" w:ascii="仿宋" w:hAnsi="仿宋" w:eastAsia="仿宋" w:cs="仿宋"/>
          <w:color w:val="auto"/>
          <w:kern w:val="0"/>
          <w:sz w:val="24"/>
          <w:szCs w:val="24"/>
        </w:rPr>
        <w:t>（采购人可根据具体项目的情况对实质性要求作特别的具体规定）</w:t>
      </w:r>
      <w:r>
        <w:rPr>
          <w:rFonts w:hint="eastAsia" w:ascii="仿宋" w:hAnsi="仿宋" w:eastAsia="仿宋" w:cs="仿宋"/>
          <w:color w:val="auto"/>
          <w:sz w:val="24"/>
          <w:szCs w:val="24"/>
        </w:rPr>
        <w:t>。</w:t>
      </w:r>
    </w:p>
    <w:p w14:paraId="429306DA">
      <w:pPr>
        <w:tabs>
          <w:tab w:val="left" w:pos="0"/>
        </w:tabs>
        <w:adjustRightInd w:val="0"/>
        <w:snapToGrid w:val="0"/>
        <w:spacing w:after="120" w:afterLines="50" w:line="360" w:lineRule="auto"/>
        <w:ind w:firstLine="840" w:firstLineChars="350"/>
        <w:rPr>
          <w:rFonts w:hint="eastAsia" w:ascii="仿宋" w:hAnsi="仿宋" w:eastAsia="仿宋" w:cs="仿宋"/>
          <w:color w:val="auto"/>
          <w:kern w:val="0"/>
          <w:sz w:val="24"/>
          <w:szCs w:val="24"/>
        </w:rPr>
      </w:pPr>
      <w:r>
        <w:rPr>
          <w:rFonts w:hint="eastAsia" w:ascii="仿宋" w:hAnsi="仿宋" w:eastAsia="仿宋" w:cs="仿宋"/>
          <w:color w:val="auto"/>
          <w:sz w:val="24"/>
          <w:szCs w:val="24"/>
        </w:rPr>
        <w:t>1.2.4.2 磋商小组将按下列评审标准对供应商的响应文件进行符合性审查，</w:t>
      </w:r>
      <w:r>
        <w:rPr>
          <w:rFonts w:hint="eastAsia" w:ascii="仿宋" w:hAnsi="仿宋" w:eastAsia="仿宋" w:cs="仿宋"/>
          <w:bCs/>
          <w:color w:val="auto"/>
          <w:sz w:val="24"/>
          <w:szCs w:val="24"/>
        </w:rPr>
        <w:t>供应商若</w:t>
      </w:r>
      <w:r>
        <w:rPr>
          <w:rFonts w:hint="eastAsia" w:ascii="仿宋" w:hAnsi="仿宋" w:eastAsia="仿宋" w:cs="仿宋"/>
          <w:color w:val="auto"/>
          <w:kern w:val="0"/>
          <w:sz w:val="24"/>
          <w:szCs w:val="24"/>
        </w:rPr>
        <w:t>有一项不合格，即判定其符合性审查结果为不合格，将不具备磋商资格，按无效响应文件处理。</w:t>
      </w:r>
    </w:p>
    <w:tbl>
      <w:tblPr>
        <w:tblStyle w:val="23"/>
        <w:tblpPr w:leftFromText="180" w:rightFromText="180" w:vertAnchor="text" w:horzAnchor="page" w:tblpX="1432" w:tblpY="260"/>
        <w:tblOverlap w:val="never"/>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85"/>
        <w:gridCol w:w="2685"/>
        <w:gridCol w:w="4888"/>
      </w:tblGrid>
      <w:tr w14:paraId="1365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80" w:type="dxa"/>
            <w:vAlign w:val="center"/>
          </w:tcPr>
          <w:p w14:paraId="553CB2D5">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3570" w:type="dxa"/>
            <w:gridSpan w:val="2"/>
            <w:vAlign w:val="center"/>
          </w:tcPr>
          <w:p w14:paraId="200097B0">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4888" w:type="dxa"/>
            <w:vAlign w:val="center"/>
          </w:tcPr>
          <w:p w14:paraId="4BB24DEF">
            <w:pPr>
              <w:tabs>
                <w:tab w:val="left" w:pos="0"/>
              </w:tabs>
              <w:adjustRightInd w:val="0"/>
              <w:snapToGrid w:val="0"/>
              <w:jc w:val="center"/>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审查</w:t>
            </w:r>
            <w:r>
              <w:rPr>
                <w:rFonts w:hint="eastAsia" w:ascii="仿宋" w:hAnsi="仿宋" w:eastAsia="仿宋" w:cs="仿宋"/>
                <w:b/>
                <w:color w:val="auto"/>
                <w:sz w:val="24"/>
                <w:szCs w:val="24"/>
              </w:rPr>
              <w:t>标准</w:t>
            </w:r>
          </w:p>
        </w:tc>
      </w:tr>
      <w:tr w14:paraId="7AFA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780" w:type="dxa"/>
            <w:vMerge w:val="restart"/>
            <w:vAlign w:val="center"/>
          </w:tcPr>
          <w:p w14:paraId="76AD76CA">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85" w:type="dxa"/>
            <w:vMerge w:val="restart"/>
            <w:vAlign w:val="center"/>
          </w:tcPr>
          <w:p w14:paraId="0E12FA9F">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有效性审查</w:t>
            </w:r>
          </w:p>
        </w:tc>
        <w:tc>
          <w:tcPr>
            <w:tcW w:w="2685" w:type="dxa"/>
            <w:vAlign w:val="center"/>
          </w:tcPr>
          <w:p w14:paraId="79AE44C2">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（1）响应文件的签署盖章</w:t>
            </w:r>
          </w:p>
        </w:tc>
        <w:tc>
          <w:tcPr>
            <w:tcW w:w="4888" w:type="dxa"/>
            <w:vAlign w:val="center"/>
          </w:tcPr>
          <w:p w14:paraId="1720FAD8">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响应文件上法定代表人或其委托代理人的签字或盖章齐全，并加盖单位章</w:t>
            </w:r>
          </w:p>
        </w:tc>
      </w:tr>
      <w:tr w14:paraId="41A3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7BDABB68">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46EE6BA">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543EE8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（2）响应文件格式、语言、计量单位、报价货币</w:t>
            </w:r>
          </w:p>
        </w:tc>
        <w:tc>
          <w:tcPr>
            <w:tcW w:w="4888" w:type="dxa"/>
            <w:vAlign w:val="center"/>
          </w:tcPr>
          <w:p w14:paraId="000E80D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应符合“响应文件格式”和响应文件要求</w:t>
            </w:r>
          </w:p>
        </w:tc>
      </w:tr>
      <w:tr w14:paraId="540E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780" w:type="dxa"/>
            <w:vMerge w:val="continue"/>
          </w:tcPr>
          <w:p w14:paraId="1D671F27">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344CB214">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34CC795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（3）报价唯一</w:t>
            </w:r>
          </w:p>
        </w:tc>
        <w:tc>
          <w:tcPr>
            <w:tcW w:w="4888" w:type="dxa"/>
            <w:vAlign w:val="center"/>
          </w:tcPr>
          <w:p w14:paraId="627CFD1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只能有一个有效报价，不得提交选择性报价，且报价不超过采购预算金额</w:t>
            </w:r>
          </w:p>
        </w:tc>
      </w:tr>
      <w:tr w14:paraId="032B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restart"/>
            <w:vAlign w:val="center"/>
          </w:tcPr>
          <w:p w14:paraId="505B138F">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885" w:type="dxa"/>
            <w:vMerge w:val="restart"/>
            <w:vAlign w:val="center"/>
          </w:tcPr>
          <w:p w14:paraId="7DF5BA6A">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完整性审查</w:t>
            </w:r>
          </w:p>
        </w:tc>
        <w:tc>
          <w:tcPr>
            <w:tcW w:w="2685" w:type="dxa"/>
            <w:vAlign w:val="center"/>
          </w:tcPr>
          <w:p w14:paraId="12FD679D">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（4）响应文件份数</w:t>
            </w:r>
          </w:p>
        </w:tc>
        <w:tc>
          <w:tcPr>
            <w:tcW w:w="4888" w:type="dxa"/>
            <w:vAlign w:val="center"/>
          </w:tcPr>
          <w:p w14:paraId="3BBF5C3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应符合“供应商须知前附表”规定的正本、副本、电子文件数量</w:t>
            </w:r>
          </w:p>
        </w:tc>
      </w:tr>
      <w:tr w14:paraId="3630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80" w:type="dxa"/>
            <w:vMerge w:val="continue"/>
          </w:tcPr>
          <w:p w14:paraId="43A81215">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9D91CDF">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1AD2D3C7">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（5）响应文件内容</w:t>
            </w:r>
          </w:p>
        </w:tc>
        <w:tc>
          <w:tcPr>
            <w:tcW w:w="4888" w:type="dxa"/>
            <w:vAlign w:val="center"/>
          </w:tcPr>
          <w:p w14:paraId="29B5F641">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Hans"/>
              </w:rPr>
              <w:t>按照</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val="en-US" w:eastAsia="zh-Hans"/>
              </w:rPr>
              <w:t>文件要求</w:t>
            </w:r>
            <w:r>
              <w:rPr>
                <w:rFonts w:hint="eastAsia" w:ascii="仿宋" w:hAnsi="仿宋" w:eastAsia="仿宋" w:cs="仿宋"/>
                <w:color w:val="auto"/>
                <w:sz w:val="24"/>
                <w:szCs w:val="24"/>
                <w:highlight w:val="none"/>
                <w:lang w:eastAsia="zh-Hans"/>
              </w:rPr>
              <w:t>，</w:t>
            </w:r>
            <w:r>
              <w:rPr>
                <w:rFonts w:hint="eastAsia" w:ascii="仿宋" w:hAnsi="仿宋" w:eastAsia="仿宋" w:cs="仿宋"/>
                <w:color w:val="auto"/>
                <w:sz w:val="24"/>
                <w:szCs w:val="24"/>
                <w:highlight w:val="none"/>
                <w:lang w:val="en-US" w:eastAsia="zh-CN"/>
              </w:rPr>
              <w:t>在要求格式内</w:t>
            </w:r>
            <w:r>
              <w:rPr>
                <w:rFonts w:hint="eastAsia" w:ascii="仿宋" w:hAnsi="仿宋" w:eastAsia="仿宋" w:cs="仿宋"/>
                <w:color w:val="auto"/>
                <w:sz w:val="24"/>
                <w:szCs w:val="24"/>
                <w:highlight w:val="none"/>
              </w:rPr>
              <w:t>响应文件</w:t>
            </w:r>
            <w:r>
              <w:rPr>
                <w:rFonts w:hint="eastAsia" w:ascii="仿宋" w:hAnsi="仿宋" w:eastAsia="仿宋" w:cs="仿宋"/>
                <w:color w:val="auto"/>
                <w:sz w:val="24"/>
                <w:szCs w:val="24"/>
                <w:highlight w:val="none"/>
                <w:lang w:val="en-US" w:eastAsia="zh-Hans"/>
              </w:rPr>
              <w:t>各项</w:t>
            </w:r>
            <w:r>
              <w:rPr>
                <w:rFonts w:hint="eastAsia" w:ascii="仿宋" w:hAnsi="仿宋" w:eastAsia="仿宋" w:cs="仿宋"/>
                <w:color w:val="auto"/>
                <w:sz w:val="24"/>
                <w:szCs w:val="24"/>
                <w:highlight w:val="none"/>
              </w:rPr>
              <w:t>内容齐全、无遗漏</w:t>
            </w:r>
          </w:p>
        </w:tc>
      </w:tr>
      <w:tr w14:paraId="7CC0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80" w:type="dxa"/>
            <w:vMerge w:val="restart"/>
            <w:vAlign w:val="center"/>
          </w:tcPr>
          <w:p w14:paraId="257B1214">
            <w:pPr>
              <w:tabs>
                <w:tab w:val="left" w:pos="0"/>
              </w:tabs>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885" w:type="dxa"/>
            <w:vMerge w:val="restart"/>
            <w:vAlign w:val="center"/>
          </w:tcPr>
          <w:p w14:paraId="72BDC0BC">
            <w:pPr>
              <w:tabs>
                <w:tab w:val="left" w:pos="0"/>
              </w:tabs>
              <w:adjustRightInd w:val="0"/>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响应性审查</w:t>
            </w:r>
          </w:p>
        </w:tc>
        <w:tc>
          <w:tcPr>
            <w:tcW w:w="2685" w:type="dxa"/>
            <w:vAlign w:val="center"/>
          </w:tcPr>
          <w:p w14:paraId="1C031BA9">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（6）对磋商文件响应程度</w:t>
            </w:r>
          </w:p>
        </w:tc>
        <w:tc>
          <w:tcPr>
            <w:tcW w:w="4888" w:type="dxa"/>
            <w:vAlign w:val="center"/>
          </w:tcPr>
          <w:p w14:paraId="4B5046AA">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要求全面响应，不能有任何采购人不能接受的附加条件</w:t>
            </w:r>
          </w:p>
        </w:tc>
      </w:tr>
      <w:tr w14:paraId="342B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80" w:type="dxa"/>
            <w:vMerge w:val="continue"/>
            <w:vAlign w:val="center"/>
          </w:tcPr>
          <w:p w14:paraId="30DA6459">
            <w:pPr>
              <w:tabs>
                <w:tab w:val="left" w:pos="0"/>
              </w:tabs>
              <w:adjustRightInd w:val="0"/>
              <w:snapToGrid w:val="0"/>
              <w:spacing w:line="360" w:lineRule="auto"/>
              <w:jc w:val="center"/>
              <w:rPr>
                <w:rFonts w:hint="eastAsia" w:ascii="仿宋" w:hAnsi="仿宋" w:eastAsia="仿宋" w:cs="仿宋"/>
                <w:color w:val="auto"/>
                <w:sz w:val="24"/>
                <w:szCs w:val="24"/>
              </w:rPr>
            </w:pPr>
          </w:p>
        </w:tc>
        <w:tc>
          <w:tcPr>
            <w:tcW w:w="885" w:type="dxa"/>
            <w:vMerge w:val="continue"/>
            <w:vAlign w:val="center"/>
          </w:tcPr>
          <w:p w14:paraId="0616487E">
            <w:pPr>
              <w:tabs>
                <w:tab w:val="left" w:pos="0"/>
              </w:tabs>
              <w:adjustRightInd w:val="0"/>
              <w:snapToGrid w:val="0"/>
              <w:jc w:val="center"/>
              <w:rPr>
                <w:rFonts w:hint="eastAsia" w:ascii="仿宋" w:hAnsi="仿宋" w:eastAsia="仿宋" w:cs="仿宋"/>
                <w:color w:val="auto"/>
                <w:sz w:val="24"/>
                <w:szCs w:val="24"/>
              </w:rPr>
            </w:pPr>
          </w:p>
        </w:tc>
        <w:tc>
          <w:tcPr>
            <w:tcW w:w="2685" w:type="dxa"/>
            <w:vAlign w:val="center"/>
          </w:tcPr>
          <w:p w14:paraId="4CE79C3A">
            <w:pPr>
              <w:tabs>
                <w:tab w:val="left" w:pos="0"/>
              </w:tabs>
              <w:adjustRightInd w:val="0"/>
              <w:snapToGrid w:val="0"/>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（7）</w:t>
            </w:r>
            <w:r>
              <w:rPr>
                <w:rFonts w:hint="eastAsia" w:ascii="仿宋" w:hAnsi="仿宋" w:eastAsia="仿宋" w:cs="仿宋"/>
                <w:color w:val="auto"/>
                <w:sz w:val="24"/>
                <w:szCs w:val="24"/>
                <w:lang w:val="en-US" w:eastAsia="zh-CN"/>
              </w:rPr>
              <w:t>施工技术方案</w:t>
            </w:r>
          </w:p>
        </w:tc>
        <w:tc>
          <w:tcPr>
            <w:tcW w:w="4888" w:type="dxa"/>
            <w:vAlign w:val="center"/>
          </w:tcPr>
          <w:p w14:paraId="4EB2FE07">
            <w:pPr>
              <w:tabs>
                <w:tab w:val="left" w:pos="0"/>
              </w:tabs>
              <w:adjustRightInd w:val="0"/>
              <w:snapToGrid w:val="0"/>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应满足磋商文件提出的技术要求</w:t>
            </w:r>
          </w:p>
        </w:tc>
      </w:tr>
      <w:tr w14:paraId="5375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80" w:type="dxa"/>
            <w:vMerge w:val="continue"/>
          </w:tcPr>
          <w:p w14:paraId="093EE03E">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55562793">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646E5981">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工期</w:t>
            </w:r>
          </w:p>
        </w:tc>
        <w:tc>
          <w:tcPr>
            <w:tcW w:w="4888" w:type="dxa"/>
            <w:vAlign w:val="center"/>
          </w:tcPr>
          <w:p w14:paraId="55B429B6">
            <w:pPr>
              <w:tabs>
                <w:tab w:val="left" w:pos="0"/>
              </w:tabs>
              <w:adjustRightInd w:val="0"/>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应满足磋商文件中要求的</w:t>
            </w:r>
            <w:r>
              <w:rPr>
                <w:rFonts w:hint="eastAsia" w:ascii="仿宋" w:hAnsi="仿宋" w:eastAsia="仿宋" w:cs="仿宋"/>
                <w:color w:val="auto"/>
                <w:sz w:val="24"/>
                <w:szCs w:val="24"/>
                <w:lang w:val="en-US" w:eastAsia="zh-CN"/>
              </w:rPr>
              <w:t>工期</w:t>
            </w:r>
          </w:p>
        </w:tc>
      </w:tr>
      <w:tr w14:paraId="44B1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780" w:type="dxa"/>
            <w:vMerge w:val="continue"/>
          </w:tcPr>
          <w:p w14:paraId="3D74F1D0">
            <w:pPr>
              <w:tabs>
                <w:tab w:val="left" w:pos="0"/>
              </w:tabs>
              <w:adjustRightInd w:val="0"/>
              <w:snapToGrid w:val="0"/>
              <w:spacing w:line="360" w:lineRule="auto"/>
              <w:rPr>
                <w:rFonts w:hint="eastAsia" w:ascii="仿宋" w:hAnsi="仿宋" w:eastAsia="仿宋" w:cs="仿宋"/>
                <w:color w:val="auto"/>
                <w:sz w:val="24"/>
                <w:szCs w:val="24"/>
              </w:rPr>
            </w:pPr>
          </w:p>
        </w:tc>
        <w:tc>
          <w:tcPr>
            <w:tcW w:w="885" w:type="dxa"/>
            <w:vMerge w:val="continue"/>
          </w:tcPr>
          <w:p w14:paraId="63FFF6FC">
            <w:pPr>
              <w:tabs>
                <w:tab w:val="left" w:pos="0"/>
              </w:tabs>
              <w:adjustRightInd w:val="0"/>
              <w:snapToGrid w:val="0"/>
              <w:spacing w:line="360" w:lineRule="auto"/>
              <w:rPr>
                <w:rFonts w:hint="eastAsia" w:ascii="仿宋" w:hAnsi="仿宋" w:eastAsia="仿宋" w:cs="仿宋"/>
                <w:color w:val="auto"/>
                <w:sz w:val="24"/>
                <w:szCs w:val="24"/>
              </w:rPr>
            </w:pPr>
          </w:p>
        </w:tc>
        <w:tc>
          <w:tcPr>
            <w:tcW w:w="2685" w:type="dxa"/>
            <w:vAlign w:val="center"/>
          </w:tcPr>
          <w:p w14:paraId="059A4F94">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（9）磋商有效期</w:t>
            </w:r>
          </w:p>
        </w:tc>
        <w:tc>
          <w:tcPr>
            <w:tcW w:w="4888" w:type="dxa"/>
            <w:vAlign w:val="center"/>
          </w:tcPr>
          <w:p w14:paraId="77CF587F">
            <w:pPr>
              <w:tabs>
                <w:tab w:val="left" w:pos="0"/>
              </w:tabs>
              <w:adjustRightInd w:val="0"/>
              <w:snapToGrid w:val="0"/>
              <w:rPr>
                <w:rFonts w:hint="eastAsia" w:ascii="仿宋" w:hAnsi="仿宋" w:eastAsia="仿宋" w:cs="仿宋"/>
                <w:color w:val="auto"/>
                <w:sz w:val="24"/>
                <w:szCs w:val="24"/>
              </w:rPr>
            </w:pPr>
            <w:r>
              <w:rPr>
                <w:rFonts w:hint="eastAsia" w:ascii="仿宋" w:hAnsi="仿宋" w:eastAsia="仿宋" w:cs="仿宋"/>
                <w:color w:val="auto"/>
                <w:sz w:val="24"/>
                <w:szCs w:val="24"/>
              </w:rPr>
              <w:t>应满足磋商文件中的规定</w:t>
            </w:r>
          </w:p>
        </w:tc>
      </w:tr>
    </w:tbl>
    <w:p w14:paraId="5982D32F">
      <w:pPr>
        <w:rPr>
          <w:rFonts w:ascii="宋体" w:hAnsi="宋体" w:cs="宋体"/>
          <w:color w:val="auto"/>
          <w:kern w:val="0"/>
          <w:szCs w:val="21"/>
        </w:rPr>
      </w:pPr>
    </w:p>
    <w:p w14:paraId="115FDE9B">
      <w:pPr>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1.2.4.3 未通过符合性检查的供应商，不得进入后续磋商环节。</w:t>
      </w:r>
    </w:p>
    <w:p w14:paraId="29D2086C">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1.3 响应文件的澄清</w:t>
      </w:r>
    </w:p>
    <w:p w14:paraId="56E2D278">
      <w:pPr>
        <w:adjustRightInd w:val="0"/>
        <w:snapToGrid w:val="0"/>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7AD8363">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14:paraId="16B0700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napToGrid w:val="0"/>
          <w:color w:val="auto"/>
          <w:kern w:val="0"/>
          <w:sz w:val="24"/>
          <w:szCs w:val="24"/>
        </w:rPr>
        <w:t xml:space="preserve">1.3.3 </w:t>
      </w:r>
      <w:r>
        <w:rPr>
          <w:rFonts w:hint="eastAsia" w:ascii="仿宋" w:hAnsi="仿宋" w:eastAsia="仿宋" w:cs="仿宋"/>
          <w:color w:val="auto"/>
          <w:sz w:val="24"/>
          <w:szCs w:val="24"/>
        </w:rPr>
        <w:t>供应商拒不按照要求对响应文件进行澄清、说明或者更正的，磋商小组可以拒绝其响应文件。磋商小组不接受供应商主动提出的澄清、说明或者更正。</w:t>
      </w:r>
    </w:p>
    <w:p w14:paraId="32DD1D1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1.3.4 有效的书面澄清、说明或者更正材料，是响应文件的补充材料，并构成响应文件的组成部分。</w:t>
      </w:r>
    </w:p>
    <w:p w14:paraId="47E0013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1.3.5 磋商小组对供应商提交的澄清、说明或者更正有疑问的，可以要求供应商进一步澄清、说明或者更正，直至满足磋商小组的要求。</w:t>
      </w:r>
    </w:p>
    <w:p w14:paraId="71B3A999">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1.4 磋商</w:t>
      </w:r>
    </w:p>
    <w:p w14:paraId="2CB376D3">
      <w:pPr>
        <w:spacing w:line="360" w:lineRule="auto"/>
        <w:ind w:firstLine="480"/>
        <w:rPr>
          <w:rFonts w:hint="eastAsia" w:ascii="仿宋" w:hAnsi="仿宋" w:eastAsia="仿宋" w:cs="仿宋"/>
          <w:b/>
          <w:color w:val="auto"/>
          <w:sz w:val="24"/>
          <w:szCs w:val="24"/>
        </w:rPr>
      </w:pPr>
      <w:r>
        <w:rPr>
          <w:rFonts w:hint="eastAsia" w:ascii="仿宋" w:hAnsi="仿宋" w:eastAsia="仿宋" w:cs="仿宋"/>
          <w:b/>
          <w:color w:val="auto"/>
          <w:sz w:val="24"/>
          <w:szCs w:val="24"/>
        </w:rPr>
        <w:t>1.4.1磋商方式：</w:t>
      </w:r>
    </w:p>
    <w:p w14:paraId="4E1647F0">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1.4.1.1 对资格性审查和符合性审查合格的供应商，进入本次磋商环节。</w:t>
      </w:r>
    </w:p>
    <w:p w14:paraId="173C17C7">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1.4.1.2 在磋商期间，供应商应派代表参加磋商，代表人数不超过</w:t>
      </w:r>
      <w:r>
        <w:rPr>
          <w:rFonts w:hint="eastAsia" w:ascii="仿宋" w:hAnsi="仿宋" w:eastAsia="仿宋" w:cs="仿宋"/>
          <w:color w:val="auto"/>
          <w:kern w:val="0"/>
          <w:sz w:val="24"/>
          <w:szCs w:val="24"/>
          <w:u w:val="single"/>
        </w:rPr>
        <w:t>1</w:t>
      </w:r>
      <w:r>
        <w:rPr>
          <w:rFonts w:hint="eastAsia" w:ascii="仿宋" w:hAnsi="仿宋" w:eastAsia="仿宋" w:cs="仿宋"/>
          <w:color w:val="auto"/>
          <w:kern w:val="0"/>
          <w:sz w:val="24"/>
          <w:szCs w:val="24"/>
        </w:rPr>
        <w:t>人。</w:t>
      </w:r>
    </w:p>
    <w:p w14:paraId="0F1BA7E3">
      <w:pPr>
        <w:spacing w:line="360" w:lineRule="auto"/>
        <w:ind w:firstLine="787" w:firstLineChars="328"/>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1.4.1.3 磋商小组将通过随机方式确定供应商进行磋商的顺序，所有成员集中与单一供应商按照顺序分别进行磋商，</w:t>
      </w:r>
      <w:r>
        <w:rPr>
          <w:rFonts w:hint="eastAsia" w:ascii="仿宋" w:hAnsi="仿宋" w:eastAsia="仿宋" w:cs="仿宋"/>
          <w:color w:val="auto"/>
          <w:sz w:val="24"/>
          <w:szCs w:val="24"/>
        </w:rPr>
        <w:t>并给予所有参加磋商的供应商平等的磋商机会</w:t>
      </w:r>
      <w:r>
        <w:rPr>
          <w:rFonts w:hint="eastAsia" w:ascii="仿宋" w:hAnsi="仿宋" w:eastAsia="仿宋" w:cs="仿宋"/>
          <w:color w:val="auto"/>
          <w:kern w:val="0"/>
          <w:sz w:val="24"/>
          <w:szCs w:val="24"/>
        </w:rPr>
        <w:t>。磋商的任何一方不得透露与磋商有关的其他供应商的技术资料、价格和其他信息。</w:t>
      </w:r>
    </w:p>
    <w:p w14:paraId="16B889F0">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1.4.1.4 技术磋商。</w:t>
      </w:r>
      <w:r>
        <w:rPr>
          <w:rFonts w:hint="eastAsia" w:ascii="仿宋" w:hAnsi="仿宋" w:eastAsia="仿宋" w:cs="仿宋"/>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01182253">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sz w:val="24"/>
          <w:szCs w:val="24"/>
        </w:rPr>
        <w:t>对磋商文件作出的实质性变动是磋商文件的有效组成部分，磋商小组应当及时以书面形式同时通知所有参加磋商的供应商。</w:t>
      </w:r>
    </w:p>
    <w:p w14:paraId="1316B317">
      <w:pPr>
        <w:widowControl/>
        <w:spacing w:line="360" w:lineRule="auto"/>
        <w:ind w:firstLine="840" w:firstLineChars="35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供应商应当按照磋商文件的变动情况和磋商小组的要求重新提交响应文件，并由其法定代表人或委托代理人签字或者加盖公章。</w:t>
      </w:r>
      <w:r>
        <w:rPr>
          <w:rFonts w:hint="eastAsia" w:ascii="仿宋" w:hAnsi="仿宋" w:eastAsia="仿宋" w:cs="仿宋"/>
          <w:snapToGrid w:val="0"/>
          <w:color w:val="auto"/>
          <w:kern w:val="0"/>
          <w:sz w:val="24"/>
          <w:szCs w:val="24"/>
        </w:rPr>
        <w:t>由委托代理人签字的，应当附法定代表人授权书。供应商为自然人的，应当由本人签字并附身份证明。</w:t>
      </w:r>
    </w:p>
    <w:p w14:paraId="6B4D4657">
      <w:pPr>
        <w:spacing w:line="360" w:lineRule="auto"/>
        <w:ind w:firstLine="789" w:firstLineChars="329"/>
        <w:rPr>
          <w:rFonts w:hint="eastAsia" w:ascii="仿宋" w:hAnsi="仿宋" w:eastAsia="仿宋" w:cs="仿宋"/>
          <w:color w:val="auto"/>
          <w:sz w:val="24"/>
          <w:szCs w:val="24"/>
        </w:rPr>
      </w:pPr>
      <w:r>
        <w:rPr>
          <w:rFonts w:hint="eastAsia" w:ascii="仿宋" w:hAnsi="仿宋" w:eastAsia="仿宋" w:cs="仿宋"/>
          <w:color w:val="auto"/>
          <w:kern w:val="0"/>
          <w:sz w:val="24"/>
          <w:szCs w:val="24"/>
        </w:rPr>
        <w:t>磋商小组应当</w:t>
      </w:r>
      <w:r>
        <w:rPr>
          <w:rFonts w:hint="eastAsia" w:ascii="仿宋" w:hAnsi="仿宋" w:eastAsia="仿宋" w:cs="仿宋"/>
          <w:color w:val="auto"/>
          <w:sz w:val="24"/>
          <w:szCs w:val="24"/>
        </w:rPr>
        <w:t>根据规定</w:t>
      </w:r>
      <w:r>
        <w:rPr>
          <w:rFonts w:hint="eastAsia" w:ascii="仿宋" w:hAnsi="仿宋" w:eastAsia="仿宋" w:cs="仿宋"/>
          <w:color w:val="auto"/>
          <w:kern w:val="0"/>
          <w:sz w:val="24"/>
          <w:szCs w:val="24"/>
        </w:rPr>
        <w:t>对供应商重新提交的响应文件进行符合性审查。供应商重新提交的响应文件未通过符合性审查的，不得进入商务磋商，也不得要求提交最后报价。</w:t>
      </w:r>
    </w:p>
    <w:p w14:paraId="54001C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1.4.1.5 商务磋商。在技术磋商结束后，进行商务磋商。磋商文件能够详细列明采购标的的技术、服务要求的，磋商小组应当要求所有实质性响应的供应商在规定时间内提交最后报价，提交最后报价的供应商不得少于3家。</w:t>
      </w:r>
    </w:p>
    <w:p w14:paraId="0124F02D">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w:t>
      </w:r>
    </w:p>
    <w:p w14:paraId="09A398FD">
      <w:pPr>
        <w:widowControl/>
        <w:spacing w:line="360" w:lineRule="auto"/>
        <w:ind w:firstLine="878" w:firstLineChars="366"/>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符合《政府采购竞争性磋商采购方式管理暂行办法》第三条第四项情形的，或者本项目为政府购买服务指导性目录中的，提交最后报价的供应商可以为2家。</w:t>
      </w:r>
    </w:p>
    <w:p w14:paraId="45F7ABAE">
      <w:pPr>
        <w:spacing w:line="360" w:lineRule="auto"/>
        <w:ind w:firstLine="909" w:firstLineChars="379"/>
        <w:rPr>
          <w:rFonts w:hint="eastAsia" w:ascii="仿宋" w:hAnsi="仿宋" w:eastAsia="仿宋" w:cs="仿宋"/>
          <w:color w:val="auto"/>
          <w:sz w:val="24"/>
          <w:szCs w:val="24"/>
        </w:rPr>
      </w:pPr>
      <w:r>
        <w:rPr>
          <w:rFonts w:hint="eastAsia" w:ascii="仿宋" w:hAnsi="仿宋" w:eastAsia="仿宋" w:cs="仿宋"/>
          <w:color w:val="auto"/>
          <w:sz w:val="24"/>
          <w:szCs w:val="24"/>
        </w:rPr>
        <w:t>1.4.1.6 已提交响应文件的供应商，在提交最后报价之前，可以根据磋商情况退出磋商，采购代理机构应当退还其磋商保证金。</w:t>
      </w:r>
    </w:p>
    <w:p w14:paraId="5FFC2F1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1.4.2磋商步骤：</w:t>
      </w:r>
    </w:p>
    <w:p w14:paraId="79A97056">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1.4.2.1 第一轮磋商。磋商小组对进入第一轮磋商的供应商再次进行评审、质疑和澄清。在此阶段，磋商小组依据参加磋商的供应商递交的响应文件进行技术和商务磋商。</w:t>
      </w:r>
    </w:p>
    <w:p w14:paraId="4921DB13">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磋商小组可以根据实际需要提出方案和技术参数要求，与单一供应商分别进行磋商，并给予所有参加磋商的供应商平等的磋商机会。要求参加磋商的供应商重新承诺服务、技术要求和第二次磋商报价，以满足采购人的最大需求。</w:t>
      </w:r>
    </w:p>
    <w:p w14:paraId="53F40F73">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1.4.2.2 第二轮磋商。对第一轮磋商结果不满意，磋商小组可以再次要求参加磋商的供应商进行第二轮磋商，磋商内容及要求与第一轮磋商相同。</w:t>
      </w:r>
    </w:p>
    <w:p w14:paraId="3DEC3E22">
      <w:pPr>
        <w:spacing w:line="360" w:lineRule="auto"/>
        <w:ind w:firstLine="938" w:firstLineChars="391"/>
        <w:rPr>
          <w:rFonts w:hint="eastAsia" w:ascii="仿宋" w:hAnsi="仿宋" w:eastAsia="仿宋" w:cs="仿宋"/>
          <w:color w:val="auto"/>
          <w:sz w:val="24"/>
          <w:szCs w:val="24"/>
        </w:rPr>
      </w:pPr>
      <w:r>
        <w:rPr>
          <w:rFonts w:hint="eastAsia" w:ascii="仿宋" w:hAnsi="仿宋" w:eastAsia="仿宋" w:cs="仿宋"/>
          <w:color w:val="auto"/>
          <w:sz w:val="24"/>
          <w:szCs w:val="24"/>
        </w:rPr>
        <w:t>1.4.2.3 每轮磋商结束后，磋商小组对磋商情况进行讨论，综合考虑供应商提供的服务水平和性价比，有权对服务水平最差供应商或性价比最低点供应商进行淘汰，并将淘汰理由写入评审报告。</w:t>
      </w:r>
    </w:p>
    <w:p w14:paraId="47F12802">
      <w:pPr>
        <w:spacing w:line="360" w:lineRule="auto"/>
        <w:ind w:firstLine="942" w:firstLineChars="391"/>
        <w:rPr>
          <w:rFonts w:hint="eastAsia" w:ascii="仿宋" w:hAnsi="仿宋" w:eastAsia="仿宋" w:cs="仿宋"/>
          <w:color w:val="auto"/>
          <w:sz w:val="24"/>
          <w:szCs w:val="24"/>
        </w:rPr>
      </w:pPr>
      <w:r>
        <w:rPr>
          <w:rFonts w:hint="eastAsia" w:ascii="仿宋" w:hAnsi="仿宋" w:eastAsia="仿宋" w:cs="仿宋"/>
          <w:b/>
          <w:color w:val="auto"/>
          <w:sz w:val="24"/>
          <w:szCs w:val="24"/>
        </w:rPr>
        <w:t>后一轮磋商报价高于前一轮磋商报价的供应商，视为其自动退出磋商，有磋商保证金的予以退还。</w:t>
      </w:r>
    </w:p>
    <w:p w14:paraId="66A322D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1.4.2.4 磋商小组应在最后一轮磋商前告知所有符合磋商要求的供应商是否是最后一次磋商。</w:t>
      </w:r>
    </w:p>
    <w:p w14:paraId="32D8753D">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1.4.2.5 最后一轮磋商结束后，磋商小组将对进入最后一轮的供应商的响应文件进行详细评审。</w:t>
      </w:r>
    </w:p>
    <w:p w14:paraId="1FC79AE2">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1.5 最后报价</w:t>
      </w:r>
    </w:p>
    <w:p w14:paraId="6D00C290">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1.5.1 供应商应当以书面形式提交最后报价（最后报价将作为综合评分法中价格分的计算依据），并由其法定代表人或者委托代理人签字或者加盖单位章。</w:t>
      </w:r>
      <w:r>
        <w:rPr>
          <w:rFonts w:hint="eastAsia" w:ascii="仿宋" w:hAnsi="仿宋" w:eastAsia="仿宋" w:cs="仿宋"/>
          <w:snapToGrid w:val="0"/>
          <w:color w:val="auto"/>
          <w:kern w:val="0"/>
          <w:sz w:val="24"/>
          <w:szCs w:val="24"/>
        </w:rPr>
        <w:t>由委托代理人签字的，应具有法定代表人授权书。供应商为自然人的，应当由本人签字并附身份证明。</w:t>
      </w:r>
    </w:p>
    <w:p w14:paraId="7723FFF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 最后报价是供应商响应文件的有效组成部分。</w:t>
      </w:r>
    </w:p>
    <w:p w14:paraId="6019E80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1.5.3 最后报价仅向采购人及监督人员宣布，并由监督人员确认。</w:t>
      </w:r>
    </w:p>
    <w:p w14:paraId="6AA0407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1.6 响应文件详细评审</w:t>
      </w:r>
    </w:p>
    <w:p w14:paraId="79994CC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经磋商确定最终采购需求和提交最后报价的供应商后，由磋商小组采用</w:t>
      </w:r>
      <w:r>
        <w:rPr>
          <w:rFonts w:hint="eastAsia" w:ascii="仿宋" w:hAnsi="仿宋" w:eastAsia="仿宋" w:cs="仿宋"/>
          <w:b/>
          <w:color w:val="auto"/>
          <w:sz w:val="24"/>
          <w:szCs w:val="24"/>
        </w:rPr>
        <w:t>综合评分法</w:t>
      </w:r>
      <w:r>
        <w:rPr>
          <w:rFonts w:hint="eastAsia" w:ascii="仿宋" w:hAnsi="仿宋" w:eastAsia="仿宋" w:cs="仿宋"/>
          <w:color w:val="auto"/>
          <w:sz w:val="24"/>
          <w:szCs w:val="24"/>
        </w:rPr>
        <w:t>对提交最后报价的供应商的响应文件和最后报价进行综合评分。</w:t>
      </w:r>
    </w:p>
    <w:p w14:paraId="39CCD1F5">
      <w:pPr>
        <w:spacing w:before="120" w:before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1.7 复核与核对评审结果</w:t>
      </w:r>
    </w:p>
    <w:p w14:paraId="139A0CA1">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1.7.1 评分汇总结束后，磋商小组应当进行复核，特别要对拟推荐成交候选人的、最后报价最低的、响应文件被认定无效的进行重点复核。</w:t>
      </w:r>
    </w:p>
    <w:p w14:paraId="50197ECF">
      <w:pPr>
        <w:pStyle w:val="29"/>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1.7.2 评审结果汇总完成后，评审报告签署前，采购代理机构应当</w:t>
      </w:r>
      <w:r>
        <w:rPr>
          <w:rFonts w:hint="eastAsia" w:ascii="仿宋" w:hAnsi="仿宋" w:eastAsia="仿宋" w:cs="仿宋"/>
          <w:bCs/>
          <w:color w:val="auto"/>
          <w:sz w:val="24"/>
          <w:szCs w:val="24"/>
        </w:rPr>
        <w:t>核对评审结果，</w:t>
      </w:r>
      <w:r>
        <w:rPr>
          <w:rFonts w:hint="eastAsia" w:ascii="仿宋" w:hAnsi="仿宋" w:eastAsia="仿宋" w:cs="仿宋"/>
          <w:color w:val="auto"/>
          <w:sz w:val="24"/>
          <w:szCs w:val="24"/>
        </w:rPr>
        <w:t>除下列情形外，任何人不得修改评审结果：</w:t>
      </w:r>
    </w:p>
    <w:p w14:paraId="2214996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（1）资格性认定错误的；</w:t>
      </w:r>
    </w:p>
    <w:p w14:paraId="7FC7A9C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（2）分值汇总计算错误的；</w:t>
      </w:r>
    </w:p>
    <w:p w14:paraId="4F9ABEC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（3）分项评分超出评分标准范围的；</w:t>
      </w:r>
    </w:p>
    <w:p w14:paraId="77AAFBF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（4）磋商小组对客观评审因素评分不一致的；</w:t>
      </w:r>
    </w:p>
    <w:p w14:paraId="5CBBD39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（5）经磋商小组一致认定评分畸高、畸低的。</w:t>
      </w:r>
    </w:p>
    <w:p w14:paraId="0132BE1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经复核发现存在以上情形之一的，磋商小组应当当场修改评审结果，并在评审报告中记载。</w:t>
      </w:r>
    </w:p>
    <w:p w14:paraId="61ECAC63">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1.8 确定成交候选人名单</w:t>
      </w:r>
    </w:p>
    <w:p w14:paraId="2F369953">
      <w:pPr>
        <w:spacing w:before="120" w:beforeLines="5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确定成交候选人程序祥见第二章第8.1、8.2条款。</w:t>
      </w:r>
    </w:p>
    <w:p w14:paraId="1CC5A66B">
      <w:pPr>
        <w:spacing w:before="120" w:beforeLines="50" w:after="120" w:afterLines="5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1.9 编写评审报告</w:t>
      </w:r>
    </w:p>
    <w:p w14:paraId="711117B4">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1.9.1 磋商小组在确定成交候选人名单后，应当编写评审报告并向采购人出具。评审报告应当包括以下主要内容：</w:t>
      </w:r>
    </w:p>
    <w:p w14:paraId="2783365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snapToGrid w:val="0"/>
          <w:color w:val="auto"/>
          <w:kern w:val="0"/>
          <w:sz w:val="24"/>
          <w:szCs w:val="24"/>
        </w:rPr>
        <w:t>邀请供应商参加采购活动的具体方式和相关情况；</w:t>
      </w:r>
    </w:p>
    <w:p w14:paraId="53BB7345">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（2）响应文件开启日期和地点；</w:t>
      </w:r>
    </w:p>
    <w:p w14:paraId="26380BC8">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（3）获取磋商文件的供应商名单和磋商小组成员名单；</w:t>
      </w:r>
    </w:p>
    <w:p w14:paraId="6EDEDC09">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（4）评审情况记录和说明，包括对供应商的资格审查情况、供应商响应文件评审情况、磋商情况（含磋商文件实质性变动情况）、报价情况等；</w:t>
      </w:r>
    </w:p>
    <w:p w14:paraId="32E394B2">
      <w:pPr>
        <w:spacing w:line="360" w:lineRule="auto"/>
        <w:ind w:firstLine="482"/>
        <w:rPr>
          <w:rFonts w:hint="eastAsia" w:ascii="仿宋" w:hAnsi="仿宋" w:eastAsia="仿宋" w:cs="仿宋"/>
          <w:snapToGrid w:val="0"/>
          <w:color w:val="auto"/>
          <w:kern w:val="0"/>
          <w:sz w:val="24"/>
          <w:szCs w:val="24"/>
        </w:rPr>
      </w:pPr>
      <w:r>
        <w:rPr>
          <w:rFonts w:hint="eastAsia" w:ascii="仿宋" w:hAnsi="仿宋" w:eastAsia="仿宋" w:cs="仿宋"/>
          <w:snapToGrid w:val="0"/>
          <w:color w:val="auto"/>
          <w:kern w:val="0"/>
          <w:sz w:val="24"/>
          <w:szCs w:val="24"/>
        </w:rPr>
        <w:t>（5）提出的成交候选人的排序名单及理由。</w:t>
      </w:r>
    </w:p>
    <w:p w14:paraId="51FB2872">
      <w:pPr>
        <w:spacing w:line="360" w:lineRule="auto"/>
        <w:ind w:firstLine="482"/>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（6）其他需要说明的情况，包括评审过程中供应商根据磋商小组要求进行的澄清、说明或者更正，磋商小组成员的更换等，报价最高的供应商为第一中标候选人的，对其报价合理性予以特别书面。</w:t>
      </w:r>
    </w:p>
    <w:p w14:paraId="1F5123EE">
      <w:pPr>
        <w:widowControl/>
        <w:spacing w:line="360" w:lineRule="auto"/>
        <w:ind w:firstLine="480" w:firstLineChars="200"/>
        <w:rPr>
          <w:rFonts w:hint="eastAsia" w:ascii="仿宋" w:hAnsi="仿宋" w:eastAsia="仿宋" w:cs="仿宋"/>
          <w:snapToGrid w:val="0"/>
          <w:color w:val="auto"/>
          <w:kern w:val="0"/>
          <w:sz w:val="24"/>
          <w:szCs w:val="24"/>
        </w:rPr>
      </w:pPr>
      <w:r>
        <w:rPr>
          <w:rFonts w:hint="eastAsia" w:ascii="仿宋" w:hAnsi="仿宋" w:eastAsia="仿宋" w:cs="仿宋"/>
          <w:color w:val="auto"/>
          <w:kern w:val="0"/>
          <w:sz w:val="24"/>
          <w:szCs w:val="24"/>
        </w:rPr>
        <w:t xml:space="preserve">1.9.2 </w:t>
      </w:r>
      <w:r>
        <w:rPr>
          <w:rFonts w:hint="eastAsia" w:ascii="仿宋" w:hAnsi="仿宋" w:eastAsia="仿宋" w:cs="仿宋"/>
          <w:snapToGrid w:val="0"/>
          <w:color w:val="auto"/>
          <w:kern w:val="0"/>
          <w:sz w:val="24"/>
          <w:szCs w:val="24"/>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CA90570">
      <w:pPr>
        <w:outlineLvl w:val="9"/>
        <w:rPr>
          <w:rFonts w:hint="eastAsia" w:ascii="仿宋" w:hAnsi="仿宋" w:eastAsia="仿宋" w:cs="仿宋"/>
          <w:b w:val="0"/>
          <w:bCs/>
          <w:color w:val="auto"/>
          <w:sz w:val="24"/>
          <w:szCs w:val="24"/>
        </w:rPr>
      </w:pPr>
      <w:bookmarkStart w:id="93" w:name="_Toc29547"/>
      <w:r>
        <w:rPr>
          <w:rFonts w:hint="eastAsia" w:ascii="仿宋" w:hAnsi="仿宋" w:eastAsia="仿宋" w:cs="仿宋"/>
          <w:b w:val="0"/>
          <w:bCs/>
          <w:color w:val="auto"/>
          <w:sz w:val="24"/>
          <w:szCs w:val="24"/>
        </w:rPr>
        <w:t>2.评审方法</w:t>
      </w:r>
      <w:bookmarkEnd w:id="93"/>
    </w:p>
    <w:p w14:paraId="2C63E7B8">
      <w:pPr>
        <w:pStyle w:val="8"/>
        <w:spacing w:before="120" w:beforeLines="50" w:after="120" w:afterLines="50" w:line="360" w:lineRule="auto"/>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2.1 综合评分法</w:t>
      </w:r>
    </w:p>
    <w:p w14:paraId="786B58C2">
      <w:pPr>
        <w:spacing w:line="360" w:lineRule="auto"/>
        <w:ind w:firstLine="470" w:firstLineChars="196"/>
        <w:rPr>
          <w:rFonts w:hint="eastAsia" w:ascii="仿宋" w:hAnsi="仿宋" w:eastAsia="仿宋" w:cs="仿宋"/>
          <w:snapToGrid w:val="0"/>
          <w:color w:val="auto"/>
          <w:kern w:val="0"/>
          <w:sz w:val="24"/>
          <w:szCs w:val="24"/>
        </w:rPr>
      </w:pPr>
      <w:r>
        <w:rPr>
          <w:rFonts w:hint="eastAsia" w:ascii="仿宋" w:hAnsi="仿宋" w:eastAsia="仿宋" w:cs="仿宋"/>
          <w:color w:val="auto"/>
          <w:sz w:val="24"/>
          <w:szCs w:val="24"/>
        </w:rPr>
        <w:t>2.1.1 本采购项目评审方法采用综合评分法，</w:t>
      </w:r>
      <w:r>
        <w:rPr>
          <w:rFonts w:hint="eastAsia" w:ascii="仿宋" w:hAnsi="仿宋" w:eastAsia="仿宋" w:cs="仿宋"/>
          <w:snapToGrid w:val="0"/>
          <w:color w:val="auto"/>
          <w:kern w:val="0"/>
          <w:sz w:val="24"/>
          <w:szCs w:val="24"/>
        </w:rPr>
        <w:t>是指响应文件满足磋商文件全部实质性要求且按评审因素的量化指标评审得分最高的供应商为成交候选供应商的评审方法。</w:t>
      </w:r>
    </w:p>
    <w:p w14:paraId="56EB4881">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2.1.2 综合评分法评审标准中的分值设置应当与评审因素的量化指标相对应。磋商文件中没有规定的评审标准不得作为评审依据。</w:t>
      </w:r>
    </w:p>
    <w:p w14:paraId="39628DFA">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2.2 评审细则及标准</w:t>
      </w:r>
    </w:p>
    <w:p w14:paraId="7E48096F">
      <w:pPr>
        <w:pStyle w:val="12"/>
        <w:adjustRightInd w:val="0"/>
        <w:snapToGrid w:val="0"/>
        <w:spacing w:line="360" w:lineRule="auto"/>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2.2.1 </w:t>
      </w:r>
      <w:r>
        <w:rPr>
          <w:rFonts w:hint="eastAsia" w:ascii="仿宋" w:hAnsi="仿宋" w:eastAsia="仿宋" w:cs="仿宋"/>
          <w:bCs/>
          <w:color w:val="auto"/>
          <w:sz w:val="24"/>
          <w:szCs w:val="24"/>
        </w:rPr>
        <w:t>磋商小组将综合分析供应商的各项评审因素，而不以单项评审因素的优劣评选出成交供应商。对所有供应商的响应评估，都采用相同的程序和标准，严格按照磋商文件的要求和条件进行。</w:t>
      </w:r>
    </w:p>
    <w:p w14:paraId="47909C43">
      <w:pPr>
        <w:tabs>
          <w:tab w:val="left" w:pos="0"/>
        </w:tabs>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2.2.2评审因素包括：</w:t>
      </w:r>
      <w:r>
        <w:rPr>
          <w:rFonts w:hint="eastAsia" w:ascii="仿宋" w:hAnsi="仿宋" w:eastAsia="仿宋" w:cs="仿宋"/>
          <w:color w:val="auto"/>
          <w:kern w:val="0"/>
          <w:sz w:val="24"/>
          <w:szCs w:val="24"/>
        </w:rPr>
        <w:t>磋商报价、服务方案等</w:t>
      </w:r>
      <w:r>
        <w:rPr>
          <w:rFonts w:hint="eastAsia" w:ascii="仿宋" w:hAnsi="仿宋" w:eastAsia="仿宋" w:cs="仿宋"/>
          <w:color w:val="auto"/>
          <w:sz w:val="24"/>
          <w:szCs w:val="24"/>
        </w:rPr>
        <w:t>对磋商文件的响应程度，以及相应的比重或者权值等，但不包括“供应商须知”第3.1条</w:t>
      </w:r>
      <w:r>
        <w:rPr>
          <w:rFonts w:hint="eastAsia" w:ascii="仿宋" w:hAnsi="仿宋" w:eastAsia="仿宋" w:cs="仿宋"/>
          <w:color w:val="auto"/>
          <w:kern w:val="0"/>
          <w:sz w:val="24"/>
          <w:szCs w:val="24"/>
          <w:lang w:val="zh-CN"/>
        </w:rPr>
        <w:t>款</w:t>
      </w:r>
      <w:r>
        <w:rPr>
          <w:rFonts w:hint="eastAsia" w:ascii="仿宋" w:hAnsi="仿宋" w:eastAsia="仿宋" w:cs="仿宋"/>
          <w:color w:val="auto"/>
          <w:sz w:val="24"/>
          <w:szCs w:val="24"/>
        </w:rPr>
        <w:t>规定的供应商资格条件。</w:t>
      </w:r>
    </w:p>
    <w:p w14:paraId="09336E16">
      <w:pPr>
        <w:pStyle w:val="12"/>
        <w:adjustRightInd w:val="0"/>
        <w:snapToGrid w:val="0"/>
        <w:spacing w:line="360" w:lineRule="auto"/>
        <w:ind w:left="865" w:leftChars="203" w:hanging="439" w:hangingChars="183"/>
        <w:rPr>
          <w:rFonts w:hint="eastAsia" w:ascii="仿宋" w:hAnsi="仿宋" w:eastAsia="仿宋" w:cs="仿宋"/>
          <w:bCs/>
          <w:color w:val="auto"/>
          <w:sz w:val="24"/>
          <w:szCs w:val="24"/>
        </w:rPr>
      </w:pPr>
      <w:r>
        <w:rPr>
          <w:rFonts w:hint="eastAsia" w:ascii="仿宋" w:hAnsi="仿宋" w:eastAsia="仿宋" w:cs="仿宋"/>
          <w:bCs/>
          <w:color w:val="auto"/>
          <w:sz w:val="24"/>
          <w:szCs w:val="24"/>
        </w:rPr>
        <w:t>2.2.3 磋商小组按以下操作程序对供应商的响应文件进行综合评分：</w:t>
      </w:r>
    </w:p>
    <w:p w14:paraId="021ACE48">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2.2.3.1 根据磋商文件和磋商原则，按《综合评分明细表》所列评分因素和各评分因素的权重进行评审。</w:t>
      </w:r>
    </w:p>
    <w:p w14:paraId="65335714">
      <w:pPr>
        <w:spacing w:line="360" w:lineRule="auto"/>
        <w:ind w:firstLine="840" w:firstLineChars="350"/>
        <w:rPr>
          <w:rFonts w:hint="eastAsia" w:ascii="仿宋" w:hAnsi="仿宋" w:eastAsia="仿宋" w:cs="仿宋"/>
          <w:color w:val="auto"/>
          <w:sz w:val="24"/>
          <w:szCs w:val="24"/>
        </w:rPr>
      </w:pPr>
      <w:r>
        <w:rPr>
          <w:rFonts w:hint="eastAsia" w:ascii="仿宋" w:hAnsi="仿宋" w:eastAsia="仿宋" w:cs="仿宋"/>
          <w:color w:val="auto"/>
          <w:sz w:val="24"/>
          <w:szCs w:val="24"/>
        </w:rPr>
        <w:t>2.2.3.2 供应商的价格分，按照财政部财库[2014]214号文件第二十四条和财库[2020]46号文件的规定，采用低价优先法计算，以本次满足磋商文件要求的</w:t>
      </w:r>
      <w:r>
        <w:rPr>
          <w:rFonts w:hint="eastAsia" w:ascii="仿宋" w:hAnsi="仿宋" w:eastAsia="仿宋" w:cs="仿宋"/>
          <w:b/>
          <w:color w:val="auto"/>
          <w:sz w:val="24"/>
          <w:szCs w:val="24"/>
        </w:rPr>
        <w:t>最低磋商评审价为磋商基准价</w:t>
      </w:r>
      <w:r>
        <w:rPr>
          <w:rFonts w:hint="eastAsia" w:ascii="仿宋" w:hAnsi="仿宋" w:eastAsia="仿宋" w:cs="仿宋"/>
          <w:color w:val="auto"/>
          <w:sz w:val="24"/>
          <w:szCs w:val="24"/>
        </w:rPr>
        <w:t>，其价格为满分。</w:t>
      </w:r>
    </w:p>
    <w:p w14:paraId="6C6F6F2C">
      <w:pPr>
        <w:spacing w:line="360" w:lineRule="auto"/>
        <w:ind w:firstLine="840" w:firstLineChars="350"/>
        <w:rPr>
          <w:rFonts w:hint="eastAsia" w:ascii="仿宋" w:hAnsi="仿宋" w:eastAsia="仿宋" w:cs="仿宋"/>
          <w:color w:val="auto"/>
          <w:sz w:val="24"/>
          <w:szCs w:val="24"/>
        </w:rPr>
      </w:pPr>
      <w:r>
        <w:rPr>
          <w:rFonts w:hint="eastAsia" w:ascii="仿宋" w:hAnsi="仿宋" w:eastAsia="仿宋" w:cs="仿宋"/>
          <w:color w:val="auto"/>
          <w:sz w:val="24"/>
          <w:szCs w:val="24"/>
        </w:rPr>
        <w:t>2.2.3.3供应商的价格分，统一按照下列公式</w:t>
      </w:r>
      <w:r>
        <w:rPr>
          <w:rFonts w:hint="eastAsia" w:ascii="仿宋" w:hAnsi="仿宋" w:eastAsia="仿宋" w:cs="仿宋"/>
          <w:bCs/>
          <w:color w:val="auto"/>
          <w:sz w:val="24"/>
          <w:szCs w:val="24"/>
        </w:rPr>
        <w:t>计算：</w:t>
      </w:r>
    </w:p>
    <w:p w14:paraId="13AE2CB8">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磋商评审价=最后报价</w:t>
      </w:r>
    </w:p>
    <w:p w14:paraId="2B4A85DA">
      <w:pPr>
        <w:spacing w:line="360" w:lineRule="auto"/>
        <w:ind w:firstLine="1311" w:firstLineChars="544"/>
        <w:rPr>
          <w:rFonts w:hint="eastAsia" w:ascii="仿宋" w:hAnsi="仿宋" w:eastAsia="仿宋" w:cs="仿宋"/>
          <w:b/>
          <w:color w:val="auto"/>
          <w:sz w:val="24"/>
          <w:szCs w:val="24"/>
        </w:rPr>
      </w:pPr>
      <w:r>
        <w:rPr>
          <w:rFonts w:hint="eastAsia" w:ascii="仿宋" w:hAnsi="仿宋" w:eastAsia="仿宋" w:cs="仿宋"/>
          <w:b/>
          <w:color w:val="auto"/>
          <w:sz w:val="24"/>
          <w:szCs w:val="24"/>
        </w:rPr>
        <w:t>磋商报价得分=(磋商基准价／磋商评审价)×报价分值</w:t>
      </w:r>
    </w:p>
    <w:p w14:paraId="1AD69D6E">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2.2.3.4 由磋商小组成员独立地根据各项因素的评分标准，结合每个供应商的实际情况，分别就磋商报价以外的各项评审因素对每个供应商独立打分。</w:t>
      </w:r>
    </w:p>
    <w:p w14:paraId="18E105BF">
      <w:pPr>
        <w:pStyle w:val="13"/>
        <w:widowControl/>
        <w:tabs>
          <w:tab w:val="left" w:pos="1506"/>
        </w:tabs>
        <w:adjustRightInd w:val="0"/>
        <w:snapToGrid w:val="0"/>
        <w:spacing w:line="360" w:lineRule="auto"/>
        <w:ind w:firstLine="960" w:firstLineChars="400"/>
        <w:rPr>
          <w:rFonts w:hint="eastAsia" w:ascii="仿宋" w:hAnsi="仿宋" w:eastAsia="仿宋" w:cs="仿宋"/>
          <w:bCs/>
          <w:color w:val="auto"/>
          <w:sz w:val="24"/>
          <w:szCs w:val="24"/>
        </w:rPr>
      </w:pPr>
      <w:r>
        <w:rPr>
          <w:rFonts w:hint="eastAsia" w:ascii="仿宋" w:hAnsi="仿宋" w:eastAsia="仿宋" w:cs="仿宋"/>
          <w:bCs/>
          <w:color w:val="auto"/>
          <w:sz w:val="24"/>
          <w:szCs w:val="24"/>
        </w:rPr>
        <w:t>2.2.3.5将所有评审因素所得实际评审分数相加，即为该供应商的评审总得分。评审总得分按下例公式计算：</w:t>
      </w:r>
    </w:p>
    <w:p w14:paraId="69C57BF0">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评审总得分＝F1＋F2＋……＋Fn</w:t>
      </w:r>
    </w:p>
    <w:p w14:paraId="052E688E">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F1、F2……Fn分别为各项评审因素的汇总得分</w:t>
      </w:r>
    </w:p>
    <w:p w14:paraId="0288F494">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2.2.3.6评审过程中，不得去掉最后报价中的最高报价和最低报价。</w:t>
      </w:r>
    </w:p>
    <w:p w14:paraId="22BC110A">
      <w:pPr>
        <w:spacing w:line="36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2.2.3.7评审时，磋商小组成员应当独立对满足磋商文件全部实质性要求供应商的响应文件进行评价、评分，然后汇总每个供应商每项评分因素的得分。每个供应商的最终得分为所有磋商小组成员评分的算术平均值。</w:t>
      </w:r>
    </w:p>
    <w:p w14:paraId="5538E1DC">
      <w:pPr>
        <w:spacing w:line="360" w:lineRule="auto"/>
        <w:ind w:firstLine="472" w:firstLineChars="196"/>
        <w:rPr>
          <w:rFonts w:hint="eastAsia" w:ascii="仿宋" w:hAnsi="仿宋" w:eastAsia="仿宋" w:cs="仿宋"/>
          <w:b/>
          <w:color w:val="auto"/>
          <w:sz w:val="24"/>
          <w:szCs w:val="24"/>
        </w:rPr>
      </w:pPr>
      <w:r>
        <w:rPr>
          <w:rFonts w:hint="eastAsia" w:ascii="仿宋" w:hAnsi="仿宋" w:eastAsia="仿宋" w:cs="仿宋"/>
          <w:b/>
          <w:color w:val="auto"/>
          <w:sz w:val="24"/>
          <w:szCs w:val="24"/>
        </w:rPr>
        <w:t>2.2.4 供应商报价磋商报价折扣幅度如下：</w:t>
      </w:r>
    </w:p>
    <w:p w14:paraId="22A8E94F">
      <w:pPr>
        <w:spacing w:line="360" w:lineRule="auto"/>
        <w:ind w:firstLine="830" w:firstLineChars="346"/>
        <w:rPr>
          <w:rFonts w:hint="eastAsia" w:ascii="仿宋" w:hAnsi="仿宋" w:eastAsia="仿宋" w:cs="仿宋"/>
          <w:color w:val="auto"/>
          <w:sz w:val="24"/>
          <w:szCs w:val="24"/>
        </w:rPr>
      </w:pPr>
      <w:r>
        <w:rPr>
          <w:rFonts w:hint="eastAsia" w:ascii="仿宋" w:hAnsi="仿宋" w:eastAsia="仿宋" w:cs="仿宋"/>
          <w:color w:val="auto"/>
          <w:sz w:val="24"/>
          <w:szCs w:val="24"/>
        </w:rPr>
        <w:t>2.2.4.1供应商为小微企业的，给予最后报价扣除</w:t>
      </w:r>
      <w:r>
        <w:rPr>
          <w:rFonts w:hint="eastAsia" w:ascii="仿宋" w:hAnsi="仿宋" w:eastAsia="仿宋" w:cs="仿宋"/>
          <w:color w:val="auto"/>
          <w:sz w:val="24"/>
          <w:szCs w:val="24"/>
          <w:u w:val="single"/>
        </w:rPr>
        <w:t>10%</w:t>
      </w:r>
      <w:r>
        <w:rPr>
          <w:rFonts w:hint="eastAsia" w:ascii="仿宋" w:hAnsi="仿宋" w:eastAsia="仿宋" w:cs="仿宋"/>
          <w:color w:val="auto"/>
          <w:sz w:val="24"/>
          <w:szCs w:val="24"/>
        </w:rPr>
        <w:t>优惠政策，只要有大中型企业提供服务的，就不能享受价格扣除优惠政策。</w:t>
      </w:r>
    </w:p>
    <w:p w14:paraId="14048DB7">
      <w:pPr>
        <w:spacing w:line="360" w:lineRule="auto"/>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2.2.5 非实质性偏离（非技术参数）</w:t>
      </w:r>
    </w:p>
    <w:p w14:paraId="25036A52">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非实质性偏离（非技术参数）是指响应文件在实质上响应磋商文件的要求，但在个别地方存在一些不规则、不一致、不完整的内容，并且澄清、说明或者更正这些内容不会改变响应文件的实质性内容。以下情况属于非实质性偏离：</w:t>
      </w:r>
    </w:p>
    <w:p w14:paraId="6C02C989">
      <w:pPr>
        <w:spacing w:line="360" w:lineRule="auto"/>
        <w:ind w:firstLine="480" w:firstLineChars="200"/>
        <w:rPr>
          <w:rFonts w:ascii="宋体" w:hAnsi="宋体"/>
          <w:color w:val="auto"/>
          <w:szCs w:val="21"/>
        </w:rPr>
      </w:pPr>
      <w:r>
        <w:rPr>
          <w:rFonts w:hint="eastAsia" w:ascii="仿宋" w:hAnsi="仿宋" w:eastAsia="仿宋" w:cs="仿宋"/>
          <w:color w:val="auto"/>
          <w:sz w:val="24"/>
          <w:szCs w:val="24"/>
        </w:rPr>
        <w:t>（1）文字表述的内容含义不明确；</w:t>
      </w:r>
    </w:p>
    <w:p w14:paraId="3516854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（2）同类问题表述不一致；</w:t>
      </w:r>
    </w:p>
    <w:p w14:paraId="7005709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（3）有明显文字和计算错误；</w:t>
      </w:r>
    </w:p>
    <w:p w14:paraId="053BC8C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（4）提供的服务信息和数据资料不完整；</w:t>
      </w:r>
    </w:p>
    <w:p w14:paraId="185827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（5）正副本数量齐全、密封完好，只是未按照磋商文件要求进行分装或者统装；</w:t>
      </w:r>
    </w:p>
    <w:p w14:paraId="652126C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（6）响应文件应当盖章签字的地方，不超过3处仅有签字或盖章（授权委托书、竞争性磋商响应函除外）；</w:t>
      </w:r>
    </w:p>
    <w:p w14:paraId="16E4298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（7）响应文件未按磋商文件要求进行装订或未编制目录、页码或者页码混乱；</w:t>
      </w:r>
    </w:p>
    <w:p w14:paraId="7D0150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（8）磋商小组认定的其他非实质性偏离。</w:t>
      </w:r>
    </w:p>
    <w:p w14:paraId="297FBF05">
      <w:pPr>
        <w:tabs>
          <w:tab w:val="left" w:pos="7665"/>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w:t>
      </w:r>
    </w:p>
    <w:p w14:paraId="4AB08AE6">
      <w:pPr>
        <w:tabs>
          <w:tab w:val="left" w:pos="7665"/>
        </w:tabs>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2.2.6综合评分明细表</w:t>
      </w:r>
    </w:p>
    <w:p w14:paraId="26AB7B8C">
      <w:pPr>
        <w:tabs>
          <w:tab w:val="left" w:pos="7665"/>
        </w:tabs>
        <w:spacing w:line="360" w:lineRule="auto"/>
        <w:ind w:firstLine="840" w:firstLineChars="350"/>
        <w:rPr>
          <w:rFonts w:ascii="宋体" w:hAnsi="宋体"/>
          <w:color w:val="auto"/>
          <w:szCs w:val="21"/>
        </w:rPr>
      </w:pPr>
      <w:r>
        <w:rPr>
          <w:rFonts w:hint="eastAsia" w:ascii="仿宋" w:hAnsi="仿宋" w:eastAsia="仿宋" w:cs="仿宋"/>
          <w:color w:val="auto"/>
          <w:sz w:val="24"/>
          <w:szCs w:val="24"/>
        </w:rPr>
        <w:t>2.2.6.1综合评分明细表的制定以科学合理、降低评委会自由裁量权为原则。</w:t>
      </w:r>
    </w:p>
    <w:p w14:paraId="38AF5711">
      <w:pPr>
        <w:rPr>
          <w:rFonts w:ascii="宋体" w:hAnsi="宋体"/>
          <w:b/>
          <w:color w:val="auto"/>
          <w:szCs w:val="32"/>
        </w:rPr>
      </w:pPr>
      <w:r>
        <w:rPr>
          <w:rFonts w:hint="eastAsia" w:ascii="宋体" w:hAnsi="宋体"/>
          <w:b/>
          <w:color w:val="auto"/>
          <w:szCs w:val="32"/>
        </w:rPr>
        <w:br w:type="page"/>
      </w:r>
    </w:p>
    <w:p w14:paraId="168D2954">
      <w:pPr>
        <w:pStyle w:val="11"/>
        <w:tabs>
          <w:tab w:val="left" w:pos="600"/>
        </w:tabs>
        <w:spacing w:before="240" w:beforeLines="100" w:line="360" w:lineRule="auto"/>
        <w:ind w:firstLine="0"/>
        <w:jc w:val="center"/>
        <w:rPr>
          <w:rFonts w:hint="eastAsia" w:ascii="宋体" w:hAnsi="宋体" w:eastAsia="宋体"/>
          <w:b/>
          <w:bCs/>
          <w:color w:val="auto"/>
          <w:szCs w:val="32"/>
          <w:lang w:eastAsia="zh-CN"/>
        </w:rPr>
      </w:pPr>
      <w:r>
        <w:rPr>
          <w:rFonts w:hint="eastAsia" w:ascii="宋体" w:hAnsi="宋体"/>
          <w:b/>
          <w:bCs/>
          <w:color w:val="auto"/>
          <w:szCs w:val="32"/>
        </w:rPr>
        <w:t>综合评分明细表</w:t>
      </w:r>
    </w:p>
    <w:tbl>
      <w:tblPr>
        <w:tblStyle w:val="23"/>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3"/>
        <w:gridCol w:w="1578"/>
        <w:gridCol w:w="7362"/>
      </w:tblGrid>
      <w:tr w14:paraId="07F6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5FC05F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评标分项</w:t>
            </w:r>
          </w:p>
        </w:tc>
        <w:tc>
          <w:tcPr>
            <w:tcW w:w="770" w:type="pct"/>
            <w:vAlign w:val="center"/>
          </w:tcPr>
          <w:p w14:paraId="28CE4A4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最高分值</w:t>
            </w:r>
          </w:p>
        </w:tc>
        <w:tc>
          <w:tcPr>
            <w:tcW w:w="3592" w:type="pct"/>
            <w:vAlign w:val="center"/>
          </w:tcPr>
          <w:p w14:paraId="1709DB9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评分标准</w:t>
            </w:r>
          </w:p>
        </w:tc>
      </w:tr>
      <w:tr w14:paraId="1623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0AE217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磋商报价</w:t>
            </w:r>
          </w:p>
          <w:p w14:paraId="2698FAA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770" w:type="pct"/>
            <w:vAlign w:val="center"/>
          </w:tcPr>
          <w:p w14:paraId="548CF1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w:t>
            </w:r>
          </w:p>
        </w:tc>
        <w:tc>
          <w:tcPr>
            <w:tcW w:w="3592" w:type="pct"/>
            <w:vAlign w:val="center"/>
          </w:tcPr>
          <w:p w14:paraId="62E2B93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以满足磋商文件要求且价格最低的最终报价为评标基准价,其价格分为满分</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分,其他供应商的价格分按照下列公式计算</w:t>
            </w:r>
            <w:r>
              <w:rPr>
                <w:rFonts w:hint="eastAsia" w:ascii="仿宋" w:hAnsi="仿宋" w:eastAsia="仿宋" w:cs="仿宋"/>
                <w:bCs/>
                <w:color w:val="auto"/>
                <w:sz w:val="24"/>
                <w:szCs w:val="24"/>
                <w:lang w:eastAsia="zh-CN"/>
              </w:rPr>
              <w:t>：</w:t>
            </w:r>
          </w:p>
          <w:p w14:paraId="45270B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最终报价得分=(</w:t>
            </w:r>
            <w:r>
              <w:rPr>
                <w:rFonts w:hint="eastAsia" w:ascii="仿宋" w:hAnsi="仿宋" w:eastAsia="仿宋" w:cs="仿宋"/>
                <w:bCs/>
                <w:color w:val="auto"/>
                <w:sz w:val="24"/>
                <w:szCs w:val="24"/>
                <w:lang w:val="en-US" w:eastAsia="zh-CN"/>
              </w:rPr>
              <w:t>磋商</w:t>
            </w:r>
            <w:r>
              <w:rPr>
                <w:rFonts w:hint="eastAsia" w:ascii="仿宋" w:hAnsi="仿宋" w:eastAsia="仿宋" w:cs="仿宋"/>
                <w:bCs/>
                <w:color w:val="auto"/>
                <w:sz w:val="24"/>
                <w:szCs w:val="24"/>
              </w:rPr>
              <w:t>基准价/</w:t>
            </w:r>
            <w:r>
              <w:rPr>
                <w:rFonts w:hint="eastAsia" w:ascii="仿宋" w:hAnsi="仿宋" w:eastAsia="仿宋" w:cs="仿宋"/>
                <w:bCs/>
                <w:color w:val="auto"/>
                <w:sz w:val="24"/>
                <w:szCs w:val="24"/>
                <w:lang w:val="en-US" w:eastAsia="zh-CN"/>
              </w:rPr>
              <w:t>磋商评审价</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30</w:t>
            </w:r>
            <w:r>
              <w:rPr>
                <w:rFonts w:hint="eastAsia" w:ascii="仿宋" w:hAnsi="仿宋" w:eastAsia="仿宋" w:cs="仿宋"/>
                <w:bCs/>
                <w:color w:val="auto"/>
                <w:sz w:val="24"/>
                <w:szCs w:val="24"/>
              </w:rPr>
              <w:t>。</w:t>
            </w:r>
          </w:p>
          <w:p w14:paraId="74E462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磋商小组</w:t>
            </w:r>
            <w:r>
              <w:rPr>
                <w:rFonts w:hint="eastAsia" w:ascii="仿宋" w:hAnsi="仿宋" w:eastAsia="仿宋" w:cs="仿宋"/>
                <w:sz w:val="24"/>
                <w:szCs w:val="24"/>
              </w:rPr>
              <w:t>认为</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的报价明显低于其他通过符合性审查</w:t>
            </w:r>
            <w:r>
              <w:rPr>
                <w:rFonts w:hint="eastAsia" w:ascii="仿宋" w:hAnsi="仿宋" w:eastAsia="仿宋" w:cs="仿宋"/>
                <w:sz w:val="24"/>
                <w:szCs w:val="24"/>
                <w:lang w:val="en-US" w:eastAsia="zh-CN"/>
              </w:rPr>
              <w:t>供应商</w:t>
            </w:r>
            <w:r>
              <w:rPr>
                <w:rFonts w:hint="eastAsia" w:ascii="仿宋" w:hAnsi="仿宋" w:eastAsia="仿宋" w:cs="仿宋"/>
                <w:sz w:val="24"/>
                <w:szCs w:val="24"/>
              </w:rPr>
              <w:t>的报价，有可能影响质量或者不能诚信履约的，应当要求其在</w:t>
            </w:r>
            <w:r>
              <w:rPr>
                <w:rFonts w:hint="eastAsia" w:ascii="仿宋" w:hAnsi="仿宋" w:eastAsia="仿宋" w:cs="仿宋"/>
                <w:sz w:val="24"/>
                <w:szCs w:val="24"/>
                <w:lang w:val="en-US" w:eastAsia="zh-CN"/>
              </w:rPr>
              <w:t>磋商</w:t>
            </w:r>
            <w:r>
              <w:rPr>
                <w:rFonts w:hint="eastAsia" w:ascii="仿宋" w:hAnsi="仿宋" w:eastAsia="仿宋" w:cs="仿宋"/>
                <w:sz w:val="24"/>
                <w:szCs w:val="24"/>
              </w:rPr>
              <w:t>现场合理的时间内提供书面说明，必要时提交相关证明材料；</w:t>
            </w:r>
            <w:r>
              <w:rPr>
                <w:rFonts w:hint="eastAsia" w:ascii="仿宋" w:hAnsi="仿宋" w:eastAsia="仿宋" w:cs="仿宋"/>
                <w:sz w:val="24"/>
                <w:szCs w:val="24"/>
                <w:lang w:val="en-US" w:eastAsia="zh-CN"/>
              </w:rPr>
              <w:t>供应商</w:t>
            </w:r>
            <w:r>
              <w:rPr>
                <w:rFonts w:hint="eastAsia" w:ascii="仿宋" w:hAnsi="仿宋" w:eastAsia="仿宋" w:cs="仿宋"/>
                <w:sz w:val="24"/>
                <w:szCs w:val="24"/>
              </w:rPr>
              <w:t>不能证明其报价合理性的，</w:t>
            </w:r>
            <w:r>
              <w:rPr>
                <w:rFonts w:hint="eastAsia" w:ascii="仿宋" w:hAnsi="仿宋" w:eastAsia="仿宋" w:cs="仿宋"/>
                <w:sz w:val="24"/>
                <w:szCs w:val="24"/>
                <w:lang w:val="en-US" w:eastAsia="zh-CN"/>
              </w:rPr>
              <w:t>磋商小组</w:t>
            </w:r>
            <w:r>
              <w:rPr>
                <w:rFonts w:hint="eastAsia" w:ascii="仿宋" w:hAnsi="仿宋" w:eastAsia="仿宋" w:cs="仿宋"/>
                <w:sz w:val="24"/>
                <w:szCs w:val="24"/>
              </w:rPr>
              <w:t>应当将其作为无效投标处理。</w:t>
            </w:r>
          </w:p>
          <w:p w14:paraId="1EC2DE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专门面向中小企业采购的项目或者采购包，不再执行价格评审优惠的扶持</w:t>
            </w:r>
            <w:r>
              <w:rPr>
                <w:rFonts w:hint="eastAsia" w:ascii="仿宋" w:hAnsi="仿宋" w:eastAsia="仿宋" w:cs="仿宋"/>
                <w:bCs/>
                <w:color w:val="auto"/>
                <w:sz w:val="24"/>
                <w:szCs w:val="24"/>
                <w:lang w:val="en-US" w:eastAsia="zh-CN"/>
              </w:rPr>
              <w:t>政</w:t>
            </w:r>
            <w:r>
              <w:rPr>
                <w:rFonts w:hint="eastAsia" w:ascii="仿宋" w:hAnsi="仿宋" w:eastAsia="仿宋" w:cs="仿宋"/>
                <w:bCs/>
                <w:color w:val="auto"/>
                <w:sz w:val="24"/>
                <w:szCs w:val="24"/>
              </w:rPr>
              <w:t>策。</w:t>
            </w:r>
          </w:p>
        </w:tc>
      </w:tr>
      <w:tr w14:paraId="0A8F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2E8D7F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技术部分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770" w:type="pct"/>
            <w:vAlign w:val="center"/>
          </w:tcPr>
          <w:p w14:paraId="245089B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施工组织设计</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60分</w:t>
            </w:r>
            <w:r>
              <w:rPr>
                <w:rFonts w:hint="eastAsia" w:ascii="仿宋" w:hAnsi="仿宋" w:eastAsia="仿宋" w:cs="仿宋"/>
                <w:bCs/>
                <w:color w:val="auto"/>
                <w:sz w:val="24"/>
                <w:szCs w:val="24"/>
                <w:lang w:eastAsia="zh-CN"/>
              </w:rPr>
              <w:t>）</w:t>
            </w:r>
          </w:p>
        </w:tc>
        <w:tc>
          <w:tcPr>
            <w:tcW w:w="3592" w:type="pct"/>
            <w:vAlign w:val="center"/>
          </w:tcPr>
          <w:tbl>
            <w:tblPr>
              <w:tblStyle w:val="23"/>
              <w:tblW w:w="514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46"/>
            </w:tblGrid>
            <w:tr w14:paraId="3802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80" w:hRule="atLeast"/>
                <w:jc w:val="center"/>
              </w:trPr>
              <w:tc>
                <w:tcPr>
                  <w:tcW w:w="5000" w:type="pct"/>
                  <w:shd w:val="clear" w:color="auto" w:fill="auto"/>
                  <w:vAlign w:val="center"/>
                </w:tcPr>
                <w:p w14:paraId="7A19B9EC">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1.项目经理:具有中级及以上技术职称得3分，没有得0分;</w:t>
                  </w:r>
                </w:p>
                <w:p w14:paraId="4BB1093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技术负责人:具有中级技术职称及以上的得2分，没有得0分;</w:t>
                  </w:r>
                </w:p>
                <w:p w14:paraId="1228BC1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其他技术人员配备:施工员、安全员、质量员、材料员、资料</w:t>
                  </w:r>
                </w:p>
                <w:p w14:paraId="478AC136">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员配备齐全，且均持证上岗(安全员提供安全生产考核合格证</w:t>
                  </w:r>
                </w:p>
                <w:p w14:paraId="0A6C4FF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)，各岗位人员配备齐全，得5分，缺少任一岗位人员扣1分。</w:t>
                  </w:r>
                </w:p>
                <w:p w14:paraId="0262A57E">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满分10分。</w:t>
                  </w:r>
                </w:p>
              </w:tc>
            </w:tr>
            <w:tr w14:paraId="03605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jc w:val="center"/>
              </w:trPr>
              <w:tc>
                <w:tcPr>
                  <w:tcW w:w="5000" w:type="pct"/>
                  <w:shd w:val="clear" w:color="auto" w:fill="auto"/>
                  <w:vAlign w:val="center"/>
                </w:tcPr>
                <w:p w14:paraId="3BC2D23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2.施工方案，根据具体情况赋分计0～10.0分，（若出现缺项或只有标题无内容或内容有严重错误者，该项得0分）。</w:t>
                  </w:r>
                </w:p>
              </w:tc>
            </w:tr>
            <w:tr w14:paraId="07881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jc w:val="center"/>
              </w:trPr>
              <w:tc>
                <w:tcPr>
                  <w:tcW w:w="5000" w:type="pct"/>
                  <w:shd w:val="clear" w:color="auto" w:fill="auto"/>
                  <w:vAlign w:val="center"/>
                </w:tcPr>
                <w:p w14:paraId="2BD84951">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3.施工部署及施工总平面布置，根据具体情况赋分计0～5.0分，（若出现缺项或只有标题无内容或内容有严重错误者，该项得0分）。</w:t>
                  </w:r>
                </w:p>
              </w:tc>
            </w:tr>
            <w:tr w14:paraId="17626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54613D83">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4.主要施工机械、设备和材料配备计划，根据具体情况赋分计0～5.0分，（若出现缺项或只有标题无内容或内容有严重错误者，该项得0分）。</w:t>
                  </w:r>
                </w:p>
              </w:tc>
            </w:tr>
            <w:tr w14:paraId="12F4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498F65F5">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5.确保工期的技术组织措施，根据具体情况赋分计0～5.0分，（若出现缺项或只有标题无内容或内容有严重错误者，该项得0分）。</w:t>
                  </w:r>
                </w:p>
              </w:tc>
            </w:tr>
            <w:tr w14:paraId="0D1B3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3E61FEA">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6.确保工程质量的技术组织措施，根据具体情况赋分计0～5.0分，（若出现缺项或只有标题无内容或内容有严重错误者，该项得0分）。</w:t>
                  </w:r>
                </w:p>
              </w:tc>
            </w:tr>
            <w:tr w14:paraId="3719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6CFAAC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7.确保安全施工的技术组织措施，根据具体情况赋分计0～5.0分，（若出现缺项或只有标题无内容或内容有严重错误者，该项得0分）。</w:t>
                  </w:r>
                </w:p>
              </w:tc>
            </w:tr>
            <w:tr w14:paraId="174A8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6C7ED5E4">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8.确保文明施工的技术组织措施及环境保护措施，根据具体情况赋分计0～5.0分，（若出现缺项或只有标题无内容或内容有严重错误者，该项得0分）。</w:t>
                  </w:r>
                </w:p>
              </w:tc>
            </w:tr>
            <w:tr w14:paraId="5B88E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35F3D65F">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9.劳动力计划，根据具体情况赋分计0～5.0分，（若出现缺项或只有标题无内容或内容有严重错误者，该项得0分）。</w:t>
                  </w:r>
                </w:p>
              </w:tc>
            </w:tr>
            <w:tr w14:paraId="79C13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000" w:type="pct"/>
                  <w:shd w:val="clear" w:color="auto" w:fill="auto"/>
                  <w:vAlign w:val="center"/>
                </w:tcPr>
                <w:p w14:paraId="136F93F0">
                  <w:pPr>
                    <w:keepNext w:val="0"/>
                    <w:keepLines w:val="0"/>
                    <w:pageBreakBefore w:val="0"/>
                    <w:widowControl w:val="0"/>
                    <w:suppressLineNumbers w:val="0"/>
                    <w:kinsoku/>
                    <w:wordWrap/>
                    <w:overflowPunct/>
                    <w:topLinePunct w:val="0"/>
                    <w:autoSpaceDE w:val="0"/>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10施工现场治污减霾及扬尘治理措施，根据具体情况赋分计0～5.0分，（若出现缺项或只有标题无内容或内容有严重错误者，该项得0分）。</w:t>
                  </w:r>
                </w:p>
              </w:tc>
            </w:tr>
          </w:tbl>
          <w:p w14:paraId="7078DD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sz w:val="24"/>
                <w:szCs w:val="24"/>
              </w:rPr>
            </w:pPr>
          </w:p>
        </w:tc>
      </w:tr>
      <w:tr w14:paraId="6980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restart"/>
            <w:vAlign w:val="center"/>
          </w:tcPr>
          <w:p w14:paraId="4650BE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履约能力部分</w:t>
            </w:r>
          </w:p>
          <w:p w14:paraId="709CB82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10</w:t>
            </w:r>
            <w:r>
              <w:rPr>
                <w:rFonts w:hint="eastAsia" w:ascii="仿宋" w:hAnsi="仿宋" w:eastAsia="仿宋" w:cs="仿宋"/>
                <w:bCs/>
                <w:color w:val="auto"/>
                <w:sz w:val="24"/>
                <w:szCs w:val="24"/>
              </w:rPr>
              <w:t>分）</w:t>
            </w:r>
          </w:p>
        </w:tc>
        <w:tc>
          <w:tcPr>
            <w:tcW w:w="770" w:type="pct"/>
            <w:vAlign w:val="center"/>
          </w:tcPr>
          <w:p w14:paraId="2F2D32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业绩</w:t>
            </w:r>
          </w:p>
          <w:p w14:paraId="1103A52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3D093A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rPr>
              <w:t>20</w:t>
            </w:r>
            <w:r>
              <w:rPr>
                <w:rFonts w:hint="eastAsia" w:ascii="仿宋" w:hAnsi="仿宋" w:eastAsia="仿宋" w:cs="仿宋"/>
                <w:bCs/>
                <w:color w:val="auto"/>
                <w:sz w:val="24"/>
                <w:szCs w:val="24"/>
                <w:lang w:val="en-US" w:eastAsia="zh-CN"/>
              </w:rPr>
              <w:t>23</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9</w:t>
            </w:r>
            <w:r>
              <w:rPr>
                <w:rFonts w:hint="eastAsia" w:ascii="仿宋" w:hAnsi="仿宋" w:eastAsia="仿宋" w:cs="仿宋"/>
                <w:bCs/>
                <w:color w:val="auto"/>
                <w:sz w:val="24"/>
                <w:szCs w:val="24"/>
              </w:rPr>
              <w:t>月1日至今</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以合同签订日期为准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具有</w:t>
            </w:r>
            <w:r>
              <w:rPr>
                <w:rFonts w:hint="eastAsia" w:ascii="仿宋" w:hAnsi="仿宋" w:eastAsia="仿宋" w:cs="仿宋"/>
                <w:bCs/>
                <w:color w:val="auto"/>
                <w:sz w:val="24"/>
                <w:szCs w:val="24"/>
                <w:lang w:val="en-US" w:eastAsia="zh-CN"/>
              </w:rPr>
              <w:t>类似项目</w:t>
            </w:r>
            <w:r>
              <w:rPr>
                <w:rFonts w:hint="eastAsia" w:ascii="仿宋" w:hAnsi="仿宋" w:eastAsia="仿宋" w:cs="仿宋"/>
                <w:bCs/>
                <w:color w:val="auto"/>
                <w:sz w:val="24"/>
                <w:szCs w:val="24"/>
              </w:rPr>
              <w:t>业绩,每提供一</w:t>
            </w:r>
            <w:r>
              <w:rPr>
                <w:rFonts w:hint="eastAsia" w:ascii="仿宋" w:hAnsi="仿宋" w:eastAsia="仿宋" w:cs="仿宋"/>
                <w:bCs/>
                <w:color w:val="auto"/>
                <w:sz w:val="24"/>
                <w:szCs w:val="24"/>
                <w:lang w:val="en-US" w:eastAsia="zh-CN"/>
              </w:rPr>
              <w:t>份</w:t>
            </w:r>
            <w:r>
              <w:rPr>
                <w:rFonts w:hint="eastAsia" w:ascii="仿宋" w:hAnsi="仿宋" w:eastAsia="仿宋" w:cs="仿宋"/>
                <w:bCs/>
                <w:color w:val="auto"/>
                <w:sz w:val="24"/>
                <w:szCs w:val="24"/>
              </w:rPr>
              <w:t>业绩得1分，最高得5分。业绩要求提供：合同文件复印件加盖公章</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未提供</w:t>
            </w:r>
            <w:r>
              <w:rPr>
                <w:rFonts w:hint="eastAsia" w:ascii="仿宋" w:hAnsi="仿宋" w:eastAsia="仿宋" w:cs="仿宋"/>
                <w:bCs/>
                <w:color w:val="auto"/>
                <w:sz w:val="24"/>
                <w:szCs w:val="24"/>
                <w:lang w:val="en-US" w:eastAsia="zh-CN"/>
              </w:rPr>
              <w:t>或者不齐全</w:t>
            </w:r>
            <w:r>
              <w:rPr>
                <w:rFonts w:hint="eastAsia" w:ascii="仿宋" w:hAnsi="仿宋" w:eastAsia="仿宋" w:cs="仿宋"/>
                <w:bCs/>
                <w:color w:val="auto"/>
                <w:sz w:val="24"/>
                <w:szCs w:val="24"/>
              </w:rPr>
              <w:t>不计分</w:t>
            </w:r>
            <w:r>
              <w:rPr>
                <w:rFonts w:hint="eastAsia" w:ascii="仿宋" w:hAnsi="仿宋" w:eastAsia="仿宋" w:cs="仿宋"/>
                <w:bCs/>
                <w:color w:val="auto"/>
                <w:sz w:val="24"/>
                <w:szCs w:val="24"/>
                <w:lang w:eastAsia="zh-CN"/>
              </w:rPr>
              <w:t>。</w:t>
            </w:r>
          </w:p>
        </w:tc>
      </w:tr>
      <w:tr w14:paraId="695A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636" w:type="pct"/>
            <w:vMerge w:val="continue"/>
            <w:vAlign w:val="center"/>
          </w:tcPr>
          <w:p w14:paraId="661330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p>
        </w:tc>
        <w:tc>
          <w:tcPr>
            <w:tcW w:w="770" w:type="pct"/>
            <w:vAlign w:val="center"/>
          </w:tcPr>
          <w:p w14:paraId="6D6C27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售后服务</w:t>
            </w:r>
          </w:p>
          <w:p w14:paraId="35574E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sz w:val="24"/>
                <w:szCs w:val="24"/>
                <w:lang w:val="en-US" w:eastAsia="zh-CN"/>
              </w:rPr>
              <w:t>（5</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val="en-US" w:eastAsia="zh-CN"/>
              </w:rPr>
              <w:t>）</w:t>
            </w:r>
          </w:p>
        </w:tc>
        <w:tc>
          <w:tcPr>
            <w:tcW w:w="3592" w:type="pct"/>
            <w:vAlign w:val="center"/>
          </w:tcPr>
          <w:p w14:paraId="1AED1952">
            <w:pPr>
              <w:keepNext w:val="0"/>
              <w:keepLines w:val="0"/>
              <w:pageBreakBefore w:val="0"/>
              <w:widowControl w:val="0"/>
              <w:suppressLineNumbers w:val="0"/>
              <w:kinsoku/>
              <w:wordWrap/>
              <w:overflowPunct/>
              <w:topLinePunct w:val="0"/>
              <w:autoSpaceDN/>
              <w:bidi w:val="0"/>
              <w:adjustRightInd/>
              <w:snapToGrid w:val="0"/>
              <w:spacing w:before="0" w:beforeAutospacing="0" w:after="0" w:afterAutospacing="0" w:line="360" w:lineRule="auto"/>
              <w:ind w:left="0" w:right="0"/>
              <w:jc w:val="both"/>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kern w:val="2"/>
                <w:sz w:val="24"/>
                <w:szCs w:val="24"/>
                <w:lang w:val="en-US" w:eastAsia="zh-CN" w:bidi="ar"/>
              </w:rPr>
              <w:t>后续服务：针对本项目提供详细的工程完工后服务方案及其人员组成、方案完整及人员组成合理性、质保期处理保修服务的时效和服务承诺，根据处理质保问题是否得当、以及时效性赋0-5分。</w:t>
            </w:r>
          </w:p>
        </w:tc>
      </w:tr>
    </w:tbl>
    <w:p w14:paraId="3F798342">
      <w:pPr>
        <w:pStyle w:val="2"/>
        <w:numPr>
          <w:ilvl w:val="0"/>
          <w:numId w:val="0"/>
        </w:numPr>
        <w:rPr>
          <w:rFonts w:hint="eastAsia" w:ascii="宋体" w:hAnsi="宋体" w:eastAsia="宋体" w:cs="宋体"/>
          <w:b/>
          <w:bCs/>
          <w:kern w:val="2"/>
          <w:szCs w:val="21"/>
          <w:lang w:val="en-US" w:eastAsia="zh-CN"/>
        </w:rPr>
      </w:pPr>
    </w:p>
    <w:p w14:paraId="7D891598">
      <w:pPr>
        <w:pStyle w:val="2"/>
        <w:numPr>
          <w:ilvl w:val="0"/>
          <w:numId w:val="0"/>
        </w:numPr>
        <w:spacing w:line="360" w:lineRule="auto"/>
        <w:ind w:firstLine="482" w:firstLineChars="200"/>
        <w:rPr>
          <w:rFonts w:hint="eastAsia" w:ascii="仿宋" w:hAnsi="仿宋" w:eastAsia="仿宋" w:cs="仿宋"/>
          <w:b/>
          <w:bCs/>
          <w:kern w:val="2"/>
          <w:sz w:val="24"/>
          <w:szCs w:val="24"/>
          <w:lang w:val="zh-CN" w:eastAsia="zh-CN"/>
        </w:rPr>
      </w:pPr>
      <w:r>
        <w:rPr>
          <w:rFonts w:hint="eastAsia" w:ascii="仿宋" w:hAnsi="仿宋" w:eastAsia="仿宋" w:cs="仿宋"/>
          <w:b/>
          <w:bCs/>
          <w:kern w:val="2"/>
          <w:sz w:val="24"/>
          <w:szCs w:val="24"/>
          <w:lang w:val="en-US" w:eastAsia="zh-CN"/>
        </w:rPr>
        <w:t>1、各标包供应商兼投不兼中。</w:t>
      </w:r>
    </w:p>
    <w:p w14:paraId="610FD930">
      <w:pPr>
        <w:snapToGrid w:val="0"/>
        <w:spacing w:line="360" w:lineRule="auto"/>
        <w:ind w:firstLine="420"/>
        <w:rPr>
          <w:rFonts w:hint="eastAsia" w:ascii="仿宋" w:hAnsi="仿宋" w:eastAsia="仿宋" w:cs="仿宋"/>
          <w:sz w:val="24"/>
          <w:szCs w:val="24"/>
          <w:highlight w:val="none"/>
        </w:rPr>
      </w:pPr>
      <w:r>
        <w:rPr>
          <w:rFonts w:hint="eastAsia" w:ascii="仿宋" w:hAnsi="仿宋" w:eastAsia="仿宋" w:cs="仿宋"/>
          <w:b w:val="0"/>
          <w:kern w:val="2"/>
          <w:sz w:val="24"/>
          <w:szCs w:val="24"/>
          <w:lang w:val="en-US" w:eastAsia="zh-CN"/>
        </w:rPr>
        <w:t>2、磋商小组各评委独立评分，按评审后综合得分由高到低顺序排列，推荐3名中标候选人。得分相同的，按投标报价由低到高顺序排列，得分且投标报价相同的，比较技术得分，此技术得分高者排在前。</w:t>
      </w:r>
    </w:p>
    <w:p w14:paraId="6235A1D3">
      <w:pPr>
        <w:rPr>
          <w:rFonts w:hint="eastAsia"/>
        </w:rPr>
      </w:pPr>
    </w:p>
    <w:p w14:paraId="5EA2123B">
      <w:pPr>
        <w:rPr>
          <w:rFonts w:hint="eastAsia" w:ascii="仿宋" w:hAnsi="仿宋" w:eastAsia="仿宋" w:cs="仿宋"/>
          <w:b/>
          <w:color w:val="auto"/>
          <w:sz w:val="24"/>
          <w:szCs w:val="24"/>
        </w:rPr>
      </w:pPr>
      <w:r>
        <w:rPr>
          <w:rFonts w:hint="eastAsia" w:ascii="仿宋" w:hAnsi="仿宋" w:eastAsia="仿宋" w:cs="仿宋"/>
          <w:b/>
          <w:color w:val="auto"/>
          <w:sz w:val="24"/>
          <w:szCs w:val="24"/>
        </w:rPr>
        <w:t>2.3无效响应文件的认定</w:t>
      </w:r>
    </w:p>
    <w:p w14:paraId="673B1CCE">
      <w:pPr>
        <w:pStyle w:val="11"/>
        <w:tabs>
          <w:tab w:val="left" w:pos="600"/>
        </w:tabs>
        <w:spacing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在评审过程中，出现下列情形之一的，响应文件无效：</w:t>
      </w:r>
    </w:p>
    <w:p w14:paraId="185F1D9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kern w:val="0"/>
          <w:sz w:val="24"/>
          <w:szCs w:val="24"/>
        </w:rPr>
        <w:t>不具备磋商文件规定资格条件和要求的；</w:t>
      </w:r>
    </w:p>
    <w:p w14:paraId="22F91E5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（2）响应文件未按照磋商文件要求签署、盖章的；</w:t>
      </w:r>
    </w:p>
    <w:p w14:paraId="622EF047">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（3）响应文件未按照磋商文件规定的格式要求编制的；</w:t>
      </w:r>
    </w:p>
    <w:p w14:paraId="09EA007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（4）磋商报价超过了磋商文件中规定的预算金额或最高限价的；</w:t>
      </w:r>
    </w:p>
    <w:p w14:paraId="60254C4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（5）响应内容出现漏项或数量与要求不符的；</w:t>
      </w:r>
    </w:p>
    <w:p w14:paraId="65E1CE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（6）磋商有效期、</w:t>
      </w:r>
      <w:r>
        <w:rPr>
          <w:rFonts w:hint="eastAsia" w:ascii="仿宋" w:hAnsi="仿宋" w:eastAsia="仿宋" w:cs="仿宋"/>
          <w:color w:val="auto"/>
          <w:sz w:val="24"/>
          <w:szCs w:val="24"/>
          <w:lang w:val="en-US" w:eastAsia="zh-CN"/>
        </w:rPr>
        <w:t>服务期</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施工</w:t>
      </w:r>
      <w:r>
        <w:rPr>
          <w:rFonts w:hint="eastAsia" w:ascii="仿宋" w:hAnsi="仿宋" w:eastAsia="仿宋" w:cs="仿宋"/>
          <w:color w:val="auto"/>
          <w:sz w:val="24"/>
          <w:szCs w:val="24"/>
        </w:rPr>
        <w:t>内容等商务条款不满足磋商文件要求的；</w:t>
      </w:r>
    </w:p>
    <w:p w14:paraId="4A47FFB1">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（7）响应文件中附有采购人不能接受的附加条件的；</w:t>
      </w:r>
    </w:p>
    <w:p w14:paraId="2C3941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（8）所提供产品属于强制性认证产品的未提供强制性产品认证证书复印件；</w:t>
      </w:r>
    </w:p>
    <w:p w14:paraId="53633B0D">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（9）响应文件的关键内容字迹模糊和无法辨认的；</w:t>
      </w:r>
    </w:p>
    <w:p w14:paraId="06045F3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（10）法律法规和磋商文件规定的其他情形的。</w:t>
      </w:r>
    </w:p>
    <w:p w14:paraId="4146E6BE">
      <w:pPr>
        <w:widowControl/>
        <w:autoSpaceDE w:val="0"/>
        <w:autoSpaceDN w:val="0"/>
        <w:spacing w:before="120" w:beforeLines="50" w:after="120" w:afterLines="50" w:line="360" w:lineRule="auto"/>
        <w:ind w:right="51"/>
        <w:textAlignment w:val="bottom"/>
        <w:rPr>
          <w:rFonts w:hint="eastAsia" w:ascii="仿宋" w:hAnsi="仿宋" w:eastAsia="仿宋" w:cs="仿宋"/>
          <w:b/>
          <w:color w:val="auto"/>
          <w:sz w:val="24"/>
          <w:szCs w:val="24"/>
        </w:rPr>
      </w:pPr>
      <w:r>
        <w:rPr>
          <w:rFonts w:hint="eastAsia" w:ascii="仿宋" w:hAnsi="仿宋" w:eastAsia="仿宋" w:cs="仿宋"/>
          <w:b/>
          <w:color w:val="auto"/>
          <w:sz w:val="24"/>
          <w:szCs w:val="24"/>
        </w:rPr>
        <w:t>2.4 特殊情况的处理</w:t>
      </w:r>
    </w:p>
    <w:p w14:paraId="7F587415">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2.4.1 响应文件中如果出现前后不一致的，按照下列规定修正：</w:t>
      </w:r>
    </w:p>
    <w:p w14:paraId="5E3A572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（1）响应文件中的大写金额与小写金额不一致的，以大写金额为准；</w:t>
      </w:r>
    </w:p>
    <w:p w14:paraId="28AEFA30">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（2）响应文件中的总报价与按单价计算的汇总报价不一致的，以单价计算的汇总报价为准；</w:t>
      </w:r>
    </w:p>
    <w:p w14:paraId="44DF75E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（3）响应文件中的报价有明显小数点错误的，以总报价为准，并修改报价；</w:t>
      </w:r>
    </w:p>
    <w:p w14:paraId="16F147E3">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（4）响应文件中有关分项表内容与“磋商报价一览表”不一致的，以“磋商报价一览表”为准；</w:t>
      </w:r>
    </w:p>
    <w:p w14:paraId="791B6B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（5）响应文件中图表与文字表述不一致的，以文字表述为准；</w:t>
      </w:r>
    </w:p>
    <w:p w14:paraId="57E6B03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（6）响应文件正本与副本不一致的，以正本为准；</w:t>
      </w:r>
    </w:p>
    <w:p w14:paraId="644EAF9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（7）对不同文字文本响应文件的解释发生异议的，以中文文本为准。</w:t>
      </w:r>
    </w:p>
    <w:p w14:paraId="023C4ED6">
      <w:pPr>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按上述修正错误的方法调整的报价应对供应商具有约束力。如果供应商不接受修正后的价格，其响应文件将被拒绝。</w:t>
      </w:r>
    </w:p>
    <w:p w14:paraId="10BC739C">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2.4.2</w:t>
      </w:r>
      <w:r>
        <w:rPr>
          <w:rFonts w:hint="eastAsia" w:ascii="仿宋" w:hAnsi="仿宋" w:eastAsia="仿宋" w:cs="仿宋"/>
          <w:b/>
          <w:color w:val="auto"/>
          <w:sz w:val="24"/>
          <w:szCs w:val="24"/>
        </w:rPr>
        <w:t>磋商</w:t>
      </w:r>
      <w:r>
        <w:rPr>
          <w:rFonts w:hint="eastAsia" w:ascii="仿宋" w:hAnsi="仿宋" w:eastAsia="仿宋" w:cs="仿宋"/>
          <w:b/>
          <w:color w:val="auto"/>
          <w:kern w:val="0"/>
          <w:sz w:val="24"/>
          <w:szCs w:val="24"/>
        </w:rPr>
        <w:t>报价异常处理</w:t>
      </w:r>
    </w:p>
    <w:p w14:paraId="48D64FF1">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2.4.2.1 响应文件中，若某项有不合理报价（或零报价、漏报价）的，经磋商小组评审后，此项得分为零，不参与磋商报价分值的计算。</w:t>
      </w:r>
    </w:p>
    <w:p w14:paraId="4278813D">
      <w:pPr>
        <w:widowControl/>
        <w:autoSpaceDE w:val="0"/>
        <w:autoSpaceDN w:val="0"/>
        <w:spacing w:line="360" w:lineRule="auto"/>
        <w:ind w:right="51"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2.4.2.2</w:t>
      </w:r>
      <w:r>
        <w:rPr>
          <w:rFonts w:hint="eastAsia" w:ascii="仿宋" w:hAnsi="仿宋" w:eastAsia="仿宋" w:cs="仿宋"/>
          <w:color w:val="auto"/>
          <w:kern w:val="0"/>
          <w:sz w:val="24"/>
          <w:szCs w:val="24"/>
        </w:rPr>
        <w:t>磋商小组认为供应商的最后报价明显低于其他通过资格性、符合性审查供应商的最后报价，有可能影响服务质量或者不能诚信履约的，应当要求其在评审现场合理的时间内提供书面说明，</w:t>
      </w:r>
      <w:r>
        <w:rPr>
          <w:rFonts w:hint="eastAsia" w:ascii="仿宋" w:hAnsi="仿宋" w:eastAsia="仿宋" w:cs="仿宋"/>
          <w:b/>
          <w:color w:val="auto"/>
          <w:kern w:val="0"/>
          <w:sz w:val="24"/>
          <w:szCs w:val="24"/>
        </w:rPr>
        <w:t>必要时</w:t>
      </w:r>
      <w:r>
        <w:rPr>
          <w:rFonts w:hint="eastAsia" w:ascii="仿宋" w:hAnsi="仿宋" w:eastAsia="仿宋" w:cs="仿宋"/>
          <w:color w:val="auto"/>
          <w:kern w:val="0"/>
          <w:sz w:val="24"/>
          <w:szCs w:val="24"/>
        </w:rPr>
        <w:t>提交相关证明材料；供应商不能证明其最后报价合理性的，磋商小组</w:t>
      </w:r>
      <w:r>
        <w:rPr>
          <w:rFonts w:hint="eastAsia" w:ascii="仿宋" w:hAnsi="仿宋" w:eastAsia="仿宋" w:cs="仿宋"/>
          <w:b/>
          <w:color w:val="auto"/>
          <w:kern w:val="0"/>
          <w:sz w:val="24"/>
          <w:szCs w:val="24"/>
        </w:rPr>
        <w:t>应当</w:t>
      </w:r>
      <w:r>
        <w:rPr>
          <w:rFonts w:hint="eastAsia" w:ascii="仿宋" w:hAnsi="仿宋" w:eastAsia="仿宋" w:cs="仿宋"/>
          <w:color w:val="auto"/>
          <w:kern w:val="0"/>
          <w:sz w:val="24"/>
          <w:szCs w:val="24"/>
        </w:rPr>
        <w:t>将其作为无效响应文件处理。</w:t>
      </w:r>
    </w:p>
    <w:p w14:paraId="707B1719">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2.4.3 磋商小组成员打分超过得分界限或未按本办法赋分时，该成员的打分，按废票处理。</w:t>
      </w:r>
    </w:p>
    <w:p w14:paraId="765F432E">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2.4.4 评审过程中，各种数字的计算结果，均保留两位小数，第三位“四舍五入”。</w:t>
      </w:r>
    </w:p>
    <w:p w14:paraId="0F0F1A6D">
      <w:pPr>
        <w:pStyle w:val="20"/>
        <w:spacing w:before="0" w:beforeAutospacing="0" w:after="0" w:afterAutospacing="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2.4.5 评审过程中，若出现本磋商办法以外的特殊情况时，将暂停评审，待磋商小组商榷后，再进行评审。</w:t>
      </w:r>
    </w:p>
    <w:p w14:paraId="3A70880C">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合格供应商少于3家的处理</w:t>
      </w:r>
    </w:p>
    <w:p w14:paraId="3A5D81C0">
      <w:pPr>
        <w:pStyle w:val="8"/>
        <w:spacing w:line="360" w:lineRule="auto"/>
        <w:ind w:firstLine="482" w:firstLineChars="200"/>
        <w:rPr>
          <w:rFonts w:hint="eastAsia" w:ascii="仿宋" w:hAnsi="仿宋" w:eastAsia="仿宋" w:cs="仿宋"/>
          <w:b/>
          <w:color w:val="auto"/>
          <w:sz w:val="24"/>
          <w:szCs w:val="24"/>
        </w:rPr>
      </w:pPr>
      <w:r>
        <w:rPr>
          <w:rFonts w:hint="eastAsia" w:ascii="仿宋" w:hAnsi="仿宋" w:eastAsia="仿宋" w:cs="仿宋"/>
          <w:b/>
          <w:color w:val="auto"/>
          <w:sz w:val="24"/>
          <w:szCs w:val="24"/>
        </w:rPr>
        <w:t>2.4.6 .1评审过程中，若出现合格供应商只有2家时，符合《政府采购竞争性磋商采购方式管理暂行办法》第3条第4项情形的，</w:t>
      </w:r>
      <w:r>
        <w:rPr>
          <w:rFonts w:hint="eastAsia" w:ascii="仿宋" w:hAnsi="仿宋" w:eastAsia="仿宋" w:cs="仿宋"/>
          <w:b/>
          <w:snapToGrid w:val="0"/>
          <w:color w:val="auto"/>
          <w:kern w:val="0"/>
          <w:sz w:val="24"/>
          <w:szCs w:val="24"/>
        </w:rPr>
        <w:t>或者本项目为政府购买服务指导性目录中的，</w:t>
      </w:r>
      <w:r>
        <w:rPr>
          <w:rFonts w:hint="eastAsia" w:ascii="仿宋" w:hAnsi="仿宋" w:eastAsia="仿宋" w:cs="仿宋"/>
          <w:b/>
          <w:color w:val="auto"/>
          <w:sz w:val="24"/>
          <w:szCs w:val="24"/>
        </w:rPr>
        <w:t>可以继续进行；只有1家时，采购人将依法重新组织采购活动。</w:t>
      </w:r>
    </w:p>
    <w:p w14:paraId="43012358">
      <w:pPr>
        <w:widowControl/>
        <w:autoSpaceDE w:val="0"/>
        <w:autoSpaceDN w:val="0"/>
        <w:spacing w:line="360" w:lineRule="auto"/>
        <w:ind w:right="53" w:firstLine="480" w:firstLineChars="200"/>
        <w:textAlignment w:val="bottom"/>
        <w:rPr>
          <w:rFonts w:hint="eastAsia" w:ascii="仿宋" w:hAnsi="仿宋" w:eastAsia="仿宋" w:cs="仿宋"/>
          <w:color w:val="auto"/>
          <w:sz w:val="24"/>
          <w:szCs w:val="24"/>
        </w:rPr>
      </w:pPr>
      <w:r>
        <w:rPr>
          <w:rFonts w:hint="eastAsia" w:ascii="仿宋" w:hAnsi="仿宋" w:eastAsia="仿宋" w:cs="仿宋"/>
          <w:color w:val="auto"/>
          <w:sz w:val="24"/>
          <w:szCs w:val="24"/>
        </w:rPr>
        <w:t>2.4.7 评审过程中，除符合本章第2.4.6.1条款规定情形外，若出现合格供应商少于3家时，采购人将依法重新组织采购活动。</w:t>
      </w:r>
    </w:p>
    <w:p w14:paraId="7A7F51B0">
      <w:pPr>
        <w:pStyle w:val="20"/>
        <w:spacing w:before="0" w:beforeAutospacing="0" w:after="0" w:afterAutospacing="0"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2.4.8 评审报告签署后，采购人或者采购代理机构发现存在本章第1.7.2条款情形之一的，应当组织原磋商小组进行重新评审，重新评审改变成交结果的，书面报告本级财政部门。</w:t>
      </w:r>
    </w:p>
    <w:p w14:paraId="3AB7EBC1">
      <w:pPr>
        <w:widowControl/>
        <w:spacing w:line="360" w:lineRule="auto"/>
        <w:ind w:firstLine="488" w:firstLineChars="200"/>
        <w:rPr>
          <w:rFonts w:hint="eastAsia" w:ascii="仿宋" w:hAnsi="仿宋" w:eastAsia="仿宋" w:cs="仿宋"/>
          <w:snapToGrid w:val="0"/>
          <w:color w:val="auto"/>
          <w:kern w:val="0"/>
          <w:sz w:val="24"/>
          <w:szCs w:val="24"/>
        </w:rPr>
      </w:pPr>
      <w:r>
        <w:rPr>
          <w:rFonts w:hint="eastAsia" w:ascii="仿宋" w:hAnsi="仿宋" w:eastAsia="仿宋" w:cs="仿宋"/>
          <w:color w:val="auto"/>
          <w:spacing w:val="2"/>
          <w:sz w:val="24"/>
          <w:szCs w:val="24"/>
        </w:rPr>
        <w:t xml:space="preserve">2.4.9 </w:t>
      </w:r>
      <w:r>
        <w:rPr>
          <w:rFonts w:hint="eastAsia" w:ascii="仿宋" w:hAnsi="仿宋" w:eastAsia="仿宋" w:cs="仿宋"/>
          <w:snapToGrid w:val="0"/>
          <w:color w:val="auto"/>
          <w:kern w:val="0"/>
          <w:sz w:val="24"/>
          <w:szCs w:val="24"/>
        </w:rPr>
        <w:t>采购人、采购代理机构发现磋商小组未按照磋商文件规定的评审标准进行评审的，应当重新开展采购活动，并同时书面报告本级财政部门。</w:t>
      </w:r>
    </w:p>
    <w:p w14:paraId="1105BABC">
      <w:pPr>
        <w:pStyle w:val="8"/>
        <w:spacing w:line="360" w:lineRule="auto"/>
        <w:ind w:firstLineChars="200"/>
        <w:rPr>
          <w:rFonts w:hint="eastAsia" w:ascii="仿宋" w:hAnsi="仿宋" w:eastAsia="仿宋" w:cs="仿宋"/>
          <w:color w:val="auto"/>
          <w:sz w:val="24"/>
          <w:szCs w:val="24"/>
        </w:rPr>
      </w:pPr>
      <w:r>
        <w:rPr>
          <w:rFonts w:hint="eastAsia" w:ascii="仿宋" w:hAnsi="仿宋" w:eastAsia="仿宋" w:cs="仿宋"/>
          <w:color w:val="auto"/>
          <w:sz w:val="24"/>
          <w:szCs w:val="24"/>
        </w:rPr>
        <w:t>2.4.10评审争议处理原则</w:t>
      </w:r>
    </w:p>
    <w:p w14:paraId="41F101C9">
      <w:pPr>
        <w:pStyle w:val="11"/>
        <w:tabs>
          <w:tab w:val="left" w:pos="600"/>
        </w:tabs>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磋商文件规定的，应当及时向采购人书面反映，采购人收到书面反映后，应当及时向同级财政部门报告依法处理。</w:t>
      </w:r>
    </w:p>
    <w:p w14:paraId="625CD29A">
      <w:pPr>
        <w:pStyle w:val="8"/>
        <w:spacing w:line="360" w:lineRule="auto"/>
        <w:ind w:firstLine="482" w:firstLineChars="200"/>
        <w:rPr>
          <w:rFonts w:hint="eastAsia" w:ascii="仿宋" w:hAnsi="仿宋" w:eastAsia="仿宋" w:cs="仿宋"/>
          <w:b/>
          <w:color w:val="auto"/>
          <w:sz w:val="24"/>
          <w:szCs w:val="24"/>
        </w:rPr>
      </w:pPr>
      <w:bookmarkStart w:id="94" w:name="_Toc20651224"/>
      <w:r>
        <w:rPr>
          <w:rFonts w:hint="eastAsia" w:ascii="仿宋" w:hAnsi="仿宋" w:eastAsia="仿宋" w:cs="仿宋"/>
          <w:b/>
          <w:color w:val="auto"/>
          <w:sz w:val="24"/>
          <w:szCs w:val="24"/>
        </w:rPr>
        <w:t>2.4.11停止评</w:t>
      </w:r>
      <w:bookmarkEnd w:id="94"/>
      <w:r>
        <w:rPr>
          <w:rFonts w:hint="eastAsia" w:ascii="仿宋" w:hAnsi="仿宋" w:eastAsia="仿宋" w:cs="仿宋"/>
          <w:b/>
          <w:color w:val="auto"/>
          <w:sz w:val="24"/>
          <w:szCs w:val="24"/>
        </w:rPr>
        <w:t>审</w:t>
      </w:r>
    </w:p>
    <w:p w14:paraId="1AAACA7B">
      <w:pPr>
        <w:pStyle w:val="11"/>
        <w:tabs>
          <w:tab w:val="left" w:pos="600"/>
        </w:tabs>
        <w:spacing w:line="360" w:lineRule="auto"/>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磋商小组发现磋商文件存在歧义、重大缺陷导致评审工作无法进行，或者磋商文件内容违反国家有关强制性规定的，应当停止评审工作，与采购人、采购代理机构沟通并作书面记录。</w:t>
      </w:r>
      <w:r>
        <w:rPr>
          <w:rFonts w:hint="eastAsia" w:ascii="仿宋" w:hAnsi="仿宋" w:eastAsia="仿宋" w:cs="仿宋"/>
          <w:b/>
          <w:color w:val="auto"/>
          <w:sz w:val="24"/>
          <w:szCs w:val="24"/>
        </w:rPr>
        <w:t>采购人、采购代理机构应当确认和修改磋商文件后，重新组织采购活动。</w:t>
      </w:r>
    </w:p>
    <w:p w14:paraId="62665677">
      <w:pPr>
        <w:widowControl/>
        <w:spacing w:line="360" w:lineRule="auto"/>
        <w:ind w:firstLine="480" w:firstLineChars="200"/>
        <w:rPr>
          <w:rFonts w:hint="eastAsia" w:ascii="仿宋" w:hAnsi="仿宋" w:eastAsia="仿宋" w:cs="仿宋"/>
          <w:color w:val="auto"/>
          <w:sz w:val="24"/>
          <w:szCs w:val="24"/>
        </w:rPr>
      </w:pPr>
      <w:bookmarkStart w:id="95" w:name="_Toc20651225"/>
      <w:r>
        <w:rPr>
          <w:rFonts w:hint="eastAsia" w:ascii="仿宋" w:hAnsi="仿宋" w:eastAsia="仿宋" w:cs="仿宋"/>
          <w:color w:val="auto"/>
          <w:sz w:val="24"/>
          <w:szCs w:val="24"/>
        </w:rPr>
        <w:t>2.4.12采购人、采购代理机构发现磋商小组未按照磋商文件规定的评审标准进行评审的，应当重新开展采购活动，并同时书面报告本级财政部门。</w:t>
      </w:r>
    </w:p>
    <w:bookmarkEnd w:id="95"/>
    <w:p w14:paraId="04B50228">
      <w:pPr>
        <w:pStyle w:val="3"/>
        <w:keepNext/>
        <w:keepLines/>
        <w:pageBreakBefore w:val="0"/>
        <w:widowControl w:val="0"/>
        <w:kinsoku/>
        <w:wordWrap/>
        <w:overflowPunct/>
        <w:topLinePunct w:val="0"/>
        <w:autoSpaceDE/>
        <w:autoSpaceDN/>
        <w:bidi w:val="0"/>
        <w:adjustRightInd/>
        <w:snapToGrid w:val="0"/>
        <w:spacing w:before="0" w:after="0" w:line="480" w:lineRule="auto"/>
        <w:jc w:val="center"/>
        <w:textAlignment w:val="auto"/>
        <w:rPr>
          <w:rFonts w:ascii="黑体" w:hAnsi="宋体"/>
          <w:color w:val="auto"/>
          <w:sz w:val="44"/>
          <w:szCs w:val="44"/>
        </w:rPr>
      </w:pPr>
      <w:r>
        <w:rPr>
          <w:rFonts w:ascii="宋体" w:hAnsi="宋体"/>
          <w:color w:val="auto"/>
          <w:spacing w:val="2"/>
          <w:szCs w:val="21"/>
        </w:rPr>
        <w:br w:type="page"/>
      </w:r>
      <w:bookmarkEnd w:id="91"/>
      <w:bookmarkStart w:id="96" w:name="_Toc6620"/>
      <w:bookmarkStart w:id="97" w:name="_Toc15882"/>
      <w:bookmarkStart w:id="98" w:name="_Toc18074970"/>
      <w:r>
        <w:rPr>
          <w:rFonts w:hint="eastAsia" w:ascii="宋体" w:hAnsi="宋体"/>
          <w:color w:val="auto"/>
          <w:sz w:val="44"/>
          <w:szCs w:val="44"/>
        </w:rPr>
        <w:t>第四章 采购内容及</w:t>
      </w:r>
      <w:r>
        <w:rPr>
          <w:rFonts w:hint="eastAsia" w:ascii="宋体" w:hAnsi="宋体"/>
          <w:color w:val="auto"/>
          <w:sz w:val="44"/>
          <w:szCs w:val="44"/>
          <w:lang w:val="en-US" w:eastAsia="zh-CN"/>
        </w:rPr>
        <w:t>商务</w:t>
      </w:r>
      <w:r>
        <w:rPr>
          <w:rFonts w:hint="eastAsia" w:ascii="宋体" w:hAnsi="宋体"/>
          <w:color w:val="auto"/>
          <w:sz w:val="44"/>
          <w:szCs w:val="44"/>
        </w:rPr>
        <w:t>要求</w:t>
      </w:r>
      <w:bookmarkEnd w:id="96"/>
      <w:bookmarkEnd w:id="97"/>
      <w:bookmarkEnd w:id="98"/>
    </w:p>
    <w:p w14:paraId="44BB42C8">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auto"/>
          <w:sz w:val="24"/>
          <w:szCs w:val="24"/>
          <w:highlight w:val="none"/>
          <w:lang w:eastAsia="zh-CN"/>
        </w:rPr>
      </w:pPr>
      <w:bookmarkStart w:id="99" w:name="_Toc3304"/>
      <w:r>
        <w:rPr>
          <w:rFonts w:hint="eastAsia" w:ascii="仿宋" w:hAnsi="仿宋" w:eastAsia="仿宋" w:cs="仿宋"/>
          <w:b/>
          <w:color w:val="auto"/>
          <w:sz w:val="24"/>
          <w:szCs w:val="24"/>
          <w:highlight w:val="none"/>
          <w:lang w:eastAsia="zh-CN"/>
        </w:rPr>
        <w:t>一、工程概况</w:t>
      </w:r>
    </w:p>
    <w:p w14:paraId="088BF2C5">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lang w:val="en-US" w:eastAsia="zh-CN"/>
        </w:rPr>
        <w:t>2026年大庄镇大东村、大西村、布王村集体经济建设项目二标段</w:t>
      </w:r>
    </w:p>
    <w:p w14:paraId="330CF999">
      <w:pPr>
        <w:pStyle w:val="28"/>
        <w:keepNext w:val="0"/>
        <w:keepLines w:val="0"/>
        <w:pageBreakBefore w:val="0"/>
        <w:widowControl w:val="0"/>
        <w:kinsoku/>
        <w:wordWrap/>
        <w:overflowPunct/>
        <w:topLinePunct w:val="0"/>
        <w:bidi w:val="0"/>
        <w:snapToGrid w:val="0"/>
        <w:spacing w:line="360" w:lineRule="auto"/>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2、预算金额：402394.40元。</w:t>
      </w:r>
    </w:p>
    <w:p w14:paraId="5F6468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工程地点：</w:t>
      </w:r>
      <w:r>
        <w:rPr>
          <w:rFonts w:hint="eastAsia" w:ascii="仿宋" w:hAnsi="仿宋" w:eastAsia="仿宋" w:cs="仿宋"/>
          <w:color w:val="auto"/>
          <w:sz w:val="24"/>
          <w:szCs w:val="24"/>
          <w:highlight w:val="none"/>
          <w:lang w:val="en-US" w:eastAsia="zh-CN"/>
        </w:rPr>
        <w:t>采购人指定地点</w:t>
      </w:r>
    </w:p>
    <w:p w14:paraId="1D22CE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4、工程范围及内容：大西村：</w:t>
      </w:r>
    </w:p>
    <w:p w14:paraId="26F6602C">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4-1.新建日光温室蔬菜大棚6栋，每栋10mx40m，大棚采用镀锌钢管结构。</w:t>
      </w:r>
    </w:p>
    <w:p w14:paraId="7775A83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工程包括：</w:t>
      </w:r>
    </w:p>
    <w:p w14:paraId="3C323B90">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①地基及基础工程；</w:t>
      </w:r>
    </w:p>
    <w:p w14:paraId="513C95E4">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②混凝土及钢筋混凝土工程：独立基础约18m³、基础模板约389㎡、预埋铁件1.2t；</w:t>
      </w:r>
    </w:p>
    <w:p w14:paraId="4B2C05CD">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③金属结构工程：立柱1.4t、拱杆20t、钢支撑等；</w:t>
      </w:r>
    </w:p>
    <w:p w14:paraId="1CE12B97">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④门窗工程：温室大棚专用推拉门约57.6㎡；</w:t>
      </w:r>
    </w:p>
    <w:p w14:paraId="35CB42B5">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⑤保温隔热防腐工程：保温棉被约3271㎡；</w:t>
      </w:r>
    </w:p>
    <w:p w14:paraId="12574814">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⑥12丝无滴PO膜约4294㎡、防虫网约233㎡、砂石路便道约123㎡。</w:t>
      </w:r>
    </w:p>
    <w:p w14:paraId="21A997A9">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4-2.为6栋大棚配套电动控制系统包括：</w:t>
      </w:r>
    </w:p>
    <w:p w14:paraId="01AFB9D9">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①设备：外遮阳电机6台、卷膜电机6台、侧卷膜（棉被）电机6台；</w:t>
      </w:r>
    </w:p>
    <w:p w14:paraId="5B2691F7">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②管线：配线及输配电装置系统</w:t>
      </w:r>
    </w:p>
    <w:p w14:paraId="03116DA7">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二、采购要求</w:t>
      </w:r>
    </w:p>
    <w:p w14:paraId="1BFD44BC">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0BD29D84">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2、本工程其他技术标准及要求执行图纸及甲方实际需求。</w:t>
      </w:r>
    </w:p>
    <w:p w14:paraId="25DD212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3、乙方在施工过程中使用或参考上述标准、规范以外的技术部分准、规范时，应征得业主或业主指定代表人的同意。</w:t>
      </w:r>
    </w:p>
    <w:p w14:paraId="6558A3E3">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4、在施工过程中，如果国家或有关部门颁布了新的技术部分准或规范，则乙方应采用新的标准或规范进行施工。</w:t>
      </w:r>
    </w:p>
    <w:p w14:paraId="5ABAC01A">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5、招标人提供工程的施工图纸和相关技术文件，是招标人现有的能被投标人利用的资料，招标人对投标人做出的任何推论、理解均不负责任。</w:t>
      </w:r>
    </w:p>
    <w:p w14:paraId="165C1C5B">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投标人应先到工地踏勘以充分了解工地位置、地质情况、进出场道路、储存空间、运输能力、装卸限制、行车干扰及任何其它足以影响承包价格的情况，了解设计图纸、施工规范、标准以及施工现场实际等情况，并应考虑现有人、材、机市场水平和供应、投标风险、不利的施工因素等，任何因忽视或误解工地情况而导致的索赔或工期延长申请将不获批准。</w:t>
      </w:r>
    </w:p>
    <w:p w14:paraId="1170DE22">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val="0"/>
          <w:bCs w:val="0"/>
          <w:kern w:val="2"/>
          <w:sz w:val="24"/>
          <w:szCs w:val="24"/>
        </w:rPr>
      </w:pPr>
      <w:r>
        <w:rPr>
          <w:rFonts w:hint="eastAsia" w:ascii="仿宋" w:hAnsi="仿宋" w:eastAsia="仿宋" w:cs="仿宋"/>
          <w:b/>
          <w:bCs/>
          <w:kern w:val="2"/>
          <w:sz w:val="24"/>
          <w:szCs w:val="24"/>
          <w:lang w:val="en-US" w:eastAsia="zh-CN" w:bidi="ar"/>
        </w:rPr>
        <w:t>三、工期：</w:t>
      </w:r>
      <w:r>
        <w:rPr>
          <w:rFonts w:hint="eastAsia" w:ascii="仿宋" w:hAnsi="仿宋" w:eastAsia="仿宋" w:cs="仿宋"/>
          <w:b w:val="0"/>
          <w:bCs w:val="0"/>
          <w:kern w:val="2"/>
          <w:sz w:val="24"/>
          <w:szCs w:val="24"/>
          <w:lang w:val="en-US" w:eastAsia="zh-CN" w:bidi="ar"/>
        </w:rPr>
        <w:t>合同签订之日起90日历天内完成。</w:t>
      </w:r>
    </w:p>
    <w:p w14:paraId="25041D29">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四、安全要求</w:t>
      </w:r>
    </w:p>
    <w:p w14:paraId="3E1925E5">
      <w:pPr>
        <w:keepNext w:val="0"/>
        <w:keepLines w:val="0"/>
        <w:widowControl w:val="0"/>
        <w:suppressLineNumbers w:val="0"/>
        <w:autoSpaceDE w:val="0"/>
        <w:autoSpaceDN/>
        <w:snapToGrid w:val="0"/>
        <w:spacing w:before="0" w:beforeAutospacing="0" w:after="0" w:afterAutospacing="0" w:line="360" w:lineRule="auto"/>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遵守国家的相关安全规定。合同执行过程中供应商应对自身安全负责，施工期内的人员伤亡及财产损失等问题由成交供应商负责并承担相关责任及费用。运输、施工期间，工伤保险由乙方购买，所有安全责任由乙方负责。</w:t>
      </w:r>
    </w:p>
    <w:p w14:paraId="29910F5F">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五、质量标准：</w:t>
      </w:r>
      <w:r>
        <w:rPr>
          <w:rFonts w:hint="eastAsia" w:ascii="仿宋" w:hAnsi="仿宋" w:eastAsia="仿宋" w:cs="仿宋"/>
          <w:kern w:val="2"/>
          <w:sz w:val="24"/>
          <w:szCs w:val="24"/>
          <w:lang w:val="en-US" w:eastAsia="zh-CN" w:bidi="ar"/>
        </w:rPr>
        <w:t>达到国家现行验收规范合格标准。</w:t>
      </w:r>
    </w:p>
    <w:p w14:paraId="79C49AA0">
      <w:pPr>
        <w:keepNext w:val="0"/>
        <w:keepLines w:val="0"/>
        <w:widowControl w:val="0"/>
        <w:suppressLineNumbers w:val="0"/>
        <w:autoSpaceDE w:val="0"/>
        <w:autoSpaceDN/>
        <w:snapToGrid w:val="0"/>
        <w:spacing w:before="0" w:beforeAutospacing="0" w:after="0" w:afterAutospacing="0" w:line="360" w:lineRule="auto"/>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六、执行的法律法规、技术规范</w:t>
      </w:r>
    </w:p>
    <w:p w14:paraId="5AFBCE51">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（一）</w:t>
      </w:r>
      <w:r>
        <w:rPr>
          <w:rFonts w:hint="eastAsia" w:ascii="仿宋" w:hAnsi="仿宋" w:eastAsia="仿宋" w:cs="仿宋"/>
          <w:b w:val="0"/>
          <w:bCs/>
          <w:kern w:val="2"/>
          <w:sz w:val="24"/>
          <w:szCs w:val="24"/>
          <w:lang w:val="en-US" w:eastAsia="zh-CN" w:bidi="ar"/>
        </w:rPr>
        <w:t>执行国家、省、市现行的相关规定及标准文件。具体技术要求包括但不限于以下规定、标准、规范</w:t>
      </w:r>
      <w:r>
        <w:rPr>
          <w:rFonts w:hint="eastAsia" w:ascii="仿宋" w:hAnsi="仿宋" w:eastAsia="仿宋" w:cs="仿宋"/>
          <w:kern w:val="2"/>
          <w:sz w:val="24"/>
          <w:szCs w:val="24"/>
          <w:lang w:val="en-US" w:eastAsia="zh-CN" w:bidi="ar"/>
        </w:rPr>
        <w:t>：</w:t>
      </w:r>
    </w:p>
    <w:p w14:paraId="49F50786">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《中华人民共和国安全生产法》；</w:t>
      </w:r>
    </w:p>
    <w:p w14:paraId="7F3993AB">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《陕西省建设工程质量安全管理条例》；</w:t>
      </w:r>
    </w:p>
    <w:p w14:paraId="26703D61">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《施工现场临时用电安全技术规范》；</w:t>
      </w:r>
    </w:p>
    <w:p w14:paraId="7578CF68">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《中华人民共和国建筑法》；</w:t>
      </w:r>
    </w:p>
    <w:p w14:paraId="2A7B1B9A">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《咸阳市建筑垃圾管理办法》；</w:t>
      </w:r>
    </w:p>
    <w:p w14:paraId="5882CB5F">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《咸阳市治污减霾网格化管理工作实施方案》；</w:t>
      </w:r>
    </w:p>
    <w:p w14:paraId="57B002CE">
      <w:pPr>
        <w:keepNext w:val="0"/>
        <w:keepLines w:val="0"/>
        <w:widowControl w:val="0"/>
        <w:suppressLineNumbers w:val="0"/>
        <w:autoSpaceDE w:val="0"/>
        <w:autoSpaceDN/>
        <w:snapToGrid w:val="0"/>
        <w:spacing w:before="0" w:beforeAutospacing="0" w:after="0" w:afterAutospacing="0" w:line="360" w:lineRule="auto"/>
        <w:ind w:left="420" w:leftChars="200" w:right="0" w:firstLine="0" w:firstLineChars="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《建设工程安全生产管理条例》。</w:t>
      </w:r>
    </w:p>
    <w:p w14:paraId="1B1104A0">
      <w:pPr>
        <w:keepNext w:val="0"/>
        <w:keepLines w:val="0"/>
        <w:widowControl w:val="0"/>
        <w:suppressLineNumbers w:val="0"/>
        <w:autoSpaceDE w:val="0"/>
        <w:autoSpaceDN/>
        <w:snapToGrid w:val="0"/>
        <w:spacing w:before="0" w:beforeAutospacing="0" w:after="0" w:afterAutospacing="0" w:line="36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以上规范、标准如遇调整或最新规范时，以调整后或最新规范内容为准。</w:t>
      </w:r>
    </w:p>
    <w:p w14:paraId="05E7DFB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七、验收标准：</w:t>
      </w:r>
      <w:r>
        <w:rPr>
          <w:rFonts w:hint="eastAsia" w:ascii="仿宋" w:hAnsi="仿宋" w:eastAsia="仿宋" w:cs="仿宋"/>
          <w:kern w:val="2"/>
          <w:sz w:val="24"/>
          <w:szCs w:val="24"/>
          <w:lang w:val="en-US" w:eastAsia="zh-CN" w:bidi="ar"/>
        </w:rPr>
        <w:t>达到国家现行《建筑工程施工质量验收合格标准》。</w:t>
      </w:r>
    </w:p>
    <w:p w14:paraId="345B5B0C">
      <w:pPr>
        <w:pStyle w:val="20"/>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八、最高限价编制依据</w:t>
      </w:r>
    </w:p>
    <w:p w14:paraId="43AB415C">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1、《2026年大庄镇大东村、大西村、布王村集体经济建设项目二标段》财政评审文件；</w:t>
      </w:r>
    </w:p>
    <w:p w14:paraId="5189862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2、正常的施工组织及方法；</w:t>
      </w:r>
    </w:p>
    <w:p w14:paraId="0DD5949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3、施工规范和验收规范；</w:t>
      </w:r>
    </w:p>
    <w:p w14:paraId="4C1AA60D">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4、计价标准按陕西省工程建设标准《建设工程工程量清单计价标准》（DB61/T5126-2025）、陕西省建设工程费用规则（2025版）；</w:t>
      </w:r>
    </w:p>
    <w:p w14:paraId="3B64EB48">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5、计量标准按陕西省《房屋建筑与装饰工程工程量计算标准》（DB 61/T5129-2025）、《通用安装工程工程量计算标准》（DB 61/T5130-2025）；</w:t>
      </w:r>
    </w:p>
    <w:p w14:paraId="29BD94AA">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6、定额标准按《陕西省房屋建筑与装饰工程消耗量定额》、《陕西省通用安装工程消耗量定额》、《陕西省建设工程施工机械台班费用定额》、《陕西省建设工程施工仪器仪表台班费用定额》及其配套的基价表；</w:t>
      </w:r>
    </w:p>
    <w:p w14:paraId="7CC8AE1F">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7、税率按一般计税；</w:t>
      </w:r>
    </w:p>
    <w:p w14:paraId="3C86AC8B">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8、材料价格按《咸阳工程造价信息》2026年第3期信息价（武功县除税价），信息价没有的按市场询价综合计入。</w:t>
      </w:r>
    </w:p>
    <w:p w14:paraId="2090D3B6">
      <w:pPr>
        <w:pStyle w:val="8"/>
        <w:pageBreakBefore w:val="0"/>
        <w:widowControl w:val="0"/>
        <w:kinsoku/>
        <w:wordWrap/>
        <w:overflowPunct/>
        <w:topLinePunct w:val="0"/>
        <w:autoSpaceDE/>
        <w:autoSpaceDN/>
        <w:bidi w:val="0"/>
        <w:snapToGrid w:val="0"/>
        <w:spacing w:line="360" w:lineRule="auto"/>
        <w:textAlignment w:val="auto"/>
        <w:rPr>
          <w:rFonts w:hint="eastAsia" w:ascii="宋体" w:hAnsi="宋体" w:eastAsia="宋体" w:cs="宋体"/>
          <w:b/>
          <w:bCs w:val="0"/>
          <w:color w:val="0000FF"/>
          <w:kern w:val="44"/>
          <w:sz w:val="21"/>
          <w:szCs w:val="21"/>
        </w:rPr>
      </w:pPr>
      <w:r>
        <w:rPr>
          <w:rFonts w:hint="eastAsia" w:ascii="仿宋" w:hAnsi="仿宋" w:eastAsia="仿宋" w:cs="仿宋"/>
          <w:b w:val="0"/>
          <w:bCs w:val="0"/>
          <w:kern w:val="2"/>
          <w:sz w:val="24"/>
          <w:szCs w:val="24"/>
          <w:lang w:val="en-US" w:eastAsia="zh-CN" w:bidi="ar"/>
        </w:rPr>
        <w:t>9、本工程采用广联达云计价平台GCCP7.0（陕西7.5000.23.3版本）编制。</w:t>
      </w:r>
    </w:p>
    <w:p w14:paraId="134E0E59">
      <w:pPr>
        <w:keepNext w:val="0"/>
        <w:keepLines w:val="0"/>
        <w:widowControl w:val="0"/>
        <w:suppressLineNumbers w:val="0"/>
        <w:autoSpaceDE w:val="0"/>
        <w:autoSpaceDN/>
        <w:snapToGrid w:val="0"/>
        <w:spacing w:before="0" w:beforeAutospacing="0" w:after="0" w:afterAutospacing="0" w:line="360" w:lineRule="auto"/>
        <w:ind w:right="0"/>
        <w:jc w:val="both"/>
        <w:rPr>
          <w:rFonts w:hint="eastAsia" w:ascii="仿宋" w:hAnsi="仿宋" w:eastAsia="仿宋" w:cs="仿宋"/>
          <w:b w:val="0"/>
          <w:bCs/>
          <w:color w:val="FF0000"/>
          <w:kern w:val="2"/>
          <w:sz w:val="24"/>
          <w:szCs w:val="24"/>
        </w:rPr>
      </w:pPr>
      <w:r>
        <w:rPr>
          <w:rFonts w:hint="eastAsia" w:ascii="仿宋" w:hAnsi="仿宋" w:eastAsia="仿宋" w:cs="仿宋"/>
          <w:b/>
          <w:bCs/>
          <w:kern w:val="2"/>
          <w:sz w:val="24"/>
          <w:szCs w:val="24"/>
          <w:lang w:val="en-US" w:eastAsia="zh-CN" w:bidi="ar"/>
        </w:rPr>
        <w:t>九、工程量清单</w:t>
      </w:r>
      <w:bookmarkStart w:id="268" w:name="_GoBack"/>
      <w:bookmarkEnd w:id="268"/>
    </w:p>
    <w:p w14:paraId="7A8DC326">
      <w:pPr>
        <w:pStyle w:val="20"/>
        <w:keepNext w:val="0"/>
        <w:keepLines w:val="0"/>
        <w:widowControl w:val="0"/>
        <w:suppressLineNumbers w:val="0"/>
        <w:autoSpaceDE w:val="0"/>
        <w:autoSpaceDN/>
        <w:snapToGrid w:val="0"/>
        <w:spacing w:before="0" w:beforeAutospacing="0" w:after="0" w:afterAutospacing="0" w:line="360" w:lineRule="auto"/>
        <w:ind w:left="0" w:right="0" w:firstLine="3792" w:firstLineChars="1574"/>
        <w:jc w:val="both"/>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w:t>
      </w:r>
      <w:r>
        <w:rPr>
          <w:rFonts w:hint="eastAsia" w:ascii="仿宋" w:hAnsi="仿宋" w:eastAsia="仿宋" w:cs="仿宋"/>
          <w:kern w:val="2"/>
          <w:sz w:val="24"/>
          <w:szCs w:val="24"/>
          <w:lang w:val="en-US" w:eastAsia="zh-CN" w:bidi="ar"/>
        </w:rPr>
        <w:t>广联达版电子文档另附</w:t>
      </w:r>
      <w:r>
        <w:rPr>
          <w:rFonts w:hint="eastAsia" w:ascii="仿宋" w:hAnsi="仿宋" w:eastAsia="仿宋" w:cs="仿宋"/>
          <w:b/>
          <w:bCs/>
          <w:kern w:val="2"/>
          <w:sz w:val="24"/>
          <w:szCs w:val="24"/>
          <w:lang w:val="en-US" w:eastAsia="zh-CN" w:bidi="ar"/>
        </w:rPr>
        <w:t>）</w:t>
      </w:r>
    </w:p>
    <w:p w14:paraId="58C031C2">
      <w:pPr>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十、商务条款</w:t>
      </w:r>
    </w:p>
    <w:p w14:paraId="011EF4B8">
      <w:pPr>
        <w:pStyle w:val="8"/>
        <w:pageBreakBefore w:val="0"/>
        <w:widowControl w:val="0"/>
        <w:kinsoku/>
        <w:wordWrap/>
        <w:overflowPunct/>
        <w:topLinePunct w:val="0"/>
        <w:autoSpaceDE/>
        <w:autoSpaceDN/>
        <w:bidi w:val="0"/>
        <w:snapToGrid w:val="0"/>
        <w:spacing w:line="360" w:lineRule="auto"/>
        <w:textAlignment w:val="auto"/>
        <w:rPr>
          <w:rFonts w:hint="default"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1、工期：合同签订之日起90日历天。合同类型：固定单价合同</w:t>
      </w:r>
    </w:p>
    <w:p w14:paraId="6E4FB0AB">
      <w:pPr>
        <w:pStyle w:val="8"/>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kern w:val="2"/>
          <w:sz w:val="24"/>
          <w:szCs w:val="24"/>
          <w:lang w:val="en-US" w:eastAsia="zh-CN" w:bidi="ar"/>
        </w:rPr>
        <w:t>2、质保期：2年。</w:t>
      </w:r>
    </w:p>
    <w:p w14:paraId="23B2E79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lang w:val="en-US" w:eastAsia="zh-CN" w:bidi="ar"/>
        </w:rPr>
      </w:pPr>
      <w:r>
        <w:rPr>
          <w:rFonts w:hint="eastAsia" w:ascii="仿宋" w:hAnsi="仿宋" w:eastAsia="仿宋" w:cs="仿宋"/>
          <w:b w:val="0"/>
          <w:bCs w:val="0"/>
          <w:kern w:val="2"/>
          <w:sz w:val="24"/>
          <w:szCs w:val="24"/>
          <w:lang w:val="en-US" w:eastAsia="zh-CN" w:bidi="ar"/>
        </w:rPr>
        <w:t>3、付款方式：</w:t>
      </w:r>
      <w:r>
        <w:rPr>
          <w:rFonts w:hint="eastAsia" w:ascii="仿宋" w:hAnsi="仿宋" w:eastAsia="仿宋" w:cs="仿宋"/>
          <w:kern w:val="0"/>
          <w:sz w:val="24"/>
          <w:szCs w:val="24"/>
          <w:lang w:val="en-US" w:eastAsia="zh-CN" w:bidi="ar"/>
        </w:rPr>
        <w:t>银行转账。</w:t>
      </w:r>
    </w:p>
    <w:p w14:paraId="3CD74D4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付款</w:t>
      </w:r>
      <w:r>
        <w:rPr>
          <w:rFonts w:hint="eastAsia" w:ascii="仿宋" w:hAnsi="仿宋" w:eastAsia="仿宋" w:cs="仿宋"/>
          <w:b w:val="0"/>
          <w:bCs w:val="0"/>
          <w:kern w:val="2"/>
          <w:sz w:val="24"/>
          <w:szCs w:val="24"/>
          <w:lang w:val="en-US" w:eastAsia="zh-CN" w:bidi="ar"/>
        </w:rPr>
        <w:t>周期：进场后先预付30%工程款，工程完工后结清剩余资金扣除3%质保金。</w:t>
      </w:r>
    </w:p>
    <w:p w14:paraId="67E381A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4、履约验收标准</w:t>
      </w:r>
    </w:p>
    <w:p w14:paraId="0B4F396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（1）本项且由采购人相关部门对项目进行一次性验收。</w:t>
      </w:r>
    </w:p>
    <w:p w14:paraId="431E874C">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（2）项目竣工后，为配合采购人对本项目的验收，需提供所有的验收文档包含但不限于开工报告、竣工图、施工记录以及材料清单等，并归入最终工程竣工文件。</w:t>
      </w:r>
    </w:p>
    <w:p w14:paraId="794C2B43">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（3）验收标准:按磋商文件、响应文件及澄清函、项目检查情况等综合指标进行验收。各项指标均应符合验收标准及要求。</w:t>
      </w:r>
    </w:p>
    <w:p w14:paraId="49FA447E">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（4）验收依据:</w:t>
      </w:r>
    </w:p>
    <w:p w14:paraId="764A27C5">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1)合同文本；</w:t>
      </w:r>
    </w:p>
    <w:p w14:paraId="7BF0B5A1">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2)磋商文件及澄清函、响应文件；</w:t>
      </w:r>
    </w:p>
    <w:p w14:paraId="5E3DDF28">
      <w:pPr>
        <w:pStyle w:val="20"/>
        <w:keepNext w:val="0"/>
        <w:keepLines w:val="0"/>
        <w:widowControl w:val="0"/>
        <w:suppressLineNumbers w:val="0"/>
        <w:autoSpaceDE w:val="0"/>
        <w:autoSpaceDN/>
        <w:snapToGrid w:val="0"/>
        <w:spacing w:before="0" w:beforeAutospacing="0" w:after="0" w:afterAutospacing="0" w:line="360" w:lineRule="auto"/>
        <w:ind w:left="0" w:right="0" w:firstLine="420"/>
        <w:jc w:val="both"/>
        <w:rPr>
          <w:rFonts w:hint="eastAsia" w:ascii="仿宋" w:hAnsi="仿宋" w:eastAsia="仿宋" w:cs="仿宋"/>
          <w:b w:val="0"/>
          <w:bCs w:val="0"/>
          <w:kern w:val="2"/>
          <w:sz w:val="24"/>
          <w:szCs w:val="24"/>
          <w:lang w:val="en-US" w:eastAsia="zh-CN" w:bidi="ar"/>
        </w:rPr>
      </w:pPr>
      <w:r>
        <w:rPr>
          <w:rFonts w:hint="eastAsia" w:ascii="仿宋" w:hAnsi="仿宋" w:eastAsia="仿宋" w:cs="仿宋"/>
          <w:b w:val="0"/>
          <w:bCs w:val="0"/>
          <w:kern w:val="2"/>
          <w:sz w:val="24"/>
          <w:szCs w:val="24"/>
          <w:lang w:val="en-US" w:eastAsia="zh-CN" w:bidi="ar"/>
        </w:rPr>
        <w:t>3)国家和行业制定的相应的标准和规范；</w:t>
      </w:r>
    </w:p>
    <w:p w14:paraId="3BB90AD7">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val="0"/>
          <w:bCs w:val="0"/>
          <w:color w:val="auto"/>
          <w:sz w:val="21"/>
          <w:szCs w:val="21"/>
          <w:lang w:val="en-US" w:eastAsia="zh-CN"/>
        </w:rPr>
      </w:pPr>
      <w:r>
        <w:rPr>
          <w:rFonts w:hint="eastAsia" w:ascii="仿宋" w:hAnsi="仿宋" w:eastAsia="仿宋" w:cs="仿宋"/>
          <w:b w:val="0"/>
          <w:bCs w:val="0"/>
          <w:kern w:val="2"/>
          <w:sz w:val="24"/>
          <w:szCs w:val="24"/>
          <w:lang w:val="en-US" w:eastAsia="zh-CN" w:bidi="ar"/>
        </w:rPr>
        <w:t>4)验收清单。</w:t>
      </w:r>
      <w:r>
        <w:rPr>
          <w:rFonts w:hint="eastAsia" w:ascii="宋体" w:hAnsi="宋体" w:cs="宋体"/>
          <w:b/>
          <w:color w:val="auto"/>
          <w:sz w:val="24"/>
          <w:szCs w:val="24"/>
          <w:highlight w:val="none"/>
        </w:rPr>
        <w:br w:type="page"/>
      </w:r>
    </w:p>
    <w:p w14:paraId="2F084CF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2761" w:leftChars="0"/>
        <w:jc w:val="both"/>
        <w:textAlignment w:val="auto"/>
        <w:outlineLvl w:val="0"/>
        <w:rPr>
          <w:rFonts w:hint="eastAsia" w:ascii="宋体" w:hAnsi="宋体"/>
          <w:b/>
          <w:color w:val="auto"/>
          <w:kern w:val="44"/>
          <w:sz w:val="44"/>
          <w:szCs w:val="44"/>
        </w:rPr>
      </w:pPr>
      <w:bookmarkStart w:id="100" w:name="_Toc26929"/>
      <w:r>
        <w:rPr>
          <w:rFonts w:hint="eastAsia" w:ascii="宋体" w:hAnsi="宋体" w:eastAsia="宋体" w:cs="Times New Roman"/>
          <w:b/>
          <w:color w:val="auto"/>
          <w:kern w:val="44"/>
          <w:sz w:val="44"/>
          <w:szCs w:val="44"/>
          <w:lang w:val="en-US" w:eastAsia="zh-CN"/>
        </w:rPr>
        <w:t>第五章 主</w:t>
      </w:r>
      <w:r>
        <w:rPr>
          <w:rFonts w:hint="eastAsia" w:ascii="宋体" w:hAnsi="宋体"/>
          <w:b/>
          <w:color w:val="auto"/>
          <w:kern w:val="44"/>
          <w:sz w:val="44"/>
          <w:szCs w:val="44"/>
          <w:lang w:val="en-US" w:eastAsia="zh-CN"/>
        </w:rPr>
        <w:t>要</w:t>
      </w:r>
      <w:r>
        <w:rPr>
          <w:rFonts w:hint="eastAsia" w:ascii="宋体" w:hAnsi="宋体"/>
          <w:b/>
          <w:color w:val="auto"/>
          <w:kern w:val="44"/>
          <w:sz w:val="44"/>
          <w:szCs w:val="44"/>
        </w:rPr>
        <w:t>合同条款</w:t>
      </w:r>
      <w:bookmarkEnd w:id="99"/>
      <w:bookmarkEnd w:id="100"/>
      <w:bookmarkStart w:id="101" w:name="_Toc15056"/>
    </w:p>
    <w:p w14:paraId="61521AF7">
      <w:pPr>
        <w:widowControl/>
        <w:jc w:val="center"/>
        <w:rPr>
          <w:rFonts w:hint="eastAsia" w:ascii="宋体" w:hAnsi="宋体" w:eastAsia="宋体" w:cs="宋体"/>
          <w:b/>
          <w:bCs w:val="0"/>
          <w:color w:val="auto"/>
          <w:kern w:val="0"/>
          <w:sz w:val="52"/>
          <w:szCs w:val="52"/>
          <w:highlight w:val="none"/>
        </w:rPr>
      </w:pPr>
      <w:r>
        <w:rPr>
          <w:rFonts w:hint="eastAsia" w:ascii="宋体" w:hAnsi="宋体" w:eastAsia="宋体" w:cs="宋体"/>
          <w:b/>
          <w:bCs w:val="0"/>
          <w:color w:val="auto"/>
          <w:kern w:val="0"/>
          <w:sz w:val="52"/>
          <w:szCs w:val="52"/>
          <w:highlight w:val="none"/>
        </w:rPr>
        <w:t>建设工程施工合同</w:t>
      </w:r>
    </w:p>
    <w:p w14:paraId="2080CA72">
      <w:pPr>
        <w:widowControl/>
        <w:jc w:val="center"/>
        <w:rPr>
          <w:rFonts w:hint="eastAsia" w:ascii="宋体" w:hAnsi="宋体" w:eastAsia="宋体" w:cs="宋体"/>
          <w:bCs/>
          <w:color w:val="auto"/>
          <w:kern w:val="0"/>
          <w:sz w:val="36"/>
          <w:szCs w:val="36"/>
          <w:highlight w:val="none"/>
          <w:lang w:eastAsia="zh-CN"/>
        </w:rPr>
      </w:pPr>
      <w:r>
        <w:rPr>
          <w:rFonts w:hint="eastAsia" w:ascii="宋体" w:hAnsi="宋体" w:cs="宋体"/>
          <w:bCs/>
          <w:color w:val="auto"/>
          <w:kern w:val="0"/>
          <w:sz w:val="36"/>
          <w:szCs w:val="36"/>
          <w:highlight w:val="none"/>
          <w:lang w:eastAsia="zh-CN"/>
        </w:rPr>
        <w:t>（</w:t>
      </w:r>
      <w:r>
        <w:rPr>
          <w:rFonts w:hint="eastAsia" w:ascii="宋体" w:hAnsi="宋体" w:cs="宋体"/>
          <w:bCs/>
          <w:color w:val="auto"/>
          <w:kern w:val="0"/>
          <w:sz w:val="36"/>
          <w:szCs w:val="36"/>
          <w:highlight w:val="none"/>
          <w:lang w:val="en-US" w:eastAsia="zh-CN"/>
        </w:rPr>
        <w:t>示范文本</w:t>
      </w:r>
      <w:r>
        <w:rPr>
          <w:rFonts w:hint="eastAsia" w:ascii="宋体" w:hAnsi="宋体" w:cs="宋体"/>
          <w:bCs/>
          <w:color w:val="auto"/>
          <w:kern w:val="0"/>
          <w:sz w:val="36"/>
          <w:szCs w:val="36"/>
          <w:highlight w:val="none"/>
          <w:lang w:eastAsia="zh-CN"/>
        </w:rPr>
        <w:t>）</w:t>
      </w:r>
    </w:p>
    <w:p w14:paraId="59D8D6B1">
      <w:pPr>
        <w:widowControl/>
        <w:ind w:firstLine="200"/>
        <w:jc w:val="center"/>
        <w:rPr>
          <w:rFonts w:hint="eastAsia" w:ascii="宋体" w:hAnsi="宋体" w:eastAsia="宋体" w:cs="宋体"/>
          <w:bCs/>
          <w:color w:val="auto"/>
          <w:kern w:val="0"/>
          <w:sz w:val="32"/>
          <w:szCs w:val="32"/>
          <w:highlight w:val="none"/>
        </w:rPr>
      </w:pPr>
    </w:p>
    <w:p w14:paraId="52372F98">
      <w:pPr>
        <w:widowControl/>
        <w:ind w:firstLine="200"/>
        <w:jc w:val="center"/>
        <w:rPr>
          <w:rFonts w:hint="eastAsia" w:ascii="宋体" w:hAnsi="宋体" w:eastAsia="宋体" w:cs="宋体"/>
          <w:bCs/>
          <w:color w:val="auto"/>
          <w:kern w:val="0"/>
          <w:sz w:val="32"/>
          <w:szCs w:val="32"/>
          <w:highlight w:val="none"/>
        </w:rPr>
      </w:pPr>
    </w:p>
    <w:p w14:paraId="4F09A8CE">
      <w:pPr>
        <w:widowControl/>
        <w:ind w:firstLine="200"/>
        <w:jc w:val="center"/>
        <w:rPr>
          <w:rFonts w:hint="eastAsia" w:ascii="宋体" w:hAnsi="宋体" w:eastAsia="宋体" w:cs="宋体"/>
          <w:bCs/>
          <w:color w:val="auto"/>
          <w:kern w:val="0"/>
          <w:sz w:val="32"/>
          <w:szCs w:val="32"/>
          <w:highlight w:val="none"/>
        </w:rPr>
      </w:pPr>
    </w:p>
    <w:p w14:paraId="1B37758B">
      <w:pPr>
        <w:widowControl/>
        <w:ind w:firstLine="200"/>
        <w:jc w:val="center"/>
        <w:rPr>
          <w:rFonts w:hint="eastAsia" w:ascii="宋体" w:hAnsi="宋体" w:eastAsia="宋体" w:cs="宋体"/>
          <w:bCs/>
          <w:color w:val="auto"/>
          <w:kern w:val="0"/>
          <w:sz w:val="32"/>
          <w:szCs w:val="32"/>
          <w:highlight w:val="none"/>
        </w:rPr>
      </w:pPr>
    </w:p>
    <w:p w14:paraId="320541AD">
      <w:pPr>
        <w:widowControl/>
        <w:ind w:firstLine="200"/>
        <w:jc w:val="center"/>
        <w:rPr>
          <w:rFonts w:hint="eastAsia" w:ascii="宋体" w:hAnsi="宋体" w:eastAsia="宋体" w:cs="宋体"/>
          <w:bCs/>
          <w:color w:val="auto"/>
          <w:kern w:val="0"/>
          <w:sz w:val="32"/>
          <w:szCs w:val="32"/>
          <w:highlight w:val="none"/>
        </w:rPr>
      </w:pPr>
    </w:p>
    <w:p w14:paraId="6C337ABA">
      <w:pPr>
        <w:widowControl/>
        <w:ind w:firstLine="200"/>
        <w:jc w:val="center"/>
        <w:rPr>
          <w:rFonts w:hint="eastAsia" w:ascii="宋体" w:hAnsi="宋体" w:eastAsia="宋体" w:cs="宋体"/>
          <w:bCs/>
          <w:color w:val="auto"/>
          <w:kern w:val="0"/>
          <w:sz w:val="32"/>
          <w:szCs w:val="32"/>
          <w:highlight w:val="none"/>
        </w:rPr>
      </w:pPr>
    </w:p>
    <w:p w14:paraId="6051714F">
      <w:pPr>
        <w:widowControl/>
        <w:ind w:firstLine="200"/>
        <w:jc w:val="center"/>
        <w:rPr>
          <w:rFonts w:hint="eastAsia" w:ascii="宋体" w:hAnsi="宋体" w:eastAsia="宋体" w:cs="宋体"/>
          <w:bCs/>
          <w:color w:val="auto"/>
          <w:kern w:val="0"/>
          <w:sz w:val="32"/>
          <w:szCs w:val="32"/>
          <w:highlight w:val="none"/>
        </w:rPr>
      </w:pPr>
    </w:p>
    <w:p w14:paraId="09D46A67">
      <w:pPr>
        <w:widowControl/>
        <w:ind w:firstLine="200"/>
        <w:jc w:val="center"/>
        <w:rPr>
          <w:rFonts w:hint="eastAsia" w:ascii="宋体" w:hAnsi="宋体" w:eastAsia="宋体" w:cs="宋体"/>
          <w:bCs/>
          <w:color w:val="auto"/>
          <w:kern w:val="0"/>
          <w:sz w:val="32"/>
          <w:szCs w:val="32"/>
          <w:highlight w:val="none"/>
        </w:rPr>
      </w:pPr>
    </w:p>
    <w:p w14:paraId="68B089B0">
      <w:pPr>
        <w:pStyle w:val="8"/>
        <w:ind w:left="0" w:leftChars="0" w:firstLine="0" w:firstLineChars="0"/>
        <w:rPr>
          <w:rFonts w:hint="eastAsia" w:ascii="宋体" w:hAnsi="宋体" w:eastAsia="宋体" w:cs="宋体"/>
          <w:color w:val="auto"/>
          <w:highlight w:val="none"/>
        </w:rPr>
      </w:pPr>
    </w:p>
    <w:p w14:paraId="1B0295F9">
      <w:pPr>
        <w:pStyle w:val="8"/>
        <w:rPr>
          <w:rFonts w:hint="eastAsia" w:ascii="宋体" w:hAnsi="宋体" w:eastAsia="宋体" w:cs="宋体"/>
          <w:color w:val="auto"/>
          <w:highlight w:val="none"/>
        </w:rPr>
      </w:pPr>
    </w:p>
    <w:p w14:paraId="6CA8A3BC">
      <w:pPr>
        <w:pStyle w:val="8"/>
        <w:rPr>
          <w:rFonts w:hint="eastAsia" w:ascii="宋体" w:hAnsi="宋体" w:eastAsia="宋体" w:cs="宋体"/>
          <w:color w:val="auto"/>
          <w:highlight w:val="none"/>
        </w:rPr>
      </w:pPr>
    </w:p>
    <w:p w14:paraId="4DE375B1">
      <w:pPr>
        <w:widowControl/>
        <w:ind w:firstLine="200"/>
        <w:jc w:val="center"/>
        <w:rPr>
          <w:rFonts w:hint="eastAsia" w:ascii="宋体" w:hAnsi="宋体" w:eastAsia="宋体" w:cs="宋体"/>
          <w:bCs/>
          <w:color w:val="auto"/>
          <w:kern w:val="0"/>
          <w:sz w:val="32"/>
          <w:szCs w:val="32"/>
          <w:highlight w:val="none"/>
        </w:rPr>
      </w:pPr>
    </w:p>
    <w:p w14:paraId="6C53B660">
      <w:pPr>
        <w:pStyle w:val="8"/>
        <w:rPr>
          <w:rFonts w:hint="eastAsia" w:ascii="宋体" w:hAnsi="宋体" w:eastAsia="宋体" w:cs="宋体"/>
          <w:bCs/>
          <w:color w:val="auto"/>
          <w:kern w:val="0"/>
          <w:sz w:val="32"/>
          <w:szCs w:val="32"/>
          <w:highlight w:val="none"/>
        </w:rPr>
      </w:pPr>
    </w:p>
    <w:p w14:paraId="2D4B648D">
      <w:pPr>
        <w:pStyle w:val="8"/>
        <w:ind w:left="0" w:leftChars="0" w:firstLine="0" w:firstLineChars="0"/>
        <w:rPr>
          <w:rFonts w:hint="eastAsia" w:ascii="宋体" w:hAnsi="宋体" w:eastAsia="宋体" w:cs="宋体"/>
          <w:bCs/>
          <w:color w:val="auto"/>
          <w:kern w:val="0"/>
          <w:sz w:val="32"/>
          <w:szCs w:val="32"/>
          <w:highlight w:val="none"/>
        </w:rPr>
      </w:pPr>
    </w:p>
    <w:p w14:paraId="323E354D">
      <w:pPr>
        <w:rPr>
          <w:rFonts w:hint="eastAsia" w:ascii="宋体" w:hAnsi="宋体" w:eastAsia="宋体" w:cs="宋体"/>
          <w:bCs/>
          <w:color w:val="auto"/>
          <w:kern w:val="0"/>
          <w:sz w:val="32"/>
          <w:szCs w:val="32"/>
          <w:highlight w:val="none"/>
        </w:rPr>
      </w:pPr>
    </w:p>
    <w:p w14:paraId="35BFCEF9">
      <w:pPr>
        <w:pStyle w:val="2"/>
        <w:rPr>
          <w:rFonts w:hint="eastAsia"/>
        </w:rPr>
      </w:pPr>
    </w:p>
    <w:p w14:paraId="0978F3CC">
      <w:pPr>
        <w:rPr>
          <w:rFonts w:hint="eastAsia" w:ascii="宋体" w:hAnsi="宋体" w:eastAsia="宋体" w:cs="宋体"/>
          <w:bCs/>
          <w:color w:val="auto"/>
          <w:kern w:val="0"/>
          <w:sz w:val="32"/>
          <w:szCs w:val="32"/>
          <w:highlight w:val="none"/>
        </w:rPr>
      </w:pPr>
    </w:p>
    <w:p w14:paraId="79B26222">
      <w:pPr>
        <w:pStyle w:val="8"/>
        <w:rPr>
          <w:rFonts w:hint="eastAsia" w:ascii="宋体" w:hAnsi="宋体" w:eastAsia="宋体" w:cs="宋体"/>
        </w:rPr>
      </w:pPr>
    </w:p>
    <w:p w14:paraId="78D81D55">
      <w:pPr>
        <w:rPr>
          <w:rFonts w:hint="eastAsia"/>
        </w:rPr>
      </w:pPr>
    </w:p>
    <w:p w14:paraId="48665FF9">
      <w:pPr>
        <w:pStyle w:val="2"/>
        <w:rPr>
          <w:rFonts w:hint="eastAsia"/>
        </w:rPr>
      </w:pPr>
    </w:p>
    <w:p w14:paraId="73B8FE5C">
      <w:pPr>
        <w:widowControl/>
        <w:jc w:val="both"/>
        <w:rPr>
          <w:rFonts w:hint="eastAsia" w:ascii="宋体" w:hAnsi="宋体" w:eastAsia="宋体" w:cs="宋体"/>
          <w:b/>
          <w:bCs w:val="0"/>
          <w:color w:val="auto"/>
          <w:kern w:val="0"/>
          <w:sz w:val="32"/>
          <w:szCs w:val="32"/>
          <w:highlight w:val="none"/>
        </w:rPr>
      </w:pPr>
    </w:p>
    <w:p w14:paraId="2BF7E03B">
      <w:pPr>
        <w:widowControl/>
        <w:jc w:val="center"/>
        <w:rPr>
          <w:rFonts w:hint="eastAsia" w:ascii="宋体" w:hAnsi="宋体" w:cs="宋体"/>
          <w:b/>
          <w:bCs w:val="0"/>
          <w:color w:val="auto"/>
          <w:spacing w:val="51"/>
          <w:kern w:val="0"/>
          <w:sz w:val="36"/>
          <w:szCs w:val="36"/>
          <w:highlight w:val="none"/>
          <w:lang w:val="en-US" w:eastAsia="zh-CN"/>
        </w:rPr>
      </w:pPr>
      <w:r>
        <w:rPr>
          <w:sz w:val="36"/>
        </w:rPr>
        <mc:AlternateContent>
          <mc:Choice Requires="wps">
            <w:drawing>
              <wp:anchor distT="0" distB="0" distL="114300" distR="114300" simplePos="0" relativeHeight="251661312" behindDoc="0" locked="0" layoutInCell="1" allowOverlap="1">
                <wp:simplePos x="0" y="0"/>
                <wp:positionH relativeFrom="column">
                  <wp:posOffset>4375785</wp:posOffset>
                </wp:positionH>
                <wp:positionV relativeFrom="paragraph">
                  <wp:posOffset>127635</wp:posOffset>
                </wp:positionV>
                <wp:extent cx="721995" cy="333375"/>
                <wp:effectExtent l="0" t="0" r="1905" b="9525"/>
                <wp:wrapNone/>
                <wp:docPr id="4" name="文本框 4"/>
                <wp:cNvGraphicFramePr/>
                <a:graphic xmlns:a="http://schemas.openxmlformats.org/drawingml/2006/main">
                  <a:graphicData uri="http://schemas.microsoft.com/office/word/2010/wordprocessingShape">
                    <wps:wsp>
                      <wps:cNvSpPr txBox="1"/>
                      <wps:spPr>
                        <a:xfrm>
                          <a:off x="5061585" y="8475980"/>
                          <a:ext cx="721995" cy="3333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55pt;margin-top:10.05pt;height:26.25pt;width:56.85pt;z-index:251661312;mso-width-relative:page;mso-height-relative:page;" fillcolor="#FFFFFF [3201]" filled="t" stroked="f" coordsize="21600,21600" o:gfxdata="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RUAw/tUA&#10;AAAJAQAADwAAAAAAAAABACAAAAAiAAAAZHJzL2Rvd25yZXYueG1sUEsBAhQAFAAAAAgAh07iQNtN&#10;iOpbAgAAmgQAAA4AAAAAAAAAAQAgAAAAJAEAAGRycy9lMm9Eb2MueG1sUEsFBgAAAAAGAAYAWQEA&#10;APEFAAAAAA==&#10;">
                <v:fill on="t" focussize="0,0"/>
                <v:stroke on="f" weight="0.5pt"/>
                <v:imagedata o:title=""/>
                <o:lock v:ext="edit" aspectratio="f"/>
                <v:textbox>
                  <w:txbxContent>
                    <w:p w14:paraId="3F61D0EE">
                      <w:pPr>
                        <w:rPr>
                          <w:rFonts w:hint="eastAsia" w:eastAsia="宋体"/>
                          <w:b/>
                          <w:bCs/>
                          <w:sz w:val="36"/>
                          <w:szCs w:val="36"/>
                          <w:lang w:val="en-US" w:eastAsia="zh-CN"/>
                        </w:rPr>
                      </w:pPr>
                      <w:r>
                        <w:rPr>
                          <w:rFonts w:hint="eastAsia"/>
                          <w:b/>
                          <w:bCs/>
                          <w:sz w:val="36"/>
                          <w:szCs w:val="36"/>
                          <w:lang w:val="en-US" w:eastAsia="zh-CN"/>
                        </w:rPr>
                        <w:t>制定</w:t>
                      </w:r>
                    </w:p>
                  </w:txbxContent>
                </v:textbox>
              </v:shape>
            </w:pict>
          </mc:Fallback>
        </mc:AlternateContent>
      </w:r>
      <w:r>
        <w:rPr>
          <w:rFonts w:hint="eastAsia" w:ascii="宋体" w:hAnsi="宋体" w:cs="宋体"/>
          <w:b/>
          <w:bCs w:val="0"/>
          <w:color w:val="auto"/>
          <w:spacing w:val="51"/>
          <w:kern w:val="0"/>
          <w:sz w:val="36"/>
          <w:szCs w:val="36"/>
          <w:highlight w:val="none"/>
          <w:lang w:val="en-US" w:eastAsia="zh-CN"/>
        </w:rPr>
        <w:t>住房和城乡建设部</w:t>
      </w:r>
    </w:p>
    <w:p w14:paraId="49EB51AF">
      <w:pPr>
        <w:jc w:val="center"/>
        <w:rPr>
          <w:rFonts w:hint="eastAsia" w:ascii="宋体" w:hAnsi="宋体" w:cs="宋体"/>
          <w:b/>
          <w:bCs w:val="0"/>
          <w:color w:val="auto"/>
          <w:spacing w:val="7"/>
          <w:w w:val="96"/>
          <w:kern w:val="0"/>
          <w:sz w:val="36"/>
          <w:szCs w:val="36"/>
          <w:highlight w:val="none"/>
          <w:lang w:val="en-US" w:eastAsia="zh-CN"/>
        </w:rPr>
      </w:pPr>
      <w:r>
        <w:rPr>
          <w:rFonts w:hint="eastAsia" w:ascii="宋体" w:hAnsi="宋体" w:cs="宋体"/>
          <w:b/>
          <w:bCs w:val="0"/>
          <w:color w:val="auto"/>
          <w:spacing w:val="7"/>
          <w:w w:val="96"/>
          <w:kern w:val="0"/>
          <w:sz w:val="36"/>
          <w:szCs w:val="36"/>
          <w:highlight w:val="none"/>
          <w:lang w:val="en-US" w:eastAsia="zh-CN"/>
        </w:rPr>
        <w:t>国家工商行政管理总局</w:t>
      </w:r>
    </w:p>
    <w:p w14:paraId="27152170">
      <w:pPr>
        <w:spacing w:line="560" w:lineRule="exact"/>
        <w:jc w:val="center"/>
        <w:outlineLvl w:val="9"/>
        <w:rPr>
          <w:rFonts w:hint="eastAsia" w:ascii="宋体" w:hAnsi="宋体" w:eastAsia="宋体" w:cs="宋体"/>
          <w:b/>
          <w:color w:val="auto"/>
          <w:sz w:val="28"/>
          <w:szCs w:val="28"/>
          <w:highlight w:val="none"/>
        </w:rPr>
      </w:pPr>
      <w:bookmarkStart w:id="102" w:name="_Toc4119"/>
      <w:bookmarkStart w:id="103" w:name="_Toc1788"/>
    </w:p>
    <w:p w14:paraId="4A90A09F">
      <w:pPr>
        <w:spacing w:line="560" w:lineRule="exact"/>
        <w:jc w:val="center"/>
        <w:outlineLvl w:val="9"/>
        <w:rPr>
          <w:rFonts w:hint="eastAsia" w:ascii="宋体" w:hAnsi="宋体" w:eastAsia="宋体" w:cs="宋体"/>
          <w:b/>
          <w:color w:val="auto"/>
          <w:sz w:val="28"/>
          <w:szCs w:val="28"/>
          <w:highlight w:val="none"/>
        </w:rPr>
      </w:pPr>
    </w:p>
    <w:p w14:paraId="5EAEA589">
      <w:pPr>
        <w:spacing w:line="560" w:lineRule="exact"/>
        <w:jc w:val="center"/>
        <w:outlineLvl w:val="9"/>
        <w:rPr>
          <w:rFonts w:hint="eastAsia" w:ascii="宋体" w:hAnsi="宋体" w:eastAsia="宋体" w:cs="宋体"/>
          <w:b/>
          <w:color w:val="auto"/>
          <w:sz w:val="28"/>
          <w:szCs w:val="28"/>
          <w:highlight w:val="none"/>
        </w:rPr>
      </w:pPr>
    </w:p>
    <w:p w14:paraId="1706812B">
      <w:pPr>
        <w:spacing w:line="560" w:lineRule="exact"/>
        <w:jc w:val="center"/>
        <w:outlineLvl w:val="9"/>
        <w:rPr>
          <w:rFonts w:hint="eastAsia" w:ascii="宋体" w:hAnsi="宋体" w:eastAsia="宋体" w:cs="宋体"/>
          <w:b/>
          <w:color w:val="auto"/>
          <w:sz w:val="28"/>
          <w:szCs w:val="28"/>
          <w:highlight w:val="none"/>
        </w:rPr>
      </w:pPr>
    </w:p>
    <w:p w14:paraId="4A1733BC">
      <w:pPr>
        <w:spacing w:line="560" w:lineRule="exact"/>
        <w:jc w:val="center"/>
        <w:outlineLvl w:val="9"/>
        <w:rPr>
          <w:rFonts w:hint="eastAsia" w:ascii="宋体" w:hAnsi="宋体" w:eastAsia="宋体" w:cs="宋体"/>
          <w:b/>
          <w:color w:val="auto"/>
          <w:sz w:val="28"/>
          <w:szCs w:val="28"/>
          <w:highlight w:val="none"/>
        </w:rPr>
      </w:pPr>
    </w:p>
    <w:p w14:paraId="24F49889">
      <w:pPr>
        <w:spacing w:line="560" w:lineRule="exact"/>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第一部分  </w:t>
      </w:r>
      <w:r>
        <w:rPr>
          <w:rFonts w:hint="eastAsia" w:ascii="宋体" w:hAnsi="宋体" w:cs="宋体"/>
          <w:b/>
          <w:color w:val="auto"/>
          <w:sz w:val="28"/>
          <w:szCs w:val="28"/>
          <w:highlight w:val="none"/>
          <w:lang w:val="en-US" w:eastAsia="zh-CN"/>
        </w:rPr>
        <w:t>合同</w:t>
      </w:r>
      <w:r>
        <w:rPr>
          <w:rFonts w:hint="eastAsia" w:ascii="宋体" w:hAnsi="宋体" w:eastAsia="宋体" w:cs="宋体"/>
          <w:b/>
          <w:color w:val="auto"/>
          <w:sz w:val="28"/>
          <w:szCs w:val="28"/>
          <w:highlight w:val="none"/>
        </w:rPr>
        <w:t>协议书</w:t>
      </w:r>
      <w:bookmarkEnd w:id="102"/>
      <w:bookmarkEnd w:id="103"/>
    </w:p>
    <w:p w14:paraId="7179C7C1">
      <w:pPr>
        <w:keepNext w:val="0"/>
        <w:keepLines w:val="0"/>
        <w:pageBreakBefore w:val="0"/>
        <w:kinsoku/>
        <w:wordWrap/>
        <w:overflowPunct/>
        <w:topLinePunct w:val="0"/>
        <w:autoSpaceDE/>
        <w:autoSpaceDN/>
        <w:bidi w:val="0"/>
        <w:snapToGrid w:val="0"/>
        <w:spacing w:line="360" w:lineRule="auto"/>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p>
    <w:p w14:paraId="02E0A0E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p>
    <w:p w14:paraId="5B86D1F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依照《</w:t>
      </w:r>
      <w:r>
        <w:rPr>
          <w:rFonts w:hint="eastAsia" w:ascii="宋体" w:hAnsi="宋体" w:eastAsia="宋体" w:cs="宋体"/>
          <w:color w:val="auto"/>
          <w:sz w:val="24"/>
          <w:highlight w:val="none"/>
        </w:rPr>
        <w:t>中华人民共和国民法典</w:t>
      </w:r>
      <w:r>
        <w:rPr>
          <w:rFonts w:hint="eastAsia" w:ascii="宋体" w:hAnsi="宋体" w:eastAsia="宋体" w:cs="宋体"/>
          <w:color w:val="auto"/>
          <w:kern w:val="0"/>
          <w:sz w:val="24"/>
          <w:highlight w:val="none"/>
        </w:rPr>
        <w:t>》、《中华人民共和国建筑法》及其他有关法律、行政法规，遵循平等、自愿、公平和诚实信用的原则，双方就</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工程施工</w:t>
      </w:r>
      <w:r>
        <w:rPr>
          <w:rFonts w:hint="eastAsia" w:ascii="宋体" w:hAnsi="宋体" w:cs="宋体"/>
          <w:color w:val="auto"/>
          <w:kern w:val="0"/>
          <w:sz w:val="24"/>
          <w:highlight w:val="none"/>
          <w:lang w:val="en-US" w:eastAsia="zh-CN"/>
        </w:rPr>
        <w:t>及有关事项</w:t>
      </w:r>
      <w:r>
        <w:rPr>
          <w:rFonts w:hint="eastAsia" w:ascii="宋体" w:hAnsi="宋体" w:eastAsia="宋体" w:cs="宋体"/>
          <w:color w:val="auto"/>
          <w:kern w:val="0"/>
          <w:sz w:val="24"/>
          <w:highlight w:val="none"/>
        </w:rPr>
        <w:t>协商一致，</w:t>
      </w:r>
      <w:r>
        <w:rPr>
          <w:rFonts w:hint="eastAsia" w:ascii="宋体" w:hAnsi="宋体" w:cs="宋体"/>
          <w:color w:val="auto"/>
          <w:kern w:val="0"/>
          <w:sz w:val="24"/>
          <w:highlight w:val="none"/>
          <w:lang w:val="en-US" w:eastAsia="zh-CN"/>
        </w:rPr>
        <w:t>共同达成如下协议</w:t>
      </w:r>
      <w:r>
        <w:rPr>
          <w:rFonts w:hint="eastAsia" w:ascii="宋体" w:hAnsi="宋体" w:cs="宋体"/>
          <w:color w:val="auto"/>
          <w:kern w:val="0"/>
          <w:sz w:val="24"/>
          <w:highlight w:val="none"/>
          <w:lang w:eastAsia="zh-CN"/>
        </w:rPr>
        <w:t>：</w:t>
      </w:r>
    </w:p>
    <w:p w14:paraId="6B39093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一、工程概况</w:t>
      </w:r>
    </w:p>
    <w:p w14:paraId="0BC5BC5C">
      <w:pPr>
        <w:spacing w:line="360" w:lineRule="auto"/>
        <w:ind w:firstLine="470" w:firstLineChars="196"/>
        <w:rPr>
          <w:rFonts w:hint="eastAsia" w:ascii="宋体" w:hAnsi="宋体" w:eastAsia="宋体" w:cs="宋体"/>
          <w:color w:val="000000"/>
          <w:sz w:val="24"/>
          <w:szCs w:val="24"/>
          <w:u w:val="single"/>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cs="宋体"/>
          <w:color w:val="auto"/>
          <w:kern w:val="0"/>
          <w:sz w:val="24"/>
          <w:highlight w:val="none"/>
          <w:u w:val="single"/>
          <w:lang w:val="en-US" w:eastAsia="zh-CN"/>
        </w:rPr>
        <w:t>2026年大庄镇大东村、大西村、布王村集体经济建设项目二标段</w:t>
      </w:r>
    </w:p>
    <w:p w14:paraId="281FDF29">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lang w:val="en-US" w:eastAsia="zh-CN"/>
        </w:rPr>
        <w:t>武功县</w:t>
      </w:r>
      <w:r>
        <w:rPr>
          <w:rFonts w:hint="eastAsia" w:ascii="宋体" w:hAnsi="宋体" w:cs="宋体"/>
          <w:color w:val="auto"/>
          <w:kern w:val="0"/>
          <w:sz w:val="24"/>
          <w:highlight w:val="none"/>
          <w:u w:val="single"/>
          <w:lang w:val="en-US" w:eastAsia="zh-CN"/>
        </w:rPr>
        <w:t>大庄镇大西村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701D3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3.工程立项批准文号：</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5BC241D6">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4.资金来源：</w:t>
      </w:r>
      <w:r>
        <w:rPr>
          <w:rFonts w:hint="eastAsia" w:ascii="宋体" w:hAnsi="宋体" w:eastAsia="宋体" w:cs="宋体"/>
          <w:color w:val="000000"/>
          <w:sz w:val="24"/>
          <w:szCs w:val="24"/>
          <w:u w:val="single"/>
        </w:rPr>
        <w:t xml:space="preserve">       </w:t>
      </w:r>
      <w:r>
        <w:rPr>
          <w:rFonts w:hint="eastAsia" w:ascii="宋体" w:hAnsi="宋体" w:eastAsia="宋体" w:cs="宋体"/>
          <w:bCs/>
          <w:color w:val="000000"/>
          <w:sz w:val="24"/>
          <w:szCs w:val="24"/>
        </w:rPr>
        <w:t>。</w:t>
      </w:r>
    </w:p>
    <w:p w14:paraId="242EE05E">
      <w:pPr>
        <w:spacing w:line="360" w:lineRule="auto"/>
        <w:ind w:firstLine="470" w:firstLineChars="196"/>
        <w:rPr>
          <w:rFonts w:hint="eastAsia" w:ascii="宋体" w:hAnsi="宋体" w:eastAsia="宋体" w:cs="宋体"/>
          <w:bCs/>
          <w:color w:val="000000"/>
          <w:sz w:val="24"/>
          <w:szCs w:val="24"/>
        </w:rPr>
      </w:pPr>
      <w:r>
        <w:rPr>
          <w:rFonts w:hint="eastAsia" w:ascii="宋体" w:hAnsi="宋体" w:eastAsia="宋体" w:cs="宋体"/>
          <w:bCs/>
          <w:color w:val="000000"/>
          <w:sz w:val="24"/>
          <w:szCs w:val="24"/>
        </w:rPr>
        <w:t>5.工程内容：</w:t>
      </w:r>
      <w:r>
        <w:rPr>
          <w:rFonts w:hint="eastAsia" w:ascii="宋体" w:hAnsi="宋体" w:cs="宋体"/>
          <w:color w:val="auto"/>
          <w:kern w:val="0"/>
          <w:sz w:val="24"/>
          <w:szCs w:val="24"/>
          <w:highlight w:val="none"/>
          <w:u w:val="single"/>
          <w:lang w:val="en-US" w:eastAsia="zh-CN" w:bidi="ar-SA"/>
        </w:rPr>
        <w:t>图纸全部内容</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w:t>
      </w:r>
    </w:p>
    <w:p w14:paraId="0DDA7346">
      <w:pPr>
        <w:spacing w:line="360" w:lineRule="auto"/>
        <w:ind w:firstLine="470" w:firstLineChars="196"/>
        <w:rPr>
          <w:rFonts w:ascii="Times New Roman" w:hAnsi="Times New Roman" w:eastAsia="仿宋_GB2312"/>
          <w:color w:val="000000"/>
          <w:sz w:val="30"/>
          <w:szCs w:val="30"/>
        </w:rPr>
      </w:pPr>
      <w:r>
        <w:rPr>
          <w:rFonts w:hint="eastAsia" w:ascii="宋体" w:hAnsi="宋体" w:eastAsia="宋体" w:cs="宋体"/>
          <w:bCs/>
          <w:color w:val="000000"/>
          <w:sz w:val="24"/>
          <w:szCs w:val="24"/>
        </w:rPr>
        <w:t>6.工程承包范围：</w:t>
      </w:r>
      <w:r>
        <w:rPr>
          <w:rFonts w:hint="eastAsia" w:ascii="宋体" w:hAnsi="宋体" w:eastAsia="宋体" w:cs="宋体"/>
          <w:color w:val="auto"/>
          <w:kern w:val="0"/>
          <w:sz w:val="24"/>
          <w:highlight w:val="none"/>
          <w:u w:val="single"/>
          <w:lang w:val="en-US" w:eastAsia="zh-CN"/>
        </w:rPr>
        <w:t>图纸设计范围内全部工程</w:t>
      </w:r>
      <w:r>
        <w:rPr>
          <w:rFonts w:ascii="Times New Roman" w:hAnsi="Times New Roman" w:eastAsia="仿宋_GB2312"/>
          <w:color w:val="000000"/>
          <w:sz w:val="30"/>
          <w:szCs w:val="30"/>
        </w:rPr>
        <w:t>。</w:t>
      </w:r>
    </w:p>
    <w:p w14:paraId="20D0424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二</w:t>
      </w:r>
      <w:r>
        <w:rPr>
          <w:rFonts w:hint="eastAsia" w:ascii="宋体" w:hAnsi="宋体" w:eastAsia="宋体" w:cs="宋体"/>
          <w:b/>
          <w:bCs/>
          <w:color w:val="auto"/>
          <w:kern w:val="0"/>
          <w:sz w:val="24"/>
          <w:highlight w:val="none"/>
        </w:rPr>
        <w:t xml:space="preserve">、合同工期 </w:t>
      </w:r>
    </w:p>
    <w:p w14:paraId="5542D904">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386E81A0">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日。</w:t>
      </w:r>
    </w:p>
    <w:p w14:paraId="792944A2">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90</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none"/>
          <w:lang w:val="en-US" w:eastAsia="zh-CN"/>
        </w:rPr>
        <w:t>日历</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71284C28">
      <w:pPr>
        <w:spacing w:line="360" w:lineRule="auto"/>
        <w:ind w:firstLine="459"/>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具体开工时间以</w:t>
      </w:r>
      <w:r>
        <w:rPr>
          <w:rFonts w:hint="eastAsia" w:ascii="宋体" w:hAnsi="宋体" w:eastAsia="宋体" w:cs="宋体"/>
          <w:color w:val="000000"/>
          <w:sz w:val="24"/>
          <w:szCs w:val="24"/>
          <w:lang w:val="en-US" w:eastAsia="zh-CN"/>
        </w:rPr>
        <w:t>发包人</w:t>
      </w:r>
      <w:r>
        <w:rPr>
          <w:rFonts w:hint="eastAsia" w:ascii="宋体" w:hAnsi="宋体" w:eastAsia="宋体" w:cs="宋体"/>
          <w:color w:val="000000"/>
          <w:sz w:val="24"/>
          <w:szCs w:val="24"/>
        </w:rPr>
        <w:t>通知的进场时间为准，完工日期以总工期推算。施工单位应无条件配合，根据</w:t>
      </w:r>
      <w:r>
        <w:rPr>
          <w:rFonts w:hint="eastAsia" w:ascii="宋体" w:hAnsi="宋体" w:eastAsia="宋体" w:cs="宋体"/>
          <w:color w:val="000000"/>
          <w:sz w:val="24"/>
          <w:szCs w:val="24"/>
          <w:lang w:val="en-US" w:eastAsia="zh-CN"/>
        </w:rPr>
        <w:t>发包</w:t>
      </w:r>
      <w:r>
        <w:rPr>
          <w:rFonts w:hint="eastAsia" w:ascii="宋体" w:hAnsi="宋体" w:eastAsia="宋体" w:cs="宋体"/>
          <w:color w:val="000000"/>
          <w:sz w:val="24"/>
          <w:szCs w:val="24"/>
        </w:rPr>
        <w:t>单位</w:t>
      </w:r>
      <w:r>
        <w:rPr>
          <w:rFonts w:hint="eastAsia" w:ascii="宋体" w:hAnsi="宋体" w:eastAsia="宋体" w:cs="宋体"/>
          <w:color w:val="000000"/>
          <w:sz w:val="24"/>
          <w:szCs w:val="24"/>
          <w:lang w:val="en-US" w:eastAsia="zh-CN"/>
        </w:rPr>
        <w:t>要求</w:t>
      </w:r>
      <w:r>
        <w:rPr>
          <w:rFonts w:hint="eastAsia" w:ascii="宋体" w:hAnsi="宋体" w:eastAsia="宋体" w:cs="宋体"/>
          <w:color w:val="000000"/>
          <w:sz w:val="24"/>
          <w:szCs w:val="24"/>
        </w:rPr>
        <w:t>，及时进场施工。</w:t>
      </w:r>
    </w:p>
    <w:p w14:paraId="0D92BFC1">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三</w:t>
      </w:r>
      <w:r>
        <w:rPr>
          <w:rFonts w:hint="eastAsia" w:ascii="宋体" w:hAnsi="宋体" w:eastAsia="宋体" w:cs="宋体"/>
          <w:b/>
          <w:bCs/>
          <w:color w:val="auto"/>
          <w:kern w:val="0"/>
          <w:sz w:val="24"/>
          <w:highlight w:val="none"/>
        </w:rPr>
        <w:t>、质量标准</w:t>
      </w:r>
    </w:p>
    <w:p w14:paraId="07E194C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达到国家现行验收规范合格标准</w:t>
      </w:r>
      <w:r>
        <w:rPr>
          <w:rFonts w:hint="eastAsia" w:ascii="宋体" w:hAnsi="宋体" w:eastAsia="宋体" w:cs="宋体"/>
          <w:color w:val="auto"/>
          <w:kern w:val="0"/>
          <w:sz w:val="24"/>
          <w:highlight w:val="none"/>
          <w:u w:val="none"/>
        </w:rPr>
        <w:t>。</w:t>
      </w:r>
    </w:p>
    <w:p w14:paraId="732DD95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四</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val="en-US" w:eastAsia="zh-CN"/>
        </w:rPr>
        <w:t>签约</w:t>
      </w:r>
      <w:r>
        <w:rPr>
          <w:rFonts w:hint="eastAsia" w:ascii="宋体" w:hAnsi="宋体" w:eastAsia="宋体" w:cs="宋体"/>
          <w:b/>
          <w:bCs/>
          <w:color w:val="auto"/>
          <w:kern w:val="0"/>
          <w:sz w:val="24"/>
          <w:highlight w:val="none"/>
        </w:rPr>
        <w:t>合同价</w:t>
      </w:r>
      <w:r>
        <w:rPr>
          <w:rFonts w:hint="eastAsia" w:ascii="宋体" w:hAnsi="宋体" w:eastAsia="宋体" w:cs="宋体"/>
          <w:b/>
          <w:bCs/>
          <w:color w:val="auto"/>
          <w:kern w:val="0"/>
          <w:sz w:val="24"/>
          <w:highlight w:val="none"/>
          <w:lang w:val="en-US" w:eastAsia="zh-CN"/>
        </w:rPr>
        <w:t>及合同价格形式</w:t>
      </w:r>
    </w:p>
    <w:p w14:paraId="12106675">
      <w:pPr>
        <w:spacing w:line="360" w:lineRule="auto"/>
        <w:ind w:firstLine="459"/>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w:t>
      </w:r>
    </w:p>
    <w:p w14:paraId="4907E57D">
      <w:pPr>
        <w:spacing w:line="360" w:lineRule="auto"/>
        <w:ind w:firstLine="600" w:firstLineChars="2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E2500A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其中：</w:t>
      </w:r>
    </w:p>
    <w:p w14:paraId="030585F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（1）安全文明施工费：</w:t>
      </w:r>
    </w:p>
    <w:p w14:paraId="6639291A">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5183D7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（2）材料和工程设备暂估价金额：</w:t>
      </w:r>
    </w:p>
    <w:p w14:paraId="7EF542F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6B73A62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（3）专业工程暂估价金额：</w:t>
      </w:r>
    </w:p>
    <w:p w14:paraId="7DFD0498">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B5652E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（4）暂列金额：</w:t>
      </w:r>
    </w:p>
    <w:p w14:paraId="742014A6">
      <w:pPr>
        <w:spacing w:line="360" w:lineRule="auto"/>
        <w:ind w:firstLine="1080" w:firstLineChars="450"/>
        <w:rPr>
          <w:rFonts w:hint="eastAsia" w:ascii="宋体" w:hAnsi="宋体" w:eastAsia="宋体" w:cs="宋体"/>
          <w:color w:val="000000"/>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0B9973E0">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w:t>
      </w:r>
      <w:r>
        <w:rPr>
          <w:rFonts w:hint="eastAsia" w:ascii="宋体" w:hAnsi="宋体" w:eastAsia="宋体" w:cs="宋体"/>
          <w:color w:val="auto"/>
          <w:kern w:val="0"/>
          <w:sz w:val="24"/>
          <w:highlight w:val="none"/>
          <w:u w:val="single"/>
        </w:rPr>
        <w:t>固定</w:t>
      </w:r>
      <w:r>
        <w:rPr>
          <w:rFonts w:hint="eastAsia" w:ascii="宋体" w:hAnsi="宋体" w:cs="宋体"/>
          <w:color w:val="auto"/>
          <w:kern w:val="0"/>
          <w:sz w:val="24"/>
          <w:highlight w:val="none"/>
          <w:u w:val="single"/>
          <w:lang w:val="en-US" w:eastAsia="zh-CN"/>
        </w:rPr>
        <w:t>单价合同</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B956E5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default"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五、项目经理</w:t>
      </w:r>
    </w:p>
    <w:p w14:paraId="72E0BF9F">
      <w:pPr>
        <w:spacing w:line="360" w:lineRule="auto"/>
        <w:ind w:firstLine="480" w:firstLineChars="200"/>
        <w:rPr>
          <w:rFonts w:hint="eastAsia" w:ascii="宋体" w:hAnsi="宋体" w:eastAsia="宋体" w:cs="宋体"/>
          <w:b/>
          <w:bCs/>
          <w:color w:val="auto"/>
          <w:kern w:val="0"/>
          <w:sz w:val="24"/>
          <w:highlight w:val="none"/>
        </w:rPr>
      </w:pPr>
      <w:r>
        <w:rPr>
          <w:rFonts w:hint="eastAsia" w:ascii="宋体" w:hAnsi="宋体" w:eastAsia="宋体" w:cs="宋体"/>
          <w:color w:val="000000"/>
          <w:sz w:val="24"/>
          <w:szCs w:val="24"/>
        </w:rPr>
        <w:t>承包人项目经理：</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rPr>
        <w:t xml:space="preserve"> </w:t>
      </w:r>
      <w:r>
        <w:rPr>
          <w:rFonts w:ascii="Times New Roman" w:hAnsi="Times New Roman" w:eastAsia="仿宋_GB2312"/>
          <w:color w:val="000000"/>
          <w:sz w:val="30"/>
          <w:szCs w:val="30"/>
          <w:u w:val="single"/>
        </w:rPr>
        <w:t>    </w:t>
      </w:r>
      <w:r>
        <w:rPr>
          <w:rFonts w:ascii="Times New Roman" w:hAnsi="Times New Roman" w:eastAsia="仿宋_GB2312"/>
          <w:color w:val="000000"/>
          <w:sz w:val="30"/>
          <w:szCs w:val="30"/>
        </w:rPr>
        <w:t>。</w:t>
      </w:r>
    </w:p>
    <w:p w14:paraId="77C4B37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rPr>
        <w:t>六、合同文件</w:t>
      </w:r>
      <w:r>
        <w:rPr>
          <w:rFonts w:hint="eastAsia" w:ascii="宋体" w:hAnsi="宋体" w:eastAsia="宋体" w:cs="宋体"/>
          <w:b/>
          <w:bCs/>
          <w:color w:val="auto"/>
          <w:kern w:val="0"/>
          <w:sz w:val="24"/>
          <w:highlight w:val="none"/>
          <w:lang w:val="en-US" w:eastAsia="zh-CN"/>
        </w:rPr>
        <w:t>构成</w:t>
      </w:r>
    </w:p>
    <w:p w14:paraId="3BA460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71FC5DDC">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（1）中标通知书；</w:t>
      </w:r>
    </w:p>
    <w:p w14:paraId="6F12547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 </w:t>
      </w:r>
    </w:p>
    <w:p w14:paraId="2A65059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5EA1B4F6">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73A59A3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113AC8BE">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2C14484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2598AD28">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4DA60552">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3C636F7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70598B20">
      <w:pPr>
        <w:spacing w:before="120" w:after="120" w:line="360" w:lineRule="auto"/>
        <w:ind w:firstLine="482" w:firstLineChars="200"/>
        <w:outlineLvl w:val="9"/>
        <w:rPr>
          <w:rFonts w:hint="eastAsia" w:ascii="宋体" w:hAnsi="宋体" w:eastAsia="宋体" w:cs="宋体"/>
          <w:b/>
          <w:bCs w:val="0"/>
          <w:color w:val="000000"/>
          <w:sz w:val="24"/>
          <w:szCs w:val="24"/>
        </w:rPr>
      </w:pPr>
      <w:bookmarkStart w:id="104" w:name="_Toc351203487"/>
      <w:r>
        <w:rPr>
          <w:rFonts w:hint="eastAsia" w:ascii="宋体" w:hAnsi="宋体" w:eastAsia="宋体" w:cs="宋体"/>
          <w:b/>
          <w:bCs w:val="0"/>
          <w:color w:val="000000"/>
          <w:sz w:val="24"/>
          <w:szCs w:val="24"/>
        </w:rPr>
        <w:t>七、承诺</w:t>
      </w:r>
      <w:bookmarkEnd w:id="104"/>
    </w:p>
    <w:p w14:paraId="3F9067D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2E3A6AE9">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1048CD8F">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015A4312">
      <w:pPr>
        <w:spacing w:line="360" w:lineRule="auto"/>
        <w:rPr>
          <w:rFonts w:hint="eastAsia" w:ascii="宋体" w:hAnsi="宋体" w:eastAsia="宋体" w:cs="宋体"/>
          <w:bCs/>
          <w:color w:val="000000"/>
          <w:sz w:val="24"/>
          <w:szCs w:val="24"/>
        </w:rPr>
      </w:pPr>
      <w:bookmarkStart w:id="105" w:name="_Toc351203488"/>
      <w:r>
        <w:rPr>
          <w:rFonts w:hint="eastAsia" w:ascii="宋体" w:hAnsi="宋体" w:eastAsia="宋体" w:cs="宋体"/>
          <w:b/>
          <w:color w:val="000000"/>
          <w:sz w:val="24"/>
          <w:szCs w:val="24"/>
        </w:rPr>
        <w:t xml:space="preserve">    八、词语含义</w:t>
      </w:r>
      <w:bookmarkEnd w:id="105"/>
    </w:p>
    <w:p w14:paraId="3FBE01F1">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本协议书中词语含义与第二部分通用合同条款中赋予的含义相同。</w:t>
      </w:r>
    </w:p>
    <w:p w14:paraId="245F50E3">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06" w:name="_Toc351203489"/>
      <w:r>
        <w:rPr>
          <w:rFonts w:hint="eastAsia" w:ascii="宋体" w:hAnsi="宋体" w:eastAsia="宋体" w:cs="宋体"/>
          <w:b/>
          <w:bCs w:val="0"/>
          <w:color w:val="000000"/>
          <w:sz w:val="24"/>
          <w:szCs w:val="24"/>
        </w:rPr>
        <w:t>九、签订时间</w:t>
      </w:r>
      <w:bookmarkEnd w:id="106"/>
    </w:p>
    <w:p w14:paraId="12DE74F4">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日签订。</w:t>
      </w:r>
    </w:p>
    <w:p w14:paraId="37CC8E4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7" w:name="_Toc351203490"/>
      <w:r>
        <w:rPr>
          <w:rFonts w:hint="eastAsia" w:ascii="宋体" w:hAnsi="宋体" w:eastAsia="宋体" w:cs="宋体"/>
          <w:b/>
          <w:bCs w:val="0"/>
          <w:color w:val="000000"/>
          <w:sz w:val="24"/>
          <w:szCs w:val="24"/>
        </w:rPr>
        <w:t>十、签订地点</w:t>
      </w:r>
      <w:bookmarkEnd w:id="107"/>
    </w:p>
    <w:p w14:paraId="40819D0C">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签订。</w:t>
      </w:r>
    </w:p>
    <w:p w14:paraId="5950AAE2">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08" w:name="_Toc351203491"/>
      <w:r>
        <w:rPr>
          <w:rFonts w:hint="eastAsia" w:ascii="宋体" w:hAnsi="宋体" w:eastAsia="宋体" w:cs="宋体"/>
          <w:b/>
          <w:bCs w:val="0"/>
          <w:color w:val="000000"/>
          <w:sz w:val="24"/>
          <w:szCs w:val="24"/>
        </w:rPr>
        <w:t>十一、补充协议</w:t>
      </w:r>
      <w:bookmarkEnd w:id="108"/>
    </w:p>
    <w:p w14:paraId="3B63649C">
      <w:pPr>
        <w:spacing w:line="360" w:lineRule="auto"/>
        <w:ind w:firstLine="480" w:firstLineChars="200"/>
        <w:outlineLvl w:val="9"/>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57012AE7">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bCs/>
          <w:color w:val="000000"/>
          <w:sz w:val="24"/>
          <w:szCs w:val="24"/>
        </w:rPr>
        <w:t xml:space="preserve"> </w:t>
      </w:r>
      <w:bookmarkStart w:id="109" w:name="_Toc351203492"/>
      <w:r>
        <w:rPr>
          <w:rFonts w:hint="eastAsia" w:ascii="宋体" w:hAnsi="宋体" w:eastAsia="宋体" w:cs="宋体"/>
          <w:b/>
          <w:bCs w:val="0"/>
          <w:color w:val="000000"/>
          <w:sz w:val="24"/>
          <w:szCs w:val="24"/>
        </w:rPr>
        <w:t>十二、合同生效</w:t>
      </w:r>
      <w:bookmarkEnd w:id="109"/>
    </w:p>
    <w:p w14:paraId="11F4699A">
      <w:pPr>
        <w:spacing w:line="360" w:lineRule="auto"/>
        <w:ind w:firstLine="480" w:firstLineChars="200"/>
        <w:outlineLvl w:val="9"/>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 xml:space="preserve">     </w:t>
      </w:r>
      <w:r>
        <w:rPr>
          <w:rFonts w:hint="eastAsia" w:ascii="宋体" w:hAnsi="宋体" w:eastAsia="宋体" w:cs="宋体"/>
          <w:color w:val="auto"/>
          <w:kern w:val="0"/>
          <w:sz w:val="24"/>
          <w:highlight w:val="none"/>
          <w:u w:val="single"/>
        </w:rPr>
        <w:t>双方签字盖章</w:t>
      </w:r>
      <w:r>
        <w:rPr>
          <w:rFonts w:hint="eastAsia" w:ascii="宋体" w:hAnsi="宋体" w:eastAsia="宋体" w:cs="宋体"/>
          <w:color w:val="auto"/>
          <w:kern w:val="0"/>
          <w:sz w:val="24"/>
          <w:highlight w:val="none"/>
          <w:u w:val="single"/>
          <w:lang w:val="en-US" w:eastAsia="zh-CN"/>
        </w:rPr>
        <w:t>后</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生效。</w:t>
      </w:r>
    </w:p>
    <w:p w14:paraId="45746D28">
      <w:pPr>
        <w:spacing w:before="120" w:after="120" w:line="360" w:lineRule="auto"/>
        <w:outlineLvl w:val="9"/>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10" w:name="_Toc351203493"/>
      <w:r>
        <w:rPr>
          <w:rFonts w:hint="eastAsia" w:ascii="宋体" w:hAnsi="宋体" w:eastAsia="宋体" w:cs="宋体"/>
          <w:b/>
          <w:bCs w:val="0"/>
          <w:color w:val="000000"/>
          <w:sz w:val="24"/>
          <w:szCs w:val="24"/>
        </w:rPr>
        <w:t>十三、合同份数</w:t>
      </w:r>
      <w:bookmarkEnd w:id="110"/>
    </w:p>
    <w:p w14:paraId="3C8F8F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份，承包人执</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监督部门备案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份。</w:t>
      </w:r>
    </w:p>
    <w:p w14:paraId="3523EF9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highlight w:val="none"/>
        </w:rPr>
      </w:pPr>
    </w:p>
    <w:p w14:paraId="6496667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发包人：  (公章)             承包人：  (公章)</w:t>
      </w:r>
    </w:p>
    <w:p w14:paraId="0310B64D">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p>
    <w:p w14:paraId="64FCC3A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  法定代表人或其委托代理人：</w:t>
      </w:r>
    </w:p>
    <w:p w14:paraId="51779A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（签字）                    （签字）</w:t>
      </w:r>
    </w:p>
    <w:p w14:paraId="23629489">
      <w:pPr>
        <w:spacing w:line="360" w:lineRule="auto"/>
        <w:rPr>
          <w:rFonts w:hint="eastAsia" w:ascii="宋体" w:hAnsi="宋体" w:eastAsia="宋体" w:cs="宋体"/>
          <w:color w:val="000000"/>
          <w:sz w:val="24"/>
          <w:szCs w:val="24"/>
          <w:u w:val="single"/>
        </w:rPr>
      </w:pPr>
    </w:p>
    <w:p w14:paraId="38AE49DE">
      <w:pPr>
        <w:tabs>
          <w:tab w:val="left" w:pos="441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6AA2875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       </w:t>
      </w:r>
    </w:p>
    <w:p w14:paraId="6E0828C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p>
    <w:p w14:paraId="593A680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p>
    <w:p w14:paraId="3DCB7F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p>
    <w:p w14:paraId="248850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 xml:space="preserve">     </w:t>
      </w:r>
    </w:p>
    <w:p w14:paraId="5742ACC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  真：</w:t>
      </w:r>
      <w:r>
        <w:rPr>
          <w:rFonts w:hint="eastAsia" w:ascii="宋体" w:hAnsi="宋体" w:eastAsia="宋体" w:cs="宋体"/>
          <w:color w:val="000000"/>
          <w:sz w:val="24"/>
          <w:szCs w:val="24"/>
          <w:u w:val="single"/>
        </w:rPr>
        <w:t xml:space="preserve">     </w:t>
      </w:r>
    </w:p>
    <w:p w14:paraId="0116AC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p>
    <w:p w14:paraId="30B9CA7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4AABF35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p>
    <w:p w14:paraId="3884DAB0">
      <w:pPr>
        <w:autoSpaceDE w:val="0"/>
        <w:autoSpaceDN w:val="0"/>
        <w:adjustRightInd w:val="0"/>
        <w:jc w:val="center"/>
        <w:rPr>
          <w:rFonts w:eastAsia="仿宋_GB2312"/>
          <w:b/>
          <w:bCs/>
          <w:sz w:val="28"/>
          <w:szCs w:val="28"/>
          <w:lang w:val="zh-CN"/>
        </w:rPr>
      </w:pPr>
    </w:p>
    <w:p w14:paraId="14912E0B">
      <w:pPr>
        <w:jc w:val="center"/>
        <w:rPr>
          <w:rFonts w:hint="eastAsia"/>
          <w:b/>
          <w:bCs/>
          <w:sz w:val="32"/>
          <w:szCs w:val="32"/>
        </w:rPr>
      </w:pPr>
      <w:bookmarkStart w:id="111" w:name="_Toc7033"/>
    </w:p>
    <w:p w14:paraId="52207D65">
      <w:pPr>
        <w:jc w:val="center"/>
        <w:rPr>
          <w:rFonts w:hint="eastAsia"/>
          <w:b/>
          <w:bCs/>
          <w:sz w:val="32"/>
          <w:szCs w:val="32"/>
        </w:rPr>
      </w:pPr>
    </w:p>
    <w:p w14:paraId="6B4FDFAB">
      <w:pPr>
        <w:jc w:val="center"/>
        <w:rPr>
          <w:rFonts w:hint="eastAsia"/>
          <w:b/>
          <w:bCs/>
          <w:sz w:val="32"/>
          <w:szCs w:val="32"/>
        </w:rPr>
      </w:pPr>
    </w:p>
    <w:p w14:paraId="7C2FC0FA">
      <w:pPr>
        <w:jc w:val="center"/>
        <w:rPr>
          <w:rFonts w:hint="eastAsia"/>
          <w:b/>
          <w:bCs/>
          <w:sz w:val="32"/>
          <w:szCs w:val="32"/>
        </w:rPr>
      </w:pPr>
    </w:p>
    <w:p w14:paraId="15E0F0E0">
      <w:pPr>
        <w:jc w:val="center"/>
        <w:rPr>
          <w:rFonts w:hint="eastAsia"/>
          <w:b/>
          <w:bCs/>
          <w:sz w:val="32"/>
          <w:szCs w:val="32"/>
        </w:rPr>
      </w:pPr>
    </w:p>
    <w:p w14:paraId="2D276DB0">
      <w:pPr>
        <w:jc w:val="center"/>
        <w:rPr>
          <w:rFonts w:hint="eastAsia"/>
          <w:b/>
          <w:bCs/>
          <w:sz w:val="32"/>
          <w:szCs w:val="32"/>
        </w:rPr>
      </w:pPr>
    </w:p>
    <w:p w14:paraId="181CDE8A">
      <w:pPr>
        <w:jc w:val="center"/>
        <w:rPr>
          <w:rFonts w:hint="eastAsia"/>
          <w:b/>
          <w:bCs/>
          <w:sz w:val="32"/>
          <w:szCs w:val="32"/>
        </w:rPr>
      </w:pPr>
    </w:p>
    <w:p w14:paraId="7D3BA830">
      <w:pPr>
        <w:jc w:val="center"/>
        <w:rPr>
          <w:rFonts w:hint="eastAsia"/>
          <w:b/>
          <w:bCs/>
          <w:sz w:val="32"/>
          <w:szCs w:val="32"/>
        </w:rPr>
      </w:pPr>
    </w:p>
    <w:p w14:paraId="49E1B196">
      <w:pPr>
        <w:jc w:val="center"/>
        <w:rPr>
          <w:rFonts w:hint="eastAsia"/>
          <w:b/>
          <w:bCs/>
          <w:sz w:val="32"/>
          <w:szCs w:val="32"/>
        </w:rPr>
      </w:pPr>
    </w:p>
    <w:p w14:paraId="40DEA6C3">
      <w:pPr>
        <w:outlineLvl w:val="9"/>
        <w:rPr>
          <w:rFonts w:hint="eastAsia"/>
          <w:b/>
          <w:bCs/>
          <w:sz w:val="32"/>
          <w:szCs w:val="32"/>
        </w:rPr>
      </w:pPr>
    </w:p>
    <w:p w14:paraId="14BF5F19">
      <w:pPr>
        <w:outlineLvl w:val="9"/>
        <w:rPr>
          <w:rFonts w:hint="eastAsia"/>
          <w:b/>
          <w:bCs/>
          <w:sz w:val="32"/>
          <w:szCs w:val="32"/>
        </w:rPr>
      </w:pPr>
    </w:p>
    <w:p w14:paraId="249E7C79">
      <w:pPr>
        <w:outlineLvl w:val="9"/>
        <w:rPr>
          <w:rFonts w:hint="eastAsia"/>
          <w:b/>
          <w:bCs/>
          <w:sz w:val="32"/>
          <w:szCs w:val="32"/>
        </w:rPr>
      </w:pPr>
    </w:p>
    <w:p w14:paraId="34B6E61E">
      <w:pPr>
        <w:outlineLvl w:val="9"/>
        <w:rPr>
          <w:rFonts w:hint="eastAsia"/>
          <w:b/>
          <w:bCs/>
          <w:sz w:val="32"/>
          <w:szCs w:val="32"/>
        </w:rPr>
      </w:pPr>
    </w:p>
    <w:p w14:paraId="58C4EC42">
      <w:pPr>
        <w:outlineLvl w:val="9"/>
        <w:rPr>
          <w:rFonts w:hint="eastAsia"/>
          <w:b/>
          <w:bCs/>
          <w:sz w:val="32"/>
          <w:szCs w:val="32"/>
        </w:rPr>
      </w:pPr>
    </w:p>
    <w:p w14:paraId="4E108B68">
      <w:pPr>
        <w:outlineLvl w:val="9"/>
        <w:rPr>
          <w:rFonts w:hint="eastAsia"/>
          <w:b/>
          <w:bCs/>
          <w:sz w:val="32"/>
          <w:szCs w:val="32"/>
        </w:rPr>
      </w:pPr>
    </w:p>
    <w:p w14:paraId="2163C2ED">
      <w:pPr>
        <w:outlineLvl w:val="9"/>
        <w:rPr>
          <w:rFonts w:hint="eastAsia"/>
          <w:b/>
          <w:bCs/>
          <w:sz w:val="32"/>
          <w:szCs w:val="32"/>
        </w:rPr>
      </w:pPr>
    </w:p>
    <w:p w14:paraId="28D6338B">
      <w:pPr>
        <w:outlineLvl w:val="9"/>
        <w:rPr>
          <w:rFonts w:hint="eastAsia"/>
          <w:b/>
          <w:bCs/>
          <w:sz w:val="32"/>
          <w:szCs w:val="32"/>
        </w:rPr>
      </w:pPr>
    </w:p>
    <w:p w14:paraId="0BF42717">
      <w:pPr>
        <w:spacing w:line="560" w:lineRule="exact"/>
        <w:jc w:val="center"/>
        <w:outlineLvl w:val="9"/>
        <w:rPr>
          <w:rFonts w:hint="eastAsia" w:ascii="宋体" w:hAnsi="宋体" w:eastAsia="宋体" w:cs="宋体"/>
          <w:b/>
          <w:color w:val="auto"/>
          <w:sz w:val="28"/>
          <w:szCs w:val="28"/>
          <w:highlight w:val="none"/>
        </w:rPr>
      </w:pPr>
    </w:p>
    <w:p w14:paraId="690F2D64">
      <w:pPr>
        <w:spacing w:line="560" w:lineRule="exact"/>
        <w:jc w:val="center"/>
        <w:outlineLvl w:val="9"/>
        <w:rPr>
          <w:rFonts w:hint="eastAsia" w:ascii="宋体" w:hAnsi="宋体" w:eastAsia="宋体" w:cs="宋体"/>
          <w:b/>
          <w:color w:val="auto"/>
          <w:sz w:val="28"/>
          <w:szCs w:val="28"/>
          <w:highlight w:val="none"/>
        </w:rPr>
      </w:pPr>
    </w:p>
    <w:p w14:paraId="796A4AE2">
      <w:pPr>
        <w:pStyle w:val="2"/>
        <w:outlineLvl w:val="9"/>
        <w:rPr>
          <w:rFonts w:hint="eastAsia" w:ascii="宋体" w:hAnsi="宋体" w:eastAsia="宋体" w:cs="宋体"/>
          <w:b/>
          <w:color w:val="auto"/>
          <w:sz w:val="28"/>
          <w:szCs w:val="28"/>
          <w:highlight w:val="none"/>
        </w:rPr>
      </w:pPr>
    </w:p>
    <w:p w14:paraId="515E69ED">
      <w:pPr>
        <w:rPr>
          <w:rFonts w:hint="eastAsia" w:ascii="宋体" w:hAnsi="宋体" w:eastAsia="宋体" w:cs="宋体"/>
          <w:b/>
          <w:color w:val="auto"/>
          <w:sz w:val="28"/>
          <w:szCs w:val="28"/>
          <w:highlight w:val="none"/>
        </w:rPr>
      </w:pPr>
    </w:p>
    <w:p w14:paraId="056A45A7">
      <w:pPr>
        <w:pStyle w:val="2"/>
        <w:rPr>
          <w:rFonts w:hint="eastAsia" w:ascii="宋体" w:hAnsi="宋体" w:eastAsia="宋体" w:cs="宋体"/>
          <w:b/>
          <w:color w:val="auto"/>
          <w:sz w:val="28"/>
          <w:szCs w:val="28"/>
          <w:highlight w:val="none"/>
        </w:rPr>
      </w:pPr>
    </w:p>
    <w:p w14:paraId="3FC08B0E">
      <w:pPr>
        <w:rPr>
          <w:rFonts w:hint="eastAsia"/>
        </w:rPr>
      </w:pPr>
    </w:p>
    <w:p w14:paraId="13956F5C">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74DAA6D9">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第二部分 通用合同条款</w:t>
      </w:r>
    </w:p>
    <w:p w14:paraId="60A4C54F">
      <w:pPr>
        <w:jc w:val="center"/>
        <w:outlineLvl w:val="9"/>
        <w:rPr>
          <w:rFonts w:hint="eastAsia" w:ascii="仿宋" w:hAnsi="仿宋" w:eastAsia="仿宋" w:cs="仿宋"/>
          <w:b/>
          <w:bCs/>
          <w:sz w:val="24"/>
          <w:szCs w:val="24"/>
        </w:rPr>
      </w:pPr>
      <w:bookmarkStart w:id="112" w:name="_Hlk504573683"/>
      <w:r>
        <w:rPr>
          <w:rFonts w:hint="eastAsia" w:ascii="仿宋" w:hAnsi="仿宋" w:eastAsia="仿宋" w:cs="仿宋"/>
          <w:b w:val="0"/>
          <w:color w:val="auto"/>
          <w:sz w:val="24"/>
          <w:szCs w:val="24"/>
          <w:highlight w:val="none"/>
        </w:rPr>
        <w:t>（略，见GF-2017-0201）</w:t>
      </w:r>
      <w:bookmarkEnd w:id="112"/>
    </w:p>
    <w:p w14:paraId="55BD02CA">
      <w:pPr>
        <w:spacing w:line="560" w:lineRule="exact"/>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第三部分 专用合同条款</w:t>
      </w:r>
    </w:p>
    <w:p w14:paraId="2B3253A8">
      <w:pPr>
        <w:jc w:val="center"/>
        <w:rPr>
          <w:rFonts w:hint="eastAsia" w:ascii="仿宋" w:hAnsi="仿宋" w:eastAsia="仿宋" w:cs="仿宋"/>
          <w:sz w:val="24"/>
          <w:szCs w:val="24"/>
        </w:rPr>
      </w:pPr>
      <w:r>
        <w:rPr>
          <w:rFonts w:hint="eastAsia" w:ascii="仿宋" w:hAnsi="仿宋" w:eastAsia="仿宋" w:cs="仿宋"/>
          <w:b w:val="0"/>
          <w:color w:val="auto"/>
          <w:sz w:val="24"/>
          <w:szCs w:val="24"/>
          <w:highlight w:val="none"/>
        </w:rPr>
        <w:t>（只列出了主要合同专用条款，其余条款见GF-2017-0201）</w:t>
      </w:r>
    </w:p>
    <w:p w14:paraId="43CE1093">
      <w:pPr>
        <w:spacing w:line="360" w:lineRule="auto"/>
        <w:rPr>
          <w:rFonts w:hint="eastAsia" w:ascii="仿宋" w:hAnsi="仿宋" w:eastAsia="仿宋" w:cs="仿宋"/>
          <w:b/>
          <w:bCs/>
          <w:sz w:val="24"/>
          <w:szCs w:val="24"/>
        </w:rPr>
      </w:pPr>
      <w:bookmarkStart w:id="113" w:name="_Toc351203633"/>
      <w:r>
        <w:rPr>
          <w:rFonts w:hint="eastAsia" w:ascii="仿宋" w:hAnsi="仿宋" w:eastAsia="仿宋" w:cs="仿宋"/>
          <w:b/>
          <w:bCs/>
          <w:sz w:val="24"/>
          <w:szCs w:val="24"/>
        </w:rPr>
        <w:t>1</w:t>
      </w:r>
      <w:bookmarkStart w:id="114" w:name="_Toc296891196"/>
      <w:bookmarkStart w:id="115" w:name="_Toc297120456"/>
      <w:bookmarkStart w:id="116" w:name="_Toc292559361"/>
      <w:bookmarkStart w:id="117" w:name="_Toc296346657"/>
      <w:bookmarkStart w:id="118" w:name="_Toc296944495"/>
      <w:bookmarkStart w:id="119" w:name="_Toc292559866"/>
      <w:bookmarkStart w:id="120" w:name="_Toc296347155"/>
      <w:bookmarkStart w:id="121" w:name="_Toc296503156"/>
      <w:bookmarkStart w:id="122" w:name="_Toc296890984"/>
      <w:bookmarkStart w:id="123" w:name="_Toc297048342"/>
      <w:r>
        <w:rPr>
          <w:rFonts w:hint="eastAsia" w:ascii="仿宋" w:hAnsi="仿宋" w:eastAsia="仿宋" w:cs="仿宋"/>
          <w:b/>
          <w:bCs/>
          <w:sz w:val="24"/>
          <w:szCs w:val="24"/>
        </w:rPr>
        <w:t>. 一般约定</w:t>
      </w:r>
      <w:bookmarkEnd w:id="113"/>
    </w:p>
    <w:bookmarkEnd w:id="114"/>
    <w:bookmarkEnd w:id="115"/>
    <w:bookmarkEnd w:id="116"/>
    <w:bookmarkEnd w:id="117"/>
    <w:bookmarkEnd w:id="118"/>
    <w:bookmarkEnd w:id="119"/>
    <w:bookmarkEnd w:id="120"/>
    <w:bookmarkEnd w:id="121"/>
    <w:bookmarkEnd w:id="122"/>
    <w:bookmarkEnd w:id="123"/>
    <w:p w14:paraId="68E11B1C">
      <w:pPr>
        <w:spacing w:line="300" w:lineRule="auto"/>
        <w:ind w:firstLine="482" w:firstLineChars="200"/>
        <w:rPr>
          <w:rFonts w:hint="eastAsia" w:ascii="仿宋" w:hAnsi="仿宋" w:eastAsia="仿宋" w:cs="仿宋"/>
          <w:b/>
          <w:bCs/>
          <w:color w:val="auto"/>
          <w:sz w:val="24"/>
          <w:szCs w:val="24"/>
          <w:highlight w:val="none"/>
        </w:rPr>
      </w:pPr>
      <w:bookmarkStart w:id="124" w:name="_Toc508703892"/>
      <w:bookmarkStart w:id="125" w:name="_Toc526085895"/>
      <w:bookmarkStart w:id="126" w:name="_Toc508702734"/>
      <w:bookmarkStart w:id="127" w:name="_Toc510449970"/>
      <w:r>
        <w:rPr>
          <w:rFonts w:hint="eastAsia" w:ascii="仿宋" w:hAnsi="仿宋" w:eastAsia="仿宋" w:cs="仿宋"/>
          <w:b/>
          <w:bCs/>
          <w:color w:val="auto"/>
          <w:sz w:val="24"/>
          <w:szCs w:val="24"/>
          <w:highlight w:val="none"/>
        </w:rPr>
        <w:t>1.1 词语定义</w:t>
      </w:r>
      <w:bookmarkEnd w:id="124"/>
      <w:bookmarkEnd w:id="125"/>
      <w:bookmarkEnd w:id="126"/>
      <w:bookmarkEnd w:id="127"/>
    </w:p>
    <w:p w14:paraId="6F70E71F">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1.1.1合同</w:t>
      </w:r>
    </w:p>
    <w:p w14:paraId="400CC19A">
      <w:pPr>
        <w:spacing w:line="300" w:lineRule="auto"/>
        <w:ind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1.1.1.1</w:t>
      </w:r>
      <w:r>
        <w:rPr>
          <w:rFonts w:hint="eastAsia" w:ascii="仿宋" w:hAnsi="仿宋" w:eastAsia="仿宋" w:cs="仿宋"/>
          <w:b/>
          <w:bCs/>
          <w:color w:val="auto"/>
          <w:kern w:val="0"/>
          <w:sz w:val="24"/>
          <w:szCs w:val="24"/>
          <w:highlight w:val="none"/>
          <w:lang w:val="en-US" w:eastAsia="zh-CN"/>
        </w:rPr>
        <w:t>0</w:t>
      </w:r>
      <w:r>
        <w:rPr>
          <w:rFonts w:hint="eastAsia" w:ascii="仿宋" w:hAnsi="仿宋" w:eastAsia="仿宋" w:cs="仿宋"/>
          <w:b/>
          <w:bCs/>
          <w:color w:val="auto"/>
          <w:kern w:val="0"/>
          <w:sz w:val="24"/>
          <w:szCs w:val="24"/>
          <w:highlight w:val="none"/>
        </w:rPr>
        <w:t>其他合同文件包括：</w:t>
      </w:r>
    </w:p>
    <w:p w14:paraId="1CFCD1E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①本合同协议书；</w:t>
      </w:r>
    </w:p>
    <w:p w14:paraId="070F07B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②本合同专用条款；</w:t>
      </w:r>
    </w:p>
    <w:p w14:paraId="2EA7A56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③本合同通用条款；</w:t>
      </w:r>
    </w:p>
    <w:p w14:paraId="6B8C129D">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④中标通知书；</w:t>
      </w:r>
    </w:p>
    <w:p w14:paraId="03C6F297">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⑤投标文件及报价函；</w:t>
      </w:r>
    </w:p>
    <w:p w14:paraId="004DD095">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⑥招标文件；</w:t>
      </w:r>
    </w:p>
    <w:p w14:paraId="06459C1B">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⑦图纸；</w:t>
      </w:r>
    </w:p>
    <w:p w14:paraId="3339071E">
      <w:pPr>
        <w:spacing w:line="300" w:lineRule="auto"/>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⑧标准、规范及有关技术文件；</w:t>
      </w:r>
    </w:p>
    <w:p w14:paraId="3E5A3D2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合同履行中，发包人承包人有关工程的洽商、变更等书面协议或文件视为本合同的组成部分。</w:t>
      </w:r>
    </w:p>
    <w:p w14:paraId="79E14FC4">
      <w:pPr>
        <w:spacing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1.1.2 合同当事人及其他相关方</w:t>
      </w:r>
    </w:p>
    <w:p w14:paraId="44D67EE3">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1.1.2.4监理人：</w:t>
      </w:r>
    </w:p>
    <w:p w14:paraId="7192098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465B586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55063AC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04E894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4F8BA5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04221616">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1.1.2.5 设计人：</w:t>
      </w:r>
    </w:p>
    <w:p w14:paraId="5BF9566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2DBACFE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57A429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44251D0">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7138C5A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53BE0EB">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1.1.3 工程和设备</w:t>
      </w:r>
    </w:p>
    <w:p w14:paraId="19FDCA21">
      <w:pPr>
        <w:spacing w:line="360" w:lineRule="auto"/>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1.1.3.7</w:t>
      </w:r>
      <w:r>
        <w:rPr>
          <w:rFonts w:hint="eastAsia" w:ascii="仿宋" w:hAnsi="仿宋" w:eastAsia="仿宋" w:cs="仿宋"/>
          <w:b/>
          <w:bCs/>
          <w:color w:val="000000"/>
          <w:sz w:val="24"/>
          <w:szCs w:val="24"/>
        </w:rPr>
        <w:t xml:space="preserve"> </w:t>
      </w:r>
      <w:r>
        <w:rPr>
          <w:rFonts w:hint="eastAsia" w:ascii="仿宋" w:hAnsi="仿宋" w:eastAsia="仿宋" w:cs="仿宋"/>
          <w:color w:val="000000"/>
          <w:sz w:val="24"/>
          <w:szCs w:val="24"/>
        </w:rPr>
        <w:t>作为施工现场组成部分的其他场所包括：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指由发包人提供的用于工程施工的场所以及发包人在图纸中具体指定的供施工使用的任何其他场所</w:t>
      </w:r>
      <w:r>
        <w:rPr>
          <w:rFonts w:hint="eastAsia" w:ascii="仿宋" w:hAnsi="仿宋" w:eastAsia="仿宋" w:cs="仿宋"/>
          <w:color w:val="000000"/>
          <w:sz w:val="24"/>
          <w:szCs w:val="24"/>
        </w:rPr>
        <w:t>。</w:t>
      </w:r>
    </w:p>
    <w:p w14:paraId="093188B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1.1.3.9</w:t>
      </w:r>
      <w:r>
        <w:rPr>
          <w:rFonts w:hint="eastAsia" w:ascii="仿宋" w:hAnsi="仿宋" w:eastAsia="仿宋" w:cs="仿宋"/>
          <w:b/>
          <w:bCs/>
          <w:color w:val="000000"/>
          <w:kern w:val="0"/>
          <w:sz w:val="24"/>
          <w:szCs w:val="24"/>
        </w:rPr>
        <w:t xml:space="preserve"> </w:t>
      </w:r>
      <w:r>
        <w:rPr>
          <w:rFonts w:hint="eastAsia" w:ascii="仿宋" w:hAnsi="仿宋" w:eastAsia="仿宋" w:cs="仿宋"/>
          <w:color w:val="000000"/>
          <w:kern w:val="0"/>
          <w:sz w:val="24"/>
          <w:szCs w:val="24"/>
        </w:rPr>
        <w:t>永久占地包括：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 </w:t>
      </w:r>
      <w:r>
        <w:rPr>
          <w:rFonts w:hint="eastAsia" w:ascii="仿宋" w:hAnsi="仿宋" w:eastAsia="仿宋" w:cs="仿宋"/>
          <w:color w:val="000000"/>
          <w:kern w:val="0"/>
          <w:sz w:val="24"/>
          <w:szCs w:val="24"/>
        </w:rPr>
        <w:t>。</w:t>
      </w:r>
    </w:p>
    <w:p w14:paraId="60FE17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b w:val="0"/>
          <w:bCs w:val="0"/>
          <w:color w:val="000000"/>
          <w:kern w:val="0"/>
          <w:sz w:val="24"/>
          <w:szCs w:val="24"/>
        </w:rPr>
        <w:t xml:space="preserve">1.1.3.10 </w:t>
      </w:r>
      <w:r>
        <w:rPr>
          <w:rFonts w:hint="eastAsia" w:ascii="仿宋" w:hAnsi="仿宋" w:eastAsia="仿宋" w:cs="仿宋"/>
          <w:color w:val="000000"/>
          <w:kern w:val="0"/>
          <w:sz w:val="24"/>
          <w:szCs w:val="24"/>
        </w:rPr>
        <w:t>临时占地包括：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61235480">
      <w:pPr>
        <w:spacing w:after="120" w:line="360" w:lineRule="auto"/>
        <w:ind w:firstLine="482" w:firstLineChars="200"/>
        <w:rPr>
          <w:rFonts w:hint="eastAsia" w:ascii="仿宋" w:hAnsi="仿宋" w:eastAsia="仿宋" w:cs="仿宋"/>
          <w:color w:val="000000"/>
          <w:sz w:val="24"/>
          <w:szCs w:val="24"/>
        </w:rPr>
      </w:pPr>
      <w:r>
        <w:rPr>
          <w:rFonts w:hint="eastAsia" w:ascii="仿宋" w:hAnsi="仿宋" w:eastAsia="仿宋" w:cs="仿宋"/>
          <w:b/>
          <w:bCs/>
          <w:color w:val="000000"/>
          <w:sz w:val="24"/>
          <w:szCs w:val="24"/>
        </w:rPr>
        <w:t>1.3法律</w:t>
      </w:r>
      <w:r>
        <w:rPr>
          <w:rFonts w:hint="eastAsia" w:ascii="仿宋" w:hAnsi="仿宋" w:eastAsia="仿宋" w:cs="仿宋"/>
          <w:color w:val="000000"/>
          <w:sz w:val="24"/>
          <w:szCs w:val="24"/>
        </w:rPr>
        <w:t xml:space="preserve"> </w:t>
      </w:r>
    </w:p>
    <w:p w14:paraId="205240F2">
      <w:pPr>
        <w:autoSpaceDE w:val="0"/>
        <w:autoSpaceDN w:val="0"/>
        <w:adjustRightInd w:val="0"/>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适用于合同的其他规范性文件：</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2D1C8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 标准和规范</w:t>
      </w:r>
    </w:p>
    <w:p w14:paraId="5870ACC4">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1.4.1</w:t>
      </w:r>
      <w:r>
        <w:rPr>
          <w:rFonts w:hint="eastAsia" w:ascii="仿宋" w:hAnsi="仿宋" w:eastAsia="仿宋" w:cs="仿宋"/>
          <w:color w:val="000000"/>
          <w:sz w:val="24"/>
          <w:szCs w:val="24"/>
        </w:rPr>
        <w:t>适用于工程的标准规范包括：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执行现行国家标准、规范，没有国家标准、规范但有行业标准、规范的，执行行业标准、规范。</w:t>
      </w:r>
    </w:p>
    <w:p w14:paraId="530060FD">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1.4.2</w:t>
      </w:r>
      <w:r>
        <w:rPr>
          <w:rFonts w:hint="eastAsia" w:ascii="仿宋" w:hAnsi="仿宋" w:eastAsia="仿宋" w:cs="仿宋"/>
          <w:b w:val="0"/>
          <w:bCs w:val="0"/>
          <w:color w:val="000000"/>
          <w:kern w:val="0"/>
          <w:sz w:val="24"/>
          <w:szCs w:val="24"/>
        </w:rPr>
        <w:t xml:space="preserve"> </w:t>
      </w: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rPr>
        <w:t>；</w:t>
      </w:r>
    </w:p>
    <w:p w14:paraId="77A18BA8">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发包人提供国外标准、规范的份数：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461320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5474334">
      <w:pPr>
        <w:spacing w:line="360" w:lineRule="auto"/>
        <w:ind w:left="596" w:leftChars="284"/>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1.4.3</w:t>
      </w:r>
      <w:r>
        <w:rPr>
          <w:rFonts w:hint="eastAsia" w:ascii="仿宋" w:hAnsi="仿宋" w:eastAsia="仿宋" w:cs="仿宋"/>
          <w:color w:val="000000"/>
          <w:sz w:val="24"/>
          <w:szCs w:val="24"/>
        </w:rPr>
        <w:t>发包人对工程的技术标准和功能要求的特殊要求：</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1A167A2">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1.5 合同文件的优先顺序</w:t>
      </w:r>
    </w:p>
    <w:p w14:paraId="544E2BE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合同文件组成及优先顺序为：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1、本合同协议书及其附件；</w:t>
      </w:r>
    </w:p>
    <w:p w14:paraId="7FCC2F5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2、本合同专用条款及其附件；</w:t>
      </w:r>
    </w:p>
    <w:p w14:paraId="448D5FDD">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3、本合同通用条款及其附件；</w:t>
      </w:r>
    </w:p>
    <w:p w14:paraId="49E25802">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4、经发包人认可的承包人各项承诺；</w:t>
      </w:r>
    </w:p>
    <w:p w14:paraId="2D69D493">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5、中标通知书；</w:t>
      </w:r>
    </w:p>
    <w:p w14:paraId="39C55BB8">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6、投标书及其附件；</w:t>
      </w:r>
    </w:p>
    <w:p w14:paraId="1C6665B0">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7、招标文件及其附件；</w:t>
      </w:r>
    </w:p>
    <w:p w14:paraId="13C820DC">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8、标准、规范；</w:t>
      </w:r>
    </w:p>
    <w:p w14:paraId="6B2DE934">
      <w:pPr>
        <w:spacing w:line="36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9、图纸；</w:t>
      </w:r>
    </w:p>
    <w:p w14:paraId="36D05657">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10、工程量清单、工程报价单或预算书；</w:t>
      </w:r>
    </w:p>
    <w:p w14:paraId="741A2F5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11、其他合同文件</w:t>
      </w:r>
      <w:r>
        <w:rPr>
          <w:rFonts w:hint="eastAsia" w:ascii="仿宋" w:hAnsi="仿宋" w:eastAsia="仿宋" w:cs="仿宋"/>
          <w:color w:val="000000"/>
          <w:sz w:val="24"/>
          <w:szCs w:val="24"/>
        </w:rPr>
        <w:t>。</w:t>
      </w:r>
    </w:p>
    <w:p w14:paraId="3173DC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 图纸和承包人文件</w:t>
      </w:r>
      <w:r>
        <w:rPr>
          <w:rFonts w:hint="eastAsia" w:ascii="仿宋" w:hAnsi="仿宋" w:eastAsia="仿宋" w:cs="仿宋"/>
          <w:b/>
          <w:bCs/>
          <w:color w:val="000000"/>
          <w:sz w:val="24"/>
          <w:szCs w:val="24"/>
        </w:rPr>
        <w:tab/>
      </w:r>
    </w:p>
    <w:p w14:paraId="0CC90CC9">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 图纸的提供</w:t>
      </w:r>
    </w:p>
    <w:p w14:paraId="276D6664">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发包人向承包人提供图纸的期限：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取得中标通知书或施工批复后3个工作日内提供</w:t>
      </w:r>
      <w:r>
        <w:rPr>
          <w:rFonts w:hint="eastAsia" w:ascii="仿宋" w:hAnsi="仿宋" w:eastAsia="仿宋" w:cs="仿宋"/>
          <w:color w:val="000000"/>
          <w:sz w:val="24"/>
          <w:szCs w:val="24"/>
          <w:u w:val="single"/>
        </w:rPr>
        <w:t></w:t>
      </w:r>
      <w:r>
        <w:rPr>
          <w:rFonts w:hint="eastAsia" w:ascii="宋体" w:hAnsi="宋体" w:eastAsia="宋体" w:cs="宋体"/>
          <w:color w:val="000000"/>
          <w:sz w:val="24"/>
          <w:szCs w:val="24"/>
        </w:rPr>
        <w:t>；</w:t>
      </w:r>
    </w:p>
    <w:p w14:paraId="1E0C534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发包人向承包人提供图纸的数量：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2套，承包人需要多套施工图的，自费复印</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431A10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发包人向承包人提供图纸的内容：</w:t>
      </w:r>
      <w:r>
        <w:rPr>
          <w:rFonts w:hint="eastAsia" w:ascii="仿宋" w:hAnsi="仿宋" w:eastAsia="仿宋" w:cs="仿宋"/>
          <w:color w:val="auto"/>
          <w:sz w:val="24"/>
          <w:szCs w:val="24"/>
          <w:highlight w:val="none"/>
          <w:u w:val="single"/>
        </w:rPr>
        <w:t>本合同发包内容中的全部图纸</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2A65A5E4">
      <w:pPr>
        <w:spacing w:after="120" w:line="360" w:lineRule="auto"/>
        <w:ind w:firstLine="480" w:firstLineChars="200"/>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1.6.4 承包人文件</w:t>
      </w:r>
    </w:p>
    <w:p w14:paraId="5F03C89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需要由承包人提供的文件，包括：</w:t>
      </w:r>
      <w:r>
        <w:rPr>
          <w:rFonts w:hint="eastAsia" w:ascii="仿宋" w:hAnsi="仿宋" w:eastAsia="仿宋" w:cs="仿宋"/>
          <w:color w:val="auto"/>
          <w:sz w:val="24"/>
          <w:szCs w:val="24"/>
          <w:highlight w:val="none"/>
          <w:u w:val="single"/>
        </w:rPr>
        <w:t>施工组织设计和安全专项方案，每月25日前提供本月完成工程量报表、下月进度计划详表等</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AF28A9">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承包人提供的文件的期限为：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合同签订后14天内，但最迟不得晚于开工日期前7天，应提供完善的施工组织设计和安全专项方案，每月25日前提供本月完成工程量报表、下月进度计划详表等</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7831EEA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承包人提供的文件的数量为：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30202AC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承包人提供的文件的形式为：</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纸质版及电子版（可编辑版、PDF版）</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6244BDF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发包人审批承包人文件的期限：</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按发包人、监理单位要求执行</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01E839B0">
      <w:pPr>
        <w:spacing w:line="360" w:lineRule="auto"/>
        <w:ind w:firstLine="480" w:firstLineChars="200"/>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1.6.5 现场图纸准备</w:t>
      </w:r>
    </w:p>
    <w:p w14:paraId="4F435F8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关于现场图纸准备的约定：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施工现场保留一套完整图纸供发包人、监理人及有关人员随时使用</w:t>
      </w:r>
      <w:r>
        <w:rPr>
          <w:rFonts w:hint="eastAsia" w:ascii="仿宋" w:hAnsi="仿宋" w:eastAsia="仿宋" w:cs="仿宋"/>
          <w:color w:val="000000"/>
          <w:sz w:val="24"/>
          <w:szCs w:val="24"/>
        </w:rPr>
        <w:t>。</w:t>
      </w:r>
    </w:p>
    <w:p w14:paraId="6DBBB291">
      <w:pPr>
        <w:spacing w:after="120" w:line="360" w:lineRule="auto"/>
        <w:ind w:firstLine="482" w:firstLineChars="200"/>
        <w:outlineLvl w:val="9"/>
        <w:rPr>
          <w:rFonts w:hint="eastAsia" w:ascii="仿宋" w:hAnsi="仿宋" w:eastAsia="仿宋" w:cs="仿宋"/>
          <w:color w:val="000000"/>
          <w:sz w:val="24"/>
          <w:szCs w:val="24"/>
        </w:rPr>
      </w:pPr>
      <w:r>
        <w:rPr>
          <w:rFonts w:hint="eastAsia" w:ascii="仿宋" w:hAnsi="仿宋" w:eastAsia="仿宋" w:cs="仿宋"/>
          <w:b/>
          <w:bCs/>
          <w:color w:val="000000"/>
          <w:sz w:val="24"/>
          <w:szCs w:val="24"/>
        </w:rPr>
        <w:t>1.7 联络</w:t>
      </w:r>
    </w:p>
    <w:p w14:paraId="6C647CA3">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1.7.1</w:t>
      </w:r>
      <w:r>
        <w:rPr>
          <w:rFonts w:hint="eastAsia" w:ascii="仿宋" w:hAnsi="仿宋" w:eastAsia="仿宋" w:cs="仿宋"/>
          <w:color w:val="000000"/>
          <w:kern w:val="0"/>
          <w:sz w:val="24"/>
          <w:szCs w:val="24"/>
        </w:rPr>
        <w:t>发包人和承包人应当在</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天内将与合同有关的通知、批准、证明、证书、指示、指令、要求、请求、同意、意见、确定和决定等书面函件送达对方当事人。</w:t>
      </w:r>
    </w:p>
    <w:p w14:paraId="2138966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rPr>
        <w:t>1.7.2</w:t>
      </w:r>
      <w:r>
        <w:rPr>
          <w:rFonts w:hint="eastAsia" w:ascii="仿宋" w:hAnsi="仿宋" w:eastAsia="仿宋" w:cs="仿宋"/>
          <w:color w:val="000000"/>
          <w:kern w:val="0"/>
          <w:sz w:val="24"/>
          <w:szCs w:val="24"/>
        </w:rPr>
        <w:t xml:space="preserve"> 发包人接收文件的地点：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20358A94">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发包人指定的接收人为：</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2593E7A5">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4F4631ED">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kern w:val="0"/>
          <w:sz w:val="24"/>
          <w:szCs w:val="24"/>
        </w:rPr>
        <w:t>。</w:t>
      </w:r>
    </w:p>
    <w:p w14:paraId="0050BD77">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05A92DEB">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kern w:val="0"/>
          <w:sz w:val="24"/>
          <w:szCs w:val="24"/>
        </w:rPr>
        <w:t>。</w:t>
      </w:r>
    </w:p>
    <w:p w14:paraId="16FF571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1.10 交通运输</w:t>
      </w:r>
    </w:p>
    <w:p w14:paraId="65BC7A81">
      <w:pPr>
        <w:spacing w:line="360" w:lineRule="auto"/>
        <w:ind w:firstLine="480" w:firstLineChars="200"/>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w:t>
      </w:r>
      <w:bookmarkStart w:id="128" w:name="_Toc304295521"/>
      <w:bookmarkStart w:id="129" w:name="_Toc300934943"/>
      <w:bookmarkStart w:id="130" w:name="_Toc312677986"/>
      <w:bookmarkStart w:id="131" w:name="_Toc318581155"/>
      <w:bookmarkStart w:id="132" w:name="_Toc303539100"/>
      <w:r>
        <w:rPr>
          <w:rFonts w:hint="eastAsia" w:ascii="仿宋" w:hAnsi="仿宋" w:eastAsia="仿宋" w:cs="仿宋"/>
          <w:b w:val="0"/>
          <w:bCs w:val="0"/>
          <w:sz w:val="24"/>
          <w:szCs w:val="24"/>
        </w:rPr>
        <w:t>.10.1 出入现场的权利</w:t>
      </w:r>
    </w:p>
    <w:p w14:paraId="46811C24">
      <w:pPr>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关于出入现场的权利的约定：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w:t>
      </w:r>
      <w:r>
        <w:rPr>
          <w:rFonts w:hint="eastAsia" w:ascii="仿宋" w:hAnsi="仿宋" w:eastAsia="仿宋" w:cs="仿宋"/>
          <w:sz w:val="24"/>
          <w:szCs w:val="24"/>
        </w:rPr>
        <w:t>。</w:t>
      </w:r>
    </w:p>
    <w:bookmarkEnd w:id="128"/>
    <w:bookmarkEnd w:id="129"/>
    <w:bookmarkEnd w:id="130"/>
    <w:bookmarkEnd w:id="131"/>
    <w:bookmarkEnd w:id="132"/>
    <w:p w14:paraId="22CD5277">
      <w:pPr>
        <w:spacing w:line="360" w:lineRule="auto"/>
        <w:ind w:firstLine="480" w:firstLineChars="200"/>
        <w:jc w:val="left"/>
        <w:outlineLvl w:val="9"/>
        <w:rPr>
          <w:rFonts w:hint="eastAsia" w:ascii="仿宋" w:hAnsi="仿宋" w:eastAsia="仿宋" w:cs="仿宋"/>
          <w:b w:val="0"/>
          <w:bCs w:val="0"/>
          <w:sz w:val="24"/>
          <w:szCs w:val="24"/>
        </w:rPr>
      </w:pPr>
      <w:r>
        <w:rPr>
          <w:rFonts w:hint="eastAsia" w:ascii="仿宋" w:hAnsi="仿宋" w:eastAsia="仿宋" w:cs="仿宋"/>
          <w:b w:val="0"/>
          <w:bCs w:val="0"/>
          <w:sz w:val="24"/>
          <w:szCs w:val="24"/>
        </w:rPr>
        <w:t>1.10.3 场内交通</w:t>
      </w:r>
    </w:p>
    <w:p w14:paraId="18A8E93A">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关于场外交通和场内交通的边界的约定：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以建筑红线为边界</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sz w:val="24"/>
          <w:szCs w:val="24"/>
        </w:rPr>
        <w:t>。</w:t>
      </w:r>
    </w:p>
    <w:p w14:paraId="27D81C4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关于发包人向承包人免费提供满足工程施工需要的场内道路和交通设施的约定：</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不提供，由承包人负责修建、维修、养护和管理施工所需的场内临时道路和交通设施。发包人和监理人可以使用承包人修建的临时道路和交通设施</w:t>
      </w:r>
      <w:r>
        <w:rPr>
          <w:rFonts w:hint="eastAsia" w:ascii="仿宋" w:hAnsi="仿宋" w:eastAsia="仿宋" w:cs="仿宋"/>
          <w:sz w:val="24"/>
          <w:szCs w:val="24"/>
        </w:rPr>
        <w:t xml:space="preserve">。  </w:t>
      </w:r>
    </w:p>
    <w:p w14:paraId="49A1D98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1.10.4超大件和超重件的运输</w:t>
      </w:r>
    </w:p>
    <w:p w14:paraId="43B309C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运输超大件或超重件所需的道路和桥梁临时加固改造费用和其他有关费用由</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w:t>
      </w:r>
      <w:r>
        <w:rPr>
          <w:rFonts w:hint="eastAsia" w:ascii="仿宋" w:hAnsi="仿宋" w:eastAsia="仿宋" w:cs="仿宋"/>
          <w:sz w:val="24"/>
          <w:szCs w:val="24"/>
          <w:u w:val="single"/>
        </w:rPr>
        <w:t xml:space="preserve">      </w:t>
      </w:r>
      <w:r>
        <w:rPr>
          <w:rFonts w:hint="eastAsia" w:ascii="仿宋" w:hAnsi="仿宋" w:eastAsia="仿宋" w:cs="仿宋"/>
          <w:sz w:val="24"/>
          <w:szCs w:val="24"/>
        </w:rPr>
        <w:t>承担。</w:t>
      </w:r>
    </w:p>
    <w:p w14:paraId="71E3785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知识产权</w:t>
      </w:r>
    </w:p>
    <w:p w14:paraId="279A7D91">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1.11.1</w:t>
      </w:r>
      <w:r>
        <w:rPr>
          <w:rFonts w:hint="eastAsia" w:ascii="仿宋" w:hAnsi="仿宋" w:eastAsia="仿宋" w:cs="仿宋"/>
          <w:color w:val="000000"/>
          <w:sz w:val="24"/>
          <w:szCs w:val="24"/>
        </w:rPr>
        <w:t>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A3950A3">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关于发包人提供的上述文件的使用限制的要求：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6382379">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1.11.2 </w:t>
      </w:r>
      <w:r>
        <w:rPr>
          <w:rFonts w:hint="eastAsia" w:ascii="仿宋" w:hAnsi="仿宋" w:eastAsia="仿宋" w:cs="仿宋"/>
          <w:color w:val="000000"/>
          <w:sz w:val="24"/>
          <w:szCs w:val="24"/>
        </w:rPr>
        <w:t>关于承包人为实施工程所编制文件的著作权的归属：</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310DDD">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关于承包人提供的上述文件的使用限制的要求：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181FF71">
      <w:pPr>
        <w:spacing w:line="360" w:lineRule="auto"/>
        <w:ind w:firstLine="480" w:firstLineChars="200"/>
        <w:outlineLvl w:val="9"/>
        <w:rPr>
          <w:rFonts w:hint="eastAsia" w:ascii="仿宋" w:hAnsi="仿宋" w:eastAsia="仿宋" w:cs="仿宋"/>
          <w:color w:val="000000"/>
          <w:kern w:val="0"/>
          <w:sz w:val="24"/>
          <w:szCs w:val="24"/>
        </w:rPr>
      </w:pPr>
      <w:r>
        <w:rPr>
          <w:rFonts w:hint="eastAsia" w:ascii="仿宋" w:hAnsi="仿宋" w:eastAsia="仿宋" w:cs="仿宋"/>
          <w:b w:val="0"/>
          <w:bCs w:val="0"/>
          <w:color w:val="000000"/>
          <w:sz w:val="24"/>
          <w:szCs w:val="24"/>
        </w:rPr>
        <w:t xml:space="preserve">1.11.4 </w:t>
      </w:r>
      <w:r>
        <w:rPr>
          <w:rFonts w:hint="eastAsia" w:ascii="仿宋" w:hAnsi="仿宋" w:eastAsia="仿宋" w:cs="仿宋"/>
          <w:color w:val="000000"/>
          <w:sz w:val="24"/>
          <w:szCs w:val="24"/>
        </w:rPr>
        <w:t>承包人在施工过程中所采用的专利、专有技术、技术秘密的使用费的承担方式：</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已包含在合同价款中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EB46F5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1.13工程量清单错误的修正</w:t>
      </w:r>
    </w:p>
    <w:p w14:paraId="170E5D18">
      <w:pPr>
        <w:spacing w:line="300" w:lineRule="auto"/>
        <w:ind w:firstLine="480" w:firstLineChars="200"/>
        <w:outlineLvl w:val="9"/>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出现工程量清单错误时，是否调整合同价格：</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结算时，工程量按照“经甲方确认的竣工图纸”计算。</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①合同中有相同或类似工程项目单价的，可以参照合同中相同或类似项目的综合单价计算确定。</w:t>
      </w:r>
    </w:p>
    <w:p w14:paraId="4FEE6DD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491BD882">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③由于清单项目中项目特征或工程内容发生部分变更的，应以原综合单价为基础，仅就变更部分相应定额子目调整综合单价。</w:t>
      </w:r>
    </w:p>
    <w:p w14:paraId="7E78F310">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④以上重新组价的综合单价不能高于按工程所在地现行工程造价计价规则和计价依据规定计算的价格。</w:t>
      </w:r>
    </w:p>
    <w:p w14:paraId="01AA838A">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现场所发生的施工零星用工在结算时按计日工用量（由现场签认）乘以相应的单价计算后，只计取利润和税金。</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3B025D9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允许调整合同价格的工程量偏差范围：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据实调整</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7D7983C2">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 发包人</w:t>
      </w:r>
    </w:p>
    <w:p w14:paraId="3221C34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2.2 发包人代表</w:t>
      </w:r>
    </w:p>
    <w:p w14:paraId="7157CD0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发包人代表：</w:t>
      </w:r>
    </w:p>
    <w:p w14:paraId="74637C4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1E754902">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6D69181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ECE60D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1B216B0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  </w:t>
      </w:r>
      <w:r>
        <w:rPr>
          <w:rFonts w:hint="eastAsia" w:ascii="仿宋" w:hAnsi="仿宋" w:eastAsia="仿宋" w:cs="仿宋"/>
          <w:color w:val="000000"/>
          <w:sz w:val="24"/>
          <w:szCs w:val="24"/>
        </w:rPr>
        <w:t>；</w:t>
      </w:r>
    </w:p>
    <w:p w14:paraId="6F12813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52721C1">
      <w:pPr>
        <w:spacing w:line="360" w:lineRule="auto"/>
        <w:ind w:firstLine="480" w:firstLineChars="200"/>
        <w:rPr>
          <w:rFonts w:hint="eastAsia" w:ascii="宋体" w:hAnsi="宋体" w:eastAsia="宋体" w:cs="宋体"/>
          <w:b/>
          <w:color w:val="000000"/>
          <w:sz w:val="24"/>
          <w:szCs w:val="24"/>
        </w:rPr>
      </w:pPr>
      <w:r>
        <w:rPr>
          <w:rFonts w:hint="eastAsia" w:ascii="仿宋" w:hAnsi="仿宋" w:eastAsia="仿宋" w:cs="仿宋"/>
          <w:color w:val="000000"/>
          <w:sz w:val="24"/>
          <w:szCs w:val="24"/>
        </w:rPr>
        <w:t>发包人对发包人代表的授权范围如下：</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 xml:space="preserve">有权反对和要求承包人从该项目立即解除在发包人看来行为不端、不能胜任工作或玩忽职守，或者发包人出于其他考虑不希望该人出现在现场，并且未经发包人同意不允许再次雇佣的人员。凡有任何人员离开，承包人都应尽快补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1BA2EB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2.4 施工现场、施工条件和基础资料的提供</w:t>
      </w:r>
    </w:p>
    <w:p w14:paraId="77E3AEF7">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2.4.1 提供施工现场</w:t>
      </w:r>
    </w:p>
    <w:p w14:paraId="3A0307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关于发包人移交施工现场的期限要求：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开工前5个工作日内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7123ADB">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2.4.2 提供施工条件</w:t>
      </w:r>
    </w:p>
    <w:p w14:paraId="2CB2BFC4">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关于发包人应负责提供施工所需要的条件，包括：</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将水、电线路接至施工场区。组织现场水准点与坐标控制点交验，承包人自行安装水电表及相关设备 </w:t>
      </w:r>
      <w:r>
        <w:rPr>
          <w:rFonts w:hint="eastAsia" w:ascii="仿宋" w:hAnsi="仿宋" w:eastAsia="仿宋" w:cs="仿宋"/>
          <w:color w:val="000000"/>
          <w:sz w:val="24"/>
          <w:szCs w:val="24"/>
        </w:rPr>
        <w:t>。</w:t>
      </w:r>
    </w:p>
    <w:p w14:paraId="5123281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2.5 资金来源证明及支付担保</w:t>
      </w:r>
    </w:p>
    <w:p w14:paraId="29423F55">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发包人提供资金来源证明的期限要求：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C3CBE">
      <w:pPr>
        <w:spacing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发包人是否提供支付担保：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7CD8917F">
      <w:pPr>
        <w:spacing w:line="360" w:lineRule="auto"/>
        <w:ind w:firstLine="480" w:firstLineChars="200"/>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发包人提供支付担保的形式：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4BD233C">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3. 承包人</w:t>
      </w:r>
    </w:p>
    <w:p w14:paraId="3E91A661">
      <w:pPr>
        <w:spacing w:after="120" w:line="360" w:lineRule="auto"/>
        <w:ind w:firstLine="482" w:firstLineChars="200"/>
        <w:outlineLvl w:val="9"/>
        <w:rPr>
          <w:rFonts w:hint="eastAsia" w:ascii="宋体" w:hAnsi="宋体" w:eastAsia="宋体" w:cs="宋体"/>
          <w:b/>
          <w:bCs/>
          <w:color w:val="000000"/>
          <w:sz w:val="24"/>
          <w:szCs w:val="24"/>
        </w:rPr>
      </w:pPr>
      <w:r>
        <w:rPr>
          <w:rFonts w:hint="eastAsia" w:ascii="仿宋" w:hAnsi="仿宋" w:eastAsia="仿宋" w:cs="仿宋"/>
          <w:b/>
          <w:bCs/>
          <w:color w:val="000000"/>
          <w:sz w:val="24"/>
          <w:szCs w:val="24"/>
        </w:rPr>
        <w:t>3.1 承包人的一般义务</w:t>
      </w:r>
    </w:p>
    <w:p w14:paraId="32F0183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（9）</w:t>
      </w:r>
      <w:r>
        <w:rPr>
          <w:rFonts w:hint="eastAsia" w:ascii="仿宋" w:hAnsi="仿宋" w:eastAsia="仿宋" w:cs="仿宋"/>
          <w:color w:val="000000"/>
          <w:sz w:val="24"/>
          <w:szCs w:val="24"/>
        </w:rPr>
        <w:t>承包人提交的竣工资料的内容：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提交完整的符合国家现行《建设工程文件归档整理规范》及工程所在地政府标准要求的竣工资料，包括合格的竣工图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1BD02C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承包人需要提交的竣工资料套数：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四套，正、副本各两套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BF680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承包人提交的竣工资料的费用承担：</w:t>
      </w:r>
      <w:r>
        <w:rPr>
          <w:rFonts w:hint="eastAsia" w:ascii="仿宋" w:hAnsi="仿宋" w:eastAsia="仿宋" w:cs="仿宋"/>
          <w:color w:val="auto"/>
          <w:sz w:val="24"/>
          <w:szCs w:val="24"/>
          <w:highlight w:val="none"/>
          <w:u w:val="single"/>
        </w:rPr>
        <w:t xml:space="preserve"> 已包含在合同价款中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E475BF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承包人提交的竣工资料移交时间：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工程竣工验收合格后1个月内  </w:t>
      </w:r>
      <w:r>
        <w:rPr>
          <w:rFonts w:hint="eastAsia" w:ascii="仿宋" w:hAnsi="仿宋" w:eastAsia="仿宋" w:cs="仿宋"/>
          <w:color w:val="000000"/>
          <w:sz w:val="24"/>
          <w:szCs w:val="24"/>
        </w:rPr>
        <w:t>。</w:t>
      </w:r>
    </w:p>
    <w:p w14:paraId="706D511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承包人提交的竣工资料形式要求：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纸质版及电子文档，承包人应根据《关于加强全省建设工程电子档案报送工作的通知》（陕建发〔2010〕102号）进行归档管理，如涉及到相关费用，由承包人承担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9C972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（10）承包人应履行的其他义务：</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①施工、生活用水用电由承包人自行解决，安装供水、供电线路及水、电表并承担其费用，水、电费由承包人按实际发生单向提供位缴纳；通讯线路和设备由承包人自行解决并承担其费用；</w:t>
      </w:r>
    </w:p>
    <w:p w14:paraId="04A90F7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②场内道路由承包人自行解决。承包人负责施工过程中对原通行道路损坏的修复及工程四周安全防护等，确保行人、车辆安全通行，并负责对影响范围内水、电、通讯等管线的保护和修复；</w:t>
      </w:r>
    </w:p>
    <w:p w14:paraId="040FE9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③在土石方倒运过程中，相关手续办理、沿线政策处理及道路维护、清扫、通行安全等责任及费用由承包人承担；</w:t>
      </w:r>
    </w:p>
    <w:p w14:paraId="7F079313">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④承包人对所有施工人员及劳务人员的疫情防控工作负全面责任，遵守当地政府及发包人关于疫情防控的相关制度及规定，并承担相关费用；</w:t>
      </w:r>
    </w:p>
    <w:p w14:paraId="533A3C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⑤为配合其他承包人在本项目施工范围的其他项目施工，承包人应按发包人的要求，为其他承包人提供必要的施工条件和服务，包括接受施工进度协调、工序的衔接、场地的使用及机械设备的租用等，关于双方费用的补偿问题，由发包人组织各承包人协商解决；</w:t>
      </w:r>
    </w:p>
    <w:p w14:paraId="06E8A67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⑥承包人若需搭建临时办公用房需要向相关部门办理审批手续的，由承包人自行负责并承担其费用；在工程验收交工前，施工临时占用的场地（含硬化层）及临时搭建的办公房、工棚、围墙等，在工程验收合格后20天内必须自行拆除并清理干净，费用由承包人承担。承包人无经发包人确认的正当理由仍不按照约定期限执行的，发包人将安排其他单位拆除清理，相关费用从承包人合同价款中扣除，且按工期延误处罚；</w:t>
      </w:r>
    </w:p>
    <w:p w14:paraId="14950A2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⑦承包人应按文明施工、安全防护、环境保护要求进行施工，负责施工现场的保护，并承担因保护措施不力造成的损失及责任；</w:t>
      </w:r>
    </w:p>
    <w:p w14:paraId="537165DF">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⑧承包人工程技术资料必须与工程施工进度同步，质保资料、试验资料、报验资料、合格证书等齐全有效，砼试块资料可采用7天龄期的报告单；</w:t>
      </w:r>
    </w:p>
    <w:p w14:paraId="44D7DC9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⑨农民工工资支付</w:t>
      </w:r>
    </w:p>
    <w:p w14:paraId="50815DE0">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按照《保障农民工工资支付条例》（国务院令第724号）规定，承包人提供以下账户作为农民工工资专用账户：</w:t>
      </w:r>
    </w:p>
    <w:p w14:paraId="489618D5">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户  名：                                               </w:t>
      </w:r>
    </w:p>
    <w:p w14:paraId="31F1EEFD">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开户行：                                               </w:t>
      </w:r>
    </w:p>
    <w:p w14:paraId="25E7D3A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账  号：                                                </w:t>
      </w:r>
    </w:p>
    <w:p w14:paraId="4A282A7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承包人承诺，每月按验收合格工程进度款的10%确定的农民工工资金额，经发包人审核后，将该笔款项支付至农民工工资专用账户中。农民工工资专用账户的款项专项用于支付该工程建设项目农民工工资，承包人不得将该账户的款项用于支付其他项目支出。每月进行工程量验收时应提供上月农民工工资发放明细，确保按时发放农民工工资，否则发包人有权从承包人合同价款中结算农民工工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FB47D6">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3.2 项目经理</w:t>
      </w:r>
    </w:p>
    <w:p w14:paraId="5E69F83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3.2.1 </w:t>
      </w:r>
      <w:r>
        <w:rPr>
          <w:rFonts w:hint="eastAsia" w:ascii="仿宋" w:hAnsi="仿宋" w:eastAsia="仿宋" w:cs="仿宋"/>
          <w:color w:val="000000"/>
          <w:sz w:val="24"/>
          <w:szCs w:val="24"/>
        </w:rPr>
        <w:t>项目经理：</w:t>
      </w:r>
    </w:p>
    <w:p w14:paraId="06CF15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2CD0427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328E0D8B">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建造师执业资格等级：</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DD9CB36">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建造师注册证书号：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6ED11F">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建造师执业印章号：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7DE573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安全生产考核合格证书号：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AA9E7E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7E3DC57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38C7670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276732E">
      <w:pPr>
        <w:spacing w:line="360" w:lineRule="auto"/>
        <w:ind w:firstLine="480" w:firstLineChars="200"/>
        <w:rPr>
          <w:rFonts w:hint="eastAsia" w:ascii="宋体" w:hAnsi="宋体" w:eastAsia="宋体" w:cs="宋体"/>
          <w:color w:val="000000"/>
          <w:sz w:val="24"/>
          <w:szCs w:val="24"/>
        </w:rPr>
      </w:pPr>
      <w:r>
        <w:rPr>
          <w:rFonts w:hint="eastAsia" w:ascii="仿宋" w:hAnsi="仿宋" w:eastAsia="仿宋" w:cs="仿宋"/>
          <w:color w:val="000000"/>
          <w:sz w:val="24"/>
          <w:szCs w:val="24"/>
        </w:rPr>
        <w:t>承包人对项目经理的授权范围如下：</w:t>
      </w:r>
      <w:r>
        <w:rPr>
          <w:rFonts w:hint="eastAsia" w:ascii="仿宋" w:hAnsi="仿宋" w:eastAsia="仿宋" w:cs="仿宋"/>
          <w:color w:val="000000"/>
          <w:sz w:val="24"/>
          <w:szCs w:val="24"/>
          <w:u w:val="single"/>
        </w:rPr>
        <w:t xml:space="preserve">                                                        </w:t>
      </w:r>
      <w:r>
        <w:rPr>
          <w:rFonts w:hint="eastAsia" w:ascii="宋体" w:hAnsi="宋体" w:eastAsia="宋体" w:cs="宋体"/>
          <w:color w:val="000000"/>
          <w:sz w:val="24"/>
          <w:szCs w:val="24"/>
        </w:rPr>
        <w:t>。</w:t>
      </w:r>
    </w:p>
    <w:p w14:paraId="5F8027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关于项目经理每月在施工现场的时间要求：</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每周在工地不得少于5天，每少1天承担违约金2000元，项目经理要外出一天以上的（含一天）必须事先取得发包人的许可，否则按缺勤处理。项目经理每次请假时间不超过3天</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1234DB8C">
      <w:pPr>
        <w:spacing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承包人未提交劳动合同，以及没有为项目经理缴纳社会保险证明的违约责任：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项目经理无权履行职责，发包人有权要求更换项目经理，由此增加的费用和延误的工期由承包人承担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AAAF9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项目经理未经批准，擅自离开施工现场的违约责任：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按2000元/天向发包人支付违约金，并按照《关于房屋建筑和市政设施工程领域建筑工人实名制管理工作的通知》（陕建管发〔2021〕45号）文件规定进行不良行为上报，同时承担因擅自离开造成的其他责任。项目经理与技术负责人不能同时离场，否则视为同等违约</w:t>
      </w:r>
      <w:r>
        <w:rPr>
          <w:rFonts w:hint="eastAsia" w:ascii="仿宋" w:hAnsi="仿宋" w:eastAsia="仿宋" w:cs="仿宋"/>
          <w:color w:val="000000"/>
          <w:sz w:val="24"/>
          <w:szCs w:val="24"/>
        </w:rPr>
        <w:t>。</w:t>
      </w:r>
    </w:p>
    <w:p w14:paraId="76ED001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3.2.3 承包人擅自更换项目经理的违约责任：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按10万元/次向发包人支付违约金，并按照《关于开展全省建筑市场秩序专项整治工作的通知》（陕建发〔2019〕1180号）文件规定，在陕西省建筑市场监管与诚信信息一体化平台进行不良行为上报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rPr>
        <w:t>。</w:t>
      </w:r>
    </w:p>
    <w:p w14:paraId="4FDC72A1">
      <w:pPr>
        <w:spacing w:line="360" w:lineRule="auto"/>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3.2.4 承包人无正当理由拒绝更换项目经理的违约责任：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按1万元/天向发包人支付违约金，并按照《关于开展全省建筑市场秩序专项整治工作的通知》（陕建发〔2019〕1180号）文件规定，在陕西省建筑市场监管与诚信信息一体化平台进行不良行为上报。</w:t>
      </w:r>
    </w:p>
    <w:p w14:paraId="3C3FB3A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3.3 承包人人员</w:t>
      </w:r>
    </w:p>
    <w:p w14:paraId="5955AC7C">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3.3.1 承包人提交项目管理机构及施工现场管理人员安排报告的期限：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开工前7天内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A961765">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3.3.3 承包人无正当理由拒绝撤换主要施工管理人员的违约责任：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2000元/天，其他人员按1000元/天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024E3DA">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3.3.4 承包人主要施工管理人员离开施工现场的批准要求：</w:t>
      </w:r>
      <w:r>
        <w:rPr>
          <w:rFonts w:hint="eastAsia" w:ascii="仿宋" w:hAnsi="仿宋" w:eastAsia="仿宋" w:cs="仿宋"/>
          <w:color w:val="auto"/>
          <w:sz w:val="24"/>
          <w:szCs w:val="24"/>
          <w:highlight w:val="none"/>
          <w:u w:val="single"/>
        </w:rPr>
        <w:t>由总监理工程师批准，发包人同意后方可离开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C6552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3.3.5承包人擅自更换主要施工管理人员的违约责任：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项目技术负责人按1万元/次，其他人员按3000元/次向发包人支付违约金，并按照《关于开展全省建筑市场秩序专项整治工作的通知》（陕建发〔2019〕1180号）文件规定，在陕西省建筑市场监管与诚信信息一体化平台进行不良行为上报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C8CE8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承包人主要施工管理人员擅自离开施工现场的违约责任：</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项目技术负责人按2000元/天，其他人员按1000元/天向发包人支付违约金，并按照《关于开展全省建筑市场秩序专项整治工作的通知》（陕建发〔2019〕1180号）文件规定，在陕西省建筑市场监管与诚信信息一体化平台进行不良行为上报</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F48B9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3.5 分包</w:t>
      </w:r>
    </w:p>
    <w:p w14:paraId="0CBC3D8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3.5.1 分包的一般约定</w:t>
      </w:r>
    </w:p>
    <w:p w14:paraId="37AF1D7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禁止分包的工程包括：</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highlight w:val="none"/>
          <w:u w:val="single"/>
        </w:rPr>
        <w:t>全部工程范围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43D2CE">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sz w:val="24"/>
          <w:szCs w:val="24"/>
        </w:rPr>
        <w:t>主体结构、关键性工作的范围：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EEB0B">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3.5.2分包的确定</w:t>
      </w:r>
    </w:p>
    <w:p w14:paraId="1BE1764B">
      <w:pPr>
        <w:spacing w:line="360" w:lineRule="auto"/>
        <w:ind w:firstLine="480" w:firstLineChars="200"/>
        <w:rPr>
          <w:rFonts w:hint="eastAsia" w:ascii="仿宋" w:hAnsi="仿宋" w:eastAsia="仿宋" w:cs="仿宋"/>
          <w:color w:val="000000"/>
          <w:sz w:val="24"/>
          <w:szCs w:val="24"/>
          <w:u w:val="single"/>
        </w:rPr>
      </w:pPr>
      <w:r>
        <w:rPr>
          <w:rFonts w:hint="eastAsia" w:ascii="仿宋" w:hAnsi="仿宋" w:eastAsia="仿宋" w:cs="仿宋"/>
          <w:sz w:val="24"/>
          <w:szCs w:val="24"/>
        </w:rPr>
        <w:t>允许分包的专业工程包括：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06CAED">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其他关于分包的约定：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9B6A7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3.5.4 分包合同价款</w:t>
      </w:r>
    </w:p>
    <w:p w14:paraId="270A4FF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关于分包合同价款支付的约定：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130C1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3.6 工程照管与成品、半成品保护</w:t>
      </w:r>
    </w:p>
    <w:p w14:paraId="43BBCBF4">
      <w:pPr>
        <w:spacing w:before="120" w:after="120" w:line="360" w:lineRule="auto"/>
        <w:ind w:firstLine="480"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承包人负责照管工程及工程相关的材料、工程设备的起始时间：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在未竣工验收以前均由承包人负责，并承担全部费用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E34711E">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3.7 履约担保</w:t>
      </w:r>
    </w:p>
    <w:p w14:paraId="5AD4D29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承包人是否提供履约担保：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3F9FD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承包人提供履约担保的形式、金额及期限的：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381E5E9">
      <w:pPr>
        <w:spacing w:before="120" w:after="120" w:line="360" w:lineRule="auto"/>
        <w:outlineLvl w:val="9"/>
        <w:rPr>
          <w:rFonts w:hint="eastAsia" w:ascii="仿宋" w:hAnsi="仿宋" w:eastAsia="仿宋" w:cs="仿宋"/>
          <w:b/>
          <w:bCs w:val="0"/>
          <w:color w:val="000000"/>
          <w:sz w:val="24"/>
          <w:szCs w:val="24"/>
        </w:rPr>
      </w:pPr>
      <w:bookmarkStart w:id="133" w:name="_Toc351203636"/>
      <w:r>
        <w:rPr>
          <w:rFonts w:hint="eastAsia" w:ascii="仿宋" w:hAnsi="仿宋" w:eastAsia="仿宋" w:cs="仿宋"/>
          <w:b/>
          <w:bCs w:val="0"/>
          <w:color w:val="000000"/>
          <w:sz w:val="24"/>
          <w:szCs w:val="24"/>
        </w:rPr>
        <w:t>4</w:t>
      </w:r>
      <w:bookmarkStart w:id="134" w:name="_Toc297120462"/>
      <w:bookmarkStart w:id="135" w:name="_Toc267251413"/>
      <w:bookmarkStart w:id="136" w:name="_Toc296503162"/>
      <w:bookmarkStart w:id="137" w:name="_Toc296891202"/>
      <w:bookmarkStart w:id="138" w:name="_Toc296890990"/>
      <w:bookmarkStart w:id="139" w:name="_Toc292559871"/>
      <w:bookmarkStart w:id="140" w:name="_Toc292559366"/>
      <w:bookmarkStart w:id="141" w:name="_Toc297048348"/>
      <w:bookmarkStart w:id="142" w:name="_Toc296346663"/>
      <w:bookmarkStart w:id="143" w:name="_Toc296944501"/>
      <w:bookmarkStart w:id="144" w:name="_Toc296347161"/>
      <w:r>
        <w:rPr>
          <w:rFonts w:hint="eastAsia" w:ascii="仿宋" w:hAnsi="仿宋" w:eastAsia="仿宋" w:cs="仿宋"/>
          <w:b/>
          <w:bCs w:val="0"/>
          <w:color w:val="000000"/>
          <w:sz w:val="24"/>
          <w:szCs w:val="24"/>
        </w:rPr>
        <w:t>. 监</w:t>
      </w:r>
      <w:bookmarkEnd w:id="134"/>
      <w:bookmarkEnd w:id="135"/>
      <w:bookmarkEnd w:id="136"/>
      <w:bookmarkEnd w:id="137"/>
      <w:bookmarkEnd w:id="138"/>
      <w:bookmarkEnd w:id="139"/>
      <w:bookmarkEnd w:id="140"/>
      <w:bookmarkEnd w:id="141"/>
      <w:bookmarkEnd w:id="142"/>
      <w:bookmarkEnd w:id="143"/>
      <w:bookmarkEnd w:id="144"/>
      <w:r>
        <w:rPr>
          <w:rFonts w:hint="eastAsia" w:ascii="仿宋" w:hAnsi="仿宋" w:eastAsia="仿宋" w:cs="仿宋"/>
          <w:b/>
          <w:bCs w:val="0"/>
          <w:color w:val="000000"/>
          <w:sz w:val="24"/>
          <w:szCs w:val="24"/>
        </w:rPr>
        <w:t>理人</w:t>
      </w:r>
      <w:bookmarkEnd w:id="133"/>
    </w:p>
    <w:p w14:paraId="499FEB7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4.1监理人的一般规定</w:t>
      </w:r>
    </w:p>
    <w:p w14:paraId="33C98724">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2AC73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关于监理人的监理权限：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61532A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关于监理人在施工现场的办公场所、生活场所的提供和费用承担的约定：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见监理合同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F899B4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4.2 监理人员</w:t>
      </w:r>
    </w:p>
    <w:p w14:paraId="06FFCBB3">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总监理工程师：</w:t>
      </w:r>
    </w:p>
    <w:p w14:paraId="6D57FA3E">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DB2AD7A">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4790747">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监理工程师执业资格证书号：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2EDCA2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65A1A4">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75A30BFD">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EBA57A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关于监理人的其他约定：</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709A0D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4.4 商定或确定</w:t>
      </w:r>
    </w:p>
    <w:p w14:paraId="587A5631">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在发包人和承包人不能通过协商达成一致意见时，发包人授权监理人对以下事项进行确定：</w:t>
      </w:r>
    </w:p>
    <w:p w14:paraId="3E8184B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B17ADEC">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63F864E">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4C1D65F">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5. 工程质量</w:t>
      </w:r>
    </w:p>
    <w:p w14:paraId="3099361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5.1 质量要求</w:t>
      </w:r>
    </w:p>
    <w:p w14:paraId="4248FC90">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5.1.1 特殊质量标准和要求：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工程质量必须达到(建筑工程施工质量验收统一标准)有关标准的合格等级，按分项工程评定的合格率100％；工程一次交验合格率必须达到100％。若因承包人原因导致工程质量未达到合格标准，则承包人承担合同价款5%的违约金，并负责整改直至达到合格标准</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8ABDD4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关于工程奖项的约定：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8F2776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5.3 隐蔽工程检查</w:t>
      </w:r>
    </w:p>
    <w:p w14:paraId="46584A7D">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5.3.2承包人提前通知监理人隐蔽工程检查的期限的约定：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未经监理（发包人）批准，承包人所施工的任何隐蔽工程均不能实施覆盖，当承包人施工的隐蔽工程已自检合格具备验收条件时，承包人必须提前24小时书面通知监理（发包人），通知包括隐蔽的内容、地点、申请验收的时间，由监理组织有关人员对该部分工程进行检验，检验合格后，再报请发包人进行隐蔽验收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C567C9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监理人不能按时进行检查时，应提前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12</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632EE92">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5BA5AB8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6. 安全文明施工与环境保护</w:t>
      </w:r>
    </w:p>
    <w:p w14:paraId="7CAE2FE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6.1安全文明施工</w:t>
      </w:r>
    </w:p>
    <w:p w14:paraId="56DB75A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6.1.1</w:t>
      </w:r>
      <w:r>
        <w:rPr>
          <w:rFonts w:hint="eastAsia" w:ascii="仿宋" w:hAnsi="仿宋" w:eastAsia="仿宋" w:cs="仿宋"/>
          <w:color w:val="000000"/>
          <w:sz w:val="24"/>
          <w:szCs w:val="24"/>
        </w:rPr>
        <w:t xml:space="preserve"> 项目安全生产的达标目标及相应事项的约定：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1）符合安全、环保、职业健康有关法律法规、标准规范要求；（2）杜绝安全生产和重大涉险责任事故；（3）杜绝一般及以上火灾事故；（4）控制噪声、粉尘、渣土、废水、废气对环境的污染；（5）做到施工不扰民，不影响办公和会议；（6）职业健康安全教育覆盖率100%；（7）个人劳动保护用品配备率100%；（8）重点特种设备监控率100%，监控责任人落实率100%；（9）特种作业人员持证上岗率100%；（10）固体废弃物分类、集中管理；（11）杜绝因管控不到位引发的新冠疫情传染事件 </w:t>
      </w:r>
      <w:r>
        <w:rPr>
          <w:rFonts w:hint="eastAsia" w:ascii="仿宋" w:hAnsi="仿宋" w:eastAsia="仿宋" w:cs="仿宋"/>
          <w:sz w:val="24"/>
          <w:szCs w:val="24"/>
        </w:rPr>
        <w:t>。</w:t>
      </w:r>
    </w:p>
    <w:p w14:paraId="6BFC774D">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6.1.2 临时用电保证措施：</w:t>
      </w:r>
      <w:r>
        <w:rPr>
          <w:rFonts w:hint="eastAsia" w:ascii="仿宋" w:hAnsi="仿宋" w:eastAsia="仿宋" w:cs="仿宋"/>
          <w:color w:val="auto"/>
          <w:sz w:val="24"/>
          <w:szCs w:val="24"/>
          <w:highlight w:val="none"/>
          <w:u w:val="single"/>
        </w:rPr>
        <w:t>承包人必须按照有关规定编制临时用电方案，计划停（送、接）电或临时用电前，必须先行联系发包人。因承包人原因造成事件、事故时，承包人承担全部责任和费用，并赔偿因此对发包人造成的损失。</w:t>
      </w:r>
    </w:p>
    <w:p w14:paraId="3A1CF2A7">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6.1.3 工程周边安全防护：</w:t>
      </w:r>
      <w:r>
        <w:rPr>
          <w:rFonts w:hint="eastAsia" w:ascii="仿宋" w:hAnsi="仿宋" w:eastAsia="仿宋" w:cs="仿宋"/>
          <w:color w:val="auto"/>
          <w:sz w:val="24"/>
          <w:szCs w:val="24"/>
          <w:highlight w:val="none"/>
          <w:u w:val="single"/>
        </w:rPr>
        <w:t>承包人必须做好工程周边安全防护工作，并确保过往车辆、行人安全通行，费用已包含在合同价款。</w:t>
      </w:r>
    </w:p>
    <w:p w14:paraId="7717B904">
      <w:pPr>
        <w:snapToGrid w:val="0"/>
        <w:spacing w:line="56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6.1.4 关于治安保卫的特别约定：</w:t>
      </w:r>
      <w:r>
        <w:rPr>
          <w:rFonts w:hint="eastAsia" w:ascii="仿宋" w:hAnsi="仿宋" w:eastAsia="仿宋" w:cs="仿宋"/>
          <w:color w:val="auto"/>
          <w:sz w:val="24"/>
          <w:szCs w:val="24"/>
          <w:highlight w:val="none"/>
          <w:u w:val="single"/>
        </w:rPr>
        <w:t>在工程场地范围内，承包人具有进行保护或为公众提供安全和方便责任。承包人对施工场地发生的盗窃、打架斗殴等事件承担全部责任。承包人不得拖欠农民工工资。不得发生上访等群体性事件行。</w:t>
      </w:r>
    </w:p>
    <w:p w14:paraId="41BEA4BD">
      <w:pPr>
        <w:snapToGrid w:val="0"/>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关于编制施工场地治安管理计划的约定：</w:t>
      </w:r>
      <w:r>
        <w:rPr>
          <w:rFonts w:hint="eastAsia" w:ascii="仿宋" w:hAnsi="仿宋" w:eastAsia="仿宋" w:cs="仿宋"/>
          <w:color w:val="auto"/>
          <w:sz w:val="24"/>
          <w:szCs w:val="24"/>
          <w:highlight w:val="none"/>
          <w:u w:val="single"/>
        </w:rPr>
        <w:t>开工前3天提供。</w:t>
      </w:r>
    </w:p>
    <w:p w14:paraId="5DD5118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6.1.5 文明施工</w:t>
      </w:r>
    </w:p>
    <w:p w14:paraId="42D695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合同当事人对文明施工的要求：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照陕西省文明工地验收标准组织实施。严格按陕西省文明工地检查（验收）标准实施，安全施工。承包人按照国家和当地政府有关规定应采取的任何必要安全防护措施已包含在承包人的合同价款当中，发包人不另行支付。承包人承担由于自身措施不力造成事故的责任和因此发生的费用</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1F5B7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6.1.6 关于安全文明施工费支付比例和支付期限的约定：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承包方应当确保安全文明施工措施费专款专用，在财务管理中单独列出安全文明施工措施项目费用清单，承包人不得挪用安全文明施工措施项目费 。开工后全额支付安全文明施工费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63813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6.2 环境保护</w:t>
      </w:r>
    </w:p>
    <w:p w14:paraId="46ACEE17">
      <w:pPr>
        <w:snapToGrid w:val="0"/>
        <w:spacing w:line="560" w:lineRule="exact"/>
        <w:ind w:firstLine="480" w:firstLineChars="200"/>
        <w:jc w:val="left"/>
        <w:rPr>
          <w:rFonts w:hint="eastAsia" w:ascii="仿宋" w:hAnsi="仿宋" w:eastAsia="仿宋" w:cs="仿宋"/>
          <w:b/>
          <w:bCs w:val="0"/>
          <w:color w:val="000000"/>
          <w:sz w:val="24"/>
          <w:szCs w:val="24"/>
        </w:rPr>
      </w:pPr>
      <w:r>
        <w:rPr>
          <w:rFonts w:hint="eastAsia" w:ascii="仿宋" w:hAnsi="仿宋" w:eastAsia="仿宋" w:cs="仿宋"/>
          <w:sz w:val="24"/>
          <w:szCs w:val="24"/>
        </w:rPr>
        <w:t>项目安全生产的达标目标及相应事项的约定：</w:t>
      </w:r>
      <w:r>
        <w:rPr>
          <w:rFonts w:hint="eastAsia" w:ascii="仿宋" w:hAnsi="仿宋" w:eastAsia="仿宋" w:cs="仿宋"/>
          <w:color w:val="auto"/>
          <w:sz w:val="24"/>
          <w:szCs w:val="24"/>
          <w:highlight w:val="none"/>
          <w:u w:val="single"/>
        </w:rPr>
        <w:t>杜绝一般及以上突发环境事件，主要污染物稳定达标排放、固废（含危废）合法合规处置</w:t>
      </w:r>
      <w:r>
        <w:rPr>
          <w:rFonts w:hint="eastAsia" w:ascii="仿宋" w:hAnsi="仿宋" w:eastAsia="仿宋" w:cs="仿宋"/>
          <w:color w:val="auto"/>
          <w:sz w:val="24"/>
          <w:szCs w:val="24"/>
          <w:highlight w:val="none"/>
          <w:u w:val="none"/>
          <w:lang w:eastAsia="zh-CN"/>
        </w:rPr>
        <w:t>。</w:t>
      </w:r>
    </w:p>
    <w:p w14:paraId="3D2A1A0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7. 工期和进度</w:t>
      </w:r>
    </w:p>
    <w:p w14:paraId="761C93C6">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7.1 施工组织设计</w:t>
      </w:r>
    </w:p>
    <w:p w14:paraId="2AA7A2D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 xml:space="preserve">7.1.1 </w:t>
      </w:r>
      <w:r>
        <w:rPr>
          <w:rFonts w:hint="eastAsia" w:ascii="仿宋" w:hAnsi="仿宋" w:eastAsia="仿宋" w:cs="仿宋"/>
          <w:color w:val="000000"/>
          <w:sz w:val="24"/>
          <w:szCs w:val="24"/>
        </w:rPr>
        <w:t>合</w:t>
      </w:r>
      <w:r>
        <w:rPr>
          <w:rFonts w:hint="eastAsia" w:ascii="仿宋" w:hAnsi="仿宋" w:eastAsia="仿宋" w:cs="仿宋"/>
          <w:color w:val="000000"/>
          <w:kern w:val="0"/>
          <w:sz w:val="24"/>
          <w:szCs w:val="24"/>
        </w:rPr>
        <w:t>同当事人约定的施工组织设计应包括的其他内容：</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按招标文件约定，招标文件无约定的按通用条款及《建筑施工组织设计规范》（GB50502-2009）执行   </w:t>
      </w:r>
      <w:r>
        <w:rPr>
          <w:rFonts w:hint="eastAsia" w:ascii="仿宋" w:hAnsi="仿宋" w:eastAsia="仿宋" w:cs="仿宋"/>
          <w:sz w:val="24"/>
          <w:szCs w:val="24"/>
        </w:rPr>
        <w:t>。</w:t>
      </w:r>
    </w:p>
    <w:p w14:paraId="1AA22CE8">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sz w:val="24"/>
          <w:szCs w:val="24"/>
        </w:rPr>
        <w:t>7.1.2</w:t>
      </w: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施工组织设计的提交和修改</w:t>
      </w:r>
    </w:p>
    <w:p w14:paraId="5900792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kern w:val="0"/>
          <w:sz w:val="24"/>
          <w:szCs w:val="24"/>
        </w:rPr>
        <w:t>承包人提交详细施工组织设计的期限的约定：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rPr>
        <w:t>。</w:t>
      </w:r>
    </w:p>
    <w:p w14:paraId="291D1E87">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发包人和监理人在收到详细的施工组织设计后确认或提出修改意见的期限：</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E50EDA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w:t>
      </w:r>
      <w:bookmarkStart w:id="145" w:name="_Toc297216173"/>
      <w:bookmarkStart w:id="146" w:name="_Toc312678005"/>
      <w:bookmarkStart w:id="147" w:name="_Toc303539123"/>
      <w:bookmarkStart w:id="148" w:name="_Toc312677479"/>
      <w:bookmarkStart w:id="149" w:name="_Toc304295541"/>
      <w:bookmarkStart w:id="150" w:name="_Toc297123514"/>
      <w:bookmarkStart w:id="151" w:name="_Toc300934966"/>
      <w:r>
        <w:rPr>
          <w:rFonts w:hint="eastAsia" w:ascii="仿宋" w:hAnsi="仿宋" w:eastAsia="仿宋" w:cs="仿宋"/>
          <w:b/>
          <w:bCs/>
          <w:color w:val="000000"/>
          <w:sz w:val="24"/>
          <w:szCs w:val="24"/>
        </w:rPr>
        <w:t>.2 施工进度计划</w:t>
      </w:r>
    </w:p>
    <w:p w14:paraId="11AB20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7.2.2 施工进度计划的修订</w:t>
      </w:r>
    </w:p>
    <w:p w14:paraId="654F717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发包人和监理人在收到修订的施工进度计划后确认或提出修改意见的期限：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收到后7天内</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E55693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7.3 开工</w:t>
      </w:r>
    </w:p>
    <w:p w14:paraId="7F8DE6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7.3.1 开工准备</w:t>
      </w:r>
    </w:p>
    <w:p w14:paraId="4B07E316">
      <w:pPr>
        <w:spacing w:line="360" w:lineRule="auto"/>
        <w:ind w:firstLine="645"/>
        <w:jc w:val="left"/>
        <w:rPr>
          <w:rFonts w:hint="eastAsia" w:ascii="仿宋" w:hAnsi="仿宋" w:eastAsia="仿宋" w:cs="仿宋"/>
          <w:sz w:val="24"/>
          <w:szCs w:val="24"/>
          <w:u w:val="single"/>
        </w:rPr>
      </w:pPr>
      <w:r>
        <w:rPr>
          <w:rFonts w:hint="eastAsia" w:ascii="仿宋" w:hAnsi="仿宋" w:eastAsia="仿宋" w:cs="仿宋"/>
          <w:color w:val="000000"/>
          <w:sz w:val="24"/>
          <w:szCs w:val="24"/>
        </w:rPr>
        <w:t>关于承包人提交</w:t>
      </w:r>
      <w:r>
        <w:rPr>
          <w:rFonts w:hint="eastAsia" w:ascii="仿宋" w:hAnsi="仿宋" w:eastAsia="仿宋" w:cs="仿宋"/>
          <w:color w:val="000000"/>
          <w:kern w:val="0"/>
          <w:sz w:val="24"/>
          <w:szCs w:val="24"/>
        </w:rPr>
        <w:t>工程开工报审表的期限：</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合同签订后14天内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3D65C4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关于发包人应完成的其他开工准备工作及期限：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D8DC3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关于承包人应完成的其他开工准备工作及期限：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3D0ACB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7.3.2开工通知</w:t>
      </w:r>
    </w:p>
    <w:p w14:paraId="36A855A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因发包人原因造成监理人未能在计划开工日期之日起</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90</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天内发出开工通知的，承包人有权提出价格调整要求，或者解除合同。</w:t>
      </w:r>
    </w:p>
    <w:bookmarkEnd w:id="145"/>
    <w:bookmarkEnd w:id="146"/>
    <w:bookmarkEnd w:id="147"/>
    <w:bookmarkEnd w:id="148"/>
    <w:bookmarkEnd w:id="149"/>
    <w:bookmarkEnd w:id="150"/>
    <w:bookmarkEnd w:id="151"/>
    <w:p w14:paraId="6810B65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7.4 测量放线</w:t>
      </w:r>
    </w:p>
    <w:p w14:paraId="325CE3F0">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7.4.1发包人通过监理人向承包人提供测量基准点、基准线和水准点及其书面资料的期限：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BA8C012">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7.5 工期延误</w:t>
      </w:r>
    </w:p>
    <w:p w14:paraId="151C26A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7.5.1 因发包人原因导致工期延误</w:t>
      </w:r>
    </w:p>
    <w:p w14:paraId="56123A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（7）因发包人原因导致工期延误的其他情形：</w:t>
      </w:r>
      <w:r>
        <w:rPr>
          <w:rFonts w:hint="eastAsia" w:ascii="仿宋" w:hAnsi="仿宋" w:eastAsia="仿宋" w:cs="仿宋"/>
          <w:color w:val="auto"/>
          <w:sz w:val="24"/>
          <w:szCs w:val="24"/>
          <w:highlight w:val="none"/>
          <w:u w:val="single"/>
        </w:rPr>
        <w:t>1）重大设计变更而影响施工进度关键线路的；2）不可抗力。以上原因造成的工期延误须在发生后7天内办理延期申请，逾期不予认可</w:t>
      </w:r>
      <w:r>
        <w:rPr>
          <w:rFonts w:hint="eastAsia" w:ascii="仿宋" w:hAnsi="仿宋" w:eastAsia="仿宋" w:cs="仿宋"/>
          <w:sz w:val="24"/>
          <w:szCs w:val="24"/>
        </w:rPr>
        <w:t>。</w:t>
      </w:r>
    </w:p>
    <w:p w14:paraId="4A3521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7.5.2 因承包人原因导致工期延误</w:t>
      </w:r>
    </w:p>
    <w:p w14:paraId="3627815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因承包人原因造成工期延误，逾期竣工违约金的计算方法为：</w:t>
      </w:r>
      <w:r>
        <w:rPr>
          <w:rFonts w:hint="eastAsia" w:ascii="仿宋" w:hAnsi="仿宋" w:eastAsia="仿宋" w:cs="仿宋"/>
          <w:color w:val="auto"/>
          <w:sz w:val="24"/>
          <w:szCs w:val="24"/>
          <w:highlight w:val="none"/>
          <w:u w:val="single"/>
        </w:rPr>
        <w:t xml:space="preserve">按5000元/天向发包人支付违约金 </w:t>
      </w:r>
      <w:r>
        <w:rPr>
          <w:rFonts w:hint="eastAsia" w:ascii="仿宋" w:hAnsi="仿宋" w:eastAsia="仿宋" w:cs="仿宋"/>
          <w:sz w:val="24"/>
          <w:szCs w:val="24"/>
        </w:rPr>
        <w:t>。</w:t>
      </w:r>
    </w:p>
    <w:p w14:paraId="2FA182F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因承包人原因造成工期延误，逾期竣工违约金的上限：</w:t>
      </w:r>
      <w:r>
        <w:rPr>
          <w:rFonts w:hint="eastAsia" w:ascii="仿宋" w:hAnsi="仿宋" w:eastAsia="仿宋" w:cs="仿宋"/>
          <w:color w:val="auto"/>
          <w:sz w:val="24"/>
          <w:szCs w:val="24"/>
          <w:highlight w:val="none"/>
          <w:u w:val="single"/>
        </w:rPr>
        <w:t>超过限额或单次拖延施工进度10天以上、累计拖延施工进度30天以上时，发包人有权委托第三方进行施工，费用由承包人的进度款支付</w:t>
      </w:r>
      <w:r>
        <w:rPr>
          <w:rFonts w:hint="eastAsia" w:ascii="仿宋" w:hAnsi="仿宋" w:eastAsia="仿宋" w:cs="仿宋"/>
          <w:sz w:val="24"/>
          <w:szCs w:val="24"/>
        </w:rPr>
        <w:t>。</w:t>
      </w:r>
    </w:p>
    <w:p w14:paraId="26F99FA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7.6 不利物质条件</w:t>
      </w:r>
    </w:p>
    <w:p w14:paraId="60888A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不利物质条件的其他情形和有关约定：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616F19A">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7.7异常恶劣的气候条件</w:t>
      </w:r>
    </w:p>
    <w:p w14:paraId="22AB634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发包人和承包人同意以下情形视为异常恶劣的气候条件：</w:t>
      </w:r>
    </w:p>
    <w:p w14:paraId="30632B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40C4D6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7C77B7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D6B82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7.9 提前竣工的奖励</w:t>
      </w:r>
    </w:p>
    <w:p w14:paraId="26FC21F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7.9.2提前竣工的奖励：</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44C23E1">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8. 材料与设备</w:t>
      </w:r>
    </w:p>
    <w:p w14:paraId="4A805F80">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8.4材料与工程设备的保管与使用</w:t>
      </w:r>
    </w:p>
    <w:p w14:paraId="7B22286B">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8.4.1发包人供应的材料设备的保管费用的承担：</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4709F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8.6 样品</w:t>
      </w:r>
    </w:p>
    <w:p w14:paraId="0FFAFF17">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8.6.1</w:t>
      </w:r>
      <w:r>
        <w:rPr>
          <w:rFonts w:hint="eastAsia" w:ascii="仿宋" w:hAnsi="仿宋" w:eastAsia="仿宋" w:cs="仿宋"/>
          <w:color w:val="000000"/>
          <w:kern w:val="0"/>
          <w:sz w:val="24"/>
          <w:szCs w:val="24"/>
        </w:rPr>
        <w:tab/>
      </w:r>
      <w:r>
        <w:rPr>
          <w:rFonts w:hint="eastAsia" w:ascii="仿宋" w:hAnsi="仿宋" w:eastAsia="仿宋" w:cs="仿宋"/>
          <w:color w:val="000000"/>
          <w:kern w:val="0"/>
          <w:sz w:val="24"/>
          <w:szCs w:val="24"/>
        </w:rPr>
        <w:t>样品的报送与封存</w:t>
      </w:r>
    </w:p>
    <w:p w14:paraId="477AB2D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需要承包人报送样品的材料或工程设备，样品的种类、名称、规格、数量要求：</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1）对所有合同规定的由承包人自主采购的材料或设备，采购前承包人应将供应商的相关资料报送监理工程师和发包人审查，当监理工程师或发包人认为有必要对供应商进行实地考察时，承包人应提供必要的协助及相关考察费用 ；</w:t>
      </w:r>
    </w:p>
    <w:p w14:paraId="5B8617A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所有用于本工程的材料和设备进场以前，承包人必须向监理工程师提交生产厂商出具的生产许可证、质量合格证和检验报告，以证明该材料或设备质量符合本合同或技术规范的规定。在质量和性能均应符合国家标准和设计要求，并经发包方委托的监理工程师验收合格后方能进场，供货还必须满足施工进度要求，否则发包人有权自行采购 ；</w:t>
      </w:r>
    </w:p>
    <w:p w14:paraId="33D4BD5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highlight w:val="none"/>
          <w:u w:val="single"/>
        </w:rPr>
        <w:t xml:space="preserve">（3）承包人应按监理工程师和发包人的指令随时配合对施工现场材料或设备的检验，并应为监理工程师对材料或设备的检验提供一切必要的协助，在材料用于工程之前，承包人应按监理工程师的要求提供材料样品，材料应按先送检通过、后采用的原则进行使用   </w:t>
      </w:r>
      <w:r>
        <w:rPr>
          <w:rFonts w:hint="eastAsia" w:ascii="仿宋" w:hAnsi="仿宋" w:eastAsia="仿宋" w:cs="仿宋"/>
          <w:sz w:val="24"/>
          <w:szCs w:val="24"/>
        </w:rPr>
        <w:t>。</w:t>
      </w:r>
    </w:p>
    <w:p w14:paraId="1A202C4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8.8 施工设备和临时设施</w:t>
      </w:r>
    </w:p>
    <w:p w14:paraId="14FB51C3">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8.8.1 承包人提供的施工设备和临时设施</w:t>
      </w:r>
    </w:p>
    <w:p w14:paraId="5883F40B">
      <w:pPr>
        <w:autoSpaceDE w:val="0"/>
        <w:autoSpaceDN w:val="0"/>
        <w:adjustRightInd w:val="0"/>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关于修建临时设施费用承担的约定：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0BA2472">
      <w:pPr>
        <w:spacing w:before="120" w:after="120" w:line="360" w:lineRule="auto"/>
        <w:outlineLvl w:val="9"/>
        <w:rPr>
          <w:rFonts w:hint="eastAsia" w:ascii="仿宋" w:hAnsi="仿宋" w:eastAsia="仿宋" w:cs="仿宋"/>
          <w:b/>
          <w:bCs w:val="0"/>
          <w:color w:val="000000"/>
          <w:sz w:val="24"/>
          <w:szCs w:val="24"/>
        </w:rPr>
      </w:pPr>
      <w:bookmarkStart w:id="152" w:name="_Toc351203641"/>
      <w:r>
        <w:rPr>
          <w:rFonts w:hint="eastAsia" w:ascii="仿宋" w:hAnsi="仿宋" w:eastAsia="仿宋" w:cs="仿宋"/>
          <w:b/>
          <w:bCs w:val="0"/>
          <w:color w:val="000000"/>
          <w:sz w:val="24"/>
          <w:szCs w:val="24"/>
        </w:rPr>
        <w:t>9</w:t>
      </w:r>
      <w:bookmarkStart w:id="153" w:name="_Toc297123533"/>
      <w:bookmarkStart w:id="154" w:name="_Toc297216192"/>
      <w:bookmarkStart w:id="155" w:name="_Toc312678021"/>
      <w:bookmarkStart w:id="156" w:name="_Toc304295559"/>
      <w:bookmarkStart w:id="157" w:name="_Toc303539139"/>
      <w:bookmarkStart w:id="158" w:name="_Toc312677495"/>
      <w:bookmarkStart w:id="159" w:name="_Toc300934982"/>
      <w:r>
        <w:rPr>
          <w:rFonts w:hint="eastAsia" w:ascii="仿宋" w:hAnsi="仿宋" w:eastAsia="仿宋" w:cs="仿宋"/>
          <w:b/>
          <w:bCs w:val="0"/>
          <w:color w:val="000000"/>
          <w:sz w:val="24"/>
          <w:szCs w:val="24"/>
        </w:rPr>
        <w:t>. 试验与检验</w:t>
      </w:r>
      <w:bookmarkEnd w:id="152"/>
    </w:p>
    <w:bookmarkEnd w:id="153"/>
    <w:bookmarkEnd w:id="154"/>
    <w:bookmarkEnd w:id="155"/>
    <w:bookmarkEnd w:id="156"/>
    <w:bookmarkEnd w:id="157"/>
    <w:bookmarkEnd w:id="158"/>
    <w:bookmarkEnd w:id="159"/>
    <w:p w14:paraId="2016FEC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9</w:t>
      </w:r>
      <w:bookmarkStart w:id="160" w:name="_Toc303539140"/>
      <w:bookmarkStart w:id="161" w:name="_Toc297123534"/>
      <w:bookmarkStart w:id="162" w:name="_Toc297216193"/>
      <w:bookmarkStart w:id="163" w:name="_Toc304295560"/>
      <w:bookmarkStart w:id="164" w:name="_Toc312678022"/>
      <w:bookmarkStart w:id="165" w:name="_Toc312677496"/>
      <w:bookmarkStart w:id="166" w:name="_Toc300934983"/>
      <w:r>
        <w:rPr>
          <w:rFonts w:hint="eastAsia" w:ascii="仿宋" w:hAnsi="仿宋" w:eastAsia="仿宋" w:cs="仿宋"/>
          <w:b/>
          <w:bCs/>
          <w:color w:val="000000"/>
          <w:sz w:val="24"/>
          <w:szCs w:val="24"/>
        </w:rPr>
        <w:t>.1试验设备与试验人员</w:t>
      </w:r>
    </w:p>
    <w:bookmarkEnd w:id="160"/>
    <w:bookmarkEnd w:id="161"/>
    <w:bookmarkEnd w:id="162"/>
    <w:bookmarkEnd w:id="163"/>
    <w:bookmarkEnd w:id="164"/>
    <w:bookmarkEnd w:id="165"/>
    <w:bookmarkEnd w:id="166"/>
    <w:p w14:paraId="3A19758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w:t>
      </w:r>
      <w:bookmarkStart w:id="167" w:name="_Toc304295561"/>
      <w:bookmarkStart w:id="168" w:name="_Toc303539141"/>
      <w:bookmarkStart w:id="169" w:name="_Toc300934984"/>
      <w:bookmarkStart w:id="170" w:name="_Toc297123535"/>
      <w:bookmarkStart w:id="171" w:name="_Toc297216194"/>
      <w:bookmarkStart w:id="172" w:name="_Toc312678023"/>
      <w:bookmarkStart w:id="173" w:name="_Toc312677497"/>
      <w:bookmarkStart w:id="174" w:name="_Toc318581174"/>
      <w:r>
        <w:rPr>
          <w:rFonts w:hint="eastAsia" w:ascii="仿宋" w:hAnsi="仿宋" w:eastAsia="仿宋" w:cs="仿宋"/>
          <w:sz w:val="24"/>
          <w:szCs w:val="24"/>
        </w:rPr>
        <w:t>.1.2 试验设备</w:t>
      </w:r>
    </w:p>
    <w:p w14:paraId="37CCB7E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施工现场需要配置的试验场所：</w:t>
      </w:r>
      <w:bookmarkEnd w:id="167"/>
      <w:bookmarkEnd w:id="168"/>
      <w:bookmarkEnd w:id="169"/>
      <w:bookmarkEnd w:id="170"/>
      <w:bookmarkEnd w:id="171"/>
      <w:bookmarkEnd w:id="172"/>
      <w:bookmarkEnd w:id="173"/>
      <w:bookmarkStart w:id="175" w:name="_Toc297123536"/>
      <w:bookmarkStart w:id="176" w:name="_Toc303539142"/>
      <w:bookmarkStart w:id="177" w:name="_Toc297216195"/>
      <w:bookmarkStart w:id="178" w:name="_Toc312678024"/>
      <w:bookmarkStart w:id="179" w:name="_Toc300934985"/>
      <w:bookmarkStart w:id="180" w:name="_Toc304295562"/>
      <w:bookmarkStart w:id="181" w:name="_Toc312677498"/>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承包人在施工组织设计中明确，在开工前，向监理报验行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4D24D01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施工现场需要配备的试验设备：</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承包人在施工组织设计中明确，在开工前，向监理报验行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2A0DF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施工现场需要具备的其他试验条件：</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按有关标准规范执行</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D64CD5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9.4 现场工艺试验 </w:t>
      </w:r>
    </w:p>
    <w:p w14:paraId="2B80E3C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现场工艺试验的有关约定：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bookmarkEnd w:id="174"/>
    <w:bookmarkEnd w:id="175"/>
    <w:bookmarkEnd w:id="176"/>
    <w:bookmarkEnd w:id="177"/>
    <w:bookmarkEnd w:id="178"/>
    <w:bookmarkEnd w:id="179"/>
    <w:bookmarkEnd w:id="180"/>
    <w:bookmarkEnd w:id="181"/>
    <w:p w14:paraId="635E606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10. 变更</w:t>
      </w:r>
    </w:p>
    <w:p w14:paraId="40231C03">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10.1变更的范围</w:t>
      </w:r>
    </w:p>
    <w:p w14:paraId="5E9EE045">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关于变更的范围的约定：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34AAF5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10.4 变更估价</w:t>
      </w:r>
    </w:p>
    <w:p w14:paraId="0F4E3D3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10.4.1 变更估价原则</w:t>
      </w:r>
    </w:p>
    <w:p w14:paraId="0BFA111F">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关于变更估价的约定: </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83694D0">
      <w:pPr>
        <w:spacing w:line="300" w:lineRule="auto"/>
        <w:ind w:firstLine="482"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0CE5FF03">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除专用合同条款另有约定外，变更估价按照本款约定处理：</w:t>
      </w:r>
    </w:p>
    <w:p w14:paraId="54B2BA20">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（1）已标价工程量清单或预算书有相同项目的，按照相同项目单价认定；</w:t>
      </w:r>
    </w:p>
    <w:p w14:paraId="358EAFA4">
      <w:pPr>
        <w:autoSpaceDE w:val="0"/>
        <w:autoSpaceDN w:val="0"/>
        <w:adjustRightInd w:val="0"/>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（2）已标价工程量清单或预算书中无相同项目，但有类似项目的，参照类似项目的单价认定；</w:t>
      </w:r>
    </w:p>
    <w:p w14:paraId="714909A5">
      <w:pPr>
        <w:autoSpaceDE w:val="0"/>
        <w:autoSpaceDN w:val="0"/>
        <w:adjustRightInd w:val="0"/>
        <w:spacing w:line="300" w:lineRule="auto"/>
        <w:ind w:firstLine="480" w:firstLineChars="200"/>
        <w:outlineLvl w:val="9"/>
        <w:rPr>
          <w:rFonts w:hint="eastAsia" w:ascii="仿宋" w:hAnsi="仿宋" w:eastAsia="仿宋" w:cs="仿宋"/>
          <w:b/>
          <w:bCs/>
          <w:color w:val="000000"/>
          <w:sz w:val="24"/>
          <w:szCs w:val="24"/>
        </w:rPr>
      </w:pPr>
      <w:r>
        <w:rPr>
          <w:rFonts w:hint="eastAsia" w:ascii="仿宋" w:hAnsi="仿宋" w:eastAsia="仿宋" w:cs="仿宋"/>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3666AD0C">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10.5承包人的合理化建议</w:t>
      </w:r>
    </w:p>
    <w:p w14:paraId="65335F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监理人审查承包人合理化建议的期限：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9C2AA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发包人审批承包人合理化建议的期限：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FFF1C82">
      <w:pPr>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承包人提出的合理化建议降低了合同价格或者提高了工程经济效益的奖励的方法和金额为：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B1DEDB5">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10.7 暂估价</w:t>
      </w:r>
    </w:p>
    <w:p w14:paraId="5EA0D6D5">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kern w:val="0"/>
          <w:sz w:val="24"/>
          <w:szCs w:val="24"/>
        </w:rPr>
        <w:t>暂估价材料和工程设备的明细详见附件11：《</w:t>
      </w:r>
      <w:r>
        <w:rPr>
          <w:rFonts w:hint="eastAsia" w:ascii="仿宋" w:hAnsi="仿宋" w:eastAsia="仿宋" w:cs="仿宋"/>
          <w:color w:val="000000"/>
          <w:sz w:val="24"/>
          <w:szCs w:val="24"/>
        </w:rPr>
        <w:t>暂估价一览表》</w:t>
      </w:r>
      <w:r>
        <w:rPr>
          <w:rFonts w:hint="eastAsia" w:ascii="仿宋" w:hAnsi="仿宋" w:eastAsia="仿宋" w:cs="仿宋"/>
          <w:kern w:val="0"/>
          <w:sz w:val="24"/>
          <w:szCs w:val="24"/>
        </w:rPr>
        <w:t>。</w:t>
      </w:r>
    </w:p>
    <w:p w14:paraId="6871460C">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10.7.1 依法必须招标的暂估价项目</w:t>
      </w:r>
    </w:p>
    <w:p w14:paraId="1A714AB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对于依法必须招标的暂估价项目的确认和批准采取第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w:t>
      </w:r>
      <w:r>
        <w:rPr>
          <w:rFonts w:hint="eastAsia" w:ascii="仿宋" w:hAnsi="仿宋" w:eastAsia="仿宋" w:cs="仿宋"/>
          <w:sz w:val="24"/>
          <w:szCs w:val="24"/>
          <w:u w:val="single"/>
        </w:rPr>
        <w:t xml:space="preserve">  </w:t>
      </w:r>
      <w:r>
        <w:rPr>
          <w:rFonts w:hint="eastAsia" w:ascii="仿宋" w:hAnsi="仿宋" w:eastAsia="仿宋" w:cs="仿宋"/>
          <w:sz w:val="24"/>
          <w:szCs w:val="24"/>
        </w:rPr>
        <w:t>种方式确定。</w:t>
      </w:r>
    </w:p>
    <w:p w14:paraId="5DCB488F">
      <w:pPr>
        <w:spacing w:line="300" w:lineRule="auto"/>
        <w:ind w:firstLine="482" w:firstLineChars="200"/>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782D02BF">
      <w:pPr>
        <w:spacing w:line="30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第1种方式：对于依法必须招标的暂估价项目，由承包人招标，对该暂估价项目的确认和批准按照以下约定执行：</w:t>
      </w:r>
    </w:p>
    <w:p w14:paraId="0250E8A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753E66A1">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0169C106">
      <w:pPr>
        <w:spacing w:line="30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5EFB641">
      <w:pPr>
        <w:spacing w:line="300" w:lineRule="auto"/>
        <w:ind w:firstLine="480" w:firstLineChars="200"/>
        <w:rPr>
          <w:rFonts w:hint="eastAsia" w:ascii="仿宋" w:hAnsi="仿宋" w:eastAsia="仿宋" w:cs="仿宋"/>
          <w:b w:val="0"/>
          <w:bCs w:val="0"/>
          <w:sz w:val="24"/>
          <w:szCs w:val="24"/>
        </w:rPr>
      </w:pPr>
      <w:r>
        <w:rPr>
          <w:rFonts w:hint="eastAsia" w:ascii="仿宋" w:hAnsi="仿宋" w:eastAsia="仿宋" w:cs="仿宋"/>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D5431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10.7.2 不属于依法必须招标的暂估价项目</w:t>
      </w:r>
    </w:p>
    <w:p w14:paraId="596742C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对于不属于依法必须招标的暂估价项目的确认和批准采取第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种方式确定。</w:t>
      </w:r>
    </w:p>
    <w:p w14:paraId="3508449C">
      <w:pPr>
        <w:spacing w:line="300" w:lineRule="auto"/>
        <w:ind w:firstLine="482" w:firstLineChars="200"/>
        <w:rPr>
          <w:rFonts w:hint="eastAsia" w:ascii="仿宋" w:hAnsi="仿宋" w:eastAsia="仿宋" w:cs="仿宋"/>
          <w:color w:val="auto"/>
          <w:kern w:val="0"/>
          <w:sz w:val="24"/>
          <w:szCs w:val="24"/>
          <w:highlight w:val="none"/>
        </w:rPr>
      </w:pPr>
      <w:r>
        <w:rPr>
          <w:rFonts w:hint="eastAsia" w:ascii="仿宋" w:hAnsi="仿宋" w:eastAsia="仿宋" w:cs="仿宋"/>
          <w:b/>
          <w:bCs/>
          <w:color w:val="auto"/>
          <w:sz w:val="24"/>
          <w:szCs w:val="24"/>
          <w:highlight w:val="none"/>
        </w:rPr>
        <w:t>本条通用条款内容：</w:t>
      </w:r>
    </w:p>
    <w:p w14:paraId="2D2E44CD">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第1种方式：对于不属于依法必须招标的暂估价项目，按本项约定确认和批准：</w:t>
      </w:r>
    </w:p>
    <w:p w14:paraId="6F5C55D5">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2C956">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（2）发包人认为承包人确定的供应商、分包人无法满足工程质量或合同要求的，发包人可以要求承包人重新确定暂估价项目的供应商、分包人;</w:t>
      </w:r>
    </w:p>
    <w:p w14:paraId="49E6F10B">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（3）承包人应当在签订暂估价合同后7天内，将暂估价合同副本报送发包人留存。</w:t>
      </w:r>
    </w:p>
    <w:p w14:paraId="01725077">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第2种方式：承包人按照第10.7.1项〔依法必须招标的暂估价项目〕约定的第1种方式确定暂估价项目。</w:t>
      </w:r>
    </w:p>
    <w:p w14:paraId="64B8DB23">
      <w:pPr>
        <w:spacing w:line="30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6544D7B9">
      <w:pPr>
        <w:spacing w:line="30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5238D4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37B25F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第3种方式：</w:t>
      </w:r>
      <w:r>
        <w:rPr>
          <w:rFonts w:hint="eastAsia" w:ascii="仿宋" w:hAnsi="仿宋" w:eastAsia="仿宋" w:cs="仿宋"/>
          <w:color w:val="000000"/>
          <w:kern w:val="0"/>
          <w:sz w:val="24"/>
          <w:szCs w:val="24"/>
        </w:rPr>
        <w:t>承包人直接实施的暂估价项目</w:t>
      </w:r>
    </w:p>
    <w:p w14:paraId="1DDDB375">
      <w:pPr>
        <w:spacing w:line="360" w:lineRule="auto"/>
        <w:jc w:val="left"/>
        <w:rPr>
          <w:rFonts w:hint="eastAsia" w:ascii="仿宋" w:hAnsi="仿宋" w:eastAsia="仿宋" w:cs="仿宋"/>
          <w:sz w:val="24"/>
          <w:szCs w:val="24"/>
        </w:rPr>
      </w:pPr>
      <w:r>
        <w:rPr>
          <w:rFonts w:hint="eastAsia" w:ascii="仿宋" w:hAnsi="仿宋" w:eastAsia="仿宋" w:cs="仿宋"/>
          <w:sz w:val="24"/>
          <w:szCs w:val="24"/>
        </w:rPr>
        <w:t>承包人直接实施的暂估价项目的约定：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539D438">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10.8 暂列金额</w:t>
      </w:r>
    </w:p>
    <w:p w14:paraId="7A36308F">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合同当事人关于暂列金额使用的约定：</w:t>
      </w:r>
      <w:r>
        <w:rPr>
          <w:rFonts w:hint="eastAsia" w:ascii="仿宋" w:hAnsi="仿宋" w:eastAsia="仿宋" w:cs="仿宋"/>
          <w:color w:val="auto"/>
          <w:sz w:val="24"/>
          <w:szCs w:val="24"/>
          <w:highlight w:val="none"/>
          <w:u w:val="single"/>
        </w:rPr>
        <w:t>暂列金额应按照发包人的要求使用，发包人的要求通过发包人代表和监理人发出，暂列金额的使用发包人必须同意并全过程参与。暂列金不计入工程款付款的基数，按实际发生经发包人签证后确定全部使用、部分使用或不适用，承包人无权使用。工程量清单发生调整幅度超过合同价款的</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%时，发包人委托工程造价咨询机构审定后，按照审定造价支付暂列金</w:t>
      </w:r>
      <w:r>
        <w:rPr>
          <w:rFonts w:hint="eastAsia" w:ascii="仿宋" w:hAnsi="仿宋" w:eastAsia="仿宋" w:cs="仿宋"/>
          <w:color w:val="000000"/>
          <w:kern w:val="0"/>
          <w:sz w:val="24"/>
          <w:szCs w:val="24"/>
        </w:rPr>
        <w:t>。</w:t>
      </w:r>
    </w:p>
    <w:p w14:paraId="62707C6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11. 价格调整</w:t>
      </w:r>
    </w:p>
    <w:p w14:paraId="1F8F5CD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11.1 市场价格波动引起的调整</w:t>
      </w:r>
    </w:p>
    <w:p w14:paraId="5DC613C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市场价格波动是否调整合同价格的约定：</w:t>
      </w:r>
      <w:r>
        <w:rPr>
          <w:rFonts w:hint="eastAsia" w:ascii="仿宋" w:hAnsi="仿宋" w:eastAsia="仿宋" w:cs="仿宋"/>
          <w:sz w:val="24"/>
          <w:szCs w:val="24"/>
          <w:u w:val="single"/>
        </w:rPr>
        <w:t xml:space="preserve">  </w:t>
      </w:r>
      <w:r>
        <w:rPr>
          <w:rFonts w:hint="eastAsia" w:ascii="仿宋" w:hAnsi="仿宋" w:eastAsia="仿宋" w:cs="仿宋"/>
          <w:color w:val="auto"/>
          <w:sz w:val="24"/>
          <w:szCs w:val="24"/>
          <w:highlight w:val="none"/>
          <w:u w:val="single"/>
        </w:rPr>
        <w:t xml:space="preserve"> 除招标文件规定外，均不调整价格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4B88DD0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因市场价格波动调整合同价格，采用以下</w:t>
      </w:r>
      <w:r>
        <w:rPr>
          <w:rFonts w:hint="eastAsia" w:ascii="仿宋" w:hAnsi="仿宋" w:eastAsia="仿宋" w:cs="仿宋"/>
          <w:sz w:val="24"/>
          <w:szCs w:val="24"/>
        </w:rPr>
        <w:t>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3</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种方式对合同价格进行调整：</w:t>
      </w:r>
    </w:p>
    <w:p w14:paraId="4F8357C3">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第1种方式：采用价格指数进行价格调整。</w:t>
      </w:r>
    </w:p>
    <w:p w14:paraId="1D37A31D">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关于各可调因子、定值和变值权重，以及基本价格指数及其来源的约定：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1530DA6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第2种方式：采用造价信息进行价格调整。</w:t>
      </w:r>
    </w:p>
    <w:p w14:paraId="04F871F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（2）关于基准价格的约定：</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2EA6A3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%时，或材料单价跌幅以已标价工程量清单或预算书中载明材料单价为基础超过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3C73529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%时，材料单价涨幅以已标价工程量清单或预算书中载明材料单价为基础超过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5E8C17C2">
      <w:pPr>
        <w:spacing w:line="360" w:lineRule="auto"/>
        <w:ind w:firstLine="645"/>
        <w:jc w:val="left"/>
        <w:rPr>
          <w:rFonts w:hint="eastAsia" w:ascii="仿宋" w:hAnsi="仿宋" w:eastAsia="仿宋" w:cs="仿宋"/>
          <w:color w:val="000000"/>
          <w:sz w:val="24"/>
          <w:szCs w:val="24"/>
        </w:rPr>
      </w:pPr>
      <w:r>
        <w:rPr>
          <w:rFonts w:hint="eastAsia" w:ascii="仿宋" w:hAnsi="仿宋" w:eastAsia="仿宋" w:cs="仿宋"/>
          <w:color w:val="000000"/>
          <w:sz w:val="24"/>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%时，其超过部分据实调整。</w:t>
      </w:r>
    </w:p>
    <w:p w14:paraId="0D01CE83">
      <w:pPr>
        <w:spacing w:line="360" w:lineRule="auto"/>
        <w:ind w:firstLine="645"/>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第3种方式：其他价格调整方式：</w:t>
      </w:r>
      <w:r>
        <w:rPr>
          <w:rFonts w:hint="eastAsia" w:ascii="仿宋" w:hAnsi="仿宋" w:eastAsia="仿宋" w:cs="仿宋"/>
          <w:color w:val="000000"/>
          <w:sz w:val="24"/>
          <w:szCs w:val="24"/>
          <w:u w:val="single"/>
        </w:rPr>
        <w:t xml:space="preserve">                        </w:t>
      </w:r>
    </w:p>
    <w:p w14:paraId="5C74DF1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AE90730">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12. 合同价格、计量与支付</w:t>
      </w:r>
    </w:p>
    <w:p w14:paraId="7AED2C4D">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12.1 合同价格形式</w:t>
      </w:r>
    </w:p>
    <w:p w14:paraId="2BED9D4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w:t>
      </w:r>
    </w:p>
    <w:p w14:paraId="1DB3A89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综合单价包含的风险范围：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招标工程量清单包含的由于承包人漏报、未报的项目，招标人视同投标人优惠，不予调整，并认为此项费用已包括在工程量清单的其它综合单价和合价中</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90C012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应由承包人承担的风险费用已由承包人根据自身经验作了充分估计并已计入合同协议确定的合同价款中，风险费用未单独计列的，应认为已经包含在合同价款中。投标人所报清单中的相同清单项综合单价应保持一致，若出现不同综合单价时，结算时按不利于承包人的原则进行结算</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20A21F6">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政策性调价文件、招标工程量清单中的暂定项、清单漏项、经发包人确认的变更、签证，属于风险范围外合同价款，计算费用时按下列方法进行：</w:t>
      </w:r>
    </w:p>
    <w:p w14:paraId="10712D8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（1）合同已有适用的综合单价，按合同已有的综合单价结算。</w:t>
      </w:r>
    </w:p>
    <w:p w14:paraId="2FB3270D">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（2）合同中只有类似的综合单价，参照类似综合单价进行结算。</w:t>
      </w:r>
    </w:p>
    <w:p w14:paraId="7CD2EA0C">
      <w:pPr>
        <w:spacing w:line="30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（3）合同中没有适用或类似的综合单价时，按招标期控制价的编制原则编制其综合单价优惠比例=[(招标控制价上限-中标价)/招标控制价上限]×100%。</w:t>
      </w:r>
    </w:p>
    <w:p w14:paraId="263FF8EC">
      <w:pPr>
        <w:spacing w:line="300" w:lineRule="auto"/>
        <w:ind w:firstLine="480" w:firstLineChars="200"/>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（4）经发包方认质认价的材料，在工程结算时计算材料差价，本工程约定的± 5%幅度内的风险由承包人自主报价、自我承担，约定幅度外的风险由发包人承担。本工程主要建筑材料、设备包括： </w:t>
      </w:r>
      <w:r>
        <w:rPr>
          <w:rFonts w:hint="eastAsia" w:ascii="仿宋" w:hAnsi="仿宋" w:eastAsia="仿宋" w:cs="仿宋"/>
          <w:color w:val="auto"/>
          <w:sz w:val="24"/>
          <w:szCs w:val="24"/>
          <w:highlight w:val="none"/>
          <w:u w:val="single"/>
          <w:lang w:eastAsia="zh-CN"/>
        </w:rPr>
        <w:t>商品混凝土、水泥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、砂、石、熟石灰、汽油、柴油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0E233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w:t>
      </w:r>
    </w:p>
    <w:p w14:paraId="569C853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总价包含的风险范围：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5FB36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6D872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BF1EB6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5DEECAC">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12.2 预付款</w:t>
      </w:r>
    </w:p>
    <w:p w14:paraId="0A715D4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12.2.1 预付款的支付</w:t>
      </w:r>
    </w:p>
    <w:p w14:paraId="24A7206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预付款支付比例或金额：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732BC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E83F0B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预付款扣回的方式：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3FAB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12.2.2 预付款担保</w:t>
      </w:r>
    </w:p>
    <w:p w14:paraId="7C6C8D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承包人提交预付款担保的期限：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849C0A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预付款担保的形式为：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73777D0">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12.3 计量</w:t>
      </w:r>
    </w:p>
    <w:p w14:paraId="5F91426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12.3.1 计量原则</w:t>
      </w:r>
    </w:p>
    <w:p w14:paraId="43B1B44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工程量计算规则：</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依据《陕西省建设工程工程量清单计价规则》（2009）、实际已完成的合格工程并经发包人、监理人、承包人三方共同确认</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5B65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12.3.2 计量周期</w:t>
      </w:r>
    </w:p>
    <w:p w14:paraId="769EB50D">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关于计量周期的约定：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34CAD6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12.3.3 单价合同的计量</w:t>
      </w:r>
    </w:p>
    <w:p w14:paraId="3C09C88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关于单价合同计量的约定：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4E9F24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12.3.4 总价合同的计量</w:t>
      </w:r>
    </w:p>
    <w:p w14:paraId="1BC5B35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关于总价合同计量的约定：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FF719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12.3.5总价合同采用支付分解表计量支付的，是否适用第</w:t>
      </w:r>
      <w:r>
        <w:rPr>
          <w:rFonts w:hint="eastAsia" w:ascii="仿宋" w:hAnsi="仿宋" w:eastAsia="仿宋" w:cs="仿宋"/>
          <w:color w:val="000000"/>
          <w:kern w:val="0"/>
          <w:sz w:val="24"/>
          <w:szCs w:val="24"/>
        </w:rPr>
        <w:t xml:space="preserve">12.3.4 </w:t>
      </w:r>
      <w:r>
        <w:rPr>
          <w:rFonts w:hint="eastAsia" w:ascii="仿宋" w:hAnsi="仿宋" w:eastAsia="仿宋" w:cs="仿宋"/>
          <w:color w:val="000000"/>
          <w:sz w:val="24"/>
          <w:szCs w:val="24"/>
        </w:rPr>
        <w:t>项</w:t>
      </w:r>
      <w:r>
        <w:rPr>
          <w:rFonts w:hint="eastAsia" w:ascii="仿宋" w:hAnsi="仿宋" w:eastAsia="仿宋" w:cs="仿宋"/>
          <w:color w:val="000000"/>
          <w:kern w:val="0"/>
          <w:sz w:val="24"/>
          <w:szCs w:val="24"/>
        </w:rPr>
        <w:t>〔总价合同的计量〕</w:t>
      </w:r>
      <w:r>
        <w:rPr>
          <w:rFonts w:hint="eastAsia" w:ascii="仿宋" w:hAnsi="仿宋" w:eastAsia="仿宋" w:cs="仿宋"/>
          <w:color w:val="000000"/>
          <w:sz w:val="24"/>
          <w:szCs w:val="24"/>
        </w:rPr>
        <w:t>约定进行计量：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DDC110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12.3.6 其他价格形式合同的计量</w:t>
      </w:r>
    </w:p>
    <w:p w14:paraId="5C36A01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其他价格形式的计量方式和程序：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2494043">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12.4 工程进度款支付</w:t>
      </w:r>
    </w:p>
    <w:p w14:paraId="634965D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12.4.1 付款周期</w:t>
      </w:r>
    </w:p>
    <w:p w14:paraId="58462707">
      <w:pPr>
        <w:pStyle w:val="10"/>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关于付款周期的约定：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i w:val="0"/>
          <w:iCs w:val="0"/>
          <w:caps w:val="0"/>
          <w:color w:val="333333"/>
          <w:spacing w:val="0"/>
          <w:sz w:val="24"/>
          <w:szCs w:val="24"/>
          <w:shd w:val="clear" w:fill="FFFFFF"/>
        </w:rPr>
        <w:t>。</w:t>
      </w:r>
    </w:p>
    <w:p w14:paraId="611EE12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12.4.2 进度付款申请单的编制</w:t>
      </w:r>
    </w:p>
    <w:p w14:paraId="37BAE79C">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关于进度付款申请单编制的约定：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BFE83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12.4.3 进度付款申请单的提交</w:t>
      </w:r>
    </w:p>
    <w:p w14:paraId="6C58088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07CD063">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0E7D73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（3）其他价格形式合同进度付款申请单提交的约定：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C462CF6">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12.4.4 进度款审核和支付</w:t>
      </w:r>
    </w:p>
    <w:p w14:paraId="3CC520B2">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（1）监理人审查并报送发包人的期限：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36F05F">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发包人完成审批并签发进度款支付证书的期限：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27E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（2）发包人支付进度款的期限：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86C38A8">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C682DE5">
      <w:pPr>
        <w:spacing w:line="360" w:lineRule="auto"/>
        <w:ind w:firstLine="600" w:firstLineChars="25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12.4.6 支付分解表的编制</w:t>
      </w:r>
    </w:p>
    <w:p w14:paraId="45220809">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2D6B3E2E">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3、单价合同的总价项目支付分解表的编制与审批：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F68C850">
      <w:pPr>
        <w:spacing w:before="120" w:after="120" w:line="360" w:lineRule="auto"/>
        <w:outlineLvl w:val="9"/>
        <w:rPr>
          <w:rFonts w:hint="eastAsia" w:ascii="仿宋" w:hAnsi="仿宋" w:eastAsia="仿宋" w:cs="仿宋"/>
          <w:b/>
          <w:bCs w:val="0"/>
          <w:color w:val="000000"/>
          <w:sz w:val="24"/>
          <w:szCs w:val="24"/>
        </w:rPr>
      </w:pPr>
      <w:bookmarkStart w:id="182" w:name="_Toc351203645"/>
      <w:bookmarkStart w:id="183" w:name="_Toc296346720"/>
      <w:bookmarkStart w:id="184" w:name="_Toc292559929"/>
      <w:bookmarkStart w:id="185" w:name="_Toc296891259"/>
      <w:bookmarkStart w:id="186" w:name="_Toc303539172"/>
      <w:bookmarkStart w:id="187" w:name="_Toc296944558"/>
      <w:bookmarkStart w:id="188" w:name="_Toc292559424"/>
      <w:bookmarkStart w:id="189" w:name="_Toc304295593"/>
      <w:bookmarkStart w:id="190" w:name="_Toc296347218"/>
      <w:bookmarkStart w:id="191" w:name="_Toc297120519"/>
      <w:bookmarkStart w:id="192" w:name="_Toc297216223"/>
      <w:bookmarkStart w:id="193" w:name="_Toc312678053"/>
      <w:bookmarkStart w:id="194" w:name="_Toc296891047"/>
      <w:bookmarkStart w:id="195" w:name="_Toc297123564"/>
      <w:bookmarkStart w:id="196" w:name="_Toc300935015"/>
      <w:bookmarkStart w:id="197" w:name="_Toc297048405"/>
      <w:bookmarkStart w:id="198" w:name="_Toc296503219"/>
      <w:r>
        <w:rPr>
          <w:rFonts w:hint="eastAsia" w:ascii="仿宋" w:hAnsi="仿宋" w:eastAsia="仿宋" w:cs="仿宋"/>
          <w:b/>
          <w:bCs w:val="0"/>
          <w:color w:val="000000"/>
          <w:sz w:val="24"/>
          <w:szCs w:val="24"/>
        </w:rPr>
        <w:t>13. 验收和工程试车</w:t>
      </w:r>
      <w:bookmarkEnd w:id="182"/>
    </w:p>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14:paraId="76467A49">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13.1 分部分项工程验收</w:t>
      </w:r>
    </w:p>
    <w:p w14:paraId="49A613E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13.1.2监理人不能按时进行验收时，应提前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24</w:t>
      </w:r>
      <w:r>
        <w:rPr>
          <w:rFonts w:hint="eastAsia" w:ascii="仿宋" w:hAnsi="仿宋" w:eastAsia="仿宋" w:cs="仿宋"/>
          <w:sz w:val="24"/>
          <w:szCs w:val="24"/>
          <w:u w:val="single"/>
        </w:rPr>
        <w:t xml:space="preserve">  </w:t>
      </w:r>
      <w:r>
        <w:rPr>
          <w:rFonts w:hint="eastAsia" w:ascii="仿宋" w:hAnsi="仿宋" w:eastAsia="仿宋" w:cs="仿宋"/>
          <w:sz w:val="24"/>
          <w:szCs w:val="24"/>
        </w:rPr>
        <w:t>小时提交书面延期要求。</w:t>
      </w:r>
    </w:p>
    <w:p w14:paraId="5B429564">
      <w:pPr>
        <w:spacing w:line="360" w:lineRule="auto"/>
        <w:ind w:firstLine="480" w:firstLineChars="200"/>
        <w:jc w:val="left"/>
        <w:rPr>
          <w:rFonts w:hint="eastAsia" w:ascii="仿宋" w:hAnsi="仿宋" w:eastAsia="仿宋" w:cs="仿宋"/>
          <w:b/>
          <w:color w:val="000000"/>
          <w:sz w:val="24"/>
          <w:szCs w:val="24"/>
        </w:rPr>
      </w:pPr>
      <w:r>
        <w:rPr>
          <w:rFonts w:hint="eastAsia" w:ascii="仿宋" w:hAnsi="仿宋" w:eastAsia="仿宋" w:cs="仿宋"/>
          <w:sz w:val="24"/>
          <w:szCs w:val="24"/>
        </w:rPr>
        <w:t>关于延期最长不得超过：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48</w:t>
      </w:r>
      <w:r>
        <w:rPr>
          <w:rFonts w:hint="eastAsia" w:ascii="仿宋" w:hAnsi="仿宋" w:eastAsia="仿宋" w:cs="仿宋"/>
          <w:sz w:val="24"/>
          <w:szCs w:val="24"/>
          <w:u w:val="single"/>
        </w:rPr>
        <w:t xml:space="preserve">   </w:t>
      </w:r>
      <w:r>
        <w:rPr>
          <w:rFonts w:hint="eastAsia" w:ascii="仿宋" w:hAnsi="仿宋" w:eastAsia="仿宋" w:cs="仿宋"/>
          <w:sz w:val="24"/>
          <w:szCs w:val="24"/>
        </w:rPr>
        <w:t>小时。</w:t>
      </w:r>
    </w:p>
    <w:p w14:paraId="7E22FF9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13.2 竣工验收</w:t>
      </w:r>
    </w:p>
    <w:p w14:paraId="7DA17CA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13.2.2竣工验收程序</w:t>
      </w:r>
    </w:p>
    <w:p w14:paraId="2D5C2E38">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000000"/>
          <w:kern w:val="0"/>
          <w:sz w:val="24"/>
          <w:szCs w:val="24"/>
        </w:rPr>
        <w:t>关于竣工验收程序的约定：</w:t>
      </w:r>
      <w:r>
        <w:rPr>
          <w:rFonts w:hint="eastAsia" w:ascii="仿宋" w:hAnsi="仿宋" w:eastAsia="仿宋" w:cs="仿宋"/>
          <w:color w:val="auto"/>
          <w:sz w:val="24"/>
          <w:szCs w:val="24"/>
          <w:highlight w:val="none"/>
          <w:u w:val="single"/>
        </w:rPr>
        <w:t>1工程具备竣工验收条件，承包人按国家工程竣工验收有关规定，向发包人提供完整竣工资料及竣工验收报告。承包人向发包人提供竣工图 3 套。</w:t>
      </w:r>
    </w:p>
    <w:p w14:paraId="276101F1">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2发包人收到竣工验收报告后28天内组织有关单位验收，并在验收后14天内给予认可或提出修改意见。承包人按要求修改，并承担由自身原因造成修改的费用。</w:t>
      </w:r>
    </w:p>
    <w:p w14:paraId="79E743E2">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3中间交工工程的验收程序按本通用条款1款至2款办理，其范围和竣工时间为： 无  。</w:t>
      </w:r>
    </w:p>
    <w:p w14:paraId="53D8423E">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4工程在电梯验收、人防验收、消防验收、环保验收、卫生防疫验收、规划验收等专业验收通过后，方可进行四方验收、质量监督站核验等综合验收。</w:t>
      </w:r>
    </w:p>
    <w:p w14:paraId="512E46DA">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5因特殊原因，发包人要求部分单位工程或工程部位甩项竣工的，双方另行签订甩项竣工协议，明确双方责任和工程价款的支付方法。 </w:t>
      </w:r>
    </w:p>
    <w:p w14:paraId="753BD09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auto"/>
          <w:sz w:val="24"/>
          <w:szCs w:val="24"/>
          <w:highlight w:val="none"/>
          <w:u w:val="single"/>
        </w:rPr>
        <w:t xml:space="preserve">6按通用条款执行，承包人对竣工验收问题的整改时限最高为60天，超过规定时间仍未完成整改，视为未通过竣工验收，重新组织验收，并按5000元/条问题向发包人支付违约金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3B1F687">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发包人不按照本项约定组织竣工验收、颁发工程接收证书的违约金的计算方法：</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C0D2AD5">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13.2.5移交、接收全部与部分工程</w:t>
      </w:r>
    </w:p>
    <w:p w14:paraId="7B6D700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承包人向发包人移交工程的期限：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颁发工程接收证书后7天内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5FFAD9">
      <w:pPr>
        <w:spacing w:line="360" w:lineRule="auto"/>
        <w:ind w:firstLine="480" w:firstLineChars="200"/>
        <w:jc w:val="left"/>
        <w:rPr>
          <w:rFonts w:hint="eastAsia" w:ascii="仿宋" w:hAnsi="仿宋" w:eastAsia="仿宋" w:cs="仿宋"/>
          <w:color w:val="000000"/>
          <w:sz w:val="24"/>
          <w:szCs w:val="24"/>
          <w:u w:val="single"/>
        </w:rPr>
      </w:pPr>
      <w:r>
        <w:rPr>
          <w:rFonts w:hint="eastAsia" w:ascii="仿宋" w:hAnsi="仿宋" w:eastAsia="仿宋" w:cs="仿宋"/>
          <w:color w:val="000000"/>
          <w:kern w:val="0"/>
          <w:sz w:val="24"/>
          <w:szCs w:val="24"/>
        </w:rPr>
        <w:t>发包人未按本合同约定接收全部或部分工程的，违约金的计算方法为：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发包人自应当接收工程之日起，承担工程照管、成品保护、保管等与工程有关的各项费用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DE2EF52">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承包人未按时移交工程的，违约金的计算方法为：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承包人应承担工程照管、成品保护、保管等与工程有关的各项费用，并按10000元/天向发包人支付违约金 </w:t>
      </w:r>
      <w:r>
        <w:rPr>
          <w:rFonts w:hint="eastAsia" w:ascii="仿宋" w:hAnsi="仿宋" w:eastAsia="仿宋" w:cs="仿宋"/>
          <w:color w:val="000000"/>
          <w:sz w:val="24"/>
          <w:szCs w:val="24"/>
        </w:rPr>
        <w:t>。</w:t>
      </w:r>
    </w:p>
    <w:p w14:paraId="27EEC857">
      <w:pPr>
        <w:spacing w:after="120" w:line="360" w:lineRule="auto"/>
        <w:ind w:firstLine="482" w:firstLineChars="200"/>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13.3 工程试车</w:t>
      </w:r>
    </w:p>
    <w:p w14:paraId="1359154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13.3.1 试车程序</w:t>
      </w:r>
    </w:p>
    <w:p w14:paraId="2B928B6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工程试车内容：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34A65B">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（1）单机无负荷试车费用由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0C1324F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（2）无负荷联动试车费用由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承担。</w:t>
      </w:r>
    </w:p>
    <w:p w14:paraId="588F61AD">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13.3.3 投料试车</w:t>
      </w:r>
    </w:p>
    <w:p w14:paraId="5C217402">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关于投料试车相关事项的约定：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DE1BFB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13.6 竣工退场</w:t>
      </w:r>
    </w:p>
    <w:p w14:paraId="173ECE24">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13.6.1 竣工退场</w:t>
      </w:r>
    </w:p>
    <w:p w14:paraId="46A1149B">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承包人完成竣工退场的期限：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工程接收证书颁发后15天内，承包人负责按照通用条款要求对施工场地进行清理并承担相关费用，直至监理人检验合格为止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65CD8F13">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14. 竣工结算</w:t>
      </w:r>
    </w:p>
    <w:p w14:paraId="3BE90E29">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14.1 竣工结算申请</w:t>
      </w:r>
    </w:p>
    <w:p w14:paraId="3AD194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承包人提交竣工结算申请单的期限：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86F1FF">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color w:val="000000"/>
          <w:sz w:val="24"/>
          <w:szCs w:val="24"/>
        </w:rPr>
        <w:t>竣工结算申请单应包括的内容：</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ECA8B3E">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14.2 竣工结算审核</w:t>
      </w:r>
    </w:p>
    <w:p w14:paraId="22E1093A">
      <w:pPr>
        <w:spacing w:line="360" w:lineRule="auto"/>
        <w:ind w:firstLine="480" w:firstLineChars="200"/>
        <w:jc w:val="left"/>
        <w:outlineLvl w:val="9"/>
        <w:rPr>
          <w:rFonts w:hint="eastAsia" w:ascii="仿宋" w:hAnsi="仿宋" w:eastAsia="仿宋" w:cs="仿宋"/>
          <w:sz w:val="24"/>
          <w:szCs w:val="24"/>
        </w:rPr>
      </w:pPr>
      <w:r>
        <w:rPr>
          <w:rFonts w:hint="eastAsia" w:ascii="仿宋" w:hAnsi="仿宋" w:eastAsia="仿宋" w:cs="仿宋"/>
          <w:sz w:val="24"/>
          <w:szCs w:val="24"/>
        </w:rPr>
        <w:t>发包人审批竣工付款申请单的期限：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F791E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sz w:val="24"/>
          <w:szCs w:val="24"/>
        </w:rPr>
        <w:t>发包人完成竣工付款的期限：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C6E857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关于竣工付款证书异议部分复核的方式和程序：</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4AE0E8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14.4 最终结清</w:t>
      </w:r>
    </w:p>
    <w:p w14:paraId="7FB3058F">
      <w:pPr>
        <w:spacing w:line="360" w:lineRule="auto"/>
        <w:ind w:firstLine="480" w:firstLineChars="200"/>
        <w:jc w:val="left"/>
        <w:rPr>
          <w:rFonts w:hint="eastAsia" w:ascii="仿宋" w:hAnsi="仿宋" w:eastAsia="仿宋" w:cs="仿宋"/>
          <w:b w:val="0"/>
          <w:bCs w:val="0"/>
          <w:color w:val="000000"/>
          <w:kern w:val="0"/>
          <w:sz w:val="24"/>
          <w:szCs w:val="24"/>
        </w:rPr>
      </w:pPr>
      <w:r>
        <w:rPr>
          <w:rFonts w:hint="eastAsia" w:ascii="仿宋" w:hAnsi="仿宋" w:eastAsia="仿宋" w:cs="仿宋"/>
          <w:b w:val="0"/>
          <w:bCs w:val="0"/>
          <w:color w:val="000000"/>
          <w:kern w:val="0"/>
          <w:sz w:val="24"/>
          <w:szCs w:val="24"/>
        </w:rPr>
        <w:t>14.4.1 最终结清申请单</w:t>
      </w:r>
    </w:p>
    <w:p w14:paraId="0A7A6337">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承包人提交最终结清申请单的份数：</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8C6248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承包人提交最终结算申请单的期限：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r>
        <w:rPr>
          <w:rFonts w:hint="eastAsia" w:ascii="仿宋" w:hAnsi="仿宋" w:eastAsia="仿宋" w:cs="仿宋"/>
          <w:sz w:val="24"/>
          <w:szCs w:val="24"/>
        </w:rPr>
        <w:t xml:space="preserve"> </w:t>
      </w:r>
    </w:p>
    <w:p w14:paraId="1907DF8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14.4.2 最终结清证书和支付</w:t>
      </w:r>
    </w:p>
    <w:p w14:paraId="002F9E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（1）发包人完成最终结清申请单的审批并颁发最终结清证书的期限：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30FE2D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（2）发包人完成支付的期限：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执行通用合同条款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38BD5D8">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15. 缺陷责任期与保修</w:t>
      </w:r>
    </w:p>
    <w:p w14:paraId="15A97567">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15.2缺陷责任期</w:t>
      </w:r>
    </w:p>
    <w:p w14:paraId="16A2290C">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缺陷责任期的具体期限：</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A530F1">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15.3 质量保证金</w:t>
      </w:r>
    </w:p>
    <w:p w14:paraId="77547E4D">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关于是否扣留质量保证金的约定：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 xml:space="preserve"> 执行合同附件建筑工程质量保修书规定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。在工程项目竣工前，承包人按专用合同条款第3.7条提供履约担保的，发包人不得同时预留工程质量保证金。</w:t>
      </w:r>
    </w:p>
    <w:p w14:paraId="205518A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15.3.1 承包人提供质量保证金的方式</w:t>
      </w:r>
    </w:p>
    <w:p w14:paraId="45FCD39F">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质量保证金采用以下第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66411F5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（1）质量保证金保函，保证金额为：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 xml:space="preserve">； </w:t>
      </w:r>
    </w:p>
    <w:p w14:paraId="670AC0B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3</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%的工程款；</w:t>
      </w:r>
    </w:p>
    <w:p w14:paraId="705BCBBF">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DF0B20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15.3.2 质量保证金的扣留 </w:t>
      </w:r>
    </w:p>
    <w:p w14:paraId="0A9A4EDE">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质量保证金的扣留采取以下第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30975380">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（1）在支付工程进度款时逐次扣留，在此情形下，质量保证金的计算基数不包括预付款的支付、扣回以及价格调整的金额；</w:t>
      </w:r>
    </w:p>
    <w:p w14:paraId="3E925F46">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（2）工程竣工结算时一次性扣留质量保证金；</w:t>
      </w:r>
    </w:p>
    <w:p w14:paraId="46897D67">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（3）其他扣留方式: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961B329">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关于质量保证金的补充约定：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7D60C2F">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15.4保修</w:t>
      </w:r>
    </w:p>
    <w:p w14:paraId="7AF034EA">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15.4.1 保修责任</w:t>
      </w:r>
    </w:p>
    <w:p w14:paraId="3907FE98">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工程保修期为：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见工程质量保修书</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42E9BC9">
      <w:pPr>
        <w:spacing w:line="360" w:lineRule="auto"/>
        <w:ind w:firstLine="468"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15.4.3 修复通知</w:t>
      </w:r>
    </w:p>
    <w:p w14:paraId="51261A00">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承包人收到保修通知并到达工程现场的合理时间：</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sz w:val="24"/>
          <w:szCs w:val="24"/>
          <w:highlight w:val="none"/>
          <w:u w:val="single"/>
        </w:rPr>
        <w:t xml:space="preserve">发包人可以口头通知承包人并在口头通知后48小时内书面确认，承包人应在24小时期限内到达工程现场并修复缺陷或损坏；紧急情况必须于12小时内到达。若承包人未按约定时间达到现场并修复缺陷或损坏，则发包人有权自行或委托第三方进行修复缺陷或损坏，因此产生的所有费用，发包人有权在未经承包人同意的情况下自行从结算款或质量保证金中扣除  </w:t>
      </w:r>
      <w:r>
        <w:rPr>
          <w:rFonts w:hint="eastAsia" w:ascii="仿宋" w:hAnsi="仿宋" w:eastAsia="仿宋" w:cs="仿宋"/>
          <w:color w:val="000000"/>
          <w:kern w:val="0"/>
          <w:sz w:val="24"/>
          <w:szCs w:val="24"/>
        </w:rPr>
        <w:t>。</w:t>
      </w:r>
    </w:p>
    <w:p w14:paraId="3D1EF59A">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16. 违约</w:t>
      </w:r>
    </w:p>
    <w:p w14:paraId="7A26AD0A">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16.1 发包人违约</w:t>
      </w:r>
    </w:p>
    <w:p w14:paraId="51219111">
      <w:pPr>
        <w:spacing w:line="360" w:lineRule="auto"/>
        <w:ind w:firstLine="480" w:firstLineChars="200"/>
        <w:jc w:val="left"/>
        <w:outlineLvl w:val="9"/>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16.1.1发包人违约的情形</w:t>
      </w:r>
    </w:p>
    <w:p w14:paraId="7E8FE608">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605FBB2">
      <w:pPr>
        <w:spacing w:line="360" w:lineRule="auto"/>
        <w:ind w:left="1500" w:hanging="1200" w:hangingChars="5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16.1.2 发包人违约的责任</w:t>
      </w:r>
    </w:p>
    <w:p w14:paraId="19BF95D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发包人违约责任的承担方式和计算方法：</w:t>
      </w:r>
    </w:p>
    <w:p w14:paraId="3A71393A">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（1）因发包人原因未能在计划开工日期前7天内下达开工通知的违约责任：</w:t>
      </w:r>
      <w:r>
        <w:rPr>
          <w:rFonts w:hint="eastAsia" w:ascii="仿宋" w:hAnsi="仿宋" w:eastAsia="仿宋" w:cs="仿宋"/>
          <w:color w:val="auto"/>
          <w:kern w:val="0"/>
          <w:sz w:val="24"/>
          <w:szCs w:val="24"/>
          <w:highlight w:val="none"/>
          <w:u w:val="single"/>
        </w:rPr>
        <w:t>工期顺延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E0F42E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（2）因发包人原因未能按合同约定支付合同价款的违约责任：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49BBC3A">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（3）发包人违反第10.1款〔变更的范围〕第（2）项约定，自行实施被取消的工作或转由他人实施的违约责任：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双方另行协商</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53A2ED9">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发包人提供的材料、工程设备的规格或质量不符合合同约定的，由发包人负责更换；发包人提供的材料、工程设备的数量不符合合同约定的，数量不足的由发包人在双方约定时间内补齐，数量超出的，由承包人退回发包人；因发包人原因导致交货日期延误，若影响工期的发包人予以顺延工期；因发包人原因导致交货地点变更等情况的，由发包人负责倒运或发包人委托承包人倒运，费用发包人承担</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6340E9F">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（5）因发包人违反合同约定造成暂停施工的违约责任：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75530F21">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（6）发包人无正当理由没有在约定期限内发出复工指示，导致承包人无法复工的违约责任：</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若影响工期的，工期予以顺延</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6D596EE5">
      <w:pPr>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（7）其他：</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双方协商解决</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109317A">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16.1.3 因发包人违约解除合同</w:t>
      </w:r>
    </w:p>
    <w:p w14:paraId="05093F03">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承包人按16.1.1项〔发包人违约的情形〕约定暂停施工满</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30</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天后发包人仍不纠正其违约行为并致使合同目的不能实现的，承包人有权解除合同。</w:t>
      </w:r>
    </w:p>
    <w:p w14:paraId="622BE92D">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16.2 承包人违约</w:t>
      </w:r>
    </w:p>
    <w:p w14:paraId="187A70A7">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16.2.1 承包人违约的情形</w:t>
      </w:r>
    </w:p>
    <w:p w14:paraId="3A211312">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（1）承包人不得</w:t>
      </w:r>
      <w:r>
        <w:rPr>
          <w:rFonts w:hint="eastAsia" w:ascii="仿宋" w:hAnsi="仿宋" w:eastAsia="仿宋" w:cs="仿宋"/>
          <w:color w:val="auto"/>
          <w:kern w:val="0"/>
          <w:sz w:val="24"/>
          <w:szCs w:val="24"/>
          <w:highlight w:val="none"/>
          <w:u w:val="single"/>
          <w:lang w:val="en-US" w:eastAsia="zh-CN"/>
        </w:rPr>
        <w:t>随意</w:t>
      </w:r>
      <w:r>
        <w:rPr>
          <w:rFonts w:hint="eastAsia" w:ascii="仿宋" w:hAnsi="仿宋" w:eastAsia="仿宋" w:cs="仿宋"/>
          <w:color w:val="auto"/>
          <w:kern w:val="0"/>
          <w:sz w:val="24"/>
          <w:szCs w:val="24"/>
          <w:highlight w:val="none"/>
          <w:u w:val="single"/>
        </w:rPr>
        <w:t>更换</w:t>
      </w:r>
      <w:r>
        <w:rPr>
          <w:rFonts w:hint="eastAsia" w:ascii="仿宋" w:hAnsi="仿宋" w:eastAsia="仿宋" w:cs="仿宋"/>
          <w:color w:val="auto"/>
          <w:kern w:val="0"/>
          <w:sz w:val="24"/>
          <w:szCs w:val="24"/>
          <w:highlight w:val="none"/>
          <w:u w:val="single"/>
          <w:lang w:val="en-US" w:eastAsia="zh-CN"/>
        </w:rPr>
        <w:t>投标文件约定</w:t>
      </w:r>
      <w:r>
        <w:rPr>
          <w:rFonts w:hint="eastAsia" w:ascii="仿宋" w:hAnsi="仿宋" w:eastAsia="仿宋" w:cs="仿宋"/>
          <w:color w:val="auto"/>
          <w:kern w:val="0"/>
          <w:sz w:val="24"/>
          <w:szCs w:val="24"/>
          <w:highlight w:val="none"/>
          <w:u w:val="single"/>
        </w:rPr>
        <w:t>项目经理。承包人擅自更换项目经理，应按</w:t>
      </w:r>
      <w:r>
        <w:rPr>
          <w:rFonts w:hint="eastAsia" w:ascii="仿宋" w:hAnsi="仿宋" w:eastAsia="仿宋" w:cs="仿宋"/>
          <w:color w:val="auto"/>
          <w:kern w:val="0"/>
          <w:sz w:val="24"/>
          <w:szCs w:val="24"/>
          <w:highlight w:val="none"/>
          <w:u w:val="single"/>
          <w:lang w:val="en-US" w:eastAsia="zh-CN"/>
        </w:rPr>
        <w:t>5</w:t>
      </w:r>
      <w:r>
        <w:rPr>
          <w:rFonts w:hint="eastAsia" w:ascii="仿宋" w:hAnsi="仿宋" w:eastAsia="仿宋" w:cs="仿宋"/>
          <w:color w:val="auto"/>
          <w:kern w:val="0"/>
          <w:sz w:val="24"/>
          <w:szCs w:val="24"/>
          <w:highlight w:val="none"/>
          <w:u w:val="single"/>
        </w:rPr>
        <w:t>万元/人·次的标准向发包人支付违约金。如需要更换项目技术负责人及其它专业工程师，应至少提前15天以书面形式通知发包人，并征得发包人同意；后任继续行使合同文件约定的前任的职权，履行前任的义务</w:t>
      </w:r>
      <w:r>
        <w:rPr>
          <w:rFonts w:hint="eastAsia" w:ascii="仿宋" w:hAnsi="仿宋" w:eastAsia="仿宋" w:cs="仿宋"/>
          <w:color w:val="auto"/>
          <w:kern w:val="0"/>
          <w:sz w:val="24"/>
          <w:szCs w:val="24"/>
          <w:u w:val="single"/>
        </w:rPr>
        <w:t xml:space="preserve">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514A38E">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16.2.2承包人违约的责任</w:t>
      </w:r>
    </w:p>
    <w:p w14:paraId="390D78D8">
      <w:pPr>
        <w:spacing w:line="360" w:lineRule="auto"/>
        <w:ind w:left="1199" w:leftChars="228" w:hanging="720" w:hangingChars="3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承包人违约责任的承担方式和计算方法：</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01069CC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16.2.3 因承包人违约解除合同</w:t>
      </w:r>
    </w:p>
    <w:p w14:paraId="249B4B5E">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关于承包人违约解除合同的特别约定：</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000000"/>
          <w:kern w:val="0"/>
          <w:sz w:val="24"/>
          <w:szCs w:val="24"/>
          <w:u w:val="single"/>
          <w:lang w:val="en-US" w:eastAsia="zh-CN"/>
        </w:rPr>
        <w:t>1</w:t>
      </w:r>
      <w:r>
        <w:rPr>
          <w:rFonts w:hint="eastAsia" w:ascii="仿宋" w:hAnsi="仿宋" w:eastAsia="仿宋" w:cs="仿宋"/>
          <w:color w:val="000000"/>
          <w:kern w:val="0"/>
          <w:sz w:val="24"/>
          <w:szCs w:val="24"/>
          <w:u w:val="single"/>
          <w:lang w:eastAsia="zh-CN"/>
        </w:rPr>
        <w:t>）</w:t>
      </w:r>
      <w:r>
        <w:rPr>
          <w:rFonts w:hint="eastAsia" w:ascii="仿宋" w:hAnsi="仿宋" w:eastAsia="仿宋" w:cs="仿宋"/>
          <w:color w:val="auto"/>
          <w:kern w:val="0"/>
          <w:sz w:val="24"/>
          <w:szCs w:val="24"/>
          <w:highlight w:val="none"/>
          <w:u w:val="single"/>
        </w:rPr>
        <w:t>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r>
        <w:rPr>
          <w:rFonts w:hint="eastAsia" w:ascii="仿宋" w:hAnsi="仿宋" w:eastAsia="仿宋" w:cs="仿宋"/>
          <w:color w:val="000000"/>
          <w:kern w:val="0"/>
          <w:sz w:val="24"/>
          <w:szCs w:val="24"/>
        </w:rPr>
        <w:t>。</w:t>
      </w:r>
    </w:p>
    <w:p w14:paraId="6EB52E3F">
      <w:pPr>
        <w:spacing w:before="120" w:after="120" w:line="360" w:lineRule="auto"/>
        <w:ind w:firstLine="480"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发包人继续使用承包人在施工现场的材料、设备、临时工程、承包人文件和由承包人或以其名义编制的其他文件的费用承担方式：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无</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19EABFB">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17. 不可抗力 </w:t>
      </w:r>
    </w:p>
    <w:p w14:paraId="7D7A0616">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17.1 不可抗力的确认</w:t>
      </w:r>
    </w:p>
    <w:p w14:paraId="603D499C">
      <w:pPr>
        <w:spacing w:line="360" w:lineRule="auto"/>
        <w:ind w:firstLine="480" w:firstLineChars="200"/>
        <w:jc w:val="left"/>
        <w:outlineLvl w:val="9"/>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执行通用条款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55A4F9A8">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17.4 因不可抗力解除合同</w:t>
      </w:r>
    </w:p>
    <w:p w14:paraId="1D4C86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合同解除后，发包人应在商定或确定发包人应支付款项后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30</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天内完成款项的支付。</w:t>
      </w:r>
    </w:p>
    <w:p w14:paraId="3C90E204">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 保险</w:t>
      </w:r>
    </w:p>
    <w:p w14:paraId="1CCD08AE">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18.1 工程保险</w:t>
      </w:r>
    </w:p>
    <w:p w14:paraId="2929DACB">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关于工程保险的特别约定：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 xml:space="preserve"> 发包人投保内容是建筑物及附属设备，承包人投保内容是施工人员意外伤害险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34CACE4B">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18.3 其他保险</w:t>
      </w:r>
    </w:p>
    <w:p w14:paraId="3894194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关于其他保险的约定：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auto"/>
          <w:kern w:val="0"/>
          <w:sz w:val="24"/>
          <w:szCs w:val="24"/>
          <w:highlight w:val="none"/>
          <w:u w:val="single"/>
        </w:rPr>
        <w:t>由承包人承担施工现场的全部人员办理意外伤害保险并支付保险费用，以上全部人员包括发包人和承包人员工以及为履行合同聘请的第三方人员</w:t>
      </w:r>
      <w:r>
        <w:rPr>
          <w:rFonts w:hint="eastAsia" w:ascii="仿宋" w:hAnsi="仿宋" w:eastAsia="仿宋" w:cs="仿宋"/>
          <w:color w:val="auto"/>
          <w:kern w:val="0"/>
          <w:sz w:val="24"/>
          <w:szCs w:val="24"/>
          <w:highlight w:val="none"/>
          <w:u w:val="single"/>
          <w:lang w:eastAsia="zh-CN"/>
        </w:rPr>
        <w:t>，</w:t>
      </w:r>
      <w:r>
        <w:rPr>
          <w:rFonts w:hint="eastAsia" w:ascii="仿宋" w:hAnsi="仿宋" w:eastAsia="仿宋" w:cs="仿宋"/>
          <w:color w:val="auto"/>
          <w:kern w:val="0"/>
          <w:sz w:val="24"/>
          <w:szCs w:val="24"/>
          <w:highlight w:val="none"/>
          <w:u w:val="single"/>
          <w:lang w:val="en-US" w:eastAsia="zh-CN"/>
        </w:rPr>
        <w:t>费用已包含在合同价款中</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22D45B8">
      <w:pPr>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sz w:val="24"/>
          <w:szCs w:val="24"/>
        </w:rPr>
        <w:t>承包人是否应为其施工设备等办理财产保险：</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FDC4C7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18.7 通知义务</w:t>
      </w:r>
    </w:p>
    <w:p w14:paraId="31D5E091">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关于变更保险合同时的通知义务的约定：</w:t>
      </w:r>
      <w:r>
        <w:rPr>
          <w:rFonts w:hint="eastAsia" w:ascii="仿宋" w:hAnsi="仿宋" w:eastAsia="仿宋" w:cs="仿宋"/>
          <w:color w:val="000000"/>
          <w:sz w:val="24"/>
          <w:szCs w:val="24"/>
          <w:u w:val="single"/>
        </w:rPr>
        <w:t xml:space="preserve">  </w:t>
      </w:r>
      <w:r>
        <w:rPr>
          <w:rFonts w:hint="eastAsia" w:ascii="仿宋" w:hAnsi="仿宋" w:eastAsia="仿宋" w:cs="仿宋"/>
          <w:color w:val="auto"/>
          <w:kern w:val="0"/>
          <w:sz w:val="24"/>
          <w:szCs w:val="24"/>
          <w:highlight w:val="none"/>
          <w:u w:val="single"/>
        </w:rPr>
        <w:t>执行通用条款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58D9657">
      <w:pPr>
        <w:spacing w:before="120" w:after="120" w:line="360" w:lineRule="auto"/>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 争议解决</w:t>
      </w:r>
    </w:p>
    <w:p w14:paraId="03D67BB4">
      <w:pPr>
        <w:spacing w:after="120" w:line="360" w:lineRule="auto"/>
        <w:ind w:firstLine="482" w:firstLineChars="200"/>
        <w:outlineLvl w:val="9"/>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20.3 争议评审</w:t>
      </w:r>
    </w:p>
    <w:p w14:paraId="568EBE61">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合同当事人是否同意将工程争议提交争议评审小组决定：</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highlight w:val="none"/>
          <w:u w:val="single"/>
        </w:rPr>
        <w:t>本项目争议按照合同通用条款中和解、调解、仲裁或诉讼的方式解决，不进行争议评审。</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3F1D00A">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20.3.1 争议评审小组的确定</w:t>
      </w:r>
    </w:p>
    <w:p w14:paraId="0D229369">
      <w:pPr>
        <w:spacing w:line="360" w:lineRule="auto"/>
        <w:ind w:firstLine="480" w:firstLineChars="200"/>
        <w:jc w:val="left"/>
        <w:outlineLvl w:val="9"/>
        <w:rPr>
          <w:rFonts w:hint="eastAsia" w:ascii="仿宋" w:hAnsi="仿宋" w:eastAsia="仿宋" w:cs="仿宋"/>
          <w:color w:val="000000"/>
          <w:sz w:val="24"/>
          <w:szCs w:val="24"/>
          <w:u w:val="single"/>
        </w:rPr>
      </w:pPr>
      <w:r>
        <w:rPr>
          <w:rFonts w:hint="eastAsia" w:ascii="仿宋" w:hAnsi="仿宋" w:eastAsia="仿宋" w:cs="仿宋"/>
          <w:color w:val="000000"/>
          <w:sz w:val="24"/>
          <w:szCs w:val="24"/>
        </w:rPr>
        <w:t>争议评审小组成员的确定：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33BFE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选定争议评审员的期限：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96C4E8B">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争议评审小组成员的报酬承担方式：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42EA01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其他事项的约定：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1E7AB63">
      <w:pPr>
        <w:autoSpaceDE w:val="0"/>
        <w:autoSpaceDN w:val="0"/>
        <w:adjustRightInd w:val="0"/>
        <w:spacing w:line="360" w:lineRule="auto"/>
        <w:ind w:firstLine="480" w:firstLineChars="200"/>
        <w:jc w:val="left"/>
        <w:outlineLvl w:val="9"/>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20.3.2 争议评审小组的决定</w:t>
      </w:r>
    </w:p>
    <w:p w14:paraId="497DC232">
      <w:pPr>
        <w:spacing w:line="360" w:lineRule="auto"/>
        <w:ind w:firstLine="480" w:firstLineChars="200"/>
        <w:jc w:val="left"/>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合同当事人关于本项的约定：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96E2722">
      <w:pPr>
        <w:spacing w:after="120" w:line="360" w:lineRule="auto"/>
        <w:ind w:firstLine="482" w:firstLineChars="200"/>
        <w:outlineLvl w:val="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20.4仲裁或诉讼</w:t>
      </w:r>
    </w:p>
    <w:p w14:paraId="2E4D9669">
      <w:pPr>
        <w:spacing w:after="120" w:line="360" w:lineRule="auto"/>
        <w:ind w:firstLine="480" w:firstLineChars="20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因合同及合同有关事项发生的争议，按下列第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种方式解决：</w:t>
      </w:r>
    </w:p>
    <w:p w14:paraId="32AB1B94">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仲裁委员会申请仲裁；</w:t>
      </w:r>
    </w:p>
    <w:p w14:paraId="2FD62488">
      <w:pPr>
        <w:spacing w:line="360" w:lineRule="auto"/>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工程所在地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人民法院起诉。</w:t>
      </w:r>
    </w:p>
    <w:bookmarkEnd w:id="111"/>
    <w:p w14:paraId="21632759">
      <w:pPr>
        <w:pStyle w:val="14"/>
        <w:rPr>
          <w:rFonts w:hint="eastAsia" w:ascii="仿宋" w:hAnsi="仿宋" w:eastAsia="仿宋" w:cs="仿宋"/>
          <w:sz w:val="24"/>
          <w:szCs w:val="24"/>
          <w:lang w:val="zh-CN"/>
        </w:rPr>
        <w:sectPr>
          <w:headerReference r:id="rId6" w:type="default"/>
          <w:footerReference r:id="rId7" w:type="default"/>
          <w:pgSz w:w="11906" w:h="16838"/>
          <w:pgMar w:top="1440" w:right="1080" w:bottom="1440" w:left="1080" w:header="851" w:footer="992" w:gutter="0"/>
          <w:cols w:space="720" w:num="1"/>
          <w:docGrid w:linePitch="312" w:charSpace="0"/>
        </w:sectPr>
      </w:pPr>
    </w:p>
    <w:p w14:paraId="79E74C16">
      <w:pPr>
        <w:spacing w:line="440" w:lineRule="exact"/>
        <w:rPr>
          <w:rFonts w:hint="eastAsia" w:ascii="仿宋" w:hAnsi="仿宋" w:eastAsia="仿宋" w:cs="仿宋"/>
          <w:color w:val="auto"/>
          <w:sz w:val="24"/>
          <w:szCs w:val="24"/>
          <w:highlight w:val="none"/>
        </w:rPr>
      </w:pPr>
      <w:bookmarkStart w:id="199" w:name="_Toc32310"/>
      <w:bookmarkStart w:id="200" w:name="_Toc25626"/>
      <w:r>
        <w:rPr>
          <w:rFonts w:hint="eastAsia" w:ascii="仿宋" w:hAnsi="仿宋" w:eastAsia="仿宋" w:cs="仿宋"/>
          <w:color w:val="auto"/>
          <w:sz w:val="24"/>
          <w:szCs w:val="24"/>
          <w:highlight w:val="none"/>
        </w:rPr>
        <w:t>附</w:t>
      </w:r>
      <w:bookmarkStart w:id="201" w:name="_Toc296944565"/>
      <w:bookmarkStart w:id="202" w:name="_Toc296347225"/>
      <w:bookmarkStart w:id="203" w:name="_Toc296346727"/>
      <w:bookmarkStart w:id="204" w:name="_Toc267261693"/>
      <w:bookmarkStart w:id="205" w:name="_Toc296891266"/>
      <w:bookmarkStart w:id="206" w:name="_Toc296891054"/>
      <w:bookmarkStart w:id="207" w:name="_Toc296503226"/>
      <w:r>
        <w:rPr>
          <w:rFonts w:hint="eastAsia" w:ascii="仿宋" w:hAnsi="仿宋" w:eastAsia="仿宋" w:cs="仿宋"/>
          <w:color w:val="auto"/>
          <w:sz w:val="24"/>
          <w:szCs w:val="24"/>
          <w:highlight w:val="none"/>
        </w:rPr>
        <w:t>件3：</w:t>
      </w:r>
      <w:bookmarkEnd w:id="199"/>
      <w:bookmarkEnd w:id="200"/>
      <w:bookmarkEnd w:id="201"/>
      <w:bookmarkEnd w:id="202"/>
      <w:bookmarkEnd w:id="203"/>
      <w:bookmarkEnd w:id="204"/>
      <w:bookmarkEnd w:id="205"/>
      <w:bookmarkEnd w:id="206"/>
      <w:bookmarkEnd w:id="207"/>
      <w:r>
        <w:rPr>
          <w:rFonts w:hint="eastAsia" w:ascii="仿宋" w:hAnsi="仿宋" w:eastAsia="仿宋" w:cs="仿宋"/>
          <w:color w:val="auto"/>
          <w:sz w:val="24"/>
          <w:szCs w:val="24"/>
          <w:highlight w:val="none"/>
        </w:rPr>
        <w:t xml:space="preserve">    </w:t>
      </w:r>
    </w:p>
    <w:p w14:paraId="454369B4">
      <w:pPr>
        <w:spacing w:before="156" w:beforeLines="50" w:after="156" w:afterLines="50" w:line="440" w:lineRule="exact"/>
        <w:jc w:val="center"/>
        <w:rPr>
          <w:rFonts w:hint="eastAsia" w:ascii="仿宋" w:hAnsi="仿宋" w:eastAsia="仿宋" w:cs="仿宋"/>
          <w:color w:val="auto"/>
          <w:sz w:val="24"/>
          <w:szCs w:val="24"/>
          <w:highlight w:val="none"/>
        </w:rPr>
      </w:pPr>
      <w:bookmarkStart w:id="208" w:name="_Toc18181"/>
      <w:bookmarkStart w:id="209" w:name="_Toc28480"/>
      <w:r>
        <w:rPr>
          <w:rFonts w:hint="eastAsia" w:ascii="仿宋" w:hAnsi="仿宋" w:eastAsia="仿宋" w:cs="仿宋"/>
          <w:color w:val="auto"/>
          <w:sz w:val="24"/>
          <w:szCs w:val="24"/>
          <w:highlight w:val="none"/>
        </w:rPr>
        <w:t>工程质量保修书</w:t>
      </w:r>
      <w:bookmarkEnd w:id="208"/>
      <w:bookmarkEnd w:id="209"/>
    </w:p>
    <w:p w14:paraId="6F62E4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75BE23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CF47C3C">
      <w:pPr>
        <w:spacing w:line="360" w:lineRule="auto"/>
        <w:ind w:firstLine="480" w:firstLineChars="200"/>
        <w:rPr>
          <w:rFonts w:hint="eastAsia" w:ascii="仿宋" w:hAnsi="仿宋" w:eastAsia="仿宋" w:cs="仿宋"/>
          <w:color w:val="auto"/>
          <w:sz w:val="24"/>
          <w:szCs w:val="24"/>
          <w:highlight w:val="none"/>
        </w:rPr>
      </w:pPr>
    </w:p>
    <w:p w14:paraId="7B2A40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（工程全称）签订工程质量保修书。</w:t>
      </w:r>
    </w:p>
    <w:p w14:paraId="106E289C">
      <w:pPr>
        <w:spacing w:line="360" w:lineRule="auto"/>
        <w:rPr>
          <w:rFonts w:hint="eastAsia" w:ascii="仿宋" w:hAnsi="仿宋" w:eastAsia="仿宋" w:cs="仿宋"/>
          <w:color w:val="auto"/>
          <w:sz w:val="24"/>
          <w:szCs w:val="24"/>
          <w:highlight w:val="none"/>
        </w:rPr>
      </w:pPr>
      <w:bookmarkStart w:id="210" w:name="_Toc24261"/>
      <w:bookmarkStart w:id="211" w:name="_Toc3647"/>
      <w:bookmarkStart w:id="212" w:name="_Toc510449992"/>
      <w:bookmarkStart w:id="213" w:name="_Toc508702756"/>
      <w:bookmarkStart w:id="214" w:name="_Toc526085915"/>
      <w:bookmarkStart w:id="215" w:name="_Toc508703914"/>
      <w:r>
        <w:rPr>
          <w:rFonts w:hint="eastAsia" w:ascii="仿宋" w:hAnsi="仿宋" w:eastAsia="仿宋" w:cs="仿宋"/>
          <w:color w:val="auto"/>
          <w:sz w:val="24"/>
          <w:szCs w:val="24"/>
          <w:highlight w:val="none"/>
        </w:rPr>
        <w:t>一、工程质量保修范围和内容</w:t>
      </w:r>
      <w:bookmarkEnd w:id="210"/>
      <w:bookmarkEnd w:id="211"/>
      <w:bookmarkEnd w:id="212"/>
      <w:bookmarkEnd w:id="213"/>
      <w:bookmarkEnd w:id="214"/>
      <w:bookmarkEnd w:id="215"/>
    </w:p>
    <w:p w14:paraId="19C745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66B6A7B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承包人对承包范围内的全部施工工程均实行保修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3A95964">
      <w:pPr>
        <w:spacing w:line="360" w:lineRule="auto"/>
        <w:rPr>
          <w:rFonts w:hint="eastAsia" w:ascii="仿宋" w:hAnsi="仿宋" w:eastAsia="仿宋" w:cs="仿宋"/>
          <w:color w:val="auto"/>
          <w:sz w:val="24"/>
          <w:szCs w:val="24"/>
          <w:highlight w:val="none"/>
        </w:rPr>
      </w:pPr>
      <w:bookmarkStart w:id="216" w:name="_Toc1326"/>
      <w:bookmarkStart w:id="217" w:name="_Toc510449993"/>
      <w:bookmarkStart w:id="218" w:name="_Toc23197"/>
      <w:bookmarkStart w:id="219" w:name="_Toc526085916"/>
      <w:bookmarkStart w:id="220" w:name="_Toc508703915"/>
      <w:bookmarkStart w:id="221" w:name="_Toc508702757"/>
      <w:r>
        <w:rPr>
          <w:rFonts w:hint="eastAsia" w:ascii="仿宋" w:hAnsi="仿宋" w:eastAsia="仿宋" w:cs="仿宋"/>
          <w:color w:val="auto"/>
          <w:sz w:val="24"/>
          <w:szCs w:val="24"/>
          <w:highlight w:val="none"/>
        </w:rPr>
        <w:t>二、质量保修期</w:t>
      </w:r>
      <w:bookmarkEnd w:id="216"/>
      <w:bookmarkEnd w:id="217"/>
      <w:bookmarkEnd w:id="218"/>
      <w:bookmarkEnd w:id="219"/>
      <w:bookmarkEnd w:id="220"/>
      <w:bookmarkEnd w:id="221"/>
    </w:p>
    <w:p w14:paraId="341172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61E5A87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6426B7E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67E68A2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161931C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3BE68D5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个采暖期、供冷期；</w:t>
      </w:r>
    </w:p>
    <w:p w14:paraId="3D9B70B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21438E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EBE616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6F0C4C32">
      <w:pPr>
        <w:spacing w:line="360" w:lineRule="auto"/>
        <w:rPr>
          <w:rFonts w:hint="eastAsia" w:ascii="仿宋" w:hAnsi="仿宋" w:eastAsia="仿宋" w:cs="仿宋"/>
          <w:color w:val="auto"/>
          <w:sz w:val="24"/>
          <w:szCs w:val="24"/>
          <w:highlight w:val="none"/>
        </w:rPr>
      </w:pPr>
      <w:bookmarkStart w:id="222" w:name="_Toc14945"/>
      <w:bookmarkStart w:id="223" w:name="_Toc508703916"/>
      <w:bookmarkStart w:id="224" w:name="_Toc508702758"/>
      <w:bookmarkStart w:id="225" w:name="_Toc31589"/>
      <w:bookmarkStart w:id="226" w:name="_Toc526085917"/>
      <w:bookmarkStart w:id="227" w:name="_Toc510449994"/>
      <w:r>
        <w:rPr>
          <w:rFonts w:hint="eastAsia" w:ascii="仿宋" w:hAnsi="仿宋" w:eastAsia="仿宋" w:cs="仿宋"/>
          <w:color w:val="auto"/>
          <w:sz w:val="24"/>
          <w:szCs w:val="24"/>
          <w:highlight w:val="none"/>
        </w:rPr>
        <w:t>三、缺陷责任期</w:t>
      </w:r>
      <w:bookmarkEnd w:id="222"/>
      <w:bookmarkEnd w:id="223"/>
      <w:bookmarkEnd w:id="224"/>
      <w:bookmarkEnd w:id="225"/>
      <w:bookmarkEnd w:id="226"/>
      <w:bookmarkEnd w:id="227"/>
    </w:p>
    <w:p w14:paraId="0CDC2C2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12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w:t>
      </w:r>
    </w:p>
    <w:p w14:paraId="496E0E6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缺陷责任期终止后，发包人应退还剩余的质量保证金。</w:t>
      </w:r>
    </w:p>
    <w:p w14:paraId="028A63DF">
      <w:pPr>
        <w:spacing w:line="360" w:lineRule="auto"/>
        <w:rPr>
          <w:rFonts w:hint="eastAsia" w:ascii="仿宋" w:hAnsi="仿宋" w:eastAsia="仿宋" w:cs="仿宋"/>
          <w:color w:val="auto"/>
          <w:sz w:val="24"/>
          <w:szCs w:val="24"/>
          <w:highlight w:val="none"/>
        </w:rPr>
      </w:pPr>
      <w:bookmarkStart w:id="228" w:name="_Toc510449995"/>
      <w:bookmarkStart w:id="229" w:name="_Toc1304"/>
      <w:bookmarkStart w:id="230" w:name="_Toc526085918"/>
      <w:bookmarkStart w:id="231" w:name="_Toc508703917"/>
      <w:bookmarkStart w:id="232" w:name="_Toc18859"/>
      <w:bookmarkStart w:id="233" w:name="_Toc508702759"/>
      <w:r>
        <w:rPr>
          <w:rFonts w:hint="eastAsia" w:ascii="仿宋" w:hAnsi="仿宋" w:eastAsia="仿宋" w:cs="仿宋"/>
          <w:sz w:val="24"/>
          <w:szCs w:val="24"/>
        </w:rPr>
        <w:t>四、质量保修责任</w:t>
      </w:r>
      <w:bookmarkEnd w:id="228"/>
      <w:bookmarkEnd w:id="229"/>
      <w:bookmarkEnd w:id="230"/>
      <w:bookmarkEnd w:id="231"/>
      <w:bookmarkEnd w:id="232"/>
      <w:bookmarkEnd w:id="233"/>
    </w:p>
    <w:p w14:paraId="195A745C">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39947C1B">
      <w:pPr>
        <w:spacing w:line="360" w:lineRule="auto"/>
        <w:ind w:left="105" w:leftChars="50" w:firstLine="491" w:firstLineChars="2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54657B4C">
      <w:pPr>
        <w:spacing w:line="360" w:lineRule="auto"/>
        <w:ind w:firstLine="708" w:firstLineChars="295"/>
        <w:jc w:val="left"/>
        <w:rPr>
          <w:rFonts w:hint="eastAsia" w:ascii="仿宋" w:hAnsi="仿宋" w:eastAsia="仿宋" w:cs="仿宋"/>
          <w:color w:val="auto"/>
          <w:sz w:val="24"/>
          <w:szCs w:val="24"/>
          <w:highlight w:val="none"/>
        </w:rPr>
      </w:pPr>
    </w:p>
    <w:p w14:paraId="3D2874C6">
      <w:pPr>
        <w:spacing w:line="360" w:lineRule="auto"/>
        <w:jc w:val="left"/>
        <w:rPr>
          <w:rFonts w:hint="eastAsia" w:ascii="仿宋" w:hAnsi="仿宋" w:eastAsia="仿宋" w:cs="仿宋"/>
          <w:color w:val="auto"/>
          <w:sz w:val="24"/>
          <w:szCs w:val="24"/>
          <w:highlight w:val="none"/>
        </w:rPr>
      </w:pPr>
    </w:p>
    <w:p w14:paraId="16867FF0">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p>
    <w:p w14:paraId="1C96E471">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w:t>
      </w:r>
    </w:p>
    <w:p w14:paraId="7CBB6F39">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287E289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35B33C5F">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21109E8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w:t>
      </w:r>
    </w:p>
    <w:p w14:paraId="5272F552">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2615FF7C">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6BACEAB7">
      <w:pPr>
        <w:spacing w:line="360" w:lineRule="auto"/>
        <w:ind w:firstLine="708" w:firstLineChars="2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p>
    <w:p w14:paraId="465A34B5">
      <w:pPr>
        <w:spacing w:line="360" w:lineRule="auto"/>
        <w:jc w:val="center"/>
        <w:outlineLvl w:val="9"/>
        <w:rPr>
          <w:rFonts w:hint="eastAsia" w:ascii="仿宋" w:hAnsi="仿宋" w:eastAsia="仿宋" w:cs="仿宋"/>
          <w:sz w:val="24"/>
          <w:szCs w:val="24"/>
        </w:rPr>
      </w:pPr>
    </w:p>
    <w:p w14:paraId="5A83B800">
      <w:pPr>
        <w:outlineLvl w:val="9"/>
        <w:rPr>
          <w:rFonts w:hint="eastAsia" w:ascii="仿宋" w:hAnsi="仿宋" w:eastAsia="仿宋" w:cs="仿宋"/>
          <w:sz w:val="24"/>
          <w:szCs w:val="24"/>
        </w:rPr>
      </w:pPr>
    </w:p>
    <w:p w14:paraId="0543AE16">
      <w:pPr>
        <w:outlineLvl w:val="9"/>
        <w:rPr>
          <w:rFonts w:hint="eastAsia" w:ascii="仿宋" w:hAnsi="仿宋" w:eastAsia="仿宋" w:cs="仿宋"/>
          <w:sz w:val="24"/>
          <w:szCs w:val="24"/>
        </w:rPr>
      </w:pPr>
    </w:p>
    <w:p w14:paraId="5D724092">
      <w:pPr>
        <w:outlineLvl w:val="9"/>
        <w:rPr>
          <w:rFonts w:hint="eastAsia" w:ascii="仿宋" w:hAnsi="仿宋" w:eastAsia="仿宋" w:cs="仿宋"/>
          <w:sz w:val="24"/>
          <w:szCs w:val="24"/>
        </w:rPr>
      </w:pPr>
    </w:p>
    <w:p w14:paraId="67A9DABD">
      <w:pPr>
        <w:outlineLvl w:val="9"/>
        <w:rPr>
          <w:rFonts w:hint="eastAsia" w:ascii="仿宋" w:hAnsi="仿宋" w:eastAsia="仿宋" w:cs="仿宋"/>
          <w:sz w:val="24"/>
          <w:szCs w:val="24"/>
        </w:rPr>
      </w:pPr>
    </w:p>
    <w:p w14:paraId="75EFCACF">
      <w:pPr>
        <w:outlineLvl w:val="9"/>
        <w:rPr>
          <w:rFonts w:hint="eastAsia" w:ascii="仿宋" w:hAnsi="仿宋" w:eastAsia="仿宋" w:cs="仿宋"/>
          <w:sz w:val="24"/>
          <w:szCs w:val="24"/>
        </w:rPr>
      </w:pPr>
    </w:p>
    <w:p w14:paraId="24DB3B06">
      <w:pPr>
        <w:pStyle w:val="18"/>
        <w:outlineLvl w:val="9"/>
        <w:rPr>
          <w:rFonts w:hint="eastAsia" w:ascii="仿宋" w:hAnsi="仿宋" w:eastAsia="仿宋" w:cs="仿宋"/>
          <w:sz w:val="24"/>
          <w:szCs w:val="24"/>
        </w:rPr>
      </w:pPr>
    </w:p>
    <w:p w14:paraId="67902218">
      <w:pPr>
        <w:outlineLvl w:val="9"/>
        <w:rPr>
          <w:rFonts w:hint="eastAsia" w:ascii="仿宋" w:hAnsi="仿宋" w:eastAsia="仿宋" w:cs="仿宋"/>
          <w:sz w:val="24"/>
          <w:szCs w:val="24"/>
        </w:rPr>
      </w:pPr>
    </w:p>
    <w:p w14:paraId="53AFF7FD">
      <w:pPr>
        <w:pStyle w:val="18"/>
        <w:rPr>
          <w:rFonts w:hint="eastAsia" w:ascii="仿宋" w:hAnsi="仿宋" w:eastAsia="仿宋" w:cs="仿宋"/>
          <w:sz w:val="24"/>
          <w:szCs w:val="24"/>
        </w:rPr>
      </w:pPr>
    </w:p>
    <w:p w14:paraId="5FF7D60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940BF5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34" w:name="_Toc296503227"/>
      <w:bookmarkStart w:id="235" w:name="_Toc296346728"/>
      <w:bookmarkStart w:id="236" w:name="_Toc296347226"/>
      <w:bookmarkStart w:id="237" w:name="_Toc296944566"/>
      <w:bookmarkStart w:id="238" w:name="_Toc296891055"/>
      <w:bookmarkStart w:id="239" w:name="_Toc296891267"/>
      <w:bookmarkStart w:id="240" w:name="_Toc267261698"/>
      <w:r>
        <w:rPr>
          <w:rFonts w:hint="eastAsia" w:ascii="仿宋" w:hAnsi="仿宋" w:eastAsia="仿宋" w:cs="仿宋"/>
          <w:color w:val="auto"/>
          <w:sz w:val="24"/>
          <w:szCs w:val="24"/>
          <w:highlight w:val="none"/>
        </w:rPr>
        <w:t>件5：</w:t>
      </w:r>
    </w:p>
    <w:bookmarkEnd w:id="234"/>
    <w:bookmarkEnd w:id="235"/>
    <w:bookmarkEnd w:id="236"/>
    <w:bookmarkEnd w:id="237"/>
    <w:bookmarkEnd w:id="238"/>
    <w:bookmarkEnd w:id="239"/>
    <w:bookmarkEnd w:id="240"/>
    <w:p w14:paraId="2795FC93">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承包人用于本工程施工的机械设备表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DE31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03CDC04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418" w:type="dxa"/>
            <w:tcBorders>
              <w:top w:val="single" w:color="auto" w:sz="12" w:space="0"/>
              <w:bottom w:val="double" w:color="auto" w:sz="6" w:space="0"/>
            </w:tcBorders>
            <w:vAlign w:val="center"/>
          </w:tcPr>
          <w:p w14:paraId="4F5C653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机械或设备名称</w:t>
            </w:r>
          </w:p>
        </w:tc>
        <w:tc>
          <w:tcPr>
            <w:tcW w:w="850" w:type="dxa"/>
            <w:tcBorders>
              <w:top w:val="single" w:color="auto" w:sz="12" w:space="0"/>
              <w:bottom w:val="double" w:color="auto" w:sz="6" w:space="0"/>
            </w:tcBorders>
            <w:vAlign w:val="center"/>
          </w:tcPr>
          <w:p w14:paraId="2BCECAC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规格型号</w:t>
            </w:r>
          </w:p>
        </w:tc>
        <w:tc>
          <w:tcPr>
            <w:tcW w:w="1058" w:type="dxa"/>
            <w:tcBorders>
              <w:top w:val="single" w:color="auto" w:sz="12" w:space="0"/>
              <w:bottom w:val="double" w:color="auto" w:sz="6" w:space="0"/>
            </w:tcBorders>
            <w:vAlign w:val="center"/>
          </w:tcPr>
          <w:p w14:paraId="17FC835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80" w:type="dxa"/>
            <w:tcBorders>
              <w:top w:val="single" w:color="auto" w:sz="12" w:space="0"/>
              <w:bottom w:val="double" w:color="auto" w:sz="6" w:space="0"/>
            </w:tcBorders>
            <w:vAlign w:val="center"/>
          </w:tcPr>
          <w:p w14:paraId="6E89CF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1020" w:type="dxa"/>
            <w:tcBorders>
              <w:top w:val="single" w:color="auto" w:sz="12" w:space="0"/>
              <w:bottom w:val="double" w:color="auto" w:sz="6" w:space="0"/>
            </w:tcBorders>
            <w:vAlign w:val="center"/>
          </w:tcPr>
          <w:p w14:paraId="64153B6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制造年份</w:t>
            </w:r>
          </w:p>
        </w:tc>
        <w:tc>
          <w:tcPr>
            <w:tcW w:w="1480" w:type="dxa"/>
            <w:tcBorders>
              <w:top w:val="single" w:color="auto" w:sz="12" w:space="0"/>
              <w:bottom w:val="double" w:color="auto" w:sz="6" w:space="0"/>
            </w:tcBorders>
            <w:vAlign w:val="center"/>
          </w:tcPr>
          <w:p w14:paraId="597206D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额定功率(kW)</w:t>
            </w:r>
          </w:p>
        </w:tc>
        <w:tc>
          <w:tcPr>
            <w:tcW w:w="1020" w:type="dxa"/>
            <w:tcBorders>
              <w:top w:val="single" w:color="auto" w:sz="12" w:space="0"/>
              <w:bottom w:val="double" w:color="auto" w:sz="6" w:space="0"/>
            </w:tcBorders>
            <w:vAlign w:val="center"/>
          </w:tcPr>
          <w:p w14:paraId="5A17D83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生产能力</w:t>
            </w:r>
          </w:p>
        </w:tc>
        <w:tc>
          <w:tcPr>
            <w:tcW w:w="921" w:type="dxa"/>
            <w:tcBorders>
              <w:top w:val="single" w:color="auto" w:sz="12" w:space="0"/>
              <w:bottom w:val="double" w:color="auto" w:sz="6" w:space="0"/>
            </w:tcBorders>
            <w:vAlign w:val="center"/>
          </w:tcPr>
          <w:p w14:paraId="195C9EF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90DC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C44A3E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vAlign w:val="center"/>
          </w:tcPr>
          <w:p w14:paraId="20C76E33">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double" w:color="auto" w:sz="6" w:space="0"/>
              <w:bottom w:val="single" w:color="auto" w:sz="6" w:space="0"/>
            </w:tcBorders>
            <w:vAlign w:val="center"/>
          </w:tcPr>
          <w:p w14:paraId="73B548B7">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double" w:color="auto" w:sz="6" w:space="0"/>
              <w:bottom w:val="single" w:color="auto" w:sz="6" w:space="0"/>
            </w:tcBorders>
            <w:vAlign w:val="center"/>
          </w:tcPr>
          <w:p w14:paraId="1C17D982">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double" w:color="auto" w:sz="6" w:space="0"/>
              <w:bottom w:val="single" w:color="auto" w:sz="6" w:space="0"/>
            </w:tcBorders>
            <w:vAlign w:val="center"/>
          </w:tcPr>
          <w:p w14:paraId="35505D5B">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074770D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double" w:color="auto" w:sz="6" w:space="0"/>
              <w:bottom w:val="single" w:color="auto" w:sz="6" w:space="0"/>
            </w:tcBorders>
            <w:vAlign w:val="center"/>
          </w:tcPr>
          <w:p w14:paraId="3E722E1F">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double" w:color="auto" w:sz="6" w:space="0"/>
              <w:bottom w:val="single" w:color="auto" w:sz="6" w:space="0"/>
            </w:tcBorders>
            <w:vAlign w:val="center"/>
          </w:tcPr>
          <w:p w14:paraId="77C0278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double" w:color="auto" w:sz="6" w:space="0"/>
              <w:bottom w:val="single" w:color="auto" w:sz="6" w:space="0"/>
            </w:tcBorders>
            <w:vAlign w:val="center"/>
          </w:tcPr>
          <w:p w14:paraId="582D5C3E">
            <w:pPr>
              <w:pStyle w:val="2"/>
              <w:keepNext/>
              <w:spacing w:after="0" w:line="440" w:lineRule="exact"/>
              <w:ind w:left="63" w:right="63"/>
              <w:rPr>
                <w:rFonts w:hint="eastAsia" w:ascii="仿宋" w:hAnsi="仿宋" w:eastAsia="仿宋" w:cs="仿宋"/>
                <w:color w:val="auto"/>
                <w:sz w:val="24"/>
                <w:szCs w:val="24"/>
                <w:highlight w:val="none"/>
              </w:rPr>
            </w:pPr>
          </w:p>
        </w:tc>
      </w:tr>
      <w:tr w14:paraId="62A518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9AADD18">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vAlign w:val="center"/>
          </w:tcPr>
          <w:p w14:paraId="3155E92C">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tcBorders>
              <w:top w:val="nil"/>
            </w:tcBorders>
            <w:vAlign w:val="center"/>
          </w:tcPr>
          <w:p w14:paraId="57FA5B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tcBorders>
              <w:top w:val="nil"/>
            </w:tcBorders>
            <w:vAlign w:val="center"/>
          </w:tcPr>
          <w:p w14:paraId="799A0F0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tcBorders>
              <w:top w:val="nil"/>
            </w:tcBorders>
            <w:vAlign w:val="center"/>
          </w:tcPr>
          <w:p w14:paraId="3A63E1C9">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032E308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tcBorders>
              <w:top w:val="nil"/>
            </w:tcBorders>
            <w:vAlign w:val="center"/>
          </w:tcPr>
          <w:p w14:paraId="630BC1EE">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tcBorders>
              <w:top w:val="nil"/>
            </w:tcBorders>
            <w:vAlign w:val="center"/>
          </w:tcPr>
          <w:p w14:paraId="6F300A2B">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tcBorders>
              <w:top w:val="nil"/>
            </w:tcBorders>
            <w:vAlign w:val="center"/>
          </w:tcPr>
          <w:p w14:paraId="4871B8BA">
            <w:pPr>
              <w:pStyle w:val="2"/>
              <w:keepNext/>
              <w:spacing w:after="0" w:line="440" w:lineRule="exact"/>
              <w:ind w:left="63" w:right="63"/>
              <w:rPr>
                <w:rFonts w:hint="eastAsia" w:ascii="仿宋" w:hAnsi="仿宋" w:eastAsia="仿宋" w:cs="仿宋"/>
                <w:color w:val="auto"/>
                <w:sz w:val="24"/>
                <w:szCs w:val="24"/>
                <w:highlight w:val="none"/>
              </w:rPr>
            </w:pPr>
          </w:p>
        </w:tc>
      </w:tr>
      <w:tr w14:paraId="35C1F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E4C376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F1C2768">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019C1200">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FD4538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EA970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198CF205">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82AA35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561B70AA">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30CC853">
            <w:pPr>
              <w:pStyle w:val="2"/>
              <w:keepNext/>
              <w:spacing w:after="0" w:line="440" w:lineRule="exact"/>
              <w:ind w:left="63" w:right="63"/>
              <w:rPr>
                <w:rFonts w:hint="eastAsia" w:ascii="仿宋" w:hAnsi="仿宋" w:eastAsia="仿宋" w:cs="仿宋"/>
                <w:color w:val="auto"/>
                <w:sz w:val="24"/>
                <w:szCs w:val="24"/>
                <w:highlight w:val="none"/>
              </w:rPr>
            </w:pPr>
          </w:p>
        </w:tc>
      </w:tr>
      <w:tr w14:paraId="4DA88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72F8CA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46F85CF9">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58E5998">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75BC8E76">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2956098">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D87E3A1">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33BC540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3D08E8C">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7C5BA1EC">
            <w:pPr>
              <w:pStyle w:val="2"/>
              <w:keepNext/>
              <w:spacing w:after="0" w:line="440" w:lineRule="exact"/>
              <w:ind w:left="63" w:right="63"/>
              <w:rPr>
                <w:rFonts w:hint="eastAsia" w:ascii="仿宋" w:hAnsi="仿宋" w:eastAsia="仿宋" w:cs="仿宋"/>
                <w:color w:val="auto"/>
                <w:sz w:val="24"/>
                <w:szCs w:val="24"/>
                <w:highlight w:val="none"/>
              </w:rPr>
            </w:pPr>
          </w:p>
        </w:tc>
      </w:tr>
      <w:tr w14:paraId="78820B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D78ED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348C86FA">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416D6EDF">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2F4A210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33052FB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DC0F97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E25176A">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3CDFF016">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FFCC4F4">
            <w:pPr>
              <w:pStyle w:val="2"/>
              <w:keepNext/>
              <w:spacing w:after="0" w:line="440" w:lineRule="exact"/>
              <w:ind w:left="63" w:right="63"/>
              <w:rPr>
                <w:rFonts w:hint="eastAsia" w:ascii="仿宋" w:hAnsi="仿宋" w:eastAsia="仿宋" w:cs="仿宋"/>
                <w:color w:val="auto"/>
                <w:sz w:val="24"/>
                <w:szCs w:val="24"/>
                <w:highlight w:val="none"/>
              </w:rPr>
            </w:pPr>
          </w:p>
        </w:tc>
      </w:tr>
      <w:tr w14:paraId="6D1E8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BBD8FC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59B428A5">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20975D9D">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13B02AF0">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21540486">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4E99D87D">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322A51C">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061224F">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BD8EB8C">
            <w:pPr>
              <w:pStyle w:val="2"/>
              <w:keepNext/>
              <w:spacing w:after="0" w:line="440" w:lineRule="exact"/>
              <w:ind w:left="63" w:right="63"/>
              <w:rPr>
                <w:rFonts w:hint="eastAsia" w:ascii="仿宋" w:hAnsi="仿宋" w:eastAsia="仿宋" w:cs="仿宋"/>
                <w:color w:val="auto"/>
                <w:sz w:val="24"/>
                <w:szCs w:val="24"/>
                <w:highlight w:val="none"/>
              </w:rPr>
            </w:pPr>
          </w:p>
        </w:tc>
      </w:tr>
      <w:tr w14:paraId="12BDD6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BE1DF5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11CA567">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F6A0451">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6FDCB7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7816FA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6A67CB2">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7BBC50A1">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38432B9">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23A7A054">
            <w:pPr>
              <w:pStyle w:val="2"/>
              <w:keepNext/>
              <w:spacing w:after="0" w:line="440" w:lineRule="exact"/>
              <w:ind w:left="63" w:right="63"/>
              <w:rPr>
                <w:rFonts w:hint="eastAsia" w:ascii="仿宋" w:hAnsi="仿宋" w:eastAsia="仿宋" w:cs="仿宋"/>
                <w:color w:val="auto"/>
                <w:sz w:val="24"/>
                <w:szCs w:val="24"/>
                <w:highlight w:val="none"/>
              </w:rPr>
            </w:pPr>
          </w:p>
        </w:tc>
      </w:tr>
      <w:tr w14:paraId="4EB84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2BE97F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428B222">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68CDF53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529EB59F">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447D0B7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9A6F889">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4FE4624D">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76982D81">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3595209A">
            <w:pPr>
              <w:pStyle w:val="2"/>
              <w:keepNext/>
              <w:spacing w:after="0" w:line="440" w:lineRule="exact"/>
              <w:ind w:left="63" w:right="63"/>
              <w:rPr>
                <w:rFonts w:hint="eastAsia" w:ascii="仿宋" w:hAnsi="仿宋" w:eastAsia="仿宋" w:cs="仿宋"/>
                <w:color w:val="auto"/>
                <w:sz w:val="24"/>
                <w:szCs w:val="24"/>
                <w:highlight w:val="none"/>
              </w:rPr>
            </w:pPr>
          </w:p>
        </w:tc>
      </w:tr>
      <w:tr w14:paraId="360EA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B19365">
            <w:pPr>
              <w:rPr>
                <w:rFonts w:hint="eastAsia" w:ascii="仿宋" w:hAnsi="仿宋" w:eastAsia="仿宋" w:cs="仿宋"/>
                <w:color w:val="auto"/>
                <w:sz w:val="24"/>
                <w:szCs w:val="24"/>
                <w:highlight w:val="none"/>
              </w:rPr>
            </w:pPr>
          </w:p>
        </w:tc>
        <w:tc>
          <w:tcPr>
            <w:tcW w:w="1418" w:type="dxa"/>
          </w:tcPr>
          <w:p w14:paraId="33A544BC">
            <w:pPr>
              <w:rPr>
                <w:rFonts w:hint="eastAsia" w:ascii="仿宋" w:hAnsi="仿宋" w:eastAsia="仿宋" w:cs="仿宋"/>
                <w:color w:val="auto"/>
                <w:sz w:val="24"/>
                <w:szCs w:val="24"/>
                <w:highlight w:val="none"/>
              </w:rPr>
            </w:pPr>
          </w:p>
        </w:tc>
        <w:tc>
          <w:tcPr>
            <w:tcW w:w="850" w:type="dxa"/>
          </w:tcPr>
          <w:p w14:paraId="7F6F7636">
            <w:pPr>
              <w:rPr>
                <w:rFonts w:hint="eastAsia" w:ascii="仿宋" w:hAnsi="仿宋" w:eastAsia="仿宋" w:cs="仿宋"/>
                <w:color w:val="auto"/>
                <w:sz w:val="24"/>
                <w:szCs w:val="24"/>
                <w:highlight w:val="none"/>
              </w:rPr>
            </w:pPr>
          </w:p>
        </w:tc>
        <w:tc>
          <w:tcPr>
            <w:tcW w:w="1058" w:type="dxa"/>
          </w:tcPr>
          <w:p w14:paraId="7043D6E7">
            <w:pPr>
              <w:rPr>
                <w:rFonts w:hint="eastAsia" w:ascii="仿宋" w:hAnsi="仿宋" w:eastAsia="仿宋" w:cs="仿宋"/>
                <w:color w:val="auto"/>
                <w:sz w:val="24"/>
                <w:szCs w:val="24"/>
                <w:highlight w:val="none"/>
              </w:rPr>
            </w:pPr>
          </w:p>
        </w:tc>
        <w:tc>
          <w:tcPr>
            <w:tcW w:w="880" w:type="dxa"/>
          </w:tcPr>
          <w:p w14:paraId="3D417B69">
            <w:pPr>
              <w:rPr>
                <w:rFonts w:hint="eastAsia" w:ascii="仿宋" w:hAnsi="仿宋" w:eastAsia="仿宋" w:cs="仿宋"/>
                <w:color w:val="auto"/>
                <w:sz w:val="24"/>
                <w:szCs w:val="24"/>
                <w:highlight w:val="none"/>
              </w:rPr>
            </w:pPr>
          </w:p>
        </w:tc>
        <w:tc>
          <w:tcPr>
            <w:tcW w:w="1020" w:type="dxa"/>
          </w:tcPr>
          <w:p w14:paraId="0098A927">
            <w:pPr>
              <w:rPr>
                <w:rFonts w:hint="eastAsia" w:ascii="仿宋" w:hAnsi="仿宋" w:eastAsia="仿宋" w:cs="仿宋"/>
                <w:color w:val="auto"/>
                <w:sz w:val="24"/>
                <w:szCs w:val="24"/>
                <w:highlight w:val="none"/>
              </w:rPr>
            </w:pPr>
          </w:p>
        </w:tc>
        <w:tc>
          <w:tcPr>
            <w:tcW w:w="1480" w:type="dxa"/>
          </w:tcPr>
          <w:p w14:paraId="660BBB7E">
            <w:pPr>
              <w:rPr>
                <w:rFonts w:hint="eastAsia" w:ascii="仿宋" w:hAnsi="仿宋" w:eastAsia="仿宋" w:cs="仿宋"/>
                <w:color w:val="auto"/>
                <w:sz w:val="24"/>
                <w:szCs w:val="24"/>
                <w:highlight w:val="none"/>
              </w:rPr>
            </w:pPr>
          </w:p>
        </w:tc>
        <w:tc>
          <w:tcPr>
            <w:tcW w:w="1020" w:type="dxa"/>
          </w:tcPr>
          <w:p w14:paraId="38BC61C2">
            <w:pPr>
              <w:rPr>
                <w:rFonts w:hint="eastAsia" w:ascii="仿宋" w:hAnsi="仿宋" w:eastAsia="仿宋" w:cs="仿宋"/>
                <w:color w:val="auto"/>
                <w:sz w:val="24"/>
                <w:szCs w:val="24"/>
                <w:highlight w:val="none"/>
              </w:rPr>
            </w:pPr>
          </w:p>
        </w:tc>
        <w:tc>
          <w:tcPr>
            <w:tcW w:w="921" w:type="dxa"/>
          </w:tcPr>
          <w:p w14:paraId="5DC03802">
            <w:pPr>
              <w:rPr>
                <w:rFonts w:hint="eastAsia" w:ascii="仿宋" w:hAnsi="仿宋" w:eastAsia="仿宋" w:cs="仿宋"/>
                <w:color w:val="auto"/>
                <w:sz w:val="24"/>
                <w:szCs w:val="24"/>
                <w:highlight w:val="none"/>
              </w:rPr>
            </w:pPr>
          </w:p>
        </w:tc>
      </w:tr>
      <w:tr w14:paraId="4EE33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C99242A">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17D2076">
            <w:pPr>
              <w:pStyle w:val="2"/>
              <w:keepNext/>
              <w:spacing w:after="0" w:line="440" w:lineRule="exact"/>
              <w:ind w:left="63" w:right="63"/>
              <w:rPr>
                <w:rFonts w:hint="eastAsia" w:ascii="仿宋" w:hAnsi="仿宋" w:eastAsia="仿宋" w:cs="仿宋"/>
                <w:color w:val="auto"/>
                <w:sz w:val="24"/>
                <w:szCs w:val="24"/>
                <w:highlight w:val="none"/>
              </w:rPr>
            </w:pPr>
          </w:p>
        </w:tc>
        <w:tc>
          <w:tcPr>
            <w:tcW w:w="850" w:type="dxa"/>
            <w:vAlign w:val="center"/>
          </w:tcPr>
          <w:p w14:paraId="3DCD0D72">
            <w:pPr>
              <w:pStyle w:val="2"/>
              <w:keepNext/>
              <w:spacing w:after="0" w:line="440" w:lineRule="exact"/>
              <w:ind w:left="63" w:right="63"/>
              <w:rPr>
                <w:rFonts w:hint="eastAsia" w:ascii="仿宋" w:hAnsi="仿宋" w:eastAsia="仿宋" w:cs="仿宋"/>
                <w:color w:val="auto"/>
                <w:sz w:val="24"/>
                <w:szCs w:val="24"/>
                <w:highlight w:val="none"/>
              </w:rPr>
            </w:pPr>
          </w:p>
        </w:tc>
        <w:tc>
          <w:tcPr>
            <w:tcW w:w="1058" w:type="dxa"/>
            <w:vAlign w:val="center"/>
          </w:tcPr>
          <w:p w14:paraId="4ADD85A8">
            <w:pPr>
              <w:pStyle w:val="2"/>
              <w:keepNext/>
              <w:spacing w:after="0" w:line="440" w:lineRule="exact"/>
              <w:ind w:left="63" w:right="63"/>
              <w:rPr>
                <w:rFonts w:hint="eastAsia" w:ascii="仿宋" w:hAnsi="仿宋" w:eastAsia="仿宋" w:cs="仿宋"/>
                <w:color w:val="auto"/>
                <w:sz w:val="24"/>
                <w:szCs w:val="24"/>
                <w:highlight w:val="none"/>
              </w:rPr>
            </w:pPr>
          </w:p>
        </w:tc>
        <w:tc>
          <w:tcPr>
            <w:tcW w:w="880" w:type="dxa"/>
            <w:vAlign w:val="center"/>
          </w:tcPr>
          <w:p w14:paraId="7C5BC4D0">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04405B50">
            <w:pPr>
              <w:pStyle w:val="2"/>
              <w:keepNext/>
              <w:spacing w:after="0" w:line="440" w:lineRule="exact"/>
              <w:ind w:left="63" w:right="63"/>
              <w:rPr>
                <w:rFonts w:hint="eastAsia" w:ascii="仿宋" w:hAnsi="仿宋" w:eastAsia="仿宋" w:cs="仿宋"/>
                <w:color w:val="auto"/>
                <w:sz w:val="24"/>
                <w:szCs w:val="24"/>
                <w:highlight w:val="none"/>
              </w:rPr>
            </w:pPr>
          </w:p>
        </w:tc>
        <w:tc>
          <w:tcPr>
            <w:tcW w:w="1480" w:type="dxa"/>
            <w:vAlign w:val="center"/>
          </w:tcPr>
          <w:p w14:paraId="6989DFD2">
            <w:pPr>
              <w:pStyle w:val="2"/>
              <w:keepNext/>
              <w:spacing w:after="0" w:line="440" w:lineRule="exact"/>
              <w:ind w:left="63" w:right="63"/>
              <w:rPr>
                <w:rFonts w:hint="eastAsia" w:ascii="仿宋" w:hAnsi="仿宋" w:eastAsia="仿宋" w:cs="仿宋"/>
                <w:color w:val="auto"/>
                <w:sz w:val="24"/>
                <w:szCs w:val="24"/>
                <w:highlight w:val="none"/>
              </w:rPr>
            </w:pPr>
          </w:p>
        </w:tc>
        <w:tc>
          <w:tcPr>
            <w:tcW w:w="1020" w:type="dxa"/>
            <w:vAlign w:val="center"/>
          </w:tcPr>
          <w:p w14:paraId="6160F454">
            <w:pPr>
              <w:pStyle w:val="2"/>
              <w:keepNext/>
              <w:spacing w:after="0" w:line="440" w:lineRule="exact"/>
              <w:ind w:left="63" w:right="63"/>
              <w:rPr>
                <w:rFonts w:hint="eastAsia" w:ascii="仿宋" w:hAnsi="仿宋" w:eastAsia="仿宋" w:cs="仿宋"/>
                <w:color w:val="auto"/>
                <w:sz w:val="24"/>
                <w:szCs w:val="24"/>
                <w:highlight w:val="none"/>
              </w:rPr>
            </w:pPr>
          </w:p>
        </w:tc>
        <w:tc>
          <w:tcPr>
            <w:tcW w:w="921" w:type="dxa"/>
            <w:vAlign w:val="center"/>
          </w:tcPr>
          <w:p w14:paraId="1584C16A">
            <w:pPr>
              <w:pStyle w:val="2"/>
              <w:keepNext/>
              <w:spacing w:after="0" w:line="440" w:lineRule="exact"/>
              <w:ind w:left="63" w:right="63"/>
              <w:rPr>
                <w:rFonts w:hint="eastAsia" w:ascii="仿宋" w:hAnsi="仿宋" w:eastAsia="仿宋" w:cs="仿宋"/>
                <w:color w:val="auto"/>
                <w:sz w:val="24"/>
                <w:szCs w:val="24"/>
                <w:highlight w:val="none"/>
              </w:rPr>
            </w:pPr>
          </w:p>
        </w:tc>
      </w:tr>
      <w:tr w14:paraId="2E302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75DBC9D">
            <w:pPr>
              <w:rPr>
                <w:rFonts w:hint="eastAsia" w:ascii="仿宋" w:hAnsi="仿宋" w:eastAsia="仿宋" w:cs="仿宋"/>
                <w:color w:val="auto"/>
                <w:sz w:val="24"/>
                <w:szCs w:val="24"/>
                <w:highlight w:val="none"/>
              </w:rPr>
            </w:pPr>
          </w:p>
        </w:tc>
        <w:tc>
          <w:tcPr>
            <w:tcW w:w="1418" w:type="dxa"/>
          </w:tcPr>
          <w:p w14:paraId="501FBD3F">
            <w:pPr>
              <w:rPr>
                <w:rFonts w:hint="eastAsia" w:ascii="仿宋" w:hAnsi="仿宋" w:eastAsia="仿宋" w:cs="仿宋"/>
                <w:color w:val="auto"/>
                <w:sz w:val="24"/>
                <w:szCs w:val="24"/>
                <w:highlight w:val="none"/>
              </w:rPr>
            </w:pPr>
          </w:p>
        </w:tc>
        <w:tc>
          <w:tcPr>
            <w:tcW w:w="850" w:type="dxa"/>
          </w:tcPr>
          <w:p w14:paraId="4B2CA84E">
            <w:pPr>
              <w:rPr>
                <w:rFonts w:hint="eastAsia" w:ascii="仿宋" w:hAnsi="仿宋" w:eastAsia="仿宋" w:cs="仿宋"/>
                <w:color w:val="auto"/>
                <w:sz w:val="24"/>
                <w:szCs w:val="24"/>
                <w:highlight w:val="none"/>
              </w:rPr>
            </w:pPr>
          </w:p>
        </w:tc>
        <w:tc>
          <w:tcPr>
            <w:tcW w:w="1058" w:type="dxa"/>
          </w:tcPr>
          <w:p w14:paraId="6677180D">
            <w:pPr>
              <w:rPr>
                <w:rFonts w:hint="eastAsia" w:ascii="仿宋" w:hAnsi="仿宋" w:eastAsia="仿宋" w:cs="仿宋"/>
                <w:color w:val="auto"/>
                <w:sz w:val="24"/>
                <w:szCs w:val="24"/>
                <w:highlight w:val="none"/>
              </w:rPr>
            </w:pPr>
          </w:p>
        </w:tc>
        <w:tc>
          <w:tcPr>
            <w:tcW w:w="880" w:type="dxa"/>
          </w:tcPr>
          <w:p w14:paraId="7CF3FBD1">
            <w:pPr>
              <w:rPr>
                <w:rFonts w:hint="eastAsia" w:ascii="仿宋" w:hAnsi="仿宋" w:eastAsia="仿宋" w:cs="仿宋"/>
                <w:color w:val="auto"/>
                <w:sz w:val="24"/>
                <w:szCs w:val="24"/>
                <w:highlight w:val="none"/>
              </w:rPr>
            </w:pPr>
          </w:p>
        </w:tc>
        <w:tc>
          <w:tcPr>
            <w:tcW w:w="1020" w:type="dxa"/>
          </w:tcPr>
          <w:p w14:paraId="69B185D7">
            <w:pPr>
              <w:rPr>
                <w:rFonts w:hint="eastAsia" w:ascii="仿宋" w:hAnsi="仿宋" w:eastAsia="仿宋" w:cs="仿宋"/>
                <w:color w:val="auto"/>
                <w:sz w:val="24"/>
                <w:szCs w:val="24"/>
                <w:highlight w:val="none"/>
              </w:rPr>
            </w:pPr>
          </w:p>
        </w:tc>
        <w:tc>
          <w:tcPr>
            <w:tcW w:w="1480" w:type="dxa"/>
          </w:tcPr>
          <w:p w14:paraId="32F3B19D">
            <w:pPr>
              <w:rPr>
                <w:rFonts w:hint="eastAsia" w:ascii="仿宋" w:hAnsi="仿宋" w:eastAsia="仿宋" w:cs="仿宋"/>
                <w:color w:val="auto"/>
                <w:sz w:val="24"/>
                <w:szCs w:val="24"/>
                <w:highlight w:val="none"/>
              </w:rPr>
            </w:pPr>
          </w:p>
        </w:tc>
        <w:tc>
          <w:tcPr>
            <w:tcW w:w="1020" w:type="dxa"/>
          </w:tcPr>
          <w:p w14:paraId="60506F77">
            <w:pPr>
              <w:rPr>
                <w:rFonts w:hint="eastAsia" w:ascii="仿宋" w:hAnsi="仿宋" w:eastAsia="仿宋" w:cs="仿宋"/>
                <w:color w:val="auto"/>
                <w:sz w:val="24"/>
                <w:szCs w:val="24"/>
                <w:highlight w:val="none"/>
              </w:rPr>
            </w:pPr>
          </w:p>
        </w:tc>
        <w:tc>
          <w:tcPr>
            <w:tcW w:w="921" w:type="dxa"/>
          </w:tcPr>
          <w:p w14:paraId="1D44CF79">
            <w:pPr>
              <w:rPr>
                <w:rFonts w:hint="eastAsia" w:ascii="仿宋" w:hAnsi="仿宋" w:eastAsia="仿宋" w:cs="仿宋"/>
                <w:color w:val="auto"/>
                <w:sz w:val="24"/>
                <w:szCs w:val="24"/>
                <w:highlight w:val="none"/>
              </w:rPr>
            </w:pPr>
          </w:p>
        </w:tc>
      </w:tr>
      <w:tr w14:paraId="1ED21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5C52781">
            <w:pPr>
              <w:rPr>
                <w:rFonts w:hint="eastAsia" w:ascii="仿宋" w:hAnsi="仿宋" w:eastAsia="仿宋" w:cs="仿宋"/>
                <w:color w:val="auto"/>
                <w:sz w:val="24"/>
                <w:szCs w:val="24"/>
                <w:highlight w:val="none"/>
              </w:rPr>
            </w:pPr>
          </w:p>
        </w:tc>
        <w:tc>
          <w:tcPr>
            <w:tcW w:w="1418" w:type="dxa"/>
          </w:tcPr>
          <w:p w14:paraId="398E13D1">
            <w:pPr>
              <w:rPr>
                <w:rFonts w:hint="eastAsia" w:ascii="仿宋" w:hAnsi="仿宋" w:eastAsia="仿宋" w:cs="仿宋"/>
                <w:color w:val="auto"/>
                <w:sz w:val="24"/>
                <w:szCs w:val="24"/>
                <w:highlight w:val="none"/>
              </w:rPr>
            </w:pPr>
          </w:p>
        </w:tc>
        <w:tc>
          <w:tcPr>
            <w:tcW w:w="850" w:type="dxa"/>
          </w:tcPr>
          <w:p w14:paraId="04F76CCE">
            <w:pPr>
              <w:rPr>
                <w:rFonts w:hint="eastAsia" w:ascii="仿宋" w:hAnsi="仿宋" w:eastAsia="仿宋" w:cs="仿宋"/>
                <w:color w:val="auto"/>
                <w:sz w:val="24"/>
                <w:szCs w:val="24"/>
                <w:highlight w:val="none"/>
              </w:rPr>
            </w:pPr>
          </w:p>
        </w:tc>
        <w:tc>
          <w:tcPr>
            <w:tcW w:w="1058" w:type="dxa"/>
          </w:tcPr>
          <w:p w14:paraId="34EE5B4D">
            <w:pPr>
              <w:rPr>
                <w:rFonts w:hint="eastAsia" w:ascii="仿宋" w:hAnsi="仿宋" w:eastAsia="仿宋" w:cs="仿宋"/>
                <w:color w:val="auto"/>
                <w:sz w:val="24"/>
                <w:szCs w:val="24"/>
                <w:highlight w:val="none"/>
              </w:rPr>
            </w:pPr>
          </w:p>
        </w:tc>
        <w:tc>
          <w:tcPr>
            <w:tcW w:w="880" w:type="dxa"/>
          </w:tcPr>
          <w:p w14:paraId="1AF3B09B">
            <w:pPr>
              <w:rPr>
                <w:rFonts w:hint="eastAsia" w:ascii="仿宋" w:hAnsi="仿宋" w:eastAsia="仿宋" w:cs="仿宋"/>
                <w:color w:val="auto"/>
                <w:sz w:val="24"/>
                <w:szCs w:val="24"/>
                <w:highlight w:val="none"/>
              </w:rPr>
            </w:pPr>
          </w:p>
        </w:tc>
        <w:tc>
          <w:tcPr>
            <w:tcW w:w="1020" w:type="dxa"/>
          </w:tcPr>
          <w:p w14:paraId="44570914">
            <w:pPr>
              <w:rPr>
                <w:rFonts w:hint="eastAsia" w:ascii="仿宋" w:hAnsi="仿宋" w:eastAsia="仿宋" w:cs="仿宋"/>
                <w:color w:val="auto"/>
                <w:sz w:val="24"/>
                <w:szCs w:val="24"/>
                <w:highlight w:val="none"/>
              </w:rPr>
            </w:pPr>
          </w:p>
        </w:tc>
        <w:tc>
          <w:tcPr>
            <w:tcW w:w="1480" w:type="dxa"/>
          </w:tcPr>
          <w:p w14:paraId="42D55120">
            <w:pPr>
              <w:rPr>
                <w:rFonts w:hint="eastAsia" w:ascii="仿宋" w:hAnsi="仿宋" w:eastAsia="仿宋" w:cs="仿宋"/>
                <w:color w:val="auto"/>
                <w:sz w:val="24"/>
                <w:szCs w:val="24"/>
                <w:highlight w:val="none"/>
              </w:rPr>
            </w:pPr>
          </w:p>
        </w:tc>
        <w:tc>
          <w:tcPr>
            <w:tcW w:w="1020" w:type="dxa"/>
          </w:tcPr>
          <w:p w14:paraId="2B25706B">
            <w:pPr>
              <w:rPr>
                <w:rFonts w:hint="eastAsia" w:ascii="仿宋" w:hAnsi="仿宋" w:eastAsia="仿宋" w:cs="仿宋"/>
                <w:color w:val="auto"/>
                <w:sz w:val="24"/>
                <w:szCs w:val="24"/>
                <w:highlight w:val="none"/>
              </w:rPr>
            </w:pPr>
          </w:p>
        </w:tc>
        <w:tc>
          <w:tcPr>
            <w:tcW w:w="921" w:type="dxa"/>
          </w:tcPr>
          <w:p w14:paraId="49BB02B5">
            <w:pPr>
              <w:rPr>
                <w:rFonts w:hint="eastAsia" w:ascii="仿宋" w:hAnsi="仿宋" w:eastAsia="仿宋" w:cs="仿宋"/>
                <w:color w:val="auto"/>
                <w:sz w:val="24"/>
                <w:szCs w:val="24"/>
                <w:highlight w:val="none"/>
              </w:rPr>
            </w:pPr>
          </w:p>
        </w:tc>
      </w:tr>
      <w:tr w14:paraId="74C7A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62F917C">
            <w:pPr>
              <w:rPr>
                <w:rFonts w:hint="eastAsia" w:ascii="仿宋" w:hAnsi="仿宋" w:eastAsia="仿宋" w:cs="仿宋"/>
                <w:color w:val="auto"/>
                <w:sz w:val="24"/>
                <w:szCs w:val="24"/>
                <w:highlight w:val="none"/>
              </w:rPr>
            </w:pPr>
          </w:p>
        </w:tc>
        <w:tc>
          <w:tcPr>
            <w:tcW w:w="1418" w:type="dxa"/>
          </w:tcPr>
          <w:p w14:paraId="3E91EC0D">
            <w:pPr>
              <w:rPr>
                <w:rFonts w:hint="eastAsia" w:ascii="仿宋" w:hAnsi="仿宋" w:eastAsia="仿宋" w:cs="仿宋"/>
                <w:color w:val="auto"/>
                <w:sz w:val="24"/>
                <w:szCs w:val="24"/>
                <w:highlight w:val="none"/>
              </w:rPr>
            </w:pPr>
          </w:p>
        </w:tc>
        <w:tc>
          <w:tcPr>
            <w:tcW w:w="850" w:type="dxa"/>
          </w:tcPr>
          <w:p w14:paraId="741AC140">
            <w:pPr>
              <w:rPr>
                <w:rFonts w:hint="eastAsia" w:ascii="仿宋" w:hAnsi="仿宋" w:eastAsia="仿宋" w:cs="仿宋"/>
                <w:color w:val="auto"/>
                <w:sz w:val="24"/>
                <w:szCs w:val="24"/>
                <w:highlight w:val="none"/>
              </w:rPr>
            </w:pPr>
          </w:p>
        </w:tc>
        <w:tc>
          <w:tcPr>
            <w:tcW w:w="1058" w:type="dxa"/>
          </w:tcPr>
          <w:p w14:paraId="34761EF3">
            <w:pPr>
              <w:rPr>
                <w:rFonts w:hint="eastAsia" w:ascii="仿宋" w:hAnsi="仿宋" w:eastAsia="仿宋" w:cs="仿宋"/>
                <w:color w:val="auto"/>
                <w:sz w:val="24"/>
                <w:szCs w:val="24"/>
                <w:highlight w:val="none"/>
              </w:rPr>
            </w:pPr>
          </w:p>
        </w:tc>
        <w:tc>
          <w:tcPr>
            <w:tcW w:w="880" w:type="dxa"/>
          </w:tcPr>
          <w:p w14:paraId="43FE88E9">
            <w:pPr>
              <w:rPr>
                <w:rFonts w:hint="eastAsia" w:ascii="仿宋" w:hAnsi="仿宋" w:eastAsia="仿宋" w:cs="仿宋"/>
                <w:color w:val="auto"/>
                <w:sz w:val="24"/>
                <w:szCs w:val="24"/>
                <w:highlight w:val="none"/>
              </w:rPr>
            </w:pPr>
          </w:p>
        </w:tc>
        <w:tc>
          <w:tcPr>
            <w:tcW w:w="1020" w:type="dxa"/>
          </w:tcPr>
          <w:p w14:paraId="6E46108B">
            <w:pPr>
              <w:rPr>
                <w:rFonts w:hint="eastAsia" w:ascii="仿宋" w:hAnsi="仿宋" w:eastAsia="仿宋" w:cs="仿宋"/>
                <w:color w:val="auto"/>
                <w:sz w:val="24"/>
                <w:szCs w:val="24"/>
                <w:highlight w:val="none"/>
              </w:rPr>
            </w:pPr>
          </w:p>
        </w:tc>
        <w:tc>
          <w:tcPr>
            <w:tcW w:w="1480" w:type="dxa"/>
          </w:tcPr>
          <w:p w14:paraId="17310AC7">
            <w:pPr>
              <w:rPr>
                <w:rFonts w:hint="eastAsia" w:ascii="仿宋" w:hAnsi="仿宋" w:eastAsia="仿宋" w:cs="仿宋"/>
                <w:color w:val="auto"/>
                <w:sz w:val="24"/>
                <w:szCs w:val="24"/>
                <w:highlight w:val="none"/>
              </w:rPr>
            </w:pPr>
          </w:p>
        </w:tc>
        <w:tc>
          <w:tcPr>
            <w:tcW w:w="1020" w:type="dxa"/>
          </w:tcPr>
          <w:p w14:paraId="2345B388">
            <w:pPr>
              <w:rPr>
                <w:rFonts w:hint="eastAsia" w:ascii="仿宋" w:hAnsi="仿宋" w:eastAsia="仿宋" w:cs="仿宋"/>
                <w:color w:val="auto"/>
                <w:sz w:val="24"/>
                <w:szCs w:val="24"/>
                <w:highlight w:val="none"/>
              </w:rPr>
            </w:pPr>
          </w:p>
        </w:tc>
        <w:tc>
          <w:tcPr>
            <w:tcW w:w="921" w:type="dxa"/>
          </w:tcPr>
          <w:p w14:paraId="3C9CCFE1">
            <w:pPr>
              <w:rPr>
                <w:rFonts w:hint="eastAsia" w:ascii="仿宋" w:hAnsi="仿宋" w:eastAsia="仿宋" w:cs="仿宋"/>
                <w:color w:val="auto"/>
                <w:sz w:val="24"/>
                <w:szCs w:val="24"/>
                <w:highlight w:val="none"/>
              </w:rPr>
            </w:pPr>
          </w:p>
        </w:tc>
      </w:tr>
      <w:tr w14:paraId="49294F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78ED184">
            <w:pPr>
              <w:rPr>
                <w:rFonts w:hint="eastAsia" w:ascii="仿宋" w:hAnsi="仿宋" w:eastAsia="仿宋" w:cs="仿宋"/>
                <w:color w:val="auto"/>
                <w:sz w:val="24"/>
                <w:szCs w:val="24"/>
                <w:highlight w:val="none"/>
              </w:rPr>
            </w:pPr>
          </w:p>
        </w:tc>
        <w:tc>
          <w:tcPr>
            <w:tcW w:w="1418" w:type="dxa"/>
          </w:tcPr>
          <w:p w14:paraId="2DDC7BCF">
            <w:pPr>
              <w:rPr>
                <w:rFonts w:hint="eastAsia" w:ascii="仿宋" w:hAnsi="仿宋" w:eastAsia="仿宋" w:cs="仿宋"/>
                <w:color w:val="auto"/>
                <w:sz w:val="24"/>
                <w:szCs w:val="24"/>
                <w:highlight w:val="none"/>
              </w:rPr>
            </w:pPr>
          </w:p>
        </w:tc>
        <w:tc>
          <w:tcPr>
            <w:tcW w:w="850" w:type="dxa"/>
          </w:tcPr>
          <w:p w14:paraId="068BA333">
            <w:pPr>
              <w:rPr>
                <w:rFonts w:hint="eastAsia" w:ascii="仿宋" w:hAnsi="仿宋" w:eastAsia="仿宋" w:cs="仿宋"/>
                <w:color w:val="auto"/>
                <w:sz w:val="24"/>
                <w:szCs w:val="24"/>
                <w:highlight w:val="none"/>
              </w:rPr>
            </w:pPr>
          </w:p>
        </w:tc>
        <w:tc>
          <w:tcPr>
            <w:tcW w:w="1058" w:type="dxa"/>
          </w:tcPr>
          <w:p w14:paraId="58378756">
            <w:pPr>
              <w:rPr>
                <w:rFonts w:hint="eastAsia" w:ascii="仿宋" w:hAnsi="仿宋" w:eastAsia="仿宋" w:cs="仿宋"/>
                <w:color w:val="auto"/>
                <w:sz w:val="24"/>
                <w:szCs w:val="24"/>
                <w:highlight w:val="none"/>
              </w:rPr>
            </w:pPr>
          </w:p>
        </w:tc>
        <w:tc>
          <w:tcPr>
            <w:tcW w:w="880" w:type="dxa"/>
          </w:tcPr>
          <w:p w14:paraId="71C99256">
            <w:pPr>
              <w:rPr>
                <w:rFonts w:hint="eastAsia" w:ascii="仿宋" w:hAnsi="仿宋" w:eastAsia="仿宋" w:cs="仿宋"/>
                <w:color w:val="auto"/>
                <w:sz w:val="24"/>
                <w:szCs w:val="24"/>
                <w:highlight w:val="none"/>
              </w:rPr>
            </w:pPr>
          </w:p>
        </w:tc>
        <w:tc>
          <w:tcPr>
            <w:tcW w:w="1020" w:type="dxa"/>
          </w:tcPr>
          <w:p w14:paraId="20034B2F">
            <w:pPr>
              <w:rPr>
                <w:rFonts w:hint="eastAsia" w:ascii="仿宋" w:hAnsi="仿宋" w:eastAsia="仿宋" w:cs="仿宋"/>
                <w:color w:val="auto"/>
                <w:sz w:val="24"/>
                <w:szCs w:val="24"/>
                <w:highlight w:val="none"/>
              </w:rPr>
            </w:pPr>
          </w:p>
        </w:tc>
        <w:tc>
          <w:tcPr>
            <w:tcW w:w="1480" w:type="dxa"/>
          </w:tcPr>
          <w:p w14:paraId="3E1D50AC">
            <w:pPr>
              <w:rPr>
                <w:rFonts w:hint="eastAsia" w:ascii="仿宋" w:hAnsi="仿宋" w:eastAsia="仿宋" w:cs="仿宋"/>
                <w:color w:val="auto"/>
                <w:sz w:val="24"/>
                <w:szCs w:val="24"/>
                <w:highlight w:val="none"/>
              </w:rPr>
            </w:pPr>
          </w:p>
        </w:tc>
        <w:tc>
          <w:tcPr>
            <w:tcW w:w="1020" w:type="dxa"/>
          </w:tcPr>
          <w:p w14:paraId="0B08437E">
            <w:pPr>
              <w:rPr>
                <w:rFonts w:hint="eastAsia" w:ascii="仿宋" w:hAnsi="仿宋" w:eastAsia="仿宋" w:cs="仿宋"/>
                <w:color w:val="auto"/>
                <w:sz w:val="24"/>
                <w:szCs w:val="24"/>
                <w:highlight w:val="none"/>
              </w:rPr>
            </w:pPr>
          </w:p>
        </w:tc>
        <w:tc>
          <w:tcPr>
            <w:tcW w:w="921" w:type="dxa"/>
          </w:tcPr>
          <w:p w14:paraId="2EC532FA">
            <w:pPr>
              <w:rPr>
                <w:rFonts w:hint="eastAsia" w:ascii="仿宋" w:hAnsi="仿宋" w:eastAsia="仿宋" w:cs="仿宋"/>
                <w:color w:val="auto"/>
                <w:sz w:val="24"/>
                <w:szCs w:val="24"/>
                <w:highlight w:val="none"/>
              </w:rPr>
            </w:pPr>
          </w:p>
        </w:tc>
      </w:tr>
      <w:tr w14:paraId="7DAB7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300C6D1">
            <w:pPr>
              <w:rPr>
                <w:rFonts w:hint="eastAsia" w:ascii="仿宋" w:hAnsi="仿宋" w:eastAsia="仿宋" w:cs="仿宋"/>
                <w:color w:val="auto"/>
                <w:sz w:val="24"/>
                <w:szCs w:val="24"/>
                <w:highlight w:val="none"/>
              </w:rPr>
            </w:pPr>
          </w:p>
        </w:tc>
        <w:tc>
          <w:tcPr>
            <w:tcW w:w="1418" w:type="dxa"/>
          </w:tcPr>
          <w:p w14:paraId="21998419">
            <w:pPr>
              <w:rPr>
                <w:rFonts w:hint="eastAsia" w:ascii="仿宋" w:hAnsi="仿宋" w:eastAsia="仿宋" w:cs="仿宋"/>
                <w:color w:val="auto"/>
                <w:sz w:val="24"/>
                <w:szCs w:val="24"/>
                <w:highlight w:val="none"/>
              </w:rPr>
            </w:pPr>
          </w:p>
        </w:tc>
        <w:tc>
          <w:tcPr>
            <w:tcW w:w="850" w:type="dxa"/>
          </w:tcPr>
          <w:p w14:paraId="61B1AB4B">
            <w:pPr>
              <w:rPr>
                <w:rFonts w:hint="eastAsia" w:ascii="仿宋" w:hAnsi="仿宋" w:eastAsia="仿宋" w:cs="仿宋"/>
                <w:color w:val="auto"/>
                <w:sz w:val="24"/>
                <w:szCs w:val="24"/>
                <w:highlight w:val="none"/>
              </w:rPr>
            </w:pPr>
          </w:p>
        </w:tc>
        <w:tc>
          <w:tcPr>
            <w:tcW w:w="1058" w:type="dxa"/>
          </w:tcPr>
          <w:p w14:paraId="055768A1">
            <w:pPr>
              <w:rPr>
                <w:rFonts w:hint="eastAsia" w:ascii="仿宋" w:hAnsi="仿宋" w:eastAsia="仿宋" w:cs="仿宋"/>
                <w:color w:val="auto"/>
                <w:sz w:val="24"/>
                <w:szCs w:val="24"/>
                <w:highlight w:val="none"/>
              </w:rPr>
            </w:pPr>
          </w:p>
        </w:tc>
        <w:tc>
          <w:tcPr>
            <w:tcW w:w="880" w:type="dxa"/>
          </w:tcPr>
          <w:p w14:paraId="30F015EF">
            <w:pPr>
              <w:rPr>
                <w:rFonts w:hint="eastAsia" w:ascii="仿宋" w:hAnsi="仿宋" w:eastAsia="仿宋" w:cs="仿宋"/>
                <w:color w:val="auto"/>
                <w:sz w:val="24"/>
                <w:szCs w:val="24"/>
                <w:highlight w:val="none"/>
              </w:rPr>
            </w:pPr>
          </w:p>
        </w:tc>
        <w:tc>
          <w:tcPr>
            <w:tcW w:w="1020" w:type="dxa"/>
          </w:tcPr>
          <w:p w14:paraId="6734B921">
            <w:pPr>
              <w:rPr>
                <w:rFonts w:hint="eastAsia" w:ascii="仿宋" w:hAnsi="仿宋" w:eastAsia="仿宋" w:cs="仿宋"/>
                <w:color w:val="auto"/>
                <w:sz w:val="24"/>
                <w:szCs w:val="24"/>
                <w:highlight w:val="none"/>
              </w:rPr>
            </w:pPr>
          </w:p>
        </w:tc>
        <w:tc>
          <w:tcPr>
            <w:tcW w:w="1480" w:type="dxa"/>
          </w:tcPr>
          <w:p w14:paraId="535E0DA0">
            <w:pPr>
              <w:rPr>
                <w:rFonts w:hint="eastAsia" w:ascii="仿宋" w:hAnsi="仿宋" w:eastAsia="仿宋" w:cs="仿宋"/>
                <w:color w:val="auto"/>
                <w:sz w:val="24"/>
                <w:szCs w:val="24"/>
                <w:highlight w:val="none"/>
              </w:rPr>
            </w:pPr>
          </w:p>
        </w:tc>
        <w:tc>
          <w:tcPr>
            <w:tcW w:w="1020" w:type="dxa"/>
          </w:tcPr>
          <w:p w14:paraId="5970F86C">
            <w:pPr>
              <w:rPr>
                <w:rFonts w:hint="eastAsia" w:ascii="仿宋" w:hAnsi="仿宋" w:eastAsia="仿宋" w:cs="仿宋"/>
                <w:color w:val="auto"/>
                <w:sz w:val="24"/>
                <w:szCs w:val="24"/>
                <w:highlight w:val="none"/>
              </w:rPr>
            </w:pPr>
          </w:p>
        </w:tc>
        <w:tc>
          <w:tcPr>
            <w:tcW w:w="921" w:type="dxa"/>
          </w:tcPr>
          <w:p w14:paraId="2D0F17E1">
            <w:pPr>
              <w:rPr>
                <w:rFonts w:hint="eastAsia" w:ascii="仿宋" w:hAnsi="仿宋" w:eastAsia="仿宋" w:cs="仿宋"/>
                <w:color w:val="auto"/>
                <w:sz w:val="24"/>
                <w:szCs w:val="24"/>
                <w:highlight w:val="none"/>
              </w:rPr>
            </w:pPr>
          </w:p>
        </w:tc>
      </w:tr>
      <w:tr w14:paraId="25611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D4A3999">
            <w:pPr>
              <w:rPr>
                <w:rFonts w:hint="eastAsia" w:ascii="仿宋" w:hAnsi="仿宋" w:eastAsia="仿宋" w:cs="仿宋"/>
                <w:color w:val="auto"/>
                <w:sz w:val="24"/>
                <w:szCs w:val="24"/>
                <w:highlight w:val="none"/>
              </w:rPr>
            </w:pPr>
          </w:p>
        </w:tc>
        <w:tc>
          <w:tcPr>
            <w:tcW w:w="1418" w:type="dxa"/>
          </w:tcPr>
          <w:p w14:paraId="6DA5DBEB">
            <w:pPr>
              <w:rPr>
                <w:rFonts w:hint="eastAsia" w:ascii="仿宋" w:hAnsi="仿宋" w:eastAsia="仿宋" w:cs="仿宋"/>
                <w:color w:val="auto"/>
                <w:sz w:val="24"/>
                <w:szCs w:val="24"/>
                <w:highlight w:val="none"/>
              </w:rPr>
            </w:pPr>
          </w:p>
        </w:tc>
        <w:tc>
          <w:tcPr>
            <w:tcW w:w="850" w:type="dxa"/>
          </w:tcPr>
          <w:p w14:paraId="6A49E640">
            <w:pPr>
              <w:rPr>
                <w:rFonts w:hint="eastAsia" w:ascii="仿宋" w:hAnsi="仿宋" w:eastAsia="仿宋" w:cs="仿宋"/>
                <w:color w:val="auto"/>
                <w:sz w:val="24"/>
                <w:szCs w:val="24"/>
                <w:highlight w:val="none"/>
              </w:rPr>
            </w:pPr>
          </w:p>
        </w:tc>
        <w:tc>
          <w:tcPr>
            <w:tcW w:w="1058" w:type="dxa"/>
          </w:tcPr>
          <w:p w14:paraId="70364F59">
            <w:pPr>
              <w:rPr>
                <w:rFonts w:hint="eastAsia" w:ascii="仿宋" w:hAnsi="仿宋" w:eastAsia="仿宋" w:cs="仿宋"/>
                <w:color w:val="auto"/>
                <w:sz w:val="24"/>
                <w:szCs w:val="24"/>
                <w:highlight w:val="none"/>
              </w:rPr>
            </w:pPr>
          </w:p>
        </w:tc>
        <w:tc>
          <w:tcPr>
            <w:tcW w:w="880" w:type="dxa"/>
          </w:tcPr>
          <w:p w14:paraId="4C294D13">
            <w:pPr>
              <w:rPr>
                <w:rFonts w:hint="eastAsia" w:ascii="仿宋" w:hAnsi="仿宋" w:eastAsia="仿宋" w:cs="仿宋"/>
                <w:color w:val="auto"/>
                <w:sz w:val="24"/>
                <w:szCs w:val="24"/>
                <w:highlight w:val="none"/>
              </w:rPr>
            </w:pPr>
          </w:p>
        </w:tc>
        <w:tc>
          <w:tcPr>
            <w:tcW w:w="1020" w:type="dxa"/>
          </w:tcPr>
          <w:p w14:paraId="1450807E">
            <w:pPr>
              <w:rPr>
                <w:rFonts w:hint="eastAsia" w:ascii="仿宋" w:hAnsi="仿宋" w:eastAsia="仿宋" w:cs="仿宋"/>
                <w:color w:val="auto"/>
                <w:sz w:val="24"/>
                <w:szCs w:val="24"/>
                <w:highlight w:val="none"/>
              </w:rPr>
            </w:pPr>
          </w:p>
        </w:tc>
        <w:tc>
          <w:tcPr>
            <w:tcW w:w="1480" w:type="dxa"/>
          </w:tcPr>
          <w:p w14:paraId="2AA2E19F">
            <w:pPr>
              <w:rPr>
                <w:rFonts w:hint="eastAsia" w:ascii="仿宋" w:hAnsi="仿宋" w:eastAsia="仿宋" w:cs="仿宋"/>
                <w:color w:val="auto"/>
                <w:sz w:val="24"/>
                <w:szCs w:val="24"/>
                <w:highlight w:val="none"/>
              </w:rPr>
            </w:pPr>
          </w:p>
        </w:tc>
        <w:tc>
          <w:tcPr>
            <w:tcW w:w="1020" w:type="dxa"/>
          </w:tcPr>
          <w:p w14:paraId="05C1CFB6">
            <w:pPr>
              <w:rPr>
                <w:rFonts w:hint="eastAsia" w:ascii="仿宋" w:hAnsi="仿宋" w:eastAsia="仿宋" w:cs="仿宋"/>
                <w:color w:val="auto"/>
                <w:sz w:val="24"/>
                <w:szCs w:val="24"/>
                <w:highlight w:val="none"/>
              </w:rPr>
            </w:pPr>
          </w:p>
        </w:tc>
        <w:tc>
          <w:tcPr>
            <w:tcW w:w="921" w:type="dxa"/>
          </w:tcPr>
          <w:p w14:paraId="53A92D05">
            <w:pPr>
              <w:rPr>
                <w:rFonts w:hint="eastAsia" w:ascii="仿宋" w:hAnsi="仿宋" w:eastAsia="仿宋" w:cs="仿宋"/>
                <w:color w:val="auto"/>
                <w:sz w:val="24"/>
                <w:szCs w:val="24"/>
                <w:highlight w:val="none"/>
              </w:rPr>
            </w:pPr>
          </w:p>
        </w:tc>
      </w:tr>
      <w:tr w14:paraId="7529B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BBC5E5C">
            <w:pPr>
              <w:rPr>
                <w:rFonts w:hint="eastAsia" w:ascii="仿宋" w:hAnsi="仿宋" w:eastAsia="仿宋" w:cs="仿宋"/>
                <w:color w:val="auto"/>
                <w:sz w:val="24"/>
                <w:szCs w:val="24"/>
                <w:highlight w:val="none"/>
              </w:rPr>
            </w:pPr>
          </w:p>
        </w:tc>
        <w:tc>
          <w:tcPr>
            <w:tcW w:w="1418" w:type="dxa"/>
          </w:tcPr>
          <w:p w14:paraId="754BE079">
            <w:pPr>
              <w:rPr>
                <w:rFonts w:hint="eastAsia" w:ascii="仿宋" w:hAnsi="仿宋" w:eastAsia="仿宋" w:cs="仿宋"/>
                <w:color w:val="auto"/>
                <w:sz w:val="24"/>
                <w:szCs w:val="24"/>
                <w:highlight w:val="none"/>
              </w:rPr>
            </w:pPr>
          </w:p>
        </w:tc>
        <w:tc>
          <w:tcPr>
            <w:tcW w:w="850" w:type="dxa"/>
          </w:tcPr>
          <w:p w14:paraId="7F3B7A40">
            <w:pPr>
              <w:rPr>
                <w:rFonts w:hint="eastAsia" w:ascii="仿宋" w:hAnsi="仿宋" w:eastAsia="仿宋" w:cs="仿宋"/>
                <w:color w:val="auto"/>
                <w:sz w:val="24"/>
                <w:szCs w:val="24"/>
                <w:highlight w:val="none"/>
              </w:rPr>
            </w:pPr>
          </w:p>
        </w:tc>
        <w:tc>
          <w:tcPr>
            <w:tcW w:w="1058" w:type="dxa"/>
          </w:tcPr>
          <w:p w14:paraId="15C99CCA">
            <w:pPr>
              <w:rPr>
                <w:rFonts w:hint="eastAsia" w:ascii="仿宋" w:hAnsi="仿宋" w:eastAsia="仿宋" w:cs="仿宋"/>
                <w:color w:val="auto"/>
                <w:sz w:val="24"/>
                <w:szCs w:val="24"/>
                <w:highlight w:val="none"/>
              </w:rPr>
            </w:pPr>
          </w:p>
        </w:tc>
        <w:tc>
          <w:tcPr>
            <w:tcW w:w="880" w:type="dxa"/>
          </w:tcPr>
          <w:p w14:paraId="1C9A370F">
            <w:pPr>
              <w:rPr>
                <w:rFonts w:hint="eastAsia" w:ascii="仿宋" w:hAnsi="仿宋" w:eastAsia="仿宋" w:cs="仿宋"/>
                <w:color w:val="auto"/>
                <w:sz w:val="24"/>
                <w:szCs w:val="24"/>
                <w:highlight w:val="none"/>
              </w:rPr>
            </w:pPr>
          </w:p>
        </w:tc>
        <w:tc>
          <w:tcPr>
            <w:tcW w:w="1020" w:type="dxa"/>
          </w:tcPr>
          <w:p w14:paraId="53F5ADDF">
            <w:pPr>
              <w:rPr>
                <w:rFonts w:hint="eastAsia" w:ascii="仿宋" w:hAnsi="仿宋" w:eastAsia="仿宋" w:cs="仿宋"/>
                <w:color w:val="auto"/>
                <w:sz w:val="24"/>
                <w:szCs w:val="24"/>
                <w:highlight w:val="none"/>
              </w:rPr>
            </w:pPr>
          </w:p>
        </w:tc>
        <w:tc>
          <w:tcPr>
            <w:tcW w:w="1480" w:type="dxa"/>
          </w:tcPr>
          <w:p w14:paraId="6642ABB9">
            <w:pPr>
              <w:rPr>
                <w:rFonts w:hint="eastAsia" w:ascii="仿宋" w:hAnsi="仿宋" w:eastAsia="仿宋" w:cs="仿宋"/>
                <w:color w:val="auto"/>
                <w:sz w:val="24"/>
                <w:szCs w:val="24"/>
                <w:highlight w:val="none"/>
              </w:rPr>
            </w:pPr>
          </w:p>
        </w:tc>
        <w:tc>
          <w:tcPr>
            <w:tcW w:w="1020" w:type="dxa"/>
          </w:tcPr>
          <w:p w14:paraId="0CFB7370">
            <w:pPr>
              <w:rPr>
                <w:rFonts w:hint="eastAsia" w:ascii="仿宋" w:hAnsi="仿宋" w:eastAsia="仿宋" w:cs="仿宋"/>
                <w:color w:val="auto"/>
                <w:sz w:val="24"/>
                <w:szCs w:val="24"/>
                <w:highlight w:val="none"/>
              </w:rPr>
            </w:pPr>
          </w:p>
        </w:tc>
        <w:tc>
          <w:tcPr>
            <w:tcW w:w="921" w:type="dxa"/>
          </w:tcPr>
          <w:p w14:paraId="52302FC9">
            <w:pPr>
              <w:rPr>
                <w:rFonts w:hint="eastAsia" w:ascii="仿宋" w:hAnsi="仿宋" w:eastAsia="仿宋" w:cs="仿宋"/>
                <w:color w:val="auto"/>
                <w:sz w:val="24"/>
                <w:szCs w:val="24"/>
                <w:highlight w:val="none"/>
              </w:rPr>
            </w:pPr>
          </w:p>
        </w:tc>
      </w:tr>
      <w:tr w14:paraId="0C9B7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66EA57A">
            <w:pPr>
              <w:rPr>
                <w:rFonts w:hint="eastAsia" w:ascii="仿宋" w:hAnsi="仿宋" w:eastAsia="仿宋" w:cs="仿宋"/>
                <w:color w:val="auto"/>
                <w:sz w:val="24"/>
                <w:szCs w:val="24"/>
                <w:highlight w:val="none"/>
              </w:rPr>
            </w:pPr>
          </w:p>
        </w:tc>
        <w:tc>
          <w:tcPr>
            <w:tcW w:w="1418" w:type="dxa"/>
          </w:tcPr>
          <w:p w14:paraId="2C10FB45">
            <w:pPr>
              <w:rPr>
                <w:rFonts w:hint="eastAsia" w:ascii="仿宋" w:hAnsi="仿宋" w:eastAsia="仿宋" w:cs="仿宋"/>
                <w:color w:val="auto"/>
                <w:sz w:val="24"/>
                <w:szCs w:val="24"/>
                <w:highlight w:val="none"/>
              </w:rPr>
            </w:pPr>
          </w:p>
        </w:tc>
        <w:tc>
          <w:tcPr>
            <w:tcW w:w="850" w:type="dxa"/>
          </w:tcPr>
          <w:p w14:paraId="6DB5C5C8">
            <w:pPr>
              <w:rPr>
                <w:rFonts w:hint="eastAsia" w:ascii="仿宋" w:hAnsi="仿宋" w:eastAsia="仿宋" w:cs="仿宋"/>
                <w:color w:val="auto"/>
                <w:sz w:val="24"/>
                <w:szCs w:val="24"/>
                <w:highlight w:val="none"/>
              </w:rPr>
            </w:pPr>
          </w:p>
        </w:tc>
        <w:tc>
          <w:tcPr>
            <w:tcW w:w="1058" w:type="dxa"/>
          </w:tcPr>
          <w:p w14:paraId="647AED9B">
            <w:pPr>
              <w:rPr>
                <w:rFonts w:hint="eastAsia" w:ascii="仿宋" w:hAnsi="仿宋" w:eastAsia="仿宋" w:cs="仿宋"/>
                <w:color w:val="auto"/>
                <w:sz w:val="24"/>
                <w:szCs w:val="24"/>
                <w:highlight w:val="none"/>
              </w:rPr>
            </w:pPr>
          </w:p>
        </w:tc>
        <w:tc>
          <w:tcPr>
            <w:tcW w:w="880" w:type="dxa"/>
          </w:tcPr>
          <w:p w14:paraId="55DE821E">
            <w:pPr>
              <w:rPr>
                <w:rFonts w:hint="eastAsia" w:ascii="仿宋" w:hAnsi="仿宋" w:eastAsia="仿宋" w:cs="仿宋"/>
                <w:color w:val="auto"/>
                <w:sz w:val="24"/>
                <w:szCs w:val="24"/>
                <w:highlight w:val="none"/>
              </w:rPr>
            </w:pPr>
          </w:p>
        </w:tc>
        <w:tc>
          <w:tcPr>
            <w:tcW w:w="1020" w:type="dxa"/>
          </w:tcPr>
          <w:p w14:paraId="2EA0102D">
            <w:pPr>
              <w:rPr>
                <w:rFonts w:hint="eastAsia" w:ascii="仿宋" w:hAnsi="仿宋" w:eastAsia="仿宋" w:cs="仿宋"/>
                <w:color w:val="auto"/>
                <w:sz w:val="24"/>
                <w:szCs w:val="24"/>
                <w:highlight w:val="none"/>
              </w:rPr>
            </w:pPr>
          </w:p>
        </w:tc>
        <w:tc>
          <w:tcPr>
            <w:tcW w:w="1480" w:type="dxa"/>
          </w:tcPr>
          <w:p w14:paraId="70582596">
            <w:pPr>
              <w:rPr>
                <w:rFonts w:hint="eastAsia" w:ascii="仿宋" w:hAnsi="仿宋" w:eastAsia="仿宋" w:cs="仿宋"/>
                <w:color w:val="auto"/>
                <w:sz w:val="24"/>
                <w:szCs w:val="24"/>
                <w:highlight w:val="none"/>
              </w:rPr>
            </w:pPr>
          </w:p>
        </w:tc>
        <w:tc>
          <w:tcPr>
            <w:tcW w:w="1020" w:type="dxa"/>
          </w:tcPr>
          <w:p w14:paraId="68C98688">
            <w:pPr>
              <w:rPr>
                <w:rFonts w:hint="eastAsia" w:ascii="仿宋" w:hAnsi="仿宋" w:eastAsia="仿宋" w:cs="仿宋"/>
                <w:color w:val="auto"/>
                <w:sz w:val="24"/>
                <w:szCs w:val="24"/>
                <w:highlight w:val="none"/>
              </w:rPr>
            </w:pPr>
          </w:p>
        </w:tc>
        <w:tc>
          <w:tcPr>
            <w:tcW w:w="921" w:type="dxa"/>
          </w:tcPr>
          <w:p w14:paraId="0255DDCD">
            <w:pPr>
              <w:rPr>
                <w:rFonts w:hint="eastAsia" w:ascii="仿宋" w:hAnsi="仿宋" w:eastAsia="仿宋" w:cs="仿宋"/>
                <w:color w:val="auto"/>
                <w:sz w:val="24"/>
                <w:szCs w:val="24"/>
                <w:highlight w:val="none"/>
              </w:rPr>
            </w:pPr>
          </w:p>
        </w:tc>
      </w:tr>
      <w:tr w14:paraId="1370D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706F4E">
            <w:pPr>
              <w:rPr>
                <w:rFonts w:hint="eastAsia" w:ascii="仿宋" w:hAnsi="仿宋" w:eastAsia="仿宋" w:cs="仿宋"/>
                <w:color w:val="auto"/>
                <w:sz w:val="24"/>
                <w:szCs w:val="24"/>
                <w:highlight w:val="none"/>
              </w:rPr>
            </w:pPr>
          </w:p>
        </w:tc>
        <w:tc>
          <w:tcPr>
            <w:tcW w:w="1418" w:type="dxa"/>
          </w:tcPr>
          <w:p w14:paraId="08D7BF25">
            <w:pPr>
              <w:rPr>
                <w:rFonts w:hint="eastAsia" w:ascii="仿宋" w:hAnsi="仿宋" w:eastAsia="仿宋" w:cs="仿宋"/>
                <w:color w:val="auto"/>
                <w:sz w:val="24"/>
                <w:szCs w:val="24"/>
                <w:highlight w:val="none"/>
              </w:rPr>
            </w:pPr>
          </w:p>
        </w:tc>
        <w:tc>
          <w:tcPr>
            <w:tcW w:w="850" w:type="dxa"/>
          </w:tcPr>
          <w:p w14:paraId="54F7450F">
            <w:pPr>
              <w:rPr>
                <w:rFonts w:hint="eastAsia" w:ascii="仿宋" w:hAnsi="仿宋" w:eastAsia="仿宋" w:cs="仿宋"/>
                <w:color w:val="auto"/>
                <w:sz w:val="24"/>
                <w:szCs w:val="24"/>
                <w:highlight w:val="none"/>
              </w:rPr>
            </w:pPr>
          </w:p>
        </w:tc>
        <w:tc>
          <w:tcPr>
            <w:tcW w:w="1058" w:type="dxa"/>
          </w:tcPr>
          <w:p w14:paraId="69856045">
            <w:pPr>
              <w:rPr>
                <w:rFonts w:hint="eastAsia" w:ascii="仿宋" w:hAnsi="仿宋" w:eastAsia="仿宋" w:cs="仿宋"/>
                <w:color w:val="auto"/>
                <w:sz w:val="24"/>
                <w:szCs w:val="24"/>
                <w:highlight w:val="none"/>
              </w:rPr>
            </w:pPr>
          </w:p>
        </w:tc>
        <w:tc>
          <w:tcPr>
            <w:tcW w:w="880" w:type="dxa"/>
          </w:tcPr>
          <w:p w14:paraId="38BC3CD6">
            <w:pPr>
              <w:rPr>
                <w:rFonts w:hint="eastAsia" w:ascii="仿宋" w:hAnsi="仿宋" w:eastAsia="仿宋" w:cs="仿宋"/>
                <w:color w:val="auto"/>
                <w:sz w:val="24"/>
                <w:szCs w:val="24"/>
                <w:highlight w:val="none"/>
              </w:rPr>
            </w:pPr>
          </w:p>
        </w:tc>
        <w:tc>
          <w:tcPr>
            <w:tcW w:w="1020" w:type="dxa"/>
          </w:tcPr>
          <w:p w14:paraId="65B6C0B0">
            <w:pPr>
              <w:rPr>
                <w:rFonts w:hint="eastAsia" w:ascii="仿宋" w:hAnsi="仿宋" w:eastAsia="仿宋" w:cs="仿宋"/>
                <w:color w:val="auto"/>
                <w:sz w:val="24"/>
                <w:szCs w:val="24"/>
                <w:highlight w:val="none"/>
              </w:rPr>
            </w:pPr>
          </w:p>
        </w:tc>
        <w:tc>
          <w:tcPr>
            <w:tcW w:w="1480" w:type="dxa"/>
          </w:tcPr>
          <w:p w14:paraId="2B8AEE15">
            <w:pPr>
              <w:rPr>
                <w:rFonts w:hint="eastAsia" w:ascii="仿宋" w:hAnsi="仿宋" w:eastAsia="仿宋" w:cs="仿宋"/>
                <w:color w:val="auto"/>
                <w:sz w:val="24"/>
                <w:szCs w:val="24"/>
                <w:highlight w:val="none"/>
              </w:rPr>
            </w:pPr>
          </w:p>
        </w:tc>
        <w:tc>
          <w:tcPr>
            <w:tcW w:w="1020" w:type="dxa"/>
          </w:tcPr>
          <w:p w14:paraId="6F9A07A4">
            <w:pPr>
              <w:rPr>
                <w:rFonts w:hint="eastAsia" w:ascii="仿宋" w:hAnsi="仿宋" w:eastAsia="仿宋" w:cs="仿宋"/>
                <w:color w:val="auto"/>
                <w:sz w:val="24"/>
                <w:szCs w:val="24"/>
                <w:highlight w:val="none"/>
              </w:rPr>
            </w:pPr>
          </w:p>
        </w:tc>
        <w:tc>
          <w:tcPr>
            <w:tcW w:w="921" w:type="dxa"/>
          </w:tcPr>
          <w:p w14:paraId="6955401E">
            <w:pPr>
              <w:rPr>
                <w:rFonts w:hint="eastAsia" w:ascii="仿宋" w:hAnsi="仿宋" w:eastAsia="仿宋" w:cs="仿宋"/>
                <w:color w:val="auto"/>
                <w:sz w:val="24"/>
                <w:szCs w:val="24"/>
                <w:highlight w:val="none"/>
              </w:rPr>
            </w:pPr>
          </w:p>
        </w:tc>
      </w:tr>
    </w:tbl>
    <w:p w14:paraId="390B58F1">
      <w:pPr>
        <w:rPr>
          <w:rFonts w:hint="eastAsia" w:ascii="仿宋" w:hAnsi="仿宋" w:eastAsia="仿宋" w:cs="仿宋"/>
          <w:color w:val="auto"/>
          <w:sz w:val="24"/>
          <w:szCs w:val="24"/>
          <w:highlight w:val="none"/>
        </w:rPr>
      </w:pPr>
    </w:p>
    <w:p w14:paraId="07942D85">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241" w:name="_Toc296503228"/>
      <w:bookmarkStart w:id="242" w:name="_Toc296891056"/>
      <w:bookmarkStart w:id="243" w:name="_Toc296347227"/>
      <w:bookmarkStart w:id="244" w:name="_Toc296944567"/>
      <w:bookmarkStart w:id="245" w:name="_Toc296346729"/>
      <w:bookmarkStart w:id="246" w:name="_Toc267261699"/>
      <w:bookmarkStart w:id="247" w:name="_Toc296891268"/>
      <w:r>
        <w:rPr>
          <w:rFonts w:hint="eastAsia" w:ascii="仿宋" w:hAnsi="仿宋" w:eastAsia="仿宋" w:cs="仿宋"/>
          <w:color w:val="auto"/>
          <w:sz w:val="24"/>
          <w:szCs w:val="24"/>
          <w:highlight w:val="none"/>
        </w:rPr>
        <w:t>件6：</w:t>
      </w:r>
    </w:p>
    <w:bookmarkEnd w:id="241"/>
    <w:bookmarkEnd w:id="242"/>
    <w:bookmarkEnd w:id="243"/>
    <w:bookmarkEnd w:id="244"/>
    <w:bookmarkEnd w:id="245"/>
    <w:bookmarkEnd w:id="246"/>
    <w:bookmarkEnd w:id="247"/>
    <w:p w14:paraId="7177C7E5">
      <w:pPr>
        <w:spacing w:before="120" w:beforeLines="50" w:after="120" w:afterLines="50"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承包人主要施工管理人员表</w:t>
      </w:r>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5EFF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E05EB9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1418" w:type="dxa"/>
            <w:tcBorders>
              <w:top w:val="single" w:color="auto" w:sz="12" w:space="0"/>
              <w:bottom w:val="double" w:color="auto" w:sz="6" w:space="0"/>
            </w:tcBorders>
            <w:vAlign w:val="center"/>
          </w:tcPr>
          <w:p w14:paraId="2F1D3ED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34" w:type="dxa"/>
            <w:tcBorders>
              <w:top w:val="single" w:color="auto" w:sz="12" w:space="0"/>
              <w:bottom w:val="double" w:color="auto" w:sz="6" w:space="0"/>
            </w:tcBorders>
            <w:vAlign w:val="center"/>
          </w:tcPr>
          <w:p w14:paraId="551D7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134" w:type="dxa"/>
            <w:tcBorders>
              <w:top w:val="single" w:color="auto" w:sz="12" w:space="0"/>
              <w:bottom w:val="double" w:color="auto" w:sz="6" w:space="0"/>
            </w:tcBorders>
            <w:vAlign w:val="center"/>
          </w:tcPr>
          <w:p w14:paraId="1CD6098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4252" w:type="dxa"/>
            <w:tcBorders>
              <w:top w:val="single" w:color="auto" w:sz="12" w:space="0"/>
              <w:bottom w:val="double" w:color="auto" w:sz="6" w:space="0"/>
            </w:tcBorders>
            <w:vAlign w:val="center"/>
          </w:tcPr>
          <w:p w14:paraId="6DE4ABD0">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主要资历、经验及承担过的项目</w:t>
            </w:r>
          </w:p>
        </w:tc>
      </w:tr>
      <w:tr w14:paraId="426FDA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33ED1EA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一、总部人员</w:t>
            </w:r>
          </w:p>
        </w:tc>
      </w:tr>
      <w:tr w14:paraId="72977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B1F159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项目主管</w:t>
            </w:r>
          </w:p>
        </w:tc>
        <w:tc>
          <w:tcPr>
            <w:tcW w:w="1418" w:type="dxa"/>
            <w:tcBorders>
              <w:top w:val="nil"/>
            </w:tcBorders>
            <w:vAlign w:val="center"/>
          </w:tcPr>
          <w:p w14:paraId="4A922B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7AAB445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top w:val="nil"/>
            </w:tcBorders>
            <w:vAlign w:val="center"/>
          </w:tcPr>
          <w:p w14:paraId="613BA745">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top w:val="nil"/>
            </w:tcBorders>
            <w:vAlign w:val="center"/>
          </w:tcPr>
          <w:p w14:paraId="19F2A3A7">
            <w:pPr>
              <w:pStyle w:val="2"/>
              <w:keepNext/>
              <w:spacing w:after="0" w:line="440" w:lineRule="exact"/>
              <w:ind w:left="63" w:right="63"/>
              <w:rPr>
                <w:rFonts w:hint="eastAsia" w:ascii="仿宋" w:hAnsi="仿宋" w:eastAsia="仿宋" w:cs="仿宋"/>
                <w:color w:val="auto"/>
                <w:sz w:val="24"/>
                <w:szCs w:val="24"/>
                <w:highlight w:val="none"/>
              </w:rPr>
            </w:pPr>
          </w:p>
        </w:tc>
      </w:tr>
      <w:tr w14:paraId="609B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85AA3B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76573A0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762029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7A93E8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F0AE2E4">
            <w:pPr>
              <w:pStyle w:val="2"/>
              <w:keepNext/>
              <w:spacing w:after="0" w:line="440" w:lineRule="exact"/>
              <w:ind w:left="63" w:right="63"/>
              <w:rPr>
                <w:rFonts w:hint="eastAsia" w:ascii="仿宋" w:hAnsi="仿宋" w:eastAsia="仿宋" w:cs="仿宋"/>
                <w:color w:val="auto"/>
                <w:sz w:val="24"/>
                <w:szCs w:val="24"/>
                <w:highlight w:val="none"/>
              </w:rPr>
            </w:pPr>
          </w:p>
        </w:tc>
      </w:tr>
      <w:tr w14:paraId="5194F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E503F0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2E6CD7C7">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1C9574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9D911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60FA972">
            <w:pPr>
              <w:pStyle w:val="2"/>
              <w:keepNext/>
              <w:spacing w:after="0" w:line="440" w:lineRule="exact"/>
              <w:ind w:left="63" w:right="63"/>
              <w:rPr>
                <w:rFonts w:hint="eastAsia" w:ascii="仿宋" w:hAnsi="仿宋" w:eastAsia="仿宋" w:cs="仿宋"/>
                <w:color w:val="auto"/>
                <w:sz w:val="24"/>
                <w:szCs w:val="24"/>
                <w:highlight w:val="none"/>
              </w:rPr>
            </w:pPr>
          </w:p>
        </w:tc>
      </w:tr>
      <w:tr w14:paraId="5EC9C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79995E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084B45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2BD6A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ADFEA9F">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5D0A6F1">
            <w:pPr>
              <w:pStyle w:val="2"/>
              <w:keepNext/>
              <w:spacing w:after="0" w:line="440" w:lineRule="exact"/>
              <w:ind w:left="63" w:right="63"/>
              <w:rPr>
                <w:rFonts w:hint="eastAsia" w:ascii="仿宋" w:hAnsi="仿宋" w:eastAsia="仿宋" w:cs="仿宋"/>
                <w:color w:val="auto"/>
                <w:sz w:val="24"/>
                <w:szCs w:val="24"/>
                <w:highlight w:val="none"/>
              </w:rPr>
            </w:pPr>
          </w:p>
        </w:tc>
      </w:tr>
      <w:tr w14:paraId="68B8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AE2EAE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二、现场人员</w:t>
            </w:r>
          </w:p>
        </w:tc>
      </w:tr>
      <w:tr w14:paraId="54DBF8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83F98B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项目经理</w:t>
            </w:r>
          </w:p>
        </w:tc>
        <w:tc>
          <w:tcPr>
            <w:tcW w:w="1418" w:type="dxa"/>
            <w:vAlign w:val="center"/>
          </w:tcPr>
          <w:p w14:paraId="2F78791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0F919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0A4E8D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000EE6">
            <w:pPr>
              <w:pStyle w:val="2"/>
              <w:keepNext/>
              <w:spacing w:after="0" w:line="440" w:lineRule="exact"/>
              <w:ind w:left="63" w:right="63"/>
              <w:rPr>
                <w:rFonts w:hint="eastAsia" w:ascii="仿宋" w:hAnsi="仿宋" w:eastAsia="仿宋" w:cs="仿宋"/>
                <w:color w:val="auto"/>
                <w:sz w:val="24"/>
                <w:szCs w:val="24"/>
                <w:highlight w:val="none"/>
              </w:rPr>
            </w:pPr>
          </w:p>
        </w:tc>
      </w:tr>
      <w:tr w14:paraId="0C4E0A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67E262">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项目副经理</w:t>
            </w:r>
          </w:p>
        </w:tc>
        <w:tc>
          <w:tcPr>
            <w:tcW w:w="1418" w:type="dxa"/>
            <w:vAlign w:val="center"/>
          </w:tcPr>
          <w:p w14:paraId="43D196D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FFC02E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5EA722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5B8E10B8">
            <w:pPr>
              <w:pStyle w:val="2"/>
              <w:keepNext/>
              <w:spacing w:after="0" w:line="440" w:lineRule="exact"/>
              <w:ind w:left="63" w:right="63"/>
              <w:rPr>
                <w:rFonts w:hint="eastAsia" w:ascii="仿宋" w:hAnsi="仿宋" w:eastAsia="仿宋" w:cs="仿宋"/>
                <w:color w:val="auto"/>
                <w:sz w:val="24"/>
                <w:szCs w:val="24"/>
                <w:highlight w:val="none"/>
              </w:rPr>
            </w:pPr>
          </w:p>
        </w:tc>
      </w:tr>
      <w:tr w14:paraId="5FC62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45010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418" w:type="dxa"/>
            <w:vAlign w:val="center"/>
          </w:tcPr>
          <w:p w14:paraId="5CCE288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9F5DEC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3A99EC64">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1C6BCC">
            <w:pPr>
              <w:pStyle w:val="2"/>
              <w:keepNext/>
              <w:spacing w:after="0" w:line="440" w:lineRule="exact"/>
              <w:ind w:left="63" w:right="63"/>
              <w:rPr>
                <w:rFonts w:hint="eastAsia" w:ascii="仿宋" w:hAnsi="仿宋" w:eastAsia="仿宋" w:cs="仿宋"/>
                <w:color w:val="auto"/>
                <w:sz w:val="24"/>
                <w:szCs w:val="24"/>
                <w:highlight w:val="none"/>
              </w:rPr>
            </w:pPr>
          </w:p>
        </w:tc>
      </w:tr>
      <w:tr w14:paraId="13F61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195ADA">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造价管理</w:t>
            </w:r>
          </w:p>
        </w:tc>
        <w:tc>
          <w:tcPr>
            <w:tcW w:w="1418" w:type="dxa"/>
            <w:vAlign w:val="center"/>
          </w:tcPr>
          <w:p w14:paraId="1A07BBBD">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9AB717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B2E10AE">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725CBAF6">
            <w:pPr>
              <w:pStyle w:val="2"/>
              <w:keepNext/>
              <w:spacing w:after="0" w:line="440" w:lineRule="exact"/>
              <w:ind w:left="63" w:right="63"/>
              <w:rPr>
                <w:rFonts w:hint="eastAsia" w:ascii="仿宋" w:hAnsi="仿宋" w:eastAsia="仿宋" w:cs="仿宋"/>
                <w:color w:val="auto"/>
                <w:sz w:val="24"/>
                <w:szCs w:val="24"/>
                <w:highlight w:val="none"/>
              </w:rPr>
            </w:pPr>
          </w:p>
        </w:tc>
      </w:tr>
      <w:tr w14:paraId="7FED9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2616F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质量管理</w:t>
            </w:r>
          </w:p>
        </w:tc>
        <w:tc>
          <w:tcPr>
            <w:tcW w:w="1418" w:type="dxa"/>
            <w:vAlign w:val="center"/>
          </w:tcPr>
          <w:p w14:paraId="3E18BDF9">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E6F75E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8FA35E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A2CFA4C">
            <w:pPr>
              <w:pStyle w:val="2"/>
              <w:keepNext/>
              <w:spacing w:after="0" w:line="440" w:lineRule="exact"/>
              <w:ind w:left="63" w:right="63"/>
              <w:rPr>
                <w:rFonts w:hint="eastAsia" w:ascii="仿宋" w:hAnsi="仿宋" w:eastAsia="仿宋" w:cs="仿宋"/>
                <w:color w:val="auto"/>
                <w:sz w:val="24"/>
                <w:szCs w:val="24"/>
                <w:highlight w:val="none"/>
              </w:rPr>
            </w:pPr>
          </w:p>
        </w:tc>
      </w:tr>
      <w:tr w14:paraId="501AC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6D60D55">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材料管理</w:t>
            </w:r>
          </w:p>
        </w:tc>
        <w:tc>
          <w:tcPr>
            <w:tcW w:w="1418" w:type="dxa"/>
            <w:vAlign w:val="center"/>
          </w:tcPr>
          <w:p w14:paraId="4A2B5F0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BF9CE9F">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AA4DB9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AFD3B6D">
            <w:pPr>
              <w:pStyle w:val="2"/>
              <w:keepNext/>
              <w:spacing w:after="0" w:line="440" w:lineRule="exact"/>
              <w:ind w:left="63" w:right="63"/>
              <w:rPr>
                <w:rFonts w:hint="eastAsia" w:ascii="仿宋" w:hAnsi="仿宋" w:eastAsia="仿宋" w:cs="仿宋"/>
                <w:color w:val="auto"/>
                <w:sz w:val="24"/>
                <w:szCs w:val="24"/>
                <w:highlight w:val="none"/>
              </w:rPr>
            </w:pPr>
          </w:p>
        </w:tc>
      </w:tr>
      <w:tr w14:paraId="70FCC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1E3AFA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计划管理</w:t>
            </w:r>
          </w:p>
        </w:tc>
        <w:tc>
          <w:tcPr>
            <w:tcW w:w="1418" w:type="dxa"/>
            <w:vAlign w:val="center"/>
          </w:tcPr>
          <w:p w14:paraId="736C5FA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2C28DD1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17C7F2CD">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BA5B6E2">
            <w:pPr>
              <w:pStyle w:val="2"/>
              <w:keepNext/>
              <w:spacing w:after="0" w:line="440" w:lineRule="exact"/>
              <w:ind w:left="63" w:right="63"/>
              <w:rPr>
                <w:rFonts w:hint="eastAsia" w:ascii="仿宋" w:hAnsi="仿宋" w:eastAsia="仿宋" w:cs="仿宋"/>
                <w:color w:val="auto"/>
                <w:sz w:val="24"/>
                <w:szCs w:val="24"/>
                <w:highlight w:val="none"/>
              </w:rPr>
            </w:pPr>
          </w:p>
        </w:tc>
      </w:tr>
      <w:tr w14:paraId="24BB15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9D385C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w:t>
            </w:r>
          </w:p>
        </w:tc>
        <w:tc>
          <w:tcPr>
            <w:tcW w:w="1418" w:type="dxa"/>
            <w:vAlign w:val="center"/>
          </w:tcPr>
          <w:p w14:paraId="7E6C8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7AF675E6">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23DB208">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49552EB2">
            <w:pPr>
              <w:pStyle w:val="2"/>
              <w:keepNext/>
              <w:spacing w:after="0" w:line="440" w:lineRule="exact"/>
              <w:ind w:left="63" w:right="63"/>
              <w:rPr>
                <w:rFonts w:hint="eastAsia" w:ascii="仿宋" w:hAnsi="仿宋" w:eastAsia="仿宋" w:cs="仿宋"/>
                <w:color w:val="auto"/>
                <w:sz w:val="24"/>
                <w:szCs w:val="24"/>
                <w:highlight w:val="none"/>
              </w:rPr>
            </w:pPr>
          </w:p>
        </w:tc>
      </w:tr>
      <w:tr w14:paraId="1FF77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CA3548C">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其他人员</w:t>
            </w:r>
          </w:p>
        </w:tc>
        <w:tc>
          <w:tcPr>
            <w:tcW w:w="1418" w:type="dxa"/>
            <w:vAlign w:val="center"/>
          </w:tcPr>
          <w:p w14:paraId="4595963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0112FC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9F0807">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E7A32B">
            <w:pPr>
              <w:pStyle w:val="2"/>
              <w:keepNext/>
              <w:spacing w:after="0" w:line="440" w:lineRule="exact"/>
              <w:ind w:left="63" w:right="63"/>
              <w:rPr>
                <w:rFonts w:hint="eastAsia" w:ascii="仿宋" w:hAnsi="仿宋" w:eastAsia="仿宋" w:cs="仿宋"/>
                <w:color w:val="auto"/>
                <w:sz w:val="24"/>
                <w:szCs w:val="24"/>
                <w:highlight w:val="none"/>
              </w:rPr>
            </w:pPr>
          </w:p>
        </w:tc>
      </w:tr>
      <w:tr w14:paraId="735B8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94CC4E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nil"/>
            </w:tcBorders>
            <w:vAlign w:val="center"/>
          </w:tcPr>
          <w:p w14:paraId="74B9E37B">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0A5E6C4C">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nil"/>
            </w:tcBorders>
            <w:vAlign w:val="center"/>
          </w:tcPr>
          <w:p w14:paraId="7D1571A1">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nil"/>
            </w:tcBorders>
            <w:vAlign w:val="center"/>
          </w:tcPr>
          <w:p w14:paraId="26EA5615">
            <w:pPr>
              <w:pStyle w:val="2"/>
              <w:keepNext/>
              <w:spacing w:after="0" w:line="440" w:lineRule="exact"/>
              <w:ind w:left="63" w:right="63"/>
              <w:rPr>
                <w:rFonts w:hint="eastAsia" w:ascii="仿宋" w:hAnsi="仿宋" w:eastAsia="仿宋" w:cs="仿宋"/>
                <w:color w:val="auto"/>
                <w:sz w:val="24"/>
                <w:szCs w:val="24"/>
                <w:highlight w:val="none"/>
              </w:rPr>
            </w:pPr>
          </w:p>
        </w:tc>
      </w:tr>
      <w:tr w14:paraId="2F434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33BB40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132CFD08">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64054955">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AEB2D00">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12F806F8">
            <w:pPr>
              <w:pStyle w:val="2"/>
              <w:keepNext/>
              <w:spacing w:after="0" w:line="440" w:lineRule="exact"/>
              <w:ind w:left="63" w:right="63"/>
              <w:rPr>
                <w:rFonts w:hint="eastAsia" w:ascii="仿宋" w:hAnsi="仿宋" w:eastAsia="仿宋" w:cs="仿宋"/>
                <w:color w:val="auto"/>
                <w:sz w:val="24"/>
                <w:szCs w:val="24"/>
                <w:highlight w:val="none"/>
              </w:rPr>
            </w:pPr>
          </w:p>
        </w:tc>
      </w:tr>
      <w:tr w14:paraId="34859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3B2CCC1">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66C19DB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FB60D23">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470A7729">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7B15B3E">
            <w:pPr>
              <w:pStyle w:val="2"/>
              <w:keepNext/>
              <w:spacing w:after="0" w:line="440" w:lineRule="exact"/>
              <w:ind w:left="63" w:right="63"/>
              <w:rPr>
                <w:rFonts w:hint="eastAsia" w:ascii="仿宋" w:hAnsi="仿宋" w:eastAsia="仿宋" w:cs="仿宋"/>
                <w:color w:val="auto"/>
                <w:sz w:val="24"/>
                <w:szCs w:val="24"/>
                <w:highlight w:val="none"/>
              </w:rPr>
            </w:pPr>
          </w:p>
        </w:tc>
      </w:tr>
      <w:tr w14:paraId="7864B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29173E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vAlign w:val="center"/>
          </w:tcPr>
          <w:p w14:paraId="0A02FFEA">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0D2493C0">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vAlign w:val="center"/>
          </w:tcPr>
          <w:p w14:paraId="5CA7F073">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vAlign w:val="center"/>
          </w:tcPr>
          <w:p w14:paraId="20B67738">
            <w:pPr>
              <w:pStyle w:val="2"/>
              <w:keepNext/>
              <w:spacing w:after="0" w:line="440" w:lineRule="exact"/>
              <w:ind w:left="63" w:right="63"/>
              <w:rPr>
                <w:rFonts w:hint="eastAsia" w:ascii="仿宋" w:hAnsi="仿宋" w:eastAsia="仿宋" w:cs="仿宋"/>
                <w:color w:val="auto"/>
                <w:sz w:val="24"/>
                <w:szCs w:val="24"/>
                <w:highlight w:val="none"/>
              </w:rPr>
            </w:pPr>
          </w:p>
        </w:tc>
      </w:tr>
      <w:tr w14:paraId="555A6F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657BD05">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bottom w:val="single" w:color="auto" w:sz="12" w:space="0"/>
            </w:tcBorders>
            <w:vAlign w:val="center"/>
          </w:tcPr>
          <w:p w14:paraId="7D6603F1">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352204CE">
            <w:pPr>
              <w:pStyle w:val="2"/>
              <w:keepNext/>
              <w:spacing w:after="0" w:line="440" w:lineRule="exact"/>
              <w:ind w:left="63" w:right="63"/>
              <w:rPr>
                <w:rFonts w:hint="eastAsia" w:ascii="仿宋" w:hAnsi="仿宋" w:eastAsia="仿宋" w:cs="仿宋"/>
                <w:color w:val="auto"/>
                <w:sz w:val="24"/>
                <w:szCs w:val="24"/>
                <w:highlight w:val="none"/>
              </w:rPr>
            </w:pPr>
          </w:p>
        </w:tc>
        <w:tc>
          <w:tcPr>
            <w:tcW w:w="1134" w:type="dxa"/>
            <w:tcBorders>
              <w:bottom w:val="single" w:color="auto" w:sz="12" w:space="0"/>
            </w:tcBorders>
            <w:vAlign w:val="center"/>
          </w:tcPr>
          <w:p w14:paraId="587C201B">
            <w:pPr>
              <w:pStyle w:val="2"/>
              <w:keepNext/>
              <w:spacing w:after="0" w:line="440" w:lineRule="exact"/>
              <w:ind w:left="63" w:right="63"/>
              <w:rPr>
                <w:rFonts w:hint="eastAsia" w:ascii="仿宋" w:hAnsi="仿宋" w:eastAsia="仿宋" w:cs="仿宋"/>
                <w:color w:val="auto"/>
                <w:sz w:val="24"/>
                <w:szCs w:val="24"/>
                <w:highlight w:val="none"/>
              </w:rPr>
            </w:pPr>
          </w:p>
        </w:tc>
        <w:tc>
          <w:tcPr>
            <w:tcW w:w="4252" w:type="dxa"/>
            <w:tcBorders>
              <w:bottom w:val="single" w:color="auto" w:sz="12" w:space="0"/>
            </w:tcBorders>
            <w:vAlign w:val="center"/>
          </w:tcPr>
          <w:p w14:paraId="2EE3B567">
            <w:pPr>
              <w:pStyle w:val="2"/>
              <w:keepNext/>
              <w:spacing w:after="0" w:line="440" w:lineRule="exact"/>
              <w:ind w:left="63" w:right="63"/>
              <w:rPr>
                <w:rFonts w:hint="eastAsia" w:ascii="仿宋" w:hAnsi="仿宋" w:eastAsia="仿宋" w:cs="仿宋"/>
                <w:color w:val="auto"/>
                <w:sz w:val="24"/>
                <w:szCs w:val="24"/>
                <w:highlight w:val="none"/>
              </w:rPr>
            </w:pPr>
          </w:p>
        </w:tc>
      </w:tr>
    </w:tbl>
    <w:p w14:paraId="42049631">
      <w:pPr>
        <w:spacing w:line="440" w:lineRule="exact"/>
        <w:rPr>
          <w:rFonts w:hint="eastAsia" w:ascii="仿宋" w:hAnsi="仿宋" w:eastAsia="仿宋" w:cs="仿宋"/>
          <w:color w:val="auto"/>
          <w:sz w:val="24"/>
          <w:szCs w:val="24"/>
          <w:highlight w:val="none"/>
        </w:rPr>
      </w:pPr>
    </w:p>
    <w:p w14:paraId="33672718">
      <w:pPr>
        <w:spacing w:line="440" w:lineRule="exact"/>
        <w:rPr>
          <w:rFonts w:hint="eastAsia" w:ascii="仿宋" w:hAnsi="仿宋" w:eastAsia="仿宋" w:cs="仿宋"/>
          <w:color w:val="auto"/>
          <w:sz w:val="24"/>
          <w:szCs w:val="24"/>
          <w:highlight w:val="none"/>
        </w:rPr>
      </w:pPr>
    </w:p>
    <w:p w14:paraId="6214269C">
      <w:pPr>
        <w:spacing w:line="440" w:lineRule="exact"/>
        <w:rPr>
          <w:rFonts w:hint="eastAsia" w:ascii="仿宋" w:hAnsi="仿宋" w:eastAsia="仿宋" w:cs="仿宋"/>
          <w:color w:val="auto"/>
          <w:sz w:val="24"/>
          <w:szCs w:val="24"/>
          <w:highlight w:val="none"/>
        </w:rPr>
      </w:pPr>
    </w:p>
    <w:p w14:paraId="7597C52A">
      <w:pPr>
        <w:spacing w:line="440" w:lineRule="exact"/>
        <w:rPr>
          <w:rFonts w:hint="eastAsia" w:ascii="仿宋" w:hAnsi="仿宋" w:eastAsia="仿宋" w:cs="仿宋"/>
          <w:color w:val="auto"/>
          <w:sz w:val="24"/>
          <w:szCs w:val="24"/>
          <w:highlight w:val="none"/>
        </w:rPr>
      </w:pPr>
    </w:p>
    <w:p w14:paraId="78433FE0">
      <w:pPr>
        <w:spacing w:line="440" w:lineRule="exact"/>
        <w:rPr>
          <w:rFonts w:hint="eastAsia" w:ascii="仿宋" w:hAnsi="仿宋" w:eastAsia="仿宋" w:cs="仿宋"/>
          <w:color w:val="auto"/>
          <w:sz w:val="24"/>
          <w:szCs w:val="24"/>
          <w:highlight w:val="none"/>
        </w:rPr>
      </w:pPr>
    </w:p>
    <w:p w14:paraId="04259BF2">
      <w:pPr>
        <w:rPr>
          <w:rFonts w:hint="eastAsia" w:ascii="仿宋" w:hAnsi="仿宋" w:eastAsia="仿宋" w:cs="仿宋"/>
          <w:color w:val="auto"/>
          <w:sz w:val="24"/>
          <w:szCs w:val="24"/>
          <w:highlight w:val="none"/>
        </w:rPr>
      </w:pPr>
    </w:p>
    <w:p w14:paraId="5BE9C51C">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附件11：</w:t>
      </w:r>
      <w:bookmarkStart w:id="248" w:name="_Toc5406"/>
    </w:p>
    <w:p w14:paraId="6DE65B58">
      <w:pPr>
        <w:spacing w:before="120" w:beforeLines="50" w:after="120" w:afterLines="50" w:line="440" w:lineRule="exact"/>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11-1：材料暂估价表</w:t>
      </w:r>
      <w:bookmarkEnd w:id="248"/>
    </w:p>
    <w:tbl>
      <w:tblPr>
        <w:tblStyle w:val="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673C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106942D8">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984" w:type="dxa"/>
            <w:tcBorders>
              <w:top w:val="single" w:color="auto" w:sz="12" w:space="0"/>
              <w:bottom w:val="double" w:color="auto" w:sz="6" w:space="0"/>
            </w:tcBorders>
          </w:tcPr>
          <w:p w14:paraId="0722E036">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851" w:type="dxa"/>
            <w:tcBorders>
              <w:top w:val="single" w:color="auto" w:sz="12" w:space="0"/>
              <w:bottom w:val="double" w:color="auto" w:sz="6" w:space="0"/>
            </w:tcBorders>
          </w:tcPr>
          <w:p w14:paraId="6BF51BD4">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774" w:type="dxa"/>
            <w:tcBorders>
              <w:top w:val="single" w:color="auto" w:sz="12" w:space="0"/>
              <w:bottom w:val="double" w:color="auto" w:sz="6" w:space="0"/>
            </w:tcBorders>
          </w:tcPr>
          <w:p w14:paraId="57462FF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352" w:type="dxa"/>
            <w:tcBorders>
              <w:top w:val="single" w:color="auto" w:sz="12" w:space="0"/>
              <w:bottom w:val="double" w:color="auto" w:sz="6" w:space="0"/>
            </w:tcBorders>
          </w:tcPr>
          <w:p w14:paraId="52ACFAD1">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单价（元）</w:t>
            </w:r>
          </w:p>
        </w:tc>
        <w:tc>
          <w:tcPr>
            <w:tcW w:w="1418" w:type="dxa"/>
            <w:tcBorders>
              <w:top w:val="single" w:color="auto" w:sz="12" w:space="0"/>
              <w:bottom w:val="double" w:color="auto" w:sz="6" w:space="0"/>
            </w:tcBorders>
          </w:tcPr>
          <w:p w14:paraId="22A2FAB7">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合价（元）</w:t>
            </w:r>
          </w:p>
        </w:tc>
        <w:tc>
          <w:tcPr>
            <w:tcW w:w="1701" w:type="dxa"/>
            <w:tcBorders>
              <w:top w:val="single" w:color="auto" w:sz="12" w:space="0"/>
              <w:bottom w:val="double" w:color="auto" w:sz="6" w:space="0"/>
            </w:tcBorders>
          </w:tcPr>
          <w:p w14:paraId="6679179E">
            <w:pPr>
              <w:pStyle w:val="2"/>
              <w:keepNext/>
              <w:spacing w:after="0" w:line="440" w:lineRule="exact"/>
              <w:ind w:left="63" w:right="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6DD3A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5891435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double" w:color="auto" w:sz="6" w:space="0"/>
              <w:bottom w:val="single" w:color="auto" w:sz="6" w:space="0"/>
            </w:tcBorders>
          </w:tcPr>
          <w:p w14:paraId="721CF97F">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double" w:color="auto" w:sz="6" w:space="0"/>
              <w:bottom w:val="single" w:color="auto" w:sz="6" w:space="0"/>
            </w:tcBorders>
          </w:tcPr>
          <w:p w14:paraId="62B3F4C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double" w:color="auto" w:sz="6" w:space="0"/>
              <w:bottom w:val="single" w:color="auto" w:sz="6" w:space="0"/>
            </w:tcBorders>
          </w:tcPr>
          <w:p w14:paraId="33136CD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double" w:color="auto" w:sz="6" w:space="0"/>
              <w:bottom w:val="single" w:color="auto" w:sz="6" w:space="0"/>
            </w:tcBorders>
          </w:tcPr>
          <w:p w14:paraId="20ACF4A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double" w:color="auto" w:sz="6" w:space="0"/>
              <w:bottom w:val="single" w:color="auto" w:sz="6" w:space="0"/>
            </w:tcBorders>
          </w:tcPr>
          <w:p w14:paraId="5BC3D589">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double" w:color="auto" w:sz="6" w:space="0"/>
              <w:bottom w:val="single" w:color="auto" w:sz="6" w:space="0"/>
            </w:tcBorders>
          </w:tcPr>
          <w:p w14:paraId="6AC799DB">
            <w:pPr>
              <w:pStyle w:val="2"/>
              <w:keepNext/>
              <w:spacing w:after="0" w:line="440" w:lineRule="exact"/>
              <w:ind w:left="63" w:right="63"/>
              <w:rPr>
                <w:rFonts w:hint="eastAsia" w:ascii="仿宋" w:hAnsi="仿宋" w:eastAsia="仿宋" w:cs="仿宋"/>
                <w:color w:val="auto"/>
                <w:sz w:val="24"/>
                <w:szCs w:val="24"/>
                <w:highlight w:val="none"/>
              </w:rPr>
            </w:pPr>
          </w:p>
        </w:tc>
      </w:tr>
      <w:tr w14:paraId="6FFD0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1AE9CE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Borders>
              <w:top w:val="nil"/>
            </w:tcBorders>
          </w:tcPr>
          <w:p w14:paraId="7FFB4C0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Borders>
              <w:top w:val="nil"/>
            </w:tcBorders>
          </w:tcPr>
          <w:p w14:paraId="40FB4AB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Borders>
              <w:top w:val="nil"/>
            </w:tcBorders>
          </w:tcPr>
          <w:p w14:paraId="22BD8E0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Borders>
              <w:top w:val="nil"/>
            </w:tcBorders>
          </w:tcPr>
          <w:p w14:paraId="7050CC0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Borders>
              <w:top w:val="nil"/>
            </w:tcBorders>
          </w:tcPr>
          <w:p w14:paraId="2C5AA8D4">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Borders>
              <w:top w:val="nil"/>
            </w:tcBorders>
          </w:tcPr>
          <w:p w14:paraId="63F8D31C">
            <w:pPr>
              <w:pStyle w:val="2"/>
              <w:keepNext/>
              <w:spacing w:after="0" w:line="440" w:lineRule="exact"/>
              <w:ind w:left="63" w:right="63"/>
              <w:rPr>
                <w:rFonts w:hint="eastAsia" w:ascii="仿宋" w:hAnsi="仿宋" w:eastAsia="仿宋" w:cs="仿宋"/>
                <w:color w:val="auto"/>
                <w:sz w:val="24"/>
                <w:szCs w:val="24"/>
                <w:highlight w:val="none"/>
              </w:rPr>
            </w:pPr>
          </w:p>
        </w:tc>
      </w:tr>
      <w:tr w14:paraId="712DF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D710EBF">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BE87AC1">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070A94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40BD76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42D4B2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1DC488A">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34DC978">
            <w:pPr>
              <w:pStyle w:val="2"/>
              <w:keepNext/>
              <w:spacing w:after="0" w:line="440" w:lineRule="exact"/>
              <w:ind w:left="63" w:right="63"/>
              <w:rPr>
                <w:rFonts w:hint="eastAsia" w:ascii="仿宋" w:hAnsi="仿宋" w:eastAsia="仿宋" w:cs="仿宋"/>
                <w:color w:val="auto"/>
                <w:sz w:val="24"/>
                <w:szCs w:val="24"/>
                <w:highlight w:val="none"/>
              </w:rPr>
            </w:pPr>
          </w:p>
        </w:tc>
      </w:tr>
      <w:tr w14:paraId="4978E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4ADB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0614CF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30749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8637EA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E1A3BC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758ED6E">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95FE9CA">
            <w:pPr>
              <w:pStyle w:val="2"/>
              <w:keepNext/>
              <w:spacing w:after="0" w:line="440" w:lineRule="exact"/>
              <w:ind w:left="63" w:right="63"/>
              <w:rPr>
                <w:rFonts w:hint="eastAsia" w:ascii="仿宋" w:hAnsi="仿宋" w:eastAsia="仿宋" w:cs="仿宋"/>
                <w:color w:val="auto"/>
                <w:sz w:val="24"/>
                <w:szCs w:val="24"/>
                <w:highlight w:val="none"/>
              </w:rPr>
            </w:pPr>
          </w:p>
        </w:tc>
      </w:tr>
      <w:tr w14:paraId="4BABE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6A0F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36A51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773D38">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23BD0B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7362073">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D08568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267ABA8">
            <w:pPr>
              <w:pStyle w:val="2"/>
              <w:keepNext/>
              <w:spacing w:after="0" w:line="440" w:lineRule="exact"/>
              <w:ind w:left="63" w:right="63"/>
              <w:rPr>
                <w:rFonts w:hint="eastAsia" w:ascii="仿宋" w:hAnsi="仿宋" w:eastAsia="仿宋" w:cs="仿宋"/>
                <w:color w:val="auto"/>
                <w:sz w:val="24"/>
                <w:szCs w:val="24"/>
                <w:highlight w:val="none"/>
              </w:rPr>
            </w:pPr>
          </w:p>
        </w:tc>
      </w:tr>
      <w:tr w14:paraId="48BCE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52C8542">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EE6367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7F7656E">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5DC9879">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6DB5067">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59B7EF2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98AC6B2">
            <w:pPr>
              <w:pStyle w:val="2"/>
              <w:keepNext/>
              <w:spacing w:after="0" w:line="440" w:lineRule="exact"/>
              <w:ind w:left="63" w:right="63"/>
              <w:rPr>
                <w:rFonts w:hint="eastAsia" w:ascii="仿宋" w:hAnsi="仿宋" w:eastAsia="仿宋" w:cs="仿宋"/>
                <w:color w:val="auto"/>
                <w:sz w:val="24"/>
                <w:szCs w:val="24"/>
                <w:highlight w:val="none"/>
              </w:rPr>
            </w:pPr>
          </w:p>
        </w:tc>
      </w:tr>
      <w:tr w14:paraId="7CCD8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FBBF27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D650A82">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2AA1829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FE5038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E41A390">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2E577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1CE7D6B">
            <w:pPr>
              <w:pStyle w:val="2"/>
              <w:keepNext/>
              <w:spacing w:after="0" w:line="440" w:lineRule="exact"/>
              <w:ind w:left="63" w:right="63"/>
              <w:rPr>
                <w:rFonts w:hint="eastAsia" w:ascii="仿宋" w:hAnsi="仿宋" w:eastAsia="仿宋" w:cs="仿宋"/>
                <w:color w:val="auto"/>
                <w:sz w:val="24"/>
                <w:szCs w:val="24"/>
                <w:highlight w:val="none"/>
              </w:rPr>
            </w:pPr>
          </w:p>
        </w:tc>
      </w:tr>
      <w:tr w14:paraId="668F4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B94171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13497D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C68D580">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6F78401">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511E6056">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20E901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0BCAC58">
            <w:pPr>
              <w:pStyle w:val="2"/>
              <w:keepNext/>
              <w:spacing w:after="0" w:line="440" w:lineRule="exact"/>
              <w:ind w:left="63" w:right="63"/>
              <w:rPr>
                <w:rFonts w:hint="eastAsia" w:ascii="仿宋" w:hAnsi="仿宋" w:eastAsia="仿宋" w:cs="仿宋"/>
                <w:color w:val="auto"/>
                <w:sz w:val="24"/>
                <w:szCs w:val="24"/>
                <w:highlight w:val="none"/>
              </w:rPr>
            </w:pPr>
          </w:p>
        </w:tc>
      </w:tr>
      <w:tr w14:paraId="46D28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DE2D17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7649A8">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71A4B69">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D768CC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3A14D2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617904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4038E46C">
            <w:pPr>
              <w:pStyle w:val="2"/>
              <w:keepNext/>
              <w:spacing w:after="0" w:line="440" w:lineRule="exact"/>
              <w:ind w:left="63" w:right="63"/>
              <w:rPr>
                <w:rFonts w:hint="eastAsia" w:ascii="仿宋" w:hAnsi="仿宋" w:eastAsia="仿宋" w:cs="仿宋"/>
                <w:color w:val="auto"/>
                <w:sz w:val="24"/>
                <w:szCs w:val="24"/>
                <w:highlight w:val="none"/>
              </w:rPr>
            </w:pPr>
          </w:p>
        </w:tc>
      </w:tr>
      <w:tr w14:paraId="6CA89A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C7DEEA5">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7E89C99E">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1C3DD20F">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557358">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609E3A9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F40C5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1522FFD">
            <w:pPr>
              <w:pStyle w:val="2"/>
              <w:keepNext/>
              <w:spacing w:after="0" w:line="440" w:lineRule="exact"/>
              <w:ind w:left="63" w:right="63"/>
              <w:rPr>
                <w:rFonts w:hint="eastAsia" w:ascii="仿宋" w:hAnsi="仿宋" w:eastAsia="仿宋" w:cs="仿宋"/>
                <w:color w:val="auto"/>
                <w:sz w:val="24"/>
                <w:szCs w:val="24"/>
                <w:highlight w:val="none"/>
              </w:rPr>
            </w:pPr>
          </w:p>
        </w:tc>
      </w:tr>
      <w:tr w14:paraId="11A8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E6AF8DD">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94BE1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E1BA45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7577120F">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832132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288B94D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EBC5B75">
            <w:pPr>
              <w:pStyle w:val="2"/>
              <w:keepNext/>
              <w:spacing w:after="0" w:line="440" w:lineRule="exact"/>
              <w:ind w:left="63" w:right="63"/>
              <w:rPr>
                <w:rFonts w:hint="eastAsia" w:ascii="仿宋" w:hAnsi="仿宋" w:eastAsia="仿宋" w:cs="仿宋"/>
                <w:color w:val="auto"/>
                <w:sz w:val="24"/>
                <w:szCs w:val="24"/>
                <w:highlight w:val="none"/>
              </w:rPr>
            </w:pPr>
          </w:p>
        </w:tc>
      </w:tr>
      <w:tr w14:paraId="1893B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E284771">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1C8D05A">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0D9C5DF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DAC57C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29F5C9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25E48E0">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3136E18">
            <w:pPr>
              <w:pStyle w:val="2"/>
              <w:keepNext/>
              <w:spacing w:after="0" w:line="440" w:lineRule="exact"/>
              <w:ind w:left="63" w:right="63"/>
              <w:rPr>
                <w:rFonts w:hint="eastAsia" w:ascii="仿宋" w:hAnsi="仿宋" w:eastAsia="仿宋" w:cs="仿宋"/>
                <w:color w:val="auto"/>
                <w:sz w:val="24"/>
                <w:szCs w:val="24"/>
                <w:highlight w:val="none"/>
              </w:rPr>
            </w:pPr>
          </w:p>
        </w:tc>
      </w:tr>
      <w:tr w14:paraId="53DB2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0F7B3E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29542D05">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4A0566B">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678249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C9DE93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854265D">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1090E29">
            <w:pPr>
              <w:pStyle w:val="2"/>
              <w:keepNext/>
              <w:spacing w:after="0" w:line="440" w:lineRule="exact"/>
              <w:ind w:left="63" w:right="63"/>
              <w:rPr>
                <w:rFonts w:hint="eastAsia" w:ascii="仿宋" w:hAnsi="仿宋" w:eastAsia="仿宋" w:cs="仿宋"/>
                <w:color w:val="auto"/>
                <w:sz w:val="24"/>
                <w:szCs w:val="24"/>
                <w:highlight w:val="none"/>
              </w:rPr>
            </w:pPr>
          </w:p>
        </w:tc>
      </w:tr>
      <w:tr w14:paraId="3DF78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0F2A5CC">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37020310">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1FF3D11">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4702DD">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22E720F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9B2A45F">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34EB2D5">
            <w:pPr>
              <w:pStyle w:val="2"/>
              <w:keepNext/>
              <w:spacing w:after="0" w:line="440" w:lineRule="exact"/>
              <w:ind w:left="63" w:right="63"/>
              <w:rPr>
                <w:rFonts w:hint="eastAsia" w:ascii="仿宋" w:hAnsi="仿宋" w:eastAsia="仿宋" w:cs="仿宋"/>
                <w:color w:val="auto"/>
                <w:sz w:val="24"/>
                <w:szCs w:val="24"/>
                <w:highlight w:val="none"/>
              </w:rPr>
            </w:pPr>
          </w:p>
        </w:tc>
      </w:tr>
      <w:tr w14:paraId="21798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DF3E66">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8C4064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E4AD0C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E748C24">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D4987F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C93105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A1F24D9">
            <w:pPr>
              <w:pStyle w:val="2"/>
              <w:keepNext/>
              <w:spacing w:after="0" w:line="440" w:lineRule="exact"/>
              <w:ind w:left="63" w:right="63"/>
              <w:rPr>
                <w:rFonts w:hint="eastAsia" w:ascii="仿宋" w:hAnsi="仿宋" w:eastAsia="仿宋" w:cs="仿宋"/>
                <w:color w:val="auto"/>
                <w:sz w:val="24"/>
                <w:szCs w:val="24"/>
                <w:highlight w:val="none"/>
              </w:rPr>
            </w:pPr>
          </w:p>
        </w:tc>
      </w:tr>
      <w:tr w14:paraId="150B9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69825B8">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04F48B9">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41D0D252">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1450B8CE">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1F11571C">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086BEE85">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30325C40">
            <w:pPr>
              <w:pStyle w:val="2"/>
              <w:keepNext/>
              <w:spacing w:after="0" w:line="440" w:lineRule="exact"/>
              <w:ind w:left="63" w:right="63"/>
              <w:rPr>
                <w:rFonts w:hint="eastAsia" w:ascii="仿宋" w:hAnsi="仿宋" w:eastAsia="仿宋" w:cs="仿宋"/>
                <w:color w:val="auto"/>
                <w:sz w:val="24"/>
                <w:szCs w:val="24"/>
                <w:highlight w:val="none"/>
              </w:rPr>
            </w:pPr>
          </w:p>
        </w:tc>
      </w:tr>
      <w:tr w14:paraId="29E56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E49B640">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9D623A4">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6DF13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DE46D7B">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7BA184E">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40AEF28">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53C0E989">
            <w:pPr>
              <w:pStyle w:val="2"/>
              <w:keepNext/>
              <w:spacing w:after="0" w:line="440" w:lineRule="exact"/>
              <w:ind w:left="63" w:right="63"/>
              <w:rPr>
                <w:rFonts w:hint="eastAsia" w:ascii="仿宋" w:hAnsi="仿宋" w:eastAsia="仿宋" w:cs="仿宋"/>
                <w:color w:val="auto"/>
                <w:sz w:val="24"/>
                <w:szCs w:val="24"/>
                <w:highlight w:val="none"/>
              </w:rPr>
            </w:pPr>
          </w:p>
        </w:tc>
      </w:tr>
      <w:tr w14:paraId="7AE3D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85862C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5864F8BC">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9134DE5">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A8FBBE5">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729C6359">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326FBA3B">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74D2D7B7">
            <w:pPr>
              <w:pStyle w:val="2"/>
              <w:keepNext/>
              <w:spacing w:after="0" w:line="440" w:lineRule="exact"/>
              <w:ind w:left="63" w:right="63"/>
              <w:rPr>
                <w:rFonts w:hint="eastAsia" w:ascii="仿宋" w:hAnsi="仿宋" w:eastAsia="仿宋" w:cs="仿宋"/>
                <w:color w:val="auto"/>
                <w:sz w:val="24"/>
                <w:szCs w:val="24"/>
                <w:highlight w:val="none"/>
              </w:rPr>
            </w:pPr>
          </w:p>
        </w:tc>
      </w:tr>
      <w:tr w14:paraId="72791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5093D3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03CF225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684E55E7">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363DFA8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333133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7E981B4C">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622E368C">
            <w:pPr>
              <w:pStyle w:val="2"/>
              <w:keepNext/>
              <w:spacing w:after="0" w:line="440" w:lineRule="exact"/>
              <w:ind w:left="63" w:right="63"/>
              <w:rPr>
                <w:rFonts w:hint="eastAsia" w:ascii="仿宋" w:hAnsi="仿宋" w:eastAsia="仿宋" w:cs="仿宋"/>
                <w:color w:val="auto"/>
                <w:sz w:val="24"/>
                <w:szCs w:val="24"/>
                <w:highlight w:val="none"/>
              </w:rPr>
            </w:pPr>
          </w:p>
        </w:tc>
      </w:tr>
      <w:tr w14:paraId="7BD46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BD8174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6F672F33">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558C117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06F261A2">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031FB084">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4E10760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1F9DAB97">
            <w:pPr>
              <w:pStyle w:val="2"/>
              <w:keepNext/>
              <w:spacing w:after="0" w:line="440" w:lineRule="exact"/>
              <w:ind w:left="63" w:right="63"/>
              <w:rPr>
                <w:rFonts w:hint="eastAsia" w:ascii="仿宋" w:hAnsi="仿宋" w:eastAsia="仿宋" w:cs="仿宋"/>
                <w:color w:val="auto"/>
                <w:sz w:val="24"/>
                <w:szCs w:val="24"/>
                <w:highlight w:val="none"/>
              </w:rPr>
            </w:pPr>
          </w:p>
        </w:tc>
      </w:tr>
      <w:tr w14:paraId="20302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6BA83E">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3D17E87">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3DD6D713">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257C293C">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3988693B">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121D41D7">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2D48F34C">
            <w:pPr>
              <w:pStyle w:val="2"/>
              <w:keepNext/>
              <w:spacing w:after="0" w:line="440" w:lineRule="exact"/>
              <w:ind w:left="63" w:right="63"/>
              <w:rPr>
                <w:rFonts w:hint="eastAsia" w:ascii="仿宋" w:hAnsi="仿宋" w:eastAsia="仿宋" w:cs="仿宋"/>
                <w:color w:val="auto"/>
                <w:sz w:val="24"/>
                <w:szCs w:val="24"/>
                <w:highlight w:val="none"/>
              </w:rPr>
            </w:pPr>
          </w:p>
        </w:tc>
      </w:tr>
      <w:tr w14:paraId="2650E7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F3D3ED7">
            <w:pPr>
              <w:pStyle w:val="2"/>
              <w:keepNext/>
              <w:spacing w:after="0" w:line="440" w:lineRule="exact"/>
              <w:ind w:left="63" w:right="63"/>
              <w:rPr>
                <w:rFonts w:hint="eastAsia" w:ascii="仿宋" w:hAnsi="仿宋" w:eastAsia="仿宋" w:cs="仿宋"/>
                <w:color w:val="auto"/>
                <w:sz w:val="24"/>
                <w:szCs w:val="24"/>
                <w:highlight w:val="none"/>
              </w:rPr>
            </w:pPr>
          </w:p>
        </w:tc>
        <w:tc>
          <w:tcPr>
            <w:tcW w:w="1984" w:type="dxa"/>
          </w:tcPr>
          <w:p w14:paraId="17055F1D">
            <w:pPr>
              <w:pStyle w:val="2"/>
              <w:keepNext/>
              <w:spacing w:after="0" w:line="440" w:lineRule="exact"/>
              <w:ind w:left="63" w:right="63"/>
              <w:rPr>
                <w:rFonts w:hint="eastAsia" w:ascii="仿宋" w:hAnsi="仿宋" w:eastAsia="仿宋" w:cs="仿宋"/>
                <w:color w:val="auto"/>
                <w:sz w:val="24"/>
                <w:szCs w:val="24"/>
                <w:highlight w:val="none"/>
              </w:rPr>
            </w:pPr>
          </w:p>
        </w:tc>
        <w:tc>
          <w:tcPr>
            <w:tcW w:w="851" w:type="dxa"/>
          </w:tcPr>
          <w:p w14:paraId="757E39AD">
            <w:pPr>
              <w:pStyle w:val="2"/>
              <w:keepNext/>
              <w:spacing w:after="0" w:line="440" w:lineRule="exact"/>
              <w:ind w:left="63" w:right="63"/>
              <w:rPr>
                <w:rFonts w:hint="eastAsia" w:ascii="仿宋" w:hAnsi="仿宋" w:eastAsia="仿宋" w:cs="仿宋"/>
                <w:color w:val="auto"/>
                <w:sz w:val="24"/>
                <w:szCs w:val="24"/>
                <w:highlight w:val="none"/>
              </w:rPr>
            </w:pPr>
          </w:p>
        </w:tc>
        <w:tc>
          <w:tcPr>
            <w:tcW w:w="774" w:type="dxa"/>
          </w:tcPr>
          <w:p w14:paraId="5A1BA7C7">
            <w:pPr>
              <w:pStyle w:val="2"/>
              <w:keepNext/>
              <w:spacing w:after="0" w:line="440" w:lineRule="exact"/>
              <w:ind w:left="63" w:right="63"/>
              <w:rPr>
                <w:rFonts w:hint="eastAsia" w:ascii="仿宋" w:hAnsi="仿宋" w:eastAsia="仿宋" w:cs="仿宋"/>
                <w:color w:val="auto"/>
                <w:sz w:val="24"/>
                <w:szCs w:val="24"/>
                <w:highlight w:val="none"/>
              </w:rPr>
            </w:pPr>
          </w:p>
        </w:tc>
        <w:tc>
          <w:tcPr>
            <w:tcW w:w="1352" w:type="dxa"/>
          </w:tcPr>
          <w:p w14:paraId="42070342">
            <w:pPr>
              <w:pStyle w:val="2"/>
              <w:keepNext/>
              <w:spacing w:after="0" w:line="440" w:lineRule="exact"/>
              <w:ind w:left="63" w:right="63"/>
              <w:rPr>
                <w:rFonts w:hint="eastAsia" w:ascii="仿宋" w:hAnsi="仿宋" w:eastAsia="仿宋" w:cs="仿宋"/>
                <w:color w:val="auto"/>
                <w:sz w:val="24"/>
                <w:szCs w:val="24"/>
                <w:highlight w:val="none"/>
              </w:rPr>
            </w:pPr>
          </w:p>
        </w:tc>
        <w:tc>
          <w:tcPr>
            <w:tcW w:w="1418" w:type="dxa"/>
          </w:tcPr>
          <w:p w14:paraId="681AA796">
            <w:pPr>
              <w:pStyle w:val="2"/>
              <w:keepNext/>
              <w:spacing w:after="0" w:line="440" w:lineRule="exact"/>
              <w:ind w:left="63" w:right="63"/>
              <w:rPr>
                <w:rFonts w:hint="eastAsia" w:ascii="仿宋" w:hAnsi="仿宋" w:eastAsia="仿宋" w:cs="仿宋"/>
                <w:color w:val="auto"/>
                <w:sz w:val="24"/>
                <w:szCs w:val="24"/>
                <w:highlight w:val="none"/>
              </w:rPr>
            </w:pPr>
          </w:p>
        </w:tc>
        <w:tc>
          <w:tcPr>
            <w:tcW w:w="1701" w:type="dxa"/>
          </w:tcPr>
          <w:p w14:paraId="0DEAB917">
            <w:pPr>
              <w:pStyle w:val="2"/>
              <w:keepNext/>
              <w:spacing w:after="0" w:line="440" w:lineRule="exact"/>
              <w:ind w:left="63" w:right="63"/>
              <w:rPr>
                <w:rFonts w:hint="eastAsia" w:ascii="仿宋" w:hAnsi="仿宋" w:eastAsia="仿宋" w:cs="仿宋"/>
                <w:color w:val="auto"/>
                <w:sz w:val="24"/>
                <w:szCs w:val="24"/>
                <w:highlight w:val="none"/>
              </w:rPr>
            </w:pPr>
          </w:p>
        </w:tc>
      </w:tr>
    </w:tbl>
    <w:p w14:paraId="70543EDA"/>
    <w:p w14:paraId="0C6F9E5A">
      <w:pPr>
        <w:spacing w:line="480" w:lineRule="exact"/>
        <w:ind w:firstLine="422" w:firstLineChars="200"/>
        <w:rPr>
          <w:rFonts w:ascii="宋体" w:hAnsi="宋体" w:cs="宋体"/>
          <w:b/>
          <w:bCs/>
          <w:color w:val="auto"/>
          <w:szCs w:val="21"/>
        </w:rPr>
      </w:pPr>
    </w:p>
    <w:p w14:paraId="3C0339AA">
      <w:pPr>
        <w:pStyle w:val="8"/>
        <w:rPr>
          <w:rFonts w:hint="eastAsia" w:ascii="宋体" w:hAnsi="宋体" w:eastAsia="宋体" w:cs="宋体"/>
          <w:b/>
          <w:bCs w:val="0"/>
          <w:color w:val="auto"/>
          <w:kern w:val="0"/>
          <w:sz w:val="52"/>
          <w:szCs w:val="52"/>
          <w:highlight w:val="none"/>
        </w:rPr>
      </w:pPr>
    </w:p>
    <w:p w14:paraId="1CD8F11F">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仿宋_GB2312" w:eastAsia="仿宋_GB2312"/>
          <w:color w:val="auto"/>
          <w:szCs w:val="32"/>
        </w:rPr>
      </w:pPr>
      <w:bookmarkStart w:id="249" w:name="_Toc28898"/>
      <w:r>
        <w:rPr>
          <w:rFonts w:hint="eastAsia" w:ascii="宋体" w:hAnsi="宋体"/>
          <w:color w:val="auto"/>
          <w:sz w:val="44"/>
          <w:szCs w:val="44"/>
        </w:rPr>
        <w:t>第六章 响应文件格式</w:t>
      </w:r>
      <w:bookmarkEnd w:id="84"/>
      <w:bookmarkEnd w:id="101"/>
      <w:bookmarkEnd w:id="249"/>
    </w:p>
    <w:p w14:paraId="7A1E4038">
      <w:pPr>
        <w:spacing w:line="360" w:lineRule="auto"/>
        <w:ind w:firstLine="470" w:firstLineChars="196"/>
        <w:rPr>
          <w:rFonts w:hint="eastAsia" w:ascii="仿宋" w:hAnsi="仿宋" w:eastAsia="仿宋" w:cs="仿宋"/>
          <w:b/>
          <w:color w:val="auto"/>
          <w:sz w:val="24"/>
          <w:szCs w:val="24"/>
        </w:rPr>
      </w:pPr>
      <w:r>
        <w:rPr>
          <w:rFonts w:hint="eastAsia" w:ascii="仿宋" w:hAnsi="仿宋" w:eastAsia="仿宋" w:cs="仿宋"/>
          <w:color w:val="auto"/>
          <w:sz w:val="24"/>
          <w:szCs w:val="24"/>
        </w:rPr>
        <w:t>响应文件格式是供应商的部分响应文件格式，供应商应当严格按照这些格式编制响应文件。编制响应文件前，请详细阅读磋商文件，理解文件中的每一项要求，做出逐一实质性响应，认为有必要，可做补充说明。</w:t>
      </w:r>
    </w:p>
    <w:p w14:paraId="256E37EA">
      <w:pPr>
        <w:spacing w:line="400" w:lineRule="exact"/>
        <w:jc w:val="center"/>
        <w:rPr>
          <w:rFonts w:ascii="仿宋_GB2312" w:hAnsi="宋体" w:eastAsia="仿宋_GB2312"/>
          <w:b/>
          <w:color w:val="auto"/>
          <w:sz w:val="28"/>
          <w:szCs w:val="28"/>
        </w:rPr>
      </w:pPr>
    </w:p>
    <w:p w14:paraId="16F0F3F5">
      <w:pPr>
        <w:spacing w:line="400" w:lineRule="exact"/>
        <w:ind w:firstLine="570"/>
        <w:rPr>
          <w:rFonts w:ascii="仿宋_GB2312" w:hAnsi="宋体" w:eastAsia="仿宋_GB2312"/>
          <w:color w:val="auto"/>
          <w:sz w:val="28"/>
          <w:szCs w:val="28"/>
        </w:rPr>
      </w:pPr>
    </w:p>
    <w:p w14:paraId="10A2CAD3">
      <w:pPr>
        <w:spacing w:line="400" w:lineRule="exact"/>
        <w:ind w:firstLine="570"/>
        <w:rPr>
          <w:rFonts w:ascii="仿宋_GB2312" w:hAnsi="宋体" w:eastAsia="仿宋_GB2312"/>
          <w:color w:val="auto"/>
          <w:sz w:val="28"/>
          <w:szCs w:val="28"/>
        </w:rPr>
      </w:pPr>
    </w:p>
    <w:p w14:paraId="0CD7A748">
      <w:pPr>
        <w:spacing w:line="400" w:lineRule="exact"/>
        <w:ind w:firstLine="570"/>
        <w:rPr>
          <w:rFonts w:ascii="仿宋_GB2312" w:hAnsi="宋体" w:eastAsia="仿宋_GB2312"/>
          <w:color w:val="auto"/>
          <w:sz w:val="28"/>
          <w:szCs w:val="28"/>
        </w:rPr>
      </w:pPr>
    </w:p>
    <w:p w14:paraId="34489358">
      <w:pPr>
        <w:spacing w:line="400" w:lineRule="exact"/>
        <w:ind w:firstLine="570"/>
        <w:rPr>
          <w:rFonts w:ascii="仿宋_GB2312" w:hAnsi="宋体" w:eastAsia="仿宋_GB2312"/>
          <w:color w:val="auto"/>
          <w:sz w:val="28"/>
          <w:szCs w:val="28"/>
        </w:rPr>
      </w:pPr>
    </w:p>
    <w:p w14:paraId="7204E5F8">
      <w:pPr>
        <w:spacing w:line="400" w:lineRule="exact"/>
        <w:ind w:firstLine="570"/>
        <w:rPr>
          <w:rFonts w:ascii="仿宋_GB2312" w:hAnsi="宋体" w:eastAsia="仿宋_GB2312"/>
          <w:color w:val="auto"/>
          <w:sz w:val="28"/>
          <w:szCs w:val="28"/>
        </w:rPr>
      </w:pPr>
    </w:p>
    <w:p w14:paraId="19505E38">
      <w:pPr>
        <w:spacing w:line="400" w:lineRule="exact"/>
        <w:ind w:firstLine="570"/>
        <w:rPr>
          <w:rFonts w:ascii="仿宋_GB2312" w:hAnsi="宋体" w:eastAsia="仿宋_GB2312"/>
          <w:color w:val="auto"/>
          <w:sz w:val="28"/>
          <w:szCs w:val="28"/>
        </w:rPr>
      </w:pPr>
    </w:p>
    <w:p w14:paraId="09310104">
      <w:pPr>
        <w:spacing w:line="400" w:lineRule="exact"/>
        <w:ind w:firstLine="570"/>
        <w:rPr>
          <w:rFonts w:ascii="仿宋_GB2312" w:hAnsi="宋体" w:eastAsia="仿宋_GB2312"/>
          <w:color w:val="auto"/>
          <w:sz w:val="28"/>
          <w:szCs w:val="28"/>
        </w:rPr>
      </w:pPr>
    </w:p>
    <w:p w14:paraId="083CA5DA">
      <w:pPr>
        <w:spacing w:line="400" w:lineRule="exact"/>
        <w:ind w:firstLine="570"/>
        <w:rPr>
          <w:rFonts w:ascii="仿宋_GB2312" w:hAnsi="宋体" w:eastAsia="仿宋_GB2312"/>
          <w:color w:val="auto"/>
          <w:sz w:val="28"/>
          <w:szCs w:val="28"/>
        </w:rPr>
      </w:pPr>
    </w:p>
    <w:p w14:paraId="321242D5">
      <w:pPr>
        <w:spacing w:line="400" w:lineRule="exact"/>
        <w:ind w:firstLine="570"/>
        <w:rPr>
          <w:rFonts w:ascii="仿宋_GB2312" w:hAnsi="宋体" w:eastAsia="仿宋_GB2312"/>
          <w:color w:val="auto"/>
          <w:sz w:val="28"/>
          <w:szCs w:val="28"/>
        </w:rPr>
      </w:pPr>
    </w:p>
    <w:p w14:paraId="27743656">
      <w:pPr>
        <w:spacing w:line="400" w:lineRule="exact"/>
        <w:ind w:firstLine="570"/>
        <w:rPr>
          <w:rFonts w:ascii="仿宋_GB2312" w:hAnsi="宋体" w:eastAsia="仿宋_GB2312"/>
          <w:color w:val="auto"/>
          <w:sz w:val="28"/>
          <w:szCs w:val="28"/>
        </w:rPr>
      </w:pPr>
    </w:p>
    <w:p w14:paraId="3E42505D">
      <w:pPr>
        <w:spacing w:line="400" w:lineRule="exact"/>
        <w:ind w:firstLine="570"/>
        <w:rPr>
          <w:rFonts w:ascii="仿宋_GB2312" w:hAnsi="宋体" w:eastAsia="仿宋_GB2312"/>
          <w:color w:val="auto"/>
          <w:sz w:val="28"/>
          <w:szCs w:val="28"/>
        </w:rPr>
      </w:pPr>
    </w:p>
    <w:p w14:paraId="4F416F83">
      <w:pPr>
        <w:wordWrap w:val="0"/>
        <w:jc w:val="right"/>
        <w:rPr>
          <w:rFonts w:ascii="宋体" w:hAnsi="宋体" w:cs="宋体"/>
          <w:color w:val="auto"/>
          <w:sz w:val="24"/>
        </w:rPr>
      </w:pPr>
      <w:r>
        <w:rPr>
          <w:rFonts w:ascii="仿宋_GB2312" w:hAnsi="宋体" w:eastAsia="仿宋_GB2312"/>
          <w:color w:val="auto"/>
          <w:sz w:val="28"/>
          <w:szCs w:val="28"/>
        </w:rPr>
        <w:br w:type="page"/>
      </w:r>
      <w:bookmarkStart w:id="250" w:name="_Toc217446082"/>
      <w:r>
        <w:rPr>
          <w:rFonts w:hint="eastAsia" w:ascii="宋体" w:hAnsi="宋体"/>
          <w:color w:val="auto"/>
          <w:sz w:val="24"/>
        </w:rPr>
        <w:t>正本/副本</w:t>
      </w:r>
    </w:p>
    <w:p w14:paraId="4915B5DC">
      <w:pPr>
        <w:wordWrap w:val="0"/>
        <w:jc w:val="right"/>
        <w:rPr>
          <w:rFonts w:ascii="宋体" w:hAnsi="宋体" w:cs="宋体"/>
          <w:color w:val="auto"/>
          <w:sz w:val="24"/>
        </w:rPr>
      </w:pPr>
    </w:p>
    <w:p w14:paraId="40348360">
      <w:pPr>
        <w:wordWrap w:val="0"/>
        <w:jc w:val="right"/>
        <w:rPr>
          <w:rFonts w:ascii="宋体" w:hAnsi="宋体"/>
          <w:color w:val="auto"/>
          <w:sz w:val="24"/>
        </w:rPr>
      </w:pPr>
      <w:bookmarkStart w:id="251" w:name="_Toc18074972"/>
      <w:r>
        <w:rPr>
          <w:rFonts w:hint="eastAsia" w:ascii="宋体" w:hAnsi="宋体"/>
          <w:color w:val="auto"/>
          <w:sz w:val="24"/>
        </w:rPr>
        <w:t xml:space="preserve"> </w:t>
      </w:r>
    </w:p>
    <w:bookmarkEnd w:id="251"/>
    <w:p w14:paraId="0DE34C33">
      <w:pPr>
        <w:pStyle w:val="2"/>
        <w:jc w:val="left"/>
        <w:rPr>
          <w:rFonts w:hint="eastAsia" w:asciiTheme="majorEastAsia" w:hAnsiTheme="majorEastAsia" w:eastAsiaTheme="majorEastAsia" w:cstheme="majorEastAsia"/>
          <w:b/>
          <w:bCs/>
          <w:color w:val="auto"/>
          <w:sz w:val="52"/>
          <w:szCs w:val="52"/>
          <w:lang w:eastAsia="zh-CN"/>
        </w:rPr>
      </w:pPr>
      <w:r>
        <w:rPr>
          <w:rFonts w:hint="eastAsia" w:ascii="宋体" w:hAnsi="宋体"/>
          <w:color w:val="auto"/>
          <w:sz w:val="24"/>
        </w:rPr>
        <w:t>采购项目编号：</w:t>
      </w:r>
      <w:r>
        <w:rPr>
          <w:rFonts w:hint="eastAsia" w:ascii="宋体" w:hAnsi="宋体"/>
          <w:color w:val="auto"/>
          <w:sz w:val="24"/>
          <w:lang w:eastAsia="zh-CN"/>
        </w:rPr>
        <w:t>YZ2026-ZB035</w:t>
      </w:r>
    </w:p>
    <w:p w14:paraId="00F689F3">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p>
    <w:p w14:paraId="4A84EB2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eastAsia="zh-CN"/>
        </w:rPr>
      </w:pPr>
      <w:r>
        <w:rPr>
          <w:rFonts w:hint="eastAsia" w:asciiTheme="majorEastAsia" w:hAnsiTheme="majorEastAsia" w:eastAsiaTheme="majorEastAsia" w:cstheme="majorEastAsia"/>
          <w:b/>
          <w:bCs/>
          <w:color w:val="auto"/>
          <w:sz w:val="52"/>
          <w:szCs w:val="52"/>
          <w:lang w:eastAsia="zh-CN"/>
        </w:rPr>
        <w:t>2026年大庄镇大东村、大西村、布王村集体经济建设项目</w:t>
      </w:r>
    </w:p>
    <w:p w14:paraId="6F81C44E">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eastAsia" w:asciiTheme="majorEastAsia" w:hAnsiTheme="majorEastAsia" w:eastAsiaTheme="majorEastAsia" w:cstheme="majorEastAsia"/>
          <w:b/>
          <w:bCs/>
          <w:color w:val="auto"/>
          <w:sz w:val="52"/>
          <w:szCs w:val="52"/>
          <w:lang w:val="en-US" w:eastAsia="zh-CN"/>
        </w:rPr>
      </w:pPr>
      <w:r>
        <w:rPr>
          <w:rFonts w:hint="eastAsia" w:asciiTheme="majorEastAsia" w:hAnsiTheme="majorEastAsia" w:eastAsiaTheme="majorEastAsia" w:cstheme="majorEastAsia"/>
          <w:b/>
          <w:bCs/>
          <w:color w:val="auto"/>
          <w:sz w:val="52"/>
          <w:szCs w:val="52"/>
          <w:lang w:val="en-US" w:eastAsia="zh-CN"/>
        </w:rPr>
        <w:t>二标段</w:t>
      </w:r>
    </w:p>
    <w:p w14:paraId="23E1A4FB">
      <w:pPr>
        <w:spacing w:line="480" w:lineRule="auto"/>
        <w:jc w:val="center"/>
        <w:rPr>
          <w:rFonts w:hint="default" w:ascii="宋体" w:hAnsi="宋体" w:eastAsia="宋体" w:cs="宋体"/>
          <w:b/>
          <w:color w:val="auto"/>
          <w:sz w:val="24"/>
          <w:szCs w:val="24"/>
          <w:highlight w:val="none"/>
          <w:lang w:val="en-US"/>
        </w:rPr>
      </w:pPr>
    </w:p>
    <w:p w14:paraId="6E22D93B">
      <w:pPr>
        <w:pStyle w:val="30"/>
        <w:rPr>
          <w:color w:val="auto"/>
        </w:rPr>
      </w:pPr>
    </w:p>
    <w:p w14:paraId="08AF095D">
      <w:pPr>
        <w:rPr>
          <w:rFonts w:ascii="宋体" w:hAnsi="宋体"/>
          <w:b/>
          <w:color w:val="auto"/>
          <w:sz w:val="84"/>
          <w:szCs w:val="84"/>
        </w:rPr>
      </w:pPr>
      <w:bookmarkStart w:id="252" w:name="_Toc18074973"/>
    </w:p>
    <w:p w14:paraId="1BA33ADC">
      <w:pPr>
        <w:jc w:val="center"/>
        <w:rPr>
          <w:rFonts w:ascii="宋体" w:hAnsi="宋体"/>
          <w:b/>
          <w:color w:val="auto"/>
          <w:sz w:val="84"/>
          <w:szCs w:val="84"/>
        </w:rPr>
      </w:pPr>
      <w:r>
        <w:rPr>
          <w:rFonts w:hint="eastAsia" w:ascii="宋体" w:hAnsi="宋体"/>
          <w:b/>
          <w:color w:val="auto"/>
          <w:sz w:val="84"/>
          <w:szCs w:val="84"/>
        </w:rPr>
        <w:t>竞争性磋商响应文件</w:t>
      </w:r>
      <w:bookmarkEnd w:id="252"/>
    </w:p>
    <w:p w14:paraId="36AB4038">
      <w:pPr>
        <w:pStyle w:val="8"/>
        <w:rPr>
          <w:color w:val="auto"/>
          <w:sz w:val="28"/>
          <w:szCs w:val="28"/>
        </w:rPr>
      </w:pPr>
    </w:p>
    <w:p w14:paraId="426FDDFF">
      <w:pPr>
        <w:pStyle w:val="8"/>
        <w:rPr>
          <w:color w:val="auto"/>
          <w:sz w:val="28"/>
          <w:szCs w:val="28"/>
        </w:rPr>
      </w:pPr>
    </w:p>
    <w:p w14:paraId="0D902F14">
      <w:pPr>
        <w:pStyle w:val="8"/>
        <w:rPr>
          <w:color w:val="auto"/>
          <w:sz w:val="28"/>
          <w:szCs w:val="28"/>
        </w:rPr>
      </w:pPr>
    </w:p>
    <w:p w14:paraId="627D1349">
      <w:pPr>
        <w:pStyle w:val="8"/>
        <w:rPr>
          <w:color w:val="auto"/>
          <w:sz w:val="28"/>
          <w:szCs w:val="28"/>
        </w:rPr>
      </w:pPr>
    </w:p>
    <w:p w14:paraId="2225B3E1">
      <w:pPr>
        <w:outlineLvl w:val="9"/>
        <w:rPr>
          <w:color w:val="auto"/>
        </w:rPr>
      </w:pPr>
    </w:p>
    <w:p w14:paraId="39F542FD">
      <w:pPr>
        <w:rPr>
          <w:color w:val="auto"/>
        </w:rPr>
      </w:pPr>
    </w:p>
    <w:p w14:paraId="1F60D8CD">
      <w:pPr>
        <w:pStyle w:val="8"/>
        <w:spacing w:before="120" w:beforeLines="50"/>
        <w:ind w:firstLine="1630" w:firstLineChars="580"/>
        <w:rPr>
          <w:rFonts w:ascii="宋体" w:hAnsi="宋体"/>
          <w:b/>
          <w:color w:val="auto"/>
          <w:sz w:val="28"/>
          <w:szCs w:val="28"/>
        </w:rPr>
      </w:pPr>
    </w:p>
    <w:p w14:paraId="6C7EF0BF"/>
    <w:p w14:paraId="2BC09FDA">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供  应  商：</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 xml:space="preserve">（盖章） </w:t>
      </w:r>
    </w:p>
    <w:p w14:paraId="17F84AA9">
      <w:pPr>
        <w:spacing w:line="480" w:lineRule="auto"/>
        <w:ind w:firstLine="843" w:firstLineChars="300"/>
        <w:rPr>
          <w:rFonts w:ascii="宋体" w:hAnsi="宋体"/>
          <w:b/>
          <w:bCs/>
          <w:color w:val="auto"/>
          <w:sz w:val="28"/>
          <w:szCs w:val="28"/>
        </w:rPr>
      </w:pPr>
      <w:r>
        <w:rPr>
          <w:rFonts w:hint="eastAsia" w:ascii="宋体" w:hAnsi="宋体" w:cs="仿宋_GB2312"/>
          <w:b/>
          <w:bCs/>
          <w:color w:val="auto"/>
          <w:sz w:val="28"/>
          <w:szCs w:val="28"/>
        </w:rPr>
        <w:t>法定代表人或其委托代理人：</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（签字或盖章）</w:t>
      </w:r>
    </w:p>
    <w:p w14:paraId="08A69C00">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日      期：</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年</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月</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日</w:t>
      </w:r>
    </w:p>
    <w:p w14:paraId="49CF6A45">
      <w:pPr>
        <w:rPr>
          <w:rFonts w:hint="eastAsia" w:ascii="方正小标宋简体" w:eastAsia="方正小标宋简体"/>
          <w:color w:val="auto"/>
          <w:sz w:val="44"/>
          <w:szCs w:val="44"/>
        </w:rPr>
      </w:pPr>
      <w:r>
        <w:rPr>
          <w:rFonts w:hint="eastAsia" w:ascii="方正小标宋简体" w:eastAsia="方正小标宋简体"/>
          <w:color w:val="auto"/>
          <w:sz w:val="44"/>
          <w:szCs w:val="44"/>
        </w:rPr>
        <w:br w:type="page"/>
      </w:r>
    </w:p>
    <w:p w14:paraId="64991A14">
      <w:pPr>
        <w:pStyle w:val="8"/>
        <w:spacing w:before="120" w:beforeLines="50" w:after="120" w:afterLines="50"/>
        <w:ind w:firstLine="0"/>
        <w:jc w:val="center"/>
        <w:rPr>
          <w:rFonts w:ascii="方正小标宋简体" w:eastAsia="方正小标宋简体"/>
          <w:color w:val="auto"/>
          <w:sz w:val="44"/>
          <w:szCs w:val="44"/>
        </w:rPr>
      </w:pPr>
      <w:r>
        <w:rPr>
          <w:rFonts w:hint="eastAsia" w:ascii="方正小标宋简体" w:eastAsia="方正小标宋简体"/>
          <w:color w:val="auto"/>
          <w:sz w:val="44"/>
          <w:szCs w:val="44"/>
        </w:rPr>
        <w:t>目  录</w:t>
      </w:r>
    </w:p>
    <w:p w14:paraId="0C99EA6B">
      <w:pPr>
        <w:pStyle w:val="8"/>
        <w:spacing w:before="120" w:beforeLines="50"/>
        <w:ind w:firstLine="0"/>
        <w:rPr>
          <w:rFonts w:hint="eastAsia" w:ascii="仿宋" w:hAnsi="仿宋" w:eastAsia="仿宋" w:cs="仿宋"/>
          <w:color w:val="auto"/>
          <w:sz w:val="24"/>
          <w:szCs w:val="24"/>
        </w:rPr>
      </w:pPr>
      <w:r>
        <w:rPr>
          <w:rFonts w:hint="eastAsia" w:ascii="仿宋" w:hAnsi="仿宋" w:eastAsia="仿宋" w:cs="仿宋"/>
          <w:color w:val="auto"/>
          <w:sz w:val="24"/>
          <w:szCs w:val="24"/>
        </w:rPr>
        <w:t>格式自拟，须编制页码</w:t>
      </w:r>
    </w:p>
    <w:p w14:paraId="2300E8EB">
      <w:pPr>
        <w:rPr>
          <w:rFonts w:ascii="宋体" w:hAnsi="宋体" w:cs="宋体"/>
          <w:color w:val="auto"/>
          <w:szCs w:val="21"/>
        </w:rPr>
      </w:pPr>
      <w:r>
        <w:rPr>
          <w:rFonts w:hint="eastAsia" w:ascii="宋体" w:hAnsi="宋体" w:cs="宋体"/>
          <w:color w:val="auto"/>
          <w:szCs w:val="21"/>
        </w:rPr>
        <w:br w:type="page"/>
      </w:r>
    </w:p>
    <w:p w14:paraId="7A97B0C2">
      <w:pPr>
        <w:pStyle w:val="8"/>
        <w:spacing w:before="120" w:beforeLines="50"/>
        <w:ind w:firstLine="0"/>
        <w:rPr>
          <w:rFonts w:ascii="宋体" w:hAnsi="宋体" w:cs="宋体"/>
          <w:color w:val="auto"/>
          <w:szCs w:val="21"/>
        </w:rPr>
      </w:pPr>
    </w:p>
    <w:p w14:paraId="07A2F514">
      <w:pPr>
        <w:pStyle w:val="8"/>
        <w:spacing w:before="120" w:beforeLines="50"/>
        <w:ind w:firstLine="0"/>
        <w:rPr>
          <w:rFonts w:ascii="黑体" w:eastAsia="黑体"/>
          <w:color w:val="auto"/>
          <w:sz w:val="52"/>
          <w:szCs w:val="52"/>
        </w:rPr>
      </w:pPr>
    </w:p>
    <w:p w14:paraId="694DF052">
      <w:pPr>
        <w:pStyle w:val="8"/>
        <w:spacing w:before="120" w:beforeLines="50"/>
        <w:ind w:firstLine="0"/>
        <w:rPr>
          <w:rFonts w:ascii="黑体" w:eastAsia="黑体"/>
          <w:color w:val="auto"/>
          <w:sz w:val="52"/>
          <w:szCs w:val="52"/>
        </w:rPr>
      </w:pPr>
    </w:p>
    <w:p w14:paraId="42933646">
      <w:pPr>
        <w:pStyle w:val="8"/>
        <w:spacing w:before="120" w:beforeLines="50"/>
        <w:ind w:firstLine="0"/>
        <w:rPr>
          <w:rFonts w:ascii="黑体" w:eastAsia="黑体"/>
          <w:color w:val="auto"/>
          <w:sz w:val="52"/>
          <w:szCs w:val="52"/>
        </w:rPr>
      </w:pPr>
    </w:p>
    <w:p w14:paraId="5FD4F95B">
      <w:pPr>
        <w:pStyle w:val="8"/>
        <w:spacing w:before="120" w:beforeLines="50"/>
        <w:ind w:firstLine="0"/>
        <w:rPr>
          <w:rFonts w:ascii="黑体" w:eastAsia="黑体"/>
          <w:color w:val="auto"/>
          <w:sz w:val="52"/>
          <w:szCs w:val="52"/>
        </w:rPr>
      </w:pPr>
    </w:p>
    <w:p w14:paraId="081AB839">
      <w:pPr>
        <w:pStyle w:val="8"/>
        <w:spacing w:before="120" w:beforeLines="50"/>
        <w:ind w:firstLine="0"/>
        <w:rPr>
          <w:rFonts w:ascii="黑体" w:eastAsia="黑体"/>
          <w:color w:val="auto"/>
          <w:sz w:val="52"/>
          <w:szCs w:val="52"/>
        </w:rPr>
      </w:pPr>
    </w:p>
    <w:p w14:paraId="3973E240">
      <w:pPr>
        <w:pStyle w:val="8"/>
        <w:spacing w:before="120" w:beforeLines="50"/>
        <w:ind w:firstLine="0"/>
        <w:rPr>
          <w:rFonts w:ascii="黑体" w:eastAsia="黑体"/>
          <w:color w:val="auto"/>
          <w:sz w:val="52"/>
          <w:szCs w:val="52"/>
        </w:rPr>
      </w:pPr>
    </w:p>
    <w:p w14:paraId="03101E24">
      <w:pPr>
        <w:pStyle w:val="8"/>
        <w:spacing w:before="120" w:beforeLines="50"/>
        <w:ind w:firstLine="0"/>
        <w:jc w:val="center"/>
        <w:outlineLvl w:val="9"/>
        <w:rPr>
          <w:rFonts w:ascii="宋体" w:hAnsi="宋体"/>
          <w:b/>
          <w:color w:val="auto"/>
          <w:sz w:val="72"/>
          <w:szCs w:val="72"/>
        </w:rPr>
      </w:pPr>
      <w:bookmarkStart w:id="253" w:name="_Toc11648"/>
      <w:r>
        <w:rPr>
          <w:rFonts w:hint="eastAsia" w:ascii="宋体" w:hAnsi="宋体"/>
          <w:b/>
          <w:color w:val="auto"/>
          <w:sz w:val="72"/>
          <w:szCs w:val="72"/>
        </w:rPr>
        <w:t>资格审查部分</w:t>
      </w:r>
      <w:bookmarkEnd w:id="253"/>
    </w:p>
    <w:p w14:paraId="20BDBBAB">
      <w:pPr>
        <w:pStyle w:val="8"/>
        <w:spacing w:before="120" w:beforeLines="50"/>
        <w:ind w:firstLine="0"/>
        <w:rPr>
          <w:rFonts w:ascii="仿宋_GB2312" w:eastAsia="仿宋_GB2312"/>
          <w:color w:val="auto"/>
          <w:sz w:val="36"/>
          <w:szCs w:val="36"/>
        </w:rPr>
      </w:pPr>
    </w:p>
    <w:p w14:paraId="46C7C014">
      <w:pPr>
        <w:pStyle w:val="8"/>
        <w:spacing w:before="120" w:beforeLines="50"/>
        <w:ind w:firstLine="0"/>
        <w:rPr>
          <w:rFonts w:ascii="仿宋_GB2312" w:eastAsia="仿宋_GB2312"/>
          <w:color w:val="auto"/>
          <w:sz w:val="36"/>
          <w:szCs w:val="36"/>
        </w:rPr>
      </w:pPr>
    </w:p>
    <w:p w14:paraId="13ABD6A4">
      <w:pPr>
        <w:pStyle w:val="8"/>
        <w:spacing w:before="120" w:beforeLines="50"/>
        <w:ind w:firstLine="0"/>
        <w:rPr>
          <w:rFonts w:ascii="仿宋_GB2312" w:eastAsia="仿宋_GB2312"/>
          <w:color w:val="auto"/>
          <w:sz w:val="36"/>
          <w:szCs w:val="36"/>
        </w:rPr>
      </w:pPr>
    </w:p>
    <w:p w14:paraId="28873BAB">
      <w:pPr>
        <w:pStyle w:val="8"/>
        <w:spacing w:before="120" w:beforeLines="50"/>
        <w:ind w:firstLine="0"/>
        <w:rPr>
          <w:rFonts w:ascii="仿宋_GB2312" w:eastAsia="仿宋_GB2312"/>
          <w:color w:val="auto"/>
          <w:sz w:val="36"/>
          <w:szCs w:val="36"/>
        </w:rPr>
      </w:pPr>
    </w:p>
    <w:p w14:paraId="51F838F5">
      <w:pPr>
        <w:pStyle w:val="8"/>
        <w:spacing w:before="120" w:beforeLines="50"/>
        <w:ind w:firstLine="0"/>
        <w:rPr>
          <w:rFonts w:ascii="仿宋_GB2312" w:eastAsia="仿宋_GB2312"/>
          <w:color w:val="auto"/>
          <w:sz w:val="36"/>
          <w:szCs w:val="36"/>
        </w:rPr>
      </w:pPr>
    </w:p>
    <w:p w14:paraId="15344E11">
      <w:pPr>
        <w:pStyle w:val="8"/>
        <w:spacing w:before="120" w:beforeLines="50"/>
        <w:ind w:firstLine="0"/>
        <w:rPr>
          <w:rFonts w:ascii="仿宋_GB2312" w:eastAsia="仿宋_GB2312"/>
          <w:color w:val="auto"/>
          <w:sz w:val="36"/>
          <w:szCs w:val="36"/>
        </w:rPr>
      </w:pPr>
    </w:p>
    <w:bookmarkEnd w:id="250"/>
    <w:p w14:paraId="4DDEA65B">
      <w:pPr>
        <w:adjustRightInd w:val="0"/>
        <w:snapToGrid w:val="0"/>
        <w:spacing w:line="360" w:lineRule="auto"/>
        <w:jc w:val="center"/>
        <w:rPr>
          <w:rFonts w:ascii="宋体" w:hAnsi="宋体"/>
          <w:b/>
          <w:color w:val="auto"/>
          <w:sz w:val="36"/>
          <w:szCs w:val="36"/>
        </w:rPr>
      </w:pPr>
      <w:r>
        <w:rPr>
          <w:rFonts w:ascii="宋体" w:hAnsi="宋体"/>
          <w:b/>
          <w:color w:val="auto"/>
          <w:sz w:val="36"/>
          <w:szCs w:val="36"/>
        </w:rPr>
        <w:br w:type="page"/>
      </w:r>
      <w:r>
        <w:rPr>
          <w:rFonts w:hint="eastAsia" w:ascii="宋体" w:hAnsi="宋体"/>
          <w:b/>
          <w:color w:val="auto"/>
          <w:sz w:val="36"/>
          <w:szCs w:val="36"/>
        </w:rPr>
        <w:t>一、供应商基本情况表</w:t>
      </w:r>
    </w:p>
    <w:tbl>
      <w:tblPr>
        <w:tblStyle w:val="2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0"/>
        <w:gridCol w:w="946"/>
        <w:gridCol w:w="2230"/>
        <w:gridCol w:w="1275"/>
        <w:gridCol w:w="2755"/>
      </w:tblGrid>
      <w:tr w14:paraId="24825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2DCCCFAC">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46574067">
            <w:pPr>
              <w:topLinePunct/>
              <w:spacing w:line="440" w:lineRule="exact"/>
              <w:jc w:val="center"/>
              <w:rPr>
                <w:rFonts w:hint="eastAsia" w:ascii="仿宋" w:hAnsi="仿宋" w:eastAsia="仿宋" w:cs="仿宋"/>
                <w:color w:val="auto"/>
                <w:sz w:val="24"/>
                <w:szCs w:val="24"/>
              </w:rPr>
            </w:pPr>
          </w:p>
        </w:tc>
      </w:tr>
      <w:tr w14:paraId="2DB96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0DF4075A">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注册地址</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F167F52">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970819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邮政编码</w:t>
            </w:r>
          </w:p>
        </w:tc>
        <w:tc>
          <w:tcPr>
            <w:tcW w:w="2755" w:type="dxa"/>
            <w:tcBorders>
              <w:top w:val="single" w:color="auto" w:sz="4" w:space="0"/>
              <w:left w:val="single" w:color="auto" w:sz="4" w:space="0"/>
              <w:bottom w:val="single" w:color="auto" w:sz="4" w:space="0"/>
              <w:right w:val="single" w:color="auto" w:sz="4" w:space="0"/>
            </w:tcBorders>
            <w:vAlign w:val="center"/>
          </w:tcPr>
          <w:p w14:paraId="2EEA4175">
            <w:pPr>
              <w:topLinePunct/>
              <w:spacing w:line="440" w:lineRule="exact"/>
              <w:jc w:val="center"/>
              <w:rPr>
                <w:rFonts w:hint="eastAsia" w:ascii="仿宋" w:hAnsi="仿宋" w:eastAsia="仿宋" w:cs="仿宋"/>
                <w:color w:val="auto"/>
                <w:sz w:val="24"/>
                <w:szCs w:val="24"/>
              </w:rPr>
            </w:pPr>
          </w:p>
        </w:tc>
      </w:tr>
      <w:tr w14:paraId="53B07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20" w:type="dxa"/>
            <w:vMerge w:val="restart"/>
            <w:tcBorders>
              <w:top w:val="single" w:color="auto" w:sz="4" w:space="0"/>
              <w:left w:val="single" w:color="auto" w:sz="4" w:space="0"/>
              <w:bottom w:val="single" w:color="auto" w:sz="4" w:space="0"/>
              <w:right w:val="single" w:color="auto" w:sz="4" w:space="0"/>
            </w:tcBorders>
            <w:vAlign w:val="center"/>
          </w:tcPr>
          <w:p w14:paraId="27C2F364">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6B67948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2230" w:type="dxa"/>
            <w:tcBorders>
              <w:top w:val="single" w:color="auto" w:sz="4" w:space="0"/>
              <w:left w:val="single" w:color="auto" w:sz="4" w:space="0"/>
              <w:bottom w:val="single" w:color="auto" w:sz="4" w:space="0"/>
              <w:right w:val="single" w:color="auto" w:sz="4" w:space="0"/>
            </w:tcBorders>
            <w:vAlign w:val="center"/>
          </w:tcPr>
          <w:p w14:paraId="2CAE42D1">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71C2B0C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 话</w:t>
            </w:r>
          </w:p>
        </w:tc>
        <w:tc>
          <w:tcPr>
            <w:tcW w:w="2755" w:type="dxa"/>
            <w:tcBorders>
              <w:top w:val="single" w:color="auto" w:sz="4" w:space="0"/>
              <w:left w:val="single" w:color="auto" w:sz="4" w:space="0"/>
              <w:bottom w:val="single" w:color="auto" w:sz="4" w:space="0"/>
              <w:right w:val="single" w:color="auto" w:sz="4" w:space="0"/>
            </w:tcBorders>
            <w:vAlign w:val="center"/>
          </w:tcPr>
          <w:p w14:paraId="70D56E7E">
            <w:pPr>
              <w:topLinePunct/>
              <w:spacing w:line="440" w:lineRule="exact"/>
              <w:jc w:val="center"/>
              <w:rPr>
                <w:rFonts w:hint="eastAsia" w:ascii="仿宋" w:hAnsi="仿宋" w:eastAsia="仿宋" w:cs="仿宋"/>
                <w:color w:val="auto"/>
                <w:sz w:val="24"/>
                <w:szCs w:val="24"/>
              </w:rPr>
            </w:pPr>
          </w:p>
        </w:tc>
      </w:tr>
      <w:tr w14:paraId="526A0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jc w:val="center"/>
        </w:trPr>
        <w:tc>
          <w:tcPr>
            <w:tcW w:w="1820" w:type="dxa"/>
            <w:vMerge w:val="continue"/>
            <w:tcBorders>
              <w:top w:val="single" w:color="auto" w:sz="4" w:space="0"/>
              <w:left w:val="single" w:color="auto" w:sz="4" w:space="0"/>
              <w:bottom w:val="single" w:color="auto" w:sz="4" w:space="0"/>
              <w:right w:val="single" w:color="auto" w:sz="4" w:space="0"/>
            </w:tcBorders>
            <w:vAlign w:val="center"/>
          </w:tcPr>
          <w:p w14:paraId="7BDD7AE9">
            <w:pPr>
              <w:topLinePunct/>
              <w:spacing w:line="440" w:lineRule="exact"/>
              <w:jc w:val="center"/>
              <w:rPr>
                <w:rFonts w:hint="eastAsia" w:ascii="仿宋" w:hAnsi="仿宋" w:eastAsia="仿宋" w:cs="仿宋"/>
                <w:color w:val="auto"/>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14:paraId="4E0BD72F">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传  真</w:t>
            </w:r>
          </w:p>
        </w:tc>
        <w:tc>
          <w:tcPr>
            <w:tcW w:w="2230" w:type="dxa"/>
            <w:tcBorders>
              <w:top w:val="single" w:color="auto" w:sz="4" w:space="0"/>
              <w:left w:val="single" w:color="auto" w:sz="4" w:space="0"/>
              <w:bottom w:val="single" w:color="auto" w:sz="4" w:space="0"/>
              <w:right w:val="single" w:color="auto" w:sz="4" w:space="0"/>
            </w:tcBorders>
            <w:vAlign w:val="center"/>
          </w:tcPr>
          <w:p w14:paraId="3349013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4E47D750">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网 址</w:t>
            </w:r>
          </w:p>
        </w:tc>
        <w:tc>
          <w:tcPr>
            <w:tcW w:w="2755" w:type="dxa"/>
            <w:tcBorders>
              <w:top w:val="single" w:color="auto" w:sz="4" w:space="0"/>
              <w:left w:val="single" w:color="auto" w:sz="4" w:space="0"/>
              <w:bottom w:val="single" w:color="auto" w:sz="4" w:space="0"/>
              <w:right w:val="single" w:color="auto" w:sz="4" w:space="0"/>
            </w:tcBorders>
            <w:vAlign w:val="center"/>
          </w:tcPr>
          <w:p w14:paraId="68D3E900">
            <w:pPr>
              <w:topLinePunct/>
              <w:spacing w:line="440" w:lineRule="exact"/>
              <w:jc w:val="center"/>
              <w:rPr>
                <w:rFonts w:hint="eastAsia" w:ascii="仿宋" w:hAnsi="仿宋" w:eastAsia="仿宋" w:cs="仿宋"/>
                <w:color w:val="auto"/>
                <w:sz w:val="24"/>
                <w:szCs w:val="24"/>
              </w:rPr>
            </w:pPr>
          </w:p>
        </w:tc>
      </w:tr>
      <w:tr w14:paraId="1A984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61F46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企业类型</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60DACB3B">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CE0F6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企业规模</w:t>
            </w:r>
          </w:p>
        </w:tc>
        <w:tc>
          <w:tcPr>
            <w:tcW w:w="2755" w:type="dxa"/>
            <w:tcBorders>
              <w:top w:val="single" w:color="auto" w:sz="4" w:space="0"/>
              <w:left w:val="single" w:color="auto" w:sz="4" w:space="0"/>
              <w:bottom w:val="single" w:color="auto" w:sz="4" w:space="0"/>
              <w:right w:val="single" w:color="auto" w:sz="4" w:space="0"/>
            </w:tcBorders>
            <w:vAlign w:val="center"/>
          </w:tcPr>
          <w:p w14:paraId="4507C7F2">
            <w:pPr>
              <w:topLinePunct/>
              <w:spacing w:line="440" w:lineRule="exact"/>
              <w:jc w:val="center"/>
              <w:rPr>
                <w:rFonts w:hint="eastAsia" w:ascii="仿宋" w:hAnsi="仿宋" w:eastAsia="仿宋" w:cs="仿宋"/>
                <w:color w:val="auto"/>
                <w:sz w:val="24"/>
                <w:szCs w:val="24"/>
              </w:rPr>
            </w:pPr>
          </w:p>
        </w:tc>
      </w:tr>
      <w:tr w14:paraId="4F49D3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4BBD245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75E68E87">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7ED7B9D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3155589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4A703412">
            <w:pPr>
              <w:topLinePunct/>
              <w:spacing w:line="440" w:lineRule="exact"/>
              <w:jc w:val="center"/>
              <w:rPr>
                <w:rFonts w:hint="eastAsia" w:ascii="仿宋" w:hAnsi="仿宋" w:eastAsia="仿宋" w:cs="仿宋"/>
                <w:color w:val="auto"/>
                <w:sz w:val="24"/>
                <w:szCs w:val="24"/>
              </w:rPr>
            </w:pPr>
          </w:p>
        </w:tc>
      </w:tr>
      <w:tr w14:paraId="10665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4649832">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53505E06">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6576ACA6">
            <w:pPr>
              <w:topLinePunct/>
              <w:spacing w:line="440" w:lineRule="exact"/>
              <w:jc w:val="center"/>
              <w:rPr>
                <w:rFonts w:hint="eastAsia" w:ascii="仿宋" w:hAnsi="仿宋" w:eastAsia="仿宋" w:cs="仿宋"/>
                <w:strike/>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D0433AF">
            <w:pPr>
              <w:topLinePunct/>
              <w:spacing w:line="440" w:lineRule="exact"/>
              <w:jc w:val="center"/>
              <w:rPr>
                <w:rFonts w:hint="eastAsia" w:ascii="仿宋" w:hAnsi="仿宋" w:eastAsia="仿宋" w:cs="仿宋"/>
                <w:strike/>
                <w:color w:val="auto"/>
                <w:sz w:val="24"/>
                <w:szCs w:val="24"/>
              </w:rPr>
            </w:pPr>
            <w:r>
              <w:rPr>
                <w:rFonts w:hint="eastAsia" w:ascii="仿宋" w:hAnsi="仿宋" w:eastAsia="仿宋" w:cs="仿宋"/>
                <w:color w:val="auto"/>
                <w:sz w:val="24"/>
                <w:szCs w:val="24"/>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09EB9498">
            <w:pPr>
              <w:topLinePunct/>
              <w:spacing w:line="440" w:lineRule="exact"/>
              <w:jc w:val="center"/>
              <w:rPr>
                <w:rFonts w:hint="eastAsia" w:ascii="仿宋" w:hAnsi="仿宋" w:eastAsia="仿宋" w:cs="仿宋"/>
                <w:color w:val="auto"/>
                <w:sz w:val="24"/>
                <w:szCs w:val="24"/>
              </w:rPr>
            </w:pPr>
          </w:p>
        </w:tc>
      </w:tr>
      <w:tr w14:paraId="2BAB4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C455E15">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营业执照号</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3B0F1862">
            <w:pPr>
              <w:topLinePunct/>
              <w:spacing w:line="440" w:lineRule="exact"/>
              <w:ind w:firstLine="1200" w:firstLineChars="500"/>
              <w:rPr>
                <w:rFonts w:hint="eastAsia" w:ascii="仿宋" w:hAnsi="仿宋" w:eastAsia="仿宋" w:cs="仿宋"/>
                <w:color w:val="auto"/>
                <w:sz w:val="24"/>
                <w:szCs w:val="24"/>
              </w:rPr>
            </w:pPr>
          </w:p>
        </w:tc>
      </w:tr>
      <w:tr w14:paraId="4B209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38F512BB">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A87465C">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6A5752C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注册资金</w:t>
            </w:r>
          </w:p>
        </w:tc>
        <w:tc>
          <w:tcPr>
            <w:tcW w:w="2755" w:type="dxa"/>
            <w:tcBorders>
              <w:top w:val="single" w:color="auto" w:sz="4" w:space="0"/>
              <w:left w:val="single" w:color="auto" w:sz="4" w:space="0"/>
              <w:bottom w:val="single" w:color="auto" w:sz="4" w:space="0"/>
              <w:right w:val="single" w:color="auto" w:sz="4" w:space="0"/>
            </w:tcBorders>
            <w:vAlign w:val="center"/>
          </w:tcPr>
          <w:p w14:paraId="2DC88721">
            <w:pPr>
              <w:topLinePunct/>
              <w:spacing w:line="440" w:lineRule="exact"/>
              <w:jc w:val="center"/>
              <w:rPr>
                <w:rFonts w:hint="eastAsia" w:ascii="仿宋" w:hAnsi="仿宋" w:eastAsia="仿宋" w:cs="仿宋"/>
                <w:color w:val="auto"/>
                <w:sz w:val="24"/>
                <w:szCs w:val="24"/>
              </w:rPr>
            </w:pPr>
          </w:p>
        </w:tc>
      </w:tr>
      <w:tr w14:paraId="7897A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870CD1D">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资产总额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15B9A079">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0F02D991">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2755" w:type="dxa"/>
            <w:tcBorders>
              <w:top w:val="single" w:color="auto" w:sz="4" w:space="0"/>
              <w:left w:val="single" w:color="auto" w:sz="4" w:space="0"/>
              <w:bottom w:val="single" w:color="auto" w:sz="4" w:space="0"/>
              <w:right w:val="single" w:color="auto" w:sz="4" w:space="0"/>
            </w:tcBorders>
            <w:vAlign w:val="center"/>
          </w:tcPr>
          <w:p w14:paraId="26D8C35B">
            <w:pPr>
              <w:topLinePunct/>
              <w:spacing w:line="440" w:lineRule="exact"/>
              <w:jc w:val="center"/>
              <w:rPr>
                <w:rFonts w:hint="eastAsia" w:ascii="仿宋" w:hAnsi="仿宋" w:eastAsia="仿宋" w:cs="仿宋"/>
                <w:color w:val="auto"/>
                <w:sz w:val="24"/>
                <w:szCs w:val="24"/>
              </w:rPr>
            </w:pPr>
          </w:p>
        </w:tc>
      </w:tr>
      <w:tr w14:paraId="2B5E1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D91B5F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上年营业额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4A37FD55">
            <w:pPr>
              <w:topLinePunct/>
              <w:spacing w:line="440" w:lineRule="exact"/>
              <w:jc w:val="center"/>
              <w:rPr>
                <w:rFonts w:hint="eastAsia" w:ascii="仿宋" w:hAnsi="仿宋" w:eastAsia="仿宋" w:cs="仿宋"/>
                <w:color w:val="auto"/>
                <w:sz w:val="24"/>
                <w:szCs w:val="24"/>
              </w:rPr>
            </w:pPr>
          </w:p>
        </w:tc>
        <w:tc>
          <w:tcPr>
            <w:tcW w:w="1275" w:type="dxa"/>
            <w:tcBorders>
              <w:top w:val="single" w:color="auto" w:sz="4" w:space="0"/>
              <w:left w:val="single" w:color="auto" w:sz="4" w:space="0"/>
              <w:bottom w:val="single" w:color="auto" w:sz="4" w:space="0"/>
              <w:right w:val="single" w:color="auto" w:sz="4" w:space="0"/>
            </w:tcBorders>
            <w:vAlign w:val="center"/>
          </w:tcPr>
          <w:p w14:paraId="5E7C2808">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2755" w:type="dxa"/>
            <w:tcBorders>
              <w:top w:val="single" w:color="auto" w:sz="4" w:space="0"/>
              <w:left w:val="single" w:color="auto" w:sz="4" w:space="0"/>
              <w:bottom w:val="single" w:color="auto" w:sz="4" w:space="0"/>
              <w:right w:val="single" w:color="auto" w:sz="4" w:space="0"/>
            </w:tcBorders>
            <w:vAlign w:val="center"/>
          </w:tcPr>
          <w:p w14:paraId="57699914">
            <w:pPr>
              <w:topLinePunct/>
              <w:spacing w:line="440" w:lineRule="exact"/>
              <w:jc w:val="center"/>
              <w:rPr>
                <w:rFonts w:hint="eastAsia" w:ascii="仿宋" w:hAnsi="仿宋" w:eastAsia="仿宋" w:cs="仿宋"/>
                <w:color w:val="auto"/>
                <w:sz w:val="24"/>
                <w:szCs w:val="24"/>
              </w:rPr>
            </w:pPr>
          </w:p>
        </w:tc>
      </w:tr>
      <w:tr w14:paraId="6E972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4" w:hRule="atLeast"/>
          <w:jc w:val="center"/>
        </w:trPr>
        <w:tc>
          <w:tcPr>
            <w:tcW w:w="1820" w:type="dxa"/>
            <w:tcBorders>
              <w:top w:val="single" w:color="auto" w:sz="4" w:space="0"/>
              <w:left w:val="single" w:color="auto" w:sz="4" w:space="0"/>
              <w:right w:val="single" w:color="auto" w:sz="4" w:space="0"/>
            </w:tcBorders>
            <w:vAlign w:val="center"/>
          </w:tcPr>
          <w:p w14:paraId="7B9FEF0B">
            <w:pPr>
              <w:topLinePunct/>
              <w:spacing w:line="440" w:lineRule="exact"/>
              <w:ind w:firstLine="240" w:firstLineChars="100"/>
              <w:jc w:val="center"/>
              <w:rPr>
                <w:rFonts w:hint="eastAsia" w:ascii="仿宋" w:hAnsi="仿宋" w:eastAsia="仿宋" w:cs="仿宋"/>
                <w:color w:val="auto"/>
                <w:sz w:val="24"/>
                <w:szCs w:val="24"/>
              </w:rPr>
            </w:pPr>
            <w:r>
              <w:rPr>
                <w:rFonts w:hint="eastAsia" w:ascii="仿宋" w:hAnsi="仿宋" w:eastAsia="仿宋" w:cs="仿宋"/>
                <w:color w:val="auto"/>
                <w:sz w:val="24"/>
                <w:szCs w:val="24"/>
              </w:rPr>
              <w:t>经营范围</w:t>
            </w:r>
          </w:p>
        </w:tc>
        <w:tc>
          <w:tcPr>
            <w:tcW w:w="7206" w:type="dxa"/>
            <w:gridSpan w:val="4"/>
            <w:tcBorders>
              <w:top w:val="single" w:color="auto" w:sz="4" w:space="0"/>
              <w:left w:val="single" w:color="auto" w:sz="4" w:space="0"/>
              <w:right w:val="single" w:color="auto" w:sz="4" w:space="0"/>
            </w:tcBorders>
            <w:vAlign w:val="center"/>
          </w:tcPr>
          <w:p w14:paraId="35801135">
            <w:pPr>
              <w:topLinePunct/>
              <w:spacing w:line="440" w:lineRule="exact"/>
              <w:jc w:val="center"/>
              <w:rPr>
                <w:rFonts w:hint="eastAsia" w:ascii="仿宋" w:hAnsi="仿宋" w:eastAsia="仿宋" w:cs="仿宋"/>
                <w:color w:val="auto"/>
                <w:sz w:val="24"/>
                <w:szCs w:val="24"/>
              </w:rPr>
            </w:pPr>
          </w:p>
          <w:p w14:paraId="6554503D">
            <w:pPr>
              <w:topLinePunct/>
              <w:spacing w:line="440" w:lineRule="exact"/>
              <w:jc w:val="center"/>
              <w:rPr>
                <w:rFonts w:hint="eastAsia" w:ascii="仿宋" w:hAnsi="仿宋" w:eastAsia="仿宋" w:cs="仿宋"/>
                <w:color w:val="auto"/>
                <w:sz w:val="24"/>
                <w:szCs w:val="24"/>
              </w:rPr>
            </w:pPr>
          </w:p>
          <w:p w14:paraId="24A7E79E">
            <w:pPr>
              <w:topLinePunct/>
              <w:spacing w:line="440" w:lineRule="exact"/>
              <w:jc w:val="center"/>
              <w:rPr>
                <w:rFonts w:hint="eastAsia" w:ascii="仿宋" w:hAnsi="仿宋" w:eastAsia="仿宋" w:cs="仿宋"/>
                <w:color w:val="auto"/>
                <w:sz w:val="24"/>
                <w:szCs w:val="24"/>
              </w:rPr>
            </w:pPr>
          </w:p>
          <w:p w14:paraId="7CCAD699">
            <w:pPr>
              <w:topLinePunct/>
              <w:spacing w:line="440" w:lineRule="exact"/>
              <w:jc w:val="center"/>
              <w:rPr>
                <w:rFonts w:hint="eastAsia" w:ascii="仿宋" w:hAnsi="仿宋" w:eastAsia="仿宋" w:cs="仿宋"/>
                <w:color w:val="auto"/>
                <w:sz w:val="24"/>
                <w:szCs w:val="24"/>
              </w:rPr>
            </w:pPr>
          </w:p>
          <w:p w14:paraId="3C418CB0">
            <w:pPr>
              <w:topLinePunct/>
              <w:spacing w:line="440" w:lineRule="exact"/>
              <w:jc w:val="center"/>
              <w:rPr>
                <w:rFonts w:hint="eastAsia" w:ascii="仿宋" w:hAnsi="仿宋" w:eastAsia="仿宋" w:cs="仿宋"/>
                <w:color w:val="auto"/>
                <w:sz w:val="24"/>
                <w:szCs w:val="24"/>
              </w:rPr>
            </w:pPr>
          </w:p>
          <w:p w14:paraId="58DD2CAD">
            <w:pPr>
              <w:topLinePunct/>
              <w:spacing w:line="440" w:lineRule="exact"/>
              <w:rPr>
                <w:rFonts w:hint="eastAsia" w:ascii="仿宋" w:hAnsi="仿宋" w:eastAsia="仿宋" w:cs="仿宋"/>
                <w:color w:val="auto"/>
                <w:sz w:val="24"/>
                <w:szCs w:val="24"/>
              </w:rPr>
            </w:pPr>
          </w:p>
        </w:tc>
      </w:tr>
      <w:tr w14:paraId="6BD0D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7A19E9DE">
            <w:pPr>
              <w:topLinePunct/>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50E8C5A9">
            <w:pPr>
              <w:topLinePunct/>
              <w:spacing w:line="440" w:lineRule="exact"/>
              <w:rPr>
                <w:rFonts w:hint="eastAsia" w:ascii="仿宋" w:hAnsi="仿宋" w:eastAsia="仿宋" w:cs="仿宋"/>
                <w:color w:val="auto"/>
                <w:sz w:val="24"/>
                <w:szCs w:val="24"/>
              </w:rPr>
            </w:pPr>
          </w:p>
        </w:tc>
      </w:tr>
    </w:tbl>
    <w:p w14:paraId="14C4897F">
      <w:pPr>
        <w:adjustRightInd w:val="0"/>
        <w:snapToGrid w:val="0"/>
        <w:spacing w:before="120" w:beforeLines="50"/>
        <w:ind w:left="630" w:hanging="630" w:hangingChars="300"/>
        <w:rPr>
          <w:rFonts w:ascii="楷体" w:hAnsi="楷体" w:eastAsia="楷体"/>
          <w:color w:val="auto"/>
          <w:szCs w:val="21"/>
        </w:rPr>
      </w:pPr>
    </w:p>
    <w:p w14:paraId="13F2F037">
      <w:pPr>
        <w:adjustRightInd w:val="0"/>
        <w:snapToGrid w:val="0"/>
        <w:spacing w:before="120" w:beforeLines="50"/>
        <w:ind w:left="632" w:hanging="723" w:hangingChars="300"/>
        <w:rPr>
          <w:rFonts w:hint="eastAsia" w:ascii="仿宋" w:hAnsi="仿宋" w:eastAsia="仿宋" w:cs="仿宋"/>
          <w:b/>
          <w:color w:val="auto"/>
          <w:sz w:val="24"/>
          <w:szCs w:val="24"/>
        </w:rPr>
      </w:pPr>
      <w:r>
        <w:rPr>
          <w:rFonts w:hint="eastAsia" w:ascii="仿宋" w:hAnsi="仿宋" w:eastAsia="仿宋" w:cs="仿宋"/>
          <w:b/>
          <w:color w:val="auto"/>
          <w:sz w:val="24"/>
          <w:szCs w:val="24"/>
        </w:rPr>
        <w:t>说明：企业规模指特大型、大型、中型、小型、微型。</w:t>
      </w:r>
    </w:p>
    <w:p w14:paraId="54124948">
      <w:pPr>
        <w:adjustRightInd w:val="0"/>
        <w:snapToGrid w:val="0"/>
        <w:spacing w:before="120" w:beforeLines="50"/>
        <w:ind w:left="630" w:hanging="720" w:hangingChars="300"/>
        <w:rPr>
          <w:rFonts w:hint="eastAsia" w:ascii="仿宋" w:hAnsi="仿宋" w:eastAsia="仿宋" w:cs="仿宋"/>
          <w:color w:val="auto"/>
          <w:sz w:val="24"/>
          <w:szCs w:val="24"/>
        </w:rPr>
      </w:pPr>
    </w:p>
    <w:p w14:paraId="6F42DD53">
      <w:pPr>
        <w:adjustRightInd w:val="0"/>
        <w:snapToGrid w:val="0"/>
        <w:spacing w:before="240" w:beforeLines="100" w:line="360" w:lineRule="auto"/>
        <w:ind w:firstLine="444" w:firstLineChars="185"/>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bCs/>
          <w:color w:val="auto"/>
          <w:sz w:val="24"/>
          <w:szCs w:val="24"/>
        </w:rPr>
        <w:t>：</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bCs/>
          <w:color w:val="auto"/>
          <w:sz w:val="24"/>
          <w:szCs w:val="24"/>
        </w:rPr>
        <w:t>）</w:t>
      </w:r>
    </w:p>
    <w:p w14:paraId="14107EF6">
      <w:pPr>
        <w:adjustRightInd w:val="0"/>
        <w:spacing w:line="360" w:lineRule="auto"/>
        <w:ind w:firstLine="420" w:firstLineChars="175"/>
        <w:jc w:val="left"/>
        <w:rPr>
          <w:rFonts w:hint="eastAsia" w:ascii="仿宋" w:hAnsi="仿宋" w:eastAsia="仿宋" w:cs="仿宋"/>
          <w:bCs/>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245A492D">
      <w:pPr>
        <w:adjustRightInd w:val="0"/>
        <w:spacing w:line="360" w:lineRule="auto"/>
        <w:ind w:firstLine="420" w:firstLineChars="175"/>
        <w:jc w:val="left"/>
        <w:rPr>
          <w:rFonts w:ascii="宋体" w:hAnsi="宋体"/>
          <w:bCs/>
          <w:color w:val="auto"/>
          <w:szCs w:val="21"/>
        </w:rPr>
      </w:pPr>
      <w:r>
        <w:rPr>
          <w:rFonts w:hint="eastAsia" w:ascii="仿宋" w:hAnsi="仿宋" w:eastAsia="仿宋" w:cs="仿宋"/>
          <w:bCs/>
          <w:color w:val="auto"/>
          <w:sz w:val="24"/>
          <w:szCs w:val="24"/>
        </w:rPr>
        <w:t>日       期</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53E33CCF">
      <w:pPr>
        <w:adjustRightInd w:val="0"/>
        <w:snapToGrid w:val="0"/>
        <w:spacing w:line="360" w:lineRule="auto"/>
        <w:jc w:val="center"/>
        <w:rPr>
          <w:rFonts w:ascii="宋体" w:hAnsi="宋体"/>
          <w:color w:val="auto"/>
          <w:szCs w:val="21"/>
        </w:rPr>
      </w:pPr>
      <w:r>
        <w:rPr>
          <w:rFonts w:hint="eastAsia" w:ascii="宋体" w:hAnsi="宋体"/>
          <w:b/>
          <w:color w:val="auto"/>
          <w:sz w:val="36"/>
          <w:szCs w:val="36"/>
        </w:rPr>
        <w:t>二、法定代表人身份证明</w:t>
      </w:r>
    </w:p>
    <w:p w14:paraId="56008574">
      <w:pPr>
        <w:snapToGrid w:val="0"/>
        <w:spacing w:line="480" w:lineRule="auto"/>
        <w:rPr>
          <w:rFonts w:ascii="宋体" w:hAnsi="宋体"/>
          <w:color w:val="auto"/>
          <w:szCs w:val="21"/>
        </w:rPr>
      </w:pPr>
    </w:p>
    <w:p w14:paraId="2BA68412">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供应商</w:t>
      </w:r>
      <w:r>
        <w:rPr>
          <w:rFonts w:hint="eastAsia" w:ascii="仿宋" w:hAnsi="仿宋" w:eastAsia="仿宋" w:cs="仿宋"/>
          <w:color w:val="auto"/>
          <w:kern w:val="0"/>
          <w:sz w:val="24"/>
          <w:szCs w:val="24"/>
        </w:rPr>
        <w:t>名称：</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w:t>
      </w:r>
    </w:p>
    <w:p w14:paraId="001466FC">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统一社会信用代码：</w:t>
      </w:r>
      <w:r>
        <w:rPr>
          <w:rFonts w:hint="eastAsia" w:ascii="仿宋" w:hAnsi="仿宋" w:eastAsia="仿宋" w:cs="仿宋"/>
          <w:color w:val="auto"/>
          <w:kern w:val="0"/>
          <w:sz w:val="24"/>
          <w:szCs w:val="24"/>
          <w:u w:val="single"/>
        </w:rPr>
        <w:t xml:space="preserve">                </w:t>
      </w:r>
    </w:p>
    <w:p w14:paraId="63FDE46E">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姓名：</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性别：</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年龄：</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 xml:space="preserve">  职务：</w:t>
      </w:r>
      <w:r>
        <w:rPr>
          <w:rFonts w:hint="eastAsia" w:ascii="仿宋" w:hAnsi="仿宋" w:eastAsia="仿宋" w:cs="仿宋"/>
          <w:color w:val="auto"/>
          <w:kern w:val="0"/>
          <w:sz w:val="24"/>
          <w:szCs w:val="24"/>
          <w:u w:val="single"/>
        </w:rPr>
        <w:t xml:space="preserve">             </w:t>
      </w:r>
    </w:p>
    <w:p w14:paraId="2EA54658">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系</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（供应商名称）的法定代表人（单位负责人）。</w:t>
      </w:r>
    </w:p>
    <w:p w14:paraId="2E94D233">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特此证明。</w:t>
      </w:r>
    </w:p>
    <w:p w14:paraId="3F8B03E7">
      <w:pPr>
        <w:autoSpaceDE w:val="0"/>
        <w:autoSpaceDN w:val="0"/>
        <w:adjustRightInd w:val="0"/>
        <w:snapToGrid w:val="0"/>
        <w:spacing w:before="120" w:beforeLines="50" w:line="360" w:lineRule="auto"/>
        <w:jc w:val="left"/>
        <w:rPr>
          <w:rFonts w:hint="eastAsia" w:ascii="仿宋" w:hAnsi="仿宋" w:eastAsia="仿宋" w:cs="仿宋"/>
          <w:color w:val="auto"/>
          <w:sz w:val="24"/>
          <w:szCs w:val="24"/>
        </w:rPr>
      </w:pPr>
    </w:p>
    <w:p w14:paraId="2EC99E2B">
      <w:pPr>
        <w:autoSpaceDE w:val="0"/>
        <w:autoSpaceDN w:val="0"/>
        <w:adjustRightInd w:val="0"/>
        <w:snapToGrid w:val="0"/>
        <w:spacing w:before="120" w:beforeLines="50" w:line="360" w:lineRule="auto"/>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附：法定代表人身份证复印件（正反面均需复印）</w:t>
      </w:r>
    </w:p>
    <w:p w14:paraId="33E2633A">
      <w:pPr>
        <w:snapToGrid w:val="0"/>
        <w:spacing w:line="480" w:lineRule="auto"/>
        <w:rPr>
          <w:rFonts w:hint="eastAsia" w:ascii="仿宋" w:hAnsi="仿宋" w:eastAsia="仿宋" w:cs="仿宋"/>
          <w:color w:val="auto"/>
          <w:sz w:val="24"/>
          <w:szCs w:val="24"/>
        </w:rPr>
      </w:pPr>
    </w:p>
    <w:tbl>
      <w:tblPr>
        <w:tblStyle w:val="23"/>
        <w:tblW w:w="0" w:type="auto"/>
        <w:tblInd w:w="540" w:type="dxa"/>
        <w:tblLayout w:type="fixed"/>
        <w:tblCellMar>
          <w:top w:w="0" w:type="dxa"/>
          <w:left w:w="108" w:type="dxa"/>
          <w:bottom w:w="0" w:type="dxa"/>
          <w:right w:w="108" w:type="dxa"/>
        </w:tblCellMar>
      </w:tblPr>
      <w:tblGrid>
        <w:gridCol w:w="8040"/>
      </w:tblGrid>
      <w:tr w14:paraId="0E41D3DE">
        <w:tblPrEx>
          <w:tblCellMar>
            <w:top w:w="0" w:type="dxa"/>
            <w:left w:w="108" w:type="dxa"/>
            <w:bottom w:w="0" w:type="dxa"/>
            <w:right w:w="108" w:type="dxa"/>
          </w:tblCellMar>
        </w:tblPrEx>
        <w:trPr>
          <w:trHeight w:val="3425" w:hRule="atLeast"/>
        </w:trPr>
        <w:tc>
          <w:tcPr>
            <w:tcW w:w="8040" w:type="dxa"/>
            <w:tcBorders>
              <w:top w:val="single" w:color="auto" w:sz="6" w:space="0"/>
              <w:left w:val="single" w:color="auto" w:sz="6" w:space="0"/>
              <w:bottom w:val="single" w:color="auto" w:sz="6" w:space="0"/>
              <w:right w:val="single" w:color="auto" w:sz="6" w:space="0"/>
            </w:tcBorders>
            <w:vAlign w:val="center"/>
          </w:tcPr>
          <w:p w14:paraId="4E9E2AB6">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r>
              <w:rPr>
                <w:rFonts w:hint="eastAsia" w:ascii="仿宋" w:hAnsi="仿宋" w:eastAsia="仿宋" w:cs="仿宋"/>
                <w:color w:val="auto"/>
                <w:sz w:val="24"/>
                <w:szCs w:val="24"/>
              </w:rPr>
              <w:t>(正、反面)</w:t>
            </w:r>
          </w:p>
          <w:p w14:paraId="110C2563">
            <w:pPr>
              <w:spacing w:line="360" w:lineRule="auto"/>
              <w:jc w:val="center"/>
              <w:rPr>
                <w:rFonts w:hint="eastAsia" w:ascii="仿宋" w:hAnsi="仿宋" w:eastAsia="仿宋" w:cs="仿宋"/>
                <w:color w:val="auto"/>
                <w:sz w:val="24"/>
                <w:szCs w:val="24"/>
                <w:u w:val="single"/>
              </w:rPr>
            </w:pPr>
          </w:p>
        </w:tc>
      </w:tr>
    </w:tbl>
    <w:p w14:paraId="412D71A7">
      <w:pPr>
        <w:snapToGrid w:val="0"/>
        <w:spacing w:line="480" w:lineRule="auto"/>
        <w:rPr>
          <w:rFonts w:ascii="宋体" w:hAnsi="宋体"/>
          <w:color w:val="auto"/>
          <w:szCs w:val="21"/>
        </w:rPr>
      </w:pPr>
    </w:p>
    <w:p w14:paraId="196F9F20">
      <w:pPr>
        <w:snapToGrid w:val="0"/>
        <w:spacing w:line="480" w:lineRule="auto"/>
        <w:rPr>
          <w:rFonts w:ascii="宋体" w:hAnsi="宋体"/>
          <w:color w:val="auto"/>
          <w:szCs w:val="21"/>
        </w:rPr>
      </w:pPr>
    </w:p>
    <w:p w14:paraId="038CA9A3">
      <w:pPr>
        <w:adjustRightInd w:val="0"/>
        <w:snapToGrid w:val="0"/>
        <w:spacing w:line="360" w:lineRule="auto"/>
        <w:ind w:right="420"/>
        <w:rPr>
          <w:rFonts w:ascii="宋体" w:hAnsi="宋体"/>
          <w:color w:val="auto"/>
          <w:szCs w:val="21"/>
        </w:rPr>
      </w:pPr>
    </w:p>
    <w:p w14:paraId="64CC7171">
      <w:pPr>
        <w:adjustRightInd w:val="0"/>
        <w:snapToGrid w:val="0"/>
        <w:spacing w:line="480" w:lineRule="auto"/>
        <w:ind w:right="420" w:firstLine="2880" w:firstLineChars="12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供应商名称、盖单位章</w:t>
      </w:r>
      <w:r>
        <w:rPr>
          <w:rFonts w:hint="eastAsia" w:ascii="仿宋" w:hAnsi="仿宋" w:eastAsia="仿宋" w:cs="仿宋"/>
          <w:color w:val="auto"/>
          <w:sz w:val="24"/>
          <w:szCs w:val="24"/>
        </w:rPr>
        <w:t>）</w:t>
      </w:r>
    </w:p>
    <w:p w14:paraId="6E81DA46">
      <w:pPr>
        <w:adjustRightInd w:val="0"/>
        <w:snapToGrid w:val="0"/>
        <w:spacing w:line="480" w:lineRule="auto"/>
        <w:ind w:right="420" w:firstLine="3720" w:firstLineChars="155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日      期: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w:t>
      </w:r>
    </w:p>
    <w:p w14:paraId="222F236A">
      <w:pPr>
        <w:adjustRightInd w:val="0"/>
        <w:snapToGrid w:val="0"/>
        <w:spacing w:line="360" w:lineRule="auto"/>
        <w:ind w:right="420" w:firstLine="3720" w:firstLineChars="1550"/>
        <w:rPr>
          <w:rFonts w:hint="eastAsia" w:ascii="仿宋" w:hAnsi="仿宋" w:eastAsia="仿宋" w:cs="仿宋"/>
          <w:color w:val="auto"/>
          <w:sz w:val="24"/>
          <w:szCs w:val="24"/>
        </w:rPr>
      </w:pPr>
    </w:p>
    <w:p w14:paraId="5597BDA4">
      <w:pPr>
        <w:tabs>
          <w:tab w:val="left" w:pos="210"/>
        </w:tabs>
        <w:spacing w:line="320" w:lineRule="exact"/>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说明：法定代表人直接磋商，只须提供法定代表人证明书及身份证原件</w:t>
      </w:r>
    </w:p>
    <w:p w14:paraId="03D9F37B">
      <w:pPr>
        <w:adjustRightInd w:val="0"/>
        <w:snapToGrid w:val="0"/>
        <w:spacing w:line="360" w:lineRule="auto"/>
        <w:ind w:right="420" w:firstLine="210" w:firstLineChars="100"/>
        <w:rPr>
          <w:rFonts w:ascii="楷体" w:hAnsi="楷体" w:eastAsia="楷体"/>
          <w:color w:val="auto"/>
          <w:szCs w:val="21"/>
        </w:rPr>
      </w:pPr>
      <w:r>
        <w:rPr>
          <w:rFonts w:ascii="楷体" w:hAnsi="楷体" w:eastAsia="楷体"/>
          <w:color w:val="auto"/>
          <w:szCs w:val="21"/>
        </w:rPr>
        <w:br w:type="page"/>
      </w:r>
    </w:p>
    <w:p w14:paraId="65514FB4">
      <w:pPr>
        <w:jc w:val="center"/>
        <w:rPr>
          <w:rFonts w:ascii="黑体" w:hAnsi="华文中宋" w:eastAsia="黑体"/>
          <w:b/>
          <w:color w:val="auto"/>
          <w:sz w:val="28"/>
          <w:szCs w:val="28"/>
        </w:rPr>
      </w:pPr>
      <w:r>
        <w:rPr>
          <w:rFonts w:hint="eastAsia" w:ascii="宋体" w:hAnsi="宋体"/>
          <w:b/>
          <w:color w:val="auto"/>
          <w:sz w:val="36"/>
          <w:szCs w:val="36"/>
        </w:rPr>
        <w:t>三、授权委托书</w:t>
      </w:r>
    </w:p>
    <w:p w14:paraId="0C30FFFD">
      <w:pPr>
        <w:spacing w:line="400" w:lineRule="exact"/>
        <w:ind w:firstLine="560" w:firstLineChars="200"/>
        <w:rPr>
          <w:rFonts w:ascii="仿宋_GB2312" w:hAnsi="宋体" w:eastAsia="仿宋_GB2312"/>
          <w:color w:val="auto"/>
          <w:sz w:val="28"/>
          <w:szCs w:val="28"/>
        </w:rPr>
      </w:pPr>
    </w:p>
    <w:p w14:paraId="0E561999">
      <w:pPr>
        <w:spacing w:line="360" w:lineRule="auto"/>
        <w:ind w:left="630" w:leftChars="300" w:firstLine="240" w:firstLineChars="1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本人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（姓名）系</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（供应商名称）的法定代表人（单位负责人），现委托</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5C288C5D">
      <w:pPr>
        <w:spacing w:line="360" w:lineRule="auto"/>
        <w:ind w:left="1140" w:leftChars="200" w:hanging="720" w:hangingChars="300"/>
        <w:rPr>
          <w:rFonts w:hint="eastAsia" w:ascii="仿宋" w:hAnsi="仿宋" w:eastAsia="仿宋" w:cs="仿宋"/>
          <w:color w:val="auto"/>
          <w:sz w:val="24"/>
          <w:szCs w:val="24"/>
          <w:u w:val="none"/>
          <w:lang w:val="zh-CN"/>
        </w:rPr>
      </w:pPr>
      <w:r>
        <w:rPr>
          <w:rFonts w:hint="eastAsia" w:ascii="仿宋" w:hAnsi="仿宋" w:eastAsia="仿宋" w:cs="仿宋"/>
          <w:color w:val="auto"/>
          <w:sz w:val="24"/>
          <w:szCs w:val="24"/>
          <w:lang w:val="zh-CN"/>
        </w:rPr>
        <w:t>（姓名）为我方代理人。代理人根据授权，以我方的名义签署、澄清确认、递交、撤回、修改</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zh-CN"/>
        </w:rPr>
        <w:t xml:space="preserve">   </w:t>
      </w:r>
    </w:p>
    <w:p w14:paraId="30D0DDFE">
      <w:pPr>
        <w:spacing w:line="360" w:lineRule="auto"/>
        <w:ind w:left="1140" w:leftChars="200" w:hanging="720" w:hangingChars="300"/>
        <w:rPr>
          <w:rFonts w:hint="eastAsia" w:ascii="仿宋" w:hAnsi="仿宋" w:eastAsia="仿宋" w:cs="仿宋"/>
          <w:color w:val="auto"/>
          <w:sz w:val="24"/>
          <w:szCs w:val="24"/>
        </w:rPr>
      </w:pPr>
      <w:r>
        <w:rPr>
          <w:rFonts w:hint="eastAsia" w:ascii="仿宋" w:hAnsi="仿宋" w:eastAsia="仿宋" w:cs="仿宋"/>
          <w:color w:val="auto"/>
          <w:sz w:val="24"/>
          <w:szCs w:val="24"/>
          <w:lang w:val="zh-CN"/>
        </w:rPr>
        <w:t>（采购项目</w:t>
      </w:r>
      <w:r>
        <w:rPr>
          <w:rFonts w:hint="eastAsia" w:ascii="仿宋" w:hAnsi="仿宋" w:eastAsia="仿宋" w:cs="仿宋"/>
          <w:color w:val="auto"/>
          <w:sz w:val="24"/>
          <w:szCs w:val="24"/>
          <w:lang w:val="en-US" w:eastAsia="zh-CN"/>
        </w:rPr>
        <w:t>及包号</w:t>
      </w:r>
      <w:r>
        <w:rPr>
          <w:rFonts w:hint="eastAsia" w:ascii="仿宋" w:hAnsi="仿宋" w:eastAsia="仿宋" w:cs="仿宋"/>
          <w:color w:val="auto"/>
          <w:sz w:val="24"/>
          <w:szCs w:val="24"/>
          <w:lang w:val="zh-CN"/>
        </w:rPr>
        <w:t>）响应文件、签订合同和全权处理一切与之有关的事宜，</w:t>
      </w:r>
      <w:r>
        <w:rPr>
          <w:rFonts w:hint="eastAsia" w:ascii="仿宋" w:hAnsi="仿宋" w:eastAsia="仿宋" w:cs="仿宋"/>
          <w:color w:val="auto"/>
          <w:kern w:val="0"/>
          <w:sz w:val="24"/>
          <w:szCs w:val="24"/>
        </w:rPr>
        <w:t>其法律后果由我方承担。</w:t>
      </w:r>
    </w:p>
    <w:p w14:paraId="4E9F5EDD">
      <w:pPr>
        <w:spacing w:line="480" w:lineRule="auto"/>
        <w:ind w:firstLine="960" w:firstLineChars="400"/>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委托期限</w:t>
      </w:r>
      <w:r>
        <w:rPr>
          <w:rFonts w:hint="eastAsia" w:ascii="仿宋" w:hAnsi="仿宋" w:eastAsia="仿宋" w:cs="仿宋"/>
          <w:color w:val="auto"/>
          <w:sz w:val="24"/>
          <w:szCs w:val="24"/>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lang w:val="en-US" w:eastAsia="zh-CN"/>
        </w:rPr>
        <w:t>日历天</w:t>
      </w:r>
      <w:r>
        <w:rPr>
          <w:rFonts w:hint="eastAsia" w:ascii="仿宋" w:hAnsi="仿宋" w:eastAsia="仿宋" w:cs="仿宋"/>
          <w:color w:val="auto"/>
          <w:sz w:val="24"/>
          <w:szCs w:val="24"/>
        </w:rPr>
        <w:t>。</w:t>
      </w:r>
    </w:p>
    <w:p w14:paraId="213BE42C">
      <w:pPr>
        <w:spacing w:line="480" w:lineRule="auto"/>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6661C998">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附：法定代表人（单位负责人）身份证复印件</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委托代理人身份证复印件（正反面均需复印）</w:t>
      </w:r>
    </w:p>
    <w:tbl>
      <w:tblPr>
        <w:tblStyle w:val="23"/>
        <w:tblW w:w="0" w:type="auto"/>
        <w:jc w:val="center"/>
        <w:tblLayout w:type="fixed"/>
        <w:tblCellMar>
          <w:top w:w="0" w:type="dxa"/>
          <w:left w:w="108" w:type="dxa"/>
          <w:bottom w:w="0" w:type="dxa"/>
          <w:right w:w="108" w:type="dxa"/>
        </w:tblCellMar>
      </w:tblPr>
      <w:tblGrid>
        <w:gridCol w:w="4174"/>
        <w:gridCol w:w="4005"/>
      </w:tblGrid>
      <w:tr w14:paraId="0DD6775A">
        <w:tblPrEx>
          <w:tblCellMar>
            <w:top w:w="0" w:type="dxa"/>
            <w:left w:w="108" w:type="dxa"/>
            <w:bottom w:w="0" w:type="dxa"/>
            <w:right w:w="108" w:type="dxa"/>
          </w:tblCellMar>
        </w:tblPrEx>
        <w:trPr>
          <w:trHeight w:val="3289" w:hRule="atLeast"/>
          <w:jc w:val="center"/>
        </w:trPr>
        <w:tc>
          <w:tcPr>
            <w:tcW w:w="4174" w:type="dxa"/>
            <w:tcBorders>
              <w:top w:val="single" w:color="auto" w:sz="6" w:space="0"/>
              <w:left w:val="single" w:color="auto" w:sz="6" w:space="0"/>
              <w:bottom w:val="single" w:color="auto" w:sz="6" w:space="0"/>
              <w:right w:val="single" w:color="auto" w:sz="6" w:space="0"/>
            </w:tcBorders>
            <w:vAlign w:val="center"/>
          </w:tcPr>
          <w:p w14:paraId="28CA01BC">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法定代表人身份证复印件</w:t>
            </w:r>
          </w:p>
        </w:tc>
        <w:tc>
          <w:tcPr>
            <w:tcW w:w="4005" w:type="dxa"/>
            <w:tcBorders>
              <w:top w:val="single" w:color="auto" w:sz="6" w:space="0"/>
              <w:left w:val="single" w:color="auto" w:sz="6" w:space="0"/>
              <w:bottom w:val="single" w:color="auto" w:sz="6" w:space="0"/>
              <w:right w:val="single" w:color="auto" w:sz="6" w:space="0"/>
            </w:tcBorders>
            <w:vAlign w:val="center"/>
          </w:tcPr>
          <w:p w14:paraId="60812862">
            <w:pPr>
              <w:spacing w:line="360" w:lineRule="auto"/>
              <w:jc w:val="center"/>
              <w:rPr>
                <w:rFonts w:hint="eastAsia" w:ascii="仿宋" w:hAnsi="仿宋" w:eastAsia="仿宋" w:cs="仿宋"/>
                <w:color w:val="auto"/>
                <w:sz w:val="24"/>
                <w:szCs w:val="24"/>
                <w:u w:val="single"/>
              </w:rPr>
            </w:pPr>
            <w:r>
              <w:rPr>
                <w:rFonts w:hint="eastAsia" w:ascii="仿宋" w:hAnsi="仿宋" w:eastAsia="仿宋" w:cs="仿宋"/>
                <w:color w:val="auto"/>
                <w:sz w:val="24"/>
                <w:szCs w:val="24"/>
                <w:lang w:val="zh-CN"/>
              </w:rPr>
              <w:t>委托代理人身份证复印件</w:t>
            </w:r>
          </w:p>
        </w:tc>
      </w:tr>
    </w:tbl>
    <w:p w14:paraId="4A81DCE1">
      <w:pPr>
        <w:rPr>
          <w:rFonts w:hint="eastAsia" w:ascii="仿宋" w:hAnsi="仿宋" w:eastAsia="仿宋" w:cs="仿宋"/>
          <w:color w:val="auto"/>
          <w:sz w:val="24"/>
          <w:szCs w:val="24"/>
        </w:rPr>
      </w:pPr>
    </w:p>
    <w:p w14:paraId="1B644FEE">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highlight w:val="none"/>
        </w:rPr>
        <w:t>盖单位章</w:t>
      </w:r>
      <w:r>
        <w:rPr>
          <w:rFonts w:hint="eastAsia" w:ascii="仿宋" w:hAnsi="仿宋" w:eastAsia="仿宋" w:cs="仿宋"/>
          <w:color w:val="auto"/>
          <w:sz w:val="24"/>
          <w:szCs w:val="24"/>
        </w:rPr>
        <w:t xml:space="preserve">） </w:t>
      </w:r>
    </w:p>
    <w:p w14:paraId="2DB93E0A">
      <w:pPr>
        <w:ind w:firstLine="480" w:firstLineChars="200"/>
        <w:rPr>
          <w:rFonts w:hint="eastAsia" w:ascii="仿宋" w:hAnsi="仿宋" w:eastAsia="仿宋" w:cs="仿宋"/>
          <w:color w:val="auto"/>
          <w:sz w:val="24"/>
          <w:szCs w:val="24"/>
        </w:rPr>
      </w:pPr>
    </w:p>
    <w:p w14:paraId="232DCA3B">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法定代表人（单位负责人）：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1E66F955">
      <w:pPr>
        <w:ind w:firstLine="3960" w:firstLineChars="1650"/>
        <w:rPr>
          <w:rFonts w:hint="eastAsia" w:ascii="仿宋" w:hAnsi="仿宋" w:eastAsia="仿宋" w:cs="仿宋"/>
          <w:color w:val="auto"/>
          <w:sz w:val="24"/>
          <w:szCs w:val="24"/>
        </w:rPr>
      </w:pPr>
    </w:p>
    <w:p w14:paraId="648124DB">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221AD291">
      <w:pPr>
        <w:ind w:firstLine="3960" w:firstLineChars="1650"/>
        <w:rPr>
          <w:rFonts w:hint="eastAsia" w:ascii="仿宋" w:hAnsi="仿宋" w:eastAsia="仿宋" w:cs="仿宋"/>
          <w:color w:val="auto"/>
          <w:sz w:val="24"/>
          <w:szCs w:val="24"/>
        </w:rPr>
      </w:pPr>
    </w:p>
    <w:p w14:paraId="3EF4BF29">
      <w:pPr>
        <w:ind w:firstLine="3240" w:firstLineChars="1350"/>
        <w:rPr>
          <w:rFonts w:hint="eastAsia" w:ascii="仿宋" w:hAnsi="仿宋" w:eastAsia="仿宋" w:cs="仿宋"/>
          <w:color w:val="auto"/>
          <w:sz w:val="24"/>
          <w:szCs w:val="24"/>
        </w:rPr>
      </w:pPr>
      <w:r>
        <w:rPr>
          <w:rFonts w:hint="eastAsia" w:ascii="仿宋" w:hAnsi="仿宋" w:eastAsia="仿宋" w:cs="仿宋"/>
          <w:color w:val="auto"/>
          <w:sz w:val="24"/>
          <w:szCs w:val="24"/>
        </w:rPr>
        <w:t>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（签字）     </w:t>
      </w:r>
    </w:p>
    <w:p w14:paraId="47E43A33">
      <w:pPr>
        <w:ind w:firstLine="3240" w:firstLineChars="1350"/>
        <w:jc w:val="left"/>
        <w:rPr>
          <w:rFonts w:hint="eastAsia" w:ascii="仿宋" w:hAnsi="仿宋" w:eastAsia="仿宋" w:cs="仿宋"/>
          <w:color w:val="auto"/>
          <w:sz w:val="24"/>
          <w:szCs w:val="24"/>
        </w:rPr>
      </w:pPr>
    </w:p>
    <w:p w14:paraId="1E7EAF99">
      <w:pPr>
        <w:ind w:firstLine="3240" w:firstLineChars="135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身份证号：</w:t>
      </w:r>
      <w:r>
        <w:rPr>
          <w:rFonts w:hint="eastAsia" w:ascii="仿宋" w:hAnsi="仿宋" w:eastAsia="仿宋" w:cs="仿宋"/>
          <w:color w:val="auto"/>
          <w:sz w:val="24"/>
          <w:szCs w:val="24"/>
          <w:u w:val="single"/>
        </w:rPr>
        <w:t xml:space="preserve">                            </w:t>
      </w:r>
    </w:p>
    <w:p w14:paraId="3EEC3421">
      <w:pPr>
        <w:ind w:firstLine="480" w:firstLineChars="200"/>
        <w:rPr>
          <w:rFonts w:hint="eastAsia" w:ascii="仿宋" w:hAnsi="仿宋" w:eastAsia="仿宋" w:cs="仿宋"/>
          <w:color w:val="auto"/>
          <w:sz w:val="24"/>
          <w:szCs w:val="24"/>
        </w:rPr>
      </w:pPr>
    </w:p>
    <w:p w14:paraId="6E66D01D">
      <w:pPr>
        <w:ind w:firstLine="3120" w:firstLineChars="1300"/>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授权委托日期：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F44E8B3">
      <w:pPr>
        <w:ind w:firstLine="240" w:firstLineChars="100"/>
        <w:rPr>
          <w:rFonts w:hint="eastAsia" w:ascii="仿宋" w:hAnsi="仿宋" w:eastAsia="仿宋" w:cs="仿宋"/>
          <w:color w:val="auto"/>
          <w:sz w:val="24"/>
          <w:szCs w:val="24"/>
          <w:lang w:val="zh-CN"/>
        </w:rPr>
      </w:pPr>
    </w:p>
    <w:p w14:paraId="220319CF">
      <w:pPr>
        <w:spacing w:line="360" w:lineRule="auto"/>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说明：</w:t>
      </w:r>
      <w:r>
        <w:rPr>
          <w:rFonts w:hint="eastAsia" w:ascii="仿宋" w:hAnsi="仿宋" w:eastAsia="仿宋" w:cs="仿宋"/>
          <w:color w:val="auto"/>
          <w:sz w:val="24"/>
          <w:szCs w:val="24"/>
        </w:rPr>
        <w:t>1、</w:t>
      </w:r>
      <w:r>
        <w:rPr>
          <w:rFonts w:hint="eastAsia" w:ascii="仿宋" w:hAnsi="仿宋" w:eastAsia="仿宋" w:cs="仿宋"/>
          <w:color w:val="auto"/>
          <w:sz w:val="24"/>
          <w:szCs w:val="24"/>
          <w:lang w:val="zh-CN"/>
        </w:rPr>
        <w:t>本授权委托书有效期</w:t>
      </w:r>
      <w:r>
        <w:rPr>
          <w:rFonts w:hint="eastAsia" w:ascii="仿宋" w:hAnsi="仿宋" w:eastAsia="仿宋" w:cs="仿宋"/>
          <w:color w:val="auto"/>
          <w:sz w:val="24"/>
          <w:szCs w:val="24"/>
          <w:lang w:val="en-US" w:eastAsia="zh-CN"/>
        </w:rPr>
        <w:t>自</w:t>
      </w:r>
      <w:r>
        <w:rPr>
          <w:rFonts w:hint="eastAsia" w:ascii="仿宋" w:hAnsi="仿宋" w:eastAsia="仿宋" w:cs="仿宋"/>
          <w:color w:val="auto"/>
          <w:sz w:val="24"/>
          <w:szCs w:val="24"/>
          <w:lang w:val="zh-CN"/>
        </w:rPr>
        <w:t>响应文件首次提交截止之日起</w:t>
      </w:r>
      <w:r>
        <w:rPr>
          <w:rFonts w:hint="eastAsia" w:ascii="仿宋" w:hAnsi="仿宋" w:eastAsia="仿宋" w:cs="仿宋"/>
          <w:color w:val="auto"/>
          <w:sz w:val="24"/>
          <w:szCs w:val="24"/>
          <w:lang w:val="en-US" w:eastAsia="zh-CN"/>
        </w:rPr>
        <w:t>不得少于</w:t>
      </w:r>
      <w:r>
        <w:rPr>
          <w:rFonts w:hint="eastAsia" w:ascii="仿宋" w:hAnsi="仿宋" w:eastAsia="仿宋" w:cs="仿宋"/>
          <w:color w:val="auto"/>
          <w:sz w:val="24"/>
          <w:szCs w:val="24"/>
          <w:lang w:val="zh-CN"/>
        </w:rPr>
        <w:t>90日历天，仅限委托代理人参加磋商时提供。</w:t>
      </w:r>
    </w:p>
    <w:p w14:paraId="73DF1E91">
      <w:pPr>
        <w:spacing w:line="360" w:lineRule="auto"/>
        <w:ind w:firstLine="720" w:firstLineChars="400"/>
        <w:rPr>
          <w:rFonts w:ascii="楷体" w:hAnsi="楷体" w:eastAsia="楷体"/>
          <w:color w:val="auto"/>
          <w:lang w:val="zh-CN"/>
        </w:rPr>
      </w:pPr>
      <w:r>
        <w:rPr>
          <w:rFonts w:hint="eastAsia" w:ascii="楷体" w:hAnsi="楷体" w:eastAsia="楷体"/>
          <w:color w:val="auto"/>
          <w:sz w:val="18"/>
          <w:szCs w:val="18"/>
          <w:lang w:val="zh-CN"/>
        </w:rPr>
        <w:t xml:space="preserve"> </w:t>
      </w:r>
    </w:p>
    <w:p w14:paraId="0A2DE867">
      <w:pPr>
        <w:jc w:val="center"/>
        <w:rPr>
          <w:rFonts w:ascii="宋体" w:hAnsi="宋体"/>
          <w:b/>
          <w:color w:val="auto"/>
          <w:sz w:val="36"/>
          <w:szCs w:val="36"/>
        </w:rPr>
      </w:pPr>
      <w:r>
        <w:rPr>
          <w:rFonts w:hint="eastAsia" w:ascii="宋体" w:hAnsi="宋体"/>
          <w:b/>
          <w:color w:val="auto"/>
          <w:sz w:val="36"/>
          <w:szCs w:val="36"/>
        </w:rPr>
        <w:t>四、</w:t>
      </w:r>
      <w:r>
        <w:rPr>
          <w:rFonts w:hint="eastAsia" w:ascii="宋体" w:hAnsi="宋体" w:cs="宋体"/>
          <w:b/>
          <w:color w:val="auto"/>
          <w:kern w:val="0"/>
          <w:sz w:val="36"/>
          <w:szCs w:val="36"/>
          <w:lang w:val="zh-CN"/>
        </w:rPr>
        <w:t>供应商的营业执照等证明文件，自然人的身份证明</w:t>
      </w:r>
    </w:p>
    <w:p w14:paraId="46B3FC58">
      <w:pPr>
        <w:pStyle w:val="12"/>
        <w:adjustRightInd w:val="0"/>
        <w:snapToGrid w:val="0"/>
        <w:spacing w:line="360" w:lineRule="auto"/>
        <w:jc w:val="left"/>
        <w:rPr>
          <w:rFonts w:hAnsi="宋体"/>
          <w:color w:val="auto"/>
          <w:sz w:val="24"/>
          <w:szCs w:val="24"/>
        </w:rPr>
      </w:pPr>
    </w:p>
    <w:p w14:paraId="66ABA1AE">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说明：</w:t>
      </w:r>
    </w:p>
    <w:p w14:paraId="4C482C71">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（1）企业单位磋商的提供有效的营业执照（3证合1或多证合1）；</w:t>
      </w:r>
    </w:p>
    <w:p w14:paraId="0719F8B5">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（2）事业单位磋商的提供有效的法人证书（带有社会统一信用代码）；</w:t>
      </w:r>
    </w:p>
    <w:p w14:paraId="5D77C7F7">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（3）其他组织磋商的提供有效的登记证书（带有社会统一信用代码）；</w:t>
      </w:r>
    </w:p>
    <w:p w14:paraId="43DD9F3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（4）自然人磋商的提供有效的身份证复印件；</w:t>
      </w:r>
    </w:p>
    <w:p w14:paraId="14000D1D">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（5）以上（1）-（3）项为正本或者副本复印件，并加盖供应商单位章。</w:t>
      </w:r>
    </w:p>
    <w:p w14:paraId="0A9291DB">
      <w:pPr>
        <w:pStyle w:val="8"/>
        <w:spacing w:before="120" w:beforeLines="50"/>
        <w:ind w:firstLine="0"/>
        <w:rPr>
          <w:rFonts w:ascii="宋体" w:hAnsi="宋体"/>
          <w:b/>
          <w:color w:val="auto"/>
          <w:sz w:val="36"/>
          <w:szCs w:val="36"/>
        </w:rPr>
      </w:pPr>
    </w:p>
    <w:p w14:paraId="6F1241EE">
      <w:pPr>
        <w:pStyle w:val="12"/>
        <w:adjustRightInd w:val="0"/>
        <w:snapToGrid w:val="0"/>
        <w:spacing w:line="360" w:lineRule="auto"/>
        <w:rPr>
          <w:b/>
          <w:color w:val="auto"/>
          <w:sz w:val="36"/>
          <w:szCs w:val="36"/>
        </w:rPr>
      </w:pPr>
      <w:r>
        <w:rPr>
          <w:rFonts w:hint="eastAsia"/>
          <w:b/>
          <w:color w:val="auto"/>
          <w:sz w:val="36"/>
          <w:szCs w:val="36"/>
        </w:rPr>
        <w:br w:type="page"/>
      </w:r>
    </w:p>
    <w:p w14:paraId="345E52F9">
      <w:pPr>
        <w:pStyle w:val="12"/>
        <w:shd w:val="clear"/>
        <w:adjustRightInd w:val="0"/>
        <w:snapToGrid w:val="0"/>
        <w:spacing w:line="360" w:lineRule="auto"/>
        <w:jc w:val="center"/>
        <w:rPr>
          <w:rFonts w:hint="default" w:hAnsi="宋体" w:eastAsia="宋体" w:cs="宋体"/>
          <w:b/>
          <w:color w:val="auto"/>
          <w:sz w:val="36"/>
          <w:szCs w:val="36"/>
          <w:highlight w:val="none"/>
          <w:lang w:val="en-US" w:eastAsia="zh-CN"/>
        </w:rPr>
      </w:pPr>
      <w:r>
        <w:rPr>
          <w:rFonts w:hint="eastAsia" w:ascii="宋体" w:hAnsi="宋体" w:eastAsia="宋体" w:cs="宋体"/>
          <w:b/>
          <w:color w:val="auto"/>
          <w:kern w:val="0"/>
          <w:sz w:val="36"/>
          <w:szCs w:val="36"/>
          <w:highlight w:val="none"/>
          <w:lang w:val="en-US" w:eastAsia="zh-CN" w:bidi="ar-SA"/>
        </w:rPr>
        <w:t>五、</w:t>
      </w:r>
      <w:r>
        <w:rPr>
          <w:rFonts w:hint="eastAsia" w:ascii="宋体" w:hAnsi="宋体" w:eastAsia="宋体" w:cs="宋体"/>
          <w:b/>
          <w:color w:val="auto"/>
          <w:kern w:val="0"/>
          <w:sz w:val="36"/>
          <w:szCs w:val="36"/>
          <w:highlight w:val="none"/>
          <w:lang w:val="zh-CN"/>
        </w:rPr>
        <w:t>供应商</w:t>
      </w:r>
      <w:r>
        <w:rPr>
          <w:rFonts w:hint="eastAsia" w:hAnsi="宋体" w:cs="宋体"/>
          <w:b/>
          <w:color w:val="auto"/>
          <w:kern w:val="0"/>
          <w:sz w:val="36"/>
          <w:szCs w:val="36"/>
          <w:highlight w:val="none"/>
          <w:lang w:val="en-US" w:eastAsia="zh-CN"/>
        </w:rPr>
        <w:t>及拟派项目经理资质要求</w:t>
      </w:r>
    </w:p>
    <w:p w14:paraId="7FB515CD">
      <w:pPr>
        <w:pStyle w:val="12"/>
        <w:adjustRightInd w:val="0"/>
        <w:snapToGrid w:val="0"/>
        <w:spacing w:line="360" w:lineRule="auto"/>
        <w:jc w:val="left"/>
        <w:rPr>
          <w:rFonts w:hint="eastAsia" w:ascii="楷体" w:hAnsi="楷体" w:eastAsia="楷体" w:cs="楷体"/>
          <w:bCs/>
          <w:sz w:val="21"/>
          <w:szCs w:val="21"/>
        </w:rPr>
      </w:pPr>
      <w:r>
        <w:rPr>
          <w:rFonts w:hint="eastAsia" w:ascii="楷体" w:hAnsi="楷体" w:eastAsia="楷体" w:cs="楷体"/>
          <w:bCs/>
          <w:sz w:val="21"/>
          <w:szCs w:val="21"/>
        </w:rPr>
        <w:t>说明：</w:t>
      </w:r>
    </w:p>
    <w:p w14:paraId="75179D85">
      <w:pPr>
        <w:pStyle w:val="12"/>
        <w:adjustRightInd w:val="0"/>
        <w:snapToGrid w:val="0"/>
        <w:spacing w:line="360" w:lineRule="auto"/>
        <w:jc w:val="lef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（1）供应商需具备建筑工程施工总承包二级（含二级）及以上资质，具有有效的安全生产许可证</w:t>
      </w:r>
      <w:r>
        <w:rPr>
          <w:rFonts w:hint="eastAsia" w:ascii="仿宋" w:hAnsi="仿宋" w:eastAsia="仿宋" w:cs="仿宋"/>
          <w:b/>
          <w:color w:val="auto"/>
          <w:sz w:val="24"/>
          <w:szCs w:val="24"/>
          <w:lang w:val="en-US" w:eastAsia="zh-CN"/>
        </w:rPr>
        <w:br w:type="textWrapping"/>
      </w:r>
      <w:r>
        <w:rPr>
          <w:rFonts w:hint="eastAsia" w:ascii="仿宋" w:hAnsi="仿宋" w:eastAsia="仿宋" w:cs="仿宋"/>
          <w:b/>
          <w:color w:val="auto"/>
          <w:sz w:val="24"/>
          <w:szCs w:val="24"/>
          <w:lang w:val="en-US" w:eastAsia="zh-CN"/>
        </w:rPr>
        <w:t>（2）拟派项目经理需具备建筑工程专业二级（含二级）及以上注册建造师证书，具有有效的安全生产考核合格证（B 证）书，且未担任其他在建工程项目的项目经理</w:t>
      </w:r>
    </w:p>
    <w:p w14:paraId="1BEC4028">
      <w:pPr>
        <w:pStyle w:val="12"/>
        <w:adjustRightInd w:val="0"/>
        <w:snapToGrid w:val="0"/>
        <w:spacing w:line="360" w:lineRule="auto"/>
        <w:jc w:val="center"/>
        <w:rPr>
          <w:rFonts w:hint="eastAsia"/>
          <w:b/>
          <w:color w:val="auto"/>
          <w:sz w:val="36"/>
          <w:szCs w:val="36"/>
          <w:lang w:val="en-US" w:eastAsia="zh-CN"/>
        </w:rPr>
      </w:pPr>
    </w:p>
    <w:p w14:paraId="2860702D">
      <w:pPr>
        <w:pStyle w:val="12"/>
        <w:adjustRightInd w:val="0"/>
        <w:snapToGrid w:val="0"/>
        <w:spacing w:line="360" w:lineRule="auto"/>
        <w:jc w:val="center"/>
        <w:rPr>
          <w:rFonts w:hint="eastAsia"/>
          <w:b/>
          <w:color w:val="auto"/>
          <w:sz w:val="36"/>
          <w:szCs w:val="36"/>
          <w:lang w:val="en-US" w:eastAsia="zh-CN"/>
        </w:rPr>
      </w:pPr>
    </w:p>
    <w:p w14:paraId="342E3C81">
      <w:pPr>
        <w:pStyle w:val="12"/>
        <w:adjustRightInd w:val="0"/>
        <w:snapToGrid w:val="0"/>
        <w:spacing w:line="360" w:lineRule="auto"/>
        <w:jc w:val="center"/>
        <w:rPr>
          <w:rFonts w:hint="eastAsia"/>
          <w:b/>
          <w:color w:val="auto"/>
          <w:sz w:val="36"/>
          <w:szCs w:val="36"/>
          <w:lang w:val="en-US" w:eastAsia="zh-CN"/>
        </w:rPr>
      </w:pPr>
    </w:p>
    <w:p w14:paraId="770B1BCA">
      <w:pPr>
        <w:pStyle w:val="12"/>
        <w:adjustRightInd w:val="0"/>
        <w:snapToGrid w:val="0"/>
        <w:spacing w:line="360" w:lineRule="auto"/>
        <w:jc w:val="center"/>
        <w:rPr>
          <w:rFonts w:hint="eastAsia"/>
          <w:b/>
          <w:color w:val="auto"/>
          <w:sz w:val="36"/>
          <w:szCs w:val="36"/>
          <w:lang w:val="en-US" w:eastAsia="zh-CN"/>
        </w:rPr>
      </w:pPr>
    </w:p>
    <w:p w14:paraId="07C66923">
      <w:pPr>
        <w:pStyle w:val="12"/>
        <w:adjustRightInd w:val="0"/>
        <w:snapToGrid w:val="0"/>
        <w:spacing w:line="360" w:lineRule="auto"/>
        <w:jc w:val="center"/>
        <w:rPr>
          <w:rFonts w:hint="eastAsia"/>
          <w:b/>
          <w:color w:val="auto"/>
          <w:sz w:val="36"/>
          <w:szCs w:val="36"/>
          <w:lang w:val="en-US" w:eastAsia="zh-CN"/>
        </w:rPr>
      </w:pPr>
    </w:p>
    <w:p w14:paraId="49969069">
      <w:pPr>
        <w:pStyle w:val="12"/>
        <w:adjustRightInd w:val="0"/>
        <w:snapToGrid w:val="0"/>
        <w:spacing w:line="360" w:lineRule="auto"/>
        <w:jc w:val="center"/>
        <w:rPr>
          <w:rFonts w:hint="eastAsia"/>
          <w:b/>
          <w:color w:val="auto"/>
          <w:sz w:val="36"/>
          <w:szCs w:val="36"/>
          <w:lang w:val="en-US" w:eastAsia="zh-CN"/>
        </w:rPr>
      </w:pPr>
    </w:p>
    <w:p w14:paraId="10F29AB1">
      <w:pPr>
        <w:pStyle w:val="12"/>
        <w:adjustRightInd w:val="0"/>
        <w:snapToGrid w:val="0"/>
        <w:spacing w:line="360" w:lineRule="auto"/>
        <w:jc w:val="center"/>
        <w:rPr>
          <w:rFonts w:hint="eastAsia"/>
          <w:b/>
          <w:color w:val="auto"/>
          <w:sz w:val="36"/>
          <w:szCs w:val="36"/>
          <w:lang w:val="en-US" w:eastAsia="zh-CN"/>
        </w:rPr>
      </w:pPr>
    </w:p>
    <w:p w14:paraId="34916BB9">
      <w:pPr>
        <w:pStyle w:val="12"/>
        <w:adjustRightInd w:val="0"/>
        <w:snapToGrid w:val="0"/>
        <w:spacing w:line="360" w:lineRule="auto"/>
        <w:jc w:val="center"/>
        <w:rPr>
          <w:rFonts w:hint="eastAsia"/>
          <w:b/>
          <w:color w:val="auto"/>
          <w:sz w:val="36"/>
          <w:szCs w:val="36"/>
          <w:lang w:val="en-US" w:eastAsia="zh-CN"/>
        </w:rPr>
      </w:pPr>
    </w:p>
    <w:p w14:paraId="13890449">
      <w:pPr>
        <w:pStyle w:val="12"/>
        <w:adjustRightInd w:val="0"/>
        <w:snapToGrid w:val="0"/>
        <w:spacing w:line="360" w:lineRule="auto"/>
        <w:jc w:val="center"/>
        <w:rPr>
          <w:rFonts w:hint="eastAsia"/>
          <w:b/>
          <w:color w:val="auto"/>
          <w:sz w:val="36"/>
          <w:szCs w:val="36"/>
          <w:lang w:val="en-US" w:eastAsia="zh-CN"/>
        </w:rPr>
      </w:pPr>
    </w:p>
    <w:p w14:paraId="03EA4344">
      <w:pPr>
        <w:pStyle w:val="12"/>
        <w:adjustRightInd w:val="0"/>
        <w:snapToGrid w:val="0"/>
        <w:spacing w:line="360" w:lineRule="auto"/>
        <w:jc w:val="center"/>
        <w:rPr>
          <w:rFonts w:hint="eastAsia"/>
          <w:b/>
          <w:color w:val="auto"/>
          <w:sz w:val="36"/>
          <w:szCs w:val="36"/>
          <w:lang w:val="en-US" w:eastAsia="zh-CN"/>
        </w:rPr>
      </w:pPr>
    </w:p>
    <w:p w14:paraId="160FD3A0">
      <w:pPr>
        <w:pStyle w:val="12"/>
        <w:adjustRightInd w:val="0"/>
        <w:snapToGrid w:val="0"/>
        <w:spacing w:line="360" w:lineRule="auto"/>
        <w:jc w:val="center"/>
        <w:rPr>
          <w:rFonts w:hint="eastAsia"/>
          <w:b/>
          <w:color w:val="auto"/>
          <w:sz w:val="36"/>
          <w:szCs w:val="36"/>
          <w:lang w:val="en-US" w:eastAsia="zh-CN"/>
        </w:rPr>
      </w:pPr>
    </w:p>
    <w:p w14:paraId="5C960C9E">
      <w:pPr>
        <w:pStyle w:val="12"/>
        <w:adjustRightInd w:val="0"/>
        <w:snapToGrid w:val="0"/>
        <w:spacing w:line="360" w:lineRule="auto"/>
        <w:jc w:val="center"/>
        <w:rPr>
          <w:rFonts w:hint="eastAsia"/>
          <w:b/>
          <w:color w:val="auto"/>
          <w:sz w:val="36"/>
          <w:szCs w:val="36"/>
          <w:lang w:val="en-US" w:eastAsia="zh-CN"/>
        </w:rPr>
      </w:pPr>
    </w:p>
    <w:p w14:paraId="189683F8">
      <w:pPr>
        <w:pStyle w:val="12"/>
        <w:adjustRightInd w:val="0"/>
        <w:snapToGrid w:val="0"/>
        <w:spacing w:line="360" w:lineRule="auto"/>
        <w:jc w:val="center"/>
        <w:rPr>
          <w:rFonts w:hint="eastAsia"/>
          <w:b/>
          <w:color w:val="auto"/>
          <w:sz w:val="36"/>
          <w:szCs w:val="36"/>
          <w:lang w:val="en-US" w:eastAsia="zh-CN"/>
        </w:rPr>
      </w:pPr>
    </w:p>
    <w:p w14:paraId="46521133">
      <w:pPr>
        <w:rPr>
          <w:rFonts w:hint="eastAsia"/>
          <w:b/>
          <w:color w:val="auto"/>
          <w:sz w:val="36"/>
          <w:szCs w:val="36"/>
          <w:lang w:val="en-US" w:eastAsia="zh-CN"/>
        </w:rPr>
      </w:pPr>
      <w:r>
        <w:rPr>
          <w:rFonts w:hint="eastAsia"/>
          <w:b/>
          <w:color w:val="auto"/>
          <w:sz w:val="36"/>
          <w:szCs w:val="36"/>
          <w:lang w:val="en-US" w:eastAsia="zh-CN"/>
        </w:rPr>
        <w:br w:type="page"/>
      </w:r>
    </w:p>
    <w:p w14:paraId="5E055F1F">
      <w:pPr>
        <w:pStyle w:val="12"/>
        <w:adjustRightInd w:val="0"/>
        <w:snapToGrid w:val="0"/>
        <w:spacing w:line="360" w:lineRule="auto"/>
        <w:jc w:val="center"/>
        <w:rPr>
          <w:rFonts w:hAnsi="宋体"/>
          <w:color w:val="auto"/>
          <w:sz w:val="24"/>
          <w:szCs w:val="24"/>
        </w:rPr>
      </w:pPr>
      <w:r>
        <w:rPr>
          <w:rFonts w:hint="eastAsia"/>
          <w:b/>
          <w:color w:val="auto"/>
          <w:sz w:val="36"/>
          <w:szCs w:val="36"/>
          <w:lang w:val="en-US" w:eastAsia="zh-CN"/>
        </w:rPr>
        <w:t>六</w:t>
      </w:r>
      <w:r>
        <w:rPr>
          <w:rFonts w:hint="eastAsia"/>
          <w:b/>
          <w:color w:val="auto"/>
          <w:sz w:val="36"/>
          <w:szCs w:val="36"/>
        </w:rPr>
        <w:t>、缴纳社会保障资金证明</w:t>
      </w:r>
    </w:p>
    <w:p w14:paraId="45B0AC51">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77E16A33">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（1）供应商提供本单位响应截止时间前六个月内已缴纳的至少一个月的社会保障资金缴存单据或社保机构开具的社会保险参保缴费情况证明，单据或证明上应有社保机构或代收机构的公章。；</w:t>
      </w:r>
    </w:p>
    <w:p w14:paraId="360E2F6A">
      <w:pPr>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（2）依法不需要缴纳社会保障资金的供应商应提供相关文件证明；</w:t>
      </w:r>
    </w:p>
    <w:p w14:paraId="735FF8F3">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25AA4684">
      <w:pPr>
        <w:pStyle w:val="12"/>
        <w:adjustRightInd w:val="0"/>
        <w:snapToGrid w:val="0"/>
        <w:spacing w:line="360" w:lineRule="auto"/>
        <w:ind w:firstLine="482"/>
        <w:rPr>
          <w:rFonts w:hint="eastAsia" w:ascii="仿宋" w:hAnsi="仿宋" w:eastAsia="仿宋" w:cs="仿宋"/>
          <w:color w:val="auto"/>
          <w:sz w:val="24"/>
          <w:szCs w:val="24"/>
        </w:rPr>
      </w:pPr>
      <w:r>
        <w:rPr>
          <w:rFonts w:hint="eastAsia" w:ascii="仿宋" w:hAnsi="仿宋" w:eastAsia="仿宋" w:cs="仿宋"/>
          <w:color w:val="auto"/>
          <w:sz w:val="24"/>
          <w:szCs w:val="24"/>
        </w:rPr>
        <w:t>（4）新成立未发生缴纳社保资金事项的供应商，应提供缴纳社保资金的书面承诺；</w:t>
      </w:r>
    </w:p>
    <w:p w14:paraId="108AE5C2">
      <w:pPr>
        <w:pStyle w:val="12"/>
        <w:adjustRightInd w:val="0"/>
        <w:snapToGrid w:val="0"/>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（5）原件或复印件可直接装订，复印件加盖供应商单位章。</w:t>
      </w:r>
    </w:p>
    <w:p w14:paraId="360B7C85">
      <w:pPr>
        <w:pStyle w:val="12"/>
        <w:adjustRightInd w:val="0"/>
        <w:snapToGrid w:val="0"/>
        <w:spacing w:line="360" w:lineRule="auto"/>
        <w:jc w:val="left"/>
        <w:rPr>
          <w:b/>
          <w:color w:val="auto"/>
          <w:sz w:val="24"/>
          <w:szCs w:val="24"/>
        </w:rPr>
      </w:pPr>
    </w:p>
    <w:p w14:paraId="4D12066B">
      <w:pPr>
        <w:pStyle w:val="8"/>
        <w:spacing w:before="120" w:beforeLines="50"/>
        <w:ind w:firstLine="0"/>
        <w:rPr>
          <w:rFonts w:ascii="宋体" w:hAnsi="宋体"/>
          <w:b/>
          <w:color w:val="auto"/>
          <w:sz w:val="36"/>
          <w:szCs w:val="36"/>
        </w:rPr>
      </w:pPr>
    </w:p>
    <w:p w14:paraId="48FC2AC6">
      <w:pPr>
        <w:pStyle w:val="8"/>
        <w:spacing w:before="120" w:beforeLines="50"/>
        <w:ind w:firstLine="0"/>
        <w:rPr>
          <w:rFonts w:ascii="宋体" w:hAnsi="宋体"/>
          <w:b/>
          <w:color w:val="auto"/>
          <w:sz w:val="36"/>
          <w:szCs w:val="36"/>
        </w:rPr>
      </w:pPr>
    </w:p>
    <w:p w14:paraId="2CA48A1E">
      <w:pPr>
        <w:pStyle w:val="8"/>
        <w:spacing w:before="120" w:beforeLines="50"/>
        <w:ind w:firstLine="0"/>
        <w:rPr>
          <w:rFonts w:ascii="宋体" w:hAnsi="宋体"/>
          <w:b/>
          <w:color w:val="auto"/>
          <w:sz w:val="36"/>
          <w:szCs w:val="36"/>
        </w:rPr>
      </w:pPr>
    </w:p>
    <w:p w14:paraId="3AB2CC01">
      <w:pPr>
        <w:pStyle w:val="8"/>
        <w:spacing w:before="120" w:beforeLines="50"/>
        <w:ind w:firstLine="0"/>
        <w:rPr>
          <w:rFonts w:ascii="宋体" w:hAnsi="宋体"/>
          <w:b/>
          <w:color w:val="auto"/>
          <w:sz w:val="36"/>
          <w:szCs w:val="36"/>
        </w:rPr>
      </w:pPr>
    </w:p>
    <w:p w14:paraId="28A94B05">
      <w:pPr>
        <w:pStyle w:val="8"/>
        <w:spacing w:before="120" w:beforeLines="50"/>
        <w:ind w:firstLine="0"/>
        <w:rPr>
          <w:rFonts w:ascii="宋体" w:hAnsi="宋体"/>
          <w:b/>
          <w:color w:val="auto"/>
          <w:sz w:val="36"/>
          <w:szCs w:val="36"/>
        </w:rPr>
      </w:pPr>
    </w:p>
    <w:p w14:paraId="18386EE1">
      <w:pPr>
        <w:pStyle w:val="8"/>
        <w:spacing w:before="120" w:beforeLines="50"/>
        <w:ind w:firstLine="0"/>
        <w:rPr>
          <w:rFonts w:ascii="宋体" w:hAnsi="宋体"/>
          <w:b/>
          <w:color w:val="auto"/>
          <w:sz w:val="36"/>
          <w:szCs w:val="36"/>
        </w:rPr>
      </w:pPr>
    </w:p>
    <w:p w14:paraId="7F64221E">
      <w:pPr>
        <w:spacing w:line="560" w:lineRule="exact"/>
        <w:jc w:val="center"/>
        <w:outlineLvl w:val="9"/>
        <w:rPr>
          <w:rFonts w:hint="eastAsia" w:ascii="宋体" w:hAnsi="宋体" w:eastAsia="宋体" w:cs="宋体"/>
          <w:b/>
          <w:bCs/>
          <w:color w:val="auto"/>
          <w:sz w:val="32"/>
          <w:szCs w:val="32"/>
          <w:highlight w:val="none"/>
        </w:rPr>
      </w:pPr>
      <w:r>
        <w:rPr>
          <w:rFonts w:ascii="宋体" w:hAnsi="宋体"/>
          <w:b/>
          <w:color w:val="auto"/>
          <w:sz w:val="36"/>
          <w:szCs w:val="36"/>
        </w:rPr>
        <w:br w:type="page"/>
      </w:r>
      <w:r>
        <w:rPr>
          <w:rFonts w:hint="eastAsia" w:ascii="宋体" w:hAnsi="宋体" w:eastAsia="宋体" w:cs="宋体"/>
          <w:b/>
          <w:bCs/>
          <w:color w:val="auto"/>
          <w:sz w:val="32"/>
          <w:szCs w:val="32"/>
          <w:highlight w:val="none"/>
        </w:rPr>
        <w:t>依法缴纳社会保障资金承诺书</w:t>
      </w:r>
    </w:p>
    <w:p w14:paraId="558E4A51">
      <w:pPr>
        <w:pStyle w:val="8"/>
        <w:spacing w:before="600" w:beforeLines="250" w:line="360" w:lineRule="auto"/>
        <w:ind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4935C48C">
      <w:pPr>
        <w:pStyle w:val="8"/>
        <w:spacing w:before="120"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005CD004">
      <w:pPr>
        <w:pStyle w:val="8"/>
        <w:spacing w:line="360" w:lineRule="auto"/>
        <w:ind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我方承诺将依法缴纳社会保障资金，并符合《中华人民共和国政府采购法》及其实施条例和采购文件资格要求的规定。</w:t>
      </w:r>
    </w:p>
    <w:p w14:paraId="683F90F0">
      <w:pPr>
        <w:pStyle w:val="8"/>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27283BFB">
      <w:pPr>
        <w:pStyle w:val="8"/>
        <w:spacing w:line="360" w:lineRule="auto"/>
        <w:ind w:firstLine="573"/>
        <w:jc w:val="left"/>
        <w:rPr>
          <w:rFonts w:hint="eastAsia" w:ascii="仿宋" w:hAnsi="仿宋" w:eastAsia="仿宋" w:cs="仿宋"/>
          <w:color w:val="auto"/>
          <w:sz w:val="24"/>
          <w:szCs w:val="24"/>
          <w:highlight w:val="none"/>
        </w:rPr>
      </w:pPr>
    </w:p>
    <w:p w14:paraId="45857826">
      <w:pPr>
        <w:pStyle w:val="8"/>
        <w:spacing w:line="360" w:lineRule="auto"/>
        <w:ind w:firstLine="573"/>
        <w:jc w:val="left"/>
        <w:rPr>
          <w:rFonts w:hint="eastAsia" w:ascii="仿宋" w:hAnsi="仿宋" w:eastAsia="仿宋" w:cs="仿宋"/>
          <w:color w:val="auto"/>
          <w:sz w:val="24"/>
          <w:szCs w:val="24"/>
          <w:highlight w:val="none"/>
        </w:rPr>
      </w:pPr>
    </w:p>
    <w:p w14:paraId="3C88ADCE">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17034F42">
      <w:pPr>
        <w:pStyle w:val="8"/>
        <w:spacing w:line="360" w:lineRule="auto"/>
        <w:ind w:firstLine="573"/>
        <w:jc w:val="left"/>
        <w:rPr>
          <w:rFonts w:hint="eastAsia" w:ascii="仿宋" w:hAnsi="仿宋" w:eastAsia="仿宋" w:cs="仿宋"/>
          <w:color w:val="auto"/>
          <w:sz w:val="24"/>
          <w:szCs w:val="24"/>
          <w:highlight w:val="none"/>
        </w:rPr>
      </w:pPr>
    </w:p>
    <w:p w14:paraId="28A7E8D3">
      <w:pPr>
        <w:pStyle w:val="8"/>
        <w:spacing w:line="360" w:lineRule="auto"/>
        <w:ind w:firstLine="573"/>
        <w:jc w:val="left"/>
        <w:rPr>
          <w:rFonts w:hint="eastAsia" w:ascii="仿宋" w:hAnsi="仿宋" w:eastAsia="仿宋" w:cs="仿宋"/>
          <w:color w:val="auto"/>
          <w:sz w:val="24"/>
          <w:szCs w:val="24"/>
          <w:highlight w:val="none"/>
        </w:rPr>
      </w:pPr>
    </w:p>
    <w:p w14:paraId="3CB7FBD7">
      <w:pPr>
        <w:pStyle w:val="8"/>
        <w:spacing w:line="360" w:lineRule="auto"/>
        <w:ind w:firstLine="573"/>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0A10F153">
      <w:pPr>
        <w:pStyle w:val="8"/>
        <w:spacing w:line="360" w:lineRule="auto"/>
        <w:ind w:firstLine="573"/>
        <w:jc w:val="left"/>
        <w:rPr>
          <w:rFonts w:hint="eastAsia" w:ascii="仿宋" w:hAnsi="仿宋" w:eastAsia="仿宋" w:cs="仿宋"/>
          <w:color w:val="auto"/>
          <w:sz w:val="24"/>
          <w:szCs w:val="24"/>
          <w:highlight w:val="none"/>
        </w:rPr>
      </w:pPr>
    </w:p>
    <w:p w14:paraId="6CBFB970">
      <w:pPr>
        <w:pStyle w:val="8"/>
        <w:spacing w:line="360" w:lineRule="auto"/>
        <w:ind w:firstLine="573"/>
        <w:jc w:val="left"/>
        <w:rPr>
          <w:rFonts w:hint="eastAsia" w:ascii="仿宋" w:hAnsi="仿宋" w:eastAsia="仿宋" w:cs="仿宋"/>
          <w:color w:val="auto"/>
          <w:sz w:val="24"/>
          <w:szCs w:val="24"/>
          <w:highlight w:val="none"/>
        </w:rPr>
      </w:pPr>
    </w:p>
    <w:p w14:paraId="36953FA5">
      <w:pPr>
        <w:jc w:val="right"/>
        <w:rPr>
          <w:rFonts w:ascii="宋体" w:hAnsi="宋体"/>
          <w:b/>
          <w:color w:val="auto"/>
          <w:sz w:val="36"/>
          <w:szCs w:val="36"/>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宋体" w:hAnsi="宋体" w:eastAsia="宋体" w:cs="宋体"/>
          <w:color w:val="auto"/>
          <w:szCs w:val="21"/>
          <w:highlight w:val="none"/>
        </w:rPr>
        <w:t>日</w:t>
      </w:r>
      <w:r>
        <w:rPr>
          <w:rFonts w:ascii="宋体" w:hAnsi="宋体"/>
          <w:b/>
          <w:color w:val="auto"/>
          <w:sz w:val="36"/>
          <w:szCs w:val="36"/>
        </w:rPr>
        <w:br w:type="page"/>
      </w:r>
    </w:p>
    <w:p w14:paraId="3294DFDB">
      <w:pPr>
        <w:jc w:val="center"/>
        <w:rPr>
          <w:rFonts w:hint="eastAsia" w:ascii="宋体" w:hAnsi="宋体" w:eastAsia="宋体"/>
          <w:b/>
          <w:color w:val="auto"/>
          <w:sz w:val="36"/>
          <w:szCs w:val="36"/>
          <w:lang w:val="en-US" w:eastAsia="zh-CN"/>
        </w:rPr>
      </w:pPr>
      <w:r>
        <w:rPr>
          <w:rFonts w:hint="eastAsia" w:ascii="宋体" w:hAnsi="宋体"/>
          <w:b/>
          <w:color w:val="auto"/>
          <w:sz w:val="36"/>
          <w:szCs w:val="36"/>
          <w:lang w:val="en-US" w:eastAsia="zh-CN"/>
        </w:rPr>
        <w:t>七、税收缴纳证明</w:t>
      </w:r>
    </w:p>
    <w:p w14:paraId="4BF9F58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6EDBEBB">
      <w:pPr>
        <w:spacing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（1）供应商提供本单位响应截止时间前六个月内已缴纳的至少一个月的纳税证明或完税证明（增值税，印花税，企业所得税等一种或多种税种），依法免税的单位应提供相关证明材料；</w:t>
      </w:r>
    </w:p>
    <w:p w14:paraId="3B287190">
      <w:pPr>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（2）依法免税的应提供相关文件证明；</w:t>
      </w:r>
    </w:p>
    <w:p w14:paraId="5E7984A8">
      <w:pPr>
        <w:pStyle w:val="12"/>
        <w:tabs>
          <w:tab w:val="left" w:pos="851"/>
        </w:tabs>
        <w:adjustRightInd w:val="0"/>
        <w:snapToGrid w:val="0"/>
        <w:spacing w:line="360" w:lineRule="auto"/>
        <w:ind w:firstLine="600" w:firstLineChars="250"/>
        <w:rPr>
          <w:rFonts w:hint="eastAsia" w:ascii="仿宋" w:hAnsi="仿宋" w:eastAsia="仿宋" w:cs="仿宋"/>
          <w:color w:val="auto"/>
          <w:sz w:val="24"/>
          <w:szCs w:val="24"/>
        </w:rPr>
      </w:pPr>
      <w:r>
        <w:rPr>
          <w:rFonts w:hint="eastAsia" w:ascii="仿宋" w:hAnsi="仿宋" w:eastAsia="仿宋" w:cs="仿宋"/>
          <w:color w:val="auto"/>
          <w:sz w:val="24"/>
          <w:szCs w:val="24"/>
        </w:rPr>
        <w:t>（3）公益类事业单位无需提供；</w:t>
      </w:r>
    </w:p>
    <w:p w14:paraId="4BBB5D2E">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（4）新成立未发生缴纳税收事项的供应商，应提供纳税书面承诺；</w:t>
      </w:r>
    </w:p>
    <w:p w14:paraId="45D9206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 （5）原件或复印件可直接装订，复印件加盖供应商单位章。</w:t>
      </w:r>
    </w:p>
    <w:p w14:paraId="45BC328C">
      <w:pPr>
        <w:pStyle w:val="12"/>
        <w:adjustRightInd w:val="0"/>
        <w:snapToGrid w:val="0"/>
        <w:spacing w:line="360" w:lineRule="auto"/>
        <w:ind w:firstLine="420" w:firstLineChars="200"/>
        <w:rPr>
          <w:rFonts w:hAnsi="宋体"/>
          <w:color w:val="auto"/>
        </w:rPr>
      </w:pPr>
    </w:p>
    <w:p w14:paraId="29E8BEAC">
      <w:pPr>
        <w:pStyle w:val="12"/>
        <w:adjustRightInd w:val="0"/>
        <w:snapToGrid w:val="0"/>
        <w:spacing w:line="360" w:lineRule="auto"/>
        <w:jc w:val="left"/>
        <w:rPr>
          <w:color w:val="auto"/>
          <w:sz w:val="24"/>
          <w:szCs w:val="24"/>
        </w:rPr>
      </w:pPr>
    </w:p>
    <w:p w14:paraId="260F9D6C">
      <w:pPr>
        <w:pStyle w:val="8"/>
        <w:spacing w:before="120" w:beforeLines="50"/>
        <w:ind w:firstLine="0"/>
        <w:rPr>
          <w:rFonts w:ascii="宋体" w:hAnsi="宋体"/>
          <w:b/>
          <w:color w:val="auto"/>
          <w:sz w:val="36"/>
          <w:szCs w:val="36"/>
        </w:rPr>
      </w:pPr>
    </w:p>
    <w:p w14:paraId="45B846BF">
      <w:pPr>
        <w:pStyle w:val="8"/>
        <w:spacing w:before="120" w:beforeLines="50"/>
        <w:ind w:firstLine="0"/>
        <w:rPr>
          <w:rFonts w:ascii="宋体" w:hAnsi="宋体"/>
          <w:b/>
          <w:color w:val="auto"/>
          <w:sz w:val="36"/>
          <w:szCs w:val="36"/>
        </w:rPr>
      </w:pPr>
    </w:p>
    <w:p w14:paraId="5236397E">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0BE0796D">
      <w:pPr>
        <w:spacing w:line="560" w:lineRule="exact"/>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依法缴纳税收承诺书</w:t>
      </w:r>
    </w:p>
    <w:p w14:paraId="4AFF62CE">
      <w:pPr>
        <w:pStyle w:val="8"/>
        <w:spacing w:before="720" w:beforeLines="300" w:after="120" w:afterLines="50" w:line="360" w:lineRule="auto"/>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陕西优正项目管理有限公司</w:t>
      </w:r>
      <w:r>
        <w:rPr>
          <w:rFonts w:hint="eastAsia" w:ascii="仿宋" w:hAnsi="仿宋" w:eastAsia="仿宋" w:cs="仿宋"/>
          <w:color w:val="auto"/>
          <w:sz w:val="24"/>
          <w:szCs w:val="24"/>
          <w:highlight w:val="none"/>
        </w:rPr>
        <w:t xml:space="preserve">： </w:t>
      </w:r>
    </w:p>
    <w:p w14:paraId="6C8DCA3D">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我方参与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）项目的政府采购活动，现承诺如下：</w:t>
      </w:r>
    </w:p>
    <w:p w14:paraId="4D810410">
      <w:pPr>
        <w:pStyle w:val="8"/>
        <w:spacing w:line="360" w:lineRule="auto"/>
        <w:ind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我方承诺将依法缴纳税收，并符合《中华人民共和国政府采购法》及其实施条例和采购文件资格要求的规定。</w:t>
      </w:r>
    </w:p>
    <w:p w14:paraId="7FB360E4">
      <w:pPr>
        <w:pStyle w:val="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若我方以上承诺不实，自愿承担提供虚假材料谋取成交的法律责任。</w:t>
      </w:r>
    </w:p>
    <w:p w14:paraId="3C61D45B">
      <w:pPr>
        <w:pStyle w:val="8"/>
        <w:spacing w:line="360" w:lineRule="auto"/>
        <w:ind w:firstLine="573"/>
        <w:rPr>
          <w:rFonts w:hint="eastAsia" w:ascii="仿宋" w:hAnsi="仿宋" w:eastAsia="仿宋" w:cs="仿宋"/>
          <w:color w:val="auto"/>
          <w:sz w:val="24"/>
          <w:szCs w:val="24"/>
          <w:highlight w:val="none"/>
        </w:rPr>
      </w:pPr>
    </w:p>
    <w:p w14:paraId="772BDB77">
      <w:pPr>
        <w:pStyle w:val="8"/>
        <w:spacing w:line="360" w:lineRule="auto"/>
        <w:ind w:firstLine="573"/>
        <w:rPr>
          <w:rFonts w:hint="eastAsia" w:ascii="仿宋" w:hAnsi="仿宋" w:eastAsia="仿宋" w:cs="仿宋"/>
          <w:color w:val="auto"/>
          <w:sz w:val="24"/>
          <w:szCs w:val="24"/>
          <w:highlight w:val="none"/>
        </w:rPr>
      </w:pPr>
    </w:p>
    <w:p w14:paraId="13A41DDB">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（供应商名称、盖单位章）</w:t>
      </w:r>
    </w:p>
    <w:p w14:paraId="4A2AF547">
      <w:pPr>
        <w:pStyle w:val="8"/>
        <w:spacing w:line="360" w:lineRule="auto"/>
        <w:ind w:firstLine="573"/>
        <w:rPr>
          <w:rFonts w:hint="eastAsia" w:ascii="仿宋" w:hAnsi="仿宋" w:eastAsia="仿宋" w:cs="仿宋"/>
          <w:color w:val="auto"/>
          <w:sz w:val="24"/>
          <w:szCs w:val="24"/>
          <w:highlight w:val="none"/>
        </w:rPr>
      </w:pPr>
    </w:p>
    <w:p w14:paraId="6CEFA75A">
      <w:pPr>
        <w:pStyle w:val="8"/>
        <w:spacing w:line="360" w:lineRule="auto"/>
        <w:ind w:firstLine="573"/>
        <w:rPr>
          <w:rFonts w:hint="eastAsia" w:ascii="仿宋" w:hAnsi="仿宋" w:eastAsia="仿宋" w:cs="仿宋"/>
          <w:color w:val="auto"/>
          <w:sz w:val="24"/>
          <w:szCs w:val="24"/>
          <w:highlight w:val="none"/>
        </w:rPr>
      </w:pPr>
    </w:p>
    <w:p w14:paraId="14626B38">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w:t>
      </w:r>
      <w:r>
        <w:rPr>
          <w:rFonts w:hint="eastAsia" w:ascii="仿宋" w:hAnsi="仿宋" w:eastAsia="仿宋" w:cs="仿宋"/>
          <w:color w:val="auto"/>
          <w:sz w:val="24"/>
          <w:szCs w:val="24"/>
          <w:highlight w:val="none"/>
          <w:lang w:val="en-US" w:eastAsia="zh-CN"/>
        </w:rPr>
        <w:t>字</w:t>
      </w:r>
      <w:r>
        <w:rPr>
          <w:rFonts w:hint="eastAsia" w:ascii="仿宋" w:hAnsi="仿宋" w:eastAsia="仿宋" w:cs="仿宋"/>
          <w:color w:val="auto"/>
          <w:sz w:val="24"/>
          <w:szCs w:val="24"/>
          <w:highlight w:val="none"/>
        </w:rPr>
        <w:t>）</w:t>
      </w:r>
    </w:p>
    <w:p w14:paraId="4F078DED">
      <w:pPr>
        <w:pStyle w:val="8"/>
        <w:spacing w:line="360" w:lineRule="auto"/>
        <w:ind w:firstLine="573"/>
        <w:rPr>
          <w:rFonts w:hint="eastAsia" w:ascii="仿宋" w:hAnsi="仿宋" w:eastAsia="仿宋" w:cs="仿宋"/>
          <w:color w:val="auto"/>
          <w:sz w:val="24"/>
          <w:szCs w:val="24"/>
          <w:highlight w:val="none"/>
        </w:rPr>
      </w:pPr>
    </w:p>
    <w:p w14:paraId="25D07661">
      <w:pPr>
        <w:pStyle w:val="8"/>
        <w:spacing w:line="360" w:lineRule="auto"/>
        <w:ind w:firstLine="573"/>
        <w:rPr>
          <w:rFonts w:hint="eastAsia" w:ascii="仿宋" w:hAnsi="仿宋" w:eastAsia="仿宋" w:cs="仿宋"/>
          <w:color w:val="auto"/>
          <w:sz w:val="24"/>
          <w:szCs w:val="24"/>
          <w:highlight w:val="none"/>
        </w:rPr>
      </w:pPr>
    </w:p>
    <w:p w14:paraId="308AD803">
      <w:pPr>
        <w:pStyle w:val="8"/>
        <w:spacing w:line="36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D93718D">
      <w:pPr>
        <w:pStyle w:val="12"/>
        <w:adjustRightInd w:val="0"/>
        <w:snapToGrid w:val="0"/>
        <w:spacing w:line="360" w:lineRule="auto"/>
        <w:jc w:val="center"/>
        <w:rPr>
          <w:rFonts w:hint="eastAsia"/>
          <w:b/>
          <w:color w:val="auto"/>
          <w:sz w:val="36"/>
          <w:szCs w:val="36"/>
          <w:lang w:val="en-US" w:eastAsia="zh-CN"/>
        </w:rPr>
      </w:pPr>
    </w:p>
    <w:p w14:paraId="0A3C43FC">
      <w:pPr>
        <w:pStyle w:val="12"/>
        <w:adjustRightInd w:val="0"/>
        <w:snapToGrid w:val="0"/>
        <w:spacing w:line="360" w:lineRule="auto"/>
        <w:jc w:val="center"/>
        <w:rPr>
          <w:rFonts w:hint="eastAsia"/>
          <w:b/>
          <w:color w:val="auto"/>
          <w:sz w:val="36"/>
          <w:szCs w:val="36"/>
          <w:lang w:val="en-US" w:eastAsia="zh-CN"/>
        </w:rPr>
      </w:pPr>
    </w:p>
    <w:p w14:paraId="31AE3661">
      <w:pPr>
        <w:pStyle w:val="12"/>
        <w:adjustRightInd w:val="0"/>
        <w:snapToGrid w:val="0"/>
        <w:spacing w:line="360" w:lineRule="auto"/>
        <w:jc w:val="center"/>
        <w:rPr>
          <w:rFonts w:hint="eastAsia"/>
          <w:b/>
          <w:color w:val="auto"/>
          <w:sz w:val="36"/>
          <w:szCs w:val="36"/>
          <w:lang w:val="en-US" w:eastAsia="zh-CN"/>
        </w:rPr>
      </w:pPr>
    </w:p>
    <w:p w14:paraId="49F1062E">
      <w:pPr>
        <w:pStyle w:val="12"/>
        <w:adjustRightInd w:val="0"/>
        <w:snapToGrid w:val="0"/>
        <w:spacing w:line="360" w:lineRule="auto"/>
        <w:jc w:val="center"/>
        <w:rPr>
          <w:rFonts w:hint="eastAsia"/>
          <w:b/>
          <w:color w:val="auto"/>
          <w:sz w:val="36"/>
          <w:szCs w:val="36"/>
          <w:lang w:val="en-US" w:eastAsia="zh-CN"/>
        </w:rPr>
      </w:pPr>
    </w:p>
    <w:p w14:paraId="1A414A24">
      <w:pPr>
        <w:pStyle w:val="12"/>
        <w:adjustRightInd w:val="0"/>
        <w:snapToGrid w:val="0"/>
        <w:spacing w:line="360" w:lineRule="auto"/>
        <w:jc w:val="center"/>
        <w:rPr>
          <w:rFonts w:hint="eastAsia"/>
          <w:b/>
          <w:color w:val="auto"/>
          <w:sz w:val="36"/>
          <w:szCs w:val="36"/>
          <w:lang w:val="en-US" w:eastAsia="zh-CN"/>
        </w:rPr>
      </w:pPr>
    </w:p>
    <w:p w14:paraId="34F3EA9D">
      <w:pPr>
        <w:pStyle w:val="12"/>
        <w:adjustRightInd w:val="0"/>
        <w:snapToGrid w:val="0"/>
        <w:spacing w:line="360" w:lineRule="auto"/>
        <w:jc w:val="center"/>
        <w:rPr>
          <w:rFonts w:hint="eastAsia"/>
          <w:b/>
          <w:color w:val="auto"/>
          <w:sz w:val="36"/>
          <w:szCs w:val="36"/>
          <w:lang w:val="en-US" w:eastAsia="zh-CN"/>
        </w:rPr>
      </w:pPr>
    </w:p>
    <w:p w14:paraId="5A77E824">
      <w:pPr>
        <w:pStyle w:val="12"/>
        <w:adjustRightInd w:val="0"/>
        <w:snapToGrid w:val="0"/>
        <w:spacing w:line="360" w:lineRule="auto"/>
        <w:jc w:val="both"/>
        <w:rPr>
          <w:rFonts w:hint="eastAsia"/>
          <w:b/>
          <w:color w:val="auto"/>
          <w:sz w:val="36"/>
          <w:szCs w:val="36"/>
          <w:lang w:val="en-US" w:eastAsia="zh-CN"/>
        </w:rPr>
      </w:pPr>
    </w:p>
    <w:p w14:paraId="6E29C1AF">
      <w:pPr>
        <w:jc w:val="center"/>
        <w:rPr>
          <w:b/>
          <w:color w:val="auto"/>
          <w:sz w:val="36"/>
          <w:szCs w:val="36"/>
        </w:rPr>
      </w:pPr>
      <w:r>
        <w:rPr>
          <w:rFonts w:hint="eastAsia" w:ascii="宋体" w:hAnsi="宋体"/>
          <w:b/>
          <w:color w:val="auto"/>
          <w:sz w:val="36"/>
          <w:szCs w:val="36"/>
          <w:lang w:val="en-US" w:eastAsia="zh-CN"/>
        </w:rPr>
        <w:t>八</w:t>
      </w:r>
      <w:r>
        <w:rPr>
          <w:rFonts w:hint="eastAsia"/>
          <w:b/>
          <w:color w:val="auto"/>
          <w:sz w:val="36"/>
          <w:szCs w:val="36"/>
        </w:rPr>
        <w:t>、财务状况报告</w:t>
      </w:r>
    </w:p>
    <w:p w14:paraId="73F21655">
      <w:pPr>
        <w:pStyle w:val="12"/>
        <w:adjustRightInd w:val="0"/>
        <w:snapToGrid w:val="0"/>
        <w:spacing w:line="360" w:lineRule="auto"/>
        <w:jc w:val="left"/>
        <w:rPr>
          <w:b/>
          <w:color w:val="auto"/>
          <w:sz w:val="24"/>
          <w:szCs w:val="24"/>
        </w:rPr>
      </w:pPr>
    </w:p>
    <w:p w14:paraId="48F08314">
      <w:pPr>
        <w:pStyle w:val="12"/>
        <w:adjustRightInd w:val="0"/>
        <w:snapToGrid w:val="0"/>
        <w:spacing w:line="360" w:lineRule="auto"/>
        <w:jc w:val="left"/>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说明：</w:t>
      </w:r>
    </w:p>
    <w:p w14:paraId="63DDFEE9">
      <w:pPr>
        <w:pStyle w:val="12"/>
        <w:adjustRightInd w:val="0"/>
        <w:snapToGrid w:val="0"/>
        <w:spacing w:line="360" w:lineRule="auto"/>
        <w:ind w:firstLine="480" w:firstLineChars="200"/>
        <w:jc w:val="left"/>
        <w:rPr>
          <w:rFonts w:hint="eastAsia" w:ascii="仿宋" w:hAnsi="仿宋" w:eastAsia="仿宋" w:cs="仿宋"/>
          <w:bCs/>
          <w:color w:val="auto"/>
          <w:sz w:val="24"/>
          <w:szCs w:val="24"/>
        </w:rPr>
      </w:pPr>
      <w:r>
        <w:rPr>
          <w:rFonts w:hint="eastAsia" w:ascii="仿宋" w:hAnsi="仿宋" w:eastAsia="仿宋" w:cs="仿宋"/>
          <w:color w:val="auto"/>
          <w:sz w:val="24"/>
          <w:szCs w:val="24"/>
        </w:rPr>
        <w:t>（1）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ascii="仿宋" w:hAnsi="仿宋" w:eastAsia="仿宋" w:cs="仿宋"/>
          <w:bCs/>
          <w:color w:val="auto"/>
          <w:sz w:val="24"/>
          <w:szCs w:val="24"/>
        </w:rPr>
        <w:t>。</w:t>
      </w:r>
    </w:p>
    <w:p w14:paraId="197BDD34">
      <w:pPr>
        <w:pStyle w:val="12"/>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（2）公益类事业单位、自然人无需提供。</w:t>
      </w:r>
    </w:p>
    <w:p w14:paraId="7FA9557E">
      <w:pPr>
        <w:pStyle w:val="8"/>
        <w:spacing w:before="120" w:beforeLines="50"/>
        <w:ind w:firstLine="480" w:firstLineChars="200"/>
        <w:rPr>
          <w:rFonts w:hint="eastAsia" w:ascii="仿宋" w:hAnsi="仿宋" w:eastAsia="仿宋" w:cs="仿宋"/>
          <w:b/>
          <w:color w:val="auto"/>
          <w:sz w:val="24"/>
          <w:szCs w:val="24"/>
        </w:rPr>
      </w:pPr>
      <w:r>
        <w:rPr>
          <w:rFonts w:hint="eastAsia" w:ascii="仿宋" w:hAnsi="仿宋" w:eastAsia="仿宋" w:cs="仿宋"/>
          <w:color w:val="auto"/>
          <w:sz w:val="24"/>
          <w:szCs w:val="24"/>
        </w:rPr>
        <w:t>（3）复印件加盖供应商单位章。</w:t>
      </w:r>
    </w:p>
    <w:p w14:paraId="41E66F3A">
      <w:pPr>
        <w:pStyle w:val="8"/>
        <w:spacing w:before="120" w:beforeLines="50"/>
        <w:ind w:firstLine="0"/>
        <w:rPr>
          <w:rFonts w:ascii="宋体" w:hAnsi="宋体"/>
          <w:b/>
          <w:color w:val="auto"/>
          <w:sz w:val="36"/>
          <w:szCs w:val="36"/>
        </w:rPr>
      </w:pPr>
      <w:r>
        <w:rPr>
          <w:rFonts w:ascii="宋体" w:hAnsi="宋体"/>
          <w:b/>
          <w:color w:val="auto"/>
          <w:sz w:val="36"/>
          <w:szCs w:val="36"/>
        </w:rPr>
        <w:br w:type="page"/>
      </w:r>
    </w:p>
    <w:p w14:paraId="4F4C1622">
      <w:pPr>
        <w:jc w:val="center"/>
        <w:outlineLvl w:val="9"/>
        <w:rPr>
          <w:rFonts w:hint="eastAsia" w:ascii="宋体" w:hAnsi="宋体" w:eastAsia="宋体" w:cs="宋体"/>
          <w:b/>
          <w:bCs/>
          <w:color w:val="auto"/>
          <w:sz w:val="24"/>
          <w:szCs w:val="24"/>
          <w:highlight w:val="none"/>
          <w:lang w:val="en-US" w:eastAsia="zh-CN"/>
        </w:rPr>
      </w:pPr>
      <w:r>
        <w:rPr>
          <w:rFonts w:hint="eastAsia" w:ascii="宋体" w:hAnsi="宋体" w:cs="宋体"/>
          <w:b/>
          <w:color w:val="auto"/>
          <w:kern w:val="0"/>
          <w:sz w:val="36"/>
          <w:szCs w:val="36"/>
          <w:lang w:val="en-US" w:eastAsia="zh-CN"/>
        </w:rPr>
        <w:t>九</w:t>
      </w:r>
      <w:r>
        <w:rPr>
          <w:rFonts w:hint="eastAsia" w:ascii="宋体" w:hAnsi="宋体" w:cs="宋体"/>
          <w:b/>
          <w:color w:val="auto"/>
          <w:kern w:val="0"/>
          <w:sz w:val="36"/>
          <w:szCs w:val="36"/>
        </w:rPr>
        <w:t>、</w:t>
      </w:r>
      <w:r>
        <w:rPr>
          <w:rFonts w:hint="eastAsia" w:ascii="Times New Roman" w:hAnsi="Times New Roman" w:eastAsia="宋体" w:cs="Times New Roman"/>
          <w:b/>
          <w:color w:val="auto"/>
          <w:sz w:val="36"/>
          <w:szCs w:val="36"/>
          <w:lang w:val="en-US" w:eastAsia="zh-CN"/>
        </w:rPr>
        <w:t>无重大违法记录声明</w:t>
      </w:r>
    </w:p>
    <w:p w14:paraId="796E5355">
      <w:pPr>
        <w:autoSpaceDE w:val="0"/>
        <w:autoSpaceDN w:val="0"/>
        <w:adjustRightInd w:val="0"/>
        <w:spacing w:line="348" w:lineRule="auto"/>
        <w:jc w:val="center"/>
        <w:rPr>
          <w:rFonts w:hint="eastAsia" w:ascii="宋体" w:hAnsi="宋体" w:eastAsia="宋体" w:cs="宋体"/>
          <w:b/>
          <w:bCs/>
          <w:color w:val="auto"/>
          <w:kern w:val="2"/>
          <w:sz w:val="32"/>
          <w:szCs w:val="32"/>
          <w:highlight w:val="none"/>
          <w:lang w:val="en-US" w:eastAsia="zh-CN" w:bidi="ar-SA"/>
        </w:rPr>
      </w:pPr>
    </w:p>
    <w:p w14:paraId="66605B1A">
      <w:pPr>
        <w:pStyle w:val="2"/>
        <w:keepLines w:val="0"/>
        <w:pageBreakBefore w:val="0"/>
        <w:widowControl w:val="0"/>
        <w:kinsoku/>
        <w:wordWrap/>
        <w:overflowPunct/>
        <w:topLinePunct w:val="0"/>
        <w:bidi w:val="0"/>
        <w:jc w:val="center"/>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无重大违法记录声明</w:t>
      </w:r>
    </w:p>
    <w:p w14:paraId="0710E1DA">
      <w:pPr>
        <w:spacing w:before="3" w:line="240" w:lineRule="auto"/>
        <w:rPr>
          <w:rFonts w:hint="eastAsia" w:ascii="仿宋" w:hAnsi="仿宋" w:eastAsia="仿宋" w:cs="仿宋"/>
          <w:b/>
          <w:bCs/>
          <w:color w:val="auto"/>
          <w:sz w:val="24"/>
          <w:szCs w:val="24"/>
          <w:highlight w:val="none"/>
        </w:rPr>
      </w:pPr>
    </w:p>
    <w:p w14:paraId="13E11972">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7422A29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仿宋" w:hAnsi="仿宋" w:eastAsia="仿宋" w:cs="仿宋"/>
          <w:color w:val="auto"/>
          <w:sz w:val="24"/>
          <w:szCs w:val="24"/>
          <w:highlight w:val="none"/>
        </w:rPr>
      </w:pPr>
    </w:p>
    <w:p w14:paraId="37A44C49">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我公司作为</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，在此郑重声明： </w:t>
      </w:r>
    </w:p>
    <w:p w14:paraId="18DFEADE">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1、在参加本次政府采购活动前</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z w:val="24"/>
          <w:szCs w:val="24"/>
          <w:highlight w:val="none"/>
        </w:rPr>
        <w:t>3</w:t>
      </w:r>
      <w:r>
        <w:rPr>
          <w:rFonts w:hint="eastAsia" w:ascii="仿宋" w:hAnsi="仿宋" w:eastAsia="仿宋" w:cs="仿宋"/>
          <w:color w:val="auto"/>
          <w:spacing w:val="-71"/>
          <w:sz w:val="24"/>
          <w:szCs w:val="24"/>
          <w:highlight w:val="none"/>
        </w:rPr>
        <w:t xml:space="preserve"> </w:t>
      </w:r>
      <w:r>
        <w:rPr>
          <w:rFonts w:hint="eastAsia" w:ascii="仿宋" w:hAnsi="仿宋" w:eastAsia="仿宋" w:cs="仿宋"/>
          <w:color w:val="auto"/>
          <w:spacing w:val="-4"/>
          <w:sz w:val="24"/>
          <w:szCs w:val="24"/>
          <w:highlight w:val="none"/>
        </w:rPr>
        <w:t>年内，在经营活动中</w:t>
      </w:r>
      <w:r>
        <w:rPr>
          <w:rFonts w:hint="eastAsia" w:ascii="仿宋" w:hAnsi="仿宋" w:eastAsia="仿宋" w:cs="仿宋"/>
          <w:color w:val="auto"/>
          <w:spacing w:val="-4"/>
          <w:sz w:val="24"/>
          <w:szCs w:val="24"/>
          <w:highlight w:val="none"/>
          <w:u w:val="single" w:color="000000"/>
        </w:rPr>
        <w:tab/>
      </w:r>
      <w:r>
        <w:rPr>
          <w:rFonts w:hint="eastAsia" w:ascii="仿宋" w:hAnsi="仿宋" w:eastAsia="仿宋" w:cs="仿宋"/>
          <w:color w:val="auto"/>
          <w:spacing w:val="-21"/>
          <w:sz w:val="24"/>
          <w:szCs w:val="24"/>
          <w:highlight w:val="none"/>
        </w:rPr>
        <w:t>（填“没有”或“有”）</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重大违法记录。</w:t>
      </w:r>
    </w:p>
    <w:p w14:paraId="6939EF1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（填“未被列入”或“被列入”）失信被执行人名单。</w:t>
      </w:r>
    </w:p>
    <w:p w14:paraId="3DB0797E">
      <w:pPr>
        <w:pStyle w:val="2"/>
        <w:keepNext w:val="0"/>
        <w:keepLines w:val="0"/>
        <w:pageBreakBefore w:val="0"/>
        <w:widowControl w:val="0"/>
        <w:tabs>
          <w:tab w:val="left" w:pos="2803"/>
        </w:tabs>
        <w:kinsoku/>
        <w:wordWrap/>
        <w:overflowPunct/>
        <w:topLinePunct w:val="0"/>
        <w:autoSpaceDE/>
        <w:autoSpaceDN/>
        <w:bidi w:val="0"/>
        <w:adjustRightInd/>
        <w:snapToGrid/>
        <w:spacing w:after="0" w:line="360" w:lineRule="auto"/>
        <w:ind w:left="0" w:right="0" w:firstLine="47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3、我公司</w:t>
      </w:r>
      <w:r>
        <w:rPr>
          <w:rFonts w:hint="eastAsia" w:ascii="仿宋" w:hAnsi="仿宋" w:eastAsia="仿宋" w:cs="仿宋"/>
          <w:color w:val="auto"/>
          <w:spacing w:val="-2"/>
          <w:sz w:val="24"/>
          <w:szCs w:val="24"/>
          <w:highlight w:val="none"/>
          <w:u w:val="single" w:color="000000"/>
        </w:rPr>
        <w:tab/>
      </w:r>
      <w:r>
        <w:rPr>
          <w:rFonts w:hint="eastAsia" w:ascii="仿宋" w:hAnsi="仿宋" w:eastAsia="仿宋" w:cs="仿宋"/>
          <w:color w:val="auto"/>
          <w:spacing w:val="-2"/>
          <w:sz w:val="24"/>
          <w:szCs w:val="24"/>
          <w:highlight w:val="none"/>
        </w:rPr>
        <w:t>（填“未被列入”或“被列入”）重大税收违法案件当事人名单。</w:t>
      </w:r>
    </w:p>
    <w:p w14:paraId="063C9EA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w:t>
      </w:r>
      <w:r>
        <w:rPr>
          <w:rFonts w:hint="eastAsia" w:ascii="仿宋" w:hAnsi="仿宋" w:eastAsia="仿宋" w:cs="仿宋"/>
          <w:color w:val="auto"/>
          <w:sz w:val="24"/>
          <w:szCs w:val="24"/>
          <w:highlight w:val="none"/>
          <w:u w:val="single" w:color="000000"/>
        </w:rPr>
        <w:tab/>
      </w:r>
      <w:r>
        <w:rPr>
          <w:rFonts w:hint="eastAsia" w:ascii="仿宋" w:hAnsi="仿宋" w:eastAsia="仿宋" w:cs="仿宋"/>
          <w:color w:val="auto"/>
          <w:sz w:val="24"/>
          <w:szCs w:val="24"/>
          <w:highlight w:val="none"/>
        </w:rPr>
        <w:t>（填“未被列入”或“被列入”）政府采购严重违法失信行为记录名单。</w:t>
      </w:r>
    </w:p>
    <w:p w14:paraId="5A6F7728">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如有不实，我公司将无条件退出本项目的采购招标活动，并遵照《中华人民共和国政府采购法》有关“提供虚假材料的规定”接受处罚。</w:t>
      </w:r>
    </w:p>
    <w:p w14:paraId="19C738D1">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p>
    <w:p w14:paraId="56ED23A2">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FD67C71">
      <w:pPr>
        <w:rPr>
          <w:rFonts w:hint="eastAsia" w:ascii="仿宋" w:hAnsi="仿宋" w:eastAsia="仿宋" w:cs="仿宋"/>
          <w:color w:val="auto"/>
          <w:sz w:val="24"/>
          <w:szCs w:val="24"/>
          <w:highlight w:val="none"/>
        </w:rPr>
      </w:pPr>
    </w:p>
    <w:p w14:paraId="1D661348">
      <w:pPr>
        <w:spacing w:line="360" w:lineRule="auto"/>
        <w:jc w:val="both"/>
        <w:rPr>
          <w:rFonts w:hint="eastAsia" w:ascii="仿宋" w:hAnsi="仿宋" w:eastAsia="仿宋" w:cs="仿宋"/>
          <w:color w:val="auto"/>
          <w:sz w:val="24"/>
          <w:szCs w:val="24"/>
          <w:highlight w:val="none"/>
          <w:lang w:eastAsia="zh-CN"/>
        </w:rPr>
      </w:pPr>
    </w:p>
    <w:p w14:paraId="4567B149">
      <w:pPr>
        <w:outlineLvl w:val="9"/>
        <w:rPr>
          <w:rFonts w:hint="eastAsia" w:ascii="仿宋" w:hAnsi="仿宋" w:eastAsia="仿宋" w:cs="仿宋"/>
          <w:sz w:val="24"/>
          <w:szCs w:val="24"/>
          <w:lang w:eastAsia="zh-CN"/>
        </w:rPr>
      </w:pPr>
    </w:p>
    <w:p w14:paraId="0E2EDAAA">
      <w:pPr>
        <w:spacing w:line="360" w:lineRule="auto"/>
        <w:ind w:firstLine="2640" w:firstLineChars="11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5864812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5747BF8F">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CB74ECD">
      <w:pPr>
        <w:spacing w:line="360" w:lineRule="auto"/>
        <w:ind w:firstLine="482"/>
        <w:rPr>
          <w:rFonts w:hint="eastAsia" w:ascii="仿宋" w:hAnsi="仿宋" w:eastAsia="仿宋" w:cs="仿宋"/>
          <w:color w:val="auto"/>
          <w:sz w:val="24"/>
          <w:szCs w:val="24"/>
        </w:rPr>
      </w:pPr>
    </w:p>
    <w:p w14:paraId="269230EA">
      <w:pPr>
        <w:spacing w:line="360" w:lineRule="auto"/>
        <w:ind w:firstLine="482"/>
        <w:rPr>
          <w:rFonts w:ascii="楷体" w:hAnsi="楷体" w:eastAsia="楷体"/>
          <w:color w:val="auto"/>
          <w:szCs w:val="21"/>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需要提供其他证明材料，可另纸说明</w:t>
      </w:r>
      <w:r>
        <w:rPr>
          <w:rFonts w:hint="eastAsia" w:ascii="楷体" w:hAnsi="楷体" w:eastAsia="楷体"/>
          <w:color w:val="auto"/>
          <w:szCs w:val="21"/>
        </w:rPr>
        <w:t>）</w:t>
      </w:r>
    </w:p>
    <w:p w14:paraId="5827625B">
      <w:pPr>
        <w:rPr>
          <w:rFonts w:hint="eastAsia" w:ascii="宋体" w:hAnsi="宋体" w:cs="宋体"/>
          <w:b/>
          <w:color w:val="auto"/>
          <w:kern w:val="0"/>
          <w:sz w:val="36"/>
          <w:szCs w:val="36"/>
        </w:rPr>
      </w:pPr>
    </w:p>
    <w:p w14:paraId="1314E4A9">
      <w:pPr>
        <w:pStyle w:val="8"/>
        <w:ind w:firstLine="0"/>
        <w:jc w:val="center"/>
        <w:rPr>
          <w:rFonts w:hint="eastAsia" w:ascii="宋体" w:hAnsi="宋体" w:cs="宋体"/>
          <w:b/>
          <w:color w:val="auto"/>
          <w:kern w:val="0"/>
          <w:sz w:val="36"/>
          <w:szCs w:val="36"/>
        </w:rPr>
      </w:pPr>
    </w:p>
    <w:p w14:paraId="6D0CBD90">
      <w:pPr>
        <w:pStyle w:val="8"/>
        <w:ind w:firstLine="0"/>
        <w:jc w:val="center"/>
        <w:rPr>
          <w:rFonts w:hint="eastAsia" w:ascii="宋体" w:hAnsi="宋体" w:cs="宋体"/>
          <w:b/>
          <w:color w:val="auto"/>
          <w:kern w:val="0"/>
          <w:sz w:val="36"/>
          <w:szCs w:val="36"/>
        </w:rPr>
      </w:pPr>
    </w:p>
    <w:p w14:paraId="72272A30">
      <w:pPr>
        <w:pStyle w:val="8"/>
        <w:ind w:firstLine="0"/>
        <w:jc w:val="center"/>
        <w:rPr>
          <w:rFonts w:hint="eastAsia" w:ascii="宋体" w:hAnsi="宋体" w:cs="宋体"/>
          <w:b/>
          <w:color w:val="auto"/>
          <w:kern w:val="0"/>
          <w:sz w:val="36"/>
          <w:szCs w:val="36"/>
        </w:rPr>
      </w:pPr>
    </w:p>
    <w:p w14:paraId="2CFD8588">
      <w:pPr>
        <w:rPr>
          <w:rFonts w:hint="eastAsia" w:ascii="宋体" w:hAnsi="宋体" w:cs="宋体"/>
          <w:b/>
          <w:color w:val="auto"/>
          <w:kern w:val="0"/>
          <w:sz w:val="36"/>
          <w:szCs w:val="36"/>
          <w:lang w:val="en-US" w:eastAsia="zh-CN"/>
        </w:rPr>
      </w:pPr>
      <w:r>
        <w:rPr>
          <w:rFonts w:hint="eastAsia" w:ascii="宋体" w:hAnsi="宋体" w:cs="宋体"/>
          <w:b/>
          <w:color w:val="auto"/>
          <w:kern w:val="0"/>
          <w:sz w:val="36"/>
          <w:szCs w:val="36"/>
          <w:lang w:val="en-US" w:eastAsia="zh-CN"/>
        </w:rPr>
        <w:br w:type="page"/>
      </w:r>
    </w:p>
    <w:p w14:paraId="6AF6950C">
      <w:pPr>
        <w:pStyle w:val="8"/>
        <w:ind w:firstLine="0"/>
        <w:jc w:val="center"/>
        <w:rPr>
          <w:rFonts w:ascii="宋体" w:hAnsi="宋体" w:cs="宋体"/>
          <w:b/>
          <w:color w:val="auto"/>
          <w:kern w:val="0"/>
          <w:sz w:val="36"/>
          <w:szCs w:val="36"/>
        </w:rPr>
      </w:pPr>
      <w:bookmarkStart w:id="254" w:name="_Toc18074977"/>
      <w:r>
        <w:rPr>
          <w:rFonts w:hint="eastAsia" w:ascii="宋体" w:hAnsi="宋体"/>
          <w:b/>
          <w:color w:val="auto"/>
          <w:sz w:val="36"/>
          <w:szCs w:val="36"/>
          <w:lang w:val="en-US" w:eastAsia="zh-CN"/>
        </w:rPr>
        <w:t>十</w:t>
      </w:r>
      <w:r>
        <w:rPr>
          <w:rFonts w:hint="eastAsia" w:ascii="宋体" w:hAnsi="宋体"/>
          <w:b/>
          <w:color w:val="auto"/>
          <w:sz w:val="36"/>
          <w:szCs w:val="36"/>
        </w:rPr>
        <w:t>、</w:t>
      </w:r>
      <w:r>
        <w:rPr>
          <w:rFonts w:hint="eastAsia" w:ascii="宋体" w:hAnsi="宋体" w:cs="宋体"/>
          <w:b/>
          <w:color w:val="auto"/>
          <w:kern w:val="0"/>
          <w:sz w:val="36"/>
          <w:szCs w:val="36"/>
          <w:lang w:val="zh-CN"/>
        </w:rPr>
        <w:t>具备履行合同所必需的设备及专业技术</w:t>
      </w:r>
      <w:r>
        <w:rPr>
          <w:rFonts w:hint="eastAsia" w:ascii="宋体" w:hAnsi="宋体" w:cs="宋体"/>
          <w:b/>
          <w:color w:val="auto"/>
          <w:kern w:val="0"/>
          <w:sz w:val="36"/>
          <w:szCs w:val="36"/>
        </w:rPr>
        <w:t>能力</w:t>
      </w:r>
    </w:p>
    <w:p w14:paraId="53D8143B">
      <w:pPr>
        <w:pStyle w:val="8"/>
        <w:spacing w:after="240" w:afterLines="100"/>
        <w:ind w:firstLine="0"/>
        <w:jc w:val="center"/>
        <w:rPr>
          <w:rFonts w:ascii="宋体" w:hAnsi="宋体" w:cs="宋体"/>
          <w:b/>
          <w:color w:val="auto"/>
          <w:kern w:val="0"/>
          <w:sz w:val="32"/>
          <w:szCs w:val="32"/>
          <w:lang w:val="zh-CN"/>
        </w:rPr>
      </w:pPr>
    </w:p>
    <w:p w14:paraId="2E667679">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具备履行合同所必需的设备及专业技术能力的书面声明</w:t>
      </w:r>
    </w:p>
    <w:p w14:paraId="7F7B9A5E">
      <w:pPr>
        <w:pStyle w:val="2"/>
        <w:rPr>
          <w:rFonts w:hint="eastAsia" w:ascii="仿宋" w:hAnsi="仿宋" w:eastAsia="仿宋" w:cs="仿宋"/>
          <w:color w:val="auto"/>
          <w:sz w:val="24"/>
          <w:szCs w:val="24"/>
        </w:rPr>
      </w:pPr>
    </w:p>
    <w:p w14:paraId="028A3E7C">
      <w:pPr>
        <w:spacing w:line="48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（采购人名称）        ： </w:t>
      </w:r>
    </w:p>
    <w:p w14:paraId="46E15F30">
      <w:pPr>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（供应商名称 ）                   </w:t>
      </w:r>
      <w:r>
        <w:rPr>
          <w:rFonts w:hint="eastAsia" w:ascii="仿宋" w:hAnsi="仿宋" w:eastAsia="仿宋" w:cs="仿宋"/>
          <w:color w:val="auto"/>
          <w:sz w:val="24"/>
          <w:szCs w:val="24"/>
        </w:rPr>
        <w:t>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日在中华人民共和国境内 </w:t>
      </w:r>
      <w:r>
        <w:rPr>
          <w:rFonts w:hint="eastAsia" w:ascii="仿宋" w:hAnsi="仿宋" w:eastAsia="仿宋" w:cs="仿宋"/>
          <w:color w:val="auto"/>
          <w:sz w:val="24"/>
          <w:szCs w:val="24"/>
          <w:u w:val="single"/>
        </w:rPr>
        <w:t xml:space="preserve">（详细注册地址）        </w:t>
      </w:r>
      <w:r>
        <w:rPr>
          <w:rFonts w:hint="eastAsia" w:ascii="仿宋" w:hAnsi="仿宋" w:eastAsia="仿宋" w:cs="仿宋"/>
          <w:color w:val="auto"/>
          <w:sz w:val="24"/>
          <w:szCs w:val="24"/>
        </w:rPr>
        <w:t>合法注册并经营，公司主营业务为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，营业面积为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，现有员工数量为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，其中与履行本合同相关的专业技术人员有</w:t>
      </w:r>
      <w:r>
        <w:rPr>
          <w:rFonts w:hint="eastAsia" w:ascii="仿宋" w:hAnsi="仿宋" w:eastAsia="仿宋" w:cs="仿宋"/>
          <w:color w:val="auto"/>
          <w:sz w:val="24"/>
          <w:szCs w:val="24"/>
          <w:u w:val="single"/>
        </w:rPr>
        <w:t xml:space="preserve">（ 专业能力、数量 ）         </w:t>
      </w:r>
      <w:r>
        <w:rPr>
          <w:rFonts w:hint="eastAsia" w:ascii="仿宋" w:hAnsi="仿宋" w:eastAsia="仿宋" w:cs="仿宋"/>
          <w:color w:val="auto"/>
          <w:sz w:val="24"/>
          <w:szCs w:val="24"/>
        </w:rPr>
        <w:t xml:space="preserve">，本公司郑重声明，具有履行本合同所必需的设备及专业技术能力。如有不实，我方将无条件地退出本项目的采购活动，并遵照《政府采购法》有关“提供虚假材料的规定”接受处罚。 </w:t>
      </w:r>
    </w:p>
    <w:p w14:paraId="4F14114C">
      <w:pPr>
        <w:spacing w:line="480" w:lineRule="auto"/>
        <w:rPr>
          <w:rFonts w:hint="eastAsia" w:ascii="仿宋" w:hAnsi="仿宋" w:eastAsia="仿宋" w:cs="仿宋"/>
          <w:color w:val="auto"/>
          <w:sz w:val="24"/>
          <w:szCs w:val="24"/>
        </w:rPr>
      </w:pPr>
    </w:p>
    <w:p w14:paraId="74BD9A47">
      <w:pPr>
        <w:spacing w:line="480" w:lineRule="auto"/>
        <w:rPr>
          <w:rFonts w:hint="eastAsia" w:ascii="仿宋" w:hAnsi="仿宋" w:eastAsia="仿宋" w:cs="仿宋"/>
          <w:color w:val="auto"/>
          <w:sz w:val="24"/>
          <w:szCs w:val="24"/>
        </w:rPr>
      </w:pPr>
    </w:p>
    <w:p w14:paraId="1370029F">
      <w:pPr>
        <w:spacing w:line="480" w:lineRule="auto"/>
        <w:rPr>
          <w:rFonts w:hint="eastAsia" w:ascii="仿宋" w:hAnsi="仿宋" w:eastAsia="仿宋" w:cs="仿宋"/>
          <w:color w:val="auto"/>
          <w:sz w:val="24"/>
          <w:szCs w:val="24"/>
        </w:rPr>
      </w:pPr>
    </w:p>
    <w:p w14:paraId="23221575">
      <w:pPr>
        <w:spacing w:line="480" w:lineRule="auto"/>
        <w:rPr>
          <w:rFonts w:hint="eastAsia" w:ascii="仿宋" w:hAnsi="仿宋" w:eastAsia="仿宋" w:cs="仿宋"/>
          <w:color w:val="auto"/>
          <w:sz w:val="24"/>
          <w:szCs w:val="24"/>
        </w:rPr>
      </w:pPr>
    </w:p>
    <w:p w14:paraId="66A47221">
      <w:pPr>
        <w:spacing w:line="480" w:lineRule="auto"/>
        <w:rPr>
          <w:rFonts w:hint="eastAsia" w:ascii="仿宋" w:hAnsi="仿宋" w:eastAsia="仿宋" w:cs="仿宋"/>
          <w:color w:val="auto"/>
          <w:sz w:val="24"/>
          <w:szCs w:val="24"/>
        </w:rPr>
      </w:pPr>
    </w:p>
    <w:p w14:paraId="3A19BAF5">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 </w:t>
      </w:r>
    </w:p>
    <w:p w14:paraId="48ED0BC0">
      <w:pPr>
        <w:spacing w:line="480" w:lineRule="auto"/>
        <w:ind w:firstLine="3600" w:firstLineChars="1500"/>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（签字或盖章） </w:t>
      </w:r>
    </w:p>
    <w:p w14:paraId="4FA2F610">
      <w:pPr>
        <w:spacing w:line="480" w:lineRule="auto"/>
        <w:ind w:firstLine="3600" w:firstLineChars="1500"/>
        <w:rPr>
          <w:color w:val="auto"/>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color w:val="auto"/>
        </w:rPr>
        <w:t xml:space="preserve"> </w:t>
      </w:r>
    </w:p>
    <w:p w14:paraId="5A1A2E60">
      <w:pPr>
        <w:spacing w:line="480" w:lineRule="auto"/>
        <w:rPr>
          <w:color w:val="auto"/>
        </w:rPr>
      </w:pPr>
    </w:p>
    <w:p w14:paraId="28D0BD99">
      <w:pPr>
        <w:spacing w:line="480" w:lineRule="auto"/>
        <w:rPr>
          <w:color w:val="auto"/>
        </w:rPr>
      </w:pPr>
    </w:p>
    <w:p w14:paraId="2F7E73B9">
      <w:pPr>
        <w:spacing w:line="480" w:lineRule="auto"/>
        <w:rPr>
          <w:rFonts w:hint="eastAsia" w:ascii="仿宋" w:hAnsi="仿宋" w:eastAsia="仿宋" w:cs="仿宋"/>
          <w:color w:val="auto"/>
          <w:sz w:val="24"/>
          <w:szCs w:val="24"/>
        </w:rPr>
      </w:pPr>
    </w:p>
    <w:p w14:paraId="078C7B5E">
      <w:pPr>
        <w:spacing w:line="480" w:lineRule="auto"/>
        <w:jc w:val="both"/>
        <w:rPr>
          <w:rFonts w:ascii="宋体" w:hAnsi="宋体"/>
          <w:b/>
          <w:color w:val="auto"/>
          <w:sz w:val="36"/>
          <w:szCs w:val="36"/>
        </w:rPr>
      </w:pPr>
      <w:r>
        <w:rPr>
          <w:rFonts w:hint="eastAsia" w:ascii="仿宋" w:hAnsi="仿宋" w:eastAsia="仿宋" w:cs="仿宋"/>
          <w:color w:val="auto"/>
          <w:sz w:val="24"/>
          <w:szCs w:val="24"/>
        </w:rPr>
        <w:t>（若</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 xml:space="preserve">需要提供其他证明材料，可另纸说明） </w:t>
      </w:r>
      <w:bookmarkEnd w:id="254"/>
    </w:p>
    <w:p w14:paraId="5F7E09AD">
      <w:pPr>
        <w:spacing w:line="360" w:lineRule="auto"/>
        <w:jc w:val="left"/>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en-US" w:eastAsia="zh-CN"/>
        </w:rPr>
        <w:t>十一、</w:t>
      </w:r>
      <w:r>
        <w:rPr>
          <w:rFonts w:hint="eastAsia" w:ascii="宋体" w:hAnsi="宋体" w:eastAsia="宋体" w:cs="宋体"/>
          <w:b/>
          <w:color w:val="auto"/>
          <w:kern w:val="0"/>
          <w:sz w:val="36"/>
          <w:szCs w:val="36"/>
          <w:lang w:val="zh-CN"/>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3023FD9E">
      <w:pPr>
        <w:rPr>
          <w:rFonts w:hint="eastAsia" w:ascii="宋体" w:hAnsi="宋体" w:eastAsia="宋体" w:cs="宋体"/>
          <w:b/>
          <w:color w:val="auto"/>
          <w:kern w:val="0"/>
          <w:sz w:val="36"/>
          <w:szCs w:val="36"/>
          <w:lang w:val="zh-CN"/>
        </w:rPr>
      </w:pPr>
      <w:r>
        <w:rPr>
          <w:rFonts w:hint="eastAsia" w:ascii="宋体" w:hAnsi="宋体" w:eastAsia="宋体" w:cs="宋体"/>
          <w:b/>
          <w:color w:val="auto"/>
          <w:kern w:val="0"/>
          <w:sz w:val="36"/>
          <w:szCs w:val="36"/>
          <w:lang w:val="zh-CN"/>
        </w:rPr>
        <w:br w:type="page"/>
      </w:r>
    </w:p>
    <w:p w14:paraId="5B14467D">
      <w:pPr>
        <w:pStyle w:val="8"/>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kern w:val="0"/>
          <w:sz w:val="36"/>
          <w:szCs w:val="36"/>
          <w:lang w:val="en-US" w:eastAsia="zh-CN"/>
        </w:rPr>
        <w:t>十二、非联合体声明</w:t>
      </w:r>
    </w:p>
    <w:p w14:paraId="77D89A29">
      <w:pPr>
        <w:pStyle w:val="2"/>
        <w:keepLines w:val="0"/>
        <w:pageBreakBefore w:val="0"/>
        <w:widowControl w:val="0"/>
        <w:kinsoku/>
        <w:wordWrap/>
        <w:overflowPunct/>
        <w:topLinePunct w:val="0"/>
        <w:bidi w:val="0"/>
        <w:jc w:val="center"/>
        <w:textAlignment w:val="auto"/>
        <w:outlineLvl w:val="9"/>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b/>
          <w:bCs/>
          <w:color w:val="auto"/>
          <w:kern w:val="2"/>
          <w:sz w:val="21"/>
          <w:szCs w:val="21"/>
          <w:highlight w:val="none"/>
          <w:lang w:val="en-US" w:eastAsia="zh-CN" w:bidi="ar-SA"/>
        </w:rPr>
        <w:t>非联合体声明</w:t>
      </w:r>
    </w:p>
    <w:p w14:paraId="77FC52DD">
      <w:pPr>
        <w:snapToGrid w:val="0"/>
        <w:spacing w:line="360" w:lineRule="auto"/>
        <w:ind w:firstLine="420" w:firstLineChars="200"/>
        <w:outlineLvl w:val="9"/>
        <w:rPr>
          <w:rFonts w:hint="eastAsia" w:ascii="楷体" w:hAnsi="楷体" w:eastAsia="楷体" w:cs="楷体"/>
          <w:color w:val="auto"/>
          <w:sz w:val="21"/>
          <w:szCs w:val="21"/>
          <w:highlight w:val="none"/>
        </w:rPr>
      </w:pPr>
    </w:p>
    <w:p w14:paraId="29B227FD">
      <w:pPr>
        <w:keepNext w:val="0"/>
        <w:keepLines w:val="0"/>
        <w:pageBreakBefore w:val="0"/>
        <w:widowControl w:val="0"/>
        <w:kinsoku/>
        <w:wordWrap/>
        <w:overflowPunct/>
        <w:topLinePunct w:val="0"/>
        <w:bidi w:val="0"/>
        <w:spacing w:line="440" w:lineRule="exact"/>
        <w:textAlignment w:val="auto"/>
        <w:outlineLvl w:val="9"/>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采购人</w:t>
      </w:r>
      <w:r>
        <w:rPr>
          <w:rFonts w:hint="eastAsia" w:ascii="仿宋" w:hAnsi="仿宋" w:eastAsia="仿宋" w:cs="仿宋"/>
          <w:color w:val="auto"/>
          <w:spacing w:val="4"/>
          <w:sz w:val="24"/>
          <w:szCs w:val="24"/>
          <w:highlight w:val="none"/>
          <w:u w:val="single"/>
        </w:rPr>
        <w:t>名称）：</w:t>
      </w:r>
    </w:p>
    <w:p w14:paraId="6B4F2221">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lang w:eastAsia="zh-CN"/>
        </w:rPr>
      </w:pPr>
    </w:p>
    <w:p w14:paraId="21FDC752">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名称）郑重声明在参加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color="000000"/>
        </w:rPr>
        <w:t>项目名称</w:t>
      </w:r>
      <w:r>
        <w:rPr>
          <w:rFonts w:hint="eastAsia" w:ascii="仿宋" w:hAnsi="仿宋" w:eastAsia="仿宋" w:cs="仿宋"/>
          <w:color w:val="auto"/>
          <w:sz w:val="24"/>
          <w:szCs w:val="24"/>
          <w:highlight w:val="none"/>
          <w:u w:val="single" w:color="000000"/>
          <w:lang w:val="en-US" w:eastAsia="zh-CN"/>
        </w:rPr>
        <w:t>＋标段号、</w:t>
      </w:r>
      <w:r>
        <w:rPr>
          <w:rFonts w:hint="eastAsia" w:ascii="仿宋" w:hAnsi="仿宋" w:eastAsia="仿宋" w:cs="仿宋"/>
          <w:color w:val="auto"/>
          <w:sz w:val="24"/>
          <w:szCs w:val="24"/>
          <w:highlight w:val="none"/>
          <w:u w:val="single" w:color="000000"/>
        </w:rPr>
        <w:t>项目编号</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rPr>
        <w:t>活动</w:t>
      </w:r>
      <w:r>
        <w:rPr>
          <w:rFonts w:hint="eastAsia" w:ascii="仿宋" w:hAnsi="仿宋" w:eastAsia="仿宋" w:cs="仿宋"/>
          <w:color w:val="auto"/>
          <w:sz w:val="24"/>
          <w:szCs w:val="24"/>
          <w:highlight w:val="none"/>
          <w:lang w:val="en-US" w:eastAsia="zh-CN"/>
        </w:rPr>
        <w:t>中非联合体</w:t>
      </w:r>
      <w:r>
        <w:rPr>
          <w:rFonts w:hint="eastAsia" w:ascii="仿宋" w:hAnsi="仿宋" w:eastAsia="仿宋" w:cs="仿宋"/>
          <w:color w:val="auto"/>
          <w:sz w:val="24"/>
          <w:szCs w:val="24"/>
          <w:highlight w:val="none"/>
        </w:rPr>
        <w:t xml:space="preserve">。本承诺真实有效，若经查实存在不实情况。我公司愿意接受有关部门的相应处罚，并愿意承担由此带来的法律后果。 </w:t>
      </w:r>
    </w:p>
    <w:p w14:paraId="1965FB04">
      <w:pPr>
        <w:keepNext w:val="0"/>
        <w:keepLines w:val="0"/>
        <w:pageBreakBefore w:val="0"/>
        <w:widowControl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10A7DC26">
      <w:pPr>
        <w:pStyle w:val="2"/>
        <w:tabs>
          <w:tab w:val="left" w:pos="8935"/>
        </w:tabs>
        <w:spacing w:before="0" w:line="360" w:lineRule="auto"/>
        <w:ind w:right="0"/>
        <w:jc w:val="left"/>
        <w:rPr>
          <w:rFonts w:hint="eastAsia" w:ascii="仿宋" w:hAnsi="仿宋" w:eastAsia="仿宋" w:cs="仿宋"/>
          <w:color w:val="auto"/>
          <w:sz w:val="24"/>
          <w:szCs w:val="24"/>
          <w:highlight w:val="none"/>
        </w:rPr>
      </w:pPr>
    </w:p>
    <w:p w14:paraId="4F825116">
      <w:pPr>
        <w:rPr>
          <w:rFonts w:hint="eastAsia" w:ascii="仿宋" w:hAnsi="仿宋" w:eastAsia="仿宋" w:cs="仿宋"/>
          <w:sz w:val="24"/>
          <w:szCs w:val="24"/>
        </w:rPr>
      </w:pPr>
    </w:p>
    <w:p w14:paraId="05431875">
      <w:pPr>
        <w:rPr>
          <w:rFonts w:hint="eastAsia" w:ascii="仿宋" w:hAnsi="仿宋" w:eastAsia="仿宋" w:cs="仿宋"/>
          <w:sz w:val="24"/>
          <w:szCs w:val="24"/>
        </w:rPr>
      </w:pPr>
    </w:p>
    <w:p w14:paraId="509C4BEB">
      <w:pPr>
        <w:rPr>
          <w:rFonts w:hint="eastAsia" w:ascii="仿宋" w:hAnsi="仿宋" w:eastAsia="仿宋" w:cs="仿宋"/>
          <w:sz w:val="24"/>
          <w:szCs w:val="24"/>
        </w:rPr>
      </w:pPr>
    </w:p>
    <w:p w14:paraId="325A27D3">
      <w:pPr>
        <w:rPr>
          <w:rFonts w:hint="eastAsia" w:ascii="仿宋" w:hAnsi="仿宋" w:eastAsia="仿宋" w:cs="仿宋"/>
          <w:color w:val="auto"/>
          <w:sz w:val="24"/>
          <w:szCs w:val="24"/>
          <w:highlight w:val="none"/>
        </w:rPr>
      </w:pPr>
    </w:p>
    <w:p w14:paraId="52ECB2EA">
      <w:pPr>
        <w:spacing w:line="48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（盖单位章）</w:t>
      </w:r>
    </w:p>
    <w:p w14:paraId="25D7CE70">
      <w:pPr>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（签字或盖章）</w:t>
      </w:r>
    </w:p>
    <w:p w14:paraId="0D61E698">
      <w:pPr>
        <w:ind w:firstLine="3120" w:firstLineChars="1300"/>
        <w:rPr>
          <w:rFonts w:hint="eastAsia" w:ascii="楷体" w:hAnsi="楷体" w:eastAsia="楷体" w:cs="楷体"/>
          <w:b/>
          <w:color w:val="auto"/>
          <w:sz w:val="21"/>
          <w:szCs w:val="21"/>
        </w:rPr>
      </w:pPr>
      <w:r>
        <w:rPr>
          <w:rFonts w:hint="eastAsia" w:ascii="仿宋" w:hAnsi="仿宋" w:eastAsia="仿宋" w:cs="仿宋"/>
          <w:color w:val="auto"/>
          <w:sz w:val="24"/>
          <w:szCs w:val="24"/>
          <w:highlight w:val="none"/>
          <w:u w:val="none"/>
          <w:lang w:val="en-US" w:eastAsia="zh-CN"/>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8611BE1">
      <w:pPr>
        <w:pStyle w:val="8"/>
        <w:spacing w:line="480" w:lineRule="auto"/>
        <w:ind w:firstLine="573"/>
        <w:rPr>
          <w:rFonts w:ascii="宋体" w:hAnsi="宋体"/>
          <w:color w:val="auto"/>
          <w:sz w:val="21"/>
          <w:szCs w:val="21"/>
        </w:rPr>
      </w:pPr>
      <w:r>
        <w:rPr>
          <w:rFonts w:hint="eastAsia" w:ascii="宋体" w:hAnsi="宋体"/>
          <w:color w:val="auto"/>
          <w:sz w:val="21"/>
          <w:szCs w:val="21"/>
        </w:rPr>
        <w:t xml:space="preserve">   </w:t>
      </w:r>
    </w:p>
    <w:p w14:paraId="4DA35639">
      <w:pPr>
        <w:spacing w:line="360" w:lineRule="auto"/>
        <w:ind w:firstLine="482"/>
        <w:rPr>
          <w:rFonts w:ascii="楷体" w:hAnsi="楷体" w:eastAsia="楷体"/>
          <w:color w:val="auto"/>
          <w:szCs w:val="21"/>
        </w:rPr>
      </w:pPr>
      <w:r>
        <w:rPr>
          <w:rFonts w:ascii="宋体" w:hAnsi="宋体"/>
          <w:b/>
          <w:color w:val="auto"/>
          <w:sz w:val="36"/>
          <w:szCs w:val="36"/>
        </w:rPr>
        <w:br w:type="page"/>
      </w:r>
    </w:p>
    <w:p w14:paraId="2DD47C47">
      <w:pPr>
        <w:jc w:val="center"/>
        <w:rPr>
          <w:rFonts w:ascii="宋体" w:hAnsi="宋体"/>
          <w:b/>
          <w:color w:val="auto"/>
          <w:sz w:val="36"/>
          <w:szCs w:val="36"/>
        </w:rPr>
      </w:pPr>
      <w:bookmarkStart w:id="255" w:name="_Toc217446088"/>
      <w:r>
        <w:rPr>
          <w:rFonts w:hint="eastAsia" w:ascii="宋体" w:hAnsi="宋体"/>
          <w:b/>
          <w:color w:val="auto"/>
          <w:sz w:val="36"/>
          <w:szCs w:val="36"/>
          <w:lang w:val="en-US" w:eastAsia="zh-CN"/>
        </w:rPr>
        <w:t>附件1：</w:t>
      </w:r>
      <w:r>
        <w:rPr>
          <w:rFonts w:hint="eastAsia" w:ascii="宋体" w:hAnsi="宋体"/>
          <w:b/>
          <w:color w:val="auto"/>
          <w:sz w:val="36"/>
          <w:szCs w:val="36"/>
        </w:rPr>
        <w:t>竞争性磋商响应声明书</w:t>
      </w:r>
    </w:p>
    <w:p w14:paraId="5A06DABC">
      <w:pPr>
        <w:pStyle w:val="8"/>
        <w:ind w:firstLine="0"/>
        <w:jc w:val="center"/>
        <w:rPr>
          <w:rFonts w:ascii="仿宋_GB2312" w:eastAsia="仿宋_GB2312"/>
          <w:b/>
          <w:color w:val="auto"/>
          <w:sz w:val="36"/>
          <w:szCs w:val="36"/>
        </w:rPr>
      </w:pPr>
    </w:p>
    <w:p w14:paraId="7BB7640F">
      <w:pPr>
        <w:pStyle w:val="8"/>
        <w:ind w:firstLine="0"/>
        <w:rPr>
          <w:rFonts w:hint="eastAsia" w:ascii="仿宋" w:hAnsi="仿宋" w:eastAsia="仿宋" w:cs="仿宋"/>
          <w:b/>
          <w:color w:val="auto"/>
          <w:sz w:val="24"/>
          <w:szCs w:val="24"/>
        </w:rPr>
      </w:pPr>
      <w:r>
        <w:rPr>
          <w:rFonts w:hint="eastAsia" w:ascii="仿宋" w:hAnsi="仿宋" w:eastAsia="仿宋" w:cs="仿宋"/>
          <w:b/>
          <w:color w:val="auto"/>
          <w:sz w:val="24"/>
          <w:szCs w:val="24"/>
        </w:rPr>
        <w:t>陕西优正项目管理有限公司：</w:t>
      </w:r>
    </w:p>
    <w:p w14:paraId="47B71882">
      <w:pPr>
        <w:pStyle w:val="8"/>
        <w:ind w:firstLine="573"/>
        <w:rPr>
          <w:rFonts w:hint="eastAsia" w:ascii="仿宋" w:hAnsi="仿宋" w:eastAsia="仿宋" w:cs="仿宋"/>
          <w:b/>
          <w:color w:val="auto"/>
          <w:sz w:val="24"/>
          <w:szCs w:val="24"/>
        </w:rPr>
      </w:pPr>
    </w:p>
    <w:p w14:paraId="639F9B3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我方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（供应商名称），就参加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项目</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color w:val="auto"/>
          <w:sz w:val="24"/>
          <w:szCs w:val="24"/>
        </w:rPr>
        <w:t>（项目编号：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）磋商事宜，在此郑重声明：</w:t>
      </w:r>
    </w:p>
    <w:p w14:paraId="7C0343CE">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1.我方所提交的响应文件全部真实有效；</w:t>
      </w:r>
    </w:p>
    <w:p w14:paraId="5FA385F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2.我方近3年来无因安全事故、质量事故、投标违规等不良记录被政府有关部门处罚或仍在处罚期限内的情形存在；</w:t>
      </w:r>
    </w:p>
    <w:p w14:paraId="7319F66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3.我方近3年来无违规违法经营受到责令停产(或停止经营)、吊销生产许可证（或经营许可证）、较大数额罚款（举行听证会的）等行政处罚的情形存在；</w:t>
      </w:r>
    </w:p>
    <w:p w14:paraId="7E085031">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4.我方无企业财产被查封、冻结或处于破产状态或严重亏损状态等情形存在；</w:t>
      </w:r>
    </w:p>
    <w:p w14:paraId="44E3507F">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5.我方承诺在磋商过程中，保证不予其他单位恶意串通，不出让磋商资格，不采取不正当手段诋毁、排挤其他供应商，不向采购人、采购代理机构和磋商小组成员行贿；</w:t>
      </w:r>
    </w:p>
    <w:p w14:paraId="2EA25BC9">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6.我方参加本次政府采购活动近3年内，在经营活动中没有重大违法记录；</w:t>
      </w:r>
    </w:p>
    <w:p w14:paraId="04B4E9FA">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7.我方在提交响应文件时，未被列入政府采购严重违法</w:t>
      </w:r>
      <w:r>
        <w:rPr>
          <w:rFonts w:hint="eastAsia" w:ascii="仿宋" w:hAnsi="仿宋" w:eastAsia="仿宋" w:cs="仿宋"/>
          <w:color w:val="auto"/>
          <w:sz w:val="24"/>
          <w:szCs w:val="24"/>
          <w:shd w:val="clear" w:color="auto" w:fill="FFFFFF"/>
        </w:rPr>
        <w:t>失信行为记录</w:t>
      </w:r>
      <w:r>
        <w:rPr>
          <w:rFonts w:hint="eastAsia" w:ascii="仿宋" w:hAnsi="仿宋" w:eastAsia="仿宋" w:cs="仿宋"/>
          <w:color w:val="auto"/>
          <w:sz w:val="24"/>
          <w:szCs w:val="24"/>
        </w:rPr>
        <w:t>名单、失信被执行人、重大税收违法案件当事人名单。</w:t>
      </w:r>
    </w:p>
    <w:p w14:paraId="66C414E7">
      <w:pPr>
        <w:pStyle w:val="8"/>
        <w:spacing w:line="36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以上声明若有违反，一经查实，我方愿意接受政府有关部门的相应处罚，并愿意承担由此带来的法律后果。</w:t>
      </w:r>
    </w:p>
    <w:p w14:paraId="51571C98">
      <w:pPr>
        <w:pStyle w:val="8"/>
        <w:spacing w:line="480" w:lineRule="auto"/>
        <w:ind w:firstLine="570"/>
        <w:rPr>
          <w:rFonts w:hint="eastAsia" w:ascii="仿宋" w:hAnsi="仿宋" w:eastAsia="仿宋" w:cs="仿宋"/>
          <w:color w:val="auto"/>
          <w:sz w:val="24"/>
          <w:szCs w:val="24"/>
        </w:rPr>
      </w:pPr>
    </w:p>
    <w:p w14:paraId="4B34851C">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特此声明！</w:t>
      </w:r>
    </w:p>
    <w:p w14:paraId="3AEC484E">
      <w:pPr>
        <w:pStyle w:val="8"/>
        <w:spacing w:line="480" w:lineRule="auto"/>
        <w:ind w:firstLine="570"/>
        <w:rPr>
          <w:rFonts w:hint="eastAsia" w:ascii="仿宋" w:hAnsi="仿宋" w:eastAsia="仿宋" w:cs="仿宋"/>
          <w:color w:val="auto"/>
          <w:sz w:val="24"/>
          <w:szCs w:val="24"/>
        </w:rPr>
      </w:pPr>
    </w:p>
    <w:p w14:paraId="19A00632">
      <w:pPr>
        <w:pStyle w:val="8"/>
        <w:spacing w:line="480" w:lineRule="auto"/>
        <w:ind w:firstLine="570"/>
        <w:rPr>
          <w:rFonts w:hint="eastAsia" w:ascii="仿宋" w:hAnsi="仿宋" w:eastAsia="仿宋" w:cs="仿宋"/>
          <w:color w:val="auto"/>
          <w:sz w:val="24"/>
          <w:szCs w:val="24"/>
        </w:rPr>
      </w:pPr>
    </w:p>
    <w:p w14:paraId="66A4C625">
      <w:pPr>
        <w:pStyle w:val="8"/>
        <w:spacing w:line="480" w:lineRule="auto"/>
        <w:ind w:firstLine="570"/>
        <w:rPr>
          <w:rFonts w:hint="eastAsia" w:ascii="仿宋" w:hAnsi="仿宋" w:eastAsia="仿宋" w:cs="仿宋"/>
          <w:color w:val="auto"/>
          <w:sz w:val="24"/>
          <w:szCs w:val="24"/>
        </w:rPr>
      </w:pPr>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7B41FB10">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055A911D">
      <w:pPr>
        <w:adjustRightInd w:val="0"/>
        <w:snapToGrid w:val="0"/>
        <w:spacing w:line="360" w:lineRule="auto"/>
        <w:ind w:firstLine="720" w:firstLineChars="300"/>
        <w:rPr>
          <w:rFonts w:ascii="楷体" w:hAnsi="楷体" w:eastAsia="楷体"/>
          <w:color w:val="auto"/>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r>
        <w:rPr>
          <w:rFonts w:hint="eastAsia" w:ascii="宋体" w:hAnsi="宋体"/>
          <w:color w:val="auto"/>
          <w:szCs w:val="21"/>
        </w:rPr>
        <w:t xml:space="preserve"> </w:t>
      </w:r>
    </w:p>
    <w:p w14:paraId="45BBE7CE">
      <w:pPr>
        <w:widowControl/>
        <w:jc w:val="left"/>
        <w:rPr>
          <w:color w:val="auto"/>
          <w:kern w:val="0"/>
        </w:rPr>
      </w:pPr>
      <w:r>
        <w:rPr>
          <w:color w:val="auto"/>
          <w:kern w:val="0"/>
        </w:rPr>
        <w:br w:type="page"/>
      </w:r>
    </w:p>
    <w:p w14:paraId="4FA6EC25">
      <w:pPr>
        <w:spacing w:line="360" w:lineRule="auto"/>
        <w:jc w:val="center"/>
        <w:rPr>
          <w:rFonts w:ascii="仿宋" w:hAnsi="仿宋" w:eastAsia="仿宋" w:cs="仿宋"/>
          <w:b/>
          <w:bCs/>
          <w:color w:val="auto"/>
          <w:kern w:val="0"/>
          <w:sz w:val="28"/>
          <w:szCs w:val="28"/>
        </w:rPr>
      </w:pPr>
      <w:r>
        <w:rPr>
          <w:rFonts w:hint="eastAsia" w:ascii="宋体" w:hAnsi="宋体"/>
          <w:b/>
          <w:bCs/>
          <w:color w:val="auto"/>
          <w:sz w:val="36"/>
          <w:szCs w:val="36"/>
          <w:lang w:val="en-US" w:eastAsia="zh-CN"/>
        </w:rPr>
        <w:t>附件2：</w:t>
      </w:r>
      <w:r>
        <w:rPr>
          <w:rFonts w:hint="eastAsia" w:ascii="宋体" w:hAnsi="宋体"/>
          <w:b/>
          <w:bCs/>
          <w:color w:val="auto"/>
          <w:sz w:val="36"/>
          <w:szCs w:val="36"/>
        </w:rPr>
        <w:t>法定代表人（负责人）为同一人或者存在直接控股、管理关系的不同供应商，不得同时参加本采购项目磋商</w:t>
      </w:r>
    </w:p>
    <w:p w14:paraId="42451191">
      <w:pPr>
        <w:autoSpaceDE w:val="0"/>
        <w:autoSpaceDN w:val="0"/>
        <w:adjustRightIn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供应商企业关系关联的声明</w:t>
      </w:r>
    </w:p>
    <w:p w14:paraId="5E695E90">
      <w:pPr>
        <w:autoSpaceDE w:val="0"/>
        <w:autoSpaceDN w:val="0"/>
        <w:adjustRightInd w:val="0"/>
        <w:spacing w:line="360" w:lineRule="auto"/>
        <w:rPr>
          <w:rFonts w:hint="eastAsia" w:ascii="仿宋" w:hAnsi="仿宋" w:eastAsia="仿宋" w:cs="仿宋"/>
          <w:color w:val="auto"/>
          <w:sz w:val="24"/>
          <w:szCs w:val="24"/>
        </w:rPr>
      </w:pPr>
    </w:p>
    <w:p w14:paraId="4CF3847F">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我单位在本磋商项目中，不存在与其它供应商负责人为同一人，有控股、管理等关联关系承诺。</w:t>
      </w:r>
    </w:p>
    <w:p w14:paraId="09400825">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1、管理关系说明：</w:t>
      </w:r>
    </w:p>
    <w:p w14:paraId="4CD8360D">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我单位管理的具有独立法人的下属单位有：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87F7359">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我单位的上级管理单位有：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7B8723C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2、股权关系说明：</w:t>
      </w:r>
    </w:p>
    <w:p w14:paraId="01384D34">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我单位控股的单位有</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11A5A9B">
      <w:pPr>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我单位被单位控股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8500AC8">
      <w:pPr>
        <w:autoSpaceDE w:val="0"/>
        <w:autoSpaceDN w:val="0"/>
        <w:adjustRightInd w:val="0"/>
        <w:snapToGrid w:val="0"/>
        <w:spacing w:line="48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我单位承诺以上说明真实有效，无虚假内容或隐瞒。</w:t>
      </w:r>
    </w:p>
    <w:p w14:paraId="3DE47819">
      <w:pPr>
        <w:wordWrap w:val="0"/>
        <w:spacing w:line="360" w:lineRule="auto"/>
        <w:rPr>
          <w:rFonts w:hint="eastAsia" w:ascii="仿宋" w:hAnsi="仿宋" w:eastAsia="仿宋" w:cs="仿宋"/>
          <w:color w:val="auto"/>
          <w:sz w:val="24"/>
          <w:szCs w:val="24"/>
          <w:lang w:val="zh-TW" w:eastAsia="zh-TW" w:bidi="zh-TW"/>
        </w:rPr>
      </w:pPr>
    </w:p>
    <w:p w14:paraId="55C3827F">
      <w:pPr>
        <w:wordWrap w:val="0"/>
        <w:spacing w:line="360" w:lineRule="auto"/>
        <w:ind w:firstLine="480" w:firstLineChars="200"/>
        <w:jc w:val="right"/>
        <w:rPr>
          <w:rFonts w:hint="eastAsia" w:ascii="仿宋" w:hAnsi="仿宋" w:eastAsia="仿宋" w:cs="仿宋"/>
          <w:color w:val="auto"/>
          <w:sz w:val="24"/>
          <w:szCs w:val="24"/>
          <w:lang w:val="zh-TW" w:eastAsia="zh-TW" w:bidi="zh-TW"/>
        </w:rPr>
      </w:pPr>
    </w:p>
    <w:p w14:paraId="4B87F01B">
      <w:pPr>
        <w:pStyle w:val="8"/>
        <w:spacing w:line="480" w:lineRule="auto"/>
        <w:ind w:firstLine="570"/>
        <w:rPr>
          <w:rFonts w:hint="eastAsia" w:ascii="仿宋" w:hAnsi="仿宋" w:eastAsia="仿宋" w:cs="仿宋"/>
          <w:color w:val="auto"/>
          <w:sz w:val="24"/>
          <w:szCs w:val="24"/>
        </w:rPr>
      </w:pPr>
      <w:bookmarkStart w:id="256" w:name="4.3_申请人信用信息报告"/>
      <w:bookmarkEnd w:id="256"/>
      <w:r>
        <w:rPr>
          <w:rFonts w:hint="eastAsia" w:ascii="仿宋" w:hAnsi="仿宋" w:eastAsia="仿宋" w:cs="仿宋"/>
          <w:color w:val="auto"/>
          <w:sz w:val="24"/>
          <w:szCs w:val="24"/>
        </w:rPr>
        <w:t>声  明  人</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(供应商名称、盖单位章)</w:t>
      </w:r>
    </w:p>
    <w:p w14:paraId="080788F8">
      <w:pPr>
        <w:pStyle w:val="8"/>
        <w:spacing w:line="480" w:lineRule="auto"/>
        <w:ind w:firstLine="573"/>
        <w:rPr>
          <w:rFonts w:hint="eastAsia" w:ascii="仿宋" w:hAnsi="仿宋" w:eastAsia="仿宋" w:cs="仿宋"/>
          <w:color w:val="auto"/>
          <w:sz w:val="24"/>
          <w:szCs w:val="24"/>
        </w:rPr>
      </w:pPr>
      <w:r>
        <w:rPr>
          <w:rFonts w:hint="eastAsia" w:ascii="仿宋" w:hAnsi="仿宋" w:eastAsia="仿宋" w:cs="仿宋"/>
          <w:color w:val="auto"/>
          <w:sz w:val="24"/>
          <w:szCs w:val="24"/>
        </w:rPr>
        <w:t>法定代表人或委托代理人：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（签字或盖章）</w:t>
      </w:r>
    </w:p>
    <w:p w14:paraId="72B9137C">
      <w:pPr>
        <w:pStyle w:val="8"/>
        <w:spacing w:line="480" w:lineRule="auto"/>
        <w:ind w:firstLine="573"/>
        <w:rPr>
          <w:rFonts w:ascii="宋体" w:hAnsi="宋体"/>
          <w:color w:val="auto"/>
          <w:sz w:val="21"/>
          <w:szCs w:val="21"/>
        </w:rPr>
      </w:pPr>
      <w:r>
        <w:rPr>
          <w:rFonts w:hint="eastAsia" w:ascii="仿宋" w:hAnsi="仿宋" w:eastAsia="仿宋" w:cs="仿宋"/>
          <w:color w:val="auto"/>
          <w:sz w:val="24"/>
          <w:szCs w:val="24"/>
        </w:rPr>
        <w:t>日      期：</w:t>
      </w:r>
      <w:r>
        <w:rPr>
          <w:rFonts w:hint="eastAsia" w:ascii="仿宋" w:hAnsi="仿宋" w:eastAsia="仿宋" w:cs="仿宋"/>
          <w:color w:val="auto"/>
          <w:sz w:val="24"/>
          <w:szCs w:val="24"/>
          <w:u w:val="single"/>
        </w:rPr>
        <w:t xml:space="preserve">                      </w:t>
      </w:r>
    </w:p>
    <w:p w14:paraId="0732A4A7">
      <w:pPr>
        <w:snapToGrid w:val="0"/>
        <w:spacing w:line="480" w:lineRule="auto"/>
        <w:ind w:left="4620" w:leftChars="2200"/>
        <w:rPr>
          <w:rFonts w:ascii="宋体" w:hAnsi="宋体"/>
          <w:color w:val="auto"/>
          <w:szCs w:val="20"/>
          <w:highlight w:val="none"/>
        </w:rPr>
      </w:pPr>
    </w:p>
    <w:p w14:paraId="6CB5131D">
      <w:pPr>
        <w:spacing w:line="360" w:lineRule="auto"/>
        <w:rPr>
          <w:rFonts w:ascii="宋体" w:hAnsi="宋体"/>
          <w:color w:val="auto"/>
          <w:szCs w:val="22"/>
          <w:highlight w:val="none"/>
        </w:rPr>
      </w:pPr>
    </w:p>
    <w:p w14:paraId="6DB07D72">
      <w:pPr>
        <w:spacing w:line="360" w:lineRule="auto"/>
        <w:rPr>
          <w:rFonts w:ascii="宋体" w:hAnsi="宋体"/>
          <w:color w:val="auto"/>
          <w:szCs w:val="22"/>
          <w:highlight w:val="none"/>
        </w:rPr>
      </w:pPr>
    </w:p>
    <w:p w14:paraId="517FD59A">
      <w:pPr>
        <w:spacing w:line="360" w:lineRule="auto"/>
        <w:rPr>
          <w:rFonts w:ascii="宋体" w:hAnsi="宋体"/>
          <w:color w:val="auto"/>
          <w:szCs w:val="22"/>
          <w:highlight w:val="none"/>
        </w:rPr>
      </w:pPr>
    </w:p>
    <w:p w14:paraId="6C8839F3">
      <w:pPr>
        <w:rPr>
          <w:rFonts w:ascii="黑体" w:hAnsi="宋体" w:eastAsia="黑体"/>
          <w:color w:val="auto"/>
          <w:sz w:val="28"/>
          <w:szCs w:val="28"/>
        </w:rPr>
      </w:pPr>
    </w:p>
    <w:p w14:paraId="4B93336E">
      <w:pPr>
        <w:rPr>
          <w:rFonts w:hint="eastAsia" w:ascii="黑体" w:hAnsi="宋体" w:eastAsia="黑体"/>
          <w:color w:val="auto"/>
          <w:sz w:val="28"/>
          <w:szCs w:val="28"/>
        </w:rPr>
      </w:pPr>
    </w:p>
    <w:bookmarkEnd w:id="255"/>
    <w:p w14:paraId="7B6C935B">
      <w:pPr>
        <w:numPr>
          <w:ilvl w:val="0"/>
          <w:numId w:val="0"/>
        </w:numPr>
        <w:jc w:val="center"/>
        <w:outlineLvl w:val="9"/>
        <w:rPr>
          <w:rFonts w:ascii="宋体" w:hAnsi="宋体" w:eastAsia="宋体"/>
          <w:color w:val="auto"/>
          <w:sz w:val="36"/>
          <w:szCs w:val="36"/>
        </w:rPr>
      </w:pPr>
      <w:r>
        <w:rPr>
          <w:rFonts w:hint="eastAsia" w:ascii="宋体" w:hAnsi="宋体" w:eastAsia="宋体"/>
          <w:color w:val="auto"/>
          <w:sz w:val="36"/>
          <w:szCs w:val="36"/>
          <w:lang w:val="en-US" w:eastAsia="zh-CN"/>
        </w:rPr>
        <w:t>十三、</w:t>
      </w:r>
      <w:r>
        <w:rPr>
          <w:rFonts w:hint="eastAsia" w:ascii="宋体" w:hAnsi="宋体" w:eastAsia="宋体"/>
          <w:color w:val="auto"/>
          <w:sz w:val="36"/>
          <w:szCs w:val="36"/>
        </w:rPr>
        <w:t>提供供应商享受政府采购优惠政策的证明材料</w:t>
      </w:r>
    </w:p>
    <w:p w14:paraId="382C041D">
      <w:pPr>
        <w:adjustRightInd w:val="0"/>
        <w:snapToGrid w:val="0"/>
        <w:spacing w:line="360" w:lineRule="auto"/>
        <w:rPr>
          <w:rFonts w:ascii="仿宋_GB2312" w:hAnsi="宋体" w:eastAsia="仿宋_GB2312"/>
          <w:bCs/>
          <w:color w:val="auto"/>
          <w:szCs w:val="21"/>
        </w:rPr>
      </w:pPr>
    </w:p>
    <w:p w14:paraId="2B8969C5">
      <w:pPr>
        <w:pStyle w:val="12"/>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4930AE9C">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（1）中小企业声明函格式见附件1；</w:t>
      </w:r>
    </w:p>
    <w:p w14:paraId="42982A68">
      <w:pPr>
        <w:pStyle w:val="12"/>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（2）残疾人福利性单位声明函格式见附件2；</w:t>
      </w:r>
    </w:p>
    <w:p w14:paraId="66CE4172">
      <w:pPr>
        <w:adjustRightInd w:val="0"/>
        <w:snapToGrid w:val="0"/>
        <w:spacing w:line="360" w:lineRule="auto"/>
        <w:ind w:firstLine="720" w:firstLineChars="300"/>
        <w:rPr>
          <w:rFonts w:hint="eastAsia" w:ascii="仿宋" w:hAnsi="仿宋" w:eastAsia="仿宋" w:cs="仿宋"/>
          <w:color w:val="auto"/>
          <w:sz w:val="24"/>
          <w:szCs w:val="24"/>
        </w:rPr>
      </w:pPr>
      <w:r>
        <w:rPr>
          <w:rFonts w:hint="eastAsia" w:ascii="仿宋" w:hAnsi="仿宋" w:eastAsia="仿宋" w:cs="仿宋"/>
          <w:color w:val="auto"/>
          <w:sz w:val="24"/>
          <w:szCs w:val="24"/>
        </w:rPr>
        <w:t>（3）监狱企业证明文件见附件3；</w:t>
      </w:r>
    </w:p>
    <w:p w14:paraId="6B8451D1">
      <w:pPr>
        <w:widowControl/>
        <w:jc w:val="left"/>
        <w:rPr>
          <w:color w:val="auto"/>
          <w:kern w:val="0"/>
        </w:rPr>
      </w:pPr>
      <w:r>
        <w:rPr>
          <w:color w:val="auto"/>
          <w:kern w:val="0"/>
        </w:rPr>
        <w:br w:type="page"/>
      </w:r>
    </w:p>
    <w:p w14:paraId="16C75277">
      <w:pPr>
        <w:spacing w:before="312" w:beforeLines="100" w:line="360" w:lineRule="auto"/>
        <w:rPr>
          <w:rFonts w:ascii="黑体" w:hAnsi="宋体" w:eastAsia="黑体"/>
          <w:color w:val="auto"/>
          <w:sz w:val="28"/>
          <w:szCs w:val="28"/>
        </w:rPr>
      </w:pPr>
      <w:r>
        <w:rPr>
          <w:rFonts w:hint="eastAsia" w:ascii="黑体" w:hAnsi="宋体" w:eastAsia="黑体"/>
          <w:color w:val="auto"/>
          <w:sz w:val="28"/>
          <w:szCs w:val="28"/>
        </w:rPr>
        <w:t>附件1：</w:t>
      </w:r>
    </w:p>
    <w:p w14:paraId="6A7C8B13">
      <w:pPr>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中小企业声明函（</w:t>
      </w:r>
      <w:r>
        <w:rPr>
          <w:rFonts w:hint="eastAsia" w:ascii="仿宋" w:hAnsi="仿宋" w:eastAsia="仿宋" w:cs="仿宋"/>
          <w:b/>
          <w:bCs/>
          <w:color w:val="auto"/>
          <w:kern w:val="0"/>
          <w:sz w:val="24"/>
          <w:szCs w:val="24"/>
          <w:highlight w:val="none"/>
          <w:lang w:val="en-US" w:eastAsia="zh-CN"/>
        </w:rPr>
        <w:t>工程</w:t>
      </w:r>
      <w:r>
        <w:rPr>
          <w:rFonts w:hint="eastAsia" w:ascii="仿宋" w:hAnsi="仿宋" w:eastAsia="仿宋" w:cs="仿宋"/>
          <w:b/>
          <w:bCs/>
          <w:color w:val="auto"/>
          <w:kern w:val="0"/>
          <w:sz w:val="24"/>
          <w:szCs w:val="24"/>
          <w:highlight w:val="none"/>
        </w:rPr>
        <w:t>）</w:t>
      </w:r>
    </w:p>
    <w:p w14:paraId="08882DDB">
      <w:pPr>
        <w:adjustRightInd w:val="0"/>
        <w:snapToGrid w:val="0"/>
        <w:ind w:left="420" w:hanging="480" w:hangingChars="200"/>
        <w:jc w:val="left"/>
        <w:rPr>
          <w:rFonts w:hint="eastAsia" w:ascii="仿宋" w:hAnsi="仿宋" w:eastAsia="仿宋" w:cs="仿宋"/>
          <w:color w:val="auto"/>
          <w:sz w:val="24"/>
          <w:szCs w:val="24"/>
          <w:highlight w:val="none"/>
        </w:rPr>
      </w:pPr>
    </w:p>
    <w:p w14:paraId="3E80FA07">
      <w:pPr>
        <w:spacing w:before="624" w:beforeLines="200"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(单位名称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的</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(项目名称</w:t>
      </w:r>
      <w:r>
        <w:rPr>
          <w:rFonts w:hint="eastAsia" w:ascii="仿宋" w:hAnsi="仿宋" w:eastAsia="仿宋" w:cs="仿宋"/>
          <w:i/>
          <w:iCs/>
          <w:color w:val="auto"/>
          <w:spacing w:val="6"/>
          <w:sz w:val="24"/>
          <w:szCs w:val="24"/>
          <w:highlight w:val="none"/>
        </w:rPr>
        <w:t>)</w:t>
      </w:r>
      <w:r>
        <w:rPr>
          <w:rFonts w:hint="eastAsia" w:ascii="仿宋" w:hAnsi="仿宋" w:eastAsia="仿宋" w:cs="仿宋"/>
          <w:color w:val="auto"/>
          <w:spacing w:val="6"/>
          <w:sz w:val="24"/>
          <w:szCs w:val="24"/>
          <w:highlight w:val="none"/>
        </w:rPr>
        <w:t>采购活动，工程的施工单位全部为符合要求的中小企业（或者：服务全部由符合政策要求的中小企业承接）。相关企业(含联合体中的中小企业、签订分包意向协议的中小企业)的具体情况如下:</w:t>
      </w:r>
    </w:p>
    <w:p w14:paraId="2C2395A1">
      <w:pPr>
        <w:spacing w:line="360" w:lineRule="auto"/>
        <w:ind w:firstLine="476" w:firstLineChars="18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1.</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(采购文件中明确的所属行业)</w:t>
      </w:r>
      <w:r>
        <w:rPr>
          <w:rFonts w:hint="eastAsia" w:ascii="仿宋" w:hAnsi="仿宋" w:eastAsia="仿宋" w:cs="仿宋"/>
          <w:color w:val="auto"/>
          <w:spacing w:val="6"/>
          <w:sz w:val="24"/>
          <w:szCs w:val="24"/>
          <w:highlight w:val="none"/>
        </w:rPr>
        <w:t>；承建（承接）企业为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w:t>
      </w:r>
      <w:r>
        <w:rPr>
          <w:rFonts w:hint="eastAsia" w:ascii="仿宋" w:hAnsi="仿宋" w:eastAsia="仿宋" w:cs="仿宋"/>
          <w:color w:val="auto"/>
          <w:sz w:val="24"/>
          <w:szCs w:val="24"/>
          <w:vertAlign w:val="superscript"/>
        </w:rPr>
        <w:t>1</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u w:val="single"/>
        </w:rPr>
        <w:t>)</w:t>
      </w:r>
      <w:r>
        <w:rPr>
          <w:rFonts w:hint="eastAsia" w:ascii="仿宋" w:hAnsi="仿宋" w:eastAsia="仿宋" w:cs="仿宋"/>
          <w:color w:val="auto"/>
          <w:spacing w:val="6"/>
          <w:sz w:val="24"/>
          <w:szCs w:val="24"/>
          <w:highlight w:val="none"/>
        </w:rPr>
        <w:t>;</w:t>
      </w:r>
    </w:p>
    <w:p w14:paraId="6378469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(标的名称)</w:t>
      </w:r>
      <w:r>
        <w:rPr>
          <w:rFonts w:hint="eastAsia" w:ascii="仿宋" w:hAnsi="仿宋" w:eastAsia="仿宋" w:cs="仿宋"/>
          <w:color w:val="auto"/>
          <w:spacing w:val="6"/>
          <w:sz w:val="24"/>
          <w:szCs w:val="24"/>
          <w:highlight w:val="none"/>
        </w:rPr>
        <w:t>，属于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(采购文件中明确的所属行业)</w:t>
      </w:r>
      <w:r>
        <w:rPr>
          <w:rFonts w:hint="eastAsia" w:ascii="仿宋" w:hAnsi="仿宋" w:eastAsia="仿宋" w:cs="仿宋"/>
          <w:color w:val="auto"/>
          <w:spacing w:val="6"/>
          <w:sz w:val="24"/>
          <w:szCs w:val="24"/>
          <w:highlight w:val="none"/>
        </w:rPr>
        <w:t>;承接企业为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 xml:space="preserve"> (企业名称)</w:t>
      </w:r>
      <w:r>
        <w:rPr>
          <w:rFonts w:hint="eastAsia" w:ascii="仿宋" w:hAnsi="仿宋" w:eastAsia="仿宋" w:cs="仿宋"/>
          <w:color w:val="auto"/>
          <w:spacing w:val="6"/>
          <w:sz w:val="24"/>
          <w:szCs w:val="24"/>
          <w:highlight w:val="none"/>
        </w:rPr>
        <w:t>，从业人员</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人，营业收入为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万元，资产总额为</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万元，属于</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i/>
          <w:iCs/>
          <w:color w:val="auto"/>
          <w:spacing w:val="6"/>
          <w:sz w:val="24"/>
          <w:szCs w:val="24"/>
          <w:highlight w:val="none"/>
          <w:u w:val="single"/>
        </w:rPr>
        <w:t>(中型企业、小型企业、微型企业)</w:t>
      </w:r>
      <w:r>
        <w:rPr>
          <w:rFonts w:hint="eastAsia" w:ascii="仿宋" w:hAnsi="仿宋" w:eastAsia="仿宋" w:cs="仿宋"/>
          <w:color w:val="auto"/>
          <w:spacing w:val="6"/>
          <w:sz w:val="24"/>
          <w:szCs w:val="24"/>
          <w:highlight w:val="none"/>
        </w:rPr>
        <w:t>。</w:t>
      </w:r>
    </w:p>
    <w:p w14:paraId="30B6F4FD">
      <w:pPr>
        <w:ind w:firstLine="504" w:firstLineChars="200"/>
        <w:rPr>
          <w:rFonts w:hint="eastAsia" w:ascii="仿宋" w:hAnsi="仿宋" w:eastAsia="仿宋" w:cs="仿宋"/>
          <w:color w:val="auto"/>
          <w:spacing w:val="6"/>
          <w:sz w:val="24"/>
          <w:szCs w:val="24"/>
          <w:highlight w:val="none"/>
        </w:rPr>
      </w:pPr>
    </w:p>
    <w:p w14:paraId="022416B7">
      <w:pPr>
        <w:ind w:firstLine="504"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w:t>
      </w:r>
    </w:p>
    <w:p w14:paraId="34F89A77">
      <w:pPr>
        <w:spacing w:line="360" w:lineRule="auto"/>
        <w:ind w:firstLine="504" w:firstLineChars="200"/>
        <w:rPr>
          <w:rFonts w:hint="eastAsia" w:ascii="仿宋" w:hAnsi="仿宋" w:eastAsia="仿宋" w:cs="仿宋"/>
          <w:color w:val="auto"/>
          <w:spacing w:val="6"/>
          <w:sz w:val="24"/>
          <w:szCs w:val="24"/>
          <w:highlight w:val="none"/>
        </w:rPr>
      </w:pPr>
    </w:p>
    <w:p w14:paraId="1B3662EC">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以上企业，不属于大企业的分支机构，不存在控股股东为大企业的情形，也不存在与大企业的负责人为同一人的情形。</w:t>
      </w:r>
    </w:p>
    <w:p w14:paraId="5A7DF6C5">
      <w:pPr>
        <w:snapToGrid w:val="0"/>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本企业对上述声明内容的真实性负责。如有虚假，将依法承担相应责任。</w:t>
      </w:r>
    </w:p>
    <w:p w14:paraId="0F490CBE">
      <w:pPr>
        <w:spacing w:line="360" w:lineRule="auto"/>
        <w:ind w:firstLine="504" w:firstLineChars="200"/>
        <w:rPr>
          <w:rFonts w:hint="eastAsia" w:ascii="仿宋" w:hAnsi="仿宋" w:eastAsia="仿宋" w:cs="仿宋"/>
          <w:color w:val="auto"/>
          <w:spacing w:val="6"/>
          <w:sz w:val="24"/>
          <w:szCs w:val="24"/>
          <w:highlight w:val="none"/>
        </w:rPr>
      </w:pPr>
    </w:p>
    <w:p w14:paraId="7A590AED">
      <w:pPr>
        <w:snapToGrid w:val="0"/>
        <w:spacing w:line="480" w:lineRule="auto"/>
        <w:ind w:left="4620" w:leftChars="2200"/>
        <w:rPr>
          <w:rFonts w:hint="eastAsia" w:ascii="仿宋" w:hAnsi="仿宋" w:eastAsia="仿宋" w:cs="仿宋"/>
          <w:color w:val="auto"/>
          <w:sz w:val="24"/>
          <w:szCs w:val="24"/>
        </w:rPr>
      </w:pPr>
      <w:r>
        <w:rPr>
          <w:rFonts w:hint="eastAsia" w:ascii="仿宋" w:hAnsi="仿宋" w:eastAsia="仿宋" w:cs="仿宋"/>
          <w:color w:val="auto"/>
          <w:sz w:val="24"/>
          <w:szCs w:val="24"/>
        </w:rPr>
        <w:t>企业名称（盖章）：</w:t>
      </w:r>
    </w:p>
    <w:p w14:paraId="2DE023EF">
      <w:pPr>
        <w:snapToGrid w:val="0"/>
        <w:spacing w:line="480" w:lineRule="auto"/>
        <w:ind w:left="4620" w:leftChars="2200"/>
        <w:rPr>
          <w:rFonts w:ascii="宋体" w:hAnsi="宋体"/>
          <w:color w:val="auto"/>
          <w:szCs w:val="20"/>
        </w:rPr>
      </w:pPr>
      <w:r>
        <w:rPr>
          <w:rFonts w:hint="eastAsia" w:ascii="仿宋" w:hAnsi="仿宋" w:eastAsia="仿宋" w:cs="仿宋"/>
          <w:color w:val="auto"/>
          <w:sz w:val="24"/>
          <w:szCs w:val="24"/>
        </w:rPr>
        <w:t>日期：</w:t>
      </w:r>
    </w:p>
    <w:p w14:paraId="3B323D16">
      <w:pPr>
        <w:snapToGrid w:val="0"/>
        <w:spacing w:line="480" w:lineRule="auto"/>
        <w:ind w:left="4620" w:leftChars="2200"/>
        <w:rPr>
          <w:rFonts w:ascii="宋体" w:hAnsi="宋体"/>
          <w:color w:val="auto"/>
          <w:szCs w:val="20"/>
          <w:highlight w:val="none"/>
        </w:rPr>
      </w:pPr>
    </w:p>
    <w:p w14:paraId="48C33213">
      <w:pPr>
        <w:spacing w:line="360" w:lineRule="auto"/>
        <w:rPr>
          <w:rFonts w:ascii="宋体" w:hAnsi="宋体"/>
          <w:color w:val="auto"/>
          <w:szCs w:val="22"/>
          <w:highlight w:val="none"/>
        </w:rPr>
      </w:pPr>
    </w:p>
    <w:p w14:paraId="2C752C3E">
      <w:pPr>
        <w:spacing w:line="360" w:lineRule="auto"/>
        <w:rPr>
          <w:rFonts w:ascii="宋体" w:hAnsi="宋体"/>
          <w:color w:val="auto"/>
          <w:szCs w:val="22"/>
          <w:highlight w:val="none"/>
        </w:rPr>
      </w:pPr>
    </w:p>
    <w:p w14:paraId="22464EEE">
      <w:pPr>
        <w:spacing w:line="360" w:lineRule="auto"/>
        <w:rPr>
          <w:rFonts w:ascii="宋体" w:hAnsi="宋体"/>
          <w:color w:val="auto"/>
          <w:szCs w:val="22"/>
          <w:highlight w:val="none"/>
        </w:rPr>
      </w:pPr>
    </w:p>
    <w:p w14:paraId="386CA126">
      <w:pPr>
        <w:tabs>
          <w:tab w:val="left" w:pos="1755"/>
        </w:tabs>
        <w:spacing w:line="500" w:lineRule="atLeast"/>
        <w:rPr>
          <w:rFonts w:ascii="宋体" w:hAnsi="宋体"/>
          <w:color w:val="auto"/>
          <w:szCs w:val="22"/>
          <w:highlight w:val="none"/>
        </w:rPr>
      </w:pPr>
      <w:r>
        <w:rPr>
          <w:rFonts w:hint="eastAsia" w:ascii="宋体" w:hAnsi="宋体"/>
          <w:color w:val="auto"/>
          <w:szCs w:val="22"/>
          <w:highlight w:val="none"/>
          <w:vertAlign w:val="superscript"/>
        </w:rPr>
        <w:t>1</w:t>
      </w:r>
      <w:r>
        <w:rPr>
          <w:rFonts w:hint="eastAsia" w:ascii="仿宋" w:hAnsi="仿宋" w:eastAsia="仿宋" w:cs="仿宋"/>
          <w:color w:val="auto"/>
          <w:sz w:val="24"/>
          <w:szCs w:val="24"/>
          <w:highlight w:val="none"/>
        </w:rPr>
        <w:t>从业人员、营业收入、资产总额填报上一年度数据， 无上一年度数据的新成立企业可不填报</w:t>
      </w:r>
      <w:r>
        <w:rPr>
          <w:rFonts w:ascii="宋体" w:hAnsi="宋体"/>
          <w:color w:val="auto"/>
          <w:szCs w:val="22"/>
          <w:highlight w:val="none"/>
        </w:rPr>
        <w:t>。</w:t>
      </w:r>
    </w:p>
    <w:p w14:paraId="6D5A3B51">
      <w:pPr>
        <w:rPr>
          <w:rFonts w:ascii="黑体" w:hAnsi="宋体" w:eastAsia="黑体"/>
          <w:color w:val="auto"/>
          <w:sz w:val="28"/>
          <w:szCs w:val="28"/>
        </w:rPr>
      </w:pPr>
    </w:p>
    <w:p w14:paraId="6CA94D1A">
      <w:pPr>
        <w:rPr>
          <w:color w:val="auto"/>
        </w:rPr>
      </w:pPr>
    </w:p>
    <w:p w14:paraId="00AD2B2D">
      <w:pPr>
        <w:adjustRightInd w:val="0"/>
        <w:snapToGrid w:val="0"/>
        <w:spacing w:line="360" w:lineRule="auto"/>
        <w:rPr>
          <w:rFonts w:ascii="黑体" w:hAnsi="宋体" w:eastAsia="黑体"/>
          <w:color w:val="auto"/>
          <w:sz w:val="28"/>
          <w:szCs w:val="28"/>
        </w:rPr>
      </w:pPr>
      <w:r>
        <w:rPr>
          <w:rFonts w:hint="eastAsia" w:ascii="黑体" w:hAnsi="宋体" w:eastAsia="黑体"/>
          <w:color w:val="auto"/>
          <w:sz w:val="28"/>
          <w:szCs w:val="28"/>
        </w:rPr>
        <w:t>附件2：</w:t>
      </w:r>
    </w:p>
    <w:p w14:paraId="67DBE309">
      <w:pPr>
        <w:spacing w:line="588" w:lineRule="exact"/>
        <w:jc w:val="center"/>
        <w:rPr>
          <w:rFonts w:ascii="宋体" w:hAnsi="宋体"/>
          <w:b/>
          <w:color w:val="auto"/>
          <w:spacing w:val="6"/>
          <w:sz w:val="36"/>
          <w:szCs w:val="36"/>
        </w:rPr>
      </w:pPr>
      <w:bookmarkStart w:id="257" w:name="OLE_LINK13"/>
      <w:bookmarkStart w:id="258" w:name="OLE_LINK14"/>
    </w:p>
    <w:p w14:paraId="5EAD639C">
      <w:pPr>
        <w:spacing w:line="588" w:lineRule="exact"/>
        <w:jc w:val="center"/>
        <w:rPr>
          <w:rFonts w:hint="eastAsia" w:ascii="仿宋" w:hAnsi="仿宋" w:eastAsia="仿宋" w:cs="仿宋"/>
          <w:b/>
          <w:color w:val="auto"/>
          <w:spacing w:val="6"/>
          <w:sz w:val="24"/>
          <w:szCs w:val="24"/>
        </w:rPr>
      </w:pPr>
      <w:r>
        <w:rPr>
          <w:rFonts w:hint="eastAsia" w:ascii="仿宋" w:hAnsi="仿宋" w:eastAsia="仿宋" w:cs="仿宋"/>
          <w:b/>
          <w:color w:val="auto"/>
          <w:spacing w:val="6"/>
          <w:sz w:val="24"/>
          <w:szCs w:val="24"/>
        </w:rPr>
        <w:t>残疾人福利性单位声明函</w:t>
      </w:r>
    </w:p>
    <w:bookmarkEnd w:id="257"/>
    <w:bookmarkEnd w:id="258"/>
    <w:p w14:paraId="25B57041">
      <w:pPr>
        <w:spacing w:line="588" w:lineRule="exact"/>
        <w:rPr>
          <w:rFonts w:hint="eastAsia" w:ascii="仿宋" w:hAnsi="仿宋" w:eastAsia="仿宋" w:cs="仿宋"/>
          <w:b/>
          <w:color w:val="auto"/>
          <w:spacing w:val="6"/>
          <w:sz w:val="24"/>
          <w:szCs w:val="24"/>
        </w:rPr>
      </w:pPr>
    </w:p>
    <w:p w14:paraId="23841CDE">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本单位郑重声明，根据《财政部 民政部 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158C76">
      <w:pPr>
        <w:spacing w:line="360" w:lineRule="auto"/>
        <w:ind w:firstLine="504" w:firstLineChars="200"/>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本单位对上述声明的真实性负责。如有虚假，将依法承担相应责任。</w:t>
      </w:r>
    </w:p>
    <w:p w14:paraId="68BE78A1">
      <w:pPr>
        <w:spacing w:line="360" w:lineRule="auto"/>
        <w:ind w:firstLine="504" w:firstLineChars="200"/>
        <w:rPr>
          <w:rFonts w:hint="eastAsia" w:ascii="仿宋" w:hAnsi="仿宋" w:eastAsia="仿宋" w:cs="仿宋"/>
          <w:color w:val="auto"/>
          <w:spacing w:val="6"/>
          <w:sz w:val="24"/>
          <w:szCs w:val="24"/>
        </w:rPr>
      </w:pPr>
    </w:p>
    <w:p w14:paraId="2715AB9F">
      <w:pPr>
        <w:spacing w:line="360" w:lineRule="auto"/>
        <w:ind w:firstLine="504" w:firstLineChars="200"/>
        <w:rPr>
          <w:rFonts w:hint="eastAsia" w:ascii="仿宋" w:hAnsi="仿宋" w:eastAsia="仿宋" w:cs="仿宋"/>
          <w:color w:val="auto"/>
          <w:spacing w:val="6"/>
          <w:sz w:val="24"/>
          <w:szCs w:val="24"/>
        </w:rPr>
      </w:pPr>
    </w:p>
    <w:p w14:paraId="36DC4EE9">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单位名称：</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（盖单位章）</w:t>
      </w:r>
    </w:p>
    <w:p w14:paraId="6B2A81CC">
      <w:pPr>
        <w:tabs>
          <w:tab w:val="left" w:pos="4860"/>
        </w:tabs>
        <w:spacing w:line="360" w:lineRule="auto"/>
        <w:ind w:right="1560" w:firstLine="504" w:firstLineChars="200"/>
        <w:jc w:val="center"/>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 xml:space="preserve"> </w:t>
      </w:r>
    </w:p>
    <w:p w14:paraId="4226F4CE">
      <w:pPr>
        <w:tabs>
          <w:tab w:val="left" w:pos="4860"/>
        </w:tabs>
        <w:spacing w:line="360" w:lineRule="auto"/>
        <w:ind w:right="1560" w:firstLine="504" w:firstLineChars="200"/>
        <w:jc w:val="center"/>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                   日    期：</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月</w:t>
      </w:r>
      <w:r>
        <w:rPr>
          <w:rFonts w:hint="eastAsia" w:ascii="仿宋" w:hAnsi="仿宋" w:eastAsia="仿宋" w:cs="仿宋"/>
          <w:color w:val="auto"/>
          <w:spacing w:val="6"/>
          <w:sz w:val="24"/>
          <w:szCs w:val="24"/>
          <w:u w:val="single"/>
        </w:rPr>
        <w:t xml:space="preserve">   </w:t>
      </w:r>
      <w:r>
        <w:rPr>
          <w:rFonts w:hint="eastAsia" w:ascii="仿宋" w:hAnsi="仿宋" w:eastAsia="仿宋" w:cs="仿宋"/>
          <w:color w:val="auto"/>
          <w:spacing w:val="6"/>
          <w:sz w:val="24"/>
          <w:szCs w:val="24"/>
        </w:rPr>
        <w:t>日</w:t>
      </w:r>
    </w:p>
    <w:p w14:paraId="515528CC">
      <w:pPr>
        <w:adjustRightInd w:val="0"/>
        <w:snapToGrid w:val="0"/>
        <w:spacing w:line="360" w:lineRule="auto"/>
        <w:rPr>
          <w:rFonts w:hint="eastAsia" w:ascii="仿宋" w:hAnsi="仿宋" w:eastAsia="仿宋" w:cs="仿宋"/>
          <w:b/>
          <w:color w:val="auto"/>
          <w:sz w:val="24"/>
          <w:szCs w:val="24"/>
        </w:rPr>
      </w:pPr>
    </w:p>
    <w:p w14:paraId="63CC75BE">
      <w:pPr>
        <w:adjustRightInd w:val="0"/>
        <w:snapToGrid w:val="0"/>
        <w:spacing w:before="50" w:line="360" w:lineRule="auto"/>
        <w:jc w:val="center"/>
        <w:rPr>
          <w:rFonts w:hint="eastAsia" w:ascii="仿宋" w:hAnsi="仿宋" w:eastAsia="仿宋" w:cs="仿宋"/>
          <w:b/>
          <w:color w:val="auto"/>
          <w:sz w:val="24"/>
          <w:szCs w:val="24"/>
        </w:rPr>
      </w:pPr>
    </w:p>
    <w:p w14:paraId="0527B26E">
      <w:pPr>
        <w:adjustRightInd w:val="0"/>
        <w:snapToGrid w:val="0"/>
        <w:spacing w:before="50" w:line="360" w:lineRule="auto"/>
        <w:jc w:val="center"/>
        <w:rPr>
          <w:rFonts w:hint="eastAsia" w:ascii="仿宋" w:hAnsi="仿宋" w:eastAsia="仿宋" w:cs="仿宋"/>
          <w:b/>
          <w:color w:val="auto"/>
          <w:sz w:val="24"/>
          <w:szCs w:val="24"/>
        </w:rPr>
      </w:pPr>
    </w:p>
    <w:p w14:paraId="52CC5AF0">
      <w:pPr>
        <w:adjustRightInd w:val="0"/>
        <w:snapToGrid w:val="0"/>
        <w:spacing w:before="50" w:line="360" w:lineRule="auto"/>
        <w:jc w:val="center"/>
        <w:rPr>
          <w:rFonts w:hint="eastAsia" w:ascii="仿宋" w:hAnsi="仿宋" w:eastAsia="仿宋" w:cs="仿宋"/>
          <w:b/>
          <w:color w:val="auto"/>
          <w:sz w:val="24"/>
          <w:szCs w:val="24"/>
        </w:rPr>
      </w:pPr>
    </w:p>
    <w:p w14:paraId="2551173D">
      <w:pPr>
        <w:adjustRightInd w:val="0"/>
        <w:snapToGrid w:val="0"/>
        <w:spacing w:before="50" w:line="360" w:lineRule="auto"/>
        <w:jc w:val="center"/>
        <w:rPr>
          <w:rFonts w:hint="eastAsia" w:ascii="仿宋" w:hAnsi="仿宋" w:eastAsia="仿宋" w:cs="仿宋"/>
          <w:b/>
          <w:color w:val="auto"/>
          <w:sz w:val="24"/>
          <w:szCs w:val="24"/>
        </w:rPr>
      </w:pPr>
    </w:p>
    <w:p w14:paraId="278ADBB7">
      <w:pPr>
        <w:adjustRightInd w:val="0"/>
        <w:snapToGrid w:val="0"/>
        <w:spacing w:line="36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说明：（1）填报前请认真阅读</w:t>
      </w:r>
      <w:r>
        <w:rPr>
          <w:rFonts w:hint="eastAsia" w:ascii="仿宋" w:hAnsi="仿宋" w:eastAsia="仿宋" w:cs="仿宋"/>
          <w:color w:val="auto"/>
          <w:spacing w:val="6"/>
          <w:sz w:val="24"/>
          <w:szCs w:val="24"/>
        </w:rPr>
        <w:t>《财政部、民政部、中国残疾人联合会关于促进残疾人就业政府采购政策的通知》（财库</w:t>
      </w: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037</w:t>
      </w:r>
      <w:r>
        <w:rPr>
          <w:rFonts w:hint="eastAsia" w:ascii="仿宋" w:hAnsi="仿宋" w:eastAsia="仿宋" w:cs="仿宋"/>
          <w:color w:val="auto"/>
          <w:sz w:val="24"/>
          <w:szCs w:val="24"/>
        </w:rPr>
        <w:t>〕141</w:t>
      </w:r>
      <w:r>
        <w:rPr>
          <w:rFonts w:hint="eastAsia" w:ascii="仿宋" w:hAnsi="仿宋" w:eastAsia="仿宋" w:cs="仿宋"/>
          <w:color w:val="auto"/>
          <w:spacing w:val="6"/>
          <w:sz w:val="24"/>
          <w:szCs w:val="24"/>
        </w:rPr>
        <w:t>号）的规定。</w:t>
      </w:r>
    </w:p>
    <w:p w14:paraId="454AC792">
      <w:pPr>
        <w:adjustRightInd w:val="0"/>
        <w:snapToGrid w:val="0"/>
        <w:spacing w:line="360" w:lineRule="exact"/>
        <w:ind w:firstLine="600" w:firstLineChars="250"/>
        <w:rPr>
          <w:rFonts w:ascii="楷体" w:hAnsi="楷体" w:eastAsia="楷体"/>
          <w:bCs/>
          <w:color w:val="auto"/>
          <w:szCs w:val="21"/>
        </w:rPr>
      </w:pPr>
      <w:r>
        <w:rPr>
          <w:rFonts w:hint="eastAsia" w:ascii="仿宋" w:hAnsi="仿宋" w:eastAsia="仿宋" w:cs="仿宋"/>
          <w:color w:val="auto"/>
          <w:sz w:val="24"/>
          <w:szCs w:val="24"/>
        </w:rPr>
        <w:t>（2）供应商属于残疾人福利性单位的，必须填报有关数据，</w:t>
      </w:r>
      <w:r>
        <w:rPr>
          <w:rFonts w:hint="eastAsia" w:ascii="仿宋" w:hAnsi="仿宋" w:eastAsia="仿宋" w:cs="仿宋"/>
          <w:bCs/>
          <w:color w:val="auto"/>
          <w:sz w:val="24"/>
          <w:szCs w:val="24"/>
        </w:rPr>
        <w:t>未按要求提供的，不享受报价扣除优惠政策。</w:t>
      </w:r>
    </w:p>
    <w:p w14:paraId="3FEC2CA1">
      <w:pPr>
        <w:adjustRightInd w:val="0"/>
        <w:snapToGrid w:val="0"/>
        <w:spacing w:line="360" w:lineRule="exact"/>
        <w:ind w:firstLine="525" w:firstLineChars="250"/>
        <w:rPr>
          <w:rFonts w:ascii="楷体" w:hAnsi="楷体" w:eastAsia="楷体"/>
          <w:color w:val="auto"/>
          <w:szCs w:val="21"/>
        </w:rPr>
      </w:pPr>
    </w:p>
    <w:p w14:paraId="0001D13B">
      <w:pPr>
        <w:pStyle w:val="12"/>
        <w:rPr>
          <w:color w:val="auto"/>
        </w:rPr>
      </w:pPr>
    </w:p>
    <w:p w14:paraId="68EB5ADC">
      <w:pPr>
        <w:adjustRightInd w:val="0"/>
        <w:snapToGrid w:val="0"/>
        <w:spacing w:line="360" w:lineRule="auto"/>
        <w:rPr>
          <w:rFonts w:ascii="宋体" w:hAnsi="宋体"/>
          <w:b/>
          <w:color w:val="auto"/>
          <w:sz w:val="28"/>
          <w:szCs w:val="28"/>
        </w:rPr>
      </w:pPr>
    </w:p>
    <w:p w14:paraId="2EBB6B41">
      <w:pPr>
        <w:pStyle w:val="2"/>
        <w:rPr>
          <w:rFonts w:ascii="宋体" w:hAnsi="宋体"/>
          <w:b/>
          <w:color w:val="auto"/>
          <w:sz w:val="28"/>
          <w:szCs w:val="28"/>
        </w:rPr>
      </w:pPr>
    </w:p>
    <w:p w14:paraId="6FE1A832">
      <w:pPr>
        <w:rPr>
          <w:color w:val="auto"/>
        </w:rPr>
      </w:pPr>
    </w:p>
    <w:p w14:paraId="3328E988">
      <w:pPr>
        <w:pStyle w:val="12"/>
        <w:rPr>
          <w:color w:val="auto"/>
        </w:rPr>
      </w:pPr>
    </w:p>
    <w:p w14:paraId="3BECD423">
      <w:pPr>
        <w:adjustRightInd w:val="0"/>
        <w:snapToGrid w:val="0"/>
        <w:spacing w:line="360" w:lineRule="auto"/>
        <w:rPr>
          <w:rFonts w:hint="eastAsia" w:ascii="黑体" w:hAnsi="宋体" w:eastAsia="黑体"/>
          <w:color w:val="auto"/>
          <w:sz w:val="28"/>
          <w:szCs w:val="28"/>
        </w:rPr>
      </w:pPr>
      <w:r>
        <w:rPr>
          <w:rFonts w:hint="eastAsia" w:ascii="黑体" w:hAnsi="宋体" w:eastAsia="黑体"/>
          <w:color w:val="auto"/>
          <w:sz w:val="28"/>
          <w:szCs w:val="28"/>
        </w:rPr>
        <w:t>附件3：</w:t>
      </w:r>
    </w:p>
    <w:p w14:paraId="69DFE21B">
      <w:pPr>
        <w:adjustRightInd w:val="0"/>
        <w:snapToGrid w:val="0"/>
        <w:spacing w:before="50" w:line="360" w:lineRule="auto"/>
        <w:jc w:val="center"/>
        <w:rPr>
          <w:rFonts w:ascii="宋体" w:hAnsi="宋体"/>
          <w:b/>
          <w:color w:val="auto"/>
          <w:sz w:val="36"/>
          <w:szCs w:val="36"/>
        </w:rPr>
      </w:pPr>
      <w:r>
        <w:rPr>
          <w:rFonts w:hint="eastAsia" w:ascii="宋体" w:hAnsi="宋体"/>
          <w:b/>
          <w:color w:val="auto"/>
          <w:sz w:val="36"/>
          <w:szCs w:val="36"/>
        </w:rPr>
        <w:t>监狱企业证明文件</w:t>
      </w:r>
    </w:p>
    <w:p w14:paraId="2FD2A52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1C9D1D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609F74D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 购 人 名 称 )    </w:t>
      </w:r>
    </w:p>
    <w:p w14:paraId="114E12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4A390C7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p>
    <w:p w14:paraId="794922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本单位郑重声明，根据《财政部司法部关于政府采购支持监狱企业发展有关问题的通知》(财库〔2014)68号〕的规定，本单位为符合条件的监狱企业，且本单位参加单位的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项目采购活动提供本单位制造的货物(由本单位承担工程/提供 服务)。</w:t>
      </w:r>
    </w:p>
    <w:p w14:paraId="4BBB90B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6BD2D5B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24"/>
          <w:szCs w:val="24"/>
        </w:rPr>
      </w:pPr>
      <w:r>
        <w:rPr>
          <w:rFonts w:hint="eastAsia" w:ascii="仿宋" w:hAnsi="仿宋" w:eastAsia="仿宋" w:cs="仿宋"/>
          <w:sz w:val="24"/>
          <w:szCs w:val="24"/>
        </w:rPr>
        <w:t>特此声明。</w:t>
      </w:r>
    </w:p>
    <w:p w14:paraId="4D38DA44">
      <w:pPr>
        <w:rPr>
          <w:rFonts w:hint="eastAsia" w:ascii="仿宋" w:hAnsi="仿宋" w:eastAsia="仿宋" w:cs="仿宋"/>
          <w:sz w:val="24"/>
          <w:szCs w:val="24"/>
        </w:rPr>
      </w:pPr>
    </w:p>
    <w:p w14:paraId="41B1C43E">
      <w:pPr>
        <w:rPr>
          <w:rFonts w:hint="eastAsia" w:ascii="仿宋" w:hAnsi="仿宋" w:eastAsia="仿宋" w:cs="仿宋"/>
          <w:sz w:val="24"/>
          <w:szCs w:val="24"/>
        </w:rPr>
      </w:pPr>
    </w:p>
    <w:p w14:paraId="413FCCAE">
      <w:pPr>
        <w:rPr>
          <w:rFonts w:hint="eastAsia" w:ascii="仿宋" w:hAnsi="仿宋" w:eastAsia="仿宋" w:cs="仿宋"/>
          <w:sz w:val="24"/>
          <w:szCs w:val="24"/>
        </w:rPr>
      </w:pPr>
    </w:p>
    <w:p w14:paraId="6E99F4F2">
      <w:pPr>
        <w:rPr>
          <w:rFonts w:hint="eastAsia" w:ascii="仿宋" w:hAnsi="仿宋" w:eastAsia="仿宋" w:cs="仿宋"/>
          <w:sz w:val="24"/>
          <w:szCs w:val="24"/>
        </w:rPr>
      </w:pPr>
    </w:p>
    <w:p w14:paraId="037A0E7A">
      <w:pPr>
        <w:rPr>
          <w:rFonts w:hint="eastAsia" w:ascii="仿宋" w:hAnsi="仿宋" w:eastAsia="仿宋" w:cs="仿宋"/>
          <w:sz w:val="24"/>
          <w:szCs w:val="24"/>
        </w:rPr>
      </w:pPr>
    </w:p>
    <w:p w14:paraId="586D59E4">
      <w:pPr>
        <w:rPr>
          <w:rFonts w:hint="eastAsia" w:ascii="仿宋" w:hAnsi="仿宋" w:eastAsia="仿宋" w:cs="仿宋"/>
          <w:sz w:val="24"/>
          <w:szCs w:val="24"/>
        </w:rPr>
      </w:pPr>
    </w:p>
    <w:p w14:paraId="6CED71E2">
      <w:pPr>
        <w:jc w:val="right"/>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 盖 单 位 章 )</w:t>
      </w:r>
    </w:p>
    <w:p w14:paraId="64F4237B">
      <w:pPr>
        <w:rPr>
          <w:rFonts w:hint="eastAsia" w:ascii="仿宋" w:hAnsi="仿宋" w:eastAsia="仿宋" w:cs="仿宋"/>
          <w:sz w:val="24"/>
          <w:szCs w:val="24"/>
        </w:rPr>
      </w:pPr>
    </w:p>
    <w:p w14:paraId="75A3DCAD">
      <w:pPr>
        <w:rPr>
          <w:rFonts w:hint="eastAsia" w:ascii="仿宋" w:hAnsi="仿宋" w:eastAsia="仿宋" w:cs="仿宋"/>
          <w:sz w:val="24"/>
          <w:szCs w:val="24"/>
        </w:rPr>
      </w:pPr>
    </w:p>
    <w:p w14:paraId="7093AEE7">
      <w:pPr>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_</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1A421F1D">
      <w:pPr>
        <w:rPr>
          <w:rFonts w:hint="eastAsia" w:ascii="仿宋" w:hAnsi="仿宋" w:eastAsia="仿宋" w:cs="仿宋"/>
          <w:b/>
          <w:color w:val="auto"/>
          <w:sz w:val="24"/>
          <w:szCs w:val="24"/>
        </w:rPr>
      </w:pPr>
    </w:p>
    <w:p w14:paraId="63BF1990">
      <w:pPr>
        <w:pStyle w:val="2"/>
        <w:rPr>
          <w:rFonts w:hint="eastAsia" w:ascii="仿宋" w:hAnsi="仿宋" w:eastAsia="仿宋" w:cs="仿宋"/>
          <w:color w:val="auto"/>
          <w:sz w:val="24"/>
          <w:szCs w:val="24"/>
        </w:rPr>
      </w:pPr>
    </w:p>
    <w:p w14:paraId="28124EEF">
      <w:pPr>
        <w:adjustRightInd w:val="0"/>
        <w:snapToGrid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说明：</w:t>
      </w:r>
    </w:p>
    <w:p w14:paraId="039E1DF6">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color w:val="auto"/>
          <w:sz w:val="24"/>
          <w:szCs w:val="24"/>
        </w:rPr>
        <w:t>1.填报前请认真阅读</w:t>
      </w:r>
      <w:r>
        <w:rPr>
          <w:rFonts w:hint="eastAsia" w:ascii="仿宋" w:hAnsi="仿宋" w:eastAsia="仿宋" w:cs="仿宋"/>
          <w:color w:val="auto"/>
          <w:spacing w:val="6"/>
          <w:sz w:val="24"/>
          <w:szCs w:val="24"/>
        </w:rPr>
        <w:t>《财政部、司法部关于政府采购支持监狱企业发展有关问题的通知》（财库</w:t>
      </w:r>
      <w:r>
        <w:rPr>
          <w:rFonts w:hint="eastAsia" w:ascii="仿宋" w:hAnsi="仿宋" w:eastAsia="仿宋" w:cs="仿宋"/>
          <w:color w:val="auto"/>
          <w:sz w:val="24"/>
          <w:szCs w:val="24"/>
        </w:rPr>
        <w:t>〔2014〕68</w:t>
      </w:r>
      <w:r>
        <w:rPr>
          <w:rFonts w:hint="eastAsia" w:ascii="仿宋" w:hAnsi="仿宋" w:eastAsia="仿宋" w:cs="仿宋"/>
          <w:color w:val="auto"/>
          <w:spacing w:val="6"/>
          <w:sz w:val="24"/>
          <w:szCs w:val="24"/>
        </w:rPr>
        <w:t>号）的规定；</w:t>
      </w:r>
    </w:p>
    <w:p w14:paraId="5B88FC5A">
      <w:pPr>
        <w:adjustRightInd w:val="0"/>
        <w:snapToGrid w:val="0"/>
        <w:spacing w:line="360" w:lineRule="exact"/>
        <w:ind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2.无格式要求，由出具监狱企业证明的单位自行拟定；</w:t>
      </w:r>
    </w:p>
    <w:p w14:paraId="39AFE2E8">
      <w:pPr>
        <w:adjustRightInd w:val="0"/>
        <w:snapToGrid w:val="0"/>
        <w:spacing w:line="360" w:lineRule="exact"/>
        <w:ind w:firstLine="600" w:firstLineChars="250"/>
        <w:rPr>
          <w:rFonts w:hint="eastAsia" w:ascii="仿宋" w:hAnsi="仿宋" w:eastAsia="仿宋" w:cs="仿宋"/>
          <w:bCs/>
          <w:color w:val="auto"/>
          <w:sz w:val="24"/>
          <w:szCs w:val="24"/>
        </w:rPr>
      </w:pPr>
      <w:r>
        <w:rPr>
          <w:rFonts w:hint="eastAsia" w:ascii="仿宋" w:hAnsi="仿宋" w:eastAsia="仿宋" w:cs="仿宋"/>
          <w:color w:val="auto"/>
          <w:sz w:val="24"/>
          <w:szCs w:val="24"/>
        </w:rPr>
        <w:t>供应商属于监狱企业的，</w:t>
      </w:r>
      <w:r>
        <w:rPr>
          <w:rFonts w:hint="eastAsia" w:ascii="仿宋" w:hAnsi="仿宋" w:eastAsia="仿宋" w:cs="仿宋"/>
          <w:bCs/>
          <w:color w:val="auto"/>
          <w:sz w:val="24"/>
          <w:szCs w:val="24"/>
        </w:rPr>
        <w:t>未按上述要求提供的，不享受报价扣除优惠政策。</w:t>
      </w:r>
    </w:p>
    <w:p w14:paraId="375DBBD4">
      <w:pPr>
        <w:adjustRightInd w:val="0"/>
        <w:snapToGrid w:val="0"/>
        <w:spacing w:line="360" w:lineRule="exact"/>
        <w:ind w:left="525" w:leftChars="250"/>
        <w:rPr>
          <w:rFonts w:ascii="楷体" w:hAnsi="楷体" w:eastAsia="楷体"/>
          <w:bCs/>
          <w:color w:val="auto"/>
          <w:szCs w:val="21"/>
        </w:rPr>
      </w:pPr>
    </w:p>
    <w:p w14:paraId="2AFDA664">
      <w:pPr>
        <w:pStyle w:val="2"/>
        <w:rPr>
          <w:rFonts w:eastAsia="楷体"/>
          <w:color w:val="auto"/>
        </w:rPr>
      </w:pPr>
    </w:p>
    <w:p w14:paraId="22350E93">
      <w:pPr>
        <w:adjustRightInd w:val="0"/>
        <w:snapToGrid w:val="0"/>
        <w:spacing w:line="360" w:lineRule="auto"/>
        <w:ind w:firstLine="525"/>
        <w:rPr>
          <w:rFonts w:ascii="楷体" w:hAnsi="楷体" w:eastAsia="楷体"/>
          <w:color w:val="auto"/>
          <w:szCs w:val="21"/>
        </w:rPr>
      </w:pPr>
    </w:p>
    <w:p w14:paraId="565C16B4">
      <w:pPr>
        <w:rPr>
          <w:rFonts w:ascii="楷体" w:hAnsi="楷体" w:eastAsia="楷体"/>
          <w:color w:val="auto"/>
          <w:szCs w:val="21"/>
        </w:rPr>
      </w:pPr>
      <w:r>
        <w:rPr>
          <w:rFonts w:hint="eastAsia" w:ascii="楷体" w:hAnsi="楷体" w:eastAsia="楷体"/>
          <w:color w:val="auto"/>
          <w:szCs w:val="21"/>
        </w:rPr>
        <w:br w:type="page"/>
      </w:r>
    </w:p>
    <w:p w14:paraId="47DBE615">
      <w:pPr>
        <w:tabs>
          <w:tab w:val="left" w:pos="3600"/>
        </w:tabs>
        <w:adjustRightInd w:val="0"/>
        <w:snapToGrid w:val="0"/>
        <w:spacing w:line="360" w:lineRule="auto"/>
        <w:ind w:firstLine="723" w:firstLineChars="200"/>
        <w:jc w:val="left"/>
        <w:rPr>
          <w:rFonts w:ascii="宋体" w:hAnsi="宋体"/>
          <w:b/>
          <w:bCs/>
          <w:color w:val="auto"/>
          <w:sz w:val="36"/>
          <w:szCs w:val="36"/>
        </w:rPr>
      </w:pPr>
      <w:r>
        <w:rPr>
          <w:rFonts w:hint="eastAsia" w:ascii="宋体" w:hAnsi="宋体"/>
          <w:b/>
          <w:bCs/>
          <w:color w:val="auto"/>
          <w:sz w:val="36"/>
          <w:szCs w:val="36"/>
        </w:rPr>
        <w:t>十</w:t>
      </w:r>
      <w:r>
        <w:rPr>
          <w:rFonts w:hint="eastAsia" w:ascii="宋体" w:hAnsi="宋体"/>
          <w:b/>
          <w:bCs/>
          <w:color w:val="auto"/>
          <w:sz w:val="36"/>
          <w:szCs w:val="36"/>
          <w:lang w:val="en-US" w:eastAsia="zh-CN"/>
        </w:rPr>
        <w:t>四</w:t>
      </w:r>
      <w:r>
        <w:rPr>
          <w:rFonts w:hint="eastAsia" w:ascii="宋体" w:hAnsi="宋体"/>
          <w:b/>
          <w:bCs/>
          <w:color w:val="auto"/>
          <w:sz w:val="36"/>
          <w:szCs w:val="36"/>
        </w:rPr>
        <w:t>、供应商认为需要提供的其他文件和资料</w:t>
      </w:r>
    </w:p>
    <w:p w14:paraId="18CF253F">
      <w:pPr>
        <w:pStyle w:val="14"/>
        <w:rPr>
          <w:rFonts w:ascii="宋体" w:hAnsi="宋体"/>
          <w:b/>
          <w:bCs/>
          <w:color w:val="auto"/>
          <w:sz w:val="36"/>
          <w:szCs w:val="36"/>
        </w:rPr>
      </w:pPr>
    </w:p>
    <w:p w14:paraId="14C8C5BA">
      <w:pPr>
        <w:pStyle w:val="14"/>
        <w:rPr>
          <w:rFonts w:ascii="宋体" w:hAnsi="宋体"/>
          <w:b/>
          <w:bCs/>
          <w:color w:val="auto"/>
          <w:sz w:val="36"/>
          <w:szCs w:val="36"/>
        </w:rPr>
      </w:pPr>
    </w:p>
    <w:p w14:paraId="0EFD8EB5">
      <w:pPr>
        <w:pStyle w:val="14"/>
        <w:rPr>
          <w:rFonts w:ascii="宋体" w:hAnsi="宋体"/>
          <w:b/>
          <w:bCs/>
          <w:color w:val="auto"/>
          <w:sz w:val="36"/>
          <w:szCs w:val="36"/>
        </w:rPr>
      </w:pPr>
    </w:p>
    <w:p w14:paraId="2C0428A2">
      <w:pPr>
        <w:pStyle w:val="14"/>
        <w:rPr>
          <w:rFonts w:ascii="宋体" w:hAnsi="宋体"/>
          <w:b/>
          <w:bCs/>
          <w:color w:val="auto"/>
          <w:sz w:val="36"/>
          <w:szCs w:val="36"/>
        </w:rPr>
      </w:pPr>
    </w:p>
    <w:p w14:paraId="4DAAA93F">
      <w:pPr>
        <w:pStyle w:val="14"/>
        <w:rPr>
          <w:rFonts w:ascii="宋体" w:hAnsi="宋体"/>
          <w:b/>
          <w:bCs/>
          <w:color w:val="auto"/>
          <w:sz w:val="36"/>
          <w:szCs w:val="36"/>
        </w:rPr>
      </w:pPr>
    </w:p>
    <w:p w14:paraId="1F960DFF">
      <w:pPr>
        <w:pStyle w:val="14"/>
        <w:rPr>
          <w:rFonts w:ascii="宋体" w:hAnsi="宋体"/>
          <w:b/>
          <w:bCs/>
          <w:color w:val="auto"/>
          <w:sz w:val="36"/>
          <w:szCs w:val="36"/>
        </w:rPr>
      </w:pPr>
    </w:p>
    <w:p w14:paraId="3E47B317">
      <w:pPr>
        <w:pStyle w:val="14"/>
        <w:rPr>
          <w:rFonts w:ascii="宋体" w:hAnsi="宋体"/>
          <w:b/>
          <w:bCs/>
          <w:color w:val="auto"/>
          <w:sz w:val="36"/>
          <w:szCs w:val="36"/>
        </w:rPr>
      </w:pPr>
    </w:p>
    <w:p w14:paraId="63D9202A">
      <w:pPr>
        <w:pStyle w:val="14"/>
        <w:rPr>
          <w:rFonts w:ascii="宋体" w:hAnsi="宋体"/>
          <w:b/>
          <w:bCs/>
          <w:color w:val="auto"/>
          <w:sz w:val="36"/>
          <w:szCs w:val="36"/>
        </w:rPr>
      </w:pPr>
    </w:p>
    <w:p w14:paraId="4E72214A">
      <w:pPr>
        <w:pStyle w:val="14"/>
        <w:rPr>
          <w:rFonts w:ascii="宋体" w:hAnsi="宋体"/>
          <w:b/>
          <w:bCs/>
          <w:color w:val="auto"/>
          <w:sz w:val="36"/>
          <w:szCs w:val="36"/>
        </w:rPr>
      </w:pPr>
    </w:p>
    <w:p w14:paraId="65675848">
      <w:pPr>
        <w:pStyle w:val="14"/>
        <w:rPr>
          <w:rFonts w:ascii="宋体" w:hAnsi="宋体"/>
          <w:b/>
          <w:bCs/>
          <w:color w:val="auto"/>
          <w:sz w:val="36"/>
          <w:szCs w:val="36"/>
        </w:rPr>
      </w:pPr>
    </w:p>
    <w:p w14:paraId="36FF96AA">
      <w:pPr>
        <w:pStyle w:val="14"/>
        <w:rPr>
          <w:rFonts w:ascii="宋体" w:hAnsi="宋体"/>
          <w:b/>
          <w:bCs/>
          <w:color w:val="auto"/>
          <w:sz w:val="36"/>
          <w:szCs w:val="36"/>
        </w:rPr>
      </w:pPr>
    </w:p>
    <w:p w14:paraId="580CD59B">
      <w:pPr>
        <w:pStyle w:val="14"/>
        <w:rPr>
          <w:rFonts w:ascii="宋体" w:hAnsi="宋体"/>
          <w:b/>
          <w:bCs/>
          <w:color w:val="auto"/>
          <w:sz w:val="36"/>
          <w:szCs w:val="36"/>
        </w:rPr>
      </w:pPr>
    </w:p>
    <w:p w14:paraId="7B0BD0F9">
      <w:pPr>
        <w:pStyle w:val="14"/>
        <w:rPr>
          <w:rFonts w:ascii="宋体" w:hAnsi="宋体"/>
          <w:b/>
          <w:bCs/>
          <w:color w:val="auto"/>
          <w:sz w:val="36"/>
          <w:szCs w:val="36"/>
        </w:rPr>
      </w:pPr>
    </w:p>
    <w:p w14:paraId="77B6F77B">
      <w:pPr>
        <w:pStyle w:val="14"/>
        <w:rPr>
          <w:rFonts w:ascii="宋体" w:hAnsi="宋体"/>
          <w:b/>
          <w:bCs/>
          <w:color w:val="auto"/>
          <w:sz w:val="36"/>
          <w:szCs w:val="36"/>
        </w:rPr>
      </w:pPr>
    </w:p>
    <w:p w14:paraId="0266E456">
      <w:pPr>
        <w:pStyle w:val="14"/>
        <w:rPr>
          <w:rFonts w:ascii="宋体" w:hAnsi="宋体"/>
          <w:b/>
          <w:bCs/>
          <w:color w:val="auto"/>
          <w:sz w:val="36"/>
          <w:szCs w:val="36"/>
        </w:rPr>
      </w:pPr>
    </w:p>
    <w:p w14:paraId="180C9D6B">
      <w:pPr>
        <w:pStyle w:val="14"/>
        <w:rPr>
          <w:rFonts w:ascii="宋体" w:hAnsi="宋体"/>
          <w:b/>
          <w:bCs/>
          <w:color w:val="auto"/>
          <w:sz w:val="36"/>
          <w:szCs w:val="36"/>
        </w:rPr>
      </w:pPr>
    </w:p>
    <w:p w14:paraId="64C906EA">
      <w:pPr>
        <w:pStyle w:val="14"/>
        <w:rPr>
          <w:rFonts w:ascii="宋体" w:hAnsi="宋体"/>
          <w:b/>
          <w:bCs/>
          <w:color w:val="auto"/>
          <w:sz w:val="36"/>
          <w:szCs w:val="36"/>
        </w:rPr>
      </w:pPr>
    </w:p>
    <w:p w14:paraId="7F8C0447">
      <w:pPr>
        <w:pStyle w:val="14"/>
        <w:rPr>
          <w:rFonts w:ascii="宋体" w:hAnsi="宋体"/>
          <w:b/>
          <w:bCs/>
          <w:color w:val="auto"/>
          <w:sz w:val="36"/>
          <w:szCs w:val="36"/>
        </w:rPr>
      </w:pPr>
    </w:p>
    <w:p w14:paraId="631CFD0F">
      <w:pPr>
        <w:pStyle w:val="14"/>
        <w:rPr>
          <w:rFonts w:ascii="宋体" w:hAnsi="宋体"/>
          <w:b/>
          <w:bCs/>
          <w:color w:val="auto"/>
          <w:sz w:val="36"/>
          <w:szCs w:val="36"/>
        </w:rPr>
      </w:pPr>
    </w:p>
    <w:p w14:paraId="5FA0E531">
      <w:pPr>
        <w:pStyle w:val="14"/>
        <w:rPr>
          <w:rFonts w:ascii="宋体" w:hAnsi="宋体"/>
          <w:b/>
          <w:bCs/>
          <w:color w:val="auto"/>
          <w:sz w:val="36"/>
          <w:szCs w:val="36"/>
        </w:rPr>
      </w:pPr>
    </w:p>
    <w:p w14:paraId="0927B667">
      <w:pPr>
        <w:pStyle w:val="14"/>
        <w:rPr>
          <w:rFonts w:ascii="宋体" w:hAnsi="宋体"/>
          <w:b/>
          <w:bCs/>
          <w:color w:val="auto"/>
          <w:sz w:val="36"/>
          <w:szCs w:val="36"/>
        </w:rPr>
      </w:pPr>
    </w:p>
    <w:p w14:paraId="402A4CF0">
      <w:pPr>
        <w:pStyle w:val="14"/>
        <w:rPr>
          <w:rFonts w:ascii="宋体" w:hAnsi="宋体"/>
          <w:b/>
          <w:bCs/>
          <w:color w:val="auto"/>
          <w:sz w:val="36"/>
          <w:szCs w:val="36"/>
        </w:rPr>
      </w:pPr>
    </w:p>
    <w:p w14:paraId="67F6510C">
      <w:pPr>
        <w:pStyle w:val="14"/>
        <w:rPr>
          <w:rFonts w:ascii="宋体" w:hAnsi="宋体"/>
          <w:b/>
          <w:bCs/>
          <w:color w:val="auto"/>
          <w:sz w:val="36"/>
          <w:szCs w:val="36"/>
        </w:rPr>
      </w:pPr>
    </w:p>
    <w:p w14:paraId="3367F5A0">
      <w:pPr>
        <w:pStyle w:val="14"/>
        <w:rPr>
          <w:rFonts w:ascii="宋体" w:hAnsi="宋体"/>
          <w:b/>
          <w:bCs/>
          <w:color w:val="auto"/>
          <w:sz w:val="36"/>
          <w:szCs w:val="36"/>
        </w:rPr>
      </w:pPr>
    </w:p>
    <w:p w14:paraId="50848429">
      <w:pPr>
        <w:pStyle w:val="14"/>
        <w:rPr>
          <w:rFonts w:ascii="宋体" w:hAnsi="宋体"/>
          <w:b/>
          <w:bCs/>
          <w:color w:val="auto"/>
          <w:sz w:val="36"/>
          <w:szCs w:val="36"/>
        </w:rPr>
      </w:pPr>
    </w:p>
    <w:p w14:paraId="46A17EB0">
      <w:pPr>
        <w:pStyle w:val="14"/>
        <w:rPr>
          <w:rFonts w:ascii="宋体" w:hAnsi="宋体"/>
          <w:b/>
          <w:bCs/>
          <w:color w:val="auto"/>
          <w:sz w:val="36"/>
          <w:szCs w:val="36"/>
        </w:rPr>
      </w:pPr>
    </w:p>
    <w:p w14:paraId="704C09A4">
      <w:pPr>
        <w:pStyle w:val="14"/>
        <w:rPr>
          <w:rFonts w:ascii="宋体" w:hAnsi="宋体"/>
          <w:b/>
          <w:bCs/>
          <w:color w:val="auto"/>
          <w:sz w:val="36"/>
          <w:szCs w:val="36"/>
        </w:rPr>
      </w:pPr>
    </w:p>
    <w:p w14:paraId="020BA415">
      <w:pPr>
        <w:pStyle w:val="14"/>
        <w:rPr>
          <w:rFonts w:ascii="宋体" w:hAnsi="宋体"/>
          <w:b/>
          <w:bCs/>
          <w:color w:val="auto"/>
          <w:sz w:val="36"/>
          <w:szCs w:val="36"/>
        </w:rPr>
      </w:pPr>
    </w:p>
    <w:p w14:paraId="0881982F">
      <w:pPr>
        <w:pStyle w:val="14"/>
        <w:rPr>
          <w:rFonts w:ascii="宋体" w:hAnsi="宋体"/>
          <w:b/>
          <w:bCs/>
          <w:color w:val="auto"/>
          <w:sz w:val="36"/>
          <w:szCs w:val="36"/>
        </w:rPr>
      </w:pPr>
    </w:p>
    <w:p w14:paraId="25FFFB22">
      <w:pPr>
        <w:pStyle w:val="14"/>
        <w:rPr>
          <w:rFonts w:ascii="宋体" w:hAnsi="宋体"/>
          <w:b/>
          <w:bCs/>
          <w:color w:val="auto"/>
          <w:sz w:val="36"/>
          <w:szCs w:val="36"/>
        </w:rPr>
      </w:pPr>
    </w:p>
    <w:p w14:paraId="03301C3F">
      <w:pPr>
        <w:pStyle w:val="14"/>
        <w:rPr>
          <w:rFonts w:ascii="宋体" w:hAnsi="宋体"/>
          <w:b/>
          <w:bCs/>
          <w:color w:val="auto"/>
          <w:sz w:val="36"/>
          <w:szCs w:val="36"/>
        </w:rPr>
      </w:pPr>
    </w:p>
    <w:p w14:paraId="1CC8B381">
      <w:pPr>
        <w:pStyle w:val="14"/>
        <w:rPr>
          <w:rFonts w:ascii="宋体" w:hAnsi="宋体"/>
          <w:b/>
          <w:bCs/>
          <w:color w:val="auto"/>
          <w:sz w:val="36"/>
          <w:szCs w:val="36"/>
        </w:rPr>
      </w:pPr>
    </w:p>
    <w:p w14:paraId="701787FC">
      <w:pPr>
        <w:pStyle w:val="14"/>
        <w:rPr>
          <w:rFonts w:ascii="宋体" w:hAnsi="宋体"/>
          <w:b/>
          <w:bCs/>
          <w:color w:val="auto"/>
          <w:sz w:val="36"/>
          <w:szCs w:val="36"/>
        </w:rPr>
      </w:pPr>
    </w:p>
    <w:p w14:paraId="79E52A5D">
      <w:pPr>
        <w:pStyle w:val="14"/>
        <w:rPr>
          <w:rFonts w:ascii="宋体" w:hAnsi="宋体"/>
          <w:b/>
          <w:bCs/>
          <w:color w:val="auto"/>
          <w:sz w:val="36"/>
          <w:szCs w:val="36"/>
        </w:rPr>
      </w:pPr>
    </w:p>
    <w:p w14:paraId="59C392FF">
      <w:pPr>
        <w:pStyle w:val="14"/>
        <w:rPr>
          <w:rFonts w:ascii="宋体" w:hAnsi="宋体"/>
          <w:b/>
          <w:bCs/>
          <w:color w:val="auto"/>
          <w:sz w:val="36"/>
          <w:szCs w:val="36"/>
        </w:rPr>
      </w:pPr>
    </w:p>
    <w:p w14:paraId="50E3B3A6">
      <w:pPr>
        <w:pStyle w:val="14"/>
        <w:rPr>
          <w:rFonts w:ascii="宋体" w:hAnsi="宋体"/>
          <w:b/>
          <w:bCs/>
          <w:color w:val="auto"/>
          <w:sz w:val="36"/>
          <w:szCs w:val="36"/>
        </w:rPr>
      </w:pPr>
    </w:p>
    <w:p w14:paraId="5D9E2ABC">
      <w:pPr>
        <w:pStyle w:val="14"/>
        <w:rPr>
          <w:rFonts w:ascii="宋体" w:hAnsi="宋体"/>
          <w:b/>
          <w:bCs/>
          <w:color w:val="auto"/>
          <w:sz w:val="36"/>
          <w:szCs w:val="36"/>
        </w:rPr>
      </w:pPr>
    </w:p>
    <w:p w14:paraId="7E3F6A71">
      <w:pPr>
        <w:pStyle w:val="8"/>
        <w:spacing w:before="120" w:beforeLines="50"/>
        <w:ind w:firstLine="0"/>
        <w:jc w:val="center"/>
        <w:outlineLvl w:val="9"/>
        <w:rPr>
          <w:rFonts w:ascii="宋体" w:hAnsi="宋体"/>
          <w:b/>
          <w:color w:val="auto"/>
          <w:sz w:val="72"/>
          <w:szCs w:val="72"/>
        </w:rPr>
      </w:pPr>
      <w:bookmarkStart w:id="259" w:name="_Toc15461"/>
      <w:r>
        <w:rPr>
          <w:rFonts w:hint="eastAsia" w:ascii="宋体" w:hAnsi="宋体"/>
          <w:b/>
          <w:color w:val="auto"/>
          <w:sz w:val="72"/>
          <w:szCs w:val="72"/>
        </w:rPr>
        <w:t>商务与技术部分</w:t>
      </w:r>
      <w:bookmarkEnd w:id="259"/>
    </w:p>
    <w:p w14:paraId="0BA0DCC3">
      <w:pPr>
        <w:pStyle w:val="8"/>
        <w:spacing w:before="120" w:beforeLines="50"/>
        <w:ind w:firstLine="0"/>
        <w:rPr>
          <w:rFonts w:ascii="仿宋_GB2312" w:eastAsia="仿宋_GB2312"/>
          <w:color w:val="auto"/>
          <w:sz w:val="36"/>
          <w:szCs w:val="36"/>
        </w:rPr>
      </w:pPr>
    </w:p>
    <w:p w14:paraId="03173B2D">
      <w:pPr>
        <w:pStyle w:val="8"/>
        <w:spacing w:before="120" w:beforeLines="50"/>
        <w:ind w:firstLine="0"/>
        <w:rPr>
          <w:rFonts w:ascii="仿宋_GB2312" w:eastAsia="仿宋_GB2312"/>
          <w:color w:val="auto"/>
          <w:sz w:val="36"/>
          <w:szCs w:val="36"/>
        </w:rPr>
      </w:pPr>
    </w:p>
    <w:p w14:paraId="5550E049">
      <w:pPr>
        <w:pStyle w:val="8"/>
        <w:spacing w:before="120" w:beforeLines="50"/>
        <w:ind w:firstLine="0"/>
        <w:rPr>
          <w:rFonts w:ascii="仿宋_GB2312" w:eastAsia="仿宋_GB2312"/>
          <w:color w:val="auto"/>
          <w:sz w:val="36"/>
          <w:szCs w:val="36"/>
        </w:rPr>
      </w:pPr>
    </w:p>
    <w:p w14:paraId="7772E773">
      <w:pPr>
        <w:pStyle w:val="8"/>
        <w:spacing w:before="120" w:beforeLines="50"/>
        <w:ind w:firstLine="0"/>
        <w:rPr>
          <w:rFonts w:ascii="仿宋_GB2312" w:eastAsia="仿宋_GB2312"/>
          <w:color w:val="auto"/>
          <w:sz w:val="36"/>
          <w:szCs w:val="36"/>
        </w:rPr>
      </w:pPr>
    </w:p>
    <w:p w14:paraId="41F4CBA7">
      <w:pPr>
        <w:spacing w:line="400" w:lineRule="exact"/>
        <w:jc w:val="center"/>
        <w:outlineLvl w:val="9"/>
        <w:rPr>
          <w:rFonts w:ascii="仿宋_GB2312" w:eastAsia="仿宋_GB2312"/>
          <w:b/>
          <w:bCs/>
          <w:color w:val="auto"/>
          <w:sz w:val="28"/>
          <w:szCs w:val="28"/>
        </w:rPr>
      </w:pPr>
      <w:r>
        <w:rPr>
          <w:rFonts w:ascii="仿宋_GB2312" w:eastAsia="仿宋_GB2312"/>
          <w:color w:val="auto"/>
          <w:sz w:val="36"/>
          <w:szCs w:val="36"/>
        </w:rPr>
        <w:br w:type="page"/>
      </w:r>
      <w:bookmarkStart w:id="260" w:name="_Toc1609"/>
      <w:r>
        <w:rPr>
          <w:rFonts w:hint="eastAsia" w:ascii="宋体" w:hAnsi="宋体"/>
          <w:b/>
          <w:bCs/>
          <w:color w:val="auto"/>
          <w:sz w:val="36"/>
          <w:szCs w:val="36"/>
        </w:rPr>
        <w:t>一、竞争性磋商响应函</w:t>
      </w:r>
      <w:bookmarkEnd w:id="260"/>
    </w:p>
    <w:p w14:paraId="0405AF31">
      <w:pPr>
        <w:pStyle w:val="13"/>
        <w:spacing w:after="240" w:afterLines="100" w:line="400" w:lineRule="exact"/>
        <w:ind w:firstLine="0"/>
        <w:outlineLvl w:val="9"/>
        <w:rPr>
          <w:rFonts w:ascii="宋体" w:hAnsi="宋体"/>
          <w:bCs/>
          <w:color w:val="auto"/>
          <w:sz w:val="21"/>
          <w:szCs w:val="21"/>
        </w:rPr>
      </w:pPr>
      <w:r>
        <w:rPr>
          <w:rFonts w:hint="eastAsia" w:ascii="宋体" w:hAnsi="宋体"/>
          <w:b/>
          <w:bCs/>
          <w:color w:val="auto"/>
          <w:sz w:val="21"/>
          <w:szCs w:val="21"/>
        </w:rPr>
        <w:t>陕西优正项目管理有限公司</w:t>
      </w:r>
      <w:r>
        <w:rPr>
          <w:rFonts w:hint="eastAsia" w:ascii="宋体" w:hAnsi="宋体"/>
          <w:bCs/>
          <w:color w:val="auto"/>
          <w:sz w:val="21"/>
          <w:szCs w:val="21"/>
        </w:rPr>
        <w:t>：</w:t>
      </w:r>
    </w:p>
    <w:p w14:paraId="7B07916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我方已仔细研究了</w:t>
      </w:r>
      <w:r>
        <w:rPr>
          <w:rFonts w:hint="eastAsia" w:ascii="宋体" w:hAnsi="宋体"/>
          <w:color w:val="auto"/>
          <w:sz w:val="21"/>
          <w:szCs w:val="21"/>
          <w:u w:val="single"/>
        </w:rPr>
        <w:t xml:space="preserve">                   (</w:t>
      </w:r>
      <w:r>
        <w:rPr>
          <w:rFonts w:hint="eastAsia" w:ascii="宋体" w:hAnsi="宋体"/>
          <w:color w:val="auto"/>
          <w:sz w:val="21"/>
          <w:szCs w:val="21"/>
        </w:rPr>
        <w:t>项目名称</w:t>
      </w:r>
      <w:r>
        <w:rPr>
          <w:rFonts w:hint="eastAsia" w:ascii="宋体" w:hAnsi="宋体"/>
          <w:color w:val="auto"/>
          <w:sz w:val="21"/>
          <w:szCs w:val="21"/>
          <w:lang w:val="en-US" w:eastAsia="zh-CN"/>
        </w:rPr>
        <w:t>＋标段号</w:t>
      </w:r>
      <w:r>
        <w:rPr>
          <w:rFonts w:hint="eastAsia" w:ascii="宋体" w:hAnsi="宋体"/>
          <w:color w:val="auto"/>
          <w:sz w:val="21"/>
          <w:szCs w:val="21"/>
        </w:rPr>
        <w:t>)的磋商文件（项目编号：</w:t>
      </w:r>
      <w:r>
        <w:rPr>
          <w:rFonts w:hint="eastAsia" w:ascii="宋体" w:hAnsi="宋体"/>
          <w:color w:val="auto"/>
          <w:sz w:val="21"/>
          <w:szCs w:val="21"/>
          <w:u w:val="single"/>
        </w:rPr>
        <w:t xml:space="preserve">            </w:t>
      </w:r>
      <w:r>
        <w:rPr>
          <w:rFonts w:hint="eastAsia" w:ascii="宋体" w:hAnsi="宋体"/>
          <w:color w:val="auto"/>
          <w:sz w:val="21"/>
          <w:szCs w:val="21"/>
        </w:rPr>
        <w:t>）的全部内容，知悉参加磋商的风险，我方承诺接受磋商文件的全部条款且无任何异议，</w:t>
      </w:r>
      <w:r>
        <w:rPr>
          <w:rFonts w:hint="eastAsia" w:ascii="宋体" w:hAnsi="宋体"/>
          <w:bCs/>
          <w:color w:val="auto"/>
          <w:sz w:val="21"/>
          <w:szCs w:val="21"/>
        </w:rPr>
        <w:t>决定参加贵单位组织的本项目磋商。</w:t>
      </w:r>
    </w:p>
    <w:p w14:paraId="12F49849">
      <w:pPr>
        <w:pStyle w:val="12"/>
        <w:adjustRightInd w:val="0"/>
        <w:snapToGrid w:val="0"/>
        <w:spacing w:line="360" w:lineRule="auto"/>
        <w:ind w:firstLine="420" w:firstLineChars="200"/>
        <w:rPr>
          <w:rFonts w:hAnsi="宋体"/>
          <w:bCs/>
          <w:color w:val="auto"/>
        </w:rPr>
      </w:pPr>
      <w:r>
        <w:rPr>
          <w:rFonts w:hint="eastAsia" w:hAnsi="宋体"/>
          <w:color w:val="auto"/>
        </w:rPr>
        <w:t>一、我方提交响应文件正本一套和副本</w:t>
      </w:r>
      <w:r>
        <w:rPr>
          <w:rFonts w:hint="eastAsia" w:hAnsi="宋体"/>
          <w:color w:val="auto"/>
          <w:u w:val="single"/>
        </w:rPr>
        <w:t xml:space="preserve">    </w:t>
      </w:r>
      <w:r>
        <w:rPr>
          <w:rFonts w:hint="eastAsia" w:hAnsi="宋体"/>
          <w:color w:val="auto"/>
        </w:rPr>
        <w:t>套，</w:t>
      </w:r>
      <w:r>
        <w:rPr>
          <w:rFonts w:hint="eastAsia" w:hAnsi="宋体"/>
          <w:bCs/>
          <w:color w:val="auto"/>
        </w:rPr>
        <w:t>电子文件</w:t>
      </w:r>
      <w:r>
        <w:rPr>
          <w:rFonts w:hint="eastAsia" w:hAnsi="宋体"/>
          <w:bCs/>
          <w:color w:val="auto"/>
          <w:u w:val="single"/>
        </w:rPr>
        <w:t xml:space="preserve">    </w:t>
      </w:r>
      <w:r>
        <w:rPr>
          <w:rFonts w:hint="eastAsia" w:hAnsi="宋体"/>
          <w:bCs/>
          <w:color w:val="auto"/>
        </w:rPr>
        <w:t>份。</w:t>
      </w:r>
    </w:p>
    <w:p w14:paraId="399B76DB">
      <w:pPr>
        <w:pStyle w:val="12"/>
        <w:adjustRightInd w:val="0"/>
        <w:snapToGrid w:val="0"/>
        <w:spacing w:line="360" w:lineRule="auto"/>
        <w:ind w:firstLine="420" w:firstLineChars="200"/>
        <w:rPr>
          <w:rFonts w:hAnsi="宋体"/>
          <w:color w:val="auto"/>
        </w:rPr>
      </w:pPr>
      <w:r>
        <w:rPr>
          <w:rFonts w:hint="eastAsia" w:hAnsi="宋体"/>
          <w:color w:val="auto"/>
        </w:rPr>
        <w:t>二、我方的磋商总报价为人民币（大写）</w:t>
      </w:r>
      <w:r>
        <w:rPr>
          <w:rFonts w:hint="eastAsia" w:hAnsi="宋体"/>
          <w:color w:val="auto"/>
          <w:u w:val="single"/>
        </w:rPr>
        <w:t xml:space="preserve">            </w:t>
      </w:r>
      <w:r>
        <w:rPr>
          <w:rFonts w:hint="eastAsia" w:hAnsi="宋体"/>
          <w:color w:val="auto"/>
        </w:rPr>
        <w:t xml:space="preserve"> （小写￥</w:t>
      </w:r>
      <w:r>
        <w:rPr>
          <w:rFonts w:hint="eastAsia" w:hAnsi="宋体"/>
          <w:color w:val="auto"/>
          <w:u w:val="single"/>
        </w:rPr>
        <w:t xml:space="preserve">          </w:t>
      </w:r>
      <w:r>
        <w:rPr>
          <w:rFonts w:hint="eastAsia" w:hAnsi="宋体"/>
          <w:color w:val="auto"/>
        </w:rPr>
        <w:t xml:space="preserve"> 元）</w:t>
      </w:r>
      <w:r>
        <w:rPr>
          <w:rFonts w:hint="eastAsia" w:hAnsi="宋体"/>
          <w:color w:val="auto"/>
          <w:lang w:eastAsia="zh-CN"/>
        </w:rPr>
        <w:t>，</w:t>
      </w:r>
      <w:r>
        <w:rPr>
          <w:rFonts w:hint="eastAsia" w:hAnsi="宋体"/>
          <w:color w:val="auto"/>
          <w:lang w:val="en-US" w:eastAsia="zh-CN"/>
        </w:rPr>
        <w:t>工期</w:t>
      </w:r>
      <w:r>
        <w:rPr>
          <w:rFonts w:hint="eastAsia" w:hAnsi="宋体"/>
          <w:color w:val="auto"/>
        </w:rPr>
        <w:t>为</w:t>
      </w:r>
      <w:r>
        <w:rPr>
          <w:rFonts w:hint="eastAsia" w:hAnsi="宋体"/>
          <w:bCs/>
          <w:color w:val="auto"/>
          <w:u w:val="single"/>
        </w:rPr>
        <w:t xml:space="preserve">        </w:t>
      </w:r>
      <w:r>
        <w:rPr>
          <w:rFonts w:hint="eastAsia" w:hAnsi="宋体"/>
          <w:color w:val="auto"/>
        </w:rPr>
        <w:t>， 磋商有效期为</w:t>
      </w:r>
      <w:r>
        <w:rPr>
          <w:rFonts w:hint="eastAsia" w:hAnsi="宋体"/>
          <w:color w:val="auto"/>
          <w:lang w:val="en-US" w:eastAsia="zh-CN"/>
        </w:rPr>
        <w:t>首次</w:t>
      </w:r>
      <w:r>
        <w:rPr>
          <w:rFonts w:hint="eastAsia"/>
          <w:color w:val="auto"/>
          <w:lang w:val="zh-CN"/>
        </w:rPr>
        <w:t>提交响应文件截止日起</w:t>
      </w:r>
      <w:r>
        <w:rPr>
          <w:rFonts w:hint="eastAsia"/>
          <w:color w:val="auto"/>
          <w:u w:val="single"/>
          <w:lang w:val="zh-CN"/>
        </w:rPr>
        <w:t xml:space="preserve">     </w:t>
      </w:r>
      <w:r>
        <w:rPr>
          <w:rFonts w:hint="eastAsia"/>
          <w:color w:val="auto"/>
          <w:lang w:val="zh-CN"/>
        </w:rPr>
        <w:t>日历</w:t>
      </w:r>
      <w:r>
        <w:rPr>
          <w:rFonts w:hint="eastAsia"/>
          <w:color w:val="auto"/>
        </w:rPr>
        <w:t>天。</w:t>
      </w:r>
    </w:p>
    <w:p w14:paraId="463F0B40">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三、我方承诺承诺除商务和服务（技术）偏离表列出的偏差外，我方响应磋商文件的全部要求。</w:t>
      </w:r>
    </w:p>
    <w:p w14:paraId="6408494E">
      <w:pPr>
        <w:pStyle w:val="12"/>
        <w:adjustRightInd w:val="0"/>
        <w:snapToGrid w:val="0"/>
        <w:spacing w:line="360" w:lineRule="auto"/>
        <w:ind w:firstLine="420" w:firstLineChars="200"/>
        <w:rPr>
          <w:rFonts w:hAnsi="宋体"/>
          <w:color w:val="auto"/>
        </w:rPr>
      </w:pPr>
      <w:r>
        <w:rPr>
          <w:rFonts w:hint="eastAsia" w:hAnsi="宋体"/>
          <w:color w:val="auto"/>
        </w:rPr>
        <w:t>四、我方愿意向贵方提供任何与本项采购有关的数据、情况和技术资料。若贵方需要，我方愿意提供我方作出的一切承诺的证明材料。</w:t>
      </w:r>
    </w:p>
    <w:p w14:paraId="585FF403">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五、</w:t>
      </w:r>
      <w:r>
        <w:rPr>
          <w:rFonts w:hint="eastAsia" w:ascii="宋体" w:hAnsi="宋体"/>
          <w:bCs/>
          <w:color w:val="auto"/>
          <w:sz w:val="21"/>
          <w:szCs w:val="21"/>
        </w:rPr>
        <w:t>我方承诺在磋商文件规定的磋商有效期内不撤销响应文件。</w:t>
      </w:r>
    </w:p>
    <w:p w14:paraId="2F2AB54B">
      <w:pPr>
        <w:pStyle w:val="12"/>
        <w:adjustRightInd w:val="0"/>
        <w:snapToGrid w:val="0"/>
        <w:spacing w:line="360" w:lineRule="auto"/>
        <w:ind w:firstLine="420" w:firstLineChars="200"/>
        <w:rPr>
          <w:rFonts w:hAnsi="宋体"/>
          <w:color w:val="auto"/>
        </w:rPr>
      </w:pPr>
      <w:r>
        <w:rPr>
          <w:rFonts w:hint="eastAsia" w:hAnsi="宋体"/>
          <w:color w:val="auto"/>
        </w:rPr>
        <w:t>六、我方承诺遵守《中华人民共和国政府采购法》及其实施条例等法律法规的有关规定，保证在获得成交资格后：</w:t>
      </w:r>
    </w:p>
    <w:p w14:paraId="00EBB05A">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1.在收到成交通知书后，在成交通知书规定的期限内与采购人签订合同；</w:t>
      </w:r>
    </w:p>
    <w:p w14:paraId="65F3BA85">
      <w:pPr>
        <w:pStyle w:val="13"/>
        <w:spacing w:line="360" w:lineRule="auto"/>
        <w:ind w:firstLine="420" w:firstLineChars="200"/>
        <w:rPr>
          <w:rFonts w:ascii="宋体" w:hAnsi="宋体"/>
          <w:color w:val="auto"/>
          <w:sz w:val="21"/>
          <w:szCs w:val="21"/>
        </w:rPr>
      </w:pPr>
      <w:r>
        <w:rPr>
          <w:rFonts w:hint="eastAsia" w:ascii="宋体" w:hAnsi="宋体"/>
          <w:color w:val="auto"/>
          <w:sz w:val="21"/>
          <w:szCs w:val="21"/>
        </w:rPr>
        <w:t>2.在签订合同时不向采购人提出附加条件；</w:t>
      </w:r>
    </w:p>
    <w:p w14:paraId="3FF2DB5A">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3.在合同规定期限内完成合同规定的全部义务；</w:t>
      </w:r>
      <w:r>
        <w:rPr>
          <w:rFonts w:hint="eastAsia" w:ascii="宋体" w:hAnsi="宋体"/>
          <w:bCs/>
          <w:color w:val="auto"/>
          <w:sz w:val="21"/>
          <w:szCs w:val="21"/>
        </w:rPr>
        <w:t xml:space="preserve"> </w:t>
      </w:r>
    </w:p>
    <w:p w14:paraId="6B87F35F">
      <w:pPr>
        <w:pStyle w:val="12"/>
        <w:adjustRightInd w:val="0"/>
        <w:snapToGrid w:val="0"/>
        <w:spacing w:line="360" w:lineRule="auto"/>
        <w:ind w:firstLine="420" w:firstLineChars="200"/>
        <w:rPr>
          <w:rFonts w:hAnsi="宋体"/>
          <w:color w:val="auto"/>
        </w:rPr>
      </w:pPr>
      <w:r>
        <w:rPr>
          <w:rFonts w:hint="eastAsia" w:hAnsi="宋体"/>
          <w:color w:val="auto"/>
          <w:lang w:val="en-US" w:eastAsia="zh-CN"/>
        </w:rPr>
        <w:t>4</w:t>
      </w:r>
      <w:r>
        <w:rPr>
          <w:rFonts w:hint="eastAsia" w:hAnsi="宋体"/>
          <w:color w:val="auto"/>
        </w:rPr>
        <w:t>.按照磋商文件规定提交履约保证金。</w:t>
      </w:r>
    </w:p>
    <w:p w14:paraId="73F2A559">
      <w:pPr>
        <w:pStyle w:val="12"/>
        <w:adjustRightInd w:val="0"/>
        <w:snapToGrid w:val="0"/>
        <w:spacing w:line="360" w:lineRule="auto"/>
        <w:ind w:firstLine="420" w:firstLineChars="200"/>
        <w:rPr>
          <w:rFonts w:hAnsi="宋体"/>
          <w:color w:val="auto"/>
        </w:rPr>
      </w:pPr>
      <w:r>
        <w:rPr>
          <w:rFonts w:hint="eastAsia" w:hAnsi="宋体"/>
          <w:color w:val="auto"/>
        </w:rPr>
        <w:t>七、我方完全理解并同意磋商文件中有关不退还磋商保证金条款所规定的情形。</w:t>
      </w:r>
    </w:p>
    <w:p w14:paraId="69D4E4EF">
      <w:pPr>
        <w:pStyle w:val="13"/>
        <w:spacing w:line="360" w:lineRule="auto"/>
        <w:ind w:firstLine="420" w:firstLineChars="200"/>
        <w:rPr>
          <w:rFonts w:ascii="宋体" w:hAnsi="宋体"/>
          <w:bCs/>
          <w:color w:val="auto"/>
          <w:sz w:val="21"/>
          <w:szCs w:val="21"/>
        </w:rPr>
      </w:pPr>
      <w:r>
        <w:rPr>
          <w:rFonts w:hint="eastAsia" w:ascii="宋体" w:hAnsi="宋体"/>
          <w:color w:val="auto"/>
          <w:sz w:val="21"/>
          <w:szCs w:val="21"/>
        </w:rPr>
        <w:t>八、</w:t>
      </w:r>
      <w:r>
        <w:rPr>
          <w:rFonts w:hint="eastAsia" w:ascii="宋体" w:hAnsi="宋体"/>
          <w:bCs/>
          <w:color w:val="auto"/>
          <w:sz w:val="21"/>
          <w:szCs w:val="21"/>
        </w:rPr>
        <w:t>我方完全理解最低报价不是成交的唯一条件，并尊重磋商小组的评审结论和成交结果。</w:t>
      </w:r>
    </w:p>
    <w:p w14:paraId="086F41F6">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九、</w:t>
      </w:r>
      <w:r>
        <w:rPr>
          <w:rFonts w:hint="eastAsia" w:hAnsi="宋体"/>
          <w:color w:val="auto"/>
          <w:sz w:val="21"/>
          <w:szCs w:val="21"/>
        </w:rPr>
        <w:t>我方在此声明，所递交的响应文件及有关资料内容完整、真实和准确，且不存在第二章“供应商须知”第</w:t>
      </w:r>
      <w:r>
        <w:rPr>
          <w:rFonts w:hint="eastAsia" w:ascii="宋体" w:hAnsi="宋体"/>
          <w:color w:val="auto"/>
          <w:sz w:val="21"/>
          <w:szCs w:val="21"/>
        </w:rPr>
        <w:t>1.3.2</w:t>
      </w:r>
      <w:r>
        <w:rPr>
          <w:rFonts w:hint="eastAsia" w:hAnsi="宋体"/>
          <w:color w:val="auto"/>
          <w:sz w:val="21"/>
          <w:szCs w:val="21"/>
        </w:rPr>
        <w:t>条款规定的任何一种情形。否则，愿承担《中华人民共和国政府采购法》</w:t>
      </w:r>
      <w:r>
        <w:rPr>
          <w:rFonts w:hint="eastAsia" w:hAnsi="宋体"/>
          <w:bCs/>
          <w:color w:val="auto"/>
          <w:sz w:val="21"/>
          <w:szCs w:val="21"/>
        </w:rPr>
        <w:t>第七十七条规定的法律责任。</w:t>
      </w:r>
    </w:p>
    <w:p w14:paraId="4469D7AF">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w:t>
      </w:r>
      <w:r>
        <w:rPr>
          <w:rFonts w:hint="eastAsia" w:ascii="宋体" w:hAnsi="宋体"/>
          <w:bCs/>
          <w:color w:val="auto"/>
          <w:sz w:val="21"/>
          <w:szCs w:val="21"/>
          <w:u w:val="single"/>
        </w:rPr>
        <w:t xml:space="preserve">                                      </w:t>
      </w:r>
      <w:r>
        <w:rPr>
          <w:rFonts w:hint="eastAsia" w:ascii="宋体" w:hAnsi="宋体"/>
          <w:bCs/>
          <w:color w:val="auto"/>
          <w:sz w:val="21"/>
          <w:szCs w:val="21"/>
        </w:rPr>
        <w:t>（其他补充说明）。</w:t>
      </w:r>
    </w:p>
    <w:p w14:paraId="796636F3">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十一、有关本项目的所有函电，请按下列地址联系：</w:t>
      </w:r>
    </w:p>
    <w:p w14:paraId="360660E3">
      <w:pPr>
        <w:pStyle w:val="13"/>
        <w:spacing w:line="360" w:lineRule="auto"/>
        <w:ind w:firstLine="0"/>
        <w:rPr>
          <w:rFonts w:ascii="宋体" w:hAnsi="宋体"/>
          <w:bCs/>
          <w:color w:val="auto"/>
          <w:sz w:val="21"/>
          <w:szCs w:val="21"/>
        </w:rPr>
      </w:pPr>
    </w:p>
    <w:p w14:paraId="3105B3A9">
      <w:pPr>
        <w:pStyle w:val="13"/>
        <w:spacing w:line="360" w:lineRule="auto"/>
        <w:ind w:firstLine="0"/>
        <w:rPr>
          <w:rFonts w:ascii="宋体" w:hAnsi="宋体"/>
          <w:bCs/>
          <w:color w:val="auto"/>
          <w:sz w:val="21"/>
          <w:szCs w:val="21"/>
        </w:rPr>
      </w:pPr>
    </w:p>
    <w:p w14:paraId="756585EC">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供应商名称：</w:t>
      </w:r>
      <w:r>
        <w:rPr>
          <w:rFonts w:hint="eastAsia" w:ascii="宋体" w:hAnsi="宋体"/>
          <w:bCs/>
          <w:color w:val="auto"/>
          <w:sz w:val="21"/>
          <w:szCs w:val="21"/>
          <w:u w:val="single"/>
        </w:rPr>
        <w:t xml:space="preserve">                                 </w:t>
      </w:r>
      <w:r>
        <w:rPr>
          <w:rFonts w:hint="eastAsia" w:ascii="宋体" w:hAnsi="宋体"/>
          <w:bCs/>
          <w:color w:val="auto"/>
          <w:sz w:val="21"/>
          <w:szCs w:val="21"/>
        </w:rPr>
        <w:t>（盖单位章）</w:t>
      </w:r>
    </w:p>
    <w:p w14:paraId="656D3343">
      <w:pPr>
        <w:pStyle w:val="13"/>
        <w:spacing w:line="360" w:lineRule="auto"/>
        <w:ind w:firstLine="420" w:firstLineChars="200"/>
        <w:rPr>
          <w:rFonts w:ascii="宋体" w:hAnsi="宋体"/>
          <w:bCs/>
          <w:color w:val="auto"/>
          <w:sz w:val="21"/>
          <w:szCs w:val="21"/>
        </w:rPr>
      </w:pPr>
    </w:p>
    <w:p w14:paraId="17E8B2A9">
      <w:pPr>
        <w:pStyle w:val="13"/>
        <w:spacing w:line="360" w:lineRule="auto"/>
        <w:ind w:firstLine="420" w:firstLineChars="200"/>
        <w:rPr>
          <w:rFonts w:ascii="宋体" w:hAnsi="宋体"/>
          <w:bCs/>
          <w:color w:val="auto"/>
          <w:sz w:val="21"/>
          <w:szCs w:val="21"/>
        </w:rPr>
      </w:pPr>
      <w:r>
        <w:rPr>
          <w:rFonts w:hint="eastAsia" w:ascii="宋体" w:hAnsi="宋体"/>
          <w:bCs/>
          <w:color w:val="auto"/>
          <w:sz w:val="21"/>
          <w:szCs w:val="21"/>
        </w:rPr>
        <w:t>法定代表人或委托代理人：</w:t>
      </w:r>
      <w:r>
        <w:rPr>
          <w:rFonts w:hint="eastAsia" w:ascii="宋体" w:hAnsi="宋体"/>
          <w:bCs/>
          <w:color w:val="auto"/>
          <w:sz w:val="21"/>
          <w:szCs w:val="21"/>
          <w:u w:val="single"/>
        </w:rPr>
        <w:t xml:space="preserve">                     </w:t>
      </w:r>
      <w:r>
        <w:rPr>
          <w:rFonts w:hint="eastAsia" w:ascii="宋体" w:hAnsi="宋体"/>
          <w:bCs/>
          <w:color w:val="auto"/>
          <w:sz w:val="21"/>
          <w:szCs w:val="21"/>
        </w:rPr>
        <w:t>（签字或盖章）</w:t>
      </w:r>
    </w:p>
    <w:p w14:paraId="0A757997">
      <w:pPr>
        <w:spacing w:line="360" w:lineRule="auto"/>
        <w:rPr>
          <w:rFonts w:ascii="仿宋_GB2312" w:hAnsi="宋体" w:eastAsia="仿宋_GB2312"/>
          <w:b/>
          <w:color w:val="auto"/>
          <w:sz w:val="28"/>
          <w:szCs w:val="28"/>
        </w:rPr>
      </w:pPr>
    </w:p>
    <w:p w14:paraId="29EC0481">
      <w:pPr>
        <w:spacing w:line="360" w:lineRule="auto"/>
        <w:ind w:firstLine="420" w:firstLineChars="200"/>
        <w:rPr>
          <w:rFonts w:ascii="宋体" w:hAnsi="宋体"/>
          <w:bCs/>
          <w:color w:val="auto"/>
          <w:szCs w:val="21"/>
        </w:rPr>
      </w:pPr>
      <w:r>
        <w:rPr>
          <w:rFonts w:hint="eastAsia" w:ascii="宋体" w:hAnsi="宋体"/>
          <w:bCs/>
          <w:color w:val="auto"/>
          <w:szCs w:val="21"/>
        </w:rPr>
        <w:t>通讯地址：</w:t>
      </w:r>
    </w:p>
    <w:p w14:paraId="3373E199">
      <w:pPr>
        <w:spacing w:line="360" w:lineRule="auto"/>
        <w:ind w:firstLine="420" w:firstLineChars="200"/>
        <w:rPr>
          <w:rFonts w:ascii="宋体" w:hAnsi="宋体"/>
          <w:bCs/>
          <w:color w:val="auto"/>
          <w:szCs w:val="21"/>
        </w:rPr>
      </w:pPr>
      <w:r>
        <w:rPr>
          <w:rFonts w:hint="eastAsia" w:ascii="宋体" w:hAnsi="宋体"/>
          <w:bCs/>
          <w:color w:val="auto"/>
          <w:szCs w:val="21"/>
        </w:rPr>
        <w:t>邮政编码：</w:t>
      </w:r>
    </w:p>
    <w:p w14:paraId="5E813CA3">
      <w:pPr>
        <w:spacing w:line="360" w:lineRule="auto"/>
        <w:ind w:firstLine="420" w:firstLineChars="200"/>
        <w:rPr>
          <w:rFonts w:ascii="宋体" w:hAnsi="宋体"/>
          <w:bCs/>
          <w:color w:val="auto"/>
          <w:szCs w:val="21"/>
        </w:rPr>
      </w:pPr>
      <w:r>
        <w:rPr>
          <w:rFonts w:hint="eastAsia" w:ascii="宋体" w:hAnsi="宋体"/>
          <w:bCs/>
          <w:color w:val="auto"/>
          <w:szCs w:val="21"/>
        </w:rPr>
        <w:t>联系电话：</w:t>
      </w:r>
    </w:p>
    <w:p w14:paraId="7B5E08F6">
      <w:pPr>
        <w:spacing w:line="360" w:lineRule="auto"/>
        <w:ind w:firstLine="420" w:firstLineChars="200"/>
        <w:rPr>
          <w:rFonts w:ascii="宋体" w:hAnsi="宋体"/>
          <w:bCs/>
          <w:color w:val="auto"/>
          <w:szCs w:val="21"/>
        </w:rPr>
      </w:pPr>
      <w:r>
        <w:rPr>
          <w:rFonts w:hint="eastAsia" w:ascii="宋体" w:hAnsi="宋体"/>
          <w:bCs/>
          <w:color w:val="auto"/>
          <w:szCs w:val="21"/>
        </w:rPr>
        <w:t>传    真：</w:t>
      </w:r>
    </w:p>
    <w:p w14:paraId="1A19990E">
      <w:pPr>
        <w:spacing w:line="360" w:lineRule="auto"/>
        <w:ind w:firstLine="420" w:firstLineChars="200"/>
        <w:rPr>
          <w:rFonts w:ascii="宋体" w:hAnsi="宋体"/>
          <w:bCs/>
          <w:color w:val="auto"/>
          <w:szCs w:val="21"/>
        </w:rPr>
      </w:pPr>
      <w:r>
        <w:rPr>
          <w:rFonts w:hint="eastAsia" w:ascii="宋体" w:hAnsi="宋体"/>
          <w:bCs/>
          <w:color w:val="auto"/>
          <w:szCs w:val="21"/>
        </w:rPr>
        <w:t>电子邮件：</w:t>
      </w:r>
    </w:p>
    <w:p w14:paraId="5B9FBB9F">
      <w:pPr>
        <w:spacing w:line="360" w:lineRule="auto"/>
        <w:ind w:firstLine="420" w:firstLineChars="200"/>
        <w:rPr>
          <w:rFonts w:ascii="宋体" w:hAnsi="宋体"/>
          <w:bCs/>
          <w:color w:val="auto"/>
          <w:szCs w:val="21"/>
        </w:rPr>
      </w:pPr>
      <w:r>
        <w:rPr>
          <w:rFonts w:hint="eastAsia" w:ascii="宋体" w:hAnsi="宋体"/>
          <w:bCs/>
          <w:color w:val="auto"/>
          <w:szCs w:val="21"/>
        </w:rPr>
        <w:t>开户银行:</w:t>
      </w:r>
    </w:p>
    <w:p w14:paraId="1419C87A">
      <w:pPr>
        <w:spacing w:line="360" w:lineRule="auto"/>
        <w:ind w:firstLine="420" w:firstLineChars="200"/>
        <w:rPr>
          <w:rFonts w:ascii="宋体" w:hAnsi="宋体"/>
          <w:bCs/>
          <w:color w:val="auto"/>
          <w:szCs w:val="21"/>
        </w:rPr>
      </w:pPr>
      <w:r>
        <w:rPr>
          <w:rFonts w:hint="eastAsia" w:ascii="宋体" w:hAnsi="宋体"/>
          <w:bCs/>
          <w:color w:val="auto"/>
          <w:szCs w:val="21"/>
        </w:rPr>
        <w:t>帐    号：</w:t>
      </w:r>
    </w:p>
    <w:p w14:paraId="2508BBC4">
      <w:pPr>
        <w:spacing w:line="360" w:lineRule="auto"/>
        <w:ind w:firstLine="420" w:firstLineChars="200"/>
        <w:rPr>
          <w:rFonts w:ascii="宋体" w:hAnsi="宋体"/>
          <w:bCs/>
          <w:color w:val="auto"/>
          <w:szCs w:val="21"/>
        </w:rPr>
      </w:pPr>
      <w:r>
        <w:rPr>
          <w:rFonts w:hint="eastAsia" w:ascii="宋体" w:hAnsi="宋体"/>
          <w:bCs/>
          <w:color w:val="auto"/>
          <w:szCs w:val="21"/>
        </w:rPr>
        <w:t>日    期：    年   月   日</w:t>
      </w:r>
    </w:p>
    <w:p w14:paraId="07DB1498">
      <w:pPr>
        <w:rPr>
          <w:rFonts w:ascii="仿宋_GB2312" w:hAnsi="宋体" w:eastAsia="仿宋_GB2312"/>
          <w:b/>
          <w:color w:val="auto"/>
          <w:sz w:val="28"/>
          <w:szCs w:val="28"/>
        </w:rPr>
      </w:pPr>
    </w:p>
    <w:p w14:paraId="01BF25C7">
      <w:pPr>
        <w:rPr>
          <w:rFonts w:ascii="仿宋_GB2312" w:hAnsi="宋体" w:eastAsia="仿宋_GB2312"/>
          <w:b/>
          <w:color w:val="auto"/>
          <w:sz w:val="28"/>
          <w:szCs w:val="28"/>
        </w:rPr>
      </w:pPr>
    </w:p>
    <w:p w14:paraId="3DE7AA1E">
      <w:pPr>
        <w:rPr>
          <w:rFonts w:ascii="仿宋_GB2312" w:hAnsi="宋体" w:eastAsia="仿宋_GB2312"/>
          <w:b/>
          <w:color w:val="auto"/>
          <w:sz w:val="28"/>
          <w:szCs w:val="28"/>
        </w:rPr>
      </w:pPr>
    </w:p>
    <w:p w14:paraId="4AC013A2">
      <w:pPr>
        <w:rPr>
          <w:rFonts w:ascii="仿宋_GB2312" w:hAnsi="宋体" w:eastAsia="仿宋_GB2312"/>
          <w:b/>
          <w:color w:val="auto"/>
          <w:sz w:val="28"/>
          <w:szCs w:val="28"/>
        </w:rPr>
      </w:pPr>
    </w:p>
    <w:p w14:paraId="264355F9">
      <w:pPr>
        <w:rPr>
          <w:rFonts w:ascii="仿宋_GB2312" w:hAnsi="宋体" w:eastAsia="仿宋_GB2312"/>
          <w:b/>
          <w:color w:val="auto"/>
          <w:sz w:val="28"/>
          <w:szCs w:val="28"/>
        </w:rPr>
      </w:pPr>
    </w:p>
    <w:p w14:paraId="1811DA76">
      <w:pPr>
        <w:rPr>
          <w:rFonts w:ascii="仿宋_GB2312" w:hAnsi="宋体" w:eastAsia="仿宋_GB2312"/>
          <w:b/>
          <w:color w:val="auto"/>
          <w:sz w:val="28"/>
          <w:szCs w:val="28"/>
        </w:rPr>
      </w:pPr>
    </w:p>
    <w:p w14:paraId="44EF8A02">
      <w:pPr>
        <w:rPr>
          <w:rFonts w:ascii="仿宋_GB2312" w:hAnsi="宋体" w:eastAsia="仿宋_GB2312"/>
          <w:b/>
          <w:color w:val="auto"/>
          <w:sz w:val="28"/>
          <w:szCs w:val="28"/>
        </w:rPr>
      </w:pPr>
    </w:p>
    <w:p w14:paraId="63014D55">
      <w:pPr>
        <w:rPr>
          <w:rFonts w:ascii="仿宋_GB2312" w:hAnsi="宋体" w:eastAsia="仿宋_GB2312"/>
          <w:b/>
          <w:color w:val="auto"/>
          <w:sz w:val="28"/>
          <w:szCs w:val="28"/>
        </w:rPr>
      </w:pPr>
    </w:p>
    <w:p w14:paraId="5A675A2E">
      <w:pPr>
        <w:rPr>
          <w:rFonts w:ascii="仿宋_GB2312" w:hAnsi="宋体" w:eastAsia="仿宋_GB2312"/>
          <w:b/>
          <w:color w:val="auto"/>
          <w:sz w:val="28"/>
          <w:szCs w:val="28"/>
        </w:rPr>
      </w:pPr>
    </w:p>
    <w:p w14:paraId="35387456">
      <w:pPr>
        <w:rPr>
          <w:rFonts w:ascii="仿宋_GB2312" w:hAnsi="宋体" w:eastAsia="仿宋_GB2312"/>
          <w:b/>
          <w:color w:val="auto"/>
          <w:sz w:val="28"/>
          <w:szCs w:val="28"/>
        </w:rPr>
      </w:pPr>
    </w:p>
    <w:p w14:paraId="745F2930">
      <w:pPr>
        <w:rPr>
          <w:rFonts w:ascii="仿宋_GB2312" w:hAnsi="宋体" w:eastAsia="仿宋_GB2312"/>
          <w:b/>
          <w:color w:val="auto"/>
          <w:sz w:val="28"/>
          <w:szCs w:val="28"/>
        </w:rPr>
      </w:pPr>
    </w:p>
    <w:p w14:paraId="26BA7B49">
      <w:pPr>
        <w:rPr>
          <w:rFonts w:ascii="仿宋_GB2312" w:hAnsi="宋体" w:eastAsia="仿宋_GB2312"/>
          <w:b/>
          <w:color w:val="auto"/>
          <w:sz w:val="28"/>
          <w:szCs w:val="28"/>
        </w:rPr>
      </w:pPr>
    </w:p>
    <w:p w14:paraId="2B8C585E">
      <w:pPr>
        <w:rPr>
          <w:rFonts w:ascii="仿宋_GB2312" w:hAnsi="宋体" w:eastAsia="仿宋_GB2312"/>
          <w:b/>
          <w:color w:val="auto"/>
          <w:sz w:val="28"/>
          <w:szCs w:val="28"/>
        </w:rPr>
      </w:pPr>
    </w:p>
    <w:p w14:paraId="23FAB0A2">
      <w:pPr>
        <w:rPr>
          <w:rFonts w:ascii="仿宋_GB2312" w:hAnsi="宋体" w:eastAsia="仿宋_GB2312"/>
          <w:b/>
          <w:color w:val="auto"/>
          <w:sz w:val="28"/>
          <w:szCs w:val="28"/>
        </w:rPr>
      </w:pPr>
      <w:r>
        <w:rPr>
          <w:rFonts w:ascii="仿宋_GB2312" w:hAnsi="宋体" w:eastAsia="仿宋_GB2312"/>
          <w:b/>
          <w:color w:val="auto"/>
          <w:sz w:val="28"/>
          <w:szCs w:val="28"/>
        </w:rPr>
        <w:br w:type="page"/>
      </w:r>
    </w:p>
    <w:p w14:paraId="7B9FDBFE">
      <w:pPr>
        <w:spacing w:line="400" w:lineRule="exact"/>
        <w:jc w:val="center"/>
        <w:outlineLvl w:val="9"/>
        <w:rPr>
          <w:rFonts w:ascii="宋体" w:hAnsi="宋体"/>
          <w:b/>
          <w:color w:val="auto"/>
          <w:sz w:val="36"/>
          <w:szCs w:val="36"/>
        </w:rPr>
      </w:pPr>
      <w:bookmarkStart w:id="261" w:name="_Toc18074978"/>
      <w:bookmarkStart w:id="262" w:name="_Toc659"/>
      <w:r>
        <w:rPr>
          <w:rFonts w:hint="eastAsia" w:ascii="宋体" w:hAnsi="宋体"/>
          <w:b/>
          <w:bCs/>
          <w:color w:val="auto"/>
          <w:sz w:val="36"/>
          <w:szCs w:val="36"/>
        </w:rPr>
        <w:t>二、</w:t>
      </w:r>
      <w:r>
        <w:rPr>
          <w:rFonts w:hint="eastAsia" w:ascii="宋体" w:hAnsi="宋体"/>
          <w:b/>
          <w:color w:val="auto"/>
          <w:sz w:val="36"/>
          <w:szCs w:val="36"/>
        </w:rPr>
        <w:t>磋商报价一览表</w:t>
      </w:r>
      <w:bookmarkEnd w:id="261"/>
      <w:bookmarkEnd w:id="262"/>
    </w:p>
    <w:p w14:paraId="429336E1">
      <w:pPr>
        <w:rPr>
          <w:rFonts w:ascii="宋体" w:hAnsi="宋体"/>
          <w:b/>
          <w:color w:val="auto"/>
          <w:sz w:val="36"/>
          <w:szCs w:val="36"/>
        </w:rPr>
      </w:pPr>
    </w:p>
    <w:tbl>
      <w:tblPr>
        <w:tblStyle w:val="23"/>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6659"/>
      </w:tblGrid>
      <w:tr w14:paraId="65F3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3E83B8EF">
            <w:pPr>
              <w:jc w:val="center"/>
              <w:rPr>
                <w:rFonts w:hint="default" w:eastAsia="宋体"/>
                <w:color w:val="auto"/>
                <w:lang w:val="en-US" w:eastAsia="zh-CN"/>
              </w:rPr>
            </w:pPr>
            <w:r>
              <w:rPr>
                <w:rFonts w:hint="eastAsia"/>
                <w:color w:val="auto"/>
              </w:rPr>
              <w:t>项目名称</w:t>
            </w:r>
            <w:r>
              <w:rPr>
                <w:rFonts w:hint="eastAsia"/>
                <w:color w:val="auto"/>
                <w:lang w:val="en-US" w:eastAsia="zh-CN"/>
              </w:rPr>
              <w:t>＋标段号</w:t>
            </w:r>
          </w:p>
        </w:tc>
        <w:tc>
          <w:tcPr>
            <w:tcW w:w="6659" w:type="dxa"/>
            <w:vAlign w:val="center"/>
          </w:tcPr>
          <w:p w14:paraId="589335BF">
            <w:pPr>
              <w:rPr>
                <w:color w:val="auto"/>
              </w:rPr>
            </w:pPr>
          </w:p>
        </w:tc>
      </w:tr>
      <w:tr w14:paraId="4BD5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0C6253C0">
            <w:pPr>
              <w:jc w:val="center"/>
              <w:rPr>
                <w:color w:val="auto"/>
              </w:rPr>
            </w:pPr>
            <w:r>
              <w:rPr>
                <w:rFonts w:hint="eastAsia"/>
                <w:color w:val="auto"/>
              </w:rPr>
              <w:t>项目编号</w:t>
            </w:r>
          </w:p>
        </w:tc>
        <w:tc>
          <w:tcPr>
            <w:tcW w:w="6659" w:type="dxa"/>
            <w:vAlign w:val="center"/>
          </w:tcPr>
          <w:p w14:paraId="64899B49">
            <w:pPr>
              <w:rPr>
                <w:color w:val="auto"/>
              </w:rPr>
            </w:pPr>
          </w:p>
        </w:tc>
      </w:tr>
      <w:tr w14:paraId="5C27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3" w:type="dxa"/>
            <w:vMerge w:val="restart"/>
            <w:vAlign w:val="center"/>
          </w:tcPr>
          <w:p w14:paraId="7B45B820">
            <w:pPr>
              <w:jc w:val="center"/>
              <w:rPr>
                <w:color w:val="auto"/>
              </w:rPr>
            </w:pPr>
            <w:r>
              <w:rPr>
                <w:rFonts w:hint="eastAsia"/>
                <w:color w:val="auto"/>
              </w:rPr>
              <w:t>磋商总报价（元）</w:t>
            </w:r>
          </w:p>
        </w:tc>
        <w:tc>
          <w:tcPr>
            <w:tcW w:w="6659" w:type="dxa"/>
            <w:vAlign w:val="center"/>
          </w:tcPr>
          <w:p w14:paraId="2E2ED7DF">
            <w:pPr>
              <w:rPr>
                <w:color w:val="auto"/>
              </w:rPr>
            </w:pPr>
            <w:r>
              <w:rPr>
                <w:rFonts w:hint="eastAsia"/>
                <w:color w:val="auto"/>
              </w:rPr>
              <w:t>大写：</w:t>
            </w:r>
          </w:p>
        </w:tc>
      </w:tr>
      <w:tr w14:paraId="4CE3A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03" w:type="dxa"/>
            <w:vMerge w:val="continue"/>
            <w:vAlign w:val="center"/>
          </w:tcPr>
          <w:p w14:paraId="1F508CAF">
            <w:pPr>
              <w:jc w:val="center"/>
              <w:rPr>
                <w:color w:val="auto"/>
              </w:rPr>
            </w:pPr>
          </w:p>
        </w:tc>
        <w:tc>
          <w:tcPr>
            <w:tcW w:w="6659" w:type="dxa"/>
            <w:vAlign w:val="center"/>
          </w:tcPr>
          <w:p w14:paraId="4EF8A2F2">
            <w:pPr>
              <w:rPr>
                <w:color w:val="auto"/>
              </w:rPr>
            </w:pPr>
            <w:r>
              <w:rPr>
                <w:rFonts w:hint="eastAsia"/>
                <w:color w:val="auto"/>
              </w:rPr>
              <w:t>小写：</w:t>
            </w:r>
          </w:p>
        </w:tc>
      </w:tr>
      <w:tr w14:paraId="083B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18F15132">
            <w:pPr>
              <w:jc w:val="center"/>
              <w:rPr>
                <w:rFonts w:hint="eastAsia" w:eastAsia="宋体"/>
                <w:color w:val="auto"/>
                <w:lang w:eastAsia="zh-CN"/>
              </w:rPr>
            </w:pPr>
            <w:r>
              <w:rPr>
                <w:rFonts w:hint="eastAsia"/>
                <w:color w:val="auto"/>
              </w:rPr>
              <w:t>项目</w:t>
            </w:r>
            <w:r>
              <w:rPr>
                <w:rFonts w:hint="eastAsia"/>
                <w:color w:val="auto"/>
                <w:lang w:val="en-US" w:eastAsia="zh-CN"/>
              </w:rPr>
              <w:t>负责人</w:t>
            </w:r>
          </w:p>
        </w:tc>
        <w:tc>
          <w:tcPr>
            <w:tcW w:w="6659" w:type="dxa"/>
            <w:vAlign w:val="center"/>
          </w:tcPr>
          <w:p w14:paraId="16E25E73">
            <w:pPr>
              <w:rPr>
                <w:color w:val="auto"/>
              </w:rPr>
            </w:pPr>
          </w:p>
        </w:tc>
      </w:tr>
      <w:tr w14:paraId="6693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402DC060">
            <w:pPr>
              <w:jc w:val="center"/>
              <w:rPr>
                <w:rFonts w:hint="default" w:eastAsia="宋体"/>
                <w:color w:val="auto"/>
                <w:lang w:val="en-US" w:eastAsia="zh-CN"/>
              </w:rPr>
            </w:pPr>
            <w:r>
              <w:rPr>
                <w:rFonts w:hint="eastAsia"/>
                <w:color w:val="auto"/>
                <w:lang w:val="en-US" w:eastAsia="zh-CN"/>
              </w:rPr>
              <w:t>质量</w:t>
            </w:r>
          </w:p>
        </w:tc>
        <w:tc>
          <w:tcPr>
            <w:tcW w:w="6659" w:type="dxa"/>
            <w:vAlign w:val="center"/>
          </w:tcPr>
          <w:p w14:paraId="1BC226A6">
            <w:pPr>
              <w:rPr>
                <w:color w:val="auto"/>
              </w:rPr>
            </w:pPr>
          </w:p>
        </w:tc>
      </w:tr>
      <w:tr w14:paraId="45D1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903" w:type="dxa"/>
            <w:vAlign w:val="center"/>
          </w:tcPr>
          <w:p w14:paraId="58647B3C">
            <w:pPr>
              <w:pStyle w:val="20"/>
              <w:spacing w:before="0" w:beforeAutospacing="0" w:after="0" w:afterAutospacing="0"/>
              <w:jc w:val="center"/>
              <w:rPr>
                <w:rFonts w:hint="default" w:eastAsia="宋体" w:cs="Courier New"/>
                <w:color w:val="auto"/>
                <w:sz w:val="21"/>
                <w:szCs w:val="21"/>
                <w:lang w:val="en-US" w:eastAsia="zh-CN"/>
              </w:rPr>
            </w:pPr>
            <w:r>
              <w:rPr>
                <w:rFonts w:hint="eastAsia" w:cs="Courier New"/>
                <w:color w:val="auto"/>
                <w:sz w:val="21"/>
                <w:szCs w:val="21"/>
                <w:lang w:val="en-US" w:eastAsia="zh-CN"/>
              </w:rPr>
              <w:t>工期</w:t>
            </w:r>
          </w:p>
        </w:tc>
        <w:tc>
          <w:tcPr>
            <w:tcW w:w="6659" w:type="dxa"/>
            <w:vAlign w:val="center"/>
          </w:tcPr>
          <w:p w14:paraId="02E01527">
            <w:pPr>
              <w:pStyle w:val="20"/>
              <w:spacing w:before="0" w:beforeAutospacing="0" w:after="0" w:afterAutospacing="0"/>
              <w:jc w:val="center"/>
              <w:rPr>
                <w:rFonts w:cs="Courier New"/>
                <w:color w:val="auto"/>
                <w:sz w:val="21"/>
                <w:szCs w:val="21"/>
              </w:rPr>
            </w:pPr>
          </w:p>
        </w:tc>
      </w:tr>
    </w:tbl>
    <w:p w14:paraId="13D87D37">
      <w:pPr>
        <w:pStyle w:val="20"/>
        <w:spacing w:before="0" w:beforeAutospacing="0" w:after="0" w:afterAutospacing="0" w:line="360" w:lineRule="auto"/>
        <w:ind w:firstLine="480"/>
        <w:rPr>
          <w:color w:val="auto"/>
          <w:sz w:val="21"/>
          <w:szCs w:val="21"/>
        </w:rPr>
      </w:pPr>
    </w:p>
    <w:p w14:paraId="5D42EA07">
      <w:pPr>
        <w:adjustRightInd w:val="0"/>
        <w:snapToGrid w:val="0"/>
        <w:spacing w:before="120" w:beforeLines="50"/>
        <w:ind w:left="752" w:leftChars="58" w:hanging="630" w:hangingChars="300"/>
        <w:rPr>
          <w:rFonts w:ascii="楷体" w:hAnsi="楷体" w:eastAsia="楷体"/>
          <w:color w:val="auto"/>
          <w:szCs w:val="21"/>
        </w:rPr>
      </w:pPr>
      <w:r>
        <w:rPr>
          <w:rFonts w:hint="eastAsia" w:ascii="楷体" w:hAnsi="楷体" w:eastAsia="楷体"/>
          <w:color w:val="auto"/>
          <w:szCs w:val="21"/>
        </w:rPr>
        <w:t>说明：1.报价精确到小数点后两位，大小写不一致时，以大写为准；</w:t>
      </w:r>
    </w:p>
    <w:p w14:paraId="328D8A5B">
      <w:pPr>
        <w:adjustRightInd w:val="0"/>
        <w:snapToGrid w:val="0"/>
        <w:spacing w:before="120" w:beforeLines="50"/>
        <w:ind w:left="748" w:leftChars="356"/>
        <w:rPr>
          <w:rFonts w:ascii="楷体" w:hAnsi="楷体" w:eastAsia="楷体"/>
          <w:color w:val="auto"/>
          <w:szCs w:val="21"/>
        </w:rPr>
      </w:pPr>
      <w:r>
        <w:rPr>
          <w:rFonts w:hint="eastAsia" w:ascii="楷体" w:hAnsi="楷体" w:eastAsia="楷体"/>
          <w:color w:val="auto"/>
          <w:szCs w:val="21"/>
        </w:rPr>
        <w:t>2.本表所列各项数据与磋商文件其他地方表述不一致时，以本表为准。</w:t>
      </w:r>
    </w:p>
    <w:p w14:paraId="6BC250C0">
      <w:pPr>
        <w:spacing w:before="120" w:beforeLines="50" w:line="200" w:lineRule="exact"/>
        <w:ind w:left="412" w:leftChars="196" w:firstLine="315" w:firstLineChars="150"/>
        <w:jc w:val="left"/>
        <w:rPr>
          <w:rFonts w:ascii="宋体" w:hAnsi="宋体"/>
          <w:color w:val="auto"/>
          <w:szCs w:val="21"/>
        </w:rPr>
      </w:pPr>
    </w:p>
    <w:p w14:paraId="16435D19">
      <w:pPr>
        <w:pStyle w:val="20"/>
        <w:spacing w:before="0" w:beforeAutospacing="0" w:after="0" w:afterAutospacing="0" w:line="360" w:lineRule="auto"/>
        <w:rPr>
          <w:color w:val="auto"/>
          <w:sz w:val="21"/>
          <w:szCs w:val="21"/>
        </w:rPr>
      </w:pPr>
    </w:p>
    <w:p w14:paraId="785AED6C">
      <w:pPr>
        <w:pStyle w:val="20"/>
        <w:spacing w:before="0" w:beforeAutospacing="0" w:after="0" w:afterAutospacing="0" w:line="360" w:lineRule="auto"/>
        <w:ind w:firstLine="3045" w:firstLineChars="1450"/>
        <w:rPr>
          <w:color w:val="auto"/>
          <w:sz w:val="21"/>
          <w:szCs w:val="21"/>
        </w:rPr>
      </w:pPr>
    </w:p>
    <w:p w14:paraId="3A751A3A">
      <w:pPr>
        <w:pStyle w:val="20"/>
        <w:spacing w:before="0" w:beforeAutospacing="0" w:after="0" w:afterAutospacing="0" w:line="480" w:lineRule="auto"/>
        <w:ind w:firstLine="2940" w:firstLineChars="1400"/>
        <w:rPr>
          <w:color w:val="auto"/>
          <w:sz w:val="21"/>
          <w:szCs w:val="21"/>
          <w:u w:val="single"/>
        </w:rPr>
      </w:pPr>
      <w:r>
        <w:rPr>
          <w:rFonts w:hint="eastAsia"/>
          <w:color w:val="auto"/>
          <w:sz w:val="21"/>
          <w:szCs w:val="21"/>
        </w:rPr>
        <w:t>供应商名称：</w:t>
      </w:r>
      <w:r>
        <w:rPr>
          <w:rFonts w:hint="eastAsia"/>
          <w:color w:val="auto"/>
          <w:sz w:val="21"/>
          <w:szCs w:val="21"/>
          <w:u w:val="single"/>
        </w:rPr>
        <w:t xml:space="preserve">                         </w:t>
      </w:r>
      <w:r>
        <w:rPr>
          <w:rFonts w:hint="eastAsia"/>
          <w:bCs/>
          <w:color w:val="auto"/>
          <w:sz w:val="21"/>
          <w:szCs w:val="21"/>
        </w:rPr>
        <w:t>（盖单位章）</w:t>
      </w:r>
    </w:p>
    <w:p w14:paraId="634F6085">
      <w:pPr>
        <w:pStyle w:val="20"/>
        <w:spacing w:before="0" w:beforeAutospacing="0" w:after="0" w:afterAutospacing="0" w:line="480" w:lineRule="auto"/>
        <w:ind w:firstLine="2940" w:firstLineChars="1400"/>
        <w:rPr>
          <w:color w:val="auto"/>
          <w:sz w:val="21"/>
          <w:szCs w:val="21"/>
        </w:rPr>
      </w:pPr>
      <w:r>
        <w:rPr>
          <w:rFonts w:hint="eastAsia"/>
          <w:color w:val="auto"/>
          <w:sz w:val="21"/>
          <w:szCs w:val="21"/>
        </w:rPr>
        <w:t>法定代表人或授权代理人：</w:t>
      </w:r>
      <w:r>
        <w:rPr>
          <w:rFonts w:hint="eastAsia"/>
          <w:color w:val="auto"/>
          <w:sz w:val="21"/>
          <w:szCs w:val="21"/>
          <w:u w:val="single"/>
        </w:rPr>
        <w:t xml:space="preserve">             </w:t>
      </w:r>
      <w:r>
        <w:rPr>
          <w:rFonts w:hint="eastAsia"/>
          <w:color w:val="auto"/>
          <w:sz w:val="21"/>
          <w:szCs w:val="21"/>
        </w:rPr>
        <w:t>（签字或盖章）</w:t>
      </w:r>
    </w:p>
    <w:p w14:paraId="77D00ADA">
      <w:pPr>
        <w:pStyle w:val="20"/>
        <w:spacing w:before="0" w:beforeAutospacing="0" w:after="0" w:afterAutospacing="0" w:line="480" w:lineRule="auto"/>
        <w:ind w:firstLine="2940" w:firstLineChars="1400"/>
        <w:rPr>
          <w:color w:val="auto"/>
          <w:sz w:val="21"/>
          <w:szCs w:val="21"/>
        </w:rPr>
        <w:sectPr>
          <w:footerReference r:id="rId12" w:type="first"/>
          <w:headerReference r:id="rId8" w:type="default"/>
          <w:footerReference r:id="rId10" w:type="default"/>
          <w:headerReference r:id="rId9" w:type="even"/>
          <w:footerReference r:id="rId11" w:type="even"/>
          <w:pgSz w:w="11907" w:h="16840"/>
          <w:pgMar w:top="1440" w:right="1080" w:bottom="1440" w:left="1080" w:header="851" w:footer="992" w:gutter="0"/>
          <w:cols w:space="720" w:num="1"/>
          <w:titlePg/>
        </w:sectPr>
      </w:pPr>
      <w:r>
        <w:rPr>
          <w:rFonts w:hint="eastAsia"/>
          <w:color w:val="auto"/>
          <w:sz w:val="21"/>
          <w:szCs w:val="21"/>
        </w:rPr>
        <w:t xml:space="preserve">日       期： </w:t>
      </w:r>
      <w:r>
        <w:rPr>
          <w:rFonts w:hint="eastAsia"/>
          <w:color w:val="auto"/>
          <w:sz w:val="21"/>
          <w:szCs w:val="21"/>
          <w:u w:val="single"/>
        </w:rPr>
        <w:t xml:space="preserve">    </w:t>
      </w:r>
      <w:r>
        <w:rPr>
          <w:rFonts w:hint="eastAsia"/>
          <w:color w:val="auto"/>
          <w:sz w:val="21"/>
          <w:szCs w:val="21"/>
        </w:rPr>
        <w:t>年</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rPr>
        <w:t>日</w:t>
      </w:r>
    </w:p>
    <w:p w14:paraId="547446FA">
      <w:pPr>
        <w:bidi w:val="0"/>
        <w:jc w:val="center"/>
        <w:rPr>
          <w:b/>
          <w:bCs/>
          <w:color w:val="auto"/>
          <w:sz w:val="36"/>
          <w:szCs w:val="36"/>
        </w:rPr>
      </w:pPr>
      <w:bookmarkStart w:id="263" w:name="_Toc28486"/>
      <w:bookmarkStart w:id="264" w:name="_Toc15504"/>
      <w:r>
        <w:rPr>
          <w:rFonts w:hint="eastAsia"/>
          <w:b/>
          <w:bCs/>
          <w:color w:val="auto"/>
          <w:sz w:val="36"/>
          <w:szCs w:val="36"/>
        </w:rPr>
        <w:t>分项报价明细表</w:t>
      </w:r>
      <w:bookmarkEnd w:id="263"/>
    </w:p>
    <w:p w14:paraId="189F72D9">
      <w:pPr>
        <w:shd w:val="clear"/>
        <w:spacing w:line="360" w:lineRule="auto"/>
        <w:rPr>
          <w:rFonts w:ascii="宋体" w:hAnsi="宋体"/>
          <w:bCs/>
          <w:color w:val="auto"/>
          <w:kern w:val="0"/>
          <w:szCs w:val="21"/>
          <w:highlight w:val="none"/>
        </w:rPr>
      </w:pPr>
    </w:p>
    <w:p w14:paraId="553030C1">
      <w:pPr>
        <w:shd w:val="clear"/>
        <w:adjustRightInd w:val="0"/>
        <w:snapToGrid w:val="0"/>
        <w:ind w:left="-88" w:leftChars="-42"/>
        <w:rPr>
          <w:rFonts w:hint="eastAsia" w:ascii="楷体" w:hAnsi="楷体" w:eastAsia="楷体"/>
          <w:color w:val="auto"/>
          <w:szCs w:val="21"/>
          <w:highlight w:val="none"/>
          <w:lang w:eastAsia="zh-CN"/>
        </w:rPr>
      </w:pPr>
      <w:r>
        <w:rPr>
          <w:rFonts w:ascii="楷体" w:hAnsi="楷体" w:eastAsia="楷体"/>
          <w:color w:val="auto"/>
          <w:szCs w:val="21"/>
          <w:highlight w:val="none"/>
        </w:rPr>
        <w:t>说明：</w:t>
      </w:r>
      <w:r>
        <w:rPr>
          <w:rFonts w:hint="eastAsia" w:ascii="楷体" w:hAnsi="楷体" w:eastAsia="楷体"/>
          <w:color w:val="auto"/>
          <w:szCs w:val="21"/>
          <w:highlight w:val="none"/>
          <w:lang w:eastAsia="zh-CN"/>
        </w:rPr>
        <w:t>格式自拟，</w:t>
      </w:r>
      <w:r>
        <w:rPr>
          <w:rFonts w:hint="eastAsia" w:ascii="楷体" w:hAnsi="楷体" w:eastAsia="楷体"/>
          <w:color w:val="auto"/>
          <w:szCs w:val="21"/>
          <w:highlight w:val="none"/>
        </w:rPr>
        <w:t>各分项报价合计应当与“磋商报价一览表”总报价相等</w:t>
      </w:r>
      <w:r>
        <w:rPr>
          <w:rFonts w:hint="eastAsia" w:ascii="楷体" w:hAnsi="楷体" w:eastAsia="楷体"/>
          <w:color w:val="auto"/>
          <w:szCs w:val="21"/>
          <w:highlight w:val="none"/>
          <w:lang w:eastAsia="zh-CN"/>
        </w:rPr>
        <w:t>。</w:t>
      </w:r>
    </w:p>
    <w:p w14:paraId="51DA4505">
      <w:pPr>
        <w:shd w:val="clear"/>
        <w:spacing w:line="360" w:lineRule="auto"/>
        <w:ind w:firstLine="1680" w:firstLineChars="800"/>
        <w:rPr>
          <w:rFonts w:ascii="宋体" w:hAnsi="宋体"/>
          <w:color w:val="auto"/>
          <w:szCs w:val="21"/>
          <w:highlight w:val="none"/>
        </w:rPr>
      </w:pPr>
    </w:p>
    <w:p w14:paraId="60F90CA4">
      <w:pPr>
        <w:shd w:val="clear"/>
        <w:outlineLvl w:val="9"/>
        <w:rPr>
          <w:rFonts w:ascii="宋体" w:hAnsi="宋体"/>
          <w:color w:val="auto"/>
          <w:szCs w:val="21"/>
          <w:highlight w:val="none"/>
        </w:rPr>
      </w:pPr>
    </w:p>
    <w:p w14:paraId="2C518CB1">
      <w:pPr>
        <w:shd w:val="clear"/>
        <w:outlineLvl w:val="9"/>
        <w:rPr>
          <w:rFonts w:ascii="宋体" w:hAnsi="宋体"/>
          <w:color w:val="auto"/>
          <w:szCs w:val="21"/>
          <w:highlight w:val="none"/>
        </w:rPr>
      </w:pPr>
    </w:p>
    <w:p w14:paraId="176F0E8D">
      <w:pPr>
        <w:shd w:val="clear"/>
        <w:outlineLvl w:val="9"/>
        <w:rPr>
          <w:rFonts w:ascii="宋体" w:hAnsi="宋体"/>
          <w:color w:val="auto"/>
          <w:szCs w:val="21"/>
          <w:highlight w:val="none"/>
        </w:rPr>
      </w:pPr>
    </w:p>
    <w:p w14:paraId="038F240B">
      <w:pPr>
        <w:shd w:val="clear"/>
        <w:outlineLvl w:val="9"/>
        <w:rPr>
          <w:rFonts w:ascii="宋体" w:hAnsi="宋体"/>
          <w:color w:val="auto"/>
          <w:szCs w:val="21"/>
          <w:highlight w:val="none"/>
        </w:rPr>
      </w:pPr>
    </w:p>
    <w:p w14:paraId="181D0F05">
      <w:pPr>
        <w:shd w:val="clear"/>
        <w:outlineLvl w:val="9"/>
        <w:rPr>
          <w:rFonts w:ascii="宋体" w:hAnsi="宋体"/>
          <w:color w:val="auto"/>
          <w:szCs w:val="21"/>
          <w:highlight w:val="none"/>
        </w:rPr>
      </w:pPr>
    </w:p>
    <w:p w14:paraId="148AE63F">
      <w:pPr>
        <w:shd w:val="clear"/>
        <w:outlineLvl w:val="9"/>
        <w:rPr>
          <w:rFonts w:ascii="宋体" w:hAnsi="宋体"/>
          <w:color w:val="auto"/>
          <w:szCs w:val="21"/>
          <w:highlight w:val="none"/>
        </w:rPr>
      </w:pPr>
    </w:p>
    <w:p w14:paraId="097AC317">
      <w:pPr>
        <w:shd w:val="clear"/>
        <w:outlineLvl w:val="9"/>
        <w:rPr>
          <w:color w:val="auto"/>
          <w:highlight w:val="none"/>
        </w:rPr>
      </w:pPr>
    </w:p>
    <w:p w14:paraId="5E936F41">
      <w:pPr>
        <w:pStyle w:val="20"/>
        <w:shd w:val="clear"/>
        <w:spacing w:before="0" w:beforeAutospacing="0" w:after="0" w:afterAutospacing="0" w:line="480" w:lineRule="auto"/>
        <w:ind w:firstLine="2940" w:firstLineChars="1400"/>
        <w:rPr>
          <w:color w:val="auto"/>
          <w:sz w:val="21"/>
          <w:szCs w:val="21"/>
          <w:highlight w:val="none"/>
          <w:u w:val="single"/>
        </w:rPr>
      </w:pPr>
      <w:r>
        <w:rPr>
          <w:rFonts w:hint="eastAsia"/>
          <w:color w:val="auto"/>
          <w:sz w:val="21"/>
          <w:szCs w:val="21"/>
          <w:highlight w:val="none"/>
        </w:rPr>
        <w:t>供应商名称：</w:t>
      </w:r>
      <w:r>
        <w:rPr>
          <w:rFonts w:hint="eastAsia"/>
          <w:color w:val="auto"/>
          <w:sz w:val="21"/>
          <w:szCs w:val="21"/>
          <w:highlight w:val="none"/>
          <w:u w:val="single"/>
        </w:rPr>
        <w:t xml:space="preserve">                     </w:t>
      </w:r>
      <w:r>
        <w:rPr>
          <w:rFonts w:hint="eastAsia" w:ascii="宋体" w:hAnsi="宋体"/>
          <w:bCs/>
          <w:color w:val="auto"/>
          <w:sz w:val="21"/>
          <w:szCs w:val="21"/>
          <w:highlight w:val="none"/>
        </w:rPr>
        <w:t>（盖单位章）</w:t>
      </w:r>
    </w:p>
    <w:p w14:paraId="7DB07C49">
      <w:pPr>
        <w:pStyle w:val="20"/>
        <w:shd w:val="clear"/>
        <w:spacing w:before="0" w:beforeAutospacing="0" w:after="0" w:afterAutospacing="0" w:line="480" w:lineRule="auto"/>
        <w:ind w:firstLine="2940" w:firstLineChars="1400"/>
        <w:rPr>
          <w:rFonts w:hint="eastAsia"/>
          <w:color w:val="auto"/>
          <w:sz w:val="21"/>
          <w:szCs w:val="21"/>
          <w:highlight w:val="none"/>
          <w:u w:val="none"/>
        </w:rPr>
      </w:pPr>
      <w:r>
        <w:rPr>
          <w:rFonts w:hint="eastAsia"/>
          <w:color w:val="auto"/>
          <w:sz w:val="21"/>
          <w:szCs w:val="21"/>
          <w:highlight w:val="none"/>
        </w:rPr>
        <w:t>法定代表人或授权代理人：</w:t>
      </w:r>
      <w:r>
        <w:rPr>
          <w:rFonts w:hint="eastAsia"/>
          <w:color w:val="auto"/>
          <w:sz w:val="21"/>
          <w:szCs w:val="21"/>
          <w:highlight w:val="none"/>
          <w:u w:val="single"/>
        </w:rPr>
        <w:t xml:space="preserve">         </w:t>
      </w:r>
      <w:r>
        <w:rPr>
          <w:rFonts w:hint="eastAsia"/>
          <w:color w:val="auto"/>
          <w:sz w:val="21"/>
          <w:szCs w:val="21"/>
          <w:highlight w:val="none"/>
          <w:u w:val="none"/>
        </w:rPr>
        <w:t>（签字或盖章）</w:t>
      </w:r>
    </w:p>
    <w:p w14:paraId="700C4E72">
      <w:pPr>
        <w:pStyle w:val="20"/>
        <w:shd w:val="clear"/>
        <w:spacing w:before="0" w:beforeAutospacing="0" w:after="0" w:afterAutospacing="0" w:line="480" w:lineRule="auto"/>
        <w:ind w:firstLine="2940" w:firstLineChars="1400"/>
        <w:rPr>
          <w:rFonts w:hint="eastAsia" w:eastAsia="宋体"/>
          <w:color w:val="auto"/>
          <w:sz w:val="21"/>
          <w:szCs w:val="21"/>
          <w:highlight w:val="none"/>
          <w:lang w:val="en-US" w:eastAsia="zh-CN"/>
        </w:rPr>
        <w:sectPr>
          <w:headerReference r:id="rId13" w:type="default"/>
          <w:footerReference r:id="rId15" w:type="default"/>
          <w:headerReference r:id="rId14" w:type="even"/>
          <w:footerReference r:id="rId16"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color w:val="auto"/>
          <w:sz w:val="21"/>
          <w:szCs w:val="21"/>
          <w:highlight w:val="none"/>
          <w:u w:val="none"/>
          <w:lang w:eastAsia="zh-CN"/>
        </w:rPr>
        <w:t>日</w:t>
      </w:r>
      <w:r>
        <w:rPr>
          <w:rFonts w:hint="eastAsia"/>
          <w:color w:val="auto"/>
          <w:sz w:val="21"/>
          <w:szCs w:val="21"/>
          <w:highlight w:val="none"/>
          <w:u w:val="none"/>
          <w:lang w:val="en-US" w:eastAsia="zh-CN"/>
        </w:rPr>
        <w:t xml:space="preserve">      </w:t>
      </w:r>
      <w:r>
        <w:rPr>
          <w:rFonts w:hint="eastAsia"/>
          <w:color w:val="auto"/>
          <w:sz w:val="21"/>
          <w:szCs w:val="21"/>
          <w:highlight w:val="none"/>
          <w:u w:val="none"/>
          <w:lang w:eastAsia="zh-CN"/>
        </w:rPr>
        <w:t>期：</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日</w:t>
      </w:r>
    </w:p>
    <w:p w14:paraId="0098AC87">
      <w:pPr>
        <w:spacing w:before="78" w:line="218" w:lineRule="auto"/>
        <w:ind w:left="3583"/>
        <w:outlineLvl w:val="9"/>
        <w:rPr>
          <w:rFonts w:hint="eastAsia" w:ascii="仿宋" w:hAnsi="仿宋" w:eastAsia="仿宋" w:cs="仿宋"/>
          <w:sz w:val="36"/>
          <w:szCs w:val="36"/>
        </w:rPr>
      </w:pPr>
      <w:r>
        <w:rPr>
          <w:rFonts w:hint="eastAsia" w:ascii="仿宋" w:hAnsi="仿宋" w:eastAsia="仿宋" w:cs="仿宋"/>
          <w:spacing w:val="-1"/>
          <w:sz w:val="36"/>
          <w:szCs w:val="36"/>
          <w:lang w:val="en-US" w:eastAsia="zh-CN"/>
          <w14:textOutline w14:w="4358" w14:cap="sq" w14:cmpd="sng">
            <w14:solidFill>
              <w14:srgbClr w14:val="000000"/>
            </w14:solidFill>
            <w14:prstDash w14:val="solid"/>
            <w14:bevel/>
          </w14:textOutline>
        </w:rPr>
        <w:t>最终</w:t>
      </w:r>
      <w:r>
        <w:rPr>
          <w:rFonts w:hint="eastAsia" w:ascii="仿宋" w:hAnsi="仿宋" w:eastAsia="仿宋" w:cs="仿宋"/>
          <w:spacing w:val="-1"/>
          <w:sz w:val="36"/>
          <w:szCs w:val="36"/>
          <w14:textOutline w14:w="4358" w14:cap="sq" w14:cmpd="sng">
            <w14:solidFill>
              <w14:srgbClr w14:val="000000"/>
            </w14:solidFill>
            <w14:prstDash w14:val="solid"/>
            <w14:bevel/>
          </w14:textOutline>
        </w:rPr>
        <w:t>磋商报价表</w:t>
      </w:r>
    </w:p>
    <w:p w14:paraId="585D4C4E">
      <w:pPr>
        <w:pStyle w:val="2"/>
        <w:spacing w:line="285" w:lineRule="auto"/>
        <w:rPr>
          <w:rFonts w:hint="eastAsia" w:ascii="仿宋" w:hAnsi="仿宋" w:eastAsia="仿宋" w:cs="仿宋"/>
          <w:sz w:val="24"/>
          <w:szCs w:val="24"/>
        </w:rPr>
      </w:pPr>
    </w:p>
    <w:p w14:paraId="6935DA1C">
      <w:pPr>
        <w:pStyle w:val="2"/>
        <w:spacing w:line="286" w:lineRule="auto"/>
        <w:rPr>
          <w:rFonts w:hint="eastAsia" w:ascii="仿宋" w:hAnsi="仿宋" w:eastAsia="仿宋" w:cs="仿宋"/>
          <w:sz w:val="24"/>
          <w:szCs w:val="24"/>
        </w:rPr>
      </w:pPr>
    </w:p>
    <w:p w14:paraId="3953460D">
      <w:pPr>
        <w:spacing w:before="78" w:line="220" w:lineRule="auto"/>
        <w:ind w:left="493"/>
        <w:rPr>
          <w:rFonts w:hint="eastAsia" w:ascii="仿宋" w:hAnsi="仿宋" w:eastAsia="仿宋" w:cs="仿宋"/>
          <w:sz w:val="24"/>
          <w:szCs w:val="24"/>
        </w:rPr>
      </w:pPr>
      <w:r>
        <w:rPr>
          <w:rFonts w:hint="eastAsia" w:ascii="仿宋" w:hAnsi="仿宋" w:eastAsia="仿宋" w:cs="仿宋"/>
          <w:spacing w:val="-3"/>
          <w:sz w:val="24"/>
          <w:szCs w:val="24"/>
        </w:rPr>
        <w:t>项目名称</w:t>
      </w:r>
      <w:r>
        <w:rPr>
          <w:rFonts w:hint="eastAsia" w:ascii="仿宋" w:hAnsi="仿宋" w:eastAsia="仿宋" w:cs="仿宋"/>
          <w:color w:val="auto"/>
          <w:sz w:val="24"/>
          <w:szCs w:val="24"/>
          <w:highlight w:val="none"/>
          <w:lang w:val="en-US" w:eastAsia="zh-CN"/>
        </w:rPr>
        <w:t>＋标段号</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p>
    <w:p w14:paraId="12AD6C50">
      <w:pPr>
        <w:spacing w:before="181" w:line="219" w:lineRule="auto"/>
        <w:ind w:left="488"/>
        <w:rPr>
          <w:rFonts w:hint="eastAsia" w:ascii="仿宋" w:hAnsi="仿宋" w:eastAsia="仿宋" w:cs="仿宋"/>
          <w:sz w:val="24"/>
          <w:szCs w:val="24"/>
          <w:u w:val="single" w:color="auto"/>
        </w:rPr>
      </w:pPr>
      <w:r>
        <w:rPr>
          <w:rFonts w:hint="eastAsia" w:ascii="仿宋" w:hAnsi="仿宋" w:eastAsia="仿宋" w:cs="仿宋"/>
          <w:spacing w:val="-2"/>
          <w:sz w:val="24"/>
          <w:szCs w:val="24"/>
        </w:rPr>
        <w:t>采购编号：</w:t>
      </w:r>
      <w:r>
        <w:rPr>
          <w:rFonts w:hint="eastAsia" w:ascii="仿宋" w:hAnsi="仿宋" w:eastAsia="仿宋" w:cs="仿宋"/>
          <w:sz w:val="24"/>
          <w:szCs w:val="24"/>
          <w:u w:val="single" w:color="auto"/>
        </w:rPr>
        <w:t xml:space="preserve">                               </w:t>
      </w:r>
    </w:p>
    <w:p w14:paraId="0234E7E1">
      <w:pPr>
        <w:spacing w:line="131" w:lineRule="exact"/>
        <w:rPr>
          <w:rFonts w:hint="eastAsia" w:ascii="仿宋" w:hAnsi="仿宋" w:eastAsia="仿宋" w:cs="仿宋"/>
          <w:sz w:val="24"/>
          <w:szCs w:val="24"/>
          <w:u w:val="single" w:color="auto"/>
        </w:rPr>
      </w:pPr>
    </w:p>
    <w:tbl>
      <w:tblPr>
        <w:tblStyle w:val="42"/>
        <w:tblW w:w="8752" w:type="dxa"/>
        <w:tblInd w:w="15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1"/>
        <w:gridCol w:w="5761"/>
      </w:tblGrid>
      <w:tr w14:paraId="1FB4A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2991" w:type="dxa"/>
            <w:vMerge w:val="restart"/>
            <w:tcBorders>
              <w:bottom w:val="nil"/>
            </w:tcBorders>
            <w:vAlign w:val="top"/>
          </w:tcPr>
          <w:p w14:paraId="1485CBD4">
            <w:pPr>
              <w:spacing w:line="327" w:lineRule="auto"/>
              <w:rPr>
                <w:rFonts w:hint="eastAsia" w:ascii="仿宋" w:hAnsi="仿宋" w:eastAsia="仿宋" w:cs="仿宋"/>
                <w:sz w:val="24"/>
                <w:szCs w:val="24"/>
              </w:rPr>
            </w:pPr>
          </w:p>
          <w:p w14:paraId="58A64962">
            <w:pPr>
              <w:spacing w:line="327" w:lineRule="auto"/>
              <w:rPr>
                <w:rFonts w:hint="eastAsia" w:ascii="仿宋" w:hAnsi="仿宋" w:eastAsia="仿宋" w:cs="仿宋"/>
                <w:sz w:val="24"/>
                <w:szCs w:val="24"/>
              </w:rPr>
            </w:pPr>
          </w:p>
          <w:p w14:paraId="39ACEF1B">
            <w:pPr>
              <w:pStyle w:val="41"/>
              <w:spacing w:before="78" w:line="218" w:lineRule="auto"/>
              <w:ind w:left="1261"/>
              <w:rPr>
                <w:rFonts w:hint="eastAsia" w:ascii="仿宋" w:hAnsi="仿宋" w:eastAsia="仿宋" w:cs="仿宋"/>
                <w:sz w:val="24"/>
                <w:szCs w:val="24"/>
              </w:rPr>
            </w:pPr>
            <w:r>
              <w:rPr>
                <w:rFonts w:hint="eastAsia" w:ascii="仿宋" w:hAnsi="仿宋" w:eastAsia="仿宋" w:cs="仿宋"/>
                <w:spacing w:val="-3"/>
                <w:sz w:val="24"/>
                <w:szCs w:val="24"/>
              </w:rPr>
              <w:t>磋商总价</w:t>
            </w:r>
          </w:p>
        </w:tc>
        <w:tc>
          <w:tcPr>
            <w:tcW w:w="5761" w:type="dxa"/>
            <w:vAlign w:val="center"/>
          </w:tcPr>
          <w:p w14:paraId="7D16645E">
            <w:pPr>
              <w:pStyle w:val="41"/>
              <w:spacing w:before="189" w:line="220" w:lineRule="auto"/>
              <w:jc w:val="left"/>
              <w:rPr>
                <w:rFonts w:hint="eastAsia" w:ascii="仿宋" w:hAnsi="仿宋" w:eastAsia="仿宋" w:cs="仿宋"/>
                <w:sz w:val="24"/>
                <w:szCs w:val="24"/>
              </w:rPr>
            </w:pPr>
            <w:r>
              <w:rPr>
                <w:rFonts w:hint="eastAsia" w:ascii="仿宋" w:hAnsi="仿宋" w:eastAsia="仿宋" w:cs="仿宋"/>
                <w:spacing w:val="-4"/>
                <w:sz w:val="24"/>
                <w:szCs w:val="24"/>
              </w:rPr>
              <w:t>小</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写</w:t>
            </w:r>
            <w:r>
              <w:rPr>
                <w:rFonts w:hint="eastAsia" w:ascii="仿宋" w:hAnsi="仿宋" w:eastAsia="仿宋" w:cs="仿宋"/>
                <w:spacing w:val="-4"/>
                <w:sz w:val="24"/>
                <w:szCs w:val="24"/>
                <w:lang w:eastAsia="zh-CN"/>
              </w:rPr>
              <w:t>：</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元</w:t>
            </w:r>
          </w:p>
        </w:tc>
      </w:tr>
      <w:tr w14:paraId="4842B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2991" w:type="dxa"/>
            <w:vMerge w:val="continue"/>
            <w:tcBorders>
              <w:top w:val="nil"/>
            </w:tcBorders>
            <w:vAlign w:val="top"/>
          </w:tcPr>
          <w:p w14:paraId="077E59ED">
            <w:pPr>
              <w:rPr>
                <w:rFonts w:hint="eastAsia" w:ascii="仿宋" w:hAnsi="仿宋" w:eastAsia="仿宋" w:cs="仿宋"/>
                <w:sz w:val="24"/>
                <w:szCs w:val="24"/>
              </w:rPr>
            </w:pPr>
          </w:p>
        </w:tc>
        <w:tc>
          <w:tcPr>
            <w:tcW w:w="5761" w:type="dxa"/>
            <w:vAlign w:val="center"/>
          </w:tcPr>
          <w:p w14:paraId="2460E7A8">
            <w:pPr>
              <w:jc w:val="left"/>
              <w:rPr>
                <w:rFonts w:hint="eastAsia" w:ascii="仿宋" w:hAnsi="仿宋" w:eastAsia="仿宋" w:cs="仿宋"/>
                <w:sz w:val="24"/>
                <w:szCs w:val="24"/>
                <w:lang w:eastAsia="zh-CN"/>
              </w:rPr>
            </w:pPr>
            <w:r>
              <w:rPr>
                <w:rFonts w:hint="eastAsia" w:ascii="仿宋" w:hAnsi="仿宋" w:eastAsia="仿宋" w:cs="仿宋"/>
                <w:spacing w:val="-3"/>
                <w:sz w:val="24"/>
                <w:szCs w:val="24"/>
              </w:rPr>
              <w:t>大</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写</w:t>
            </w:r>
            <w:r>
              <w:rPr>
                <w:rFonts w:hint="eastAsia" w:ascii="仿宋" w:hAnsi="仿宋" w:eastAsia="仿宋" w:cs="仿宋"/>
                <w:spacing w:val="-3"/>
                <w:sz w:val="24"/>
                <w:szCs w:val="24"/>
                <w:lang w:eastAsia="zh-CN"/>
              </w:rPr>
              <w:t>：</w:t>
            </w:r>
          </w:p>
        </w:tc>
      </w:tr>
      <w:tr w14:paraId="6D403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338BC059">
            <w:pPr>
              <w:pStyle w:val="41"/>
              <w:spacing w:before="267" w:line="220" w:lineRule="auto"/>
              <w:ind w:left="1205"/>
              <w:rPr>
                <w:rFonts w:hint="eastAsia" w:ascii="仿宋" w:hAnsi="仿宋" w:eastAsia="仿宋" w:cs="仿宋"/>
                <w:sz w:val="24"/>
                <w:szCs w:val="24"/>
              </w:rPr>
            </w:pPr>
            <w:r>
              <w:rPr>
                <w:rFonts w:hint="eastAsia" w:ascii="仿宋" w:hAnsi="仿宋" w:eastAsia="仿宋" w:cs="仿宋"/>
                <w:spacing w:val="-7"/>
                <w:sz w:val="24"/>
                <w:szCs w:val="24"/>
              </w:rPr>
              <w:t>工</w:t>
            </w:r>
            <w:r>
              <w:rPr>
                <w:rFonts w:hint="eastAsia" w:ascii="仿宋" w:hAnsi="仿宋" w:eastAsia="仿宋" w:cs="仿宋"/>
                <w:spacing w:val="2"/>
                <w:sz w:val="24"/>
                <w:szCs w:val="24"/>
              </w:rPr>
              <w:t xml:space="preserve"> </w:t>
            </w:r>
            <w:r>
              <w:rPr>
                <w:rFonts w:hint="eastAsia" w:ascii="仿宋" w:hAnsi="仿宋" w:eastAsia="仿宋" w:cs="仿宋"/>
                <w:spacing w:val="-7"/>
                <w:sz w:val="24"/>
                <w:szCs w:val="24"/>
              </w:rPr>
              <w:t>期</w:t>
            </w:r>
          </w:p>
        </w:tc>
        <w:tc>
          <w:tcPr>
            <w:tcW w:w="5761" w:type="dxa"/>
            <w:vAlign w:val="top"/>
          </w:tcPr>
          <w:p w14:paraId="2A076A5C">
            <w:pPr>
              <w:pStyle w:val="41"/>
              <w:spacing w:before="267" w:line="220" w:lineRule="auto"/>
              <w:ind w:left="2537"/>
              <w:rPr>
                <w:rFonts w:hint="eastAsia" w:ascii="仿宋" w:hAnsi="仿宋" w:eastAsia="仿宋" w:cs="仿宋"/>
                <w:sz w:val="24"/>
                <w:szCs w:val="24"/>
              </w:rPr>
            </w:pPr>
          </w:p>
        </w:tc>
      </w:tr>
      <w:tr w14:paraId="0C4C3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72F0E4C0">
            <w:pPr>
              <w:pStyle w:val="41"/>
              <w:spacing w:before="267" w:line="220" w:lineRule="auto"/>
              <w:ind w:left="1203"/>
              <w:rPr>
                <w:rFonts w:hint="eastAsia" w:ascii="仿宋" w:hAnsi="仿宋" w:eastAsia="仿宋" w:cs="仿宋"/>
                <w:sz w:val="24"/>
                <w:szCs w:val="24"/>
              </w:rPr>
            </w:pPr>
            <w:r>
              <w:rPr>
                <w:rFonts w:hint="eastAsia" w:ascii="仿宋" w:hAnsi="仿宋" w:eastAsia="仿宋" w:cs="仿宋"/>
                <w:spacing w:val="-6"/>
                <w:sz w:val="24"/>
                <w:szCs w:val="24"/>
              </w:rPr>
              <w:t>质</w:t>
            </w:r>
            <w:r>
              <w:rPr>
                <w:rFonts w:hint="eastAsia" w:ascii="仿宋" w:hAnsi="仿宋" w:eastAsia="仿宋" w:cs="仿宋"/>
                <w:spacing w:val="2"/>
                <w:sz w:val="24"/>
                <w:szCs w:val="24"/>
              </w:rPr>
              <w:t xml:space="preserve"> </w:t>
            </w:r>
            <w:r>
              <w:rPr>
                <w:rFonts w:hint="eastAsia" w:ascii="仿宋" w:hAnsi="仿宋" w:eastAsia="仿宋" w:cs="仿宋"/>
                <w:spacing w:val="-6"/>
                <w:sz w:val="24"/>
                <w:szCs w:val="24"/>
              </w:rPr>
              <w:t>量</w:t>
            </w:r>
          </w:p>
        </w:tc>
        <w:tc>
          <w:tcPr>
            <w:tcW w:w="5761" w:type="dxa"/>
            <w:vAlign w:val="top"/>
          </w:tcPr>
          <w:p w14:paraId="7EB0C644">
            <w:pPr>
              <w:rPr>
                <w:rFonts w:hint="eastAsia" w:ascii="仿宋" w:hAnsi="仿宋" w:eastAsia="仿宋" w:cs="仿宋"/>
                <w:sz w:val="24"/>
                <w:szCs w:val="24"/>
              </w:rPr>
            </w:pPr>
          </w:p>
        </w:tc>
      </w:tr>
      <w:tr w14:paraId="021A6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2991" w:type="dxa"/>
            <w:vAlign w:val="top"/>
          </w:tcPr>
          <w:p w14:paraId="26ADAA7F">
            <w:pPr>
              <w:pStyle w:val="41"/>
              <w:spacing w:before="267" w:line="220" w:lineRule="auto"/>
              <w:ind w:left="1203"/>
              <w:rPr>
                <w:rFonts w:hint="eastAsia" w:ascii="仿宋" w:hAnsi="仿宋" w:eastAsia="仿宋" w:cs="仿宋"/>
                <w:spacing w:val="-6"/>
                <w:sz w:val="24"/>
                <w:szCs w:val="24"/>
                <w:lang w:eastAsia="zh-CN"/>
              </w:rPr>
            </w:pPr>
            <w:r>
              <w:rPr>
                <w:rFonts w:hint="eastAsia" w:ascii="仿宋" w:hAnsi="仿宋" w:eastAsia="仿宋" w:cs="仿宋"/>
                <w:spacing w:val="-6"/>
                <w:sz w:val="24"/>
                <w:szCs w:val="24"/>
                <w:lang w:eastAsia="zh-CN"/>
              </w:rPr>
              <w:t>项目经理</w:t>
            </w:r>
          </w:p>
        </w:tc>
        <w:tc>
          <w:tcPr>
            <w:tcW w:w="5761" w:type="dxa"/>
            <w:vAlign w:val="top"/>
          </w:tcPr>
          <w:p w14:paraId="1AABC391">
            <w:pPr>
              <w:rPr>
                <w:rFonts w:hint="eastAsia" w:ascii="仿宋" w:hAnsi="仿宋" w:eastAsia="仿宋" w:cs="仿宋"/>
                <w:sz w:val="24"/>
                <w:szCs w:val="24"/>
              </w:rPr>
            </w:pPr>
          </w:p>
        </w:tc>
      </w:tr>
      <w:tr w14:paraId="24F44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trPr>
        <w:tc>
          <w:tcPr>
            <w:tcW w:w="8752" w:type="dxa"/>
            <w:gridSpan w:val="2"/>
            <w:vAlign w:val="center"/>
          </w:tcPr>
          <w:p w14:paraId="09AA740D">
            <w:pPr>
              <w:jc w:val="both"/>
              <w:rPr>
                <w:rFonts w:hint="eastAsia" w:ascii="仿宋" w:hAnsi="仿宋" w:eastAsia="仿宋" w:cs="仿宋"/>
                <w:sz w:val="24"/>
                <w:szCs w:val="24"/>
              </w:rPr>
            </w:pPr>
            <w:r>
              <w:rPr>
                <w:rFonts w:hint="eastAsia" w:ascii="仿宋" w:hAnsi="仿宋" w:eastAsia="仿宋" w:cs="仿宋"/>
                <w:sz w:val="24"/>
                <w:szCs w:val="24"/>
              </w:rPr>
              <w:t>备注：表内报价内容以元为单位，最多保留小数点后（两位）。</w:t>
            </w:r>
          </w:p>
        </w:tc>
      </w:tr>
    </w:tbl>
    <w:p w14:paraId="2C513DD6">
      <w:pPr>
        <w:pStyle w:val="2"/>
        <w:spacing w:line="251" w:lineRule="auto"/>
        <w:rPr>
          <w:rFonts w:hint="eastAsia" w:ascii="仿宋" w:hAnsi="仿宋" w:eastAsia="仿宋" w:cs="仿宋"/>
          <w:sz w:val="24"/>
          <w:szCs w:val="24"/>
        </w:rPr>
      </w:pPr>
    </w:p>
    <w:p w14:paraId="3D25D8D2">
      <w:pPr>
        <w:spacing w:before="78" w:line="218" w:lineRule="auto"/>
        <w:ind w:left="489"/>
        <w:rPr>
          <w:rFonts w:hint="eastAsia" w:ascii="仿宋" w:hAnsi="仿宋" w:eastAsia="仿宋" w:cs="仿宋"/>
          <w:sz w:val="24"/>
          <w:szCs w:val="24"/>
        </w:rPr>
      </w:pPr>
      <w:r>
        <w:rPr>
          <w:rFonts w:hint="eastAsia" w:ascii="仿宋" w:hAnsi="仿宋" w:eastAsia="仿宋" w:cs="仿宋"/>
          <w:color w:val="FF0000"/>
          <w:spacing w:val="-1"/>
          <w:sz w:val="24"/>
          <w:szCs w:val="24"/>
        </w:rPr>
        <w:t>注：</w:t>
      </w:r>
      <w:r>
        <w:rPr>
          <w:rFonts w:hint="eastAsia" w:ascii="仿宋" w:hAnsi="仿宋" w:eastAsia="仿宋" w:cs="仿宋"/>
          <w:color w:val="FF0000"/>
          <w:spacing w:val="-1"/>
          <w:sz w:val="24"/>
          <w:szCs w:val="24"/>
          <w:lang w:val="en-US" w:eastAsia="zh-CN"/>
        </w:rPr>
        <w:t>不得装订在响应文件中，现场报价环节提交</w:t>
      </w:r>
      <w:r>
        <w:rPr>
          <w:rFonts w:hint="eastAsia" w:ascii="仿宋" w:hAnsi="仿宋" w:eastAsia="仿宋" w:cs="仿宋"/>
          <w:color w:val="FF0000"/>
          <w:spacing w:val="-1"/>
          <w:sz w:val="24"/>
          <w:szCs w:val="24"/>
        </w:rPr>
        <w:t>。</w:t>
      </w:r>
    </w:p>
    <w:p w14:paraId="084A58B2">
      <w:pPr>
        <w:pStyle w:val="2"/>
        <w:spacing w:line="258" w:lineRule="auto"/>
        <w:rPr>
          <w:rFonts w:hint="eastAsia" w:ascii="仿宋" w:hAnsi="仿宋" w:eastAsia="仿宋" w:cs="仿宋"/>
          <w:sz w:val="24"/>
          <w:szCs w:val="24"/>
        </w:rPr>
      </w:pPr>
    </w:p>
    <w:p w14:paraId="7D444CFE">
      <w:pPr>
        <w:pStyle w:val="2"/>
        <w:spacing w:line="259" w:lineRule="auto"/>
        <w:rPr>
          <w:rFonts w:hint="eastAsia" w:ascii="仿宋" w:hAnsi="仿宋" w:eastAsia="仿宋" w:cs="仿宋"/>
          <w:sz w:val="24"/>
          <w:szCs w:val="24"/>
        </w:rPr>
      </w:pPr>
    </w:p>
    <w:p w14:paraId="00804783">
      <w:pPr>
        <w:pStyle w:val="2"/>
        <w:spacing w:line="259" w:lineRule="auto"/>
        <w:rPr>
          <w:rFonts w:hint="eastAsia" w:ascii="仿宋" w:hAnsi="仿宋" w:eastAsia="仿宋" w:cs="仿宋"/>
          <w:sz w:val="24"/>
          <w:szCs w:val="24"/>
        </w:rPr>
      </w:pPr>
    </w:p>
    <w:p w14:paraId="7BA123AF">
      <w:pPr>
        <w:pStyle w:val="2"/>
        <w:spacing w:line="259" w:lineRule="auto"/>
        <w:rPr>
          <w:rFonts w:hint="eastAsia" w:ascii="仿宋" w:hAnsi="仿宋" w:eastAsia="仿宋" w:cs="仿宋"/>
          <w:sz w:val="24"/>
          <w:szCs w:val="24"/>
        </w:rPr>
      </w:pPr>
    </w:p>
    <w:p w14:paraId="5D949DDF">
      <w:pPr>
        <w:pStyle w:val="2"/>
        <w:spacing w:line="360" w:lineRule="auto"/>
        <w:ind w:firstLine="708" w:firstLineChars="300"/>
        <w:rPr>
          <w:rFonts w:hint="eastAsia" w:ascii="仿宋" w:hAnsi="仿宋" w:eastAsia="仿宋" w:cs="仿宋"/>
          <w:sz w:val="24"/>
          <w:szCs w:val="24"/>
          <w:lang w:eastAsia="zh-CN"/>
        </w:rPr>
      </w:pPr>
      <w:r>
        <w:rPr>
          <w:rFonts w:hint="eastAsia" w:ascii="仿宋" w:hAnsi="仿宋" w:eastAsia="仿宋" w:cs="仿宋"/>
          <w:spacing w:val="-2"/>
          <w:sz w:val="24"/>
          <w:szCs w:val="24"/>
        </w:rPr>
        <w:t>供应商名称</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盖章</w:t>
      </w:r>
      <w:r>
        <w:rPr>
          <w:rFonts w:hint="eastAsia" w:ascii="仿宋" w:hAnsi="仿宋" w:eastAsia="仿宋" w:cs="仿宋"/>
          <w:sz w:val="24"/>
          <w:szCs w:val="24"/>
          <w:u w:val="single" w:color="auto"/>
          <w:lang w:eastAsia="zh-CN"/>
        </w:rPr>
        <w:t>）</w:t>
      </w:r>
    </w:p>
    <w:p w14:paraId="518BFD56">
      <w:pPr>
        <w:spacing w:before="79" w:line="360" w:lineRule="auto"/>
        <w:ind w:left="243"/>
        <w:rPr>
          <w:rFonts w:hint="eastAsia" w:ascii="仿宋" w:hAnsi="仿宋" w:eastAsia="仿宋" w:cs="仿宋"/>
          <w:sz w:val="24"/>
          <w:szCs w:val="24"/>
          <w:lang w:eastAsia="zh-CN"/>
        </w:rPr>
      </w:pPr>
      <w:r>
        <w:rPr>
          <w:rFonts w:hint="eastAsia" w:ascii="仿宋" w:hAnsi="仿宋" w:eastAsia="仿宋" w:cs="仿宋"/>
          <w:spacing w:val="-1"/>
          <w:sz w:val="24"/>
          <w:szCs w:val="24"/>
        </w:rPr>
        <w:t>法定代表人或授权代理人</w:t>
      </w:r>
      <w:r>
        <w:rPr>
          <w:rFonts w:hint="eastAsia" w:ascii="仿宋" w:hAnsi="仿宋" w:eastAsia="仿宋" w:cs="仿宋"/>
          <w:spacing w:val="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eastAsia="zh-CN"/>
        </w:rPr>
        <w:t>（</w:t>
      </w:r>
      <w:r>
        <w:rPr>
          <w:rFonts w:hint="eastAsia" w:ascii="仿宋" w:hAnsi="仿宋" w:eastAsia="仿宋" w:cs="仿宋"/>
          <w:sz w:val="24"/>
          <w:szCs w:val="24"/>
          <w:u w:val="single" w:color="auto"/>
          <w:lang w:val="en-US" w:eastAsia="zh-CN"/>
        </w:rPr>
        <w:t>签字或盖章</w:t>
      </w:r>
      <w:r>
        <w:rPr>
          <w:rFonts w:hint="eastAsia" w:ascii="仿宋" w:hAnsi="仿宋" w:eastAsia="仿宋" w:cs="仿宋"/>
          <w:sz w:val="24"/>
          <w:szCs w:val="24"/>
          <w:u w:val="single" w:color="auto"/>
          <w:lang w:eastAsia="zh-CN"/>
        </w:rPr>
        <w:t>）</w:t>
      </w:r>
    </w:p>
    <w:p w14:paraId="0FFC33DB">
      <w:pPr>
        <w:ind w:firstLine="1744" w:firstLineChars="800"/>
        <w:rPr>
          <w:rFonts w:hint="eastAsia" w:ascii="宋体" w:hAnsi="宋体" w:eastAsia="宋体" w:cs="宋体"/>
          <w:color w:val="auto"/>
          <w:sz w:val="36"/>
          <w:szCs w:val="36"/>
          <w:highlight w:val="none"/>
          <w:lang w:val="en-US" w:eastAsia="zh-CN"/>
        </w:rPr>
      </w:pPr>
      <w:r>
        <w:rPr>
          <w:rFonts w:hint="eastAsia" w:ascii="仿宋" w:hAnsi="仿宋" w:eastAsia="仿宋" w:cs="仿宋"/>
          <w:spacing w:val="-11"/>
          <w:sz w:val="24"/>
          <w:szCs w:val="24"/>
        </w:rPr>
        <w:t>日期：</w:t>
      </w:r>
      <w:r>
        <w:rPr>
          <w:rFonts w:hint="eastAsia" w:ascii="仿宋" w:hAnsi="仿宋" w:eastAsia="仿宋" w:cs="仿宋"/>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11"/>
          <w:sz w:val="24"/>
          <w:szCs w:val="24"/>
        </w:rPr>
        <w:t xml:space="preserve">年 </w:t>
      </w:r>
      <w:r>
        <w:rPr>
          <w:rFonts w:hint="eastAsia" w:ascii="仿宋" w:hAnsi="仿宋" w:eastAsia="仿宋" w:cs="仿宋"/>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60"/>
          <w:sz w:val="24"/>
          <w:szCs w:val="24"/>
          <w:u w:val="single" w:color="auto"/>
        </w:rPr>
        <w:t xml:space="preserve">  </w:t>
      </w:r>
      <w:r>
        <w:rPr>
          <w:rFonts w:hint="eastAsia" w:ascii="仿宋" w:hAnsi="仿宋" w:eastAsia="仿宋" w:cs="仿宋"/>
          <w:spacing w:val="-70"/>
          <w:sz w:val="24"/>
          <w:szCs w:val="24"/>
        </w:rPr>
        <w:t xml:space="preserve"> </w:t>
      </w:r>
      <w:r>
        <w:rPr>
          <w:rFonts w:hint="eastAsia" w:ascii="仿宋" w:hAnsi="仿宋" w:eastAsia="仿宋" w:cs="仿宋"/>
          <w:spacing w:val="-11"/>
          <w:sz w:val="24"/>
          <w:szCs w:val="24"/>
        </w:rPr>
        <w:t>日</w:t>
      </w:r>
      <w:r>
        <w:rPr>
          <w:rFonts w:hint="eastAsia" w:ascii="宋体" w:hAnsi="宋体" w:eastAsia="宋体" w:cs="宋体"/>
          <w:color w:val="auto"/>
          <w:sz w:val="36"/>
          <w:szCs w:val="36"/>
          <w:highlight w:val="none"/>
          <w:lang w:val="en-US" w:eastAsia="zh-CN"/>
        </w:rPr>
        <w:br w:type="page"/>
      </w:r>
    </w:p>
    <w:p w14:paraId="429CC1B4">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default" w:ascii="宋体" w:hAnsi="宋体" w:eastAsia="宋体" w:cs="宋体"/>
          <w:color w:val="auto"/>
          <w:sz w:val="36"/>
          <w:szCs w:val="36"/>
          <w:highlight w:val="none"/>
          <w:lang w:val="en-US"/>
        </w:rPr>
      </w:pPr>
      <w:r>
        <w:rPr>
          <w:rFonts w:hint="eastAsia" w:ascii="宋体" w:hAnsi="宋体" w:eastAsia="宋体" w:cs="宋体"/>
          <w:color w:val="auto"/>
          <w:sz w:val="36"/>
          <w:szCs w:val="36"/>
          <w:highlight w:val="none"/>
          <w:lang w:val="en-US" w:eastAsia="zh-CN"/>
        </w:rPr>
        <w:t>三</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技术方案</w:t>
      </w:r>
    </w:p>
    <w:p w14:paraId="59DE152D">
      <w:pPr>
        <w:shd w:val="clear"/>
        <w:adjustRightInd w:val="0"/>
        <w:spacing w:line="400" w:lineRule="exact"/>
        <w:jc w:val="center"/>
        <w:rPr>
          <w:rFonts w:hint="eastAsia" w:ascii="宋体" w:hAnsi="宋体" w:eastAsia="宋体" w:cs="宋体"/>
          <w:b/>
          <w:color w:val="auto"/>
          <w:sz w:val="36"/>
          <w:szCs w:val="36"/>
          <w:highlight w:val="none"/>
        </w:rPr>
      </w:pPr>
    </w:p>
    <w:p w14:paraId="3AB39554">
      <w:pPr>
        <w:shd w:val="clear"/>
        <w:adjustRightInd w:val="0"/>
        <w:spacing w:line="40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格式自拟。</w:t>
      </w:r>
      <w:r>
        <w:rPr>
          <w:rFonts w:hint="eastAsia" w:ascii="仿宋" w:hAnsi="仿宋" w:eastAsia="仿宋" w:cs="仿宋"/>
          <w:color w:val="auto"/>
          <w:sz w:val="24"/>
          <w:szCs w:val="24"/>
          <w:highlight w:val="none"/>
        </w:rPr>
        <w:t>供应商根据磋商文件要求和采购需求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2E05B721">
      <w:pPr>
        <w:shd w:val="clear"/>
        <w:spacing w:beforeLines="50"/>
        <w:jc w:val="left"/>
        <w:rPr>
          <w:rFonts w:hint="eastAsia" w:ascii="宋体" w:hAnsi="宋体" w:eastAsia="宋体" w:cs="宋体"/>
          <w:color w:val="auto"/>
          <w:szCs w:val="21"/>
          <w:highlight w:val="none"/>
        </w:rPr>
      </w:pPr>
    </w:p>
    <w:p w14:paraId="38F492D5">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Cs/>
          <w:color w:val="auto"/>
          <w:sz w:val="36"/>
          <w:szCs w:val="36"/>
          <w:highlight w:val="none"/>
        </w:rPr>
        <w:br w:type="page"/>
      </w:r>
    </w:p>
    <w:p w14:paraId="061575B3">
      <w:pPr>
        <w:spacing w:line="440" w:lineRule="exact"/>
        <w:rPr>
          <w:rFonts w:ascii="宋体" w:hAnsi="宋体" w:cs="宋体"/>
          <w:b/>
          <w:bCs/>
          <w:color w:val="auto"/>
          <w:szCs w:val="21"/>
        </w:rPr>
      </w:pPr>
      <w:r>
        <w:rPr>
          <w:rFonts w:hint="eastAsia" w:ascii="宋体" w:hAnsi="宋体" w:cs="宋体"/>
          <w:b/>
          <w:bCs/>
          <w:color w:val="auto"/>
          <w:szCs w:val="21"/>
        </w:rPr>
        <w:t>附表1：</w:t>
      </w:r>
    </w:p>
    <w:p w14:paraId="3ECD14ED">
      <w:pPr>
        <w:keepNext/>
        <w:keepLines/>
        <w:spacing w:line="440" w:lineRule="exact"/>
        <w:outlineLvl w:val="9"/>
        <w:rPr>
          <w:rFonts w:hint="eastAsia" w:ascii="宋体" w:hAnsi="宋体" w:eastAsia="宋体" w:cs="宋体"/>
          <w:color w:val="auto"/>
          <w:sz w:val="28"/>
          <w:szCs w:val="28"/>
          <w:lang w:val="en-US" w:eastAsia="zh-CN"/>
        </w:rPr>
      </w:pPr>
    </w:p>
    <w:p w14:paraId="37E80641">
      <w:pPr>
        <w:spacing w:after="120" w:afterLines="50" w:line="56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项目人员组成表</w:t>
      </w:r>
    </w:p>
    <w:tbl>
      <w:tblPr>
        <w:tblStyle w:val="23"/>
        <w:tblW w:w="9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05"/>
        <w:gridCol w:w="1125"/>
        <w:gridCol w:w="1695"/>
        <w:gridCol w:w="1335"/>
        <w:gridCol w:w="1380"/>
        <w:gridCol w:w="1290"/>
        <w:gridCol w:w="793"/>
      </w:tblGrid>
      <w:tr w14:paraId="7E49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4" w:type="dxa"/>
            <w:vAlign w:val="center"/>
          </w:tcPr>
          <w:p w14:paraId="301E106B">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305" w:type="dxa"/>
            <w:vAlign w:val="center"/>
          </w:tcPr>
          <w:p w14:paraId="4D4AAAE8">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125" w:type="dxa"/>
            <w:vAlign w:val="center"/>
          </w:tcPr>
          <w:p w14:paraId="25EF449C">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color w:val="auto"/>
                <w:spacing w:val="-3"/>
                <w:kern w:val="0"/>
                <w:szCs w:val="21"/>
                <w:highlight w:val="none"/>
              </w:rPr>
              <w:t>专业</w:t>
            </w:r>
          </w:p>
        </w:tc>
        <w:tc>
          <w:tcPr>
            <w:tcW w:w="1695" w:type="dxa"/>
            <w:vAlign w:val="center"/>
          </w:tcPr>
          <w:p w14:paraId="73DEAA1F">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专业</w:t>
            </w:r>
            <w:r>
              <w:rPr>
                <w:rFonts w:hint="eastAsia" w:ascii="宋体" w:hAnsi="宋体" w:eastAsia="宋体" w:cs="宋体"/>
                <w:color w:val="auto"/>
                <w:spacing w:val="-3"/>
                <w:kern w:val="0"/>
                <w:szCs w:val="21"/>
                <w:highlight w:val="none"/>
              </w:rPr>
              <w:t>工作年限</w:t>
            </w:r>
          </w:p>
        </w:tc>
        <w:tc>
          <w:tcPr>
            <w:tcW w:w="1335" w:type="dxa"/>
            <w:vAlign w:val="center"/>
          </w:tcPr>
          <w:p w14:paraId="01F0A7DA">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职称</w:t>
            </w:r>
          </w:p>
        </w:tc>
        <w:tc>
          <w:tcPr>
            <w:tcW w:w="1380" w:type="dxa"/>
            <w:tcBorders>
              <w:left w:val="single" w:color="auto" w:sz="4" w:space="0"/>
            </w:tcBorders>
            <w:vAlign w:val="center"/>
          </w:tcPr>
          <w:p w14:paraId="704682B1">
            <w:pPr>
              <w:shd w:val="clear"/>
              <w:adjustRightInd w:val="0"/>
              <w:snapToGrid w:val="0"/>
              <w:spacing w:line="240" w:lineRule="auto"/>
              <w:ind w:right="24"/>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资格</w:t>
            </w:r>
            <w:r>
              <w:rPr>
                <w:rFonts w:hint="eastAsia" w:ascii="宋体" w:hAnsi="宋体" w:cs="宋体"/>
                <w:bCs/>
                <w:color w:val="auto"/>
                <w:szCs w:val="21"/>
                <w:highlight w:val="none"/>
                <w:lang w:val="en-US" w:eastAsia="zh-CN"/>
              </w:rPr>
              <w:t>证号</w:t>
            </w:r>
          </w:p>
        </w:tc>
        <w:tc>
          <w:tcPr>
            <w:tcW w:w="1290" w:type="dxa"/>
            <w:tcBorders>
              <w:left w:val="single" w:color="auto" w:sz="4" w:space="0"/>
            </w:tcBorders>
            <w:vAlign w:val="center"/>
          </w:tcPr>
          <w:p w14:paraId="226A97A9">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拟任职务</w:t>
            </w:r>
          </w:p>
        </w:tc>
        <w:tc>
          <w:tcPr>
            <w:tcW w:w="793" w:type="dxa"/>
            <w:tcBorders>
              <w:left w:val="single" w:color="auto" w:sz="4" w:space="0"/>
            </w:tcBorders>
            <w:vAlign w:val="center"/>
          </w:tcPr>
          <w:p w14:paraId="6F334A21">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备注</w:t>
            </w:r>
          </w:p>
        </w:tc>
      </w:tr>
      <w:tr w14:paraId="31C5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A037A2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AB4FA9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154A1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5212D3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277A1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F8CD5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3AAFC6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A6B4BAC">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531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28C716E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8715C9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002361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2D59089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B5F708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3FD11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CD5BB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B3F8B3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FE17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B36CB0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951AF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085C2E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596EE7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94E38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8102CE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889D39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5E5AED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A34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F03BA3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40CDEB9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AEB2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83F36A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320BC0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8EE649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CC5572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B90D99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C9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639E84A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3332091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79DAA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05C75F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2D74EEC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46930B5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4BEBB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DA2C3F3">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78C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73A5551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2BBA6C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376AD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961B17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5DAC68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0B2DA9A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1DCC6D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45FCF2A">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19345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32EF24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C82099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09404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330875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5463C50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166EF6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64B84D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0D9BB5B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1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9E1A18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9102D3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E43F9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76C9B8C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BBF948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A8E164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AC517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EEB16E9">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6F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7EC64E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65E5C2F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23FF214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D2BF3F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A4D085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E9A25B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533391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075745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2722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D7D901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BAD8D0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A49030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69A2F5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06ECAFA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B46140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0DD620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C23A600">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3DD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579178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C3F3A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691DE4F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05FA8B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92D6A6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4ED90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6D88C72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6E4527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2C7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60DAA3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2D372C8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D4FAC7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C67F9D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CB52D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E2328D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8FAAD8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12A6AA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616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295B1A2">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305" w:type="dxa"/>
            <w:vAlign w:val="center"/>
          </w:tcPr>
          <w:p w14:paraId="35D79AF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1A772B0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78FBA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CDECE2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77E0BF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2679C3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1442F364">
            <w:pPr>
              <w:shd w:val="clear"/>
              <w:adjustRightInd w:val="0"/>
              <w:snapToGrid w:val="0"/>
              <w:spacing w:line="240" w:lineRule="auto"/>
              <w:ind w:right="24"/>
              <w:jc w:val="center"/>
              <w:rPr>
                <w:rFonts w:hint="eastAsia" w:ascii="宋体" w:hAnsi="宋体" w:eastAsia="宋体" w:cs="宋体"/>
                <w:bCs/>
                <w:color w:val="auto"/>
                <w:szCs w:val="21"/>
                <w:highlight w:val="none"/>
              </w:rPr>
            </w:pPr>
          </w:p>
        </w:tc>
      </w:tr>
    </w:tbl>
    <w:p w14:paraId="7E953C7F">
      <w:pPr>
        <w:shd w:val="clea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后附项目人员相关证明材料</w:t>
      </w:r>
      <w:r>
        <w:rPr>
          <w:rFonts w:hint="eastAsia" w:ascii="宋体" w:hAnsi="宋体" w:cs="宋体"/>
          <w:color w:val="auto"/>
          <w:sz w:val="24"/>
          <w:szCs w:val="24"/>
          <w:highlight w:val="none"/>
          <w:lang w:val="en-US" w:eastAsia="zh-CN"/>
        </w:rPr>
        <w:t>（身份证、职称证或岗位证）</w:t>
      </w:r>
      <w:r>
        <w:rPr>
          <w:rFonts w:hint="eastAsia" w:ascii="宋体" w:hAnsi="宋体" w:eastAsia="宋体" w:cs="宋体"/>
          <w:color w:val="auto"/>
          <w:sz w:val="24"/>
          <w:szCs w:val="24"/>
          <w:highlight w:val="none"/>
          <w:lang w:val="en-US" w:eastAsia="zh-CN"/>
        </w:rPr>
        <w:t>复印件加盖公章。</w:t>
      </w:r>
      <w:r>
        <w:rPr>
          <w:rFonts w:hint="eastAsia" w:ascii="宋体" w:hAnsi="宋体" w:eastAsia="宋体" w:cs="宋体"/>
          <w:color w:val="auto"/>
          <w:sz w:val="24"/>
          <w:szCs w:val="24"/>
          <w:highlight w:val="none"/>
          <w:lang w:eastAsia="zh-CN"/>
        </w:rPr>
        <w:t>页面可相同格式扩展。</w:t>
      </w:r>
    </w:p>
    <w:p w14:paraId="544E41AF">
      <w:pPr>
        <w:pStyle w:val="20"/>
        <w:shd w:val="clear"/>
        <w:spacing w:before="0" w:beforeAutospacing="0" w:after="0" w:afterAutospacing="0" w:line="480" w:lineRule="auto"/>
        <w:ind w:firstLine="4560" w:firstLineChars="19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（盖单位章）</w:t>
      </w:r>
    </w:p>
    <w:p w14:paraId="5279CED1">
      <w:pPr>
        <w:pStyle w:val="20"/>
        <w:shd w:val="clear"/>
        <w:spacing w:before="0" w:beforeAutospacing="0" w:after="0" w:afterAutospacing="0" w:line="480" w:lineRule="auto"/>
        <w:ind w:firstLine="3840" w:firstLineChars="16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（签字或盖章）</w:t>
      </w:r>
    </w:p>
    <w:p w14:paraId="54BC64FA">
      <w:pPr>
        <w:shd w:val="clear"/>
        <w:adjustRightInd w:val="0"/>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日</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期：</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14:paraId="1CD31242">
      <w:pPr>
        <w:rPr>
          <w:rFonts w:hint="eastAsia" w:ascii="宋体" w:hAnsi="宋体" w:eastAsia="宋体" w:cs="宋体"/>
          <w:b/>
          <w:color w:val="auto"/>
          <w:kern w:val="2"/>
          <w:sz w:val="36"/>
          <w:szCs w:val="36"/>
          <w:highlight w:val="none"/>
          <w:lang w:val="en-US" w:eastAsia="zh-CN" w:bidi="ar-SA"/>
        </w:rPr>
      </w:pPr>
      <w:bookmarkStart w:id="265" w:name="_Toc7798"/>
      <w:r>
        <w:rPr>
          <w:rFonts w:hint="eastAsia" w:ascii="宋体" w:hAnsi="宋体" w:eastAsia="宋体" w:cs="宋体"/>
          <w:b/>
          <w:color w:val="auto"/>
          <w:kern w:val="2"/>
          <w:sz w:val="36"/>
          <w:szCs w:val="36"/>
          <w:highlight w:val="none"/>
          <w:lang w:val="en-US" w:eastAsia="zh-CN" w:bidi="ar-SA"/>
        </w:rPr>
        <w:br w:type="page"/>
      </w:r>
    </w:p>
    <w:p w14:paraId="3ADF79C3">
      <w:pPr>
        <w:shd w:val="clear"/>
        <w:jc w:val="center"/>
        <w:outlineLvl w:val="9"/>
        <w:rPr>
          <w:rFonts w:hint="eastAsia" w:ascii="宋体" w:hAnsi="宋体" w:eastAsia="宋体" w:cs="宋体"/>
          <w:b/>
          <w:color w:val="auto"/>
          <w:sz w:val="36"/>
          <w:szCs w:val="36"/>
          <w:highlight w:val="none"/>
        </w:rPr>
      </w:pPr>
      <w:r>
        <w:rPr>
          <w:rFonts w:hint="eastAsia" w:ascii="宋体" w:hAnsi="宋体" w:eastAsia="宋体" w:cs="宋体"/>
          <w:b/>
          <w:color w:val="auto"/>
          <w:kern w:val="2"/>
          <w:sz w:val="36"/>
          <w:szCs w:val="36"/>
          <w:highlight w:val="none"/>
          <w:lang w:val="en-US" w:eastAsia="zh-CN" w:bidi="ar-SA"/>
        </w:rPr>
        <w:t>四、</w:t>
      </w:r>
      <w:r>
        <w:rPr>
          <w:rFonts w:hint="eastAsia" w:ascii="宋体" w:hAnsi="宋体" w:eastAsia="宋体" w:cs="宋体"/>
          <w:b/>
          <w:bCs/>
          <w:color w:val="auto"/>
          <w:sz w:val="36"/>
          <w:szCs w:val="36"/>
          <w:highlight w:val="none"/>
        </w:rPr>
        <w:t>商务条款</w:t>
      </w:r>
      <w:r>
        <w:rPr>
          <w:rFonts w:hint="eastAsia" w:ascii="宋体" w:hAnsi="宋体" w:eastAsia="宋体" w:cs="宋体"/>
          <w:b/>
          <w:color w:val="auto"/>
          <w:sz w:val="36"/>
          <w:szCs w:val="36"/>
          <w:highlight w:val="none"/>
        </w:rPr>
        <w:t>偏离表</w:t>
      </w:r>
    </w:p>
    <w:p w14:paraId="37830D03">
      <w:pPr>
        <w:pStyle w:val="8"/>
        <w:shd w:val="clear"/>
        <w:spacing w:beforeLines="50" w:afterLines="50"/>
        <w:ind w:firstLine="0"/>
        <w:rPr>
          <w:rFonts w:hint="eastAsia" w:ascii="宋体" w:hAnsi="宋体" w:eastAsia="宋体" w:cs="宋体"/>
          <w:color w:val="auto"/>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73"/>
        <w:gridCol w:w="1435"/>
        <w:gridCol w:w="2074"/>
        <w:gridCol w:w="1040"/>
        <w:gridCol w:w="2020"/>
      </w:tblGrid>
      <w:tr w14:paraId="1FCE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78" w:type="dxa"/>
            <w:vAlign w:val="center"/>
          </w:tcPr>
          <w:p w14:paraId="79CEFA2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473" w:type="dxa"/>
            <w:vAlign w:val="center"/>
          </w:tcPr>
          <w:p w14:paraId="69A998D7">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文件条目号</w:t>
            </w:r>
          </w:p>
        </w:tc>
        <w:tc>
          <w:tcPr>
            <w:tcW w:w="1435" w:type="dxa"/>
            <w:vAlign w:val="center"/>
          </w:tcPr>
          <w:p w14:paraId="279B72A9">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磋商文件</w:t>
            </w:r>
          </w:p>
          <w:p w14:paraId="1A6DAA1D">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商务要求</w:t>
            </w:r>
          </w:p>
        </w:tc>
        <w:tc>
          <w:tcPr>
            <w:tcW w:w="2074" w:type="dxa"/>
            <w:vAlign w:val="center"/>
          </w:tcPr>
          <w:p w14:paraId="7DE7E95A">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响应文件</w:t>
            </w:r>
          </w:p>
          <w:p w14:paraId="4155F11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商务响应</w:t>
            </w:r>
          </w:p>
        </w:tc>
        <w:tc>
          <w:tcPr>
            <w:tcW w:w="1040" w:type="dxa"/>
            <w:vAlign w:val="center"/>
          </w:tcPr>
          <w:p w14:paraId="39D3059C">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w:t>
            </w:r>
          </w:p>
        </w:tc>
        <w:tc>
          <w:tcPr>
            <w:tcW w:w="2020" w:type="dxa"/>
            <w:vAlign w:val="center"/>
          </w:tcPr>
          <w:p w14:paraId="50349B8F">
            <w:pPr>
              <w:shd w:val="clear"/>
              <w:adjustRightInd w:val="0"/>
              <w:snapToGrid w:val="0"/>
              <w:ind w:right="23"/>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偏离及其影响</w:t>
            </w:r>
          </w:p>
        </w:tc>
      </w:tr>
      <w:tr w14:paraId="0F4F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2AE592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5D2561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441D2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ED255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243F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346E18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2BB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A177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B35E2F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EEC85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82828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4A507C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0462EFA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0F12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78" w:type="dxa"/>
          </w:tcPr>
          <w:p w14:paraId="16E7278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26D947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1BC3550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603FCE4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CFC859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319F1A9A">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42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A78F16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130AB89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5DC62D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7F934D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8F8311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06D9D8">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2C1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D1A261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5FE23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527B5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43246EA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09DE33C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7F8DA31D">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7188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58C65F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9D744FD">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37E5FB0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27C4B85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D5089B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0351345">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3157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0F30859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0297902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486B87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9C3A35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4F918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EEDBBE6">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283D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79F24A4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323F1631">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7BE7BF4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E92D13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F503C2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E5DF450">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3BF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93650F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896B82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2F48F1F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787BC7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4755200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B955E54">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0E6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70D81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51020F7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D547C9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CB962AC">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C1EA9F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69B74CE">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5042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2F2A3DF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7D9F92D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1E8002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57F3939E">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5A6262F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B141679">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151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49BDD4A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2E4ABA7B">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52F0B7C5">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4AF657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0D251DF">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2CD65783">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12FF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1B147BE3">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4AB8D6F9">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0A79A4B2">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3254B144">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78D53518">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170644D2">
            <w:pPr>
              <w:shd w:val="clear"/>
              <w:adjustRightInd w:val="0"/>
              <w:snapToGrid w:val="0"/>
              <w:spacing w:line="360" w:lineRule="auto"/>
              <w:ind w:right="24"/>
              <w:rPr>
                <w:rFonts w:hint="eastAsia" w:ascii="仿宋" w:hAnsi="仿宋" w:eastAsia="仿宋" w:cs="仿宋"/>
                <w:bCs/>
                <w:color w:val="auto"/>
                <w:sz w:val="24"/>
                <w:szCs w:val="24"/>
                <w:highlight w:val="none"/>
              </w:rPr>
            </w:pPr>
          </w:p>
        </w:tc>
      </w:tr>
      <w:tr w14:paraId="42299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8" w:type="dxa"/>
          </w:tcPr>
          <w:p w14:paraId="5741E3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73" w:type="dxa"/>
          </w:tcPr>
          <w:p w14:paraId="6F27226A">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435" w:type="dxa"/>
          </w:tcPr>
          <w:p w14:paraId="4FA484E0">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74" w:type="dxa"/>
          </w:tcPr>
          <w:p w14:paraId="08C2A866">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1040" w:type="dxa"/>
          </w:tcPr>
          <w:p w14:paraId="398554B7">
            <w:pPr>
              <w:shd w:val="clear"/>
              <w:adjustRightInd w:val="0"/>
              <w:snapToGrid w:val="0"/>
              <w:spacing w:line="360" w:lineRule="auto"/>
              <w:ind w:right="24"/>
              <w:rPr>
                <w:rFonts w:hint="eastAsia" w:ascii="仿宋" w:hAnsi="仿宋" w:eastAsia="仿宋" w:cs="仿宋"/>
                <w:bCs/>
                <w:color w:val="auto"/>
                <w:sz w:val="24"/>
                <w:szCs w:val="24"/>
                <w:highlight w:val="none"/>
              </w:rPr>
            </w:pPr>
          </w:p>
        </w:tc>
        <w:tc>
          <w:tcPr>
            <w:tcW w:w="2020" w:type="dxa"/>
          </w:tcPr>
          <w:p w14:paraId="5877D7FD">
            <w:pPr>
              <w:shd w:val="clear"/>
              <w:adjustRightInd w:val="0"/>
              <w:snapToGrid w:val="0"/>
              <w:spacing w:line="360" w:lineRule="auto"/>
              <w:ind w:right="24"/>
              <w:rPr>
                <w:rFonts w:hint="eastAsia" w:ascii="仿宋" w:hAnsi="仿宋" w:eastAsia="仿宋" w:cs="仿宋"/>
                <w:bCs/>
                <w:color w:val="auto"/>
                <w:sz w:val="24"/>
                <w:szCs w:val="24"/>
                <w:highlight w:val="none"/>
              </w:rPr>
            </w:pPr>
          </w:p>
        </w:tc>
      </w:tr>
    </w:tbl>
    <w:p w14:paraId="78324440">
      <w:pPr>
        <w:shd w:val="clear"/>
        <w:spacing w:beforeLines="50"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0CEEAC9A">
      <w:pPr>
        <w:shd w:val="clear"/>
        <w:spacing w:line="400" w:lineRule="exact"/>
        <w:ind w:left="141" w:leftChars="67" w:firstLine="676" w:firstLineChars="28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1.本表只填写响应文件中与磋商文件有偏离（包括正偏离和负偏离）的内容，响应文件中商务响应与磋商文件要求完全一致的，不用在此表中列出，但必须提交空白表。</w:t>
      </w:r>
    </w:p>
    <w:p w14:paraId="45EBB352">
      <w:pPr>
        <w:shd w:val="clear"/>
        <w:spacing w:line="400" w:lineRule="exact"/>
        <w:ind w:left="141" w:leftChars="67"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2.供应商必须据实填写，不得虚假响应，否则将取消其磋商或成交资格，并按有关规定进处罚。</w:t>
      </w:r>
    </w:p>
    <w:p w14:paraId="6F5E0C52">
      <w:pPr>
        <w:shd w:val="clear"/>
        <w:adjustRightInd w:val="0"/>
        <w:spacing w:line="400" w:lineRule="exact"/>
        <w:ind w:firstLine="480" w:firstLineChars="200"/>
        <w:jc w:val="left"/>
        <w:rPr>
          <w:rFonts w:hint="eastAsia" w:ascii="仿宋" w:hAnsi="仿宋" w:eastAsia="仿宋" w:cs="仿宋"/>
          <w:bCs/>
          <w:color w:val="auto"/>
          <w:sz w:val="24"/>
          <w:szCs w:val="24"/>
          <w:highlight w:val="none"/>
        </w:rPr>
      </w:pPr>
    </w:p>
    <w:p w14:paraId="20597CFE">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（盖单位章）</w:t>
      </w:r>
    </w:p>
    <w:p w14:paraId="53B2274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19847D59">
      <w:pPr>
        <w:pStyle w:val="20"/>
        <w:shd w:val="clear"/>
        <w:spacing w:before="0" w:beforeAutospacing="0" w:after="0" w:afterAutospacing="0" w:line="480" w:lineRule="auto"/>
        <w:ind w:firstLine="3360" w:firstLineChars="1400"/>
        <w:rPr>
          <w:rFonts w:hint="eastAsia" w:ascii="宋体" w:hAnsi="宋体" w:eastAsia="宋体" w:cs="宋体"/>
          <w:color w:val="auto"/>
          <w:sz w:val="21"/>
          <w:szCs w:val="21"/>
          <w:highlight w:val="none"/>
          <w:lang w:val="en-US" w:eastAsia="zh-CN"/>
        </w:rPr>
        <w:sectPr>
          <w:footerReference r:id="rId18" w:type="default"/>
          <w:headerReference r:id="rId17" w:type="even"/>
          <w:footerReference r:id="rId19"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56A1B01">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eastAsia" w:ascii="宋体" w:hAnsi="宋体" w:eastAsia="宋体" w:cs="宋体"/>
          <w:bCs/>
          <w:color w:val="auto"/>
          <w:sz w:val="36"/>
          <w:szCs w:val="36"/>
          <w:highlight w:val="none"/>
          <w:lang w:val="en-US" w:eastAsia="zh-CN"/>
        </w:rPr>
      </w:pPr>
      <w:r>
        <w:rPr>
          <w:rFonts w:hint="eastAsia" w:ascii="宋体" w:hAnsi="宋体" w:eastAsia="宋体" w:cs="宋体"/>
          <w:bCs/>
          <w:color w:val="auto"/>
          <w:sz w:val="36"/>
          <w:szCs w:val="36"/>
          <w:highlight w:val="none"/>
          <w:lang w:val="en-US" w:eastAsia="zh-CN"/>
        </w:rPr>
        <w:t>五</w:t>
      </w:r>
      <w:r>
        <w:rPr>
          <w:rFonts w:hint="eastAsia" w:ascii="宋体" w:hAnsi="宋体" w:eastAsia="宋体" w:cs="宋体"/>
          <w:color w:val="auto"/>
          <w:sz w:val="36"/>
          <w:szCs w:val="36"/>
          <w:highlight w:val="none"/>
        </w:rPr>
        <w:t>、</w:t>
      </w:r>
      <w:bookmarkEnd w:id="265"/>
      <w:r>
        <w:rPr>
          <w:rFonts w:hint="eastAsia" w:ascii="宋体" w:hAnsi="宋体" w:eastAsia="宋体" w:cs="宋体"/>
          <w:bCs/>
          <w:color w:val="auto"/>
          <w:sz w:val="36"/>
          <w:szCs w:val="36"/>
          <w:highlight w:val="none"/>
          <w:lang w:val="en-US" w:eastAsia="zh-CN"/>
        </w:rPr>
        <w:t>履约能力</w:t>
      </w:r>
    </w:p>
    <w:p w14:paraId="0F491B4E">
      <w:pPr>
        <w:pStyle w:val="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供应商根据磋商文件要求</w:t>
      </w:r>
      <w:r>
        <w:rPr>
          <w:rFonts w:hint="eastAsia" w:ascii="仿宋" w:hAnsi="仿宋" w:eastAsia="仿宋" w:cs="仿宋"/>
          <w:color w:val="auto"/>
          <w:sz w:val="24"/>
          <w:szCs w:val="24"/>
          <w:highlight w:val="none"/>
          <w:lang w:eastAsia="zh-CN"/>
        </w:rPr>
        <w:t>及评审办法，作</w:t>
      </w:r>
      <w:r>
        <w:rPr>
          <w:rFonts w:hint="eastAsia" w:ascii="仿宋" w:hAnsi="仿宋" w:eastAsia="仿宋" w:cs="仿宋"/>
          <w:color w:val="auto"/>
          <w:sz w:val="24"/>
          <w:szCs w:val="24"/>
          <w:highlight w:val="none"/>
        </w:rPr>
        <w:t>出响应。</w:t>
      </w:r>
    </w:p>
    <w:p w14:paraId="7F237771">
      <w:pPr>
        <w:pStyle w:val="2"/>
        <w:ind w:firstLine="2940" w:firstLineChars="1400"/>
        <w:rPr>
          <w:color w:val="auto"/>
        </w:rPr>
      </w:pPr>
      <w:r>
        <w:rPr>
          <w:rFonts w:hint="eastAsia" w:ascii="宋体" w:hAnsi="宋体"/>
          <w:bCs/>
          <w:color w:val="auto"/>
        </w:rPr>
        <w:t xml:space="preserve"> </w:t>
      </w:r>
    </w:p>
    <w:p w14:paraId="233690CA">
      <w:pPr>
        <w:rPr>
          <w:rFonts w:ascii="宋体" w:hAnsi="宋体"/>
          <w:color w:val="auto"/>
          <w:sz w:val="36"/>
          <w:szCs w:val="36"/>
        </w:rPr>
      </w:pPr>
      <w:r>
        <w:rPr>
          <w:rFonts w:hint="eastAsia" w:ascii="宋体" w:hAnsi="宋体"/>
          <w:color w:val="auto"/>
          <w:sz w:val="36"/>
          <w:szCs w:val="36"/>
        </w:rPr>
        <w:br w:type="page"/>
      </w:r>
    </w:p>
    <w:bookmarkEnd w:id="264"/>
    <w:p w14:paraId="3C522221">
      <w:pPr>
        <w:shd w:val="clear"/>
        <w:adjustRightInd w:val="0"/>
        <w:snapToGrid w:val="0"/>
        <w:spacing w:afterLines="5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color w:val="auto"/>
          <w:sz w:val="28"/>
          <w:szCs w:val="28"/>
          <w:highlight w:val="none"/>
          <w:lang w:val="en-US" w:eastAsia="zh-CN"/>
        </w:rPr>
        <w:t>附件1：供应商近三年完成的类似项目业绩一览表</w:t>
      </w:r>
    </w:p>
    <w:p w14:paraId="1CCF7C72">
      <w:pPr>
        <w:shd w:val="clear"/>
        <w:ind w:firstLine="720" w:firstLineChars="300"/>
        <w:rPr>
          <w:rFonts w:hint="eastAsia" w:ascii="仿宋" w:hAnsi="仿宋" w:eastAsia="仿宋" w:cs="仿宋"/>
          <w:b w:val="0"/>
          <w:bCs w:val="0"/>
          <w:color w:val="auto"/>
          <w:sz w:val="24"/>
          <w:szCs w:val="24"/>
          <w:highlight w:val="none"/>
        </w:rPr>
      </w:pPr>
      <w:bookmarkStart w:id="266" w:name="_Toc18074980"/>
      <w:r>
        <w:rPr>
          <w:rFonts w:hint="eastAsia" w:ascii="仿宋" w:hAnsi="仿宋" w:eastAsia="仿宋" w:cs="仿宋"/>
          <w:b w:val="0"/>
          <w:bCs w:val="0"/>
          <w:color w:val="auto"/>
          <w:sz w:val="24"/>
          <w:szCs w:val="24"/>
          <w:highlight w:val="none"/>
          <w:lang w:eastAsia="zh-CN"/>
        </w:rPr>
        <w:t>项目名称</w:t>
      </w:r>
      <w:r>
        <w:rPr>
          <w:rFonts w:hint="eastAsia" w:ascii="仿宋" w:hAnsi="仿宋" w:eastAsia="仿宋" w:cs="仿宋"/>
          <w:b w:val="0"/>
          <w:bCs w:val="0"/>
          <w:color w:val="auto"/>
          <w:sz w:val="24"/>
          <w:szCs w:val="24"/>
          <w:highlight w:val="none"/>
        </w:rPr>
        <w:t>：                                                  单位：万元</w:t>
      </w:r>
      <w:bookmarkEnd w:id="26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671"/>
        <w:gridCol w:w="1984"/>
        <w:gridCol w:w="1391"/>
        <w:gridCol w:w="1704"/>
        <w:gridCol w:w="874"/>
      </w:tblGrid>
      <w:tr w14:paraId="6831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23" w:type="dxa"/>
            <w:vAlign w:val="center"/>
          </w:tcPr>
          <w:p w14:paraId="1DECC2EC">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序号</w:t>
            </w:r>
          </w:p>
        </w:tc>
        <w:tc>
          <w:tcPr>
            <w:tcW w:w="1671" w:type="dxa"/>
            <w:vAlign w:val="center"/>
          </w:tcPr>
          <w:p w14:paraId="732BFC28">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业主</w:t>
            </w:r>
            <w:r>
              <w:rPr>
                <w:rFonts w:hint="eastAsia" w:ascii="仿宋" w:hAnsi="仿宋" w:eastAsia="仿宋" w:cs="仿宋"/>
                <w:b w:val="0"/>
                <w:bCs w:val="0"/>
                <w:color w:val="auto"/>
                <w:sz w:val="24"/>
                <w:szCs w:val="24"/>
                <w:highlight w:val="none"/>
              </w:rPr>
              <w:t>单位名称</w:t>
            </w:r>
          </w:p>
        </w:tc>
        <w:tc>
          <w:tcPr>
            <w:tcW w:w="1984" w:type="dxa"/>
            <w:vAlign w:val="center"/>
          </w:tcPr>
          <w:p w14:paraId="7A85A6DA">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项目名称</w:t>
            </w:r>
          </w:p>
        </w:tc>
        <w:tc>
          <w:tcPr>
            <w:tcW w:w="1391" w:type="dxa"/>
            <w:vAlign w:val="center"/>
          </w:tcPr>
          <w:p w14:paraId="0DC26CD2">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合同金额</w:t>
            </w:r>
          </w:p>
        </w:tc>
        <w:tc>
          <w:tcPr>
            <w:tcW w:w="1704" w:type="dxa"/>
            <w:vAlign w:val="center"/>
          </w:tcPr>
          <w:p w14:paraId="1403E7B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合同签订时间</w:t>
            </w:r>
          </w:p>
        </w:tc>
        <w:tc>
          <w:tcPr>
            <w:tcW w:w="874" w:type="dxa"/>
            <w:vAlign w:val="center"/>
          </w:tcPr>
          <w:p w14:paraId="64B0F076">
            <w:pPr>
              <w:pStyle w:val="8"/>
              <w:shd w:val="clear"/>
              <w:ind w:firstLine="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备注</w:t>
            </w:r>
          </w:p>
        </w:tc>
      </w:tr>
      <w:tr w14:paraId="69FE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28C13CF">
            <w:pPr>
              <w:pStyle w:val="8"/>
              <w:shd w:val="clear"/>
              <w:ind w:firstLine="0"/>
              <w:rPr>
                <w:rFonts w:hint="eastAsia" w:ascii="仿宋" w:hAnsi="仿宋" w:eastAsia="仿宋" w:cs="仿宋"/>
                <w:color w:val="auto"/>
                <w:sz w:val="24"/>
                <w:szCs w:val="24"/>
                <w:highlight w:val="none"/>
              </w:rPr>
            </w:pPr>
          </w:p>
        </w:tc>
        <w:tc>
          <w:tcPr>
            <w:tcW w:w="1671" w:type="dxa"/>
          </w:tcPr>
          <w:p w14:paraId="48F47E36">
            <w:pPr>
              <w:pStyle w:val="8"/>
              <w:shd w:val="clear"/>
              <w:ind w:firstLine="0"/>
              <w:rPr>
                <w:rFonts w:hint="eastAsia" w:ascii="仿宋" w:hAnsi="仿宋" w:eastAsia="仿宋" w:cs="仿宋"/>
                <w:color w:val="auto"/>
                <w:sz w:val="24"/>
                <w:szCs w:val="24"/>
                <w:highlight w:val="none"/>
              </w:rPr>
            </w:pPr>
          </w:p>
        </w:tc>
        <w:tc>
          <w:tcPr>
            <w:tcW w:w="1984" w:type="dxa"/>
          </w:tcPr>
          <w:p w14:paraId="296828F2">
            <w:pPr>
              <w:pStyle w:val="8"/>
              <w:shd w:val="clear"/>
              <w:ind w:firstLine="0"/>
              <w:rPr>
                <w:rFonts w:hint="eastAsia" w:ascii="仿宋" w:hAnsi="仿宋" w:eastAsia="仿宋" w:cs="仿宋"/>
                <w:color w:val="auto"/>
                <w:sz w:val="24"/>
                <w:szCs w:val="24"/>
                <w:highlight w:val="none"/>
              </w:rPr>
            </w:pPr>
          </w:p>
        </w:tc>
        <w:tc>
          <w:tcPr>
            <w:tcW w:w="1391" w:type="dxa"/>
          </w:tcPr>
          <w:p w14:paraId="33FBC908">
            <w:pPr>
              <w:pStyle w:val="8"/>
              <w:shd w:val="clear"/>
              <w:ind w:firstLine="0"/>
              <w:rPr>
                <w:rFonts w:hint="eastAsia" w:ascii="仿宋" w:hAnsi="仿宋" w:eastAsia="仿宋" w:cs="仿宋"/>
                <w:color w:val="auto"/>
                <w:sz w:val="24"/>
                <w:szCs w:val="24"/>
                <w:highlight w:val="none"/>
              </w:rPr>
            </w:pPr>
          </w:p>
        </w:tc>
        <w:tc>
          <w:tcPr>
            <w:tcW w:w="1704" w:type="dxa"/>
          </w:tcPr>
          <w:p w14:paraId="77D413FD">
            <w:pPr>
              <w:pStyle w:val="8"/>
              <w:shd w:val="clear"/>
              <w:ind w:firstLine="0"/>
              <w:rPr>
                <w:rFonts w:hint="eastAsia" w:ascii="仿宋" w:hAnsi="仿宋" w:eastAsia="仿宋" w:cs="仿宋"/>
                <w:color w:val="auto"/>
                <w:sz w:val="24"/>
                <w:szCs w:val="24"/>
                <w:highlight w:val="none"/>
              </w:rPr>
            </w:pPr>
          </w:p>
        </w:tc>
        <w:tc>
          <w:tcPr>
            <w:tcW w:w="874" w:type="dxa"/>
          </w:tcPr>
          <w:p w14:paraId="78BD12AA">
            <w:pPr>
              <w:pStyle w:val="8"/>
              <w:shd w:val="clear"/>
              <w:ind w:firstLine="0"/>
              <w:rPr>
                <w:rFonts w:hint="eastAsia" w:ascii="仿宋" w:hAnsi="仿宋" w:eastAsia="仿宋" w:cs="仿宋"/>
                <w:color w:val="auto"/>
                <w:sz w:val="24"/>
                <w:szCs w:val="24"/>
                <w:highlight w:val="none"/>
              </w:rPr>
            </w:pPr>
          </w:p>
        </w:tc>
      </w:tr>
      <w:tr w14:paraId="0866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469A817">
            <w:pPr>
              <w:pStyle w:val="8"/>
              <w:shd w:val="clear"/>
              <w:ind w:firstLine="0"/>
              <w:rPr>
                <w:rFonts w:hint="eastAsia" w:ascii="仿宋" w:hAnsi="仿宋" w:eastAsia="仿宋" w:cs="仿宋"/>
                <w:color w:val="auto"/>
                <w:sz w:val="24"/>
                <w:szCs w:val="24"/>
                <w:highlight w:val="none"/>
              </w:rPr>
            </w:pPr>
          </w:p>
        </w:tc>
        <w:tc>
          <w:tcPr>
            <w:tcW w:w="1671" w:type="dxa"/>
          </w:tcPr>
          <w:p w14:paraId="0EDA8E6E">
            <w:pPr>
              <w:pStyle w:val="8"/>
              <w:shd w:val="clear"/>
              <w:ind w:firstLine="0"/>
              <w:rPr>
                <w:rFonts w:hint="eastAsia" w:ascii="仿宋" w:hAnsi="仿宋" w:eastAsia="仿宋" w:cs="仿宋"/>
                <w:color w:val="auto"/>
                <w:sz w:val="24"/>
                <w:szCs w:val="24"/>
                <w:highlight w:val="none"/>
              </w:rPr>
            </w:pPr>
          </w:p>
        </w:tc>
        <w:tc>
          <w:tcPr>
            <w:tcW w:w="1984" w:type="dxa"/>
          </w:tcPr>
          <w:p w14:paraId="271FEA52">
            <w:pPr>
              <w:pStyle w:val="8"/>
              <w:shd w:val="clear"/>
              <w:ind w:firstLine="0"/>
              <w:rPr>
                <w:rFonts w:hint="eastAsia" w:ascii="仿宋" w:hAnsi="仿宋" w:eastAsia="仿宋" w:cs="仿宋"/>
                <w:color w:val="auto"/>
                <w:sz w:val="24"/>
                <w:szCs w:val="24"/>
                <w:highlight w:val="none"/>
              </w:rPr>
            </w:pPr>
          </w:p>
        </w:tc>
        <w:tc>
          <w:tcPr>
            <w:tcW w:w="1391" w:type="dxa"/>
          </w:tcPr>
          <w:p w14:paraId="257822A6">
            <w:pPr>
              <w:pStyle w:val="8"/>
              <w:shd w:val="clear"/>
              <w:ind w:firstLine="0"/>
              <w:rPr>
                <w:rFonts w:hint="eastAsia" w:ascii="仿宋" w:hAnsi="仿宋" w:eastAsia="仿宋" w:cs="仿宋"/>
                <w:color w:val="auto"/>
                <w:sz w:val="24"/>
                <w:szCs w:val="24"/>
                <w:highlight w:val="none"/>
              </w:rPr>
            </w:pPr>
          </w:p>
        </w:tc>
        <w:tc>
          <w:tcPr>
            <w:tcW w:w="1704" w:type="dxa"/>
          </w:tcPr>
          <w:p w14:paraId="1086386E">
            <w:pPr>
              <w:pStyle w:val="8"/>
              <w:shd w:val="clear"/>
              <w:ind w:firstLine="0"/>
              <w:rPr>
                <w:rFonts w:hint="eastAsia" w:ascii="仿宋" w:hAnsi="仿宋" w:eastAsia="仿宋" w:cs="仿宋"/>
                <w:color w:val="auto"/>
                <w:sz w:val="24"/>
                <w:szCs w:val="24"/>
                <w:highlight w:val="none"/>
              </w:rPr>
            </w:pPr>
          </w:p>
        </w:tc>
        <w:tc>
          <w:tcPr>
            <w:tcW w:w="874" w:type="dxa"/>
          </w:tcPr>
          <w:p w14:paraId="02C077AD">
            <w:pPr>
              <w:pStyle w:val="8"/>
              <w:shd w:val="clear"/>
              <w:ind w:firstLine="0"/>
              <w:rPr>
                <w:rFonts w:hint="eastAsia" w:ascii="仿宋" w:hAnsi="仿宋" w:eastAsia="仿宋" w:cs="仿宋"/>
                <w:color w:val="auto"/>
                <w:sz w:val="24"/>
                <w:szCs w:val="24"/>
                <w:highlight w:val="none"/>
              </w:rPr>
            </w:pPr>
          </w:p>
        </w:tc>
      </w:tr>
      <w:tr w14:paraId="6A641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6A90FC16">
            <w:pPr>
              <w:pStyle w:val="8"/>
              <w:shd w:val="clear"/>
              <w:ind w:firstLine="0"/>
              <w:rPr>
                <w:rFonts w:hint="eastAsia" w:ascii="仿宋" w:hAnsi="仿宋" w:eastAsia="仿宋" w:cs="仿宋"/>
                <w:b/>
                <w:color w:val="auto"/>
                <w:sz w:val="24"/>
                <w:szCs w:val="24"/>
                <w:highlight w:val="none"/>
              </w:rPr>
            </w:pPr>
          </w:p>
        </w:tc>
        <w:tc>
          <w:tcPr>
            <w:tcW w:w="1671" w:type="dxa"/>
          </w:tcPr>
          <w:p w14:paraId="6858D72F">
            <w:pPr>
              <w:pStyle w:val="8"/>
              <w:shd w:val="clear"/>
              <w:ind w:firstLine="0"/>
              <w:rPr>
                <w:rFonts w:hint="eastAsia" w:ascii="仿宋" w:hAnsi="仿宋" w:eastAsia="仿宋" w:cs="仿宋"/>
                <w:b/>
                <w:color w:val="auto"/>
                <w:sz w:val="24"/>
                <w:szCs w:val="24"/>
                <w:highlight w:val="none"/>
              </w:rPr>
            </w:pPr>
          </w:p>
        </w:tc>
        <w:tc>
          <w:tcPr>
            <w:tcW w:w="1984" w:type="dxa"/>
          </w:tcPr>
          <w:p w14:paraId="21E56AF0">
            <w:pPr>
              <w:pStyle w:val="8"/>
              <w:shd w:val="clear"/>
              <w:ind w:firstLine="0"/>
              <w:rPr>
                <w:rFonts w:hint="eastAsia" w:ascii="仿宋" w:hAnsi="仿宋" w:eastAsia="仿宋" w:cs="仿宋"/>
                <w:b/>
                <w:color w:val="auto"/>
                <w:sz w:val="24"/>
                <w:szCs w:val="24"/>
                <w:highlight w:val="none"/>
              </w:rPr>
            </w:pPr>
          </w:p>
        </w:tc>
        <w:tc>
          <w:tcPr>
            <w:tcW w:w="1391" w:type="dxa"/>
          </w:tcPr>
          <w:p w14:paraId="4B334D8D">
            <w:pPr>
              <w:pStyle w:val="8"/>
              <w:shd w:val="clear"/>
              <w:ind w:firstLine="0"/>
              <w:rPr>
                <w:rFonts w:hint="eastAsia" w:ascii="仿宋" w:hAnsi="仿宋" w:eastAsia="仿宋" w:cs="仿宋"/>
                <w:b/>
                <w:color w:val="auto"/>
                <w:sz w:val="24"/>
                <w:szCs w:val="24"/>
                <w:highlight w:val="none"/>
              </w:rPr>
            </w:pPr>
          </w:p>
        </w:tc>
        <w:tc>
          <w:tcPr>
            <w:tcW w:w="1704" w:type="dxa"/>
          </w:tcPr>
          <w:p w14:paraId="7C614A91">
            <w:pPr>
              <w:pStyle w:val="8"/>
              <w:shd w:val="clear"/>
              <w:ind w:firstLine="0"/>
              <w:rPr>
                <w:rFonts w:hint="eastAsia" w:ascii="仿宋" w:hAnsi="仿宋" w:eastAsia="仿宋" w:cs="仿宋"/>
                <w:b/>
                <w:color w:val="auto"/>
                <w:sz w:val="24"/>
                <w:szCs w:val="24"/>
                <w:highlight w:val="none"/>
              </w:rPr>
            </w:pPr>
          </w:p>
        </w:tc>
        <w:tc>
          <w:tcPr>
            <w:tcW w:w="874" w:type="dxa"/>
          </w:tcPr>
          <w:p w14:paraId="7F63B832">
            <w:pPr>
              <w:pStyle w:val="8"/>
              <w:shd w:val="clear"/>
              <w:ind w:firstLine="0"/>
              <w:rPr>
                <w:rFonts w:hint="eastAsia" w:ascii="仿宋" w:hAnsi="仿宋" w:eastAsia="仿宋" w:cs="仿宋"/>
                <w:b/>
                <w:color w:val="auto"/>
                <w:sz w:val="24"/>
                <w:szCs w:val="24"/>
                <w:highlight w:val="none"/>
              </w:rPr>
            </w:pPr>
          </w:p>
        </w:tc>
      </w:tr>
      <w:tr w14:paraId="36ED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0A97D6E">
            <w:pPr>
              <w:pStyle w:val="8"/>
              <w:shd w:val="clear"/>
              <w:ind w:firstLine="0"/>
              <w:rPr>
                <w:rFonts w:hint="eastAsia" w:ascii="仿宋" w:hAnsi="仿宋" w:eastAsia="仿宋" w:cs="仿宋"/>
                <w:color w:val="auto"/>
                <w:sz w:val="24"/>
                <w:szCs w:val="24"/>
                <w:highlight w:val="none"/>
              </w:rPr>
            </w:pPr>
          </w:p>
        </w:tc>
        <w:tc>
          <w:tcPr>
            <w:tcW w:w="1671" w:type="dxa"/>
          </w:tcPr>
          <w:p w14:paraId="5649531E">
            <w:pPr>
              <w:pStyle w:val="8"/>
              <w:shd w:val="clear"/>
              <w:ind w:firstLine="0"/>
              <w:rPr>
                <w:rFonts w:hint="eastAsia" w:ascii="仿宋" w:hAnsi="仿宋" w:eastAsia="仿宋" w:cs="仿宋"/>
                <w:color w:val="auto"/>
                <w:sz w:val="24"/>
                <w:szCs w:val="24"/>
                <w:highlight w:val="none"/>
              </w:rPr>
            </w:pPr>
          </w:p>
        </w:tc>
        <w:tc>
          <w:tcPr>
            <w:tcW w:w="1984" w:type="dxa"/>
          </w:tcPr>
          <w:p w14:paraId="367D76E6">
            <w:pPr>
              <w:pStyle w:val="8"/>
              <w:shd w:val="clear"/>
              <w:ind w:firstLine="0"/>
              <w:rPr>
                <w:rFonts w:hint="eastAsia" w:ascii="仿宋" w:hAnsi="仿宋" w:eastAsia="仿宋" w:cs="仿宋"/>
                <w:color w:val="auto"/>
                <w:sz w:val="24"/>
                <w:szCs w:val="24"/>
                <w:highlight w:val="none"/>
              </w:rPr>
            </w:pPr>
          </w:p>
        </w:tc>
        <w:tc>
          <w:tcPr>
            <w:tcW w:w="1391" w:type="dxa"/>
          </w:tcPr>
          <w:p w14:paraId="5DEAB98D">
            <w:pPr>
              <w:pStyle w:val="8"/>
              <w:shd w:val="clear"/>
              <w:ind w:firstLine="0"/>
              <w:rPr>
                <w:rFonts w:hint="eastAsia" w:ascii="仿宋" w:hAnsi="仿宋" w:eastAsia="仿宋" w:cs="仿宋"/>
                <w:color w:val="auto"/>
                <w:sz w:val="24"/>
                <w:szCs w:val="24"/>
                <w:highlight w:val="none"/>
              </w:rPr>
            </w:pPr>
          </w:p>
        </w:tc>
        <w:tc>
          <w:tcPr>
            <w:tcW w:w="1704" w:type="dxa"/>
          </w:tcPr>
          <w:p w14:paraId="7833EE9E">
            <w:pPr>
              <w:pStyle w:val="8"/>
              <w:shd w:val="clear"/>
              <w:ind w:firstLine="0"/>
              <w:rPr>
                <w:rFonts w:hint="eastAsia" w:ascii="仿宋" w:hAnsi="仿宋" w:eastAsia="仿宋" w:cs="仿宋"/>
                <w:color w:val="auto"/>
                <w:sz w:val="24"/>
                <w:szCs w:val="24"/>
                <w:highlight w:val="none"/>
              </w:rPr>
            </w:pPr>
          </w:p>
        </w:tc>
        <w:tc>
          <w:tcPr>
            <w:tcW w:w="874" w:type="dxa"/>
          </w:tcPr>
          <w:p w14:paraId="59BB8DDB">
            <w:pPr>
              <w:pStyle w:val="8"/>
              <w:shd w:val="clear"/>
              <w:ind w:firstLine="0"/>
              <w:rPr>
                <w:rFonts w:hint="eastAsia" w:ascii="仿宋" w:hAnsi="仿宋" w:eastAsia="仿宋" w:cs="仿宋"/>
                <w:color w:val="auto"/>
                <w:sz w:val="24"/>
                <w:szCs w:val="24"/>
                <w:highlight w:val="none"/>
              </w:rPr>
            </w:pPr>
          </w:p>
        </w:tc>
      </w:tr>
      <w:tr w14:paraId="30BF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F7B98DD">
            <w:pPr>
              <w:pStyle w:val="8"/>
              <w:shd w:val="clear"/>
              <w:ind w:firstLine="0"/>
              <w:rPr>
                <w:rFonts w:hint="eastAsia" w:ascii="仿宋" w:hAnsi="仿宋" w:eastAsia="仿宋" w:cs="仿宋"/>
                <w:color w:val="auto"/>
                <w:sz w:val="24"/>
                <w:szCs w:val="24"/>
                <w:highlight w:val="none"/>
              </w:rPr>
            </w:pPr>
          </w:p>
        </w:tc>
        <w:tc>
          <w:tcPr>
            <w:tcW w:w="1671" w:type="dxa"/>
          </w:tcPr>
          <w:p w14:paraId="7A298CF2">
            <w:pPr>
              <w:pStyle w:val="8"/>
              <w:shd w:val="clear"/>
              <w:ind w:firstLine="0"/>
              <w:rPr>
                <w:rFonts w:hint="eastAsia" w:ascii="仿宋" w:hAnsi="仿宋" w:eastAsia="仿宋" w:cs="仿宋"/>
                <w:color w:val="auto"/>
                <w:sz w:val="24"/>
                <w:szCs w:val="24"/>
                <w:highlight w:val="none"/>
              </w:rPr>
            </w:pPr>
          </w:p>
        </w:tc>
        <w:tc>
          <w:tcPr>
            <w:tcW w:w="1984" w:type="dxa"/>
          </w:tcPr>
          <w:p w14:paraId="588893C5">
            <w:pPr>
              <w:pStyle w:val="8"/>
              <w:shd w:val="clear"/>
              <w:ind w:firstLine="0"/>
              <w:rPr>
                <w:rFonts w:hint="eastAsia" w:ascii="仿宋" w:hAnsi="仿宋" w:eastAsia="仿宋" w:cs="仿宋"/>
                <w:color w:val="auto"/>
                <w:sz w:val="24"/>
                <w:szCs w:val="24"/>
                <w:highlight w:val="none"/>
              </w:rPr>
            </w:pPr>
          </w:p>
        </w:tc>
        <w:tc>
          <w:tcPr>
            <w:tcW w:w="1391" w:type="dxa"/>
          </w:tcPr>
          <w:p w14:paraId="22483BC3">
            <w:pPr>
              <w:pStyle w:val="8"/>
              <w:shd w:val="clear"/>
              <w:ind w:firstLine="0"/>
              <w:rPr>
                <w:rFonts w:hint="eastAsia" w:ascii="仿宋" w:hAnsi="仿宋" w:eastAsia="仿宋" w:cs="仿宋"/>
                <w:color w:val="auto"/>
                <w:sz w:val="24"/>
                <w:szCs w:val="24"/>
                <w:highlight w:val="none"/>
              </w:rPr>
            </w:pPr>
          </w:p>
        </w:tc>
        <w:tc>
          <w:tcPr>
            <w:tcW w:w="1704" w:type="dxa"/>
          </w:tcPr>
          <w:p w14:paraId="451EDE53">
            <w:pPr>
              <w:pStyle w:val="8"/>
              <w:shd w:val="clear"/>
              <w:ind w:firstLine="0"/>
              <w:rPr>
                <w:rFonts w:hint="eastAsia" w:ascii="仿宋" w:hAnsi="仿宋" w:eastAsia="仿宋" w:cs="仿宋"/>
                <w:color w:val="auto"/>
                <w:sz w:val="24"/>
                <w:szCs w:val="24"/>
                <w:highlight w:val="none"/>
              </w:rPr>
            </w:pPr>
          </w:p>
        </w:tc>
        <w:tc>
          <w:tcPr>
            <w:tcW w:w="874" w:type="dxa"/>
          </w:tcPr>
          <w:p w14:paraId="495B9A84">
            <w:pPr>
              <w:pStyle w:val="8"/>
              <w:shd w:val="clear"/>
              <w:ind w:firstLine="0"/>
              <w:rPr>
                <w:rFonts w:hint="eastAsia" w:ascii="仿宋" w:hAnsi="仿宋" w:eastAsia="仿宋" w:cs="仿宋"/>
                <w:color w:val="auto"/>
                <w:sz w:val="24"/>
                <w:szCs w:val="24"/>
                <w:highlight w:val="none"/>
              </w:rPr>
            </w:pPr>
          </w:p>
        </w:tc>
      </w:tr>
      <w:tr w14:paraId="296E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95288A9">
            <w:pPr>
              <w:pStyle w:val="8"/>
              <w:shd w:val="clear"/>
              <w:ind w:firstLine="0"/>
              <w:rPr>
                <w:rFonts w:hint="eastAsia" w:ascii="仿宋" w:hAnsi="仿宋" w:eastAsia="仿宋" w:cs="仿宋"/>
                <w:color w:val="auto"/>
                <w:sz w:val="24"/>
                <w:szCs w:val="24"/>
                <w:highlight w:val="none"/>
              </w:rPr>
            </w:pPr>
          </w:p>
        </w:tc>
        <w:tc>
          <w:tcPr>
            <w:tcW w:w="1671" w:type="dxa"/>
          </w:tcPr>
          <w:p w14:paraId="36496E35">
            <w:pPr>
              <w:pStyle w:val="8"/>
              <w:shd w:val="clear"/>
              <w:ind w:firstLine="0"/>
              <w:rPr>
                <w:rFonts w:hint="eastAsia" w:ascii="仿宋" w:hAnsi="仿宋" w:eastAsia="仿宋" w:cs="仿宋"/>
                <w:color w:val="auto"/>
                <w:sz w:val="24"/>
                <w:szCs w:val="24"/>
                <w:highlight w:val="none"/>
              </w:rPr>
            </w:pPr>
          </w:p>
        </w:tc>
        <w:tc>
          <w:tcPr>
            <w:tcW w:w="1984" w:type="dxa"/>
          </w:tcPr>
          <w:p w14:paraId="5A7A7E21">
            <w:pPr>
              <w:pStyle w:val="8"/>
              <w:shd w:val="clear"/>
              <w:ind w:firstLine="0"/>
              <w:rPr>
                <w:rFonts w:hint="eastAsia" w:ascii="仿宋" w:hAnsi="仿宋" w:eastAsia="仿宋" w:cs="仿宋"/>
                <w:color w:val="auto"/>
                <w:sz w:val="24"/>
                <w:szCs w:val="24"/>
                <w:highlight w:val="none"/>
              </w:rPr>
            </w:pPr>
          </w:p>
        </w:tc>
        <w:tc>
          <w:tcPr>
            <w:tcW w:w="1391" w:type="dxa"/>
          </w:tcPr>
          <w:p w14:paraId="5D512DE6">
            <w:pPr>
              <w:pStyle w:val="8"/>
              <w:shd w:val="clear"/>
              <w:ind w:firstLine="0"/>
              <w:rPr>
                <w:rFonts w:hint="eastAsia" w:ascii="仿宋" w:hAnsi="仿宋" w:eastAsia="仿宋" w:cs="仿宋"/>
                <w:color w:val="auto"/>
                <w:sz w:val="24"/>
                <w:szCs w:val="24"/>
                <w:highlight w:val="none"/>
              </w:rPr>
            </w:pPr>
          </w:p>
        </w:tc>
        <w:tc>
          <w:tcPr>
            <w:tcW w:w="1704" w:type="dxa"/>
          </w:tcPr>
          <w:p w14:paraId="2F0FA142">
            <w:pPr>
              <w:pStyle w:val="8"/>
              <w:shd w:val="clear"/>
              <w:ind w:firstLine="0"/>
              <w:rPr>
                <w:rFonts w:hint="eastAsia" w:ascii="仿宋" w:hAnsi="仿宋" w:eastAsia="仿宋" w:cs="仿宋"/>
                <w:color w:val="auto"/>
                <w:sz w:val="24"/>
                <w:szCs w:val="24"/>
                <w:highlight w:val="none"/>
              </w:rPr>
            </w:pPr>
          </w:p>
        </w:tc>
        <w:tc>
          <w:tcPr>
            <w:tcW w:w="874" w:type="dxa"/>
          </w:tcPr>
          <w:p w14:paraId="11A95CCE">
            <w:pPr>
              <w:pStyle w:val="8"/>
              <w:shd w:val="clear"/>
              <w:ind w:firstLine="0"/>
              <w:rPr>
                <w:rFonts w:hint="eastAsia" w:ascii="仿宋" w:hAnsi="仿宋" w:eastAsia="仿宋" w:cs="仿宋"/>
                <w:color w:val="auto"/>
                <w:sz w:val="24"/>
                <w:szCs w:val="24"/>
                <w:highlight w:val="none"/>
              </w:rPr>
            </w:pPr>
          </w:p>
        </w:tc>
      </w:tr>
      <w:tr w14:paraId="65DD0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5A029C2A">
            <w:pPr>
              <w:pStyle w:val="8"/>
              <w:shd w:val="clear"/>
              <w:ind w:firstLine="0"/>
              <w:rPr>
                <w:rFonts w:hint="eastAsia" w:ascii="仿宋" w:hAnsi="仿宋" w:eastAsia="仿宋" w:cs="仿宋"/>
                <w:color w:val="auto"/>
                <w:sz w:val="24"/>
                <w:szCs w:val="24"/>
                <w:highlight w:val="none"/>
              </w:rPr>
            </w:pPr>
          </w:p>
        </w:tc>
        <w:tc>
          <w:tcPr>
            <w:tcW w:w="1671" w:type="dxa"/>
          </w:tcPr>
          <w:p w14:paraId="6DD10F37">
            <w:pPr>
              <w:pStyle w:val="8"/>
              <w:shd w:val="clear"/>
              <w:ind w:firstLine="0"/>
              <w:rPr>
                <w:rFonts w:hint="eastAsia" w:ascii="仿宋" w:hAnsi="仿宋" w:eastAsia="仿宋" w:cs="仿宋"/>
                <w:color w:val="auto"/>
                <w:sz w:val="24"/>
                <w:szCs w:val="24"/>
                <w:highlight w:val="none"/>
              </w:rPr>
            </w:pPr>
          </w:p>
        </w:tc>
        <w:tc>
          <w:tcPr>
            <w:tcW w:w="1984" w:type="dxa"/>
          </w:tcPr>
          <w:p w14:paraId="529E97D8">
            <w:pPr>
              <w:pStyle w:val="8"/>
              <w:shd w:val="clear"/>
              <w:ind w:firstLine="0"/>
              <w:rPr>
                <w:rFonts w:hint="eastAsia" w:ascii="仿宋" w:hAnsi="仿宋" w:eastAsia="仿宋" w:cs="仿宋"/>
                <w:color w:val="auto"/>
                <w:sz w:val="24"/>
                <w:szCs w:val="24"/>
                <w:highlight w:val="none"/>
              </w:rPr>
            </w:pPr>
          </w:p>
        </w:tc>
        <w:tc>
          <w:tcPr>
            <w:tcW w:w="1391" w:type="dxa"/>
          </w:tcPr>
          <w:p w14:paraId="19B7AB74">
            <w:pPr>
              <w:pStyle w:val="8"/>
              <w:shd w:val="clear"/>
              <w:ind w:firstLine="0"/>
              <w:rPr>
                <w:rFonts w:hint="eastAsia" w:ascii="仿宋" w:hAnsi="仿宋" w:eastAsia="仿宋" w:cs="仿宋"/>
                <w:color w:val="auto"/>
                <w:sz w:val="24"/>
                <w:szCs w:val="24"/>
                <w:highlight w:val="none"/>
              </w:rPr>
            </w:pPr>
          </w:p>
        </w:tc>
        <w:tc>
          <w:tcPr>
            <w:tcW w:w="1704" w:type="dxa"/>
          </w:tcPr>
          <w:p w14:paraId="4915C610">
            <w:pPr>
              <w:pStyle w:val="8"/>
              <w:shd w:val="clear"/>
              <w:ind w:firstLine="0"/>
              <w:rPr>
                <w:rFonts w:hint="eastAsia" w:ascii="仿宋" w:hAnsi="仿宋" w:eastAsia="仿宋" w:cs="仿宋"/>
                <w:color w:val="auto"/>
                <w:sz w:val="24"/>
                <w:szCs w:val="24"/>
                <w:highlight w:val="none"/>
              </w:rPr>
            </w:pPr>
          </w:p>
        </w:tc>
        <w:tc>
          <w:tcPr>
            <w:tcW w:w="874" w:type="dxa"/>
          </w:tcPr>
          <w:p w14:paraId="002D8FF9">
            <w:pPr>
              <w:pStyle w:val="8"/>
              <w:shd w:val="clear"/>
              <w:ind w:firstLine="0"/>
              <w:rPr>
                <w:rFonts w:hint="eastAsia" w:ascii="仿宋" w:hAnsi="仿宋" w:eastAsia="仿宋" w:cs="仿宋"/>
                <w:color w:val="auto"/>
                <w:sz w:val="24"/>
                <w:szCs w:val="24"/>
                <w:highlight w:val="none"/>
              </w:rPr>
            </w:pPr>
          </w:p>
        </w:tc>
      </w:tr>
      <w:tr w14:paraId="77E0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40A09A9">
            <w:pPr>
              <w:pStyle w:val="8"/>
              <w:shd w:val="clear"/>
              <w:ind w:firstLine="0"/>
              <w:rPr>
                <w:rFonts w:hint="eastAsia" w:ascii="仿宋" w:hAnsi="仿宋" w:eastAsia="仿宋" w:cs="仿宋"/>
                <w:color w:val="auto"/>
                <w:sz w:val="24"/>
                <w:szCs w:val="24"/>
                <w:highlight w:val="none"/>
              </w:rPr>
            </w:pPr>
          </w:p>
        </w:tc>
        <w:tc>
          <w:tcPr>
            <w:tcW w:w="1671" w:type="dxa"/>
          </w:tcPr>
          <w:p w14:paraId="43C4EF9F">
            <w:pPr>
              <w:pStyle w:val="8"/>
              <w:shd w:val="clear"/>
              <w:ind w:firstLine="0"/>
              <w:rPr>
                <w:rFonts w:hint="eastAsia" w:ascii="仿宋" w:hAnsi="仿宋" w:eastAsia="仿宋" w:cs="仿宋"/>
                <w:color w:val="auto"/>
                <w:sz w:val="24"/>
                <w:szCs w:val="24"/>
                <w:highlight w:val="none"/>
              </w:rPr>
            </w:pPr>
          </w:p>
        </w:tc>
        <w:tc>
          <w:tcPr>
            <w:tcW w:w="1984" w:type="dxa"/>
          </w:tcPr>
          <w:p w14:paraId="5668A09B">
            <w:pPr>
              <w:pStyle w:val="8"/>
              <w:shd w:val="clear"/>
              <w:ind w:firstLine="0"/>
              <w:rPr>
                <w:rFonts w:hint="eastAsia" w:ascii="仿宋" w:hAnsi="仿宋" w:eastAsia="仿宋" w:cs="仿宋"/>
                <w:color w:val="auto"/>
                <w:sz w:val="24"/>
                <w:szCs w:val="24"/>
                <w:highlight w:val="none"/>
              </w:rPr>
            </w:pPr>
          </w:p>
        </w:tc>
        <w:tc>
          <w:tcPr>
            <w:tcW w:w="1391" w:type="dxa"/>
          </w:tcPr>
          <w:p w14:paraId="2D6D2704">
            <w:pPr>
              <w:pStyle w:val="8"/>
              <w:shd w:val="clear"/>
              <w:ind w:firstLine="0"/>
              <w:rPr>
                <w:rFonts w:hint="eastAsia" w:ascii="仿宋" w:hAnsi="仿宋" w:eastAsia="仿宋" w:cs="仿宋"/>
                <w:color w:val="auto"/>
                <w:sz w:val="24"/>
                <w:szCs w:val="24"/>
                <w:highlight w:val="none"/>
              </w:rPr>
            </w:pPr>
          </w:p>
        </w:tc>
        <w:tc>
          <w:tcPr>
            <w:tcW w:w="1704" w:type="dxa"/>
          </w:tcPr>
          <w:p w14:paraId="3B1047F4">
            <w:pPr>
              <w:pStyle w:val="8"/>
              <w:shd w:val="clear"/>
              <w:ind w:firstLine="0"/>
              <w:rPr>
                <w:rFonts w:hint="eastAsia" w:ascii="仿宋" w:hAnsi="仿宋" w:eastAsia="仿宋" w:cs="仿宋"/>
                <w:color w:val="auto"/>
                <w:sz w:val="24"/>
                <w:szCs w:val="24"/>
                <w:highlight w:val="none"/>
              </w:rPr>
            </w:pPr>
          </w:p>
        </w:tc>
        <w:tc>
          <w:tcPr>
            <w:tcW w:w="874" w:type="dxa"/>
          </w:tcPr>
          <w:p w14:paraId="19F5E629">
            <w:pPr>
              <w:pStyle w:val="8"/>
              <w:shd w:val="clear"/>
              <w:ind w:firstLine="0"/>
              <w:rPr>
                <w:rFonts w:hint="eastAsia" w:ascii="仿宋" w:hAnsi="仿宋" w:eastAsia="仿宋" w:cs="仿宋"/>
                <w:color w:val="auto"/>
                <w:sz w:val="24"/>
                <w:szCs w:val="24"/>
                <w:highlight w:val="none"/>
              </w:rPr>
            </w:pPr>
          </w:p>
        </w:tc>
      </w:tr>
      <w:tr w14:paraId="2E5E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14A7431">
            <w:pPr>
              <w:pStyle w:val="8"/>
              <w:shd w:val="clear"/>
              <w:ind w:firstLine="0"/>
              <w:rPr>
                <w:rFonts w:hint="eastAsia" w:ascii="仿宋" w:hAnsi="仿宋" w:eastAsia="仿宋" w:cs="仿宋"/>
                <w:color w:val="auto"/>
                <w:sz w:val="24"/>
                <w:szCs w:val="24"/>
                <w:highlight w:val="none"/>
              </w:rPr>
            </w:pPr>
          </w:p>
        </w:tc>
        <w:tc>
          <w:tcPr>
            <w:tcW w:w="1671" w:type="dxa"/>
          </w:tcPr>
          <w:p w14:paraId="4182EAAF">
            <w:pPr>
              <w:pStyle w:val="8"/>
              <w:shd w:val="clear"/>
              <w:ind w:firstLine="0"/>
              <w:rPr>
                <w:rFonts w:hint="eastAsia" w:ascii="仿宋" w:hAnsi="仿宋" w:eastAsia="仿宋" w:cs="仿宋"/>
                <w:color w:val="auto"/>
                <w:sz w:val="24"/>
                <w:szCs w:val="24"/>
                <w:highlight w:val="none"/>
              </w:rPr>
            </w:pPr>
          </w:p>
        </w:tc>
        <w:tc>
          <w:tcPr>
            <w:tcW w:w="1984" w:type="dxa"/>
          </w:tcPr>
          <w:p w14:paraId="5BBF0879">
            <w:pPr>
              <w:pStyle w:val="8"/>
              <w:shd w:val="clear"/>
              <w:ind w:firstLine="0"/>
              <w:rPr>
                <w:rFonts w:hint="eastAsia" w:ascii="仿宋" w:hAnsi="仿宋" w:eastAsia="仿宋" w:cs="仿宋"/>
                <w:color w:val="auto"/>
                <w:sz w:val="24"/>
                <w:szCs w:val="24"/>
                <w:highlight w:val="none"/>
              </w:rPr>
            </w:pPr>
          </w:p>
        </w:tc>
        <w:tc>
          <w:tcPr>
            <w:tcW w:w="1391" w:type="dxa"/>
          </w:tcPr>
          <w:p w14:paraId="0753C0F6">
            <w:pPr>
              <w:pStyle w:val="8"/>
              <w:shd w:val="clear"/>
              <w:ind w:firstLine="0"/>
              <w:rPr>
                <w:rFonts w:hint="eastAsia" w:ascii="仿宋" w:hAnsi="仿宋" w:eastAsia="仿宋" w:cs="仿宋"/>
                <w:color w:val="auto"/>
                <w:sz w:val="24"/>
                <w:szCs w:val="24"/>
                <w:highlight w:val="none"/>
              </w:rPr>
            </w:pPr>
          </w:p>
        </w:tc>
        <w:tc>
          <w:tcPr>
            <w:tcW w:w="1704" w:type="dxa"/>
          </w:tcPr>
          <w:p w14:paraId="49373B7C">
            <w:pPr>
              <w:pStyle w:val="8"/>
              <w:shd w:val="clear"/>
              <w:ind w:firstLine="0"/>
              <w:rPr>
                <w:rFonts w:hint="eastAsia" w:ascii="仿宋" w:hAnsi="仿宋" w:eastAsia="仿宋" w:cs="仿宋"/>
                <w:color w:val="auto"/>
                <w:sz w:val="24"/>
                <w:szCs w:val="24"/>
                <w:highlight w:val="none"/>
              </w:rPr>
            </w:pPr>
          </w:p>
        </w:tc>
        <w:tc>
          <w:tcPr>
            <w:tcW w:w="874" w:type="dxa"/>
          </w:tcPr>
          <w:p w14:paraId="478923A6">
            <w:pPr>
              <w:pStyle w:val="8"/>
              <w:shd w:val="clear"/>
              <w:ind w:firstLine="0"/>
              <w:rPr>
                <w:rFonts w:hint="eastAsia" w:ascii="仿宋" w:hAnsi="仿宋" w:eastAsia="仿宋" w:cs="仿宋"/>
                <w:color w:val="auto"/>
                <w:sz w:val="24"/>
                <w:szCs w:val="24"/>
                <w:highlight w:val="none"/>
              </w:rPr>
            </w:pPr>
          </w:p>
        </w:tc>
      </w:tr>
      <w:tr w14:paraId="1696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838DD21">
            <w:pPr>
              <w:pStyle w:val="8"/>
              <w:shd w:val="clear"/>
              <w:ind w:firstLine="0"/>
              <w:rPr>
                <w:rFonts w:hint="eastAsia" w:ascii="仿宋" w:hAnsi="仿宋" w:eastAsia="仿宋" w:cs="仿宋"/>
                <w:color w:val="auto"/>
                <w:sz w:val="24"/>
                <w:szCs w:val="24"/>
                <w:highlight w:val="none"/>
              </w:rPr>
            </w:pPr>
          </w:p>
        </w:tc>
        <w:tc>
          <w:tcPr>
            <w:tcW w:w="1671" w:type="dxa"/>
          </w:tcPr>
          <w:p w14:paraId="1C11B4AF">
            <w:pPr>
              <w:pStyle w:val="8"/>
              <w:shd w:val="clear"/>
              <w:ind w:firstLine="0"/>
              <w:rPr>
                <w:rFonts w:hint="eastAsia" w:ascii="仿宋" w:hAnsi="仿宋" w:eastAsia="仿宋" w:cs="仿宋"/>
                <w:color w:val="auto"/>
                <w:sz w:val="24"/>
                <w:szCs w:val="24"/>
                <w:highlight w:val="none"/>
              </w:rPr>
            </w:pPr>
          </w:p>
        </w:tc>
        <w:tc>
          <w:tcPr>
            <w:tcW w:w="1984" w:type="dxa"/>
          </w:tcPr>
          <w:p w14:paraId="22610E09">
            <w:pPr>
              <w:pStyle w:val="8"/>
              <w:shd w:val="clear"/>
              <w:ind w:firstLine="0"/>
              <w:rPr>
                <w:rFonts w:hint="eastAsia" w:ascii="仿宋" w:hAnsi="仿宋" w:eastAsia="仿宋" w:cs="仿宋"/>
                <w:color w:val="auto"/>
                <w:sz w:val="24"/>
                <w:szCs w:val="24"/>
                <w:highlight w:val="none"/>
              </w:rPr>
            </w:pPr>
          </w:p>
        </w:tc>
        <w:tc>
          <w:tcPr>
            <w:tcW w:w="1391" w:type="dxa"/>
          </w:tcPr>
          <w:p w14:paraId="3741707E">
            <w:pPr>
              <w:pStyle w:val="8"/>
              <w:shd w:val="clear"/>
              <w:ind w:firstLine="0"/>
              <w:rPr>
                <w:rFonts w:hint="eastAsia" w:ascii="仿宋" w:hAnsi="仿宋" w:eastAsia="仿宋" w:cs="仿宋"/>
                <w:color w:val="auto"/>
                <w:sz w:val="24"/>
                <w:szCs w:val="24"/>
                <w:highlight w:val="none"/>
              </w:rPr>
            </w:pPr>
          </w:p>
        </w:tc>
        <w:tc>
          <w:tcPr>
            <w:tcW w:w="1704" w:type="dxa"/>
          </w:tcPr>
          <w:p w14:paraId="7325F8BC">
            <w:pPr>
              <w:pStyle w:val="8"/>
              <w:shd w:val="clear"/>
              <w:ind w:firstLine="0"/>
              <w:rPr>
                <w:rFonts w:hint="eastAsia" w:ascii="仿宋" w:hAnsi="仿宋" w:eastAsia="仿宋" w:cs="仿宋"/>
                <w:color w:val="auto"/>
                <w:sz w:val="24"/>
                <w:szCs w:val="24"/>
                <w:highlight w:val="none"/>
              </w:rPr>
            </w:pPr>
          </w:p>
        </w:tc>
        <w:tc>
          <w:tcPr>
            <w:tcW w:w="874" w:type="dxa"/>
          </w:tcPr>
          <w:p w14:paraId="0C357DE6">
            <w:pPr>
              <w:pStyle w:val="8"/>
              <w:shd w:val="clear"/>
              <w:ind w:firstLine="0"/>
              <w:rPr>
                <w:rFonts w:hint="eastAsia" w:ascii="仿宋" w:hAnsi="仿宋" w:eastAsia="仿宋" w:cs="仿宋"/>
                <w:color w:val="auto"/>
                <w:sz w:val="24"/>
                <w:szCs w:val="24"/>
                <w:highlight w:val="none"/>
              </w:rPr>
            </w:pPr>
          </w:p>
        </w:tc>
      </w:tr>
      <w:tr w14:paraId="74D6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2D4A45F0">
            <w:pPr>
              <w:pStyle w:val="8"/>
              <w:shd w:val="clear"/>
              <w:ind w:firstLine="0"/>
              <w:rPr>
                <w:rFonts w:hint="eastAsia" w:ascii="仿宋" w:hAnsi="仿宋" w:eastAsia="仿宋" w:cs="仿宋"/>
                <w:color w:val="auto"/>
                <w:sz w:val="24"/>
                <w:szCs w:val="24"/>
                <w:highlight w:val="none"/>
              </w:rPr>
            </w:pPr>
          </w:p>
        </w:tc>
        <w:tc>
          <w:tcPr>
            <w:tcW w:w="1671" w:type="dxa"/>
          </w:tcPr>
          <w:p w14:paraId="0D68B074">
            <w:pPr>
              <w:pStyle w:val="8"/>
              <w:shd w:val="clear"/>
              <w:ind w:firstLine="0"/>
              <w:rPr>
                <w:rFonts w:hint="eastAsia" w:ascii="仿宋" w:hAnsi="仿宋" w:eastAsia="仿宋" w:cs="仿宋"/>
                <w:color w:val="auto"/>
                <w:sz w:val="24"/>
                <w:szCs w:val="24"/>
                <w:highlight w:val="none"/>
              </w:rPr>
            </w:pPr>
          </w:p>
        </w:tc>
        <w:tc>
          <w:tcPr>
            <w:tcW w:w="1984" w:type="dxa"/>
          </w:tcPr>
          <w:p w14:paraId="19981A7A">
            <w:pPr>
              <w:pStyle w:val="8"/>
              <w:shd w:val="clear"/>
              <w:ind w:firstLine="0"/>
              <w:rPr>
                <w:rFonts w:hint="eastAsia" w:ascii="仿宋" w:hAnsi="仿宋" w:eastAsia="仿宋" w:cs="仿宋"/>
                <w:color w:val="auto"/>
                <w:sz w:val="24"/>
                <w:szCs w:val="24"/>
                <w:highlight w:val="none"/>
              </w:rPr>
            </w:pPr>
          </w:p>
        </w:tc>
        <w:tc>
          <w:tcPr>
            <w:tcW w:w="1391" w:type="dxa"/>
          </w:tcPr>
          <w:p w14:paraId="582C7B09">
            <w:pPr>
              <w:pStyle w:val="8"/>
              <w:shd w:val="clear"/>
              <w:ind w:firstLine="0"/>
              <w:rPr>
                <w:rFonts w:hint="eastAsia" w:ascii="仿宋" w:hAnsi="仿宋" w:eastAsia="仿宋" w:cs="仿宋"/>
                <w:color w:val="auto"/>
                <w:sz w:val="24"/>
                <w:szCs w:val="24"/>
                <w:highlight w:val="none"/>
              </w:rPr>
            </w:pPr>
          </w:p>
        </w:tc>
        <w:tc>
          <w:tcPr>
            <w:tcW w:w="1704" w:type="dxa"/>
          </w:tcPr>
          <w:p w14:paraId="0139A884">
            <w:pPr>
              <w:pStyle w:val="8"/>
              <w:shd w:val="clear"/>
              <w:ind w:firstLine="0"/>
              <w:rPr>
                <w:rFonts w:hint="eastAsia" w:ascii="仿宋" w:hAnsi="仿宋" w:eastAsia="仿宋" w:cs="仿宋"/>
                <w:color w:val="auto"/>
                <w:sz w:val="24"/>
                <w:szCs w:val="24"/>
                <w:highlight w:val="none"/>
              </w:rPr>
            </w:pPr>
          </w:p>
        </w:tc>
        <w:tc>
          <w:tcPr>
            <w:tcW w:w="874" w:type="dxa"/>
          </w:tcPr>
          <w:p w14:paraId="7EF0643D">
            <w:pPr>
              <w:pStyle w:val="8"/>
              <w:shd w:val="clear"/>
              <w:ind w:firstLine="0"/>
              <w:rPr>
                <w:rFonts w:hint="eastAsia" w:ascii="仿宋" w:hAnsi="仿宋" w:eastAsia="仿宋" w:cs="仿宋"/>
                <w:color w:val="auto"/>
                <w:sz w:val="24"/>
                <w:szCs w:val="24"/>
                <w:highlight w:val="none"/>
              </w:rPr>
            </w:pPr>
          </w:p>
        </w:tc>
      </w:tr>
      <w:tr w14:paraId="2C12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23" w:type="dxa"/>
          </w:tcPr>
          <w:p w14:paraId="2429B273">
            <w:pPr>
              <w:pStyle w:val="8"/>
              <w:shd w:val="clear"/>
              <w:ind w:firstLine="0"/>
              <w:rPr>
                <w:rFonts w:hint="eastAsia" w:ascii="仿宋" w:hAnsi="仿宋" w:eastAsia="仿宋" w:cs="仿宋"/>
                <w:color w:val="auto"/>
                <w:sz w:val="24"/>
                <w:szCs w:val="24"/>
                <w:highlight w:val="none"/>
              </w:rPr>
            </w:pPr>
          </w:p>
        </w:tc>
        <w:tc>
          <w:tcPr>
            <w:tcW w:w="1671" w:type="dxa"/>
          </w:tcPr>
          <w:p w14:paraId="169BF117">
            <w:pPr>
              <w:pStyle w:val="8"/>
              <w:shd w:val="clear"/>
              <w:ind w:firstLine="0"/>
              <w:rPr>
                <w:rFonts w:hint="eastAsia" w:ascii="仿宋" w:hAnsi="仿宋" w:eastAsia="仿宋" w:cs="仿宋"/>
                <w:color w:val="auto"/>
                <w:sz w:val="24"/>
                <w:szCs w:val="24"/>
                <w:highlight w:val="none"/>
              </w:rPr>
            </w:pPr>
          </w:p>
        </w:tc>
        <w:tc>
          <w:tcPr>
            <w:tcW w:w="1984" w:type="dxa"/>
          </w:tcPr>
          <w:p w14:paraId="31BF36F6">
            <w:pPr>
              <w:pStyle w:val="8"/>
              <w:shd w:val="clear"/>
              <w:ind w:firstLine="0"/>
              <w:rPr>
                <w:rFonts w:hint="eastAsia" w:ascii="仿宋" w:hAnsi="仿宋" w:eastAsia="仿宋" w:cs="仿宋"/>
                <w:color w:val="auto"/>
                <w:sz w:val="24"/>
                <w:szCs w:val="24"/>
                <w:highlight w:val="none"/>
              </w:rPr>
            </w:pPr>
          </w:p>
        </w:tc>
        <w:tc>
          <w:tcPr>
            <w:tcW w:w="1391" w:type="dxa"/>
          </w:tcPr>
          <w:p w14:paraId="150DF800">
            <w:pPr>
              <w:pStyle w:val="8"/>
              <w:shd w:val="clear"/>
              <w:ind w:firstLine="0"/>
              <w:rPr>
                <w:rFonts w:hint="eastAsia" w:ascii="仿宋" w:hAnsi="仿宋" w:eastAsia="仿宋" w:cs="仿宋"/>
                <w:color w:val="auto"/>
                <w:sz w:val="24"/>
                <w:szCs w:val="24"/>
                <w:highlight w:val="none"/>
              </w:rPr>
            </w:pPr>
          </w:p>
        </w:tc>
        <w:tc>
          <w:tcPr>
            <w:tcW w:w="1704" w:type="dxa"/>
          </w:tcPr>
          <w:p w14:paraId="37CA885C">
            <w:pPr>
              <w:pStyle w:val="8"/>
              <w:shd w:val="clear"/>
              <w:ind w:firstLine="0"/>
              <w:rPr>
                <w:rFonts w:hint="eastAsia" w:ascii="仿宋" w:hAnsi="仿宋" w:eastAsia="仿宋" w:cs="仿宋"/>
                <w:color w:val="auto"/>
                <w:sz w:val="24"/>
                <w:szCs w:val="24"/>
                <w:highlight w:val="none"/>
              </w:rPr>
            </w:pPr>
          </w:p>
        </w:tc>
        <w:tc>
          <w:tcPr>
            <w:tcW w:w="874" w:type="dxa"/>
          </w:tcPr>
          <w:p w14:paraId="72103957">
            <w:pPr>
              <w:pStyle w:val="8"/>
              <w:shd w:val="clear"/>
              <w:ind w:firstLine="0"/>
              <w:rPr>
                <w:rFonts w:hint="eastAsia" w:ascii="仿宋" w:hAnsi="仿宋" w:eastAsia="仿宋" w:cs="仿宋"/>
                <w:color w:val="auto"/>
                <w:sz w:val="24"/>
                <w:szCs w:val="24"/>
                <w:highlight w:val="none"/>
              </w:rPr>
            </w:pPr>
          </w:p>
        </w:tc>
      </w:tr>
    </w:tbl>
    <w:p w14:paraId="57D74C95">
      <w:pPr>
        <w:shd w:val="clear"/>
        <w:autoSpaceDE w:val="0"/>
        <w:autoSpaceDN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说明：1.</w:t>
      </w:r>
      <w:r>
        <w:rPr>
          <w:rFonts w:hint="eastAsia" w:ascii="仿宋" w:hAnsi="仿宋" w:eastAsia="仿宋" w:cs="仿宋"/>
          <w:color w:val="auto"/>
          <w:kern w:val="0"/>
          <w:sz w:val="24"/>
          <w:szCs w:val="24"/>
          <w:highlight w:val="none"/>
          <w:lang w:val="zh-CN"/>
        </w:rPr>
        <w:t>提供自20</w:t>
      </w:r>
      <w:r>
        <w:rPr>
          <w:rFonts w:hint="eastAsia" w:ascii="仿宋" w:hAnsi="仿宋" w:eastAsia="仿宋" w:cs="仿宋"/>
          <w:color w:val="auto"/>
          <w:kern w:val="0"/>
          <w:sz w:val="24"/>
          <w:szCs w:val="24"/>
          <w:highlight w:val="none"/>
          <w:lang w:val="en-US" w:eastAsia="zh-CN"/>
        </w:rPr>
        <w:t>23</w:t>
      </w:r>
      <w:r>
        <w:rPr>
          <w:rFonts w:hint="eastAsia" w:ascii="仿宋" w:hAnsi="仿宋" w:eastAsia="仿宋" w:cs="仿宋"/>
          <w:color w:val="auto"/>
          <w:kern w:val="0"/>
          <w:sz w:val="24"/>
          <w:szCs w:val="24"/>
          <w:highlight w:val="none"/>
          <w:lang w:val="zh-CN"/>
        </w:rPr>
        <w:t>年</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val="zh-CN"/>
        </w:rPr>
        <w:t>月1日至今（以合同签订时间为准）的</w:t>
      </w:r>
      <w:r>
        <w:rPr>
          <w:rFonts w:hint="eastAsia" w:ascii="仿宋" w:hAnsi="仿宋" w:eastAsia="仿宋" w:cs="仿宋"/>
          <w:color w:val="auto"/>
          <w:kern w:val="0"/>
          <w:sz w:val="24"/>
          <w:szCs w:val="24"/>
          <w:highlight w:val="none"/>
          <w:lang w:val="en-US" w:eastAsia="zh-CN"/>
        </w:rPr>
        <w:t>类似</w:t>
      </w:r>
      <w:r>
        <w:rPr>
          <w:rFonts w:hint="eastAsia" w:ascii="仿宋" w:hAnsi="仿宋" w:eastAsia="仿宋" w:cs="仿宋"/>
          <w:color w:val="auto"/>
          <w:kern w:val="0"/>
          <w:sz w:val="24"/>
          <w:szCs w:val="24"/>
          <w:highlight w:val="none"/>
          <w:lang w:val="zh-CN"/>
        </w:rPr>
        <w:t>业绩证明材料；2.表后附加盖公章的合同复印件；3.供应</w:t>
      </w:r>
      <w:r>
        <w:rPr>
          <w:rFonts w:hint="eastAsia" w:ascii="仿宋" w:hAnsi="仿宋" w:eastAsia="仿宋" w:cs="仿宋"/>
          <w:color w:val="auto"/>
          <w:sz w:val="24"/>
          <w:szCs w:val="24"/>
          <w:highlight w:val="none"/>
        </w:rPr>
        <w:t>商人</w:t>
      </w:r>
      <w:r>
        <w:rPr>
          <w:rFonts w:hint="eastAsia" w:ascii="仿宋" w:hAnsi="仿宋" w:eastAsia="仿宋" w:cs="仿宋"/>
          <w:bCs/>
          <w:color w:val="auto"/>
          <w:sz w:val="24"/>
          <w:szCs w:val="24"/>
          <w:highlight w:val="none"/>
        </w:rPr>
        <w:t>未按上述要求提供、</w:t>
      </w:r>
      <w:r>
        <w:rPr>
          <w:rFonts w:hint="eastAsia" w:ascii="仿宋" w:hAnsi="仿宋" w:eastAsia="仿宋" w:cs="仿宋"/>
          <w:color w:val="auto"/>
          <w:sz w:val="24"/>
          <w:szCs w:val="24"/>
          <w:highlight w:val="none"/>
        </w:rPr>
        <w:t>填写</w:t>
      </w:r>
      <w:r>
        <w:rPr>
          <w:rFonts w:hint="eastAsia" w:ascii="仿宋" w:hAnsi="仿宋" w:eastAsia="仿宋" w:cs="仿宋"/>
          <w:bCs/>
          <w:color w:val="auto"/>
          <w:sz w:val="24"/>
          <w:szCs w:val="24"/>
          <w:highlight w:val="none"/>
        </w:rPr>
        <w:t>的，评审时不予加分</w:t>
      </w:r>
    </w:p>
    <w:p w14:paraId="334590EC">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rPr>
      </w:pPr>
    </w:p>
    <w:p w14:paraId="4082F1C2">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（盖单位章）</w:t>
      </w:r>
    </w:p>
    <w:p w14:paraId="6E9FD42F">
      <w:pPr>
        <w:pStyle w:val="20"/>
        <w:shd w:val="clear"/>
        <w:spacing w:before="0" w:beforeAutospacing="0" w:after="0" w:afterAutospacing="0" w:line="480" w:lineRule="auto"/>
        <w:ind w:firstLine="3360" w:firstLineChars="1400"/>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法定代表人或授权代理人：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（签字或盖章）</w:t>
      </w:r>
    </w:p>
    <w:p w14:paraId="0D4A63B4">
      <w:pPr>
        <w:pStyle w:val="20"/>
        <w:shd w:val="clear"/>
        <w:spacing w:before="0" w:beforeAutospacing="0" w:after="0" w:afterAutospacing="0" w:line="480" w:lineRule="auto"/>
        <w:ind w:firstLine="3360" w:firstLineChars="1400"/>
        <w:rPr>
          <w:rFonts w:hint="eastAsia" w:ascii="宋体" w:hAnsi="宋体" w:eastAsia="宋体"/>
          <w:color w:val="auto"/>
          <w:sz w:val="36"/>
          <w:szCs w:val="36"/>
        </w:rPr>
      </w:pPr>
      <w:r>
        <w:rPr>
          <w:rFonts w:hint="eastAsia" w:ascii="仿宋" w:hAnsi="仿宋" w:eastAsia="仿宋" w:cs="仿宋"/>
          <w:color w:val="auto"/>
          <w:sz w:val="24"/>
          <w:szCs w:val="24"/>
          <w:highlight w:val="none"/>
          <w:u w:val="none"/>
          <w:lang w:eastAsia="zh-CN"/>
        </w:rPr>
        <w:t>日</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lang w:eastAsia="zh-CN"/>
        </w:rPr>
        <w:t>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r>
        <w:rPr>
          <w:rFonts w:hint="eastAsia" w:ascii="宋体" w:hAnsi="宋体" w:eastAsia="宋体" w:cs="宋体"/>
          <w:bCs/>
          <w:color w:val="auto"/>
          <w:highlight w:val="none"/>
        </w:rPr>
        <w:t xml:space="preserve">  </w:t>
      </w:r>
    </w:p>
    <w:p w14:paraId="3321A731">
      <w:pPr>
        <w:adjustRightInd w:val="0"/>
        <w:snapToGrid w:val="0"/>
        <w:jc w:val="center"/>
        <w:rPr>
          <w:rFonts w:hint="eastAsia" w:ascii="宋体" w:hAnsi="宋体"/>
          <w:b/>
          <w:bCs/>
          <w:color w:val="auto"/>
          <w:sz w:val="36"/>
          <w:szCs w:val="36"/>
        </w:rPr>
      </w:pPr>
      <w:bookmarkStart w:id="267" w:name="_Toc12907"/>
    </w:p>
    <w:p w14:paraId="3A5E1C0D">
      <w:pPr>
        <w:adjustRightInd w:val="0"/>
        <w:snapToGrid w:val="0"/>
        <w:jc w:val="center"/>
        <w:rPr>
          <w:rFonts w:hint="eastAsia" w:ascii="宋体" w:hAnsi="宋体"/>
          <w:b/>
          <w:bCs/>
          <w:color w:val="auto"/>
          <w:sz w:val="36"/>
          <w:szCs w:val="36"/>
        </w:rPr>
      </w:pPr>
    </w:p>
    <w:p w14:paraId="4E7C0645">
      <w:pPr>
        <w:adjustRightInd w:val="0"/>
        <w:snapToGrid w:val="0"/>
        <w:jc w:val="center"/>
        <w:rPr>
          <w:rFonts w:hint="eastAsia" w:ascii="宋体" w:hAnsi="宋体"/>
          <w:b/>
          <w:bCs/>
          <w:color w:val="auto"/>
          <w:sz w:val="36"/>
          <w:szCs w:val="36"/>
        </w:rPr>
      </w:pPr>
    </w:p>
    <w:p w14:paraId="5B497F20">
      <w:pPr>
        <w:adjustRightInd w:val="0"/>
        <w:snapToGrid w:val="0"/>
        <w:jc w:val="center"/>
        <w:rPr>
          <w:rFonts w:ascii="宋体" w:hAnsi="宋体"/>
          <w:b/>
          <w:bCs/>
          <w:color w:val="auto"/>
          <w:sz w:val="36"/>
          <w:szCs w:val="36"/>
        </w:rPr>
      </w:pPr>
      <w:r>
        <w:rPr>
          <w:rFonts w:hint="eastAsia" w:ascii="宋体" w:hAnsi="宋体"/>
          <w:b/>
          <w:bCs/>
          <w:color w:val="auto"/>
          <w:sz w:val="36"/>
          <w:szCs w:val="36"/>
          <w:lang w:val="en-US" w:eastAsia="zh-CN"/>
        </w:rPr>
        <w:t>六</w:t>
      </w:r>
      <w:r>
        <w:rPr>
          <w:rFonts w:hint="eastAsia" w:ascii="宋体" w:hAnsi="宋体"/>
          <w:b/>
          <w:bCs/>
          <w:color w:val="auto"/>
          <w:sz w:val="36"/>
          <w:szCs w:val="36"/>
        </w:rPr>
        <w:t>、供应商认为需要提供的其他文件和资料</w:t>
      </w:r>
    </w:p>
    <w:p w14:paraId="68011B71">
      <w:pPr>
        <w:pStyle w:val="31"/>
        <w:spacing w:line="400" w:lineRule="exact"/>
        <w:rPr>
          <w:color w:val="auto"/>
        </w:rPr>
      </w:pPr>
    </w:p>
    <w:p w14:paraId="68799468">
      <w:pPr>
        <w:pStyle w:val="31"/>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说明：格式自定。</w:t>
      </w:r>
    </w:p>
    <w:p w14:paraId="62072E8E">
      <w:pPr>
        <w:pStyle w:val="31"/>
        <w:spacing w:line="400" w:lineRule="exact"/>
        <w:jc w:val="center"/>
        <w:rPr>
          <w:rFonts w:ascii="宋体" w:hAnsi="宋体" w:cs="宋体"/>
          <w:b/>
          <w:bCs/>
          <w:color w:val="auto"/>
          <w:sz w:val="36"/>
          <w:szCs w:val="36"/>
        </w:rPr>
      </w:pPr>
    </w:p>
    <w:p w14:paraId="696AF33B">
      <w:pPr>
        <w:pStyle w:val="31"/>
        <w:spacing w:line="400" w:lineRule="exact"/>
        <w:jc w:val="center"/>
        <w:rPr>
          <w:rFonts w:ascii="宋体" w:hAnsi="宋体" w:cs="宋体"/>
          <w:b/>
          <w:bCs/>
          <w:color w:val="auto"/>
          <w:sz w:val="36"/>
          <w:szCs w:val="36"/>
        </w:rPr>
      </w:pPr>
    </w:p>
    <w:p w14:paraId="3B3CEFA9">
      <w:pPr>
        <w:pStyle w:val="31"/>
        <w:spacing w:line="400" w:lineRule="exact"/>
        <w:jc w:val="center"/>
        <w:rPr>
          <w:rFonts w:ascii="宋体" w:hAnsi="宋体" w:cs="宋体"/>
          <w:b/>
          <w:bCs/>
          <w:color w:val="auto"/>
          <w:sz w:val="36"/>
          <w:szCs w:val="36"/>
        </w:rPr>
      </w:pPr>
    </w:p>
    <w:p w14:paraId="5C6431CE">
      <w:pPr>
        <w:pStyle w:val="31"/>
        <w:spacing w:line="400" w:lineRule="exact"/>
        <w:jc w:val="center"/>
        <w:rPr>
          <w:rFonts w:ascii="宋体" w:hAnsi="宋体" w:cs="宋体"/>
          <w:b/>
          <w:bCs/>
          <w:color w:val="auto"/>
          <w:sz w:val="36"/>
          <w:szCs w:val="36"/>
        </w:rPr>
      </w:pPr>
    </w:p>
    <w:p w14:paraId="17DE94F2">
      <w:pPr>
        <w:pStyle w:val="31"/>
        <w:spacing w:line="400" w:lineRule="exact"/>
        <w:jc w:val="center"/>
        <w:rPr>
          <w:rFonts w:ascii="宋体" w:hAnsi="宋体" w:cs="宋体"/>
          <w:b/>
          <w:bCs/>
          <w:color w:val="auto"/>
          <w:sz w:val="36"/>
          <w:szCs w:val="36"/>
        </w:rPr>
      </w:pPr>
    </w:p>
    <w:p w14:paraId="2739078B">
      <w:pPr>
        <w:pStyle w:val="31"/>
        <w:spacing w:line="400" w:lineRule="exact"/>
        <w:jc w:val="center"/>
        <w:rPr>
          <w:rFonts w:ascii="宋体" w:hAnsi="宋体" w:cs="宋体"/>
          <w:b/>
          <w:bCs/>
          <w:color w:val="auto"/>
          <w:sz w:val="36"/>
          <w:szCs w:val="36"/>
        </w:rPr>
      </w:pPr>
    </w:p>
    <w:p w14:paraId="366B68F3">
      <w:pPr>
        <w:pStyle w:val="31"/>
        <w:spacing w:line="400" w:lineRule="exact"/>
        <w:jc w:val="center"/>
        <w:rPr>
          <w:rFonts w:ascii="宋体" w:hAnsi="宋体" w:cs="宋体"/>
          <w:b/>
          <w:bCs/>
          <w:color w:val="auto"/>
          <w:sz w:val="36"/>
          <w:szCs w:val="36"/>
        </w:rPr>
      </w:pPr>
    </w:p>
    <w:p w14:paraId="3D765F70">
      <w:pPr>
        <w:pStyle w:val="31"/>
        <w:spacing w:line="400" w:lineRule="exact"/>
        <w:jc w:val="center"/>
        <w:rPr>
          <w:rFonts w:ascii="宋体" w:hAnsi="宋体" w:cs="宋体"/>
          <w:b/>
          <w:bCs/>
          <w:color w:val="auto"/>
          <w:sz w:val="36"/>
          <w:szCs w:val="36"/>
        </w:rPr>
      </w:pPr>
    </w:p>
    <w:p w14:paraId="10936179">
      <w:pPr>
        <w:pStyle w:val="31"/>
        <w:spacing w:line="400" w:lineRule="exact"/>
        <w:jc w:val="center"/>
        <w:rPr>
          <w:rFonts w:ascii="宋体" w:hAnsi="宋体" w:cs="宋体"/>
          <w:b/>
          <w:bCs/>
          <w:color w:val="auto"/>
          <w:sz w:val="36"/>
          <w:szCs w:val="36"/>
        </w:rPr>
      </w:pPr>
    </w:p>
    <w:p w14:paraId="6F4367A4">
      <w:pPr>
        <w:pStyle w:val="31"/>
        <w:spacing w:line="400" w:lineRule="exact"/>
        <w:jc w:val="center"/>
        <w:rPr>
          <w:rFonts w:ascii="宋体" w:hAnsi="宋体" w:cs="宋体"/>
          <w:b/>
          <w:bCs/>
          <w:color w:val="auto"/>
          <w:sz w:val="36"/>
          <w:szCs w:val="36"/>
        </w:rPr>
      </w:pPr>
    </w:p>
    <w:p w14:paraId="18DA81CF">
      <w:pPr>
        <w:pStyle w:val="31"/>
        <w:spacing w:line="400" w:lineRule="exact"/>
        <w:jc w:val="center"/>
        <w:rPr>
          <w:rFonts w:ascii="宋体" w:hAnsi="宋体" w:cs="宋体"/>
          <w:b/>
          <w:bCs/>
          <w:color w:val="auto"/>
          <w:sz w:val="36"/>
          <w:szCs w:val="36"/>
        </w:rPr>
      </w:pPr>
    </w:p>
    <w:p w14:paraId="696C85C0">
      <w:pPr>
        <w:pStyle w:val="31"/>
        <w:spacing w:line="400" w:lineRule="exact"/>
        <w:jc w:val="center"/>
        <w:rPr>
          <w:rFonts w:ascii="宋体" w:hAnsi="宋体" w:cs="宋体"/>
          <w:b/>
          <w:bCs/>
          <w:color w:val="auto"/>
          <w:sz w:val="36"/>
          <w:szCs w:val="36"/>
        </w:rPr>
      </w:pPr>
    </w:p>
    <w:p w14:paraId="09750DB7">
      <w:pPr>
        <w:pStyle w:val="31"/>
        <w:spacing w:line="400" w:lineRule="exact"/>
        <w:jc w:val="center"/>
        <w:rPr>
          <w:rFonts w:ascii="宋体" w:hAnsi="宋体" w:cs="宋体"/>
          <w:b/>
          <w:bCs/>
          <w:color w:val="auto"/>
          <w:sz w:val="36"/>
          <w:szCs w:val="36"/>
        </w:rPr>
      </w:pPr>
    </w:p>
    <w:p w14:paraId="4F25159F">
      <w:pPr>
        <w:pStyle w:val="31"/>
        <w:spacing w:line="400" w:lineRule="exact"/>
        <w:jc w:val="center"/>
        <w:rPr>
          <w:rFonts w:ascii="宋体" w:hAnsi="宋体" w:cs="宋体"/>
          <w:b/>
          <w:bCs/>
          <w:color w:val="auto"/>
          <w:sz w:val="36"/>
          <w:szCs w:val="36"/>
        </w:rPr>
      </w:pPr>
    </w:p>
    <w:p w14:paraId="4C5138FC">
      <w:pPr>
        <w:pStyle w:val="31"/>
        <w:spacing w:line="400" w:lineRule="exact"/>
        <w:jc w:val="center"/>
        <w:rPr>
          <w:rFonts w:ascii="宋体" w:hAnsi="宋体" w:cs="宋体"/>
          <w:b/>
          <w:bCs/>
          <w:color w:val="auto"/>
          <w:sz w:val="36"/>
          <w:szCs w:val="36"/>
        </w:rPr>
      </w:pPr>
    </w:p>
    <w:p w14:paraId="41C9F516">
      <w:pPr>
        <w:pStyle w:val="31"/>
        <w:spacing w:line="400" w:lineRule="exact"/>
        <w:jc w:val="center"/>
        <w:rPr>
          <w:rFonts w:ascii="宋体" w:hAnsi="宋体" w:cs="宋体"/>
          <w:b/>
          <w:bCs/>
          <w:color w:val="auto"/>
          <w:sz w:val="36"/>
          <w:szCs w:val="36"/>
        </w:rPr>
      </w:pPr>
    </w:p>
    <w:p w14:paraId="25AE061D">
      <w:pPr>
        <w:pStyle w:val="31"/>
        <w:spacing w:line="400" w:lineRule="exact"/>
        <w:jc w:val="center"/>
        <w:rPr>
          <w:rFonts w:ascii="宋体" w:hAnsi="宋体" w:cs="宋体"/>
          <w:b/>
          <w:bCs/>
          <w:color w:val="auto"/>
          <w:sz w:val="36"/>
          <w:szCs w:val="36"/>
        </w:rPr>
      </w:pPr>
    </w:p>
    <w:p w14:paraId="217FBEF3">
      <w:pPr>
        <w:pStyle w:val="31"/>
        <w:spacing w:line="400" w:lineRule="exact"/>
        <w:jc w:val="center"/>
        <w:rPr>
          <w:rFonts w:ascii="宋体" w:hAnsi="宋体" w:cs="宋体"/>
          <w:b/>
          <w:bCs/>
          <w:color w:val="auto"/>
          <w:sz w:val="36"/>
          <w:szCs w:val="36"/>
        </w:rPr>
      </w:pPr>
    </w:p>
    <w:p w14:paraId="0EE4484B">
      <w:pPr>
        <w:pStyle w:val="31"/>
        <w:spacing w:line="400" w:lineRule="exact"/>
        <w:jc w:val="center"/>
        <w:rPr>
          <w:rFonts w:ascii="宋体" w:hAnsi="宋体" w:cs="宋体"/>
          <w:b/>
          <w:bCs/>
          <w:color w:val="auto"/>
          <w:sz w:val="36"/>
          <w:szCs w:val="36"/>
        </w:rPr>
      </w:pPr>
    </w:p>
    <w:p w14:paraId="1AA9DEE0">
      <w:pPr>
        <w:pStyle w:val="31"/>
        <w:spacing w:line="400" w:lineRule="exact"/>
        <w:jc w:val="center"/>
        <w:rPr>
          <w:rFonts w:ascii="宋体" w:hAnsi="宋体" w:cs="宋体"/>
          <w:b/>
          <w:bCs/>
          <w:color w:val="auto"/>
          <w:sz w:val="36"/>
          <w:szCs w:val="36"/>
        </w:rPr>
      </w:pPr>
    </w:p>
    <w:p w14:paraId="0BFB6C1D">
      <w:pPr>
        <w:pStyle w:val="31"/>
        <w:spacing w:line="400" w:lineRule="exact"/>
        <w:jc w:val="center"/>
        <w:rPr>
          <w:rFonts w:ascii="宋体" w:hAnsi="宋体" w:cs="宋体"/>
          <w:b/>
          <w:bCs/>
          <w:color w:val="auto"/>
          <w:sz w:val="36"/>
          <w:szCs w:val="36"/>
        </w:rPr>
      </w:pPr>
    </w:p>
    <w:p w14:paraId="62E3B1D9">
      <w:pPr>
        <w:pStyle w:val="31"/>
        <w:spacing w:line="400" w:lineRule="exact"/>
        <w:jc w:val="center"/>
        <w:rPr>
          <w:rFonts w:ascii="宋体" w:hAnsi="宋体" w:cs="宋体"/>
          <w:b/>
          <w:bCs/>
          <w:color w:val="auto"/>
          <w:sz w:val="36"/>
          <w:szCs w:val="36"/>
        </w:rPr>
      </w:pPr>
    </w:p>
    <w:p w14:paraId="07BB68D3">
      <w:pPr>
        <w:pStyle w:val="31"/>
        <w:spacing w:line="400" w:lineRule="exact"/>
        <w:jc w:val="center"/>
        <w:rPr>
          <w:rFonts w:ascii="宋体" w:hAnsi="宋体" w:cs="宋体"/>
          <w:b/>
          <w:bCs/>
          <w:color w:val="auto"/>
          <w:sz w:val="36"/>
          <w:szCs w:val="36"/>
        </w:rPr>
      </w:pPr>
    </w:p>
    <w:p w14:paraId="1C5B1FFD">
      <w:pPr>
        <w:pStyle w:val="31"/>
        <w:spacing w:line="400" w:lineRule="exact"/>
        <w:jc w:val="center"/>
        <w:rPr>
          <w:rFonts w:ascii="宋体" w:hAnsi="宋体" w:cs="宋体"/>
          <w:b/>
          <w:bCs/>
          <w:color w:val="auto"/>
          <w:sz w:val="36"/>
          <w:szCs w:val="36"/>
        </w:rPr>
      </w:pPr>
    </w:p>
    <w:p w14:paraId="2746D7B9">
      <w:pPr>
        <w:pStyle w:val="31"/>
        <w:spacing w:line="400" w:lineRule="exact"/>
        <w:jc w:val="center"/>
        <w:rPr>
          <w:rFonts w:ascii="宋体" w:hAnsi="宋体" w:cs="宋体"/>
          <w:b/>
          <w:bCs/>
          <w:color w:val="auto"/>
          <w:sz w:val="36"/>
          <w:szCs w:val="36"/>
        </w:rPr>
      </w:pPr>
    </w:p>
    <w:p w14:paraId="47E639AC">
      <w:pPr>
        <w:pStyle w:val="31"/>
        <w:spacing w:line="400" w:lineRule="exact"/>
        <w:jc w:val="center"/>
        <w:rPr>
          <w:rFonts w:ascii="宋体" w:hAnsi="宋体" w:cs="宋体"/>
          <w:b/>
          <w:bCs/>
          <w:color w:val="auto"/>
          <w:sz w:val="36"/>
          <w:szCs w:val="36"/>
        </w:rPr>
      </w:pPr>
    </w:p>
    <w:p w14:paraId="2D089D17">
      <w:pPr>
        <w:pStyle w:val="31"/>
        <w:spacing w:line="400" w:lineRule="exact"/>
        <w:jc w:val="center"/>
        <w:rPr>
          <w:rFonts w:ascii="宋体" w:hAnsi="宋体" w:cs="宋体"/>
          <w:b/>
          <w:bCs/>
          <w:color w:val="auto"/>
          <w:sz w:val="36"/>
          <w:szCs w:val="36"/>
        </w:rPr>
      </w:pPr>
    </w:p>
    <w:p w14:paraId="7A567364">
      <w:pPr>
        <w:pStyle w:val="31"/>
        <w:spacing w:line="400" w:lineRule="exact"/>
        <w:jc w:val="center"/>
        <w:rPr>
          <w:rFonts w:ascii="宋体" w:hAnsi="宋体" w:cs="宋体"/>
          <w:b/>
          <w:bCs/>
          <w:color w:val="auto"/>
          <w:sz w:val="36"/>
          <w:szCs w:val="36"/>
        </w:rPr>
      </w:pPr>
    </w:p>
    <w:p w14:paraId="529D1449">
      <w:pPr>
        <w:pStyle w:val="31"/>
        <w:spacing w:line="400" w:lineRule="exact"/>
        <w:jc w:val="center"/>
        <w:rPr>
          <w:rFonts w:ascii="宋体" w:hAnsi="宋体" w:cs="宋体"/>
          <w:b/>
          <w:bCs/>
          <w:color w:val="auto"/>
          <w:sz w:val="36"/>
          <w:szCs w:val="36"/>
        </w:rPr>
      </w:pPr>
    </w:p>
    <w:p w14:paraId="1DC20802">
      <w:pPr>
        <w:pStyle w:val="31"/>
        <w:spacing w:line="400" w:lineRule="exact"/>
        <w:jc w:val="center"/>
        <w:rPr>
          <w:rFonts w:ascii="宋体" w:hAnsi="宋体" w:cs="宋体"/>
          <w:b/>
          <w:bCs/>
          <w:color w:val="auto"/>
          <w:sz w:val="36"/>
          <w:szCs w:val="36"/>
        </w:rPr>
      </w:pPr>
    </w:p>
    <w:p w14:paraId="45725C69">
      <w:pPr>
        <w:pStyle w:val="31"/>
        <w:spacing w:line="400" w:lineRule="exact"/>
        <w:jc w:val="center"/>
        <w:rPr>
          <w:rFonts w:ascii="宋体" w:hAnsi="宋体" w:cs="宋体"/>
          <w:b/>
          <w:bCs/>
          <w:color w:val="auto"/>
          <w:sz w:val="36"/>
          <w:szCs w:val="36"/>
        </w:rPr>
      </w:pPr>
    </w:p>
    <w:p w14:paraId="1E688827">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lang w:val="en-US" w:eastAsia="zh-CN"/>
        </w:rPr>
        <w:t>七</w:t>
      </w:r>
      <w:r>
        <w:rPr>
          <w:rFonts w:hint="eastAsia" w:ascii="宋体" w:hAnsi="宋体" w:cs="宋体"/>
          <w:b/>
          <w:bCs/>
          <w:color w:val="auto"/>
          <w:sz w:val="36"/>
          <w:szCs w:val="36"/>
        </w:rPr>
        <w:t>、陕西省政府采购供应商拒绝政府采购领域商业贿赂</w:t>
      </w:r>
    </w:p>
    <w:p w14:paraId="35DB444E">
      <w:pPr>
        <w:pStyle w:val="31"/>
        <w:spacing w:line="400" w:lineRule="exact"/>
        <w:jc w:val="center"/>
        <w:rPr>
          <w:rFonts w:ascii="宋体" w:hAnsi="宋体" w:cs="宋体"/>
          <w:b/>
          <w:bCs/>
          <w:color w:val="auto"/>
          <w:sz w:val="36"/>
          <w:szCs w:val="36"/>
        </w:rPr>
      </w:pPr>
      <w:r>
        <w:rPr>
          <w:rFonts w:hint="eastAsia" w:ascii="宋体" w:hAnsi="宋体" w:cs="宋体"/>
          <w:b/>
          <w:bCs/>
          <w:color w:val="auto"/>
          <w:sz w:val="36"/>
          <w:szCs w:val="36"/>
        </w:rPr>
        <w:t>承诺书</w:t>
      </w:r>
    </w:p>
    <w:p w14:paraId="22A87953">
      <w:pPr>
        <w:pStyle w:val="31"/>
        <w:spacing w:line="400" w:lineRule="exact"/>
        <w:jc w:val="center"/>
        <w:rPr>
          <w:rFonts w:ascii="宋体" w:hAnsi="宋体" w:cs="宋体"/>
          <w:b/>
          <w:bCs/>
          <w:color w:val="auto"/>
          <w:sz w:val="36"/>
          <w:szCs w:val="36"/>
        </w:rPr>
      </w:pPr>
    </w:p>
    <w:p w14:paraId="5CD06CB4">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为响应党中央、国务院关于治理政府采购领域商业贿赂行为的号召，我公司在此庄严承诺：</w:t>
      </w:r>
    </w:p>
    <w:p w14:paraId="0D913BD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1、在参与政府采购活动中遵纪守法、诚信经营、公平竞标。</w:t>
      </w:r>
    </w:p>
    <w:p w14:paraId="338485D8">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2、不向政府采购人、采购代理机构和政府采购评审专家进行任何形式的商业贿赂以谋取交易机会。</w:t>
      </w:r>
    </w:p>
    <w:p w14:paraId="2EFDBB9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3、不向政府采购代理机构和采购人提供虚假资质文件或采用虚假应标方式参与政府采购市场竞争并谋取成交、成交。</w:t>
      </w:r>
    </w:p>
    <w:p w14:paraId="6B5C16F9">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4、不采取“围标、陪标”等商业欺诈手段获得政府采购定单。</w:t>
      </w:r>
    </w:p>
    <w:p w14:paraId="6DD7BB9A">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5、不采取不正当手段诋毁、排挤其他供应商。</w:t>
      </w:r>
    </w:p>
    <w:p w14:paraId="6A0523CB">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6、不在提供商品和服务及工程时“偷梁换柱、以次充好”损害采购人的合法权益。</w:t>
      </w:r>
    </w:p>
    <w:p w14:paraId="1DE8C1A6">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7、不与采购人、采购代理机构政府采购评审专家或其它供应商恶意串通，进行质疑和投诉，维护政府采购市场秩序。</w:t>
      </w:r>
    </w:p>
    <w:p w14:paraId="374AF39D">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8、尊重和接受政府采购监督管理部门的监督和政府采购代理机构招标采购要求，承担因违约行为给采购人造成的损失。</w:t>
      </w:r>
    </w:p>
    <w:p w14:paraId="5440ABB1">
      <w:pPr>
        <w:widowControl/>
        <w:spacing w:line="408" w:lineRule="auto"/>
        <w:ind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9、不发生其他有悖于政府采购公开、公平、公正和诚信原则的行为。</w:t>
      </w:r>
    </w:p>
    <w:p w14:paraId="74303B0C">
      <w:pPr>
        <w:pStyle w:val="2"/>
        <w:rPr>
          <w:rFonts w:hint="eastAsia" w:ascii="仿宋" w:hAnsi="仿宋" w:eastAsia="仿宋" w:cs="仿宋"/>
          <w:color w:val="auto"/>
          <w:sz w:val="24"/>
          <w:szCs w:val="24"/>
        </w:rPr>
      </w:pPr>
    </w:p>
    <w:p w14:paraId="26F559E1">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供应商（</w:t>
      </w:r>
      <w:r>
        <w:rPr>
          <w:rFonts w:hint="eastAsia" w:ascii="仿宋" w:hAnsi="仿宋" w:eastAsia="仿宋" w:cs="仿宋"/>
          <w:bCs/>
          <w:color w:val="auto"/>
          <w:sz w:val="24"/>
          <w:szCs w:val="24"/>
        </w:rPr>
        <w:t>全称并盖公章</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u w:val="single"/>
        </w:rPr>
        <w:t xml:space="preserve">            </w:t>
      </w:r>
    </w:p>
    <w:p w14:paraId="2DE1A970">
      <w:pPr>
        <w:spacing w:before="312" w:beforeLines="100" w:after="156" w:afterLines="50"/>
        <w:ind w:firstLine="4080" w:firstLineChars="17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法定代表人或被授权人（签字或盖章）：</w:t>
      </w:r>
    </w:p>
    <w:p w14:paraId="5F97FD7C">
      <w:pPr>
        <w:ind w:left="1"/>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日期：    年   月   日</w:t>
      </w:r>
    </w:p>
    <w:p w14:paraId="3134D75E">
      <w:pPr>
        <w:adjustRightInd w:val="0"/>
        <w:snapToGrid w:val="0"/>
        <w:jc w:val="center"/>
        <w:rPr>
          <w:rFonts w:ascii="宋体" w:hAnsi="宋体"/>
          <w:b/>
          <w:bCs/>
          <w:color w:val="auto"/>
          <w:sz w:val="36"/>
          <w:szCs w:val="36"/>
        </w:rPr>
      </w:pPr>
    </w:p>
    <w:p w14:paraId="24FECDCB">
      <w:pPr>
        <w:adjustRightInd w:val="0"/>
        <w:snapToGrid w:val="0"/>
        <w:jc w:val="center"/>
        <w:rPr>
          <w:rFonts w:ascii="宋体" w:hAnsi="宋体"/>
          <w:b/>
          <w:bCs/>
          <w:color w:val="auto"/>
          <w:sz w:val="36"/>
          <w:szCs w:val="36"/>
        </w:rPr>
      </w:pPr>
    </w:p>
    <w:p w14:paraId="3F27FB7E">
      <w:pPr>
        <w:adjustRightInd w:val="0"/>
        <w:snapToGrid w:val="0"/>
        <w:jc w:val="center"/>
        <w:rPr>
          <w:rFonts w:ascii="宋体" w:hAnsi="宋体"/>
          <w:b/>
          <w:bCs/>
          <w:color w:val="auto"/>
          <w:sz w:val="36"/>
          <w:szCs w:val="36"/>
        </w:rPr>
      </w:pPr>
    </w:p>
    <w:p w14:paraId="12170825">
      <w:pPr>
        <w:adjustRightInd w:val="0"/>
        <w:snapToGrid w:val="0"/>
        <w:jc w:val="center"/>
        <w:rPr>
          <w:rFonts w:ascii="宋体" w:hAnsi="宋体"/>
          <w:b/>
          <w:bCs/>
          <w:color w:val="auto"/>
          <w:sz w:val="36"/>
          <w:szCs w:val="36"/>
        </w:rPr>
      </w:pPr>
    </w:p>
    <w:p w14:paraId="5ABAC507">
      <w:pPr>
        <w:adjustRightInd w:val="0"/>
        <w:snapToGrid w:val="0"/>
        <w:jc w:val="center"/>
        <w:rPr>
          <w:rFonts w:ascii="宋体" w:hAnsi="宋体"/>
          <w:b/>
          <w:bCs/>
          <w:color w:val="auto"/>
          <w:sz w:val="36"/>
          <w:szCs w:val="36"/>
        </w:rPr>
      </w:pPr>
    </w:p>
    <w:bookmarkEnd w:id="267"/>
    <w:p w14:paraId="6CDCEB4F">
      <w:pPr>
        <w:rPr>
          <w:color w:val="auto"/>
        </w:rPr>
      </w:pPr>
    </w:p>
    <w:sectPr>
      <w:headerReference r:id="rId20" w:type="default"/>
      <w:footerReference r:id="rId21" w:type="default"/>
      <w:pgSz w:w="11907" w:h="16840"/>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0D95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12B3EC75">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464E7D3E">
    <w:pPr>
      <w:pStyle w:val="14"/>
      <w:spacing w:line="240" w:lineRule="exact"/>
      <w:ind w:right="357"/>
      <w:jc w:val="center"/>
    </w:pPr>
    <w:r>
      <w:rPr>
        <w:rFonts w:hint="eastAsia"/>
        <w:b/>
        <w:kern w:val="0"/>
        <w:szCs w:val="21"/>
      </w:rPr>
      <w:t>地址：咸阳市秦都区人民中路新华大厦1508室  电话：029-33284736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E8113">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6E06A652">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5F49186E">
    <w:pPr>
      <w:pStyle w:val="14"/>
      <w:spacing w:line="240" w:lineRule="exact"/>
      <w:ind w:right="357"/>
      <w:jc w:val="center"/>
    </w:pPr>
    <w:r>
      <w:rPr>
        <w:rFonts w:hint="eastAsia"/>
        <w:b/>
        <w:kern w:val="0"/>
        <w:szCs w:val="21"/>
      </w:rPr>
      <w:t>地址：咸阳市秦都区人民中路新华大厦1508室  电话：029-33284736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0177">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4D09AB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19CF9A57">
    <w:pPr>
      <w:pStyle w:val="14"/>
      <w:spacing w:line="240" w:lineRule="exact"/>
      <w:ind w:right="357"/>
      <w:jc w:val="center"/>
    </w:pPr>
    <w:r>
      <w:rPr>
        <w:rFonts w:hint="eastAsia"/>
        <w:b/>
        <w:kern w:val="0"/>
        <w:szCs w:val="21"/>
      </w:rPr>
      <w:t>地址：咸阳市秦都区人民中路新华大厦1508室  电话：029-33284736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62EAE">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FC355E3">
    <w:pPr>
      <w:pStyle w:val="14"/>
      <w:pBdr>
        <w:bottom w:val="single" w:color="auto" w:sz="6" w:space="1"/>
      </w:pBdr>
      <w:ind w:right="360"/>
      <w:rPr>
        <w:kern w:val="0"/>
        <w:szCs w:val="21"/>
      </w:rPr>
    </w:pPr>
  </w:p>
  <w:p w14:paraId="5C9E8009">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3E56D4B2">
    <w:pPr>
      <w:pStyle w:val="14"/>
      <w:jc w:val="both"/>
    </w:pPr>
    <w:r>
      <w:rPr>
        <w:rFonts w:hint="eastAsia"/>
        <w:kern w:val="0"/>
        <w:szCs w:val="21"/>
      </w:rPr>
      <w:t>联系电话：029-88472386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16CA5">
    <w:pPr>
      <w:pStyle w:val="14"/>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22604188">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37CDCF24">
    <w:pPr>
      <w:pStyle w:val="14"/>
      <w:spacing w:line="240" w:lineRule="exact"/>
      <w:ind w:right="357"/>
      <w:jc w:val="center"/>
    </w:pPr>
    <w:r>
      <w:rPr>
        <w:rFonts w:hint="eastAsia"/>
        <w:b/>
        <w:kern w:val="0"/>
        <w:szCs w:val="21"/>
      </w:rPr>
      <w:t>地址：咸阳市秦都区人民中路新华大厦1508室  电话：029-33284736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D766">
    <w:pPr>
      <w:pStyle w:val="14"/>
      <w:jc w:val="center"/>
    </w:pPr>
    <w:r>
      <w:rPr>
        <w:rFonts w:hint="eastAsia"/>
        <w:kern w:val="0"/>
        <w:szCs w:val="21"/>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838C">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1372C2A4">
    <w:pPr>
      <w:pStyle w:val="14"/>
      <w:pBdr>
        <w:bottom w:val="single" w:color="auto" w:sz="6" w:space="1"/>
      </w:pBdr>
      <w:ind w:right="360"/>
      <w:rPr>
        <w:kern w:val="0"/>
        <w:szCs w:val="21"/>
      </w:rPr>
    </w:pPr>
  </w:p>
  <w:p w14:paraId="2942DD9D">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7049672C">
    <w:pPr>
      <w:pStyle w:val="14"/>
      <w:jc w:val="both"/>
    </w:pPr>
    <w:r>
      <w:rPr>
        <w:rFonts w:hint="eastAsia"/>
        <w:kern w:val="0"/>
        <w:szCs w:val="21"/>
      </w:rPr>
      <w:t>联系电话：029-88472386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46759">
    <w:pPr>
      <w:pStyle w:val="14"/>
      <w:ind w:right="360"/>
      <w:jc w:val="center"/>
      <w:rPr>
        <w:rFonts w:hint="eastAsia"/>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5966E51B">
    <w:pPr>
      <w:pStyle w:val="14"/>
      <w:spacing w:line="240" w:lineRule="exact"/>
      <w:ind w:right="357"/>
      <w:jc w:val="center"/>
      <w:rPr>
        <w:rFonts w:hint="eastAsia"/>
        <w:b/>
        <w:kern w:val="0"/>
        <w:szCs w:val="21"/>
      </w:rPr>
    </w:pPr>
    <w:r>
      <w:rPr>
        <w:rFonts w:hint="eastAsia"/>
        <w:b/>
        <w:kern w:val="0"/>
        <w:szCs w:val="21"/>
        <w:lang w:eastAsia="zh-CN"/>
      </w:rPr>
      <w:t>陕西优正项目管理有限公司</w:t>
    </w:r>
    <w:r>
      <w:rPr>
        <w:b/>
        <w:kern w:val="0"/>
        <w:szCs w:val="21"/>
      </w:rPr>
      <w:t>Shaa</w:t>
    </w:r>
    <w:r>
      <w:rPr>
        <w:rFonts w:hint="eastAsia"/>
        <w:b/>
        <w:kern w:val="0"/>
        <w:szCs w:val="21"/>
        <w:lang w:val="en-US" w:eastAsia="zh-CN"/>
      </w:rPr>
      <w:t>n</w:t>
    </w:r>
    <w:r>
      <w:rPr>
        <w:b/>
        <w:kern w:val="0"/>
        <w:szCs w:val="21"/>
      </w:rPr>
      <w:t xml:space="preserve">xi </w:t>
    </w:r>
    <w:r>
      <w:rPr>
        <w:rFonts w:hint="eastAsia"/>
        <w:b/>
        <w:kern w:val="0"/>
        <w:szCs w:val="21"/>
      </w:rPr>
      <w:t xml:space="preserve"> </w:t>
    </w:r>
    <w:r>
      <w:rPr>
        <w:rFonts w:hint="eastAsia"/>
        <w:b/>
        <w:kern w:val="0"/>
        <w:szCs w:val="21"/>
        <w:lang w:eastAsia="zh-CN"/>
      </w:rPr>
      <w:t>YOZH  Project  Management</w:t>
    </w:r>
    <w:r>
      <w:rPr>
        <w:b/>
        <w:kern w:val="0"/>
        <w:szCs w:val="21"/>
      </w:rPr>
      <w:t xml:space="preserve">  Co., Ltd</w:t>
    </w:r>
  </w:p>
  <w:p w14:paraId="6319360E">
    <w:pPr>
      <w:pStyle w:val="14"/>
      <w:spacing w:line="240" w:lineRule="exact"/>
      <w:ind w:right="357"/>
      <w:jc w:val="center"/>
    </w:pPr>
    <w:r>
      <w:rPr>
        <w:rFonts w:hint="eastAsia"/>
        <w:b/>
        <w:kern w:val="0"/>
        <w:szCs w:val="21"/>
      </w:rPr>
      <w:t>地址：</w:t>
    </w:r>
    <w:r>
      <w:rPr>
        <w:rFonts w:hint="eastAsia"/>
        <w:b/>
        <w:kern w:val="0"/>
        <w:szCs w:val="21"/>
        <w:lang w:eastAsia="zh-CN"/>
      </w:rPr>
      <w:t>咸阳市秦都区人民中路新华大厦1508室</w:t>
    </w:r>
    <w:r>
      <w:rPr>
        <w:rFonts w:hint="eastAsia"/>
        <w:b/>
        <w:kern w:val="0"/>
        <w:szCs w:val="21"/>
      </w:rPr>
      <w:t xml:space="preserve">  电话：</w:t>
    </w:r>
    <w:r>
      <w:rPr>
        <w:rFonts w:hint="eastAsia"/>
        <w:b/>
        <w:kern w:val="0"/>
        <w:szCs w:val="21"/>
        <w:lang w:eastAsia="zh-CN"/>
      </w:rPr>
      <w:t>029-33284736</w:t>
    </w:r>
    <w:r>
      <w:rPr>
        <w:rFonts w:hint="eastAsia"/>
        <w:kern w:val="0"/>
        <w:szCs w:val="21"/>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3CF81">
    <w:pPr>
      <w:pStyle w:val="14"/>
      <w:framePr w:wrap="around" w:vAnchor="text" w:hAnchor="margin" w:xAlign="center" w:y="1"/>
      <w:rPr>
        <w:rStyle w:val="26"/>
      </w:rPr>
    </w:pPr>
    <w:r>
      <w:fldChar w:fldCharType="begin"/>
    </w:r>
    <w:r>
      <w:rPr>
        <w:rStyle w:val="26"/>
      </w:rPr>
      <w:instrText xml:space="preserve">PAGE  </w:instrText>
    </w:r>
    <w:r>
      <w:fldChar w:fldCharType="separate"/>
    </w:r>
    <w:r>
      <w:rPr>
        <w:rStyle w:val="26"/>
      </w:rPr>
      <w:t>4</w:t>
    </w:r>
    <w:r>
      <w:fldChar w:fldCharType="end"/>
    </w:r>
  </w:p>
  <w:p w14:paraId="39DFB000">
    <w:pPr>
      <w:pStyle w:val="14"/>
      <w:pBdr>
        <w:bottom w:val="single" w:color="auto" w:sz="6" w:space="1"/>
      </w:pBdr>
      <w:ind w:right="360"/>
      <w:rPr>
        <w:kern w:val="0"/>
        <w:szCs w:val="21"/>
      </w:rPr>
    </w:pPr>
  </w:p>
  <w:p w14:paraId="6C410474">
    <w:pPr>
      <w:pStyle w:val="14"/>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0C3994EE">
    <w:pPr>
      <w:pStyle w:val="14"/>
      <w:jc w:val="both"/>
    </w:pPr>
    <w:r>
      <w:rPr>
        <w:rFonts w:hint="eastAsia"/>
        <w:kern w:val="0"/>
        <w:szCs w:val="21"/>
      </w:rPr>
      <w:t>联系电话：029-88472386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6DE2E">
    <w:pPr>
      <w:pStyle w:val="14"/>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36AAABA4">
    <w:pPr>
      <w:pStyle w:val="14"/>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22EE4491">
    <w:pPr>
      <w:pStyle w:val="14"/>
      <w:spacing w:line="240" w:lineRule="exact"/>
      <w:ind w:right="357"/>
      <w:jc w:val="center"/>
    </w:pPr>
    <w:r>
      <w:rPr>
        <w:rFonts w:hint="eastAsia"/>
        <w:b/>
        <w:kern w:val="0"/>
        <w:szCs w:val="21"/>
      </w:rPr>
      <w:t>地址：咸阳市秦都区人民中路新华大厦1508室  电话：029-33284736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B1E04">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459F4">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58269">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8582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竞争性磋商文件</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4963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F25E1">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14885">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597DC">
    <w:pPr>
      <w:pStyle w:val="15"/>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0063A">
    <w:pPr>
      <w:pBdr>
        <w:bottom w:val="thinThickSmallGap" w:color="auto" w:sz="18" w:space="1"/>
      </w:pBdr>
      <w:tabs>
        <w:tab w:val="left" w:pos="416"/>
        <w:tab w:val="right" w:pos="9206"/>
      </w:tabs>
      <w:spacing w:line="240" w:lineRule="exact"/>
      <w:ind w:right="-21" w:rightChars="-10"/>
      <w:jc w:val="left"/>
    </w:pPr>
    <w:r>
      <w:rPr>
        <w:rFonts w:hint="eastAsia" w:ascii="宋体" w:hAnsi="宋体"/>
        <w:b/>
        <w:szCs w:val="21"/>
        <w:lang w:eastAsia="zh-CN"/>
      </w:rPr>
      <w:t>2026年大庄镇大东村、大西村、布王村集体经济建设项目</w:t>
    </w:r>
    <w:r>
      <w:rPr>
        <w:rFonts w:hint="eastAsia" w:ascii="宋体" w:hAnsi="宋体"/>
        <w:b/>
        <w:szCs w:val="21"/>
      </w:rPr>
      <w:t xml:space="preserve">          竞争性磋商文件</w:t>
    </w:r>
    <w:r>
      <w:rPr>
        <w:rFonts w:hint="eastAsia" w:ascii="宋体" w:hAnsi="宋体"/>
        <w:b/>
        <w:szCs w:val="21"/>
        <w:lang w:val="en-US" w:eastAsia="zh-CN"/>
      </w:rPr>
      <w:t xml:space="preserve">                                              </w:t>
    </w:r>
    <w:r>
      <w:rPr>
        <w:rFonts w:hint="eastAsia" w:ascii="宋体" w:hAnsi="宋体"/>
        <w:b/>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C18B55"/>
    <w:multiLevelType w:val="singleLevel"/>
    <w:tmpl w:val="F9C18B55"/>
    <w:lvl w:ilvl="0" w:tentative="0">
      <w:start w:val="1"/>
      <w:numFmt w:val="chineseCounting"/>
      <w:suff w:val="nothing"/>
      <w:lvlText w:val="%1、"/>
      <w:lvlJc w:val="left"/>
      <w:rPr>
        <w:rFonts w:hint="eastAsia"/>
      </w:rPr>
    </w:lvl>
  </w:abstractNum>
  <w:abstractNum w:abstractNumId="1">
    <w:nsid w:val="1E090170"/>
    <w:multiLevelType w:val="multilevel"/>
    <w:tmpl w:val="1E090170"/>
    <w:lvl w:ilvl="0" w:tentative="0">
      <w:start w:val="1"/>
      <w:numFmt w:val="chineseCountingThousand"/>
      <w:suff w:val="space"/>
      <w:lvlText w:val="第%1章"/>
      <w:lvlJc w:val="left"/>
      <w:pPr>
        <w:ind w:left="432" w:hanging="432"/>
      </w:pPr>
      <w:rPr>
        <w:rFonts w:hint="eastAsia"/>
      </w:rPr>
    </w:lvl>
    <w:lvl w:ilvl="1" w:tentative="0">
      <w:start w:val="1"/>
      <w:numFmt w:val="decimal"/>
      <w:suff w:val="space"/>
      <w:lvlText w:val="%2"/>
      <w:lvlJc w:val="left"/>
      <w:pPr>
        <w:ind w:left="576" w:hanging="576"/>
      </w:pPr>
      <w:rPr>
        <w:rFonts w:hint="eastAsia"/>
      </w:rPr>
    </w:lvl>
    <w:lvl w:ilvl="2" w:tentative="0">
      <w:start w:val="1"/>
      <w:numFmt w:val="decimal"/>
      <w:pStyle w:val="37"/>
      <w:suff w:val="space"/>
      <w:lvlText w:val="%2.%3"/>
      <w:lvlJc w:val="left"/>
      <w:pPr>
        <w:ind w:left="720" w:hanging="720"/>
      </w:pPr>
      <w:rPr>
        <w:rFonts w:hint="eastAsia"/>
      </w:rPr>
    </w:lvl>
    <w:lvl w:ilvl="3" w:tentative="0">
      <w:start w:val="1"/>
      <w:numFmt w:val="decimal"/>
      <w:suff w:val="space"/>
      <w:lvlText w:val="%2.%3.%4"/>
      <w:lvlJc w:val="left"/>
      <w:pPr>
        <w:ind w:left="864" w:hanging="864"/>
      </w:pPr>
      <w:rPr>
        <w:rFonts w:hint="eastAsia"/>
      </w:rPr>
    </w:lvl>
    <w:lvl w:ilvl="4" w:tentative="0">
      <w:start w:val="1"/>
      <w:numFmt w:val="decimal"/>
      <w:suff w:val="space"/>
      <w:lvlText w:val="%2.%3.%4.%5"/>
      <w:lvlJc w:val="left"/>
      <w:pPr>
        <w:ind w:left="1008" w:hanging="1008"/>
      </w:pPr>
      <w:rPr>
        <w:rFonts w:hint="eastAsia"/>
      </w:rPr>
    </w:lvl>
    <w:lvl w:ilvl="5" w:tentative="0">
      <w:start w:val="1"/>
      <w:numFmt w:val="decimal"/>
      <w:suff w:val="space"/>
      <w:lvlText w:val="%2.%3.%4.%5.%6"/>
      <w:lvlJc w:val="left"/>
      <w:pPr>
        <w:ind w:left="1152" w:hanging="1152"/>
      </w:pPr>
      <w:rPr>
        <w:rFonts w:hint="eastAsia"/>
      </w:rPr>
    </w:lvl>
    <w:lvl w:ilvl="6" w:tentative="0">
      <w:start w:val="1"/>
      <w:numFmt w:val="decimal"/>
      <w:suff w:val="space"/>
      <w:lvlText w:val="%2.%3.%4.%5.%6.%7"/>
      <w:lvlJc w:val="left"/>
      <w:pPr>
        <w:ind w:left="1296" w:hanging="1296"/>
      </w:pPr>
      <w:rPr>
        <w:rFonts w:hint="eastAsia"/>
      </w:rPr>
    </w:lvl>
    <w:lvl w:ilvl="7" w:tentative="0">
      <w:start w:val="1"/>
      <w:numFmt w:val="decimal"/>
      <w:suff w:val="space"/>
      <w:lvlText w:val="%2.%3.%4.%5.%6.%7.%8"/>
      <w:lvlJc w:val="left"/>
      <w:pPr>
        <w:ind w:left="1440" w:hanging="1440"/>
      </w:pPr>
      <w:rPr>
        <w:rFonts w:hint="eastAsia"/>
      </w:rPr>
    </w:lvl>
    <w:lvl w:ilvl="8" w:tentative="0">
      <w:start w:val="1"/>
      <w:numFmt w:val="decimal"/>
      <w:suff w:val="space"/>
      <w:lvlText w:val="%2.%3.%4.%5.%6.%7.%8.%9"/>
      <w:lvlJc w:val="left"/>
      <w:pPr>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Y2U3MGY0ZmY4NmQ5ZjFhZjQ4MjVmZWNmY2YxMTQifQ=="/>
  </w:docVars>
  <w:rsids>
    <w:rsidRoot w:val="59744013"/>
    <w:rsid w:val="00012F7A"/>
    <w:rsid w:val="001525B6"/>
    <w:rsid w:val="00231B5B"/>
    <w:rsid w:val="002C06A4"/>
    <w:rsid w:val="008201C6"/>
    <w:rsid w:val="008C5F60"/>
    <w:rsid w:val="008C7414"/>
    <w:rsid w:val="00A3429A"/>
    <w:rsid w:val="014021FF"/>
    <w:rsid w:val="017D5CD0"/>
    <w:rsid w:val="01C664EF"/>
    <w:rsid w:val="01D5675C"/>
    <w:rsid w:val="02332F74"/>
    <w:rsid w:val="02391D90"/>
    <w:rsid w:val="02DC59B0"/>
    <w:rsid w:val="02EA4363"/>
    <w:rsid w:val="03103BAE"/>
    <w:rsid w:val="03177DA2"/>
    <w:rsid w:val="033B78B3"/>
    <w:rsid w:val="0386200F"/>
    <w:rsid w:val="03B66504"/>
    <w:rsid w:val="03F5700C"/>
    <w:rsid w:val="04162569"/>
    <w:rsid w:val="043C6354"/>
    <w:rsid w:val="04467BEA"/>
    <w:rsid w:val="04666CAC"/>
    <w:rsid w:val="046B692F"/>
    <w:rsid w:val="046E3BBF"/>
    <w:rsid w:val="04792C91"/>
    <w:rsid w:val="048302AB"/>
    <w:rsid w:val="04BD38C2"/>
    <w:rsid w:val="053B274F"/>
    <w:rsid w:val="059C373C"/>
    <w:rsid w:val="05C84C14"/>
    <w:rsid w:val="05EE314E"/>
    <w:rsid w:val="060B6FA9"/>
    <w:rsid w:val="06345BBB"/>
    <w:rsid w:val="06420522"/>
    <w:rsid w:val="066940D3"/>
    <w:rsid w:val="06CB5A95"/>
    <w:rsid w:val="06E33EC7"/>
    <w:rsid w:val="06F00351"/>
    <w:rsid w:val="074C2CB3"/>
    <w:rsid w:val="075C69CC"/>
    <w:rsid w:val="077147B1"/>
    <w:rsid w:val="083976FA"/>
    <w:rsid w:val="084560A8"/>
    <w:rsid w:val="08664D49"/>
    <w:rsid w:val="08904039"/>
    <w:rsid w:val="09135DCA"/>
    <w:rsid w:val="09710286"/>
    <w:rsid w:val="098450EC"/>
    <w:rsid w:val="09B94BC9"/>
    <w:rsid w:val="09BC63DC"/>
    <w:rsid w:val="09C74441"/>
    <w:rsid w:val="09CA2D09"/>
    <w:rsid w:val="09E04B47"/>
    <w:rsid w:val="0A314FFA"/>
    <w:rsid w:val="0A48220A"/>
    <w:rsid w:val="0A5C7676"/>
    <w:rsid w:val="0A735578"/>
    <w:rsid w:val="0A8B37F3"/>
    <w:rsid w:val="0ADB6B62"/>
    <w:rsid w:val="0B631455"/>
    <w:rsid w:val="0B8429AC"/>
    <w:rsid w:val="0BCA1543"/>
    <w:rsid w:val="0BEC538A"/>
    <w:rsid w:val="0C421CC7"/>
    <w:rsid w:val="0C462A3C"/>
    <w:rsid w:val="0C7E4044"/>
    <w:rsid w:val="0C7E718C"/>
    <w:rsid w:val="0D170517"/>
    <w:rsid w:val="0D336D28"/>
    <w:rsid w:val="0D35123B"/>
    <w:rsid w:val="0D502F38"/>
    <w:rsid w:val="0DB17D41"/>
    <w:rsid w:val="0DD17656"/>
    <w:rsid w:val="0E576B35"/>
    <w:rsid w:val="0E7134B6"/>
    <w:rsid w:val="0E8A2ED7"/>
    <w:rsid w:val="0EB652E9"/>
    <w:rsid w:val="0ED76ECF"/>
    <w:rsid w:val="0F2A2DC5"/>
    <w:rsid w:val="0F58030C"/>
    <w:rsid w:val="0F884D12"/>
    <w:rsid w:val="0FA7267C"/>
    <w:rsid w:val="10056609"/>
    <w:rsid w:val="102D3FF1"/>
    <w:rsid w:val="108F1ABB"/>
    <w:rsid w:val="10D44D47"/>
    <w:rsid w:val="10FA592E"/>
    <w:rsid w:val="115314C0"/>
    <w:rsid w:val="117C5B13"/>
    <w:rsid w:val="11852469"/>
    <w:rsid w:val="11C12C43"/>
    <w:rsid w:val="12B07E32"/>
    <w:rsid w:val="13143C4F"/>
    <w:rsid w:val="13250FB0"/>
    <w:rsid w:val="133665D9"/>
    <w:rsid w:val="13426006"/>
    <w:rsid w:val="137D5290"/>
    <w:rsid w:val="13D03611"/>
    <w:rsid w:val="1424395D"/>
    <w:rsid w:val="14594666"/>
    <w:rsid w:val="15287943"/>
    <w:rsid w:val="1538749C"/>
    <w:rsid w:val="15464809"/>
    <w:rsid w:val="155669EC"/>
    <w:rsid w:val="15584F70"/>
    <w:rsid w:val="15A35944"/>
    <w:rsid w:val="15CE1DD3"/>
    <w:rsid w:val="15DA2833"/>
    <w:rsid w:val="15DB0A63"/>
    <w:rsid w:val="1637606D"/>
    <w:rsid w:val="163A6938"/>
    <w:rsid w:val="16491EEA"/>
    <w:rsid w:val="169B0554"/>
    <w:rsid w:val="175979F0"/>
    <w:rsid w:val="17D35D21"/>
    <w:rsid w:val="18372678"/>
    <w:rsid w:val="183C16C8"/>
    <w:rsid w:val="18A85016"/>
    <w:rsid w:val="18AD10E5"/>
    <w:rsid w:val="194A6D83"/>
    <w:rsid w:val="194F78B9"/>
    <w:rsid w:val="1996237E"/>
    <w:rsid w:val="19DB4ABE"/>
    <w:rsid w:val="19E72059"/>
    <w:rsid w:val="1A717BD4"/>
    <w:rsid w:val="1A7E2B15"/>
    <w:rsid w:val="1A954ECE"/>
    <w:rsid w:val="1B48750D"/>
    <w:rsid w:val="1B653D2F"/>
    <w:rsid w:val="1B7E0DBC"/>
    <w:rsid w:val="1B8A62D5"/>
    <w:rsid w:val="1B9E0192"/>
    <w:rsid w:val="1BA92FE3"/>
    <w:rsid w:val="1BB838E6"/>
    <w:rsid w:val="1C0E2269"/>
    <w:rsid w:val="1C2E550C"/>
    <w:rsid w:val="1C493CE1"/>
    <w:rsid w:val="1CCB6E26"/>
    <w:rsid w:val="1CFE1B57"/>
    <w:rsid w:val="1D270A2C"/>
    <w:rsid w:val="1D9409BC"/>
    <w:rsid w:val="1DAA2EFB"/>
    <w:rsid w:val="1DAE0F94"/>
    <w:rsid w:val="1DAF59D9"/>
    <w:rsid w:val="1DB26E61"/>
    <w:rsid w:val="1E423F1D"/>
    <w:rsid w:val="1E4737D4"/>
    <w:rsid w:val="1E481C5F"/>
    <w:rsid w:val="1E6935FB"/>
    <w:rsid w:val="1E7410D8"/>
    <w:rsid w:val="1E976E10"/>
    <w:rsid w:val="1EC73863"/>
    <w:rsid w:val="1EFB31FF"/>
    <w:rsid w:val="1F126007"/>
    <w:rsid w:val="1F2F398C"/>
    <w:rsid w:val="1F3E08D9"/>
    <w:rsid w:val="1FA96EE8"/>
    <w:rsid w:val="1FC826D4"/>
    <w:rsid w:val="1FE43C10"/>
    <w:rsid w:val="20085831"/>
    <w:rsid w:val="20454830"/>
    <w:rsid w:val="204617B2"/>
    <w:rsid w:val="207258E4"/>
    <w:rsid w:val="208C3627"/>
    <w:rsid w:val="20970180"/>
    <w:rsid w:val="20F95342"/>
    <w:rsid w:val="21384E1D"/>
    <w:rsid w:val="214221A0"/>
    <w:rsid w:val="21580061"/>
    <w:rsid w:val="21831372"/>
    <w:rsid w:val="218D548A"/>
    <w:rsid w:val="21B05C47"/>
    <w:rsid w:val="22585D92"/>
    <w:rsid w:val="225D3BF3"/>
    <w:rsid w:val="226809CE"/>
    <w:rsid w:val="22745AB0"/>
    <w:rsid w:val="22833F45"/>
    <w:rsid w:val="22F06E95"/>
    <w:rsid w:val="233B63E4"/>
    <w:rsid w:val="23690EFA"/>
    <w:rsid w:val="237C10C0"/>
    <w:rsid w:val="23D163DE"/>
    <w:rsid w:val="23D50208"/>
    <w:rsid w:val="249C6AA1"/>
    <w:rsid w:val="24C30629"/>
    <w:rsid w:val="24E46337"/>
    <w:rsid w:val="25162E4E"/>
    <w:rsid w:val="251F61A7"/>
    <w:rsid w:val="2536630A"/>
    <w:rsid w:val="254A6E02"/>
    <w:rsid w:val="2557083A"/>
    <w:rsid w:val="25840839"/>
    <w:rsid w:val="258E75EF"/>
    <w:rsid w:val="25C302F7"/>
    <w:rsid w:val="25F30CBD"/>
    <w:rsid w:val="26025181"/>
    <w:rsid w:val="26412A64"/>
    <w:rsid w:val="26824C7A"/>
    <w:rsid w:val="26853745"/>
    <w:rsid w:val="26E55BCF"/>
    <w:rsid w:val="2726292C"/>
    <w:rsid w:val="27AB3411"/>
    <w:rsid w:val="27BA6BDA"/>
    <w:rsid w:val="27BF7F28"/>
    <w:rsid w:val="281844C7"/>
    <w:rsid w:val="2835234F"/>
    <w:rsid w:val="284C6509"/>
    <w:rsid w:val="288353AD"/>
    <w:rsid w:val="28DA3C87"/>
    <w:rsid w:val="29333523"/>
    <w:rsid w:val="294E49AE"/>
    <w:rsid w:val="29D945FA"/>
    <w:rsid w:val="29D953B7"/>
    <w:rsid w:val="29ED5B0B"/>
    <w:rsid w:val="2A223F7D"/>
    <w:rsid w:val="2A554419"/>
    <w:rsid w:val="2A7168CE"/>
    <w:rsid w:val="2A737539"/>
    <w:rsid w:val="2AB71773"/>
    <w:rsid w:val="2AF47FC3"/>
    <w:rsid w:val="2B593A95"/>
    <w:rsid w:val="2B873B84"/>
    <w:rsid w:val="2B895AF7"/>
    <w:rsid w:val="2B9810D6"/>
    <w:rsid w:val="2BFE65F4"/>
    <w:rsid w:val="2C7B08E4"/>
    <w:rsid w:val="2CF772CF"/>
    <w:rsid w:val="2D133D7F"/>
    <w:rsid w:val="2D19172E"/>
    <w:rsid w:val="2D297862"/>
    <w:rsid w:val="2D512810"/>
    <w:rsid w:val="2D6852D9"/>
    <w:rsid w:val="2DDC10C5"/>
    <w:rsid w:val="2F096E91"/>
    <w:rsid w:val="2F6C1E88"/>
    <w:rsid w:val="2FB40A42"/>
    <w:rsid w:val="2FC73280"/>
    <w:rsid w:val="2FCF522B"/>
    <w:rsid w:val="30185CCC"/>
    <w:rsid w:val="301B6385"/>
    <w:rsid w:val="30311084"/>
    <w:rsid w:val="30F2476F"/>
    <w:rsid w:val="30FE2EAC"/>
    <w:rsid w:val="312B2CC1"/>
    <w:rsid w:val="314B0324"/>
    <w:rsid w:val="315439A2"/>
    <w:rsid w:val="315C1424"/>
    <w:rsid w:val="31607015"/>
    <w:rsid w:val="32195370"/>
    <w:rsid w:val="32263868"/>
    <w:rsid w:val="3257640C"/>
    <w:rsid w:val="329A267C"/>
    <w:rsid w:val="32DD07DC"/>
    <w:rsid w:val="3304377F"/>
    <w:rsid w:val="33386686"/>
    <w:rsid w:val="33533981"/>
    <w:rsid w:val="33F173AF"/>
    <w:rsid w:val="34283B7B"/>
    <w:rsid w:val="34323F9A"/>
    <w:rsid w:val="348B4C3D"/>
    <w:rsid w:val="34B23C40"/>
    <w:rsid w:val="35123632"/>
    <w:rsid w:val="3538471B"/>
    <w:rsid w:val="35F40F8A"/>
    <w:rsid w:val="36054F45"/>
    <w:rsid w:val="362E4652"/>
    <w:rsid w:val="365544BB"/>
    <w:rsid w:val="367C4B66"/>
    <w:rsid w:val="36B233B3"/>
    <w:rsid w:val="36B60D3C"/>
    <w:rsid w:val="3729246B"/>
    <w:rsid w:val="3767221E"/>
    <w:rsid w:val="376F0C8B"/>
    <w:rsid w:val="38444A32"/>
    <w:rsid w:val="38517C12"/>
    <w:rsid w:val="38520166"/>
    <w:rsid w:val="389918B8"/>
    <w:rsid w:val="38CB59A6"/>
    <w:rsid w:val="38D13246"/>
    <w:rsid w:val="38DD5D05"/>
    <w:rsid w:val="38E64544"/>
    <w:rsid w:val="392E5A3C"/>
    <w:rsid w:val="393671C3"/>
    <w:rsid w:val="395E69D4"/>
    <w:rsid w:val="396C16B7"/>
    <w:rsid w:val="399E71E0"/>
    <w:rsid w:val="39BC3B6C"/>
    <w:rsid w:val="39C74A82"/>
    <w:rsid w:val="3A7D6C2A"/>
    <w:rsid w:val="3A89480A"/>
    <w:rsid w:val="3AA77902"/>
    <w:rsid w:val="3AB36D44"/>
    <w:rsid w:val="3AB818D1"/>
    <w:rsid w:val="3ABB0191"/>
    <w:rsid w:val="3AC87A86"/>
    <w:rsid w:val="3AD33476"/>
    <w:rsid w:val="3B4C1E76"/>
    <w:rsid w:val="3B783AC3"/>
    <w:rsid w:val="3BD916CB"/>
    <w:rsid w:val="3BF75330"/>
    <w:rsid w:val="3C6A0477"/>
    <w:rsid w:val="3C9865EC"/>
    <w:rsid w:val="3D272932"/>
    <w:rsid w:val="3D3664DD"/>
    <w:rsid w:val="3D3812E9"/>
    <w:rsid w:val="3DA00EAE"/>
    <w:rsid w:val="3DAC7926"/>
    <w:rsid w:val="3DD34016"/>
    <w:rsid w:val="3DFA7484"/>
    <w:rsid w:val="3E215A7B"/>
    <w:rsid w:val="3E49179F"/>
    <w:rsid w:val="3E7B5E43"/>
    <w:rsid w:val="3F55678C"/>
    <w:rsid w:val="3F6D5DD8"/>
    <w:rsid w:val="3FD36098"/>
    <w:rsid w:val="3FD6525C"/>
    <w:rsid w:val="3FE50536"/>
    <w:rsid w:val="40291FEB"/>
    <w:rsid w:val="404D769D"/>
    <w:rsid w:val="40786313"/>
    <w:rsid w:val="40B44DD5"/>
    <w:rsid w:val="40C67CA9"/>
    <w:rsid w:val="413F4150"/>
    <w:rsid w:val="41B31F77"/>
    <w:rsid w:val="41BB6175"/>
    <w:rsid w:val="41D207F7"/>
    <w:rsid w:val="41F54E7E"/>
    <w:rsid w:val="42196050"/>
    <w:rsid w:val="421D37F9"/>
    <w:rsid w:val="42972733"/>
    <w:rsid w:val="42C51E7E"/>
    <w:rsid w:val="430420E0"/>
    <w:rsid w:val="43046BE3"/>
    <w:rsid w:val="43F1416C"/>
    <w:rsid w:val="43F93057"/>
    <w:rsid w:val="43FA76C0"/>
    <w:rsid w:val="4419566F"/>
    <w:rsid w:val="443F63D9"/>
    <w:rsid w:val="45476BA1"/>
    <w:rsid w:val="45505AB1"/>
    <w:rsid w:val="4581787C"/>
    <w:rsid w:val="458539AC"/>
    <w:rsid w:val="45A21B82"/>
    <w:rsid w:val="45D062E4"/>
    <w:rsid w:val="45F2762F"/>
    <w:rsid w:val="46080C83"/>
    <w:rsid w:val="46884AC8"/>
    <w:rsid w:val="46DA1AD6"/>
    <w:rsid w:val="470067F3"/>
    <w:rsid w:val="47347547"/>
    <w:rsid w:val="473A4C06"/>
    <w:rsid w:val="475F2682"/>
    <w:rsid w:val="47EF3A41"/>
    <w:rsid w:val="484A2C8B"/>
    <w:rsid w:val="486637E6"/>
    <w:rsid w:val="48DD0799"/>
    <w:rsid w:val="48FF4E01"/>
    <w:rsid w:val="49262DB0"/>
    <w:rsid w:val="49353AF4"/>
    <w:rsid w:val="49594145"/>
    <w:rsid w:val="4998569A"/>
    <w:rsid w:val="49990ADD"/>
    <w:rsid w:val="4A194400"/>
    <w:rsid w:val="4A4D25BF"/>
    <w:rsid w:val="4A5251D9"/>
    <w:rsid w:val="4AC7092A"/>
    <w:rsid w:val="4B0A7CB9"/>
    <w:rsid w:val="4B505A86"/>
    <w:rsid w:val="4B582341"/>
    <w:rsid w:val="4BF519DD"/>
    <w:rsid w:val="4C070A98"/>
    <w:rsid w:val="4C59131E"/>
    <w:rsid w:val="4C702411"/>
    <w:rsid w:val="4C863FF4"/>
    <w:rsid w:val="4CA66B82"/>
    <w:rsid w:val="4CC22802"/>
    <w:rsid w:val="4CE335BA"/>
    <w:rsid w:val="4D385B19"/>
    <w:rsid w:val="4D5D7DD5"/>
    <w:rsid w:val="4DEB2C5E"/>
    <w:rsid w:val="4E3A346E"/>
    <w:rsid w:val="4E434405"/>
    <w:rsid w:val="4EDC6E53"/>
    <w:rsid w:val="4F680150"/>
    <w:rsid w:val="50B500CA"/>
    <w:rsid w:val="50D61560"/>
    <w:rsid w:val="513E0EB3"/>
    <w:rsid w:val="5265763C"/>
    <w:rsid w:val="52674CEC"/>
    <w:rsid w:val="52A450E3"/>
    <w:rsid w:val="52A64F62"/>
    <w:rsid w:val="52AD50FC"/>
    <w:rsid w:val="52CC46D6"/>
    <w:rsid w:val="53400F13"/>
    <w:rsid w:val="53837613"/>
    <w:rsid w:val="53CF2D03"/>
    <w:rsid w:val="5408144B"/>
    <w:rsid w:val="544E2479"/>
    <w:rsid w:val="554750CA"/>
    <w:rsid w:val="558E5019"/>
    <w:rsid w:val="55942E6E"/>
    <w:rsid w:val="55ED1470"/>
    <w:rsid w:val="55F37482"/>
    <w:rsid w:val="560B7B26"/>
    <w:rsid w:val="56222B52"/>
    <w:rsid w:val="564936B4"/>
    <w:rsid w:val="57301521"/>
    <w:rsid w:val="573718FE"/>
    <w:rsid w:val="574B681C"/>
    <w:rsid w:val="577F30F6"/>
    <w:rsid w:val="5853604F"/>
    <w:rsid w:val="585B7E33"/>
    <w:rsid w:val="58D5034F"/>
    <w:rsid w:val="59515728"/>
    <w:rsid w:val="59744013"/>
    <w:rsid w:val="59B81BCF"/>
    <w:rsid w:val="59CF5DD5"/>
    <w:rsid w:val="5A376592"/>
    <w:rsid w:val="5A47527D"/>
    <w:rsid w:val="5B505CE1"/>
    <w:rsid w:val="5B751021"/>
    <w:rsid w:val="5BED4129"/>
    <w:rsid w:val="5C4946BC"/>
    <w:rsid w:val="5CE83845"/>
    <w:rsid w:val="5D3B1CEA"/>
    <w:rsid w:val="5D6965E7"/>
    <w:rsid w:val="5D721F9A"/>
    <w:rsid w:val="5DA422EC"/>
    <w:rsid w:val="5E344E82"/>
    <w:rsid w:val="5E6E4E69"/>
    <w:rsid w:val="5E802B0B"/>
    <w:rsid w:val="5E9A289E"/>
    <w:rsid w:val="5F291E6A"/>
    <w:rsid w:val="5FB2252C"/>
    <w:rsid w:val="5FDA0B97"/>
    <w:rsid w:val="601A0A51"/>
    <w:rsid w:val="60206354"/>
    <w:rsid w:val="607B6FD9"/>
    <w:rsid w:val="608672F7"/>
    <w:rsid w:val="60B1732A"/>
    <w:rsid w:val="60B926A8"/>
    <w:rsid w:val="60FD4FB0"/>
    <w:rsid w:val="611759BC"/>
    <w:rsid w:val="61455626"/>
    <w:rsid w:val="61523CA7"/>
    <w:rsid w:val="622A675E"/>
    <w:rsid w:val="6235708F"/>
    <w:rsid w:val="62770C9F"/>
    <w:rsid w:val="629F0EE6"/>
    <w:rsid w:val="63620F5A"/>
    <w:rsid w:val="63FA776A"/>
    <w:rsid w:val="64290F2C"/>
    <w:rsid w:val="64433C05"/>
    <w:rsid w:val="65110961"/>
    <w:rsid w:val="65206DF6"/>
    <w:rsid w:val="652167FA"/>
    <w:rsid w:val="654A03EF"/>
    <w:rsid w:val="65642D7E"/>
    <w:rsid w:val="657045EE"/>
    <w:rsid w:val="658F4122"/>
    <w:rsid w:val="65B75B1D"/>
    <w:rsid w:val="65BF778A"/>
    <w:rsid w:val="65F14168"/>
    <w:rsid w:val="6631751B"/>
    <w:rsid w:val="66393280"/>
    <w:rsid w:val="664F7894"/>
    <w:rsid w:val="6674153C"/>
    <w:rsid w:val="667B6DE0"/>
    <w:rsid w:val="66B5181B"/>
    <w:rsid w:val="66B90807"/>
    <w:rsid w:val="66E71307"/>
    <w:rsid w:val="66E87AB8"/>
    <w:rsid w:val="676002E5"/>
    <w:rsid w:val="67A07535"/>
    <w:rsid w:val="67B820EB"/>
    <w:rsid w:val="68006BB1"/>
    <w:rsid w:val="68246BFD"/>
    <w:rsid w:val="683629F3"/>
    <w:rsid w:val="686806A5"/>
    <w:rsid w:val="6899745D"/>
    <w:rsid w:val="689C0E18"/>
    <w:rsid w:val="69210726"/>
    <w:rsid w:val="69410F5B"/>
    <w:rsid w:val="69750D65"/>
    <w:rsid w:val="69B760D8"/>
    <w:rsid w:val="69CD4C83"/>
    <w:rsid w:val="69D97BBF"/>
    <w:rsid w:val="69E4216D"/>
    <w:rsid w:val="6A3B3158"/>
    <w:rsid w:val="6A5169D6"/>
    <w:rsid w:val="6A704449"/>
    <w:rsid w:val="6A894859"/>
    <w:rsid w:val="6A9A4F55"/>
    <w:rsid w:val="6B3453A9"/>
    <w:rsid w:val="6B785EAD"/>
    <w:rsid w:val="6B82544F"/>
    <w:rsid w:val="6B9936F4"/>
    <w:rsid w:val="6B9E312D"/>
    <w:rsid w:val="6BBF2CB3"/>
    <w:rsid w:val="6C2440E9"/>
    <w:rsid w:val="6C5268E5"/>
    <w:rsid w:val="6C8E0AE9"/>
    <w:rsid w:val="6CA67E59"/>
    <w:rsid w:val="6CBD6780"/>
    <w:rsid w:val="6D045F6E"/>
    <w:rsid w:val="6D891FA5"/>
    <w:rsid w:val="6DA3777B"/>
    <w:rsid w:val="6DE1645F"/>
    <w:rsid w:val="6E005A16"/>
    <w:rsid w:val="6E2A7F73"/>
    <w:rsid w:val="6E331A32"/>
    <w:rsid w:val="6E881C94"/>
    <w:rsid w:val="6EA42775"/>
    <w:rsid w:val="6EC82EAB"/>
    <w:rsid w:val="6EDD49A4"/>
    <w:rsid w:val="6EE14F30"/>
    <w:rsid w:val="6F5F27C4"/>
    <w:rsid w:val="6F6237CB"/>
    <w:rsid w:val="6FC4454B"/>
    <w:rsid w:val="6FD67341"/>
    <w:rsid w:val="6FF32445"/>
    <w:rsid w:val="70601E5F"/>
    <w:rsid w:val="70A7640E"/>
    <w:rsid w:val="70D57200"/>
    <w:rsid w:val="70E26D95"/>
    <w:rsid w:val="70EF0F9D"/>
    <w:rsid w:val="7137174F"/>
    <w:rsid w:val="715F21AA"/>
    <w:rsid w:val="716E449A"/>
    <w:rsid w:val="71CD298B"/>
    <w:rsid w:val="727535CD"/>
    <w:rsid w:val="72780E8D"/>
    <w:rsid w:val="729442CE"/>
    <w:rsid w:val="72CC754C"/>
    <w:rsid w:val="72EE6522"/>
    <w:rsid w:val="73015CC9"/>
    <w:rsid w:val="731E2BC7"/>
    <w:rsid w:val="73397AFA"/>
    <w:rsid w:val="733D6697"/>
    <w:rsid w:val="735E1215"/>
    <w:rsid w:val="74324450"/>
    <w:rsid w:val="748D2B05"/>
    <w:rsid w:val="74A215D5"/>
    <w:rsid w:val="75015B7F"/>
    <w:rsid w:val="751C6422"/>
    <w:rsid w:val="75303AAA"/>
    <w:rsid w:val="75373573"/>
    <w:rsid w:val="753D428C"/>
    <w:rsid w:val="75664820"/>
    <w:rsid w:val="758846D4"/>
    <w:rsid w:val="758F4416"/>
    <w:rsid w:val="75A04A75"/>
    <w:rsid w:val="76032820"/>
    <w:rsid w:val="76464DAE"/>
    <w:rsid w:val="764C7A4B"/>
    <w:rsid w:val="7662101C"/>
    <w:rsid w:val="76684B49"/>
    <w:rsid w:val="769076F2"/>
    <w:rsid w:val="76EB7F54"/>
    <w:rsid w:val="771A29C0"/>
    <w:rsid w:val="777C4360"/>
    <w:rsid w:val="77957490"/>
    <w:rsid w:val="77BB3E94"/>
    <w:rsid w:val="7858261A"/>
    <w:rsid w:val="786F5D7A"/>
    <w:rsid w:val="78A70F68"/>
    <w:rsid w:val="78BB2C66"/>
    <w:rsid w:val="78BB602D"/>
    <w:rsid w:val="79390690"/>
    <w:rsid w:val="793E7F05"/>
    <w:rsid w:val="798D0B47"/>
    <w:rsid w:val="798D106E"/>
    <w:rsid w:val="79E60647"/>
    <w:rsid w:val="7A3A6920"/>
    <w:rsid w:val="7A7F0F08"/>
    <w:rsid w:val="7AA30A4D"/>
    <w:rsid w:val="7AD1548B"/>
    <w:rsid w:val="7AD65B35"/>
    <w:rsid w:val="7AE33DC7"/>
    <w:rsid w:val="7AF61C21"/>
    <w:rsid w:val="7B452CBB"/>
    <w:rsid w:val="7BDF310F"/>
    <w:rsid w:val="7BE44D35"/>
    <w:rsid w:val="7C256CF4"/>
    <w:rsid w:val="7C332982"/>
    <w:rsid w:val="7C7729DA"/>
    <w:rsid w:val="7C922C5C"/>
    <w:rsid w:val="7CC869E7"/>
    <w:rsid w:val="7D357821"/>
    <w:rsid w:val="7D3A315F"/>
    <w:rsid w:val="7D3E79C1"/>
    <w:rsid w:val="7D6B1540"/>
    <w:rsid w:val="7D7825F0"/>
    <w:rsid w:val="7D92707F"/>
    <w:rsid w:val="7DF53624"/>
    <w:rsid w:val="7DF82266"/>
    <w:rsid w:val="7E1F3C97"/>
    <w:rsid w:val="7E884F5A"/>
    <w:rsid w:val="7EB40DB1"/>
    <w:rsid w:val="7ECF4E82"/>
    <w:rsid w:val="7F621CA1"/>
    <w:rsid w:val="7F627EAB"/>
    <w:rsid w:val="7F8B7AF3"/>
    <w:rsid w:val="7F8D2EF9"/>
    <w:rsid w:val="7F8D608D"/>
    <w:rsid w:val="7FEEDB09"/>
    <w:rsid w:val="7FF21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32"/>
      <w:szCs w:val="20"/>
    </w:rPr>
  </w:style>
  <w:style w:type="paragraph" w:styleId="4">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paragraph" w:styleId="5">
    <w:name w:val="heading 3"/>
    <w:basedOn w:val="1"/>
    <w:next w:val="1"/>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8"/>
    <w:qFormat/>
    <w:uiPriority w:val="0"/>
    <w:pPr>
      <w:keepNext/>
      <w:keepLines/>
      <w:spacing w:before="240" w:after="64" w:line="316" w:lineRule="auto"/>
      <w:outlineLvl w:val="5"/>
    </w:pPr>
    <w:rPr>
      <w:rFonts w:ascii="Arial" w:hAnsi="Arial" w:eastAsia="黑体"/>
      <w:b/>
      <w:sz w:val="24"/>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8">
    <w:name w:val="Normal Indent"/>
    <w:basedOn w:val="1"/>
    <w:qFormat/>
    <w:uiPriority w:val="0"/>
    <w:pPr>
      <w:ind w:firstLine="420"/>
    </w:pPr>
    <w:rPr>
      <w:szCs w:val="20"/>
    </w:rPr>
  </w:style>
  <w:style w:type="paragraph" w:styleId="9">
    <w:name w:val="annotation text"/>
    <w:basedOn w:val="1"/>
    <w:qFormat/>
    <w:uiPriority w:val="0"/>
    <w:pPr>
      <w:jc w:val="left"/>
    </w:pPr>
  </w:style>
  <w:style w:type="paragraph" w:styleId="10">
    <w:name w:val="Body Text 3"/>
    <w:basedOn w:val="1"/>
    <w:unhideWhenUsed/>
    <w:qFormat/>
    <w:uiPriority w:val="99"/>
    <w:pPr>
      <w:spacing w:after="120"/>
    </w:pPr>
    <w:rPr>
      <w:rFonts w:ascii="Cambria" w:hAnsi="Cambria" w:eastAsia="宋体"/>
      <w:sz w:val="16"/>
      <w:szCs w:val="16"/>
    </w:rPr>
  </w:style>
  <w:style w:type="paragraph" w:styleId="11">
    <w:name w:val="Body Text Indent"/>
    <w:basedOn w:val="1"/>
    <w:qFormat/>
    <w:uiPriority w:val="0"/>
    <w:pPr>
      <w:ind w:firstLine="630"/>
    </w:pPr>
    <w:rPr>
      <w:sz w:val="32"/>
      <w:szCs w:val="20"/>
    </w:rPr>
  </w:style>
  <w:style w:type="paragraph" w:styleId="12">
    <w:name w:val="Plain Text"/>
    <w:basedOn w:val="1"/>
    <w:qFormat/>
    <w:uiPriority w:val="0"/>
    <w:rPr>
      <w:rFonts w:ascii="宋体" w:hAnsi="Courier New" w:cs="Courier New"/>
      <w:szCs w:val="21"/>
    </w:rPr>
  </w:style>
  <w:style w:type="paragraph" w:styleId="13">
    <w:name w:val="Body Text Indent 2"/>
    <w:basedOn w:val="1"/>
    <w:qFormat/>
    <w:uiPriority w:val="0"/>
    <w:pPr>
      <w:ind w:firstLine="630"/>
    </w:pPr>
    <w:rPr>
      <w:sz w:val="32"/>
      <w:szCs w:val="20"/>
    </w:rPr>
  </w:style>
  <w:style w:type="paragraph" w:styleId="14">
    <w:name w:val="footer"/>
    <w:basedOn w:val="1"/>
    <w:qFormat/>
    <w:uiPriority w:val="0"/>
    <w:pPr>
      <w:tabs>
        <w:tab w:val="center" w:pos="4153"/>
        <w:tab w:val="right" w:pos="8306"/>
      </w:tabs>
      <w:snapToGrid w:val="0"/>
      <w:jc w:val="left"/>
    </w:pPr>
    <w:rPr>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6">
    <w:name w:val="toc 1"/>
    <w:basedOn w:val="1"/>
    <w:next w:val="1"/>
    <w:qFormat/>
    <w:uiPriority w:val="39"/>
  </w:style>
  <w:style w:type="paragraph" w:styleId="17">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8">
    <w:name w:val="toc 2"/>
    <w:basedOn w:val="1"/>
    <w:next w:val="1"/>
    <w:qFormat/>
    <w:uiPriority w:val="39"/>
    <w:pPr>
      <w:ind w:left="420" w:leftChars="200"/>
    </w:pPr>
  </w:style>
  <w:style w:type="paragraph" w:styleId="19">
    <w:name w:val="Body Text 2"/>
    <w:basedOn w:val="1"/>
    <w:qFormat/>
    <w:uiPriority w:val="0"/>
    <w:pPr>
      <w:spacing w:after="120" w:line="480" w:lineRule="auto"/>
    </w:pPr>
    <w:rPr>
      <w:sz w:val="21"/>
    </w:rPr>
  </w:style>
  <w:style w:type="paragraph" w:styleId="20">
    <w:name w:val="Normal (Web)"/>
    <w:basedOn w:val="1"/>
    <w:qFormat/>
    <w:uiPriority w:val="99"/>
    <w:pPr>
      <w:widowControl/>
      <w:spacing w:before="100" w:beforeAutospacing="1" w:after="100" w:afterAutospacing="1"/>
      <w:jc w:val="left"/>
    </w:pPr>
    <w:rPr>
      <w:rFonts w:ascii="宋体" w:hAnsi="宋体"/>
      <w:kern w:val="0"/>
      <w:sz w:val="18"/>
      <w:szCs w:val="18"/>
    </w:rPr>
  </w:style>
  <w:style w:type="paragraph" w:styleId="21">
    <w:name w:val="Body Text First Indent"/>
    <w:basedOn w:val="2"/>
    <w:qFormat/>
    <w:uiPriority w:val="0"/>
    <w:pPr>
      <w:spacing w:after="120"/>
      <w:ind w:right="0" w:rightChars="0" w:firstLine="420" w:firstLineChars="100"/>
      <w:jc w:val="both"/>
    </w:pPr>
    <w:rPr>
      <w:szCs w:val="20"/>
    </w:rPr>
  </w:style>
  <w:style w:type="paragraph" w:styleId="22">
    <w:name w:val="Body Text First Indent 2"/>
    <w:basedOn w:val="11"/>
    <w:next w:val="2"/>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annotation reference"/>
    <w:basedOn w:val="25"/>
    <w:qFormat/>
    <w:uiPriority w:val="0"/>
    <w:rPr>
      <w:sz w:val="21"/>
      <w:szCs w:val="21"/>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p0"/>
    <w:basedOn w:val="1"/>
    <w:qFormat/>
    <w:uiPriority w:val="0"/>
    <w:pPr>
      <w:widowControl/>
    </w:pPr>
    <w:rPr>
      <w:kern w:val="0"/>
      <w:szCs w:val="21"/>
    </w:rPr>
  </w:style>
  <w:style w:type="paragraph" w:customStyle="1" w:styleId="30">
    <w:name w:val="列出段落1"/>
    <w:basedOn w:val="1"/>
    <w:qFormat/>
    <w:uiPriority w:val="0"/>
    <w:pPr>
      <w:spacing w:line="324" w:lineRule="auto"/>
      <w:ind w:firstLine="420" w:firstLineChars="200"/>
    </w:pPr>
    <w:rPr>
      <w:szCs w:val="20"/>
    </w:rPr>
  </w:style>
  <w:style w:type="paragraph" w:customStyle="1" w:styleId="31">
    <w:name w:val="Char1"/>
    <w:basedOn w:val="1"/>
    <w:qFormat/>
    <w:uiPriority w:val="0"/>
    <w:rPr>
      <w:szCs w:val="21"/>
    </w:rPr>
  </w:style>
  <w:style w:type="paragraph" w:customStyle="1" w:styleId="32">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3">
    <w:name w:val="msonospacing"/>
    <w:basedOn w:val="1"/>
    <w:qFormat/>
    <w:uiPriority w:val="0"/>
    <w:rPr>
      <w:sz w:val="24"/>
    </w:rPr>
  </w:style>
  <w:style w:type="paragraph" w:customStyle="1" w:styleId="34">
    <w:name w:val="列出段落3"/>
    <w:basedOn w:val="1"/>
    <w:qFormat/>
    <w:uiPriority w:val="0"/>
    <w:pPr>
      <w:ind w:firstLine="420" w:firstLineChars="200"/>
    </w:pPr>
    <w:rPr>
      <w:szCs w:val="21"/>
    </w:rPr>
  </w:style>
  <w:style w:type="paragraph" w:customStyle="1" w:styleId="35">
    <w:name w:val="样式 首行缩进:  2 字符"/>
    <w:basedOn w:val="1"/>
    <w:qFormat/>
    <w:uiPriority w:val="0"/>
    <w:pPr>
      <w:spacing w:line="400" w:lineRule="exact"/>
      <w:ind w:firstLine="200" w:firstLineChars="200"/>
    </w:pPr>
    <w:rPr>
      <w:rFonts w:cs="宋体"/>
    </w:rPr>
  </w:style>
  <w:style w:type="paragraph" w:customStyle="1" w:styleId="36">
    <w:name w:val="目录"/>
    <w:basedOn w:val="1"/>
    <w:qFormat/>
    <w:uiPriority w:val="0"/>
    <w:pPr>
      <w:widowControl/>
      <w:jc w:val="center"/>
    </w:pPr>
    <w:rPr>
      <w:b/>
      <w:sz w:val="36"/>
    </w:rPr>
  </w:style>
  <w:style w:type="paragraph" w:customStyle="1" w:styleId="37">
    <w:name w:val="hik-标题3"/>
    <w:next w:val="38"/>
    <w:qFormat/>
    <w:uiPriority w:val="0"/>
    <w:pPr>
      <w:numPr>
        <w:ilvl w:val="2"/>
        <w:numId w:val="1"/>
      </w:numPr>
      <w:spacing w:line="360" w:lineRule="auto"/>
      <w:outlineLvl w:val="2"/>
    </w:pPr>
    <w:rPr>
      <w:rFonts w:ascii="Times New Roman" w:hAnsi="Times New Roman" w:eastAsia="黑体" w:cs="Times New Roman"/>
      <w:kern w:val="2"/>
      <w:sz w:val="28"/>
      <w:szCs w:val="28"/>
      <w:lang w:val="en-US" w:eastAsia="zh-CN" w:bidi="ar-SA"/>
    </w:rPr>
  </w:style>
  <w:style w:type="paragraph" w:customStyle="1" w:styleId="38">
    <w:name w:val="hik-正文"/>
    <w:basedOn w:val="1"/>
    <w:qFormat/>
    <w:uiPriority w:val="0"/>
    <w:pPr>
      <w:spacing w:line="360" w:lineRule="auto"/>
      <w:ind w:right="210" w:firstLine="425"/>
      <w:jc w:val="left"/>
    </w:pPr>
    <w:rPr>
      <w:rFonts w:ascii="仿宋_GB2312" w:hAnsi="仿宋" w:eastAsia="仿宋_GB2312"/>
      <w:snapToGrid w:val="0"/>
      <w:kern w:val="24"/>
      <w:sz w:val="24"/>
      <w:lang w:val="zh-CN" w:eastAsia="zh-CN"/>
    </w:rPr>
  </w:style>
  <w:style w:type="paragraph" w:styleId="39">
    <w:name w:val="List Paragraph"/>
    <w:basedOn w:val="1"/>
    <w:qFormat/>
    <w:uiPriority w:val="34"/>
    <w:pPr>
      <w:ind w:firstLine="420" w:firstLineChars="200"/>
    </w:pPr>
  </w:style>
  <w:style w:type="paragraph" w:customStyle="1" w:styleId="40">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41">
    <w:name w:val="Table Text"/>
    <w:basedOn w:val="1"/>
    <w:semiHidden/>
    <w:qFormat/>
    <w:uiPriority w:val="0"/>
    <w:rPr>
      <w:rFonts w:ascii="微软雅黑" w:hAnsi="微软雅黑" w:eastAsia="微软雅黑" w:cs="微软雅黑"/>
      <w:sz w:val="16"/>
      <w:szCs w:val="16"/>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jpeg"/><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138</Pages>
  <Words>15599</Words>
  <Characters>17187</Characters>
  <Lines>0</Lines>
  <Paragraphs>0</Paragraphs>
  <TotalTime>0</TotalTime>
  <ScaleCrop>false</ScaleCrop>
  <LinksUpToDate>false</LinksUpToDate>
  <CharactersWithSpaces>17443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2022-10-27T11:47:00Z</dcterms:created>
  <dc:creator>Adminstor</dc:creator>
  <cp:lastModifiedBy>依文</cp:lastModifiedBy>
  <dcterms:modified xsi:type="dcterms:W3CDTF">2026-09-16T08:51:10Z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317ED7E803284355948A80A2B6F5607C</vt:lpwstr>
  </property>
  <property fmtid="{D5CDD505-2E9C-101B-9397-08002B2CF9AE}" pid="4" name="KSOTemplateDocerSaveRecord">
    <vt:lpwstr>eyJoZGlkIjoiYTU3MjJhZjEyZWViNTljYzNlNzAxMjBmN2U2NThhMGIiLCJ1c2VySWQiOiIyNjEwMDc2MjIifQ==</vt:lpwstr>
  </property>
</Properties>
</file>