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版本号：HYTF-20260503020260515001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智能涂层在特种设备表面防护的设计与开发项目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HYTF-202605030</w:t>
      </w:r>
      <w:r>
        <w:br/>
      </w:r>
      <w:r>
        <w:br/>
      </w:r>
      <w:r>
        <w:br/>
      </w:r>
    </w:p>
    <w:p>
      <w:pPr>
        <w:pStyle w:val="null3"/>
        <w:jc w:val="center"/>
        <w:outlineLvl w:val="2"/>
      </w:pPr>
      <w:r>
        <w:rPr>
          <w:rFonts w:ascii="仿宋_GB2312" w:hAnsi="仿宋_GB2312" w:cs="仿宋_GB2312" w:eastAsia="仿宋_GB2312"/>
          <w:sz w:val="28"/>
          <w:b/>
        </w:rPr>
        <w:t>西安特种设备检验检测院</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西安特种设备检验检测院</w:t>
      </w:r>
      <w:r>
        <w:rPr>
          <w:rFonts w:ascii="仿宋_GB2312" w:hAnsi="仿宋_GB2312" w:cs="仿宋_GB2312" w:eastAsia="仿宋_GB2312"/>
        </w:rPr>
        <w:t>委托，拟对</w:t>
      </w:r>
      <w:r>
        <w:rPr>
          <w:rFonts w:ascii="仿宋_GB2312" w:hAnsi="仿宋_GB2312" w:cs="仿宋_GB2312" w:eastAsia="仿宋_GB2312"/>
        </w:rPr>
        <w:t>智能涂层在特种设备表面防护的设计与开发项目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HYTF-202605030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智能涂层在特种设备表面防护的设计与开发项目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智能涂层在特种设备表面防护的设计与开发项目，1项。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或高校和事业单位供应商提供资产负债表等财务资料;（以上三种形式的资料提供任何一种即可）</w:t>
      </w:r>
    </w:p>
    <w:p>
      <w:pPr>
        <w:pStyle w:val="null3"/>
      </w:pPr>
      <w:r>
        <w:rPr>
          <w:rFonts w:ascii="仿宋_GB2312" w:hAnsi="仿宋_GB2312" w:cs="仿宋_GB2312" w:eastAsia="仿宋_GB2312"/>
        </w:rPr>
        <w:t>3、税收缴纳证明：提供2025年10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4、社保缴纳证明：提供2025年10月至今已缴存任意一个月社会保障资金缴存单据或社保机构开具的社会保险参保缴费证明，依法不需要缴纳社会保障资金的单位应提供相应证明文件；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西安特种设备检验检测院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西安市高新区团结南路69号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029-88763420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西安特种设备检验检测院</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西安特种设备检验检测院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西安特种设备检验检测院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智能涂层在特种设备表面防护的设计与开发项目，1项。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810,000.00</w:t>
      </w:r>
    </w:p>
    <w:p>
      <w:pPr>
        <w:pStyle w:val="null3"/>
      </w:pPr>
      <w:r>
        <w:rPr>
          <w:rFonts w:ascii="仿宋_GB2312" w:hAnsi="仿宋_GB2312" w:cs="仿宋_GB2312" w:eastAsia="仿宋_GB2312"/>
        </w:rPr>
        <w:t>采购包最高限价（元）: 810,000.00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60"/>
              <w:jc w:val="left"/>
            </w:pPr>
            <w:r>
              <w:rPr>
                <w:rFonts w:ascii="仿宋_GB2312" w:hAnsi="仿宋_GB2312" w:cs="仿宋_GB2312" w:eastAsia="仿宋_GB2312"/>
                <w:sz w:val="24"/>
                <w:b/>
                <w:color w:val="000000"/>
              </w:rPr>
              <w:t>一、项目基本情况</w:t>
            </w:r>
          </w:p>
          <w:p>
            <w:pPr>
              <w:pStyle w:val="null3"/>
              <w:ind w:firstLine="460"/>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项目背景与目标</w:t>
            </w:r>
          </w:p>
          <w:p>
            <w:pPr>
              <w:pStyle w:val="null3"/>
              <w:ind w:firstLine="460"/>
              <w:jc w:val="left"/>
            </w:pPr>
            <w:r>
              <w:rPr>
                <w:rFonts w:ascii="仿宋_GB2312" w:hAnsi="仿宋_GB2312" w:cs="仿宋_GB2312" w:eastAsia="仿宋_GB2312"/>
                <w:sz w:val="24"/>
                <w:color w:val="000000"/>
              </w:rPr>
              <w:t>本项目旨在针对特种设备在实际工作过程中出现的机械部件磨损、电气系统故障、过热及腐蚀等多方面问题，开展智能涂层的设计与开发。通过将所研发的智能涂层实际应用于特种设备，有效解决设备在不同复杂环境条件下的运行隐患。</w:t>
            </w:r>
          </w:p>
          <w:p>
            <w:pPr>
              <w:pStyle w:val="null3"/>
              <w:ind w:firstLine="46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项目研究内容与范围</w:t>
            </w:r>
          </w:p>
          <w:p>
            <w:pPr>
              <w:pStyle w:val="null3"/>
              <w:ind w:firstLine="460"/>
              <w:jc w:val="left"/>
            </w:pPr>
            <w:r>
              <w:rPr>
                <w:rFonts w:ascii="仿宋_GB2312" w:hAnsi="仿宋_GB2312" w:cs="仿宋_GB2312" w:eastAsia="仿宋_GB2312"/>
                <w:sz w:val="24"/>
                <w:color w:val="000000"/>
              </w:rPr>
              <w:t>本项目要求</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重点开展以下三方面的技术攻关与测试工作：</w:t>
            </w:r>
          </w:p>
          <w:p>
            <w:pPr>
              <w:pStyle w:val="null3"/>
              <w:ind w:firstLine="46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超疏水涂层材料设计及性能表征：设计超疏水涂层的合成方案，研究合成材料、配比及合成路线的影响，研发出满足复杂工况需求的超疏水涂层。需对涂层的微观形貌及化学成分进行表征分析，并全面测试其防腐蚀、防结冰、自清洁性及化学稳定性。</w:t>
            </w:r>
          </w:p>
          <w:p>
            <w:pPr>
              <w:pStyle w:val="null3"/>
              <w:ind w:firstLine="46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膨胀石墨基相变材料开发与性能评估：制备具有高导热与高热容特性的膨胀石墨基相变材料。通过精确调控材料配比，优化其相变潜热及熔点等关键热参数，以满足特种设备的热管理和蓄热需求。需通过模拟长期使用工况，测定其在反复循环使用后的性能变化情况，确保材料的稳定输出。</w:t>
            </w:r>
          </w:p>
          <w:p>
            <w:pPr>
              <w:pStyle w:val="null3"/>
              <w:ind w:firstLine="46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智能涂层在特种设备上的实际应用测试：选择具有代表性的机电类特种设备，在复杂多变的真实工况下进行涂覆操作。需对涂层的防水防潮性、与自清洁性等多项指标进行系统评估与监测，验证其可靠性与稳定性。</w:t>
            </w:r>
          </w:p>
          <w:p>
            <w:pPr>
              <w:pStyle w:val="null3"/>
              <w:ind w:firstLine="460"/>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项目执行周期与进度要求</w:t>
            </w:r>
          </w:p>
          <w:p>
            <w:pPr>
              <w:pStyle w:val="null3"/>
              <w:ind w:firstLine="460"/>
              <w:jc w:val="left"/>
            </w:pPr>
            <w:r>
              <w:rPr>
                <w:rFonts w:ascii="仿宋_GB2312" w:hAnsi="仿宋_GB2312" w:cs="仿宋_GB2312" w:eastAsia="仿宋_GB2312"/>
                <w:sz w:val="24"/>
                <w:color w:val="000000"/>
              </w:rPr>
              <w:t>本项目整体研发周期为自合同签订之日起至</w:t>
            </w:r>
            <w:r>
              <w:rPr>
                <w:rFonts w:ascii="仿宋_GB2312" w:hAnsi="仿宋_GB2312" w:cs="仿宋_GB2312" w:eastAsia="仿宋_GB2312"/>
                <w:sz w:val="24"/>
                <w:color w:val="000000"/>
              </w:rPr>
              <w:t>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11</w:t>
            </w:r>
            <w:r>
              <w:rPr>
                <w:rFonts w:ascii="仿宋_GB2312" w:hAnsi="仿宋_GB2312" w:cs="仿宋_GB2312" w:eastAsia="仿宋_GB2312"/>
                <w:sz w:val="24"/>
                <w:color w:val="000000"/>
              </w:rPr>
              <w:t>月，具体里程碑阶段划分如下：</w:t>
            </w:r>
          </w:p>
          <w:p>
            <w:pPr>
              <w:pStyle w:val="null3"/>
              <w:ind w:firstLine="460"/>
              <w:jc w:val="left"/>
            </w:pPr>
            <w:r>
              <w:rPr>
                <w:rFonts w:ascii="仿宋_GB2312" w:hAnsi="仿宋_GB2312" w:cs="仿宋_GB2312" w:eastAsia="仿宋_GB2312"/>
                <w:sz w:val="24"/>
                <w:color w:val="000000"/>
              </w:rPr>
              <w:t>自合同签订之日起</w:t>
            </w:r>
            <w:r>
              <w:rPr>
                <w:rFonts w:ascii="仿宋_GB2312" w:hAnsi="仿宋_GB2312" w:cs="仿宋_GB2312" w:eastAsia="仿宋_GB2312"/>
                <w:sz w:val="24"/>
                <w:color w:val="000000"/>
              </w:rPr>
              <w:t>-2026年</w:t>
            </w:r>
            <w:r>
              <w:rPr>
                <w:rFonts w:ascii="仿宋_GB2312" w:hAnsi="仿宋_GB2312" w:cs="仿宋_GB2312" w:eastAsia="仿宋_GB2312"/>
                <w:sz w:val="24"/>
                <w:color w:val="000000"/>
              </w:rPr>
              <w:t>7</w:t>
            </w:r>
            <w:r>
              <w:rPr>
                <w:rFonts w:ascii="仿宋_GB2312" w:hAnsi="仿宋_GB2312" w:cs="仿宋_GB2312" w:eastAsia="仿宋_GB2312"/>
                <w:sz w:val="24"/>
                <w:color w:val="000000"/>
              </w:rPr>
              <w:t>月：完成智能涂层的开发及性能优化工作。</w:t>
            </w:r>
          </w:p>
          <w:p>
            <w:pPr>
              <w:pStyle w:val="null3"/>
              <w:ind w:firstLine="460"/>
              <w:jc w:val="left"/>
            </w:pPr>
            <w:r>
              <w:rPr>
                <w:rFonts w:ascii="仿宋_GB2312" w:hAnsi="仿宋_GB2312" w:cs="仿宋_GB2312" w:eastAsia="仿宋_GB2312"/>
                <w:sz w:val="24"/>
                <w:color w:val="000000"/>
              </w:rPr>
              <w:t>2026年</w:t>
            </w:r>
            <w:r>
              <w:rPr>
                <w:rFonts w:ascii="仿宋_GB2312" w:hAnsi="仿宋_GB2312" w:cs="仿宋_GB2312" w:eastAsia="仿宋_GB2312"/>
                <w:sz w:val="24"/>
                <w:color w:val="000000"/>
              </w:rPr>
              <w:t>8</w:t>
            </w:r>
            <w:r>
              <w:rPr>
                <w:rFonts w:ascii="仿宋_GB2312" w:hAnsi="仿宋_GB2312" w:cs="仿宋_GB2312" w:eastAsia="仿宋_GB2312"/>
                <w:sz w:val="24"/>
                <w:color w:val="000000"/>
              </w:rPr>
              <w:t>月</w:t>
            </w:r>
            <w:r>
              <w:rPr>
                <w:rFonts w:ascii="仿宋_GB2312" w:hAnsi="仿宋_GB2312" w:cs="仿宋_GB2312" w:eastAsia="仿宋_GB2312"/>
                <w:sz w:val="24"/>
                <w:color w:val="000000"/>
              </w:rPr>
              <w:t>- 202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9</w:t>
            </w:r>
            <w:r>
              <w:rPr>
                <w:rFonts w:ascii="仿宋_GB2312" w:hAnsi="仿宋_GB2312" w:cs="仿宋_GB2312" w:eastAsia="仿宋_GB2312"/>
                <w:sz w:val="24"/>
                <w:color w:val="000000"/>
              </w:rPr>
              <w:t>月：实施并完成智能涂层在特种设备上的实际应用与监测测试。</w:t>
            </w:r>
          </w:p>
          <w:p>
            <w:pPr>
              <w:pStyle w:val="null3"/>
              <w:ind w:firstLine="460"/>
              <w:jc w:val="left"/>
            </w:pPr>
            <w:r>
              <w:rPr>
                <w:rFonts w:ascii="仿宋_GB2312" w:hAnsi="仿宋_GB2312" w:cs="仿宋_GB2312" w:eastAsia="仿宋_GB2312"/>
                <w:sz w:val="24"/>
                <w:color w:val="000000"/>
              </w:rPr>
              <w:t>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10</w:t>
            </w:r>
            <w:r>
              <w:rPr>
                <w:rFonts w:ascii="仿宋_GB2312" w:hAnsi="仿宋_GB2312" w:cs="仿宋_GB2312" w:eastAsia="仿宋_GB2312"/>
                <w:sz w:val="24"/>
                <w:color w:val="000000"/>
              </w:rPr>
              <w:t>月</w:t>
            </w:r>
            <w:r>
              <w:rPr>
                <w:rFonts w:ascii="仿宋_GB2312" w:hAnsi="仿宋_GB2312" w:cs="仿宋_GB2312" w:eastAsia="仿宋_GB2312"/>
                <w:sz w:val="24"/>
                <w:color w:val="000000"/>
              </w:rPr>
              <w:t>- 202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11</w:t>
            </w:r>
            <w:r>
              <w:rPr>
                <w:rFonts w:ascii="仿宋_GB2312" w:hAnsi="仿宋_GB2312" w:cs="仿宋_GB2312" w:eastAsia="仿宋_GB2312"/>
                <w:sz w:val="24"/>
                <w:color w:val="000000"/>
              </w:rPr>
              <w:t>月：整理研究成果，撰写结题报告并完成验收工作。</w:t>
            </w:r>
          </w:p>
          <w:p>
            <w:pPr>
              <w:pStyle w:val="null3"/>
              <w:ind w:firstLine="460"/>
              <w:jc w:val="left"/>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项目交付成果指标</w:t>
            </w:r>
          </w:p>
          <w:p>
            <w:pPr>
              <w:pStyle w:val="null3"/>
              <w:ind w:firstLine="460"/>
              <w:jc w:val="left"/>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在项目结题验收时，必须向</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交付以下研究开发成果：</w:t>
            </w:r>
          </w:p>
          <w:p>
            <w:pPr>
              <w:pStyle w:val="null3"/>
              <w:ind w:firstLine="460"/>
              <w:jc w:val="left"/>
            </w:pPr>
            <w:r>
              <w:rPr>
                <w:rFonts w:ascii="仿宋_GB2312" w:hAnsi="仿宋_GB2312" w:cs="仿宋_GB2312" w:eastAsia="仿宋_GB2312"/>
                <w:sz w:val="24"/>
                <w:color w:val="000000"/>
              </w:rPr>
              <w:t>技术文档：提交详细的项目研究报告</w:t>
            </w:r>
            <w:r>
              <w:rPr>
                <w:rFonts w:ascii="仿宋_GB2312" w:hAnsi="仿宋_GB2312" w:cs="仿宋_GB2312" w:eastAsia="仿宋_GB2312"/>
                <w:sz w:val="24"/>
                <w:color w:val="000000"/>
              </w:rPr>
              <w:t>1份。</w:t>
            </w:r>
          </w:p>
          <w:p>
            <w:pPr>
              <w:pStyle w:val="null3"/>
              <w:ind w:firstLine="460"/>
              <w:jc w:val="left"/>
            </w:pPr>
            <w:r>
              <w:rPr>
                <w:rFonts w:ascii="仿宋_GB2312" w:hAnsi="仿宋_GB2312" w:cs="仿宋_GB2312" w:eastAsia="仿宋_GB2312"/>
                <w:sz w:val="24"/>
                <w:color w:val="000000"/>
              </w:rPr>
              <w:t>检测论证：提供智能涂层的第三方检测报告</w:t>
            </w:r>
            <w:r>
              <w:rPr>
                <w:rFonts w:ascii="仿宋_GB2312" w:hAnsi="仿宋_GB2312" w:cs="仿宋_GB2312" w:eastAsia="仿宋_GB2312"/>
                <w:sz w:val="24"/>
                <w:color w:val="000000"/>
              </w:rPr>
              <w:t>1份。</w:t>
            </w:r>
          </w:p>
          <w:p>
            <w:pPr>
              <w:pStyle w:val="null3"/>
              <w:ind w:firstLine="460"/>
              <w:jc w:val="left"/>
            </w:pPr>
            <w:r>
              <w:rPr>
                <w:rFonts w:ascii="仿宋_GB2312" w:hAnsi="仿宋_GB2312" w:cs="仿宋_GB2312" w:eastAsia="仿宋_GB2312"/>
                <w:sz w:val="24"/>
                <w:color w:val="000000"/>
              </w:rPr>
              <w:t>知识产权：申请专利</w:t>
            </w:r>
            <w:r>
              <w:rPr>
                <w:rFonts w:ascii="仿宋_GB2312" w:hAnsi="仿宋_GB2312" w:cs="仿宋_GB2312" w:eastAsia="仿宋_GB2312"/>
                <w:sz w:val="24"/>
                <w:color w:val="000000"/>
              </w:rPr>
              <w:t>3</w:t>
            </w:r>
            <w:r>
              <w:rPr>
                <w:rFonts w:ascii="仿宋_GB2312" w:hAnsi="仿宋_GB2312" w:cs="仿宋_GB2312" w:eastAsia="仿宋_GB2312"/>
                <w:sz w:val="24"/>
                <w:color w:val="000000"/>
              </w:rPr>
              <w:t>项。</w:t>
            </w:r>
          </w:p>
          <w:p>
            <w:pPr>
              <w:pStyle w:val="null3"/>
              <w:ind w:firstLine="460"/>
              <w:jc w:val="left"/>
            </w:pPr>
            <w:r>
              <w:rPr>
                <w:rFonts w:ascii="仿宋_GB2312" w:hAnsi="仿宋_GB2312" w:cs="仿宋_GB2312" w:eastAsia="仿宋_GB2312"/>
                <w:sz w:val="24"/>
                <w:color w:val="000000"/>
              </w:rPr>
              <w:t>学术成果：科技成果登记</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w:t>
            </w:r>
          </w:p>
          <w:p>
            <w:pPr>
              <w:pStyle w:val="null3"/>
              <w:ind w:firstLine="460"/>
              <w:jc w:val="left"/>
            </w:pPr>
            <w:r>
              <w:rPr>
                <w:rFonts w:ascii="仿宋_GB2312" w:hAnsi="仿宋_GB2312" w:cs="仿宋_GB2312" w:eastAsia="仿宋_GB2312"/>
                <w:sz w:val="24"/>
                <w:color w:val="000000"/>
              </w:rPr>
              <w:t>荣誉奖项：联合申报省部级奖项</w:t>
            </w:r>
            <w:r>
              <w:rPr>
                <w:rFonts w:ascii="仿宋_GB2312" w:hAnsi="仿宋_GB2312" w:cs="仿宋_GB2312" w:eastAsia="仿宋_GB2312"/>
                <w:sz w:val="24"/>
                <w:color w:val="000000"/>
              </w:rPr>
              <w:t>1 项。</w:t>
            </w:r>
          </w:p>
          <w:p>
            <w:pPr>
              <w:pStyle w:val="null3"/>
              <w:ind w:firstLine="460"/>
              <w:jc w:val="left"/>
            </w:pPr>
            <w:r>
              <w:rPr>
                <w:rFonts w:ascii="仿宋_GB2312" w:hAnsi="仿宋_GB2312" w:cs="仿宋_GB2312" w:eastAsia="仿宋_GB2312"/>
                <w:sz w:val="24"/>
                <w:b/>
                <w:color w:val="000000"/>
              </w:rPr>
              <w:t>二、服务内容</w:t>
            </w:r>
          </w:p>
          <w:p>
            <w:pPr>
              <w:pStyle w:val="null3"/>
              <w:ind w:left="465"/>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工作对象与工作区域</w:t>
            </w:r>
          </w:p>
          <w:p>
            <w:pPr>
              <w:pStyle w:val="null3"/>
              <w:ind w:firstLine="460"/>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工作对象：具有代表性的机电类特种设备。</w:t>
            </w:r>
          </w:p>
          <w:p>
            <w:pPr>
              <w:pStyle w:val="null3"/>
              <w:ind w:firstLine="460"/>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工作区域：包括</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的研发场所及采购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指定的现场应用场地。</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人员进入采购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场地开展实地涂覆及测试服务时，必须严格遵守采购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的场地管理规定。</w:t>
            </w:r>
          </w:p>
          <w:p>
            <w:pPr>
              <w:pStyle w:val="null3"/>
              <w:ind w:firstLine="46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具体工作内容</w:t>
            </w:r>
          </w:p>
          <w:p>
            <w:pPr>
              <w:pStyle w:val="null3"/>
              <w:ind w:firstLine="460"/>
              <w:jc w:val="left"/>
            </w:pPr>
            <w:r>
              <w:rPr>
                <w:rFonts w:ascii="仿宋_GB2312" w:hAnsi="仿宋_GB2312" w:cs="仿宋_GB2312" w:eastAsia="仿宋_GB2312"/>
                <w:sz w:val="24"/>
                <w:color w:val="000000"/>
              </w:rPr>
              <w:t>2.1</w:t>
            </w:r>
            <w:r>
              <w:rPr>
                <w:rFonts w:ascii="仿宋_GB2312" w:hAnsi="仿宋_GB2312" w:cs="仿宋_GB2312" w:eastAsia="仿宋_GB2312"/>
                <w:sz w:val="24"/>
                <w:color w:val="000000"/>
              </w:rPr>
              <w:t>超疏水涂层材料设计及性能表征维护服务：</w:t>
            </w:r>
          </w:p>
          <w:p>
            <w:pPr>
              <w:pStyle w:val="null3"/>
              <w:ind w:firstLine="240"/>
              <w:jc w:val="left"/>
            </w:pPr>
            <w:r>
              <w:rPr>
                <w:rFonts w:ascii="仿宋_GB2312" w:hAnsi="仿宋_GB2312" w:cs="仿宋_GB2312" w:eastAsia="仿宋_GB2312"/>
                <w:sz w:val="24"/>
                <w:color w:val="000000"/>
              </w:rPr>
              <w:t>提供超疏水涂层合成方案设计，研究合成材料、材料配比以及合成路线的影响，开发满足复杂环境工况下特种设备工作需求的超疏水涂层；提供涂层的微观形貌及化学成分的详细表征与分析服务，探究涂层结构与性能的内在联系；开展涂层的自清洁性及化学稳定性测试，全面评估各项功能性能。</w:t>
            </w:r>
          </w:p>
          <w:p>
            <w:pPr>
              <w:pStyle w:val="null3"/>
              <w:ind w:firstLine="460"/>
              <w:jc w:val="left"/>
            </w:pPr>
            <w:r>
              <w:rPr>
                <w:rFonts w:ascii="仿宋_GB2312" w:hAnsi="仿宋_GB2312" w:cs="仿宋_GB2312" w:eastAsia="仿宋_GB2312"/>
                <w:sz w:val="24"/>
                <w:color w:val="000000"/>
              </w:rPr>
              <w:t>2.2</w:t>
            </w:r>
            <w:r>
              <w:rPr>
                <w:rFonts w:ascii="仿宋_GB2312" w:hAnsi="仿宋_GB2312" w:cs="仿宋_GB2312" w:eastAsia="仿宋_GB2312"/>
                <w:sz w:val="24"/>
                <w:color w:val="000000"/>
              </w:rPr>
              <w:t>膨胀石墨基相变材料开发与性能评估服务：</w:t>
            </w:r>
          </w:p>
          <w:p>
            <w:pPr>
              <w:pStyle w:val="null3"/>
              <w:ind w:firstLine="460"/>
              <w:jc w:val="left"/>
            </w:pPr>
            <w:r>
              <w:rPr>
                <w:rFonts w:ascii="仿宋_GB2312" w:hAnsi="仿宋_GB2312" w:cs="仿宋_GB2312" w:eastAsia="仿宋_GB2312"/>
                <w:sz w:val="24"/>
                <w:color w:val="000000"/>
              </w:rPr>
              <w:t>负责制备具有高导热与高热容特性的膨胀石墨基相变材料；通过精确调控材料的配比，优化其相变潜热及熔点等关键热参数，以满足特种设备的热管理和蓄热需求。</w:t>
            </w:r>
          </w:p>
          <w:p>
            <w:pPr>
              <w:pStyle w:val="null3"/>
              <w:ind w:firstLine="460"/>
              <w:jc w:val="left"/>
            </w:pPr>
            <w:r>
              <w:rPr>
                <w:rFonts w:ascii="仿宋_GB2312" w:hAnsi="仿宋_GB2312" w:cs="仿宋_GB2312" w:eastAsia="仿宋_GB2312"/>
                <w:sz w:val="24"/>
                <w:b/>
                <w:color w:val="000000"/>
              </w:rPr>
              <w:t>3. 智能涂层在特种设备上的实际应用与监测测试工作：</w:t>
            </w:r>
          </w:p>
          <w:p>
            <w:pPr>
              <w:pStyle w:val="null3"/>
              <w:ind w:firstLine="460"/>
              <w:jc w:val="left"/>
            </w:pPr>
            <w:r>
              <w:rPr>
                <w:rFonts w:ascii="仿宋_GB2312" w:hAnsi="仿宋_GB2312" w:cs="仿宋_GB2312" w:eastAsia="仿宋_GB2312"/>
                <w:sz w:val="24"/>
                <w:color w:val="000000"/>
              </w:rPr>
              <w:t>在具有代表性的机电类特种设备上实施智能涂层的实地涂覆操作；验证智能涂层在特种设备上的可靠性与稳定性。</w:t>
            </w:r>
          </w:p>
          <w:p>
            <w:pPr>
              <w:pStyle w:val="null3"/>
              <w:ind w:firstLine="460"/>
              <w:jc w:val="left"/>
            </w:pPr>
            <w:r>
              <w:rPr>
                <w:rFonts w:ascii="仿宋_GB2312" w:hAnsi="仿宋_GB2312" w:cs="仿宋_GB2312" w:eastAsia="仿宋_GB2312"/>
                <w:sz w:val="24"/>
                <w:b/>
                <w:color w:val="000000"/>
              </w:rPr>
              <w:t>4、 成果整理与技术转化支持：</w:t>
            </w:r>
          </w:p>
          <w:p>
            <w:pPr>
              <w:pStyle w:val="null3"/>
              <w:ind w:firstLine="460"/>
              <w:jc w:val="left"/>
            </w:pPr>
            <w:r>
              <w:rPr>
                <w:rFonts w:ascii="仿宋_GB2312" w:hAnsi="仿宋_GB2312" w:cs="仿宋_GB2312" w:eastAsia="仿宋_GB2312"/>
                <w:sz w:val="24"/>
                <w:color w:val="000000"/>
              </w:rPr>
              <w:t>提供系统性的研究成果整理服务，协助撰写相关结题报告；开展知识产权与标准化布局，申请专利。</w:t>
            </w:r>
          </w:p>
          <w:p>
            <w:pPr>
              <w:pStyle w:val="null3"/>
              <w:ind w:firstLine="460"/>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、服务要求</w:t>
            </w:r>
          </w:p>
          <w:p>
            <w:pPr>
              <w:pStyle w:val="null3"/>
              <w:ind w:firstLine="460"/>
              <w:jc w:val="left"/>
            </w:pPr>
            <w:r>
              <w:rPr>
                <w:rFonts w:ascii="仿宋_GB2312" w:hAnsi="仿宋_GB2312" w:cs="仿宋_GB2312" w:eastAsia="仿宋_GB2312"/>
                <w:sz w:val="24"/>
                <w:color w:val="000000"/>
              </w:rPr>
              <w:t>在项目合同执行过程中，</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必须严格执行以下相关服务标准和应当履行的相关义务：</w:t>
            </w:r>
          </w:p>
          <w:p>
            <w:pPr>
              <w:pStyle w:val="null3"/>
              <w:ind w:firstLine="460"/>
              <w:jc w:val="left"/>
            </w:pPr>
            <w:r>
              <w:rPr>
                <w:rFonts w:ascii="仿宋_GB2312" w:hAnsi="仿宋_GB2312" w:cs="仿宋_GB2312" w:eastAsia="仿宋_GB2312"/>
                <w:sz w:val="24"/>
                <w:b/>
                <w:color w:val="000000"/>
              </w:rPr>
              <w:t>1、 人员配置与沟通协调要求</w:t>
            </w:r>
          </w:p>
          <w:p>
            <w:pPr>
              <w:pStyle w:val="null3"/>
              <w:jc w:val="left"/>
            </w:pPr>
            <w:r>
              <w:rPr>
                <w:rFonts w:ascii="仿宋_GB2312" w:hAnsi="仿宋_GB2312" w:cs="仿宋_GB2312" w:eastAsia="仿宋_GB2312"/>
                <w:sz w:val="24"/>
                <w:color w:val="000000"/>
              </w:rPr>
              <w:t>专属联系人制度：</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必须指定专人担任项目联系人，全权负责监督和促进项目研发工作按计划进行，主动与采购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商议并帮助解决研发过程中遇到的技术难题，及时协调双方关系及处理研发过程中产生的争议。若因故变更项目联系人，应当及时书面通知采购方，避免影响项目履行。</w:t>
            </w:r>
          </w:p>
          <w:p>
            <w:pPr>
              <w:pStyle w:val="null3"/>
              <w:jc w:val="left"/>
            </w:pPr>
            <w:r>
              <w:rPr>
                <w:rFonts w:ascii="仿宋_GB2312" w:hAnsi="仿宋_GB2312" w:cs="仿宋_GB2312" w:eastAsia="仿宋_GB2312"/>
                <w:sz w:val="24"/>
              </w:rPr>
              <w:t>人员配置：研发队伍中高级职称人数不低于</w:t>
            </w:r>
            <w:r>
              <w:rPr>
                <w:rFonts w:ascii="仿宋_GB2312" w:hAnsi="仿宋_GB2312" w:cs="仿宋_GB2312" w:eastAsia="仿宋_GB2312"/>
                <w:sz w:val="24"/>
              </w:rPr>
              <w:t>2人，具有智能涂层服务经验。</w:t>
            </w:r>
          </w:p>
          <w:p>
            <w:pPr>
              <w:pStyle w:val="null3"/>
              <w:ind w:firstLine="46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、后期技术指导与培训服务义务</w:t>
            </w:r>
          </w:p>
          <w:p>
            <w:pPr>
              <w:pStyle w:val="null3"/>
              <w:ind w:firstLine="460"/>
              <w:jc w:val="left"/>
            </w:pPr>
            <w:r>
              <w:rPr>
                <w:rFonts w:ascii="仿宋_GB2312" w:hAnsi="仿宋_GB2312" w:cs="仿宋_GB2312" w:eastAsia="仿宋_GB2312"/>
                <w:sz w:val="24"/>
                <w:color w:val="000000"/>
              </w:rPr>
              <w:t>在向采购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交付所有研究开发成果后，</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仍需根据采购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的请求，为采购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指定的人员提供专业的技术指导和培训服务，或提供与使用该研究开发智能涂层成果相关的技术支持服务，确保采购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能够熟练掌握和应用研发成果。</w:t>
            </w:r>
          </w:p>
          <w:p>
            <w:pPr>
              <w:pStyle w:val="null3"/>
              <w:ind w:firstLine="460"/>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、严格的保密服务标准</w:t>
            </w:r>
          </w:p>
          <w:p>
            <w:pPr>
              <w:pStyle w:val="null3"/>
              <w:ind w:firstLine="460"/>
              <w:jc w:val="left"/>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因履行本项目必须遵守严格的保密义务。非经采购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书面许可，</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绝不得向任何第三方泄露本项目合同内容，以及在合同执行过程中获知的采购方任何商业和技术信息。</w:t>
            </w:r>
          </w:p>
          <w:p>
            <w:pPr>
              <w:pStyle w:val="null3"/>
              <w:spacing w:after="120"/>
              <w:jc w:val="left"/>
            </w:pPr>
            <w:r>
              <w:rPr>
                <w:rFonts w:ascii="仿宋_GB2312" w:hAnsi="仿宋_GB2312" w:cs="仿宋_GB2312" w:eastAsia="仿宋_GB2312"/>
                <w:sz w:val="24"/>
                <w:b/>
                <w:color w:val="000000"/>
              </w:rPr>
              <w:t xml:space="preserve">    四</w:t>
            </w:r>
            <w:r>
              <w:rPr>
                <w:rFonts w:ascii="仿宋_GB2312" w:hAnsi="仿宋_GB2312" w:cs="仿宋_GB2312" w:eastAsia="仿宋_GB2312"/>
                <w:sz w:val="24"/>
                <w:b/>
                <w:color w:val="000000"/>
              </w:rPr>
              <w:t>、商务要求（如服务期限、款项结算等）</w:t>
            </w:r>
          </w:p>
          <w:p>
            <w:pPr>
              <w:pStyle w:val="null3"/>
              <w:ind w:firstLine="46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一）服务期限</w:t>
            </w:r>
          </w:p>
          <w:p>
            <w:pPr>
              <w:pStyle w:val="null3"/>
              <w:ind w:firstLine="460"/>
              <w:jc w:val="left"/>
            </w:pPr>
            <w:r>
              <w:rPr>
                <w:rFonts w:ascii="仿宋_GB2312" w:hAnsi="仿宋_GB2312" w:cs="仿宋_GB2312" w:eastAsia="仿宋_GB2312"/>
                <w:sz w:val="24"/>
                <w:color w:val="000000"/>
              </w:rPr>
              <w:t>项目整体服务期：自合同签订之日起至</w:t>
            </w:r>
            <w:r>
              <w:rPr>
                <w:rFonts w:ascii="仿宋_GB2312" w:hAnsi="仿宋_GB2312" w:cs="仿宋_GB2312" w:eastAsia="仿宋_GB2312"/>
                <w:sz w:val="24"/>
                <w:color w:val="000000"/>
              </w:rPr>
              <w:t>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11</w:t>
            </w:r>
            <w:r>
              <w:rPr>
                <w:rFonts w:ascii="仿宋_GB2312" w:hAnsi="仿宋_GB2312" w:cs="仿宋_GB2312" w:eastAsia="仿宋_GB2312"/>
                <w:sz w:val="24"/>
                <w:color w:val="000000"/>
              </w:rPr>
              <w:t>月</w:t>
            </w:r>
            <w:r>
              <w:rPr>
                <w:rFonts w:ascii="仿宋_GB2312" w:hAnsi="仿宋_GB2312" w:cs="仿宋_GB2312" w:eastAsia="仿宋_GB2312"/>
                <w:sz w:val="24"/>
                <w:color w:val="000000"/>
              </w:rPr>
              <w:t>30日止</w:t>
            </w:r>
            <w:r>
              <w:rPr>
                <w:rFonts w:ascii="仿宋_GB2312" w:hAnsi="仿宋_GB2312" w:cs="仿宋_GB2312" w:eastAsia="仿宋_GB2312"/>
                <w:sz w:val="24"/>
                <w:color w:val="000000"/>
              </w:rPr>
              <w:t>。</w:t>
            </w:r>
          </w:p>
          <w:p>
            <w:pPr>
              <w:pStyle w:val="null3"/>
              <w:ind w:firstLine="460"/>
              <w:jc w:val="left"/>
            </w:pPr>
            <w:r>
              <w:rPr>
                <w:rFonts w:ascii="仿宋_GB2312" w:hAnsi="仿宋_GB2312" w:cs="仿宋_GB2312" w:eastAsia="仿宋_GB2312"/>
                <w:sz w:val="24"/>
                <w:color w:val="000000"/>
              </w:rPr>
              <w:t>最终结束条件：中标方须于</w:t>
            </w:r>
            <w:r>
              <w:rPr>
                <w:rFonts w:ascii="仿宋_GB2312" w:hAnsi="仿宋_GB2312" w:cs="仿宋_GB2312" w:eastAsia="仿宋_GB2312"/>
                <w:sz w:val="24"/>
                <w:color w:val="000000"/>
              </w:rPr>
              <w:t>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11</w:t>
            </w:r>
            <w:r>
              <w:rPr>
                <w:rFonts w:ascii="仿宋_GB2312" w:hAnsi="仿宋_GB2312" w:cs="仿宋_GB2312" w:eastAsia="仿宋_GB2312"/>
                <w:sz w:val="24"/>
                <w:color w:val="000000"/>
              </w:rPr>
              <w:t>月</w:t>
            </w:r>
            <w:r>
              <w:rPr>
                <w:rFonts w:ascii="仿宋_GB2312" w:hAnsi="仿宋_GB2312" w:cs="仿宋_GB2312" w:eastAsia="仿宋_GB2312"/>
                <w:sz w:val="24"/>
                <w:color w:val="000000"/>
              </w:rPr>
              <w:t>3</w:t>
            </w:r>
            <w:r>
              <w:rPr>
                <w:rFonts w:ascii="仿宋_GB2312" w:hAnsi="仿宋_GB2312" w:cs="仿宋_GB2312" w:eastAsia="仿宋_GB2312"/>
                <w:sz w:val="24"/>
                <w:color w:val="000000"/>
              </w:rPr>
              <w:t>0</w:t>
            </w:r>
            <w:r>
              <w:rPr>
                <w:rFonts w:ascii="仿宋_GB2312" w:hAnsi="仿宋_GB2312" w:cs="仿宋_GB2312" w:eastAsia="仿宋_GB2312"/>
                <w:sz w:val="24"/>
                <w:color w:val="000000"/>
              </w:rPr>
              <w:t>日之前，完成全部研究开发成果的交付及结题验收工作。</w:t>
            </w:r>
          </w:p>
          <w:p>
            <w:pPr>
              <w:pStyle w:val="null3"/>
              <w:ind w:firstLine="600"/>
            </w:pPr>
            <w:r>
              <w:rPr>
                <w:rFonts w:ascii="仿宋_GB2312" w:hAnsi="仿宋_GB2312" w:cs="仿宋_GB2312" w:eastAsia="仿宋_GB2312"/>
                <w:sz w:val="24"/>
                <w:color w:val="000000"/>
              </w:rPr>
              <w:t>（</w:t>
            </w:r>
            <w:r>
              <w:rPr>
                <w:rFonts w:ascii="仿宋_GB2312" w:hAnsi="仿宋_GB2312" w:cs="仿宋_GB2312" w:eastAsia="仿宋_GB2312"/>
                <w:sz w:val="24"/>
                <w:color w:val="000000"/>
              </w:rPr>
              <w:t>二）款项结算</w:t>
            </w:r>
          </w:p>
          <w:p>
            <w:pPr>
              <w:pStyle w:val="null3"/>
              <w:ind w:firstLine="460"/>
              <w:jc w:val="left"/>
            </w:pPr>
            <w:r>
              <w:rPr>
                <w:rFonts w:ascii="仿宋_GB2312" w:hAnsi="仿宋_GB2312" w:cs="仿宋_GB2312" w:eastAsia="仿宋_GB2312"/>
                <w:sz w:val="24"/>
                <w:color w:val="000000"/>
              </w:rPr>
              <w:t>1、 结算总额及票据要求</w:t>
            </w:r>
          </w:p>
          <w:p>
            <w:pPr>
              <w:pStyle w:val="null3"/>
              <w:ind w:firstLine="460"/>
              <w:jc w:val="left"/>
            </w:pPr>
            <w:r>
              <w:rPr>
                <w:rFonts w:ascii="仿宋_GB2312" w:hAnsi="仿宋_GB2312" w:cs="仿宋_GB2312" w:eastAsia="仿宋_GB2312"/>
                <w:sz w:val="24"/>
                <w:color w:val="000000"/>
              </w:rPr>
              <w:t>本项目研究开发经费和报酬总额包含研究费、劳务费、差旅费、食宿费、文印费等。</w:t>
            </w:r>
          </w:p>
          <w:p>
            <w:pPr>
              <w:pStyle w:val="null3"/>
              <w:ind w:firstLine="460"/>
              <w:jc w:val="left"/>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在请款前，须向采购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开具合法有效的普通增值税发票。</w:t>
            </w:r>
          </w:p>
          <w:p>
            <w:pPr>
              <w:pStyle w:val="null3"/>
              <w:jc w:val="left"/>
            </w:pPr>
            <w:r>
              <w:rPr>
                <w:rFonts w:ascii="仿宋_GB2312" w:hAnsi="仿宋_GB2312" w:cs="仿宋_GB2312" w:eastAsia="仿宋_GB2312"/>
                <w:sz w:val="24"/>
                <w:color w:val="000000"/>
              </w:rPr>
              <w:t>2、分期支付节点及金额分配</w:t>
            </w:r>
            <w:r>
              <w:rPr>
                <w:rFonts w:ascii="仿宋_GB2312" w:hAnsi="仿宋_GB2312" w:cs="仿宋_GB2312" w:eastAsia="仿宋_GB2312"/>
                <w:sz w:val="24"/>
                <w:color w:val="000000"/>
              </w:rPr>
              <w:t>：</w:t>
            </w:r>
            <w:r>
              <w:rPr>
                <w:rFonts w:ascii="仿宋_GB2312" w:hAnsi="仿宋_GB2312" w:cs="仿宋_GB2312" w:eastAsia="仿宋_GB2312"/>
                <w:sz w:val="24"/>
                <w:color w:val="000000"/>
              </w:rPr>
              <w:t>本项目研究开发经费由采购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按照项目任务完成进度分期支付。具体批次界限和付款条件如下：</w:t>
            </w:r>
          </w:p>
          <w:p>
            <w:pPr>
              <w:pStyle w:val="null3"/>
              <w:jc w:val="left"/>
            </w:pPr>
            <w:r>
              <w:rPr>
                <w:rFonts w:ascii="仿宋_GB2312" w:hAnsi="仿宋_GB2312" w:cs="仿宋_GB2312" w:eastAsia="仿宋_GB2312"/>
                <w:sz w:val="24"/>
                <w:color w:val="000000"/>
              </w:rPr>
              <w:t>第一期款项：合同签订后</w:t>
            </w:r>
            <w:r>
              <w:rPr>
                <w:rFonts w:ascii="仿宋_GB2312" w:hAnsi="仿宋_GB2312" w:cs="仿宋_GB2312" w:eastAsia="仿宋_GB2312"/>
                <w:sz w:val="24"/>
                <w:color w:val="000000"/>
              </w:rPr>
              <w:t>15</w:t>
            </w:r>
            <w:r>
              <w:rPr>
                <w:rFonts w:ascii="仿宋_GB2312" w:hAnsi="仿宋_GB2312" w:cs="仿宋_GB2312" w:eastAsia="仿宋_GB2312"/>
                <w:sz w:val="24"/>
                <w:color w:val="000000"/>
              </w:rPr>
              <w:t>日</w:t>
            </w:r>
            <w:r>
              <w:rPr>
                <w:rFonts w:ascii="仿宋_GB2312" w:hAnsi="仿宋_GB2312" w:cs="仿宋_GB2312" w:eastAsia="仿宋_GB2312"/>
                <w:sz w:val="24"/>
                <w:color w:val="000000"/>
              </w:rPr>
              <w:t>内</w:t>
            </w:r>
            <w:r>
              <w:rPr>
                <w:rFonts w:ascii="仿宋_GB2312" w:hAnsi="仿宋_GB2312" w:cs="仿宋_GB2312" w:eastAsia="仿宋_GB2312"/>
                <w:sz w:val="24"/>
                <w:color w:val="000000"/>
              </w:rPr>
              <w:t>支付合同额的</w:t>
            </w:r>
            <w:r>
              <w:rPr>
                <w:rFonts w:ascii="仿宋_GB2312" w:hAnsi="仿宋_GB2312" w:cs="仿宋_GB2312" w:eastAsia="仿宋_GB2312"/>
                <w:sz w:val="24"/>
                <w:color w:val="000000"/>
              </w:rPr>
              <w:t>7</w:t>
            </w:r>
            <w:r>
              <w:rPr>
                <w:rFonts w:ascii="仿宋_GB2312" w:hAnsi="仿宋_GB2312" w:cs="仿宋_GB2312" w:eastAsia="仿宋_GB2312"/>
                <w:sz w:val="24"/>
                <w:color w:val="000000"/>
              </w:rPr>
              <w:t>0%作为项目研发费用。</w:t>
            </w:r>
          </w:p>
          <w:p>
            <w:pPr>
              <w:pStyle w:val="null3"/>
            </w:pPr>
            <w:r>
              <w:rPr>
                <w:rFonts w:ascii="仿宋_GB2312" w:hAnsi="仿宋_GB2312" w:cs="仿宋_GB2312" w:eastAsia="仿宋_GB2312"/>
                <w:sz w:val="24"/>
                <w:color w:val="000000"/>
              </w:rPr>
              <w:t>第二期款项：</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完成全部项目研究开发成果，并正式交付采购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且验收合格后，支付剩余合同额用</w:t>
            </w:r>
            <w:r>
              <w:rPr>
                <w:rFonts w:ascii="仿宋_GB2312" w:hAnsi="仿宋_GB2312" w:cs="仿宋_GB2312" w:eastAsia="仿宋_GB2312"/>
                <w:sz w:val="24"/>
                <w:color w:val="000000"/>
              </w:rPr>
              <w:t>3</w:t>
            </w:r>
            <w:r>
              <w:rPr>
                <w:rFonts w:ascii="仿宋_GB2312" w:hAnsi="仿宋_GB2312" w:cs="仿宋_GB2312" w:eastAsia="仿宋_GB2312"/>
                <w:sz w:val="24"/>
                <w:color w:val="000000"/>
              </w:rPr>
              <w:t>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服务期限：自合同签订之日起至2026年11月30日止。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供应商完成全部项目研究开发成果，并正式交付采购人且验收合格后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智能涂层在特种设备表面防护的设计与开发项目”对应的中小企业划分标准所属行业为：其他未列明行业。2、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或高校和事业单位供应商提供资产负债表等财务资料;（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提供2025年10月至今已缴存任意一个月社会保障资金缴存单据或社保机构开具的社会保险参保缴费证明，依法不需要缴纳社会保障资金的单位应提供相应证明文件；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 负责人可参照执行）</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项目理解及交付偏差</w:t>
            </w:r>
          </w:p>
        </w:tc>
        <w:tc>
          <w:tcPr>
            <w:tcW w:type="dxa" w:w="2492"/>
          </w:tcPr>
          <w:p>
            <w:pPr>
              <w:pStyle w:val="null3"/>
            </w:pPr>
            <w:r>
              <w:rPr>
                <w:rFonts w:ascii="仿宋_GB2312" w:hAnsi="仿宋_GB2312" w:cs="仿宋_GB2312" w:eastAsia="仿宋_GB2312"/>
              </w:rPr>
              <w:t>供应商对本项目的实施背景、实施目的、实施意义及交付物等具备充分的认识。对本项目的总体认识定位准确，理解深刻，表述清晰，对项目实施的重点、难点把握精准计9分；对本项目的总体认识定位基本准确，表述清晰，对项目实施的重点、难点具有一定的认识计6分；对本项目的总体认识定位较准确，技术有偏离，理解不够深刻，对项目实施的重点、难点把握有偏差计3分；项目技术指标及定位偏差大，把握不准计1分；相关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项目实施服务方案</w:t>
            </w:r>
          </w:p>
        </w:tc>
        <w:tc>
          <w:tcPr>
            <w:tcW w:type="dxa" w:w="2492"/>
          </w:tcPr>
          <w:p>
            <w:pPr>
              <w:pStyle w:val="null3"/>
            </w:pPr>
            <w:r>
              <w:rPr>
                <w:rFonts w:ascii="仿宋_GB2312" w:hAnsi="仿宋_GB2312" w:cs="仿宋_GB2312" w:eastAsia="仿宋_GB2312"/>
              </w:rPr>
              <w:t>一、评审内容 供应商针对本项目的实施服务方案，包括但不限于①工作部署；②工作流程；③工作方法。 二、评审标准 方案内容专门针对本项目编制，切合本项目实际情况及实施要求，内容与要点相符、每个要点均有展开详细的阐述且能够适用于本项目的计15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供应商针对本项目的进度安排方案，包括但不限于①项目总体进度目标；②时间节点把控；③进度保障措施等。 二、评审标准 方案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供应商针对本项目的项目团队配备，包括但不限于：①项目组织架构；②项目团队人员配备及岗位职责。 二、评审标准 方案内容专门针对本项目编制，切合本项目实际情况及实施要求，内容与要点相符、每个要点均有展开详细的阐述且能够适用于本项目的计10分；评审内容每缺一项扣5分，扣完为止；评审内容有缺陷的每任意一项缺陷扣1分，扣完为止。（缺陷是指：组织架构不合理；逻辑混乱、前后表述矛盾；岗位职责分工不明确；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供应商针对本项目的质量保证方案，包括但不限于：①服务质量保证措施；②质量保证目标及方案；③质量保证承诺。 二、评审标准 方案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成果交付保障</w:t>
            </w:r>
          </w:p>
        </w:tc>
        <w:tc>
          <w:tcPr>
            <w:tcW w:type="dxa" w:w="2492"/>
          </w:tcPr>
          <w:p>
            <w:pPr>
              <w:pStyle w:val="null3"/>
            </w:pPr>
            <w:r>
              <w:rPr>
                <w:rFonts w:ascii="仿宋_GB2312" w:hAnsi="仿宋_GB2312" w:cs="仿宋_GB2312" w:eastAsia="仿宋_GB2312"/>
              </w:rPr>
              <w:t>供应商交付于采购人的项目成果文档无产权纠纷，成果有保障措施。 成果无纠纷，措施全面、合理、规范，可操作性强得6分；成果无纠纷，措施基本合理，有一定的可操作性得3分；成果无纠纷，措施简略，可操作性略有欠缺得1分；相关内容未提供得0分。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前期基础</w:t>
            </w:r>
          </w:p>
        </w:tc>
        <w:tc>
          <w:tcPr>
            <w:tcW w:type="dxa" w:w="2492"/>
          </w:tcPr>
          <w:p>
            <w:pPr>
              <w:pStyle w:val="null3"/>
            </w:pPr>
            <w:r>
              <w:rPr>
                <w:rFonts w:ascii="仿宋_GB2312" w:hAnsi="仿宋_GB2312" w:cs="仿宋_GB2312" w:eastAsia="仿宋_GB2312"/>
              </w:rPr>
              <w:t>前期研究基础以论文和专利为依据，每提供一个相关论文或一个专利计2分，满分10分。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一、评审内容 供应商针对本项目提供后续服务方案，包含但不限于：①保密承诺；②与采购人配合方案；③后期技术支持服务和培训服务等。 二、评审标准 方案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供应商提供自2023年1月1日至今（以合同签订时间为准）类似项目业绩，响应文件中附有其业绩证明材料，业绩以合同为依据，每提供一个计2分，满分4分。 （注：响应文件中提供复印件加盖供应商公章）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