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版本号：DZDL-2026-016Z20260518001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西安市体育训练中心足球场天然草坪养护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DZDL-2026-016Z</w:t>
      </w:r>
      <w:r>
        <w:br/>
      </w:r>
      <w:r>
        <w:br/>
      </w:r>
      <w:r>
        <w:br/>
      </w:r>
    </w:p>
    <w:p>
      <w:pPr>
        <w:pStyle w:val="null3"/>
        <w:jc w:val="center"/>
        <w:outlineLvl w:val="2"/>
      </w:pPr>
      <w:r>
        <w:rPr>
          <w:rFonts w:ascii="仿宋_GB2312" w:hAnsi="仿宋_GB2312" w:cs="仿宋_GB2312" w:eastAsia="仿宋_GB2312"/>
          <w:sz w:val="28"/>
          <w:b/>
        </w:rPr>
        <w:t>西安市足球运动管理中心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西安市足球运动管理中心</w:t>
      </w:r>
      <w:r>
        <w:rPr>
          <w:rFonts w:ascii="仿宋_GB2312" w:hAnsi="仿宋_GB2312" w:cs="仿宋_GB2312" w:eastAsia="仿宋_GB2312"/>
        </w:rPr>
        <w:t>委托，拟对</w:t>
      </w:r>
      <w:r>
        <w:rPr>
          <w:rFonts w:ascii="仿宋_GB2312" w:hAnsi="仿宋_GB2312" w:cs="仿宋_GB2312" w:eastAsia="仿宋_GB2312"/>
        </w:rPr>
        <w:t>西安市体育训练中心足球场天然草坪养护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DZDL-2026-016Z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西安市体育训练中心足球场天然草坪养护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西安市体育训练中心2块十一人制足球场天然草坪，养护周期为2026年7月1日-2027年6月30日，养护内容包括但不限于足球场草坪日常养护和全年赛事保障及赛事保障之外的草坪养护和活动保障等工作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采购包1（西安市体育训练中心足球场天然草坪养护）：属于专门面向中小企业采购。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西安市足球运动管理中心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 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经计算不足6000的，按6000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西安市足球运动管理中心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西安市足球运动管理中心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西安市足球运动管理中心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按国家现行项目实施规范和合同规定的验收评定标准等要求进行验收。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西安市体育训练中心2块十一人制足球场天然草坪，养护周期为2026年7月1日-2027年6月30日，养护内容包括但不限于足球场草坪日常养护和全年赛事保障及赛事保障之外的草坪养护和活动保障等工作。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足球场天然草坪养护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标的名称：足球场天然草坪养护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本项目采购内容如下：</w:t>
            </w:r>
          </w:p>
          <w:p>
            <w:pPr>
              <w:pStyle w:val="null3"/>
            </w:pPr>
            <w:r>
              <w:rPr>
                <w:rFonts w:ascii="仿宋_GB2312" w:hAnsi="仿宋_GB2312" w:cs="仿宋_GB2312" w:eastAsia="仿宋_GB2312"/>
              </w:rPr>
              <w:t>1、养护内容：西安市体育训练中心足球场2块十一人制标准天然草坪；</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2.1、打孔：每年不少于4次，春季两次，夏季一次，秋季一次；</w:t>
            </w:r>
          </w:p>
          <w:p>
            <w:pPr>
              <w:pStyle w:val="null3"/>
            </w:pPr>
            <w:r>
              <w:rPr>
                <w:rFonts w:ascii="仿宋_GB2312" w:hAnsi="仿宋_GB2312" w:cs="仿宋_GB2312" w:eastAsia="仿宋_GB2312"/>
              </w:rPr>
              <w:t>2.2、覆沙：每次5mm，全年机械整体覆沙找平次数不得少于4次，每次比赛后要及时进行覆沙找平。可结合打孔，梳草同时进行，平整度要求：每次整体覆沙找平后平整度要求直径3m范围内间隙应不大于10mm；</w:t>
            </w:r>
          </w:p>
          <w:p>
            <w:pPr>
              <w:pStyle w:val="null3"/>
            </w:pPr>
            <w:r>
              <w:rPr>
                <w:rFonts w:ascii="仿宋_GB2312" w:hAnsi="仿宋_GB2312" w:cs="仿宋_GB2312" w:eastAsia="仿宋_GB2312"/>
              </w:rPr>
              <w:t>2.3、施肥：保证15天施肥一次，一直到入冬覆盖每平方米用量25g；</w:t>
            </w:r>
          </w:p>
          <w:p>
            <w:pPr>
              <w:pStyle w:val="null3"/>
            </w:pPr>
            <w:r>
              <w:rPr>
                <w:rFonts w:ascii="仿宋_GB2312" w:hAnsi="仿宋_GB2312" w:cs="仿宋_GB2312" w:eastAsia="仿宋_GB2312"/>
              </w:rPr>
              <w:t>2.4、杀菌剂：打药频率：四月1次，五月2次，六月3次，七八月各4次，九月3次，十月1次，共计18次；</w:t>
            </w:r>
          </w:p>
          <w:p>
            <w:pPr>
              <w:pStyle w:val="null3"/>
            </w:pPr>
            <w:r>
              <w:rPr>
                <w:rFonts w:ascii="仿宋_GB2312" w:hAnsi="仿宋_GB2312" w:cs="仿宋_GB2312" w:eastAsia="仿宋_GB2312"/>
              </w:rPr>
              <w:t>2.5、杀虫剂：打药频率：四月1次， 五月1次， 六月-九月各2次，计14次，0.4g/㎡/次；</w:t>
            </w:r>
          </w:p>
          <w:p>
            <w:pPr>
              <w:pStyle w:val="null3"/>
            </w:pPr>
            <w:r>
              <w:rPr>
                <w:rFonts w:ascii="仿宋_GB2312" w:hAnsi="仿宋_GB2312" w:cs="仿宋_GB2312" w:eastAsia="仿宋_GB2312"/>
              </w:rPr>
              <w:t>2.6、修剪：年剪草60次，剪草、搂草、倒草；日常3-5天剪草一次，具体视季节天气等原因而定，每次留草高度2.5-3公分；</w:t>
            </w:r>
          </w:p>
          <w:p>
            <w:pPr>
              <w:pStyle w:val="null3"/>
            </w:pPr>
            <w:r>
              <w:rPr>
                <w:rFonts w:ascii="仿宋_GB2312" w:hAnsi="仿宋_GB2312" w:cs="仿宋_GB2312" w:eastAsia="仿宋_GB2312"/>
              </w:rPr>
              <w:t>2.7、梳草：梳草机梳草，深度2mm，年梳草4次，5月初2次；八月初2次；</w:t>
            </w:r>
          </w:p>
          <w:p>
            <w:pPr>
              <w:pStyle w:val="null3"/>
            </w:pPr>
            <w:r>
              <w:rPr>
                <w:rFonts w:ascii="仿宋_GB2312" w:hAnsi="仿宋_GB2312" w:cs="仿宋_GB2312" w:eastAsia="仿宋_GB2312"/>
              </w:rPr>
              <w:t>2.8、划线：每场比赛前2天；</w:t>
            </w:r>
          </w:p>
          <w:p>
            <w:pPr>
              <w:pStyle w:val="null3"/>
            </w:pPr>
            <w:r>
              <w:rPr>
                <w:rFonts w:ascii="仿宋_GB2312" w:hAnsi="仿宋_GB2312" w:cs="仿宋_GB2312" w:eastAsia="仿宋_GB2312"/>
              </w:rPr>
              <w:t>2.9、冬季覆盖：无纺布+遮阳网；</w:t>
            </w:r>
          </w:p>
          <w:p>
            <w:pPr>
              <w:pStyle w:val="null3"/>
            </w:pPr>
            <w:r>
              <w:rPr>
                <w:rFonts w:ascii="仿宋_GB2312" w:hAnsi="仿宋_GB2312" w:cs="仿宋_GB2312" w:eastAsia="仿宋_GB2312"/>
              </w:rPr>
              <w:t>2.10、补草：赛后草坪修补；</w:t>
            </w:r>
          </w:p>
          <w:p>
            <w:pPr>
              <w:pStyle w:val="null3"/>
            </w:pPr>
            <w:r>
              <w:rPr>
                <w:rFonts w:ascii="仿宋_GB2312" w:hAnsi="仿宋_GB2312" w:cs="仿宋_GB2312" w:eastAsia="仿宋_GB2312"/>
              </w:rPr>
              <w:t>2.11、灌溉：根据草坪生长而定，原则上一天不少于两次；</w:t>
            </w:r>
          </w:p>
          <w:p>
            <w:pPr>
              <w:pStyle w:val="null3"/>
            </w:pPr>
            <w:r>
              <w:rPr>
                <w:rFonts w:ascii="仿宋_GB2312" w:hAnsi="仿宋_GB2312" w:cs="仿宋_GB2312" w:eastAsia="仿宋_GB2312"/>
              </w:rPr>
              <w:t>2.12、机械滚压：每年不少于4次；</w:t>
            </w:r>
          </w:p>
          <w:p>
            <w:pPr>
              <w:pStyle w:val="null3"/>
            </w:pPr>
            <w:r>
              <w:rPr>
                <w:rFonts w:ascii="仿宋_GB2312" w:hAnsi="仿宋_GB2312" w:cs="仿宋_GB2312" w:eastAsia="仿宋_GB2312"/>
              </w:rPr>
              <w:t>2.13、清捡场地垃圾、保持场地清洁；</w:t>
            </w:r>
          </w:p>
          <w:p>
            <w:pPr>
              <w:pStyle w:val="null3"/>
            </w:pPr>
            <w:r>
              <w:rPr>
                <w:rFonts w:ascii="仿宋_GB2312" w:hAnsi="仿宋_GB2312" w:cs="仿宋_GB2312" w:eastAsia="仿宋_GB2312"/>
              </w:rPr>
              <w:t>2.14、设施修补：喷头、水管、机械设备等场地设施的更换与维修。</w:t>
            </w:r>
          </w:p>
          <w:p>
            <w:pPr>
              <w:pStyle w:val="null3"/>
            </w:pPr>
            <w:r>
              <w:rPr>
                <w:rFonts w:ascii="仿宋_GB2312" w:hAnsi="仿宋_GB2312" w:cs="仿宋_GB2312" w:eastAsia="仿宋_GB2312"/>
              </w:rPr>
              <w:t>3、制定场地的养护标准和养护方案，养护标准应达到中国足协所有赛事对场地的要求或者达到国际B类标准。</w:t>
            </w:r>
          </w:p>
          <w:p>
            <w:pPr>
              <w:pStyle w:val="null3"/>
            </w:pPr>
            <w:r>
              <w:rPr>
                <w:rFonts w:ascii="仿宋_GB2312" w:hAnsi="仿宋_GB2312" w:cs="仿宋_GB2312" w:eastAsia="仿宋_GB2312"/>
              </w:rPr>
              <w:t>4、保证草坪的日常养护工作（施肥、修剪、灌溉、打药、打孔、覆沙、滚压、除杂草及病虫害防治、梳草等）；</w:t>
            </w:r>
          </w:p>
          <w:p>
            <w:pPr>
              <w:pStyle w:val="null3"/>
            </w:pPr>
            <w:r>
              <w:rPr>
                <w:rFonts w:ascii="仿宋_GB2312" w:hAnsi="仿宋_GB2312" w:cs="仿宋_GB2312" w:eastAsia="仿宋_GB2312"/>
              </w:rPr>
              <w:t>5、保障各种赛事期间足球项目比赛的场地使用；</w:t>
            </w:r>
          </w:p>
          <w:p>
            <w:pPr>
              <w:pStyle w:val="null3"/>
            </w:pPr>
            <w:r>
              <w:rPr>
                <w:rFonts w:ascii="仿宋_GB2312" w:hAnsi="仿宋_GB2312" w:cs="仿宋_GB2312" w:eastAsia="仿宋_GB2312"/>
              </w:rPr>
              <w:t>6、保证大型活动使用后场地草坪恢复工作。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按国家现行项目实施规范和合同规定的验收评定标准等要求进行验收。（2）验收依据：本项目竞争性磋商文件、响应文件；本合同及附件文本；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进度款，合同签订后第二季度养护相关工作完成且经甲方确认后，达到付款条件起15个工作日内，支付合同总金额的60.0%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果成交供应商未能履行合同或履行合同不符合约定，采购人应就此向成交供应商发出书面通知，指出成交供应商没有适当履行的合同条款，并要求纠正。如果成交供应商确属违约，并且成交供应商在收到采购人书面通知之日起十五日内仍不纠正违约行为或已无法纠正，采购人有权要求成交供应商承担金额最高不超过服务费总额30％的违约金。2.采购人应当根据本合同约定按时向成交供应商付款，无正当理由迟延付款的，每迟延支付一日，应支付迟延付款金额0.1‰的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同时满足以下条款：（1）货币单位符合采购文件要求 ；（2）未超出采购预算或最高限价 ；（3）符合《分项报价表》、《报价表》及《标的清单》的填报要求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完全理解并接受对合格供应商、合格的货物、工程或服务要求，结合采购文件第三章“磋商项目技术、服务、商务及其他要求”的实质性要求且没有负偏离。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完全理解并接受采购文件《合同文本》条款的要求，且未有采购人不能接受的附加条件的。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报价表 资格证明文件.docx 供应商承诺书.docx 响应文件封面 分项报价表.docx 合同文本条款响应.docx 残疾人福利性单位声明函 服务方案 标的清单 项目实施人员情况表.docx 响应函 监狱企业的证明文件 类似项目业绩汇总表.docx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养护方案</w:t>
            </w:r>
          </w:p>
        </w:tc>
        <w:tc>
          <w:tcPr>
            <w:tcW w:type="dxa" w:w="2492"/>
          </w:tcPr>
          <w:p>
            <w:pPr>
              <w:pStyle w:val="null3"/>
            </w:pPr>
            <w:r>
              <w:rPr>
                <w:rFonts w:ascii="仿宋_GB2312" w:hAnsi="仿宋_GB2312" w:cs="仿宋_GB2312" w:eastAsia="仿宋_GB2312"/>
              </w:rPr>
              <w:t>一、评审内容 根据供应商针对本项目的养护方案，各部分内容全面详细、阐述条理清晰详尽、符合磋商文件要求。方案内容包含①项目目标分析；②现状分析及问题解决；③技术思路；④工作计划；⑤养护流程；⑥养护标准及规范；⑦日常养护；⑧比赛后恢复；⑨组织协调内容及措施；⑩监督巡查体系。 二、评审标准 1.完整性：方案必须全面，对评审内容中的各项要求有详细描述； 2.可实施性：切合本项目实际情况，实施步骤清晰、合理； 3.针对性：方案能够紧扣项目实际情况，内容科学合理。 三、赋分依据（满分30分） 以上每个评审项（①项目目标分析；②现状分析；③技术思路；④工作计划；⑤养护流程；⑥相关标准及规范；⑦重难点分析；⑧数据及资料管理；⑨组织协调内容及措施；⑩监督巡查体系）每完全满足一个评审标准得 1分，每个评审项满分3分。若该评审项内容欠缺，较难实施或非专门针对本项目、不适用本项目特性、套用其他项目内容，不利于采购目标的实现，该评审项得1分。未提供的不得分。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根据供应商针对本项目的质量保障措施，各部分内容全面详细、阐述条理清晰详尽、符合磋商文件要求。方案内容包含①质量问题分析；②保障措施。 二、评审标准 1.完整性：方案必须全面，对评审内容中的各项要求有详细描述； 2.可实施性：切合本项目实际情况，实施步骤清晰、合理； 3.针对性：方案能够紧扣项目实际情况，内容科学合理。 三、赋分依据（满分6分） 以上每个评审项（①质量问题分析；②保障措施）每完全满足一个评审标准得 1分，每个评审项满分3分。若该评审项内容欠缺，较难实施或非专门针对本项目、不适用本项目特性、套用其他项目内容，不利于采购目标的实现，该评审项得1分。未提供的不得分。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安全作业保障措施</w:t>
            </w:r>
          </w:p>
        </w:tc>
        <w:tc>
          <w:tcPr>
            <w:tcW w:type="dxa" w:w="2492"/>
          </w:tcPr>
          <w:p>
            <w:pPr>
              <w:pStyle w:val="null3"/>
            </w:pPr>
            <w:r>
              <w:rPr>
                <w:rFonts w:ascii="仿宋_GB2312" w:hAnsi="仿宋_GB2312" w:cs="仿宋_GB2312" w:eastAsia="仿宋_GB2312"/>
              </w:rPr>
              <w:t>一、评审内容 根据供应商针对本项目的安全作业保障措施，各部分内容全面详细、阐述条理清晰详尽、符合磋商文件要求。方案内容包含①安全隐患分析；②安全管理体系；③保障措施。 二、评审标准 1.完整性：方案必须全面，对评审内容中的各项要求有详细描述； 2.可实施性：切合本项目实际情况，实施步骤清晰、合理； 3.针对性：方案能够紧扣项目实际情况，内容科学合理。 三、赋分依据（满分9分） 以上每个评审项（①安全隐患分析；②安全管理体系；③保障措施）每完全满足一个评审标准得 1分，每个评审项满分3分。若该评审项内容欠缺，较难实施或非专门针对本项目、不适用本项目特性、套用其他项目内容，不利于采购目标的实现，该评审项得1分。未提供的不得分。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根据供应商针对本项目的应急预案，各部分内容全面详细、阐述条理清晰详尽、符合磋商文件要求。方案内容包含①详细应急保障及应急处理团队；②针对突发事件及紧急情况的应急预案。 二、评审标准 1.完整性：方案必须全面，对评审内容中的各项要求有详细描述； 2.可实施性：切合本项目实际情况，实施步骤清晰、合理； 3.针对性：方案能够紧扣项目实际情况，内容科学合理。 三、赋分依据（满分6分） 以上每个评审项（①详细应急保障及应急处理团队；②针对突发事件及紧急情况的应急预案）每完全满足一个评审标准得 1分，每个评审项满分3分。若该评审项内容欠缺，较难实施或非专门针对本项目、不适用本项目特性、套用其他项目内容，不利于采购目标的实现，该评审项得1分。未提供的不得分。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根据供应商针对本项目的管理制度，各部分内容全面详细、阐述条理清晰详尽、符合磋商文件要求。方案内容包含①内部管理制度；②操作规程；③奖惩制度。 二、评审标准 1.完整性：方案必须全面，对评审内容中的各项要求有详细描述； 2.可实施性：切合本项目实际情况，实施步骤清晰、合理； 3.针对性：方案能够紧扣项目实际情况，内容科学合理。 三、赋分依据（满分9分） 以上每个评审项（①内部管理制度；②操作规程；③奖惩制度）每完全满足一个评审标准得 1分，每个评审项满分3分。若该评审项内容欠缺，较难实施或非专门针对本项目、不适用本项目特性、套用其他项目内容，不利于采购目标的实现，该评审项得1分。未提供的不得分。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根据拟派项目负责人的技术能力及从业经验进行赋分。项目负责人经验丰富，具备相关专业技术能力的证明材料得4分；项目负责人经验丰富，没有明确的相关专业技术能力的证明材料得3分；项目负责人经验较为丰富，没有明确的相关专业技术能力的证明材料得1分；未提供或项目负责人没有能明确达到本项目相关技术要求的得0分。评审依据：以加盖供应商公章的人员从业经验承诺或说明、相关资格证书及近6个月社保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技术服务团队</w:t>
            </w:r>
          </w:p>
        </w:tc>
        <w:tc>
          <w:tcPr>
            <w:tcW w:type="dxa" w:w="2492"/>
          </w:tcPr>
          <w:p>
            <w:pPr>
              <w:pStyle w:val="null3"/>
            </w:pPr>
            <w:r>
              <w:rPr>
                <w:rFonts w:ascii="仿宋_GB2312" w:hAnsi="仿宋_GB2312" w:cs="仿宋_GB2312" w:eastAsia="仿宋_GB2312"/>
              </w:rPr>
              <w:t>技术服务团队（除项目负责人）组织架构完整，岗位设置合理、明确，投入人员专业性、经验性强，对本项目有针对性得10分；技术服务团队（除项目负责人）组织架构基本完整，岗位设置基本合理，能够基本满足本项目采购要求得7分；技术服务团队（除项目负责人）组织架构完善程度一般，人员岗位设置合理性一般，人员专业性、经验性一般得5分。 评审依据：以加盖供应商公章的人员从业经验承诺或说明、相关资格证书及近6个月社保证明。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机具配备</w:t>
            </w:r>
          </w:p>
        </w:tc>
        <w:tc>
          <w:tcPr>
            <w:tcW w:type="dxa" w:w="2492"/>
          </w:tcPr>
          <w:p>
            <w:pPr>
              <w:pStyle w:val="null3"/>
            </w:pPr>
            <w:r>
              <w:rPr>
                <w:rFonts w:ascii="仿宋_GB2312" w:hAnsi="仿宋_GB2312" w:cs="仿宋_GB2312" w:eastAsia="仿宋_GB2312"/>
              </w:rPr>
              <w:t>一、评审内容 根据供应商针对本项目的机具配备方案，各部分内容全面详细、阐述条理清晰详尽、符合磋商文件要求。方案内容包含①机具清单及图片说明；②备品备件清单。 二、评审标准 1.可实施性：切合本项目实际情况，实施步骤清晰、合理； 2.针对性：方案能够紧扣项目实际情况，内容科学合理。 三、赋分依据（满分8分） 以上每个评审项（①机具清单及图片说明；②备品备件清单）每完全满足一个评审标准得 2分，每个评审项满分4分。若该评审项内容欠缺，较难实施或非专门针对本项目、不适用本项目特性、套用其他项目内容，不利于采购目标的实现，该评审项得1分。未提供的不得分。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拟投入项目的专业设备情况表.docx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供应商2023年1月至今具有类似项目业绩，每提供1个得2分，满分8分。 评审依据：以合同签订时间为准，提供合同扫描件加盖公章。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有效供应商的最终报价的最低值为基准价得10分，其他各供应商的最终报价得分按下列公式计算：（基准价/最终报价）×10％×100。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详见附件：类似项目业绩汇总表.docx</w:t>
      </w:r>
    </w:p>
    <w:p>
      <w:pPr>
        <w:pStyle w:val="null3"/>
        <w:ind w:firstLine="960"/>
      </w:pPr>
      <w:r>
        <w:rPr>
          <w:rFonts w:ascii="仿宋_GB2312" w:hAnsi="仿宋_GB2312" w:cs="仿宋_GB2312" w:eastAsia="仿宋_GB2312"/>
        </w:rPr>
        <w:t>详见附件：拟投入项目的专业设备情况表.docx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