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7463B">
      <w:pPr>
        <w:spacing w:line="360" w:lineRule="auto"/>
        <w:jc w:val="center"/>
        <w:rPr>
          <w:rFonts w:ascii="仿宋" w:hAnsi="仿宋" w:eastAsia="仿宋" w:cs="仿宋"/>
          <w:sz w:val="18"/>
          <w:szCs w:val="21"/>
          <w:highlight w:val="none"/>
        </w:rPr>
      </w:pPr>
      <w:bookmarkStart w:id="0" w:name="_Toc31520"/>
      <w:bookmarkStart w:id="1" w:name="_Toc19246"/>
      <w:bookmarkStart w:id="2" w:name="_Toc19199"/>
      <w:bookmarkStart w:id="3" w:name="_Toc26595"/>
      <w:bookmarkStart w:id="4" w:name="_Toc8333"/>
      <w:bookmarkStart w:id="5" w:name="_Toc4679"/>
      <w:bookmarkStart w:id="6" w:name="_Toc29888"/>
      <w:bookmarkStart w:id="7" w:name="_Toc423973075"/>
      <w:bookmarkStart w:id="8" w:name="_Toc389582037"/>
      <w:r>
        <w:rPr>
          <w:rFonts w:hint="eastAsia" w:ascii="仿宋" w:hAnsi="仿宋" w:cs="仿宋"/>
          <w:b/>
          <w:bCs/>
          <w:sz w:val="40"/>
          <w:szCs w:val="28"/>
          <w:highlight w:val="none"/>
        </w:rPr>
        <w:t>服务项目合同</w:t>
      </w:r>
    </w:p>
    <w:p w14:paraId="6E18D1A2">
      <w:pPr>
        <w:spacing w:after="120" w:line="360" w:lineRule="auto"/>
        <w:rPr>
          <w:rFonts w:ascii="仿宋" w:hAnsi="仿宋" w:eastAsia="仿宋" w:cs="仿宋"/>
          <w:highlight w:val="none"/>
        </w:rPr>
      </w:pPr>
    </w:p>
    <w:p w14:paraId="42269FDB">
      <w:pPr>
        <w:spacing w:line="360" w:lineRule="auto"/>
        <w:ind w:firstLine="422" w:firstLineChars="200"/>
        <w:rPr>
          <w:rFonts w:cs="宋体" w:asciiTheme="minorHAnsi" w:hAnsiTheme="minorHAnsi" w:eastAsiaTheme="minorEastAsia"/>
          <w:b/>
          <w:color w:val="000000"/>
          <w:kern w:val="0"/>
          <w:szCs w:val="21"/>
          <w:highlight w:val="none"/>
        </w:rPr>
      </w:pPr>
      <w:bookmarkStart w:id="9" w:name="_Toc24810"/>
      <w:bookmarkStart w:id="10" w:name="_Toc16824"/>
      <w:r>
        <w:rPr>
          <w:rFonts w:cs="宋体" w:asciiTheme="minorHAnsi" w:hAnsiTheme="minorHAnsi" w:eastAsiaTheme="minorEastAsia"/>
          <w:b/>
          <w:color w:val="000000"/>
          <w:kern w:val="0"/>
          <w:szCs w:val="21"/>
          <w:highlight w:val="none"/>
        </w:rPr>
        <w:t>合同编号：</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p>
    <w:p w14:paraId="10A28055">
      <w:pPr>
        <w:spacing w:line="360" w:lineRule="auto"/>
        <w:ind w:firstLine="420" w:firstLineChars="200"/>
        <w:rPr>
          <w:rFonts w:cs="宋体" w:asciiTheme="minorHAnsi" w:hAnsiTheme="minorHAnsi" w:eastAsiaTheme="minorEastAsia"/>
          <w:color w:val="000000"/>
          <w:kern w:val="0"/>
          <w:szCs w:val="21"/>
          <w:highlight w:val="none"/>
        </w:rPr>
      </w:pPr>
    </w:p>
    <w:p w14:paraId="290F069D">
      <w:pPr>
        <w:spacing w:line="360" w:lineRule="auto"/>
        <w:ind w:firstLine="420" w:firstLineChars="200"/>
        <w:rPr>
          <w:rFonts w:cs="宋体" w:asciiTheme="minorHAnsi" w:hAnsiTheme="minorHAnsi" w:eastAsiaTheme="minorEastAsia"/>
          <w:color w:val="000000"/>
          <w:kern w:val="0"/>
          <w:szCs w:val="21"/>
          <w:highlight w:val="none"/>
          <w:u w:val="single"/>
        </w:rPr>
      </w:pPr>
      <w:r>
        <w:rPr>
          <w:rFonts w:cs="宋体" w:asciiTheme="minorHAnsi" w:hAnsiTheme="minorHAnsi" w:eastAsiaTheme="minorEastAsia"/>
          <w:color w:val="000000"/>
          <w:kern w:val="0"/>
          <w:szCs w:val="21"/>
          <w:highlight w:val="none"/>
        </w:rPr>
        <w:t>甲方：</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rPr>
        <w:t>（采购人）</w:t>
      </w:r>
    </w:p>
    <w:p w14:paraId="62DB64C2">
      <w:pPr>
        <w:spacing w:line="360" w:lineRule="auto"/>
        <w:ind w:firstLine="420" w:firstLineChars="200"/>
        <w:rPr>
          <w:rFonts w:cs="宋体" w:asciiTheme="minorHAnsi" w:hAnsiTheme="minorHAnsi" w:eastAsiaTheme="minorEastAsia"/>
          <w:color w:val="000000"/>
          <w:kern w:val="0"/>
          <w:szCs w:val="21"/>
          <w:highlight w:val="none"/>
          <w:u w:val="single"/>
        </w:rPr>
      </w:pPr>
      <w:r>
        <w:rPr>
          <w:rFonts w:cs="宋体" w:asciiTheme="minorHAnsi" w:hAnsiTheme="minorHAnsi" w:eastAsiaTheme="minorEastAsia"/>
          <w:color w:val="000000"/>
          <w:kern w:val="0"/>
          <w:szCs w:val="21"/>
          <w:highlight w:val="none"/>
        </w:rPr>
        <w:t>地址：</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p>
    <w:p w14:paraId="0B55C782">
      <w:pPr>
        <w:spacing w:line="360" w:lineRule="auto"/>
        <w:ind w:firstLine="420" w:firstLineChars="200"/>
        <w:rPr>
          <w:rFonts w:asciiTheme="minorHAnsi" w:hAnsiTheme="minorHAnsi" w:eastAsiaTheme="minorEastAsia"/>
          <w:highlight w:val="none"/>
        </w:rPr>
      </w:pPr>
      <w:r>
        <w:rPr>
          <w:rFonts w:cs="宋体" w:asciiTheme="minorHAnsi" w:hAnsiTheme="minorHAnsi" w:eastAsiaTheme="minorEastAsia"/>
          <w:color w:val="000000"/>
          <w:kern w:val="0"/>
          <w:szCs w:val="21"/>
          <w:highlight w:val="none"/>
        </w:rPr>
        <w:t>联系人及方式：</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p>
    <w:p w14:paraId="3F70CE96">
      <w:pPr>
        <w:spacing w:line="360" w:lineRule="auto"/>
        <w:ind w:firstLine="420" w:firstLineChars="200"/>
        <w:rPr>
          <w:rFonts w:cs="宋体" w:asciiTheme="minorHAnsi" w:hAnsiTheme="minorHAnsi" w:eastAsiaTheme="minorEastAsia"/>
          <w:color w:val="000000"/>
          <w:kern w:val="0"/>
          <w:szCs w:val="21"/>
          <w:highlight w:val="none"/>
        </w:rPr>
      </w:pPr>
    </w:p>
    <w:p w14:paraId="6FA9A772">
      <w:pPr>
        <w:spacing w:line="360" w:lineRule="auto"/>
        <w:ind w:firstLine="420" w:firstLineChars="200"/>
        <w:rPr>
          <w:rFonts w:cs="宋体" w:asciiTheme="minorHAnsi" w:hAnsiTheme="minorHAnsi" w:eastAsiaTheme="minorEastAsia"/>
          <w:color w:val="000000"/>
          <w:kern w:val="0"/>
          <w:szCs w:val="21"/>
          <w:highlight w:val="none"/>
          <w:u w:val="single"/>
        </w:rPr>
      </w:pPr>
      <w:r>
        <w:rPr>
          <w:rFonts w:cs="宋体" w:asciiTheme="minorHAnsi" w:hAnsiTheme="minorHAnsi" w:eastAsiaTheme="minorEastAsia"/>
          <w:color w:val="000000"/>
          <w:kern w:val="0"/>
          <w:szCs w:val="21"/>
          <w:highlight w:val="none"/>
        </w:rPr>
        <w:t>乙方：</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rPr>
        <w:t>（成交供应商）</w:t>
      </w:r>
    </w:p>
    <w:p w14:paraId="7CC80300">
      <w:pPr>
        <w:spacing w:line="360" w:lineRule="auto"/>
        <w:ind w:firstLine="420" w:firstLineChars="200"/>
        <w:rPr>
          <w:rFonts w:cs="宋体" w:asciiTheme="minorHAnsi" w:hAnsiTheme="minorHAnsi" w:eastAsiaTheme="minorEastAsia"/>
          <w:color w:val="000000"/>
          <w:kern w:val="0"/>
          <w:szCs w:val="21"/>
          <w:highlight w:val="none"/>
          <w:u w:val="single"/>
        </w:rPr>
      </w:pPr>
      <w:r>
        <w:rPr>
          <w:rFonts w:cs="宋体" w:asciiTheme="minorHAnsi" w:hAnsiTheme="minorHAnsi" w:eastAsiaTheme="minorEastAsia"/>
          <w:color w:val="000000"/>
          <w:kern w:val="0"/>
          <w:szCs w:val="21"/>
          <w:highlight w:val="none"/>
        </w:rPr>
        <w:t>地址：</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p>
    <w:p w14:paraId="05F7008E">
      <w:pPr>
        <w:spacing w:line="360" w:lineRule="auto"/>
        <w:ind w:firstLine="420" w:firstLineChars="200"/>
        <w:rPr>
          <w:rFonts w:asciiTheme="minorHAnsi" w:hAnsiTheme="minorHAnsi" w:eastAsiaTheme="minorEastAsia"/>
          <w:highlight w:val="none"/>
        </w:rPr>
      </w:pPr>
      <w:r>
        <w:rPr>
          <w:rFonts w:cs="宋体" w:asciiTheme="minorHAnsi" w:hAnsiTheme="minorHAnsi" w:eastAsiaTheme="minorEastAsia"/>
          <w:color w:val="000000"/>
          <w:kern w:val="0"/>
          <w:szCs w:val="21"/>
          <w:highlight w:val="none"/>
        </w:rPr>
        <w:t>联系人及方式：</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u w:val="single"/>
        </w:rPr>
        <w:t xml:space="preserve">      </w:t>
      </w:r>
      <w:r>
        <w:rPr>
          <w:rFonts w:hint="eastAsia" w:cs="宋体" w:asciiTheme="minorHAnsi" w:hAnsiTheme="minorHAnsi" w:eastAsiaTheme="minorEastAsia"/>
          <w:color w:val="000000"/>
          <w:kern w:val="0"/>
          <w:szCs w:val="21"/>
          <w:highlight w:val="none"/>
          <w:u w:val="single"/>
        </w:rPr>
        <w:t xml:space="preserve">         </w:t>
      </w:r>
    </w:p>
    <w:p w14:paraId="1AADA0E1">
      <w:pPr>
        <w:pStyle w:val="4"/>
        <w:spacing w:line="360" w:lineRule="auto"/>
        <w:ind w:left="63" w:right="63"/>
        <w:rPr>
          <w:rFonts w:asciiTheme="minorHAnsi" w:hAnsiTheme="minorHAnsi" w:eastAsiaTheme="minorEastAsia"/>
          <w:highlight w:val="none"/>
        </w:rPr>
      </w:pPr>
    </w:p>
    <w:p w14:paraId="465F19FF">
      <w:pPr>
        <w:tabs>
          <w:tab w:val="left" w:pos="900"/>
        </w:tabs>
        <w:spacing w:line="360" w:lineRule="auto"/>
        <w:ind w:firstLine="472" w:firstLineChars="225"/>
        <w:rPr>
          <w:rFonts w:cs="宋体" w:asciiTheme="minorHAnsi" w:hAnsiTheme="minorHAnsi" w:eastAsiaTheme="minorEastAsia"/>
          <w:color w:val="000000"/>
          <w:kern w:val="0"/>
          <w:szCs w:val="21"/>
          <w:highlight w:val="none"/>
        </w:rPr>
      </w:pPr>
      <w:r>
        <w:rPr>
          <w:rFonts w:cs="宋体" w:asciiTheme="minorHAnsi" w:hAnsiTheme="minorHAnsi" w:eastAsiaTheme="minorEastAsia"/>
          <w:color w:val="000000"/>
          <w:kern w:val="0"/>
          <w:szCs w:val="21"/>
          <w:highlight w:val="none"/>
        </w:rPr>
        <w:t>为了保证本合同项目的顺利进行，根据《中华人民共和国民法典》等相关法律、法规的规定及甲方关于</w:t>
      </w:r>
      <w:r>
        <w:rPr>
          <w:rFonts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rPr>
        <w:t>（项目名称）的磋商结果和磋商文件</w:t>
      </w:r>
      <w:r>
        <w:rPr>
          <w:rFonts w:cs="宋体" w:asciiTheme="minorHAnsi" w:hAnsiTheme="minorHAnsi" w:eastAsiaTheme="minorEastAsia"/>
          <w:color w:val="000000"/>
          <w:kern w:val="0"/>
          <w:szCs w:val="21"/>
          <w:highlight w:val="none"/>
          <w:u w:val="single"/>
        </w:rPr>
        <w:t xml:space="preserve">                 </w:t>
      </w:r>
      <w:r>
        <w:rPr>
          <w:rFonts w:cs="宋体" w:asciiTheme="minorHAnsi" w:hAnsiTheme="minorHAnsi" w:eastAsiaTheme="minorEastAsia"/>
          <w:color w:val="000000"/>
          <w:kern w:val="0"/>
          <w:szCs w:val="21"/>
          <w:highlight w:val="none"/>
        </w:rPr>
        <w:t>的要求，经甲乙双方协商一致，签订本合同，共同遵守。</w:t>
      </w:r>
    </w:p>
    <w:p w14:paraId="532FCDD7">
      <w:pPr>
        <w:tabs>
          <w:tab w:val="left" w:pos="900"/>
        </w:tabs>
        <w:spacing w:line="360" w:lineRule="auto"/>
        <w:ind w:firstLine="474" w:firstLineChars="225"/>
        <w:rPr>
          <w:rFonts w:ascii="宋体" w:hAnsi="宋体" w:cs="宋体"/>
          <w:b/>
          <w:color w:val="000000"/>
          <w:kern w:val="0"/>
          <w:szCs w:val="21"/>
          <w:highlight w:val="none"/>
        </w:rPr>
      </w:pPr>
      <w:r>
        <w:rPr>
          <w:rFonts w:hint="eastAsia" w:ascii="宋体" w:hAnsi="宋体" w:cs="宋体"/>
          <w:b/>
          <w:color w:val="000000"/>
          <w:kern w:val="0"/>
          <w:szCs w:val="21"/>
          <w:highlight w:val="none"/>
        </w:rPr>
        <w:t>1.定义</w:t>
      </w:r>
      <w:bookmarkEnd w:id="9"/>
      <w:bookmarkEnd w:id="10"/>
    </w:p>
    <w:p w14:paraId="6569FABA">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本合同中的下列术语应解释为：</w:t>
      </w:r>
    </w:p>
    <w:p w14:paraId="725C4F7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1.1 “合同”系指本合同，包括本合同附带的所有附件、附录和构成合同的其它文件，除非另有特别说明或限定。</w:t>
      </w:r>
    </w:p>
    <w:p w14:paraId="05869C1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1.2 “合同款”系指根据本合同约定，甲方需就乙方提供的服务内容向乙方支付的款项。</w:t>
      </w:r>
    </w:p>
    <w:p w14:paraId="22FCA1D9">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1.3 “人员”系指作为雇员由乙方雇佣并被分配执行本合同服务内容的人员。</w:t>
      </w:r>
    </w:p>
    <w:p w14:paraId="1BD394AC">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1.4 “服务”系指由乙方根据本合同服务内容要求所实施的工作。</w:t>
      </w:r>
    </w:p>
    <w:p w14:paraId="705F5DA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1.5 “甲方”系指与供应单位签署服务合同的单位（含最终用户），即买方。</w:t>
      </w:r>
    </w:p>
    <w:p w14:paraId="32D2C31E">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1.6 “乙方”系指根据合同约定提供服务的供应单位，即卖方。</w:t>
      </w:r>
    </w:p>
    <w:p w14:paraId="4621088A">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1.7 “现场”系指合同约定服务内容实施地点。</w:t>
      </w:r>
    </w:p>
    <w:p w14:paraId="0A6B7BA8">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1.8 “必要的支持”系为保证乙方执行合同项下的服务所必须，甲方免费提供的数据、服务、设备以及便利。</w:t>
      </w:r>
    </w:p>
    <w:p w14:paraId="60992BA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1.9“项目”系指《</w:t>
      </w:r>
      <w:r>
        <w:rPr>
          <w:rFonts w:hint="eastAsia" w:ascii="宋体" w:hAnsi="宋体" w:cs="宋体"/>
          <w:color w:val="000000"/>
          <w:kern w:val="0"/>
          <w:szCs w:val="21"/>
          <w:highlight w:val="none"/>
          <w:u w:val="single"/>
        </w:rPr>
        <w:t>（项目名称）</w:t>
      </w:r>
      <w:r>
        <w:rPr>
          <w:rFonts w:hint="eastAsia" w:ascii="宋体" w:hAnsi="宋体" w:cs="宋体"/>
          <w:color w:val="000000"/>
          <w:kern w:val="0"/>
          <w:szCs w:val="21"/>
          <w:highlight w:val="none"/>
        </w:rPr>
        <w:t>》服务项目名称。</w:t>
      </w:r>
    </w:p>
    <w:p w14:paraId="7EC9C5DC">
      <w:pPr>
        <w:tabs>
          <w:tab w:val="left" w:pos="900"/>
        </w:tabs>
        <w:spacing w:line="360" w:lineRule="auto"/>
        <w:ind w:firstLine="422" w:firstLineChars="200"/>
        <w:rPr>
          <w:rFonts w:ascii="宋体" w:hAnsi="宋体" w:cs="宋体"/>
          <w:b/>
          <w:color w:val="000000"/>
          <w:kern w:val="0"/>
          <w:szCs w:val="21"/>
          <w:highlight w:val="none"/>
        </w:rPr>
      </w:pPr>
      <w:bookmarkStart w:id="11" w:name="_Toc32760"/>
      <w:bookmarkStart w:id="12" w:name="_Toc2368"/>
      <w:r>
        <w:rPr>
          <w:rFonts w:hint="eastAsia" w:ascii="宋体" w:hAnsi="宋体" w:cs="宋体"/>
          <w:b/>
          <w:color w:val="000000"/>
          <w:kern w:val="0"/>
          <w:szCs w:val="21"/>
          <w:highlight w:val="none"/>
        </w:rPr>
        <w:t>2.合同组成部分：</w:t>
      </w:r>
      <w:bookmarkEnd w:id="11"/>
      <w:bookmarkEnd w:id="12"/>
    </w:p>
    <w:p w14:paraId="27662FB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（1）合同文本及合同补充文件（条款）；</w:t>
      </w:r>
    </w:p>
    <w:p w14:paraId="75BDD6BA">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 xml:space="preserve">（2）国家和行业制定的相应的标准和规范； </w:t>
      </w:r>
    </w:p>
    <w:p w14:paraId="43D9D289">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（3）磋商文件；</w:t>
      </w:r>
    </w:p>
    <w:p w14:paraId="3718D41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（4）成交单位的响应文件；</w:t>
      </w:r>
    </w:p>
    <w:p w14:paraId="131DC68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（5）货物/服务清单等其他相关附件。</w:t>
      </w:r>
    </w:p>
    <w:p w14:paraId="2D527033">
      <w:pPr>
        <w:tabs>
          <w:tab w:val="left" w:pos="900"/>
        </w:tabs>
        <w:spacing w:line="360" w:lineRule="auto"/>
        <w:ind w:firstLine="422" w:firstLineChars="200"/>
        <w:rPr>
          <w:rFonts w:ascii="宋体" w:hAnsi="宋体" w:cs="宋体"/>
          <w:b/>
          <w:color w:val="000000"/>
          <w:kern w:val="0"/>
          <w:szCs w:val="21"/>
          <w:highlight w:val="none"/>
        </w:rPr>
      </w:pPr>
      <w:r>
        <w:rPr>
          <w:rFonts w:hint="eastAsia" w:ascii="宋体" w:hAnsi="宋体" w:cs="宋体"/>
          <w:b/>
          <w:color w:val="000000"/>
          <w:kern w:val="0"/>
          <w:szCs w:val="21"/>
          <w:highlight w:val="none"/>
        </w:rPr>
        <w:t>3.服务内容</w:t>
      </w:r>
      <w:bookmarkStart w:id="13" w:name="_Toc14579"/>
      <w:bookmarkStart w:id="14" w:name="_Toc2258"/>
    </w:p>
    <w:p w14:paraId="5038C17C">
      <w:pPr>
        <w:tabs>
          <w:tab w:val="left" w:pos="5865"/>
        </w:tabs>
        <w:spacing w:line="360" w:lineRule="auto"/>
        <w:ind w:firstLine="420" w:firstLineChars="200"/>
        <w:rPr>
          <w:rFonts w:ascii="宋体" w:hAnsi="宋体" w:cs="宋体"/>
          <w:bCs/>
          <w:kern w:val="0"/>
          <w:szCs w:val="21"/>
          <w:highlight w:val="none"/>
        </w:rPr>
      </w:pPr>
      <w:r>
        <w:rPr>
          <w:rFonts w:hint="eastAsia" w:ascii="宋体" w:hAnsi="宋体"/>
          <w:kern w:val="0"/>
          <w:szCs w:val="21"/>
          <w:highlight w:val="none"/>
        </w:rPr>
        <w:t>西安市体育训练中心</w:t>
      </w:r>
      <w:r>
        <w:rPr>
          <w:rFonts w:hint="eastAsia" w:ascii="宋体" w:hAnsi="宋体" w:cs="宋体"/>
          <w:bCs/>
          <w:kern w:val="0"/>
          <w:szCs w:val="21"/>
          <w:highlight w:val="none"/>
        </w:rPr>
        <w:t>2块十一人制足球场天然草坪，养护周期为2</w:t>
      </w:r>
      <w:r>
        <w:rPr>
          <w:rFonts w:ascii="宋体" w:hAnsi="宋体" w:cs="宋体"/>
          <w:bCs/>
          <w:kern w:val="0"/>
          <w:szCs w:val="21"/>
          <w:highlight w:val="none"/>
        </w:rPr>
        <w:t>026</w:t>
      </w:r>
      <w:r>
        <w:rPr>
          <w:rFonts w:hint="eastAsia" w:ascii="宋体" w:hAnsi="宋体" w:cs="宋体"/>
          <w:bCs/>
          <w:kern w:val="0"/>
          <w:szCs w:val="21"/>
          <w:highlight w:val="none"/>
        </w:rPr>
        <w:t>年7月1日-</w:t>
      </w:r>
      <w:r>
        <w:rPr>
          <w:rFonts w:ascii="宋体" w:hAnsi="宋体" w:cs="宋体"/>
          <w:bCs/>
          <w:kern w:val="0"/>
          <w:szCs w:val="21"/>
          <w:highlight w:val="none"/>
        </w:rPr>
        <w:t>2027</w:t>
      </w:r>
      <w:r>
        <w:rPr>
          <w:rFonts w:hint="eastAsia" w:ascii="宋体" w:hAnsi="宋体" w:cs="宋体"/>
          <w:bCs/>
          <w:kern w:val="0"/>
          <w:szCs w:val="21"/>
          <w:highlight w:val="none"/>
        </w:rPr>
        <w:t>年6月3</w:t>
      </w:r>
      <w:r>
        <w:rPr>
          <w:rFonts w:ascii="宋体" w:hAnsi="宋体" w:cs="宋体"/>
          <w:bCs/>
          <w:kern w:val="0"/>
          <w:szCs w:val="21"/>
          <w:highlight w:val="none"/>
        </w:rPr>
        <w:t>0</w:t>
      </w:r>
      <w:r>
        <w:rPr>
          <w:rFonts w:hint="eastAsia" w:ascii="宋体" w:hAnsi="宋体" w:cs="宋体"/>
          <w:bCs/>
          <w:kern w:val="0"/>
          <w:szCs w:val="21"/>
          <w:highlight w:val="none"/>
        </w:rPr>
        <w:t>日，养护内容包括但不限于足</w:t>
      </w:r>
      <w:bookmarkStart w:id="29" w:name="_GoBack"/>
      <w:bookmarkEnd w:id="29"/>
      <w:r>
        <w:rPr>
          <w:rFonts w:hint="eastAsia" w:ascii="宋体" w:hAnsi="宋体" w:cs="宋体"/>
          <w:bCs/>
          <w:kern w:val="0"/>
          <w:szCs w:val="21"/>
          <w:highlight w:val="none"/>
        </w:rPr>
        <w:t>球场草坪日常养护和全年赛事保障及赛事保障之外的草坪养护和活动保障等工作。</w:t>
      </w:r>
    </w:p>
    <w:p w14:paraId="3A6B2A8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3.1技术服务要求</w:t>
      </w:r>
    </w:p>
    <w:p w14:paraId="2D7E09CC">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3.1.1打孔：每年不少于4次，春季两次，夏季一次，秋季一次；</w:t>
      </w:r>
    </w:p>
    <w:p w14:paraId="1974A2A0">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3.1.2覆沙：每次5mm，全年机械整体覆沙找平次数不得少于4次，每次比赛后要及时进行覆沙找平。可结合打孔，梳草同时进行，平整度要求：每次整体覆沙找平后平整度要求直径3m范围内间隙应不大于10mm；</w:t>
      </w:r>
    </w:p>
    <w:p w14:paraId="0DFA04D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3.1.3施肥：保证15天施肥一次，一直到入冬覆盖每平方米用量25g；</w:t>
      </w:r>
    </w:p>
    <w:p w14:paraId="1F7A634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3.1.4杀菌剂：打药频率：四月1次，五月2次，六月3次，七八月各4次，九月3次，十月1次，共计18次；</w:t>
      </w:r>
    </w:p>
    <w:p w14:paraId="0A876E9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3.1.5杀虫剂：打药频率：四月1次， 五月1次， 六月-九月各2次，计14次，0.4g/㎡/次；</w:t>
      </w:r>
    </w:p>
    <w:p w14:paraId="74216ACD">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3.1.6修剪：年剪草60次，剪草、搂草、倒草；日常3-5天剪草一次，具体视季节天气等愿因而定，每次留草高度2.5-3公分；</w:t>
      </w:r>
    </w:p>
    <w:p w14:paraId="7034BF1D">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3.1.7梳草：梳草机梳草，深度2mm，年梳草4次，5月初2次；八月初2次。</w:t>
      </w:r>
    </w:p>
    <w:p w14:paraId="6DC2E8CA">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3.1.8划线：每</w:t>
      </w:r>
      <w:r>
        <w:rPr>
          <w:rFonts w:hint="eastAsia" w:ascii="宋体" w:hAnsi="宋体" w:cs="宋体"/>
          <w:color w:val="000000"/>
          <w:kern w:val="0"/>
          <w:szCs w:val="21"/>
          <w:highlight w:val="none"/>
          <w:lang w:val="en-US" w:eastAsia="zh-CN"/>
        </w:rPr>
        <w:tab/>
      </w:r>
      <w:r>
        <w:rPr>
          <w:rFonts w:hint="eastAsia" w:ascii="宋体" w:hAnsi="宋体" w:cs="宋体"/>
          <w:color w:val="000000"/>
          <w:kern w:val="0"/>
          <w:szCs w:val="21"/>
          <w:highlight w:val="none"/>
        </w:rPr>
        <w:t>场比赛前2天；</w:t>
      </w:r>
    </w:p>
    <w:p w14:paraId="0D664E1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3.1.9补草：赛后草坪修补；</w:t>
      </w:r>
    </w:p>
    <w:p w14:paraId="39E0B9D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3.1.10灌溉：根据草坪生长而定，原则上一天不少于两次；</w:t>
      </w:r>
    </w:p>
    <w:p w14:paraId="07724DDF">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3.1.12机械滚压：服务期间不少于4次；</w:t>
      </w:r>
    </w:p>
    <w:p w14:paraId="12BB8EBE">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3.1.13清捡场地垃圾、保持场地清洁；</w:t>
      </w:r>
    </w:p>
    <w:p w14:paraId="786A5CE7">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3.1.14设施修补：喷头、水管、机械设备等场地设施的更换与维修。</w:t>
      </w:r>
    </w:p>
    <w:p w14:paraId="423296B9">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3.2制定场地的养护标准和养护方案，养护标准应达到中国足协所有赛事对场地的要求或者达到国际B类标准。</w:t>
      </w:r>
    </w:p>
    <w:p w14:paraId="640B3FF8">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3.3保证草坪的日常养护工作（施肥、修剪、灌溉、打药、打孔、覆沙、滚压、除杂草及病虫害防治、梳草等）；</w:t>
      </w:r>
    </w:p>
    <w:p w14:paraId="412D77C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3.4保障各种赛事期间足球项目比赛的场地使用；</w:t>
      </w:r>
    </w:p>
    <w:p w14:paraId="6DD6DD31">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3.5保证大型活动使用后场地草坪恢复工作。</w:t>
      </w:r>
    </w:p>
    <w:p w14:paraId="700CD4A2">
      <w:pPr>
        <w:tabs>
          <w:tab w:val="left" w:pos="5865"/>
        </w:tabs>
        <w:spacing w:line="360" w:lineRule="auto"/>
        <w:ind w:firstLine="422" w:firstLineChars="200"/>
        <w:rPr>
          <w:rFonts w:ascii="宋体" w:hAnsi="宋体" w:cs="宋体"/>
          <w:b/>
          <w:color w:val="000000"/>
          <w:kern w:val="0"/>
          <w:szCs w:val="21"/>
          <w:highlight w:val="none"/>
        </w:rPr>
      </w:pPr>
      <w:r>
        <w:rPr>
          <w:rFonts w:hint="eastAsia" w:ascii="宋体" w:hAnsi="宋体" w:cs="宋体"/>
          <w:b/>
          <w:color w:val="000000"/>
          <w:kern w:val="0"/>
          <w:szCs w:val="21"/>
          <w:highlight w:val="none"/>
        </w:rPr>
        <w:t>4. 双方权利和义务</w:t>
      </w:r>
      <w:bookmarkEnd w:id="13"/>
      <w:bookmarkEnd w:id="14"/>
      <w:r>
        <w:rPr>
          <w:rFonts w:hint="eastAsia" w:ascii="宋体" w:hAnsi="宋体" w:cs="宋体"/>
          <w:b/>
          <w:color w:val="000000"/>
          <w:kern w:val="0"/>
          <w:szCs w:val="21"/>
          <w:highlight w:val="none"/>
        </w:rPr>
        <w:tab/>
      </w:r>
    </w:p>
    <w:p w14:paraId="0A26BE3D">
      <w:pPr>
        <w:tabs>
          <w:tab w:val="left" w:pos="5865"/>
        </w:tabs>
        <w:spacing w:line="360" w:lineRule="auto"/>
        <w:ind w:firstLine="420" w:firstLineChars="200"/>
        <w:rPr>
          <w:rFonts w:ascii="宋体" w:hAnsi="宋体" w:cs="宋体"/>
          <w:b/>
          <w:color w:val="000000"/>
          <w:kern w:val="0"/>
          <w:szCs w:val="21"/>
          <w:highlight w:val="none"/>
        </w:rPr>
      </w:pPr>
      <w:r>
        <w:rPr>
          <w:rFonts w:hint="eastAsia" w:ascii="宋体" w:hAnsi="宋体" w:cs="宋体"/>
          <w:color w:val="000000"/>
          <w:kern w:val="0"/>
          <w:szCs w:val="21"/>
          <w:highlight w:val="none"/>
        </w:rPr>
        <w:t>4.1</w:t>
      </w:r>
      <w:r>
        <w:rPr>
          <w:rFonts w:hint="eastAsia" w:ascii="宋体" w:hAnsi="宋体" w:cs="宋体"/>
          <w:b/>
          <w:color w:val="000000"/>
          <w:kern w:val="0"/>
          <w:szCs w:val="21"/>
          <w:highlight w:val="none"/>
        </w:rPr>
        <w:t>甲方权利与义务：</w:t>
      </w:r>
    </w:p>
    <w:p w14:paraId="408C133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4.1.1 甲方有权利对项目活动的相关细节进行监督及了解，决定项目的实施方案。</w:t>
      </w:r>
    </w:p>
    <w:p w14:paraId="1F01D9EE">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4.1.2 甲方有权利根据临时情况向乙方提出活动修改意见，经双方协商后实施。</w:t>
      </w:r>
    </w:p>
    <w:p w14:paraId="5D20E00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4.1.3甲方非因不可抗力因素如需延期开展项目活动，应提前</w:t>
      </w:r>
      <w:r>
        <w:rPr>
          <w:rFonts w:hint="eastAsia" w:ascii="宋体" w:hAnsi="宋体" w:cs="宋体"/>
          <w:color w:val="000000"/>
          <w:kern w:val="0"/>
          <w:szCs w:val="21"/>
          <w:highlight w:val="none"/>
          <w:u w:val="single"/>
        </w:rPr>
        <w:t xml:space="preserve"> 5 </w:t>
      </w:r>
      <w:r>
        <w:rPr>
          <w:rFonts w:hint="eastAsia" w:ascii="宋体" w:hAnsi="宋体" w:cs="宋体"/>
          <w:color w:val="000000"/>
          <w:kern w:val="0"/>
          <w:szCs w:val="21"/>
          <w:highlight w:val="none"/>
        </w:rPr>
        <w:t>个工作日告知乙方，双方协商修改活动安排。</w:t>
      </w:r>
    </w:p>
    <w:p w14:paraId="29CD877E">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4.1.4甲方应按照合同约定，积极配合乙方开展工作。</w:t>
      </w:r>
    </w:p>
    <w:p w14:paraId="1D62FBB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4.1.5甲方应按合同约定履行付款的义务。</w:t>
      </w:r>
    </w:p>
    <w:p w14:paraId="58943F4F">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4.1.6甲方应按合同约定履行其他的相应义务。</w:t>
      </w:r>
    </w:p>
    <w:p w14:paraId="1B91C9FE">
      <w:pPr>
        <w:spacing w:line="360" w:lineRule="auto"/>
        <w:ind w:firstLine="422" w:firstLineChars="200"/>
        <w:rPr>
          <w:rFonts w:ascii="宋体" w:hAnsi="宋体" w:cs="宋体"/>
          <w:b/>
          <w:color w:val="000000"/>
          <w:kern w:val="0"/>
          <w:szCs w:val="21"/>
          <w:highlight w:val="none"/>
        </w:rPr>
      </w:pPr>
      <w:r>
        <w:rPr>
          <w:rFonts w:hint="eastAsia" w:ascii="宋体" w:hAnsi="宋体" w:cs="宋体"/>
          <w:b/>
          <w:color w:val="000000"/>
          <w:kern w:val="0"/>
          <w:szCs w:val="21"/>
          <w:highlight w:val="none"/>
        </w:rPr>
        <w:t>4.2 乙方权利与义务：</w:t>
      </w:r>
    </w:p>
    <w:p w14:paraId="52575247">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4.2.1乙方负责全部项目活动的相关组织、实施、调度，保证项目活动的顺利进行。</w:t>
      </w:r>
    </w:p>
    <w:p w14:paraId="7BDBAD1B">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4.2.2乙方应具备符合组织项目活动的专业资格，并保证选派的工作人员具备相关的业务能力及较高的素质。</w:t>
      </w:r>
    </w:p>
    <w:p w14:paraId="3AE7FD28">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4.2.3乙方应制定相应的风险管控和保险方案，对所有参加项目活动的人员进行相应的安全指导和提示，确保活动安全顺利进行，如发生人身、财产等安全责任事故，由乙方依法承担全部责任。</w:t>
      </w:r>
    </w:p>
    <w:p w14:paraId="771CB87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4.2.4乙方应按合同约定履行其他的相应义务。</w:t>
      </w:r>
    </w:p>
    <w:p w14:paraId="369990C7">
      <w:pPr>
        <w:snapToGrid w:val="0"/>
        <w:spacing w:line="360" w:lineRule="auto"/>
        <w:ind w:firstLine="422" w:firstLineChars="200"/>
        <w:rPr>
          <w:rFonts w:ascii="宋体" w:hAnsi="宋体" w:cs="宋体"/>
          <w:color w:val="000000"/>
          <w:kern w:val="0"/>
          <w:szCs w:val="21"/>
          <w:highlight w:val="none"/>
        </w:rPr>
      </w:pPr>
      <w:bookmarkStart w:id="15" w:name="_Toc23580"/>
      <w:bookmarkStart w:id="16" w:name="_Toc27234"/>
      <w:r>
        <w:rPr>
          <w:rFonts w:hint="eastAsia" w:ascii="宋体" w:hAnsi="宋体" w:cs="宋体"/>
          <w:b/>
          <w:bCs/>
          <w:color w:val="000000"/>
          <w:kern w:val="0"/>
          <w:szCs w:val="21"/>
          <w:highlight w:val="none"/>
        </w:rPr>
        <w:t>5.服务费及资金付款进度</w:t>
      </w:r>
      <w:bookmarkEnd w:id="15"/>
      <w:bookmarkEnd w:id="16"/>
    </w:p>
    <w:p w14:paraId="3230156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5.1 本次项目的费用包括但不限于执行该项目所产生的绿化养护费用、人员工资、机具使用费、药物使用费等完成本项目所必须的全部费用。</w:t>
      </w:r>
    </w:p>
    <w:p w14:paraId="5DEC9AC8">
      <w:pPr>
        <w:snapToGrid w:val="0"/>
        <w:spacing w:line="360" w:lineRule="auto"/>
        <w:ind w:firstLine="420" w:firstLineChars="200"/>
        <w:rPr>
          <w:rFonts w:ascii="宋体" w:hAnsi="宋体" w:cs="宋体"/>
          <w:color w:val="000000"/>
          <w:kern w:val="0"/>
          <w:szCs w:val="21"/>
          <w:highlight w:val="none"/>
        </w:rPr>
      </w:pPr>
      <w:bookmarkStart w:id="17" w:name="_Toc4212"/>
      <w:bookmarkStart w:id="18" w:name="_Toc23438"/>
      <w:r>
        <w:rPr>
          <w:rFonts w:hint="eastAsia" w:ascii="宋体" w:hAnsi="宋体" w:cs="宋体"/>
          <w:color w:val="000000"/>
          <w:kern w:val="0"/>
          <w:szCs w:val="21"/>
          <w:highlight w:val="none"/>
        </w:rPr>
        <w:t>5.2支付方式</w:t>
      </w:r>
    </w:p>
    <w:p w14:paraId="4FA89D9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5.2.1乙方应严格按照双方最后确定的服务方案及流程等执行委托工作、随时接受甲方审核及检验，并为甲方提供便利条件，同时承担由自身原因导致返工、修改的费用。</w:t>
      </w:r>
    </w:p>
    <w:p w14:paraId="185A4641">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5.2.2支付总价为：￥：</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元；大写：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元；</w:t>
      </w:r>
    </w:p>
    <w:p w14:paraId="2A9D6BD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5.2.3技术服务费由甲方按进度支付乙方。</w:t>
      </w:r>
    </w:p>
    <w:p w14:paraId="5CFB742F">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5.3具体支付方式和时间如下：</w:t>
      </w:r>
    </w:p>
    <w:p w14:paraId="7BBE635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⑴合同签订后，达到付款条件起15个工作日内，支付合同总金额的40%。</w:t>
      </w:r>
    </w:p>
    <w:p w14:paraId="4CE8172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⑵合同签订后第二季度养护相关工作完成且经甲方确认后，达到付款条件起15个工作日内，支付合同总金额的60%。</w:t>
      </w:r>
    </w:p>
    <w:p w14:paraId="7D1AB618">
      <w:pPr>
        <w:snapToGrid w:val="0"/>
        <w:spacing w:line="360" w:lineRule="auto"/>
        <w:ind w:firstLine="422" w:firstLineChars="200"/>
        <w:rPr>
          <w:rFonts w:ascii="宋体" w:hAnsi="宋体" w:cs="宋体"/>
          <w:b/>
          <w:bCs/>
          <w:color w:val="000000"/>
          <w:kern w:val="0"/>
          <w:szCs w:val="21"/>
          <w:highlight w:val="none"/>
        </w:rPr>
      </w:pPr>
      <w:r>
        <w:rPr>
          <w:rFonts w:hint="eastAsia" w:ascii="宋体" w:hAnsi="宋体" w:cs="宋体"/>
          <w:b/>
          <w:bCs/>
          <w:color w:val="000000"/>
          <w:kern w:val="0"/>
          <w:szCs w:val="21"/>
          <w:highlight w:val="none"/>
        </w:rPr>
        <w:t>6.验收</w:t>
      </w:r>
    </w:p>
    <w:p w14:paraId="4B1CD2DF">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6.1</w:t>
      </w:r>
      <w:r>
        <w:rPr>
          <w:rFonts w:ascii="宋体" w:hAnsi="宋体" w:cs="宋体"/>
          <w:color w:val="000000"/>
          <w:kern w:val="0"/>
          <w:szCs w:val="21"/>
          <w:highlight w:val="none"/>
        </w:rPr>
        <w:t>按国家现行项目实施规范和合同规定的验收评定标准等要求进行验收。</w:t>
      </w:r>
    </w:p>
    <w:p w14:paraId="37C13CCD">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6.2</w:t>
      </w:r>
      <w:r>
        <w:rPr>
          <w:rFonts w:ascii="宋体" w:hAnsi="宋体" w:cs="宋体"/>
          <w:color w:val="000000"/>
          <w:kern w:val="0"/>
          <w:szCs w:val="21"/>
          <w:highlight w:val="none"/>
        </w:rPr>
        <w:t>验收依据</w:t>
      </w:r>
    </w:p>
    <w:p w14:paraId="17F90831">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6.2.</w:t>
      </w:r>
      <w:r>
        <w:rPr>
          <w:rFonts w:ascii="宋体" w:hAnsi="宋体" w:cs="宋体"/>
          <w:color w:val="000000"/>
          <w:kern w:val="0"/>
          <w:szCs w:val="21"/>
          <w:highlight w:val="none"/>
        </w:rPr>
        <w:t>1本项目竞争性磋商文件、响应文件</w:t>
      </w:r>
      <w:r>
        <w:rPr>
          <w:rFonts w:hint="eastAsia" w:ascii="宋体" w:hAnsi="宋体" w:cs="宋体"/>
          <w:color w:val="000000"/>
          <w:kern w:val="0"/>
          <w:szCs w:val="21"/>
          <w:highlight w:val="none"/>
        </w:rPr>
        <w:t>；</w:t>
      </w:r>
    </w:p>
    <w:p w14:paraId="19311BFE">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6.2.</w:t>
      </w:r>
      <w:r>
        <w:rPr>
          <w:rFonts w:ascii="宋体" w:hAnsi="宋体" w:cs="宋体"/>
          <w:color w:val="000000"/>
          <w:kern w:val="0"/>
          <w:szCs w:val="21"/>
          <w:highlight w:val="none"/>
        </w:rPr>
        <w:t>2本合同及附件文本</w:t>
      </w:r>
      <w:r>
        <w:rPr>
          <w:rFonts w:hint="eastAsia" w:ascii="宋体" w:hAnsi="宋体" w:cs="宋体"/>
          <w:color w:val="000000"/>
          <w:kern w:val="0"/>
          <w:szCs w:val="21"/>
          <w:highlight w:val="none"/>
        </w:rPr>
        <w:t>；</w:t>
      </w:r>
    </w:p>
    <w:p w14:paraId="3BD90C88">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6.2.</w:t>
      </w:r>
      <w:r>
        <w:rPr>
          <w:rFonts w:ascii="宋体" w:hAnsi="宋体" w:cs="宋体"/>
          <w:color w:val="000000"/>
          <w:kern w:val="0"/>
          <w:szCs w:val="21"/>
          <w:highlight w:val="none"/>
        </w:rPr>
        <w:t>3合同签订时国家及行业现行的标准和技术规范。</w:t>
      </w:r>
    </w:p>
    <w:p w14:paraId="462598D0">
      <w:pPr>
        <w:snapToGrid w:val="0"/>
        <w:spacing w:line="360" w:lineRule="auto"/>
        <w:ind w:firstLine="422" w:firstLineChars="200"/>
        <w:rPr>
          <w:rFonts w:ascii="宋体" w:hAnsi="宋体" w:cs="宋体"/>
          <w:color w:val="000000"/>
          <w:kern w:val="0"/>
          <w:szCs w:val="21"/>
          <w:highlight w:val="none"/>
        </w:rPr>
      </w:pPr>
      <w:r>
        <w:rPr>
          <w:rFonts w:hint="eastAsia" w:ascii="宋体" w:hAnsi="宋体" w:cs="宋体"/>
          <w:b/>
          <w:bCs/>
          <w:color w:val="000000"/>
          <w:kern w:val="0"/>
          <w:szCs w:val="21"/>
          <w:highlight w:val="none"/>
        </w:rPr>
        <w:t>7.合同终止和违约责任</w:t>
      </w:r>
      <w:bookmarkEnd w:id="17"/>
      <w:bookmarkEnd w:id="18"/>
    </w:p>
    <w:p w14:paraId="024C1CC7">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在下述条件下，本合同书可提前终止：</w:t>
      </w:r>
    </w:p>
    <w:p w14:paraId="3D72C42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7.1 如果一方破产，或正在进行清算程序，或其财产的实质性部分被没收或扣押，则另一方可经书面通知该方而立即终止本合同，并有权要求其赔偿由此造成的损失；</w:t>
      </w:r>
    </w:p>
    <w:p w14:paraId="429AEB6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7.2 如果一方的所有权、组织结构、控制与管理发生重大变化，而导致其不能履行本合同的，则另一方可经书面通知该方而立即终止本合同，并有权要求其赔偿由此造成的损失；</w:t>
      </w:r>
    </w:p>
    <w:p w14:paraId="66DA0591">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7.3 除本合同另有约定外，如果一方违反本合同书任何约定并在收到另一方向其发出的书面通知后十五天内仍不纠正违约行为，则另一方可经书面通知该方而立即终止本合同，并有权按照6.4条的约定要求其承担违约责任，违约金不足以弥补损失的还应继续赔偿由此造成的损失。</w:t>
      </w:r>
    </w:p>
    <w:p w14:paraId="166895B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7.4 如果本合同一方不按照合同约定履行义务，则应按照下述规定承担违约责任：</w:t>
      </w:r>
    </w:p>
    <w:p w14:paraId="044A6E5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7.4.1 如果乙方未能履行合同或履行合同不符合约定，甲方应就此向乙方发出书面通知，指出乙方没有适当履行的合同条款，并要求纠正。如果乙方确属违约，并且乙方在收到甲方书面通知之日起十五日内仍不纠正违约行为或已无法纠正，甲方有权要求乙方承担金额最高不超过服务费总额30％的违约金。</w:t>
      </w:r>
    </w:p>
    <w:p w14:paraId="7A587FA8">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7.4.2 甲方应当根据本合同约定按时向乙方付款，无正当理由迟延付款的，每迟延支付一日，应支付迟延付款金额0.1‰的违约金。</w:t>
      </w:r>
    </w:p>
    <w:p w14:paraId="4B5C5D5E">
      <w:pPr>
        <w:snapToGrid w:val="0"/>
        <w:spacing w:line="360" w:lineRule="auto"/>
        <w:ind w:firstLine="422" w:firstLineChars="200"/>
        <w:rPr>
          <w:rFonts w:ascii="宋体" w:hAnsi="宋体" w:cs="宋体"/>
          <w:b/>
          <w:bCs/>
          <w:color w:val="000000"/>
          <w:kern w:val="0"/>
          <w:szCs w:val="21"/>
          <w:highlight w:val="none"/>
        </w:rPr>
      </w:pPr>
      <w:bookmarkStart w:id="19" w:name="_Toc29778"/>
      <w:bookmarkStart w:id="20" w:name="_Toc27960"/>
      <w:r>
        <w:rPr>
          <w:rFonts w:hint="eastAsia" w:ascii="宋体" w:hAnsi="宋体" w:cs="宋体"/>
          <w:b/>
          <w:bCs/>
          <w:color w:val="000000"/>
          <w:kern w:val="0"/>
          <w:szCs w:val="21"/>
          <w:highlight w:val="none"/>
        </w:rPr>
        <w:t>8.不可抗力</w:t>
      </w:r>
      <w:bookmarkEnd w:id="19"/>
      <w:bookmarkEnd w:id="20"/>
    </w:p>
    <w:p w14:paraId="5DB6330A">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8.1 “不可抗力”是指本合同签订后不可预见并且其发生和后果是双方无法避免和克服的事件，该等事件在合同签署后发生，并造成一方不能履行其在合同书项下的全部或部分义务。该等事件包括地震、台风、洪水、火灾、战争、瘟疫、流行病、动乱、罢工以及法律规定为“不可抗力”的其他事件。</w:t>
      </w:r>
    </w:p>
    <w:p w14:paraId="49CC55D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8.2 如一项不可抗力事件发生并因此影响任何一方履行其在本合同项下的义务，则该项义务的履行在不可抗力事件导致的延迟期内可暂时中止，且该等不履行不视为对合同的违反。受到不可抗力事件影响的一方应当立即以书面形式将该不可抗力事件的发生通知另一方，并在此后十五日内提供该不可抗力事件发生和持续时间的充分证据。</w:t>
      </w:r>
    </w:p>
    <w:p w14:paraId="4D4AC3C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8.3 发生不可抗力事件后，双方应相互协商以寻求公平的解决方法并应尽力将不可抗力所造成的影响减至最低。如果不可抗力的发生严重阻碍了合同的履行，且自不可抗力发生之日起三十日内双方仍无法找到公平的解决方法，则任何一方可提前终止本合同书。在此情况下，乙方应当退还甲方已经支付的款项（扣除乙方为本项目所已经实际支付的必要成本）。</w:t>
      </w:r>
    </w:p>
    <w:p w14:paraId="424613B0">
      <w:pPr>
        <w:autoSpaceDE w:val="0"/>
        <w:autoSpaceDN w:val="0"/>
        <w:adjustRightInd w:val="0"/>
        <w:spacing w:line="360" w:lineRule="auto"/>
        <w:ind w:firstLine="422" w:firstLineChars="200"/>
        <w:rPr>
          <w:rFonts w:ascii="宋体" w:hAnsi="宋体" w:cs="宋体"/>
          <w:b/>
          <w:bCs/>
          <w:color w:val="000000"/>
          <w:kern w:val="0"/>
          <w:szCs w:val="21"/>
          <w:highlight w:val="none"/>
        </w:rPr>
      </w:pPr>
      <w:bookmarkStart w:id="21" w:name="_Toc12058"/>
      <w:bookmarkStart w:id="22" w:name="_Toc7221"/>
      <w:r>
        <w:rPr>
          <w:rFonts w:hint="eastAsia" w:ascii="宋体" w:hAnsi="宋体" w:cs="宋体"/>
          <w:b/>
          <w:bCs/>
          <w:color w:val="000000"/>
          <w:kern w:val="0"/>
          <w:szCs w:val="21"/>
          <w:highlight w:val="none"/>
        </w:rPr>
        <w:t>9</w:t>
      </w:r>
      <w:r>
        <w:rPr>
          <w:rFonts w:hint="eastAsia" w:ascii="宋体" w:hAnsi="宋体" w:cs="宋体"/>
          <w:b/>
          <w:bCs/>
          <w:color w:val="000000"/>
          <w:kern w:val="0"/>
          <w:szCs w:val="21"/>
          <w:highlight w:val="none"/>
          <w:lang w:val="zh-CN"/>
        </w:rPr>
        <w:t>.知识产权、保密</w:t>
      </w:r>
      <w:bookmarkEnd w:id="21"/>
      <w:bookmarkEnd w:id="22"/>
    </w:p>
    <w:p w14:paraId="20794970">
      <w:pPr>
        <w:snapToGrid w:val="0"/>
        <w:spacing w:line="360" w:lineRule="auto"/>
        <w:ind w:firstLine="420" w:firstLineChars="200"/>
        <w:rPr>
          <w:rFonts w:ascii="宋体" w:hAnsi="宋体" w:cs="宋体"/>
          <w:color w:val="000000"/>
          <w:kern w:val="0"/>
          <w:szCs w:val="21"/>
          <w:highlight w:val="none"/>
          <w:lang w:val="zh-CN"/>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.1合同双方保证，一方向另一方提供的文件、资料不会侵犯任何第三方的知识产权或其他合法权益，若因此给另一方造成损失的，由提供方依法承担相应法律责任。</w:t>
      </w:r>
    </w:p>
    <w:p w14:paraId="06D4C0BB">
      <w:pPr>
        <w:snapToGrid w:val="0"/>
        <w:spacing w:line="360" w:lineRule="auto"/>
        <w:ind w:firstLine="420" w:firstLineChars="200"/>
        <w:rPr>
          <w:rFonts w:ascii="宋体" w:hAnsi="宋体" w:cs="宋体"/>
          <w:color w:val="000000"/>
          <w:kern w:val="0"/>
          <w:szCs w:val="21"/>
          <w:highlight w:val="none"/>
          <w:lang w:val="zh-CN"/>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.2 甲方享有本合同项下组织、宣传、设计方案、等全部事项内容完整的知识产权，未经甲方书面确认，乙方不得转让、许可或以其他方式提供给任何第三方使用；否则，甲方有权解除合同并依法追究乙方违约责任。</w:t>
      </w:r>
    </w:p>
    <w:p w14:paraId="39444BE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.3本合同涉及的文件、资料内容属于甲方商业秘密，除为履行本合同所必须外，未经甲方授权乙方无权向第三方公开。</w:t>
      </w:r>
    </w:p>
    <w:p w14:paraId="19CFE942">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4合同双方对因签署和履行本合同而获得的本合同各项条款、有关本合同的谈判、合同一方提供给对方的涉及提供方专属的或保密的信息和数据等属于商业秘密，仅在下列情况下，合同双方才可披露商业秘密条款信息：</w:t>
      </w:r>
    </w:p>
    <w:p w14:paraId="543358E6">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.4.1依法律法规的规定；</w:t>
      </w:r>
    </w:p>
    <w:p w14:paraId="638EA0E0">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.4.2 依任何有管辖权的政府机关、</w:t>
      </w:r>
      <w:r>
        <w:rPr>
          <w:rFonts w:hint="eastAsia" w:ascii="宋体" w:hAnsi="宋体" w:cs="宋体"/>
          <w:color w:val="000000"/>
          <w:kern w:val="0"/>
          <w:szCs w:val="21"/>
          <w:highlight w:val="none"/>
        </w:rPr>
        <w:t>司法机关、</w:t>
      </w:r>
      <w:r>
        <w:rPr>
          <w:rFonts w:hint="eastAsia" w:ascii="宋体" w:hAnsi="宋体" w:cs="宋体"/>
          <w:color w:val="000000"/>
          <w:kern w:val="0"/>
          <w:szCs w:val="21"/>
          <w:highlight w:val="none"/>
          <w:lang w:val="zh-CN"/>
        </w:rPr>
        <w:t>监管机构或自律组织的要求；</w:t>
      </w:r>
    </w:p>
    <w:p w14:paraId="1E288EC0">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.4.3在收到对方披露的保密信息之时或之前已从对该保密信息无保密义务的第三方合法知悉该信息；</w:t>
      </w:r>
    </w:p>
    <w:p w14:paraId="7D698B23">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.4.4 非因乙方过错，而使信息已经公开；</w:t>
      </w:r>
    </w:p>
    <w:p w14:paraId="3953FE1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.4.5合同双方事先达成书面认可；</w:t>
      </w:r>
    </w:p>
    <w:p w14:paraId="23B841B0">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9</w:t>
      </w:r>
      <w:r>
        <w:rPr>
          <w:rFonts w:hint="eastAsia" w:ascii="宋体" w:hAnsi="宋体" w:cs="宋体"/>
          <w:color w:val="000000"/>
          <w:kern w:val="0"/>
          <w:szCs w:val="21"/>
          <w:highlight w:val="none"/>
          <w:lang w:val="zh-CN"/>
        </w:rPr>
        <w:t>.5本条款的使用不因本合同的终止而失效；自其中某项秘密信息依法被公开披露、丧失保密性之日起，本合同约定的保密义务对该信息不再适用。</w:t>
      </w:r>
    </w:p>
    <w:p w14:paraId="38610091">
      <w:pPr>
        <w:snapToGrid w:val="0"/>
        <w:spacing w:line="360" w:lineRule="auto"/>
        <w:ind w:firstLine="422" w:firstLineChars="200"/>
        <w:rPr>
          <w:rFonts w:ascii="宋体" w:hAnsi="宋体" w:cs="宋体"/>
          <w:color w:val="000000"/>
          <w:kern w:val="0"/>
          <w:szCs w:val="21"/>
          <w:highlight w:val="none"/>
        </w:rPr>
      </w:pPr>
      <w:bookmarkStart w:id="23" w:name="_Toc20922"/>
      <w:bookmarkStart w:id="24" w:name="_Toc26449"/>
      <w:r>
        <w:rPr>
          <w:rFonts w:hint="eastAsia" w:ascii="宋体" w:hAnsi="宋体" w:cs="宋体"/>
          <w:b/>
          <w:bCs/>
          <w:color w:val="000000"/>
          <w:kern w:val="0"/>
          <w:szCs w:val="21"/>
          <w:highlight w:val="none"/>
        </w:rPr>
        <w:t>10.争议解决</w:t>
      </w:r>
      <w:bookmarkEnd w:id="23"/>
      <w:bookmarkEnd w:id="24"/>
    </w:p>
    <w:p w14:paraId="09516EAB">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10.1 如果甲乙双方就本合同的履行发生任何争议，双方应首先通过友好协商解决该等争议。如果在协商开始的30日内双方无法解决争议，则提交给</w:t>
      </w:r>
      <w:r>
        <w:rPr>
          <w:rFonts w:hint="eastAsia" w:ascii="宋体" w:hAnsi="宋体" w:cs="宋体"/>
          <w:color w:val="000000"/>
          <w:kern w:val="0"/>
          <w:szCs w:val="21"/>
          <w:highlight w:val="none"/>
          <w:u w:val="single"/>
        </w:rPr>
        <w:t>西安</w:t>
      </w:r>
      <w:r>
        <w:rPr>
          <w:rFonts w:hint="eastAsia" w:ascii="宋体" w:hAnsi="宋体" w:cs="宋体"/>
          <w:color w:val="000000"/>
          <w:kern w:val="0"/>
          <w:szCs w:val="21"/>
          <w:highlight w:val="none"/>
        </w:rPr>
        <w:t>仲裁委员会，依据委员会实施的仲裁规则进行仲裁。该仲裁裁决是终局性的并对双方具有约束力。违约方承担守约方的全部维权费用，包括但不限于保全担保费、公证费、公告费、审计费、鉴定费、律师费等。</w:t>
      </w:r>
    </w:p>
    <w:p w14:paraId="35A76957">
      <w:pPr>
        <w:snapToGrid w:val="0"/>
        <w:spacing w:line="360" w:lineRule="auto"/>
        <w:ind w:firstLine="422" w:firstLineChars="200"/>
        <w:rPr>
          <w:rFonts w:ascii="宋体" w:hAnsi="宋体" w:cs="宋体"/>
          <w:color w:val="000000"/>
          <w:kern w:val="0"/>
          <w:szCs w:val="21"/>
          <w:highlight w:val="none"/>
        </w:rPr>
      </w:pPr>
      <w:bookmarkStart w:id="25" w:name="_Toc17905"/>
      <w:bookmarkStart w:id="26" w:name="_Toc2658"/>
      <w:r>
        <w:rPr>
          <w:rFonts w:hint="eastAsia" w:ascii="宋体" w:hAnsi="宋体" w:cs="宋体"/>
          <w:b/>
          <w:color w:val="000000"/>
          <w:kern w:val="0"/>
          <w:szCs w:val="21"/>
          <w:highlight w:val="none"/>
        </w:rPr>
        <w:t>11.通知</w:t>
      </w:r>
      <w:bookmarkEnd w:id="25"/>
      <w:bookmarkEnd w:id="26"/>
    </w:p>
    <w:p w14:paraId="07DA4C59">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11.1本合同任何一方给另一方的通知都应以书面或电传、电报、传真的形式发送，而另一方应以书面形式确认并发送到对方明确的地址。</w:t>
      </w:r>
    </w:p>
    <w:p w14:paraId="7C05591F">
      <w:pPr>
        <w:snapToGrid w:val="0"/>
        <w:spacing w:line="360" w:lineRule="auto"/>
        <w:ind w:firstLine="422" w:firstLineChars="200"/>
        <w:rPr>
          <w:rFonts w:ascii="宋体" w:hAnsi="宋体" w:cs="宋体"/>
          <w:color w:val="000000"/>
          <w:kern w:val="0"/>
          <w:szCs w:val="21"/>
          <w:highlight w:val="none"/>
        </w:rPr>
      </w:pPr>
      <w:bookmarkStart w:id="27" w:name="_Toc20904"/>
      <w:bookmarkStart w:id="28" w:name="_Toc29310"/>
      <w:r>
        <w:rPr>
          <w:rFonts w:hint="eastAsia" w:ascii="宋体" w:hAnsi="宋体" w:cs="宋体"/>
          <w:b/>
          <w:color w:val="000000"/>
          <w:kern w:val="0"/>
          <w:szCs w:val="21"/>
          <w:highlight w:val="none"/>
        </w:rPr>
        <w:t>12.合同生效及其它</w:t>
      </w:r>
      <w:bookmarkEnd w:id="27"/>
      <w:bookmarkEnd w:id="28"/>
    </w:p>
    <w:p w14:paraId="52C5C6E4">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12.1 双方本着善意和合作的目的，同意就本项目组织中发生的不可预见的变化进行友好协商，并签署书面确认，以修正并取代本合同的约定。如没有签署书面确认，双方以本合同为准。</w:t>
      </w:r>
    </w:p>
    <w:p w14:paraId="7D54A295">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12.2本合同一式</w:t>
      </w:r>
      <w:r>
        <w:rPr>
          <w:rFonts w:hint="eastAsia" w:ascii="宋体" w:hAnsi="宋体" w:cs="宋体"/>
          <w:color w:val="000000"/>
          <w:kern w:val="0"/>
          <w:szCs w:val="21"/>
          <w:highlight w:val="none"/>
          <w:u w:val="single"/>
        </w:rPr>
        <w:t xml:space="preserve"> 肆 </w:t>
      </w:r>
      <w:r>
        <w:rPr>
          <w:rFonts w:hint="eastAsia" w:ascii="宋体" w:hAnsi="宋体" w:cs="宋体"/>
          <w:color w:val="000000"/>
          <w:kern w:val="0"/>
          <w:szCs w:val="21"/>
          <w:highlight w:val="none"/>
        </w:rPr>
        <w:t>份，甲乙双方各执</w:t>
      </w:r>
      <w:r>
        <w:rPr>
          <w:rFonts w:hint="eastAsia" w:ascii="宋体" w:hAnsi="宋体" w:cs="宋体"/>
          <w:color w:val="000000"/>
          <w:kern w:val="0"/>
          <w:szCs w:val="21"/>
          <w:highlight w:val="none"/>
          <w:u w:val="single"/>
        </w:rPr>
        <w:t xml:space="preserve"> 贰 </w:t>
      </w:r>
      <w:r>
        <w:rPr>
          <w:rFonts w:hint="eastAsia" w:ascii="宋体" w:hAnsi="宋体" w:cs="宋体"/>
          <w:color w:val="000000"/>
          <w:kern w:val="0"/>
          <w:szCs w:val="21"/>
          <w:highlight w:val="none"/>
        </w:rPr>
        <w:t>份，经双方签字盖章后即发生法律效力，且均具有同等法律效力。</w:t>
      </w:r>
    </w:p>
    <w:p w14:paraId="3FEEF80C">
      <w:pPr>
        <w:snapToGrid w:val="0"/>
        <w:spacing w:line="360"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12.3签订时间：</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w:t>
      </w:r>
    </w:p>
    <w:p w14:paraId="29C59AFB">
      <w:pPr>
        <w:spacing w:line="360" w:lineRule="auto"/>
        <w:rPr>
          <w:highlight w:val="none"/>
        </w:rPr>
      </w:pPr>
      <w:r>
        <w:rPr>
          <w:rFonts w:hint="eastAsia"/>
          <w:highlight w:val="none"/>
        </w:rPr>
        <w:br w:type="page"/>
      </w:r>
    </w:p>
    <w:p w14:paraId="293A050C">
      <w:pPr>
        <w:spacing w:line="360" w:lineRule="auto"/>
        <w:rPr>
          <w:highlight w:val="none"/>
        </w:rPr>
      </w:pPr>
      <w:r>
        <w:rPr>
          <w:rFonts w:hint="eastAsia" w:asciiTheme="minorHAnsi" w:hAnsiTheme="minorHAnsi" w:eastAsiaTheme="minorEastAsia"/>
          <w:highlight w:val="none"/>
        </w:rPr>
        <w:t>（本页无正文）</w:t>
      </w:r>
    </w:p>
    <w:tbl>
      <w:tblPr>
        <w:tblStyle w:val="7"/>
        <w:tblW w:w="9347" w:type="dxa"/>
        <w:tblInd w:w="0" w:type="dxa"/>
        <w:tblLayout w:type="fixed"/>
        <w:tblCellMar>
          <w:top w:w="0" w:type="dxa"/>
          <w:left w:w="108" w:type="dxa"/>
          <w:bottom w:w="0" w:type="dxa"/>
          <w:right w:w="108" w:type="dxa"/>
        </w:tblCellMar>
      </w:tblPr>
      <w:tblGrid>
        <w:gridCol w:w="4812"/>
        <w:gridCol w:w="4535"/>
      </w:tblGrid>
      <w:tr w14:paraId="6631034E">
        <w:tblPrEx>
          <w:tblCellMar>
            <w:top w:w="0" w:type="dxa"/>
            <w:left w:w="108" w:type="dxa"/>
            <w:bottom w:w="0" w:type="dxa"/>
            <w:right w:w="108" w:type="dxa"/>
          </w:tblCellMar>
        </w:tblPrEx>
        <w:trPr>
          <w:trHeight w:val="1134" w:hRule="atLeast"/>
        </w:trPr>
        <w:tc>
          <w:tcPr>
            <w:tcW w:w="4812" w:type="dxa"/>
            <w:vAlign w:val="center"/>
          </w:tcPr>
          <w:p w14:paraId="58A3A707">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甲方：</w:t>
            </w:r>
          </w:p>
        </w:tc>
        <w:tc>
          <w:tcPr>
            <w:tcW w:w="4535" w:type="dxa"/>
            <w:vAlign w:val="center"/>
          </w:tcPr>
          <w:p w14:paraId="2E63FBAD">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乙方：</w:t>
            </w:r>
          </w:p>
        </w:tc>
      </w:tr>
      <w:tr w14:paraId="54BE35F7">
        <w:tblPrEx>
          <w:tblCellMar>
            <w:top w:w="0" w:type="dxa"/>
            <w:left w:w="108" w:type="dxa"/>
            <w:bottom w:w="0" w:type="dxa"/>
            <w:right w:w="108" w:type="dxa"/>
          </w:tblCellMar>
        </w:tblPrEx>
        <w:trPr>
          <w:trHeight w:val="1134" w:hRule="atLeast"/>
        </w:trPr>
        <w:tc>
          <w:tcPr>
            <w:tcW w:w="4812" w:type="dxa"/>
            <w:vAlign w:val="center"/>
          </w:tcPr>
          <w:p w14:paraId="56EE2C0C">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地址：</w:t>
            </w:r>
          </w:p>
        </w:tc>
        <w:tc>
          <w:tcPr>
            <w:tcW w:w="4535" w:type="dxa"/>
            <w:vAlign w:val="center"/>
          </w:tcPr>
          <w:p w14:paraId="15EB2F61">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地址：</w:t>
            </w:r>
          </w:p>
        </w:tc>
      </w:tr>
      <w:tr w14:paraId="360FCCE4">
        <w:tblPrEx>
          <w:tblCellMar>
            <w:top w:w="0" w:type="dxa"/>
            <w:left w:w="108" w:type="dxa"/>
            <w:bottom w:w="0" w:type="dxa"/>
            <w:right w:w="108" w:type="dxa"/>
          </w:tblCellMar>
        </w:tblPrEx>
        <w:trPr>
          <w:trHeight w:val="1134" w:hRule="atLeast"/>
        </w:trPr>
        <w:tc>
          <w:tcPr>
            <w:tcW w:w="4812" w:type="dxa"/>
            <w:vAlign w:val="center"/>
          </w:tcPr>
          <w:p w14:paraId="48690976">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法定代表人或其委托代理人（签字）：</w:t>
            </w:r>
          </w:p>
        </w:tc>
        <w:tc>
          <w:tcPr>
            <w:tcW w:w="4535" w:type="dxa"/>
            <w:vAlign w:val="center"/>
          </w:tcPr>
          <w:p w14:paraId="31EDF258">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法定代表人或其委托代理人（签字）：</w:t>
            </w:r>
          </w:p>
        </w:tc>
      </w:tr>
      <w:tr w14:paraId="50D2EFAB">
        <w:tblPrEx>
          <w:tblCellMar>
            <w:top w:w="0" w:type="dxa"/>
            <w:left w:w="108" w:type="dxa"/>
            <w:bottom w:w="0" w:type="dxa"/>
            <w:right w:w="108" w:type="dxa"/>
          </w:tblCellMar>
        </w:tblPrEx>
        <w:trPr>
          <w:trHeight w:val="1134" w:hRule="atLeast"/>
        </w:trPr>
        <w:tc>
          <w:tcPr>
            <w:tcW w:w="4812" w:type="dxa"/>
            <w:vAlign w:val="center"/>
          </w:tcPr>
          <w:p w14:paraId="09A4F777">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开户银行：</w:t>
            </w:r>
          </w:p>
        </w:tc>
        <w:tc>
          <w:tcPr>
            <w:tcW w:w="4535" w:type="dxa"/>
            <w:vAlign w:val="center"/>
          </w:tcPr>
          <w:p w14:paraId="121A211C">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开户银行：</w:t>
            </w:r>
          </w:p>
        </w:tc>
      </w:tr>
      <w:tr w14:paraId="5C8CE771">
        <w:tblPrEx>
          <w:tblCellMar>
            <w:top w:w="0" w:type="dxa"/>
            <w:left w:w="108" w:type="dxa"/>
            <w:bottom w:w="0" w:type="dxa"/>
            <w:right w:w="108" w:type="dxa"/>
          </w:tblCellMar>
        </w:tblPrEx>
        <w:trPr>
          <w:trHeight w:val="1134" w:hRule="atLeast"/>
        </w:trPr>
        <w:tc>
          <w:tcPr>
            <w:tcW w:w="4812" w:type="dxa"/>
            <w:vAlign w:val="center"/>
          </w:tcPr>
          <w:p w14:paraId="26B2D4D1">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账号：</w:t>
            </w:r>
          </w:p>
        </w:tc>
        <w:tc>
          <w:tcPr>
            <w:tcW w:w="4535" w:type="dxa"/>
            <w:vAlign w:val="center"/>
          </w:tcPr>
          <w:p w14:paraId="17423D23">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账号：</w:t>
            </w:r>
          </w:p>
        </w:tc>
      </w:tr>
      <w:tr w14:paraId="1F4FBF89">
        <w:tblPrEx>
          <w:tblCellMar>
            <w:top w:w="0" w:type="dxa"/>
            <w:left w:w="108" w:type="dxa"/>
            <w:bottom w:w="0" w:type="dxa"/>
            <w:right w:w="108" w:type="dxa"/>
          </w:tblCellMar>
        </w:tblPrEx>
        <w:trPr>
          <w:trHeight w:val="1134" w:hRule="atLeast"/>
        </w:trPr>
        <w:tc>
          <w:tcPr>
            <w:tcW w:w="4812" w:type="dxa"/>
            <w:vAlign w:val="center"/>
          </w:tcPr>
          <w:p w14:paraId="4A8AAC9B">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邮编：</w:t>
            </w:r>
          </w:p>
        </w:tc>
        <w:tc>
          <w:tcPr>
            <w:tcW w:w="4535" w:type="dxa"/>
            <w:vAlign w:val="center"/>
          </w:tcPr>
          <w:p w14:paraId="6D9DD861">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邮编：</w:t>
            </w:r>
          </w:p>
        </w:tc>
      </w:tr>
      <w:tr w14:paraId="752AD844">
        <w:tblPrEx>
          <w:tblCellMar>
            <w:top w:w="0" w:type="dxa"/>
            <w:left w:w="108" w:type="dxa"/>
            <w:bottom w:w="0" w:type="dxa"/>
            <w:right w:w="108" w:type="dxa"/>
          </w:tblCellMar>
        </w:tblPrEx>
        <w:trPr>
          <w:trHeight w:val="1134" w:hRule="atLeast"/>
        </w:trPr>
        <w:tc>
          <w:tcPr>
            <w:tcW w:w="4812" w:type="dxa"/>
            <w:vAlign w:val="center"/>
          </w:tcPr>
          <w:p w14:paraId="4695F2A8">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电话：</w:t>
            </w:r>
          </w:p>
        </w:tc>
        <w:tc>
          <w:tcPr>
            <w:tcW w:w="4535" w:type="dxa"/>
            <w:vAlign w:val="center"/>
          </w:tcPr>
          <w:p w14:paraId="1ACF0CCB">
            <w:pPr>
              <w:spacing w:line="360" w:lineRule="auto"/>
              <w:rPr>
                <w:rFonts w:ascii="宋体" w:hAnsi="宋体" w:cs="宋体"/>
                <w:color w:val="000000"/>
                <w:kern w:val="0"/>
                <w:szCs w:val="21"/>
                <w:highlight w:val="none"/>
              </w:rPr>
            </w:pPr>
            <w:r>
              <w:rPr>
                <w:rFonts w:hint="eastAsia" w:ascii="宋体" w:hAnsi="宋体" w:cs="宋体"/>
                <w:color w:val="000000"/>
                <w:kern w:val="0"/>
                <w:szCs w:val="21"/>
                <w:highlight w:val="none"/>
              </w:rPr>
              <w:t>电话：</w:t>
            </w:r>
          </w:p>
        </w:tc>
      </w:tr>
      <w:bookmarkEnd w:id="0"/>
      <w:bookmarkEnd w:id="1"/>
      <w:bookmarkEnd w:id="2"/>
      <w:bookmarkEnd w:id="3"/>
      <w:bookmarkEnd w:id="4"/>
      <w:bookmarkEnd w:id="5"/>
      <w:bookmarkEnd w:id="6"/>
      <w:bookmarkEnd w:id="7"/>
      <w:bookmarkEnd w:id="8"/>
    </w:tbl>
    <w:p w14:paraId="18359CA5">
      <w:pPr>
        <w:spacing w:line="360" w:lineRule="auto"/>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WU1NTA2MjgxZTc2YWZkOWIyYzc5ZTIyZTNiZDMifQ=="/>
  </w:docVars>
  <w:rsids>
    <w:rsidRoot w:val="00701B99"/>
    <w:rsid w:val="00701B99"/>
    <w:rsid w:val="007D415C"/>
    <w:rsid w:val="00B95079"/>
    <w:rsid w:val="06634889"/>
    <w:rsid w:val="0C804B19"/>
    <w:rsid w:val="0EC06471"/>
    <w:rsid w:val="1C1354D4"/>
    <w:rsid w:val="240A3251"/>
    <w:rsid w:val="27E24439"/>
    <w:rsid w:val="47E92874"/>
    <w:rsid w:val="4B461D7A"/>
    <w:rsid w:val="50C853B5"/>
    <w:rsid w:val="5DA54794"/>
    <w:rsid w:val="62DB47B4"/>
    <w:rsid w:val="6BC453D7"/>
    <w:rsid w:val="6F571B5D"/>
    <w:rsid w:val="72951715"/>
    <w:rsid w:val="734603C0"/>
    <w:rsid w:val="734834A1"/>
    <w:rsid w:val="75374080"/>
    <w:rsid w:val="7E5B3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
    <w:qFormat/>
    <w:uiPriority w:val="0"/>
    <w:pPr>
      <w:keepNext/>
      <w:jc w:val="center"/>
      <w:outlineLvl w:val="0"/>
    </w:pPr>
    <w:rPr>
      <w:kern w:val="0"/>
      <w:sz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rPr>
  </w:style>
  <w:style w:type="paragraph" w:styleId="4">
    <w:name w:val="Body Text"/>
    <w:basedOn w:val="1"/>
    <w:next w:val="1"/>
    <w:qFormat/>
    <w:uiPriority w:val="99"/>
    <w:pPr>
      <w:adjustRightInd w:val="0"/>
      <w:spacing w:after="60" w:line="360" w:lineRule="atLeast"/>
      <w:ind w:left="72" w:leftChars="30" w:right="30" w:rightChars="30"/>
      <w:jc w:val="center"/>
      <w:textAlignment w:val="baseline"/>
    </w:p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1 字符"/>
    <w:link w:val="2"/>
    <w:qFormat/>
    <w:uiPriority w:val="0"/>
    <w:rPr>
      <w:kern w:val="0"/>
      <w:sz w:val="28"/>
    </w:rPr>
  </w:style>
  <w:style w:type="paragraph" w:customStyle="1" w:styleId="10">
    <w:name w:val="正文缩进1"/>
    <w:basedOn w:val="1"/>
    <w:qFormat/>
    <w:uiPriority w:val="0"/>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character" w:customStyle="1" w:styleId="12">
    <w:name w:val="页眉 字符"/>
    <w:basedOn w:val="8"/>
    <w:link w:val="6"/>
    <w:qFormat/>
    <w:uiPriority w:val="0"/>
    <w:rPr>
      <w:rFonts w:ascii="Times New Roman" w:hAnsi="Times New Roman" w:eastAsia="宋体" w:cs="Times New Roman"/>
      <w:kern w:val="2"/>
      <w:sz w:val="18"/>
      <w:szCs w:val="18"/>
    </w:rPr>
  </w:style>
  <w:style w:type="character" w:customStyle="1" w:styleId="13">
    <w:name w:val="页脚 字符"/>
    <w:basedOn w:val="8"/>
    <w:link w:val="5"/>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3842</Words>
  <Characters>4130</Characters>
  <Lines>33</Lines>
  <Paragraphs>9</Paragraphs>
  <TotalTime>57</TotalTime>
  <ScaleCrop>false</ScaleCrop>
  <LinksUpToDate>false</LinksUpToDate>
  <CharactersWithSpaces>4609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2024-09-04T10:32:00Z</dcterms:created>
  <dc:creator>Administrator</dc:creator>
  <cp:lastModifiedBy>朱娟</cp:lastModifiedBy>
  <dcterms:modified xsi:type="dcterms:W3CDTF">2026-05-19T07:07:42Z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8B78DB7EB3A544ACBA64103446F03DA0_13</vt:lpwstr>
  </property>
  <property fmtid="{D5CDD505-2E9C-101B-9397-08002B2CF9AE}" pid="4" name="KSOTemplateDocerSaveRecord">
    <vt:lpwstr>eyJoZGlkIjoiNmQ5YTlhOTI1MTIxMWQzZmNmMTc3YTIwMzNkYjU1MDciLCJ1c2VySWQiOiIyMDIwODMyODIifQ==</vt:lpwstr>
  </property>
</Properties>
</file>