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版本号：YCXM-202602920260612001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2026年三产融合发展项目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YCXM-2026029</w:t>
      </w:r>
      <w:r>
        <w:br/>
      </w:r>
      <w:r>
        <w:br/>
      </w:r>
      <w:r>
        <w:br/>
      </w:r>
    </w:p>
    <w:p>
      <w:pPr>
        <w:pStyle w:val="null3"/>
        <w:jc w:val="center"/>
        <w:outlineLvl w:val="2"/>
      </w:pPr>
      <w:r>
        <w:rPr>
          <w:rFonts w:ascii="仿宋_GB2312" w:hAnsi="仿宋_GB2312" w:cs="仿宋_GB2312" w:eastAsia="仿宋_GB2312"/>
          <w:sz w:val="28"/>
          <w:b/>
        </w:rPr>
        <w:t>陕西省农业厅机关</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陕西省农业厅机关</w:t>
      </w:r>
      <w:r>
        <w:rPr>
          <w:rFonts w:ascii="仿宋_GB2312" w:hAnsi="仿宋_GB2312" w:cs="仿宋_GB2312" w:eastAsia="仿宋_GB2312"/>
        </w:rPr>
        <w:t>委托，拟对</w:t>
      </w:r>
      <w:r>
        <w:rPr>
          <w:rFonts w:ascii="仿宋_GB2312" w:hAnsi="仿宋_GB2312" w:cs="仿宋_GB2312" w:eastAsia="仿宋_GB2312"/>
        </w:rPr>
        <w:t>2026年三产融合发展项目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2026年三产融合发展项目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主要为产业集群项目省级验收与绩效评估、国家产业强镇项目专项审计、农产品加工业指导服务工作。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1、营业执照：具有独立承担民事责任能力的法人、其他组织或自然人，营业执照、税务登记证、组织机构代码证（多证 合一只提供营业执照，事业单位提供事业单位法人证书，其他组织提供营业执照或相关登记证书，自然人提供本人身份证）合法有效；</w:t>
      </w:r>
    </w:p>
    <w:p>
      <w:pPr>
        <w:pStyle w:val="null3"/>
      </w:pPr>
      <w:r>
        <w:rPr>
          <w:rFonts w:ascii="仿宋_GB2312" w:hAnsi="仿宋_GB2312" w:cs="仿宋_GB2312" w:eastAsia="仿宋_GB2312"/>
        </w:rPr>
        <w:t>2、身份证明：法定代表人授权书（附法定代表人、被授权人身份证复印件）（法定代表人直接参加磋商，须提供法定代表人身份证明及身份证复印件）；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财务状况报告：供应商应提供2024年度或2025年度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p>
      <w:pPr>
        <w:pStyle w:val="null3"/>
      </w:pPr>
      <w:r>
        <w:rPr>
          <w:rFonts w:ascii="仿宋_GB2312" w:hAnsi="仿宋_GB2312" w:cs="仿宋_GB2312" w:eastAsia="仿宋_GB2312"/>
        </w:rPr>
        <w:t>4、税收缴纳证明：提供供应商投标截止日前6个月内至少一个月已缴纳的增值税纳税证明或完税证明（任意税种），依法免税的供应商应提供加盖公章的相关证明文件；</w:t>
      </w:r>
    </w:p>
    <w:p>
      <w:pPr>
        <w:pStyle w:val="null3"/>
      </w:pPr>
      <w:r>
        <w:rPr>
          <w:rFonts w:ascii="仿宋_GB2312" w:hAnsi="仿宋_GB2312" w:cs="仿宋_GB2312" w:eastAsia="仿宋_GB2312"/>
        </w:rPr>
        <w:t>5、社会保障资金缴纳证明：提供供应商投标截止日前6个月内至少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6、履约能力：具备履行合同所必需的设备和专业技术能力的证明材料(由供应商根据项目需求提供说明材料或者承诺)；</w:t>
      </w:r>
    </w:p>
    <w:p>
      <w:pPr>
        <w:pStyle w:val="null3"/>
      </w:pPr>
      <w:r>
        <w:rPr>
          <w:rFonts w:ascii="仿宋_GB2312" w:hAnsi="仿宋_GB2312" w:cs="仿宋_GB2312" w:eastAsia="仿宋_GB2312"/>
        </w:rPr>
        <w:t>7、书面声明：参加本次政府采购活动前3年内在经营活动中没有重大违纪、未被列入失信被执行人、重大税收违法失信主体名单、政府采购严重违法失信行为记录名单的书面声明。开标评审将登陆“信用中国”网站 （www.creditchina.gov.cn）和“中国政府采购网”（www.ccgp.gov.cn）进行审查；</w:t>
      </w:r>
    </w:p>
    <w:p>
      <w:pPr>
        <w:pStyle w:val="null3"/>
      </w:pPr>
      <w:r>
        <w:rPr>
          <w:rFonts w:ascii="仿宋_GB2312" w:hAnsi="仿宋_GB2312" w:cs="仿宋_GB2312" w:eastAsia="仿宋_GB2312"/>
        </w:rPr>
        <w:t>8、非联合体声明：本项目不接受联合体投标；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陕西省农业厅机关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陕西省西安市莲湖区习武园27号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陕西省农业农村厅产业处王思玥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029-87319975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陕西省西安市雁塔区雁展路莱安中心T7栋10层1006室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卞兴前、李阳艳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18119311406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代理服务费收费标准：本项目采购招标代理服务费参照《国家计委关于印发招标代理服务收费管理暂行办法的通知》（计价格【2002】1980号）文件和《国家发改委发改价格【2011】534号文件》规定标准计取。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陕西省农业厅机关</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陕西省农业厅机关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陕西省农业厅机关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1.竞争性磋商文件、响应文件、澄清表（函）； 2.本合同及附件文本；3.国家、行业有关规范和要求。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联系人：卞兴前、李阳艳</w:t>
      </w:r>
    </w:p>
    <w:p>
      <w:pPr>
        <w:pStyle w:val="null3"/>
      </w:pPr>
      <w:r>
        <w:rPr>
          <w:rFonts w:ascii="仿宋_GB2312" w:hAnsi="仿宋_GB2312" w:cs="仿宋_GB2312" w:eastAsia="仿宋_GB2312"/>
        </w:rPr>
        <w:t>联系电话：18119311406</w:t>
      </w:r>
    </w:p>
    <w:p>
      <w:pPr>
        <w:pStyle w:val="null3"/>
      </w:pPr>
      <w:r>
        <w:rPr>
          <w:rFonts w:ascii="仿宋_GB2312" w:hAnsi="仿宋_GB2312" w:cs="仿宋_GB2312" w:eastAsia="仿宋_GB2312"/>
        </w:rPr>
        <w:t>地址：陕西省西安市雁塔区雁展路莱安中心T7栋10层1006室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主要为产业集群项目省级验收与绩效评估、国家产业强镇项目专项审计、农产品加工业指导服务工作。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356,000.00</w:t>
      </w:r>
    </w:p>
    <w:p>
      <w:pPr>
        <w:pStyle w:val="null3"/>
      </w:pPr>
      <w:r>
        <w:rPr>
          <w:rFonts w:ascii="仿宋_GB2312" w:hAnsi="仿宋_GB2312" w:cs="仿宋_GB2312" w:eastAsia="仿宋_GB2312"/>
        </w:rPr>
        <w:t>采购包最高限价（元）: 356,000.00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2026年三产融合发展项目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标的名称：2026年三产融合发展项目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pPr>
            <w:r>
              <w:rPr>
                <w:rFonts w:ascii="仿宋_GB2312" w:hAnsi="仿宋_GB2312" w:cs="仿宋_GB2312" w:eastAsia="仿宋_GB2312"/>
                <w:sz w:val="24"/>
              </w:rPr>
              <w:t>主要为产业集群项目省级验收与绩效评估、国家产业强镇项目专项审计、农产品加工业指导服务工作。</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采购</w:t>
            </w:r>
            <w:r>
              <w:rPr>
                <w:rFonts w:ascii="仿宋_GB2312" w:hAnsi="仿宋_GB2312" w:cs="仿宋_GB2312" w:eastAsia="仿宋_GB2312"/>
                <w:sz w:val="24"/>
                <w:b/>
              </w:rPr>
              <w:t>内容</w:t>
            </w:r>
          </w:p>
          <w:p>
            <w:pPr>
              <w:pStyle w:val="null3"/>
            </w:pPr>
            <w:r>
              <w:rPr>
                <w:rFonts w:ascii="仿宋_GB2312" w:hAnsi="仿宋_GB2312" w:cs="仿宋_GB2312" w:eastAsia="仿宋_GB2312"/>
                <w:sz w:val="24"/>
              </w:rPr>
              <w:t>（一）产业集群项目省级验收与绩效评估。要求核清</w:t>
            </w:r>
            <w:r>
              <w:rPr>
                <w:rFonts w:ascii="仿宋_GB2312" w:hAnsi="仿宋_GB2312" w:cs="仿宋_GB2312" w:eastAsia="仿宋_GB2312"/>
                <w:sz w:val="24"/>
              </w:rPr>
              <w:t>2022年陕北肉羊集群</w:t>
            </w:r>
            <w:r>
              <w:rPr>
                <w:rFonts w:ascii="仿宋_GB2312" w:hAnsi="仿宋_GB2312" w:cs="仿宋_GB2312" w:eastAsia="仿宋_GB2312"/>
                <w:sz w:val="24"/>
              </w:rPr>
              <w:t>8个县区备案子项目竣工验收和财政资金支付情况，召开专家</w:t>
            </w:r>
            <w:r>
              <w:rPr>
                <w:rFonts w:ascii="仿宋_GB2312" w:hAnsi="仿宋_GB2312" w:cs="仿宋_GB2312" w:eastAsia="仿宋_GB2312"/>
                <w:sz w:val="24"/>
              </w:rPr>
              <w:t>验收</w:t>
            </w:r>
            <w:r>
              <w:rPr>
                <w:rFonts w:ascii="仿宋_GB2312" w:hAnsi="仿宋_GB2312" w:cs="仿宋_GB2312" w:eastAsia="仿宋_GB2312"/>
                <w:sz w:val="24"/>
              </w:rPr>
              <w:t>会议，形成省级验收报告</w:t>
            </w:r>
            <w:r>
              <w:rPr>
                <w:rFonts w:ascii="仿宋_GB2312" w:hAnsi="仿宋_GB2312" w:cs="仿宋_GB2312" w:eastAsia="仿宋_GB2312"/>
                <w:sz w:val="24"/>
              </w:rPr>
              <w:t>1份；完成</w:t>
            </w:r>
            <w:r>
              <w:rPr>
                <w:rFonts w:ascii="仿宋_GB2312" w:hAnsi="仿宋_GB2312" w:cs="仿宋_GB2312" w:eastAsia="仿宋_GB2312"/>
                <w:sz w:val="24"/>
              </w:rPr>
              <w:t>2023年生猪和蔬菜集群末期绩效评估</w:t>
            </w:r>
            <w:r>
              <w:rPr>
                <w:rFonts w:ascii="仿宋_GB2312" w:hAnsi="仿宋_GB2312" w:cs="仿宋_GB2312" w:eastAsia="仿宋_GB2312"/>
                <w:sz w:val="24"/>
              </w:rPr>
              <w:t>、</w:t>
            </w:r>
            <w:r>
              <w:rPr>
                <w:rFonts w:ascii="仿宋_GB2312" w:hAnsi="仿宋_GB2312" w:cs="仿宋_GB2312" w:eastAsia="仿宋_GB2312"/>
                <w:sz w:val="24"/>
              </w:rPr>
              <w:t>2024年陕北小杂粮和陕南食用菌集群第二次（后期）绩效评价</w:t>
            </w:r>
            <w:r>
              <w:rPr>
                <w:rFonts w:ascii="仿宋_GB2312" w:hAnsi="仿宋_GB2312" w:cs="仿宋_GB2312" w:eastAsia="仿宋_GB2312"/>
                <w:sz w:val="24"/>
              </w:rPr>
              <w:t>、</w:t>
            </w:r>
            <w:r>
              <w:rPr>
                <w:rFonts w:ascii="仿宋_GB2312" w:hAnsi="仿宋_GB2312" w:cs="仿宋_GB2312" w:eastAsia="仿宋_GB2312"/>
                <w:sz w:val="24"/>
              </w:rPr>
              <w:t>2025年延安苹果和汉中中药材集群第一次（中期）绩效评价，</w:t>
            </w:r>
            <w:r>
              <w:rPr>
                <w:rFonts w:ascii="仿宋_GB2312" w:hAnsi="仿宋_GB2312" w:cs="仿宋_GB2312" w:eastAsia="仿宋_GB2312"/>
                <w:sz w:val="24"/>
              </w:rPr>
              <w:t>现场调研</w:t>
            </w:r>
            <w:r>
              <w:rPr>
                <w:rFonts w:ascii="仿宋_GB2312" w:hAnsi="仿宋_GB2312" w:cs="仿宋_GB2312" w:eastAsia="仿宋_GB2312"/>
                <w:sz w:val="24"/>
              </w:rPr>
              <w:t>6个集群</w:t>
            </w:r>
            <w:r>
              <w:rPr>
                <w:rFonts w:ascii="仿宋_GB2312" w:hAnsi="仿宋_GB2312" w:cs="仿宋_GB2312" w:eastAsia="仿宋_GB2312"/>
                <w:sz w:val="24"/>
              </w:rPr>
              <w:t>的</w:t>
            </w:r>
            <w:r>
              <w:rPr>
                <w:rFonts w:ascii="仿宋_GB2312" w:hAnsi="仿宋_GB2312" w:cs="仿宋_GB2312" w:eastAsia="仿宋_GB2312"/>
                <w:sz w:val="24"/>
              </w:rPr>
              <w:t>43个县区</w:t>
            </w:r>
            <w:r>
              <w:rPr>
                <w:rFonts w:ascii="仿宋_GB2312" w:hAnsi="仿宋_GB2312" w:cs="仿宋_GB2312" w:eastAsia="仿宋_GB2312"/>
                <w:sz w:val="24"/>
              </w:rPr>
              <w:t>备案子项目建设进展成效，要求现场核查全部项目县区，</w:t>
            </w:r>
            <w:r>
              <w:rPr>
                <w:rFonts w:ascii="仿宋_GB2312" w:hAnsi="仿宋_GB2312" w:cs="仿宋_GB2312" w:eastAsia="仿宋_GB2312"/>
                <w:sz w:val="24"/>
              </w:rPr>
              <w:t>科学评估财政资金绩效</w:t>
            </w:r>
            <w:r>
              <w:rPr>
                <w:rFonts w:ascii="仿宋_GB2312" w:hAnsi="仿宋_GB2312" w:cs="仿宋_GB2312" w:eastAsia="仿宋_GB2312"/>
                <w:sz w:val="24"/>
              </w:rPr>
              <w:t>目标达成情况</w:t>
            </w:r>
            <w:r>
              <w:rPr>
                <w:rFonts w:ascii="仿宋_GB2312" w:hAnsi="仿宋_GB2312" w:cs="仿宋_GB2312" w:eastAsia="仿宋_GB2312"/>
                <w:sz w:val="24"/>
              </w:rPr>
              <w:t>，形成绩效评估报告</w:t>
            </w:r>
            <w:r>
              <w:rPr>
                <w:rFonts w:ascii="仿宋_GB2312" w:hAnsi="仿宋_GB2312" w:cs="仿宋_GB2312" w:eastAsia="仿宋_GB2312"/>
                <w:sz w:val="24"/>
              </w:rPr>
              <w:t>3个</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）国家产业强镇项目专项审计</w:t>
            </w:r>
            <w:r>
              <w:rPr>
                <w:rFonts w:ascii="仿宋_GB2312" w:hAnsi="仿宋_GB2312" w:cs="仿宋_GB2312" w:eastAsia="仿宋_GB2312"/>
                <w:sz w:val="24"/>
              </w:rPr>
              <w:t>。确定审计</w:t>
            </w:r>
            <w:r>
              <w:rPr>
                <w:rFonts w:ascii="仿宋_GB2312" w:hAnsi="仿宋_GB2312" w:cs="仿宋_GB2312" w:eastAsia="仿宋_GB2312"/>
                <w:sz w:val="24"/>
              </w:rPr>
              <w:t>重点</w:t>
            </w:r>
            <w:r>
              <w:rPr>
                <w:rFonts w:ascii="仿宋_GB2312" w:hAnsi="仿宋_GB2312" w:cs="仿宋_GB2312" w:eastAsia="仿宋_GB2312"/>
                <w:sz w:val="24"/>
              </w:rPr>
              <w:t>领域</w:t>
            </w:r>
            <w:r>
              <w:rPr>
                <w:rFonts w:ascii="仿宋_GB2312" w:hAnsi="仿宋_GB2312" w:cs="仿宋_GB2312" w:eastAsia="仿宋_GB2312"/>
                <w:sz w:val="24"/>
              </w:rPr>
              <w:t>、</w:t>
            </w:r>
            <w:r>
              <w:rPr>
                <w:rFonts w:ascii="仿宋_GB2312" w:hAnsi="仿宋_GB2312" w:cs="仿宋_GB2312" w:eastAsia="仿宋_GB2312"/>
                <w:sz w:val="24"/>
              </w:rPr>
              <w:t>工作</w:t>
            </w:r>
            <w:r>
              <w:rPr>
                <w:rFonts w:ascii="仿宋_GB2312" w:hAnsi="仿宋_GB2312" w:cs="仿宋_GB2312" w:eastAsia="仿宋_GB2312"/>
                <w:sz w:val="24"/>
              </w:rPr>
              <w:t>流程和资料要求，采用资料审核、现场抽查相结合的方式，要求联合税务师事务所等专业机构和行业专家对</w:t>
            </w:r>
            <w:r>
              <w:rPr>
                <w:rFonts w:ascii="仿宋_GB2312" w:hAnsi="仿宋_GB2312" w:cs="仿宋_GB2312" w:eastAsia="仿宋_GB2312"/>
                <w:sz w:val="24"/>
              </w:rPr>
              <w:t>2025年通过部里评估的10个产业强镇开展审计，现场抽审不少于5个，形成项目审计报告</w:t>
            </w:r>
            <w:r>
              <w:rPr>
                <w:rFonts w:ascii="仿宋_GB2312" w:hAnsi="仿宋_GB2312" w:cs="仿宋_GB2312" w:eastAsia="仿宋_GB2312"/>
                <w:sz w:val="24"/>
              </w:rPr>
              <w:t>1个</w:t>
            </w:r>
            <w:r>
              <w:rPr>
                <w:rFonts w:ascii="仿宋_GB2312" w:hAnsi="仿宋_GB2312" w:cs="仿宋_GB2312" w:eastAsia="仿宋_GB2312"/>
                <w:sz w:val="24"/>
              </w:rPr>
              <w:t>。</w:t>
            </w:r>
          </w:p>
          <w:p>
            <w:pPr>
              <w:pStyle w:val="null3"/>
            </w:pPr>
            <w:r>
              <w:rPr>
                <w:rFonts w:ascii="仿宋_GB2312" w:hAnsi="仿宋_GB2312" w:cs="仿宋_GB2312" w:eastAsia="仿宋_GB2312"/>
                <w:sz w:val="24"/>
              </w:rPr>
              <w:t>（三）农产品加工业指导服务工作。</w:t>
            </w:r>
            <w:r>
              <w:rPr>
                <w:rFonts w:ascii="仿宋_GB2312" w:hAnsi="仿宋_GB2312" w:cs="仿宋_GB2312" w:eastAsia="仿宋_GB2312"/>
                <w:sz w:val="24"/>
              </w:rPr>
              <w:t>支持省级农产品加工技术</w:t>
            </w:r>
            <w:r>
              <w:rPr>
                <w:rFonts w:ascii="仿宋_GB2312" w:hAnsi="仿宋_GB2312" w:cs="仿宋_GB2312" w:eastAsia="仿宋_GB2312"/>
                <w:sz w:val="24"/>
              </w:rPr>
              <w:t>服务</w:t>
            </w:r>
            <w:r>
              <w:rPr>
                <w:rFonts w:ascii="仿宋_GB2312" w:hAnsi="仿宋_GB2312" w:cs="仿宋_GB2312" w:eastAsia="仿宋_GB2312"/>
                <w:sz w:val="24"/>
              </w:rPr>
              <w:t>体系专家</w:t>
            </w:r>
            <w:r>
              <w:rPr>
                <w:rFonts w:ascii="仿宋_GB2312" w:hAnsi="仿宋_GB2312" w:cs="仿宋_GB2312" w:eastAsia="仿宋_GB2312"/>
                <w:sz w:val="24"/>
              </w:rPr>
              <w:t>团队</w:t>
            </w:r>
            <w:r>
              <w:rPr>
                <w:rFonts w:ascii="仿宋_GB2312" w:hAnsi="仿宋_GB2312" w:cs="仿宋_GB2312" w:eastAsia="仿宋_GB2312"/>
                <w:sz w:val="24"/>
              </w:rPr>
              <w:t>赴</w:t>
            </w:r>
            <w:r>
              <w:rPr>
                <w:rFonts w:ascii="仿宋_GB2312" w:hAnsi="仿宋_GB2312" w:cs="仿宋_GB2312" w:eastAsia="仿宋_GB2312"/>
                <w:sz w:val="24"/>
              </w:rPr>
              <w:t>有关</w:t>
            </w:r>
            <w:r>
              <w:rPr>
                <w:rFonts w:ascii="仿宋_GB2312" w:hAnsi="仿宋_GB2312" w:cs="仿宋_GB2312" w:eastAsia="仿宋_GB2312"/>
                <w:sz w:val="24"/>
              </w:rPr>
              <w:t>市县、加工园区</w:t>
            </w:r>
            <w:r>
              <w:rPr>
                <w:rFonts w:ascii="仿宋_GB2312" w:hAnsi="仿宋_GB2312" w:cs="仿宋_GB2312" w:eastAsia="仿宋_GB2312"/>
                <w:sz w:val="24"/>
              </w:rPr>
              <w:t>和</w:t>
            </w:r>
            <w:r>
              <w:rPr>
                <w:rFonts w:ascii="仿宋_GB2312" w:hAnsi="仿宋_GB2312" w:cs="仿宋_GB2312" w:eastAsia="仿宋_GB2312"/>
                <w:sz w:val="24"/>
              </w:rPr>
              <w:t>企业开展技术成果对接服务指导，</w:t>
            </w:r>
            <w:r>
              <w:rPr>
                <w:rFonts w:ascii="仿宋_GB2312" w:hAnsi="仿宋_GB2312" w:cs="仿宋_GB2312" w:eastAsia="仿宋_GB2312"/>
                <w:sz w:val="24"/>
              </w:rPr>
              <w:t>全年</w:t>
            </w:r>
            <w:r>
              <w:rPr>
                <w:rFonts w:ascii="仿宋_GB2312" w:hAnsi="仿宋_GB2312" w:cs="仿宋_GB2312" w:eastAsia="仿宋_GB2312"/>
                <w:sz w:val="24"/>
              </w:rPr>
              <w:t>组织</w:t>
            </w:r>
            <w:r>
              <w:rPr>
                <w:rFonts w:ascii="仿宋_GB2312" w:hAnsi="仿宋_GB2312" w:cs="仿宋_GB2312" w:eastAsia="仿宋_GB2312"/>
                <w:sz w:val="24"/>
              </w:rPr>
              <w:t>对接</w:t>
            </w:r>
            <w:r>
              <w:rPr>
                <w:rFonts w:ascii="仿宋_GB2312" w:hAnsi="仿宋_GB2312" w:cs="仿宋_GB2312" w:eastAsia="仿宋_GB2312"/>
                <w:sz w:val="24"/>
              </w:rPr>
              <w:t>活动不少于</w:t>
            </w:r>
            <w:r>
              <w:rPr>
                <w:rFonts w:ascii="仿宋_GB2312" w:hAnsi="仿宋_GB2312" w:cs="仿宋_GB2312" w:eastAsia="仿宋_GB2312"/>
                <w:sz w:val="24"/>
              </w:rPr>
              <w:t>5次</w:t>
            </w:r>
            <w:r>
              <w:rPr>
                <w:rFonts w:ascii="仿宋_GB2312" w:hAnsi="仿宋_GB2312" w:cs="仿宋_GB2312" w:eastAsia="仿宋_GB2312"/>
                <w:sz w:val="24"/>
              </w:rPr>
              <w:t>、</w:t>
            </w:r>
            <w:r>
              <w:rPr>
                <w:rFonts w:ascii="仿宋_GB2312" w:hAnsi="仿宋_GB2312" w:cs="仿宋_GB2312" w:eastAsia="仿宋_GB2312"/>
                <w:sz w:val="24"/>
              </w:rPr>
              <w:t>对接企业不少于</w:t>
            </w:r>
            <w:r>
              <w:rPr>
                <w:rFonts w:ascii="仿宋_GB2312" w:hAnsi="仿宋_GB2312" w:cs="仿宋_GB2312" w:eastAsia="仿宋_GB2312"/>
                <w:sz w:val="24"/>
              </w:rPr>
              <w:t>30家</w:t>
            </w:r>
            <w:r>
              <w:rPr>
                <w:rFonts w:ascii="仿宋_GB2312" w:hAnsi="仿宋_GB2312" w:cs="仿宋_GB2312" w:eastAsia="仿宋_GB2312"/>
                <w:sz w:val="24"/>
              </w:rPr>
              <w:t>、</w:t>
            </w:r>
            <w:r>
              <w:rPr>
                <w:rFonts w:ascii="仿宋_GB2312" w:hAnsi="仿宋_GB2312" w:cs="仿宋_GB2312" w:eastAsia="仿宋_GB2312"/>
                <w:sz w:val="24"/>
              </w:rPr>
              <w:t>转化技术不少于</w:t>
            </w:r>
            <w:r>
              <w:rPr>
                <w:rFonts w:ascii="仿宋_GB2312" w:hAnsi="仿宋_GB2312" w:cs="仿宋_GB2312" w:eastAsia="仿宋_GB2312"/>
                <w:sz w:val="24"/>
              </w:rPr>
              <w:t>3项。调研农产品加工业发展现状，挖掘经验做法，结合全省加工企业统计</w:t>
            </w:r>
            <w:r>
              <w:rPr>
                <w:rFonts w:ascii="仿宋_GB2312" w:hAnsi="仿宋_GB2312" w:cs="仿宋_GB2312" w:eastAsia="仿宋_GB2312"/>
                <w:sz w:val="24"/>
              </w:rPr>
              <w:t>数据</w:t>
            </w:r>
            <w:r>
              <w:rPr>
                <w:rFonts w:ascii="仿宋_GB2312" w:hAnsi="仿宋_GB2312" w:cs="仿宋_GB2312" w:eastAsia="仿宋_GB2312"/>
                <w:sz w:val="24"/>
              </w:rPr>
              <w:t>，</w:t>
            </w:r>
            <w:r>
              <w:rPr>
                <w:rFonts w:ascii="仿宋_GB2312" w:hAnsi="仿宋_GB2312" w:cs="仿宋_GB2312" w:eastAsia="仿宋_GB2312"/>
                <w:sz w:val="24"/>
              </w:rPr>
              <w:t>分析</w:t>
            </w:r>
            <w:r>
              <w:rPr>
                <w:rFonts w:ascii="仿宋_GB2312" w:hAnsi="仿宋_GB2312" w:cs="仿宋_GB2312" w:eastAsia="仿宋_GB2312"/>
                <w:sz w:val="24"/>
              </w:rPr>
              <w:t>形成</w:t>
            </w:r>
            <w:r>
              <w:rPr>
                <w:rFonts w:ascii="仿宋_GB2312" w:hAnsi="仿宋_GB2312" w:cs="仿宋_GB2312" w:eastAsia="仿宋_GB2312"/>
                <w:sz w:val="24"/>
              </w:rPr>
              <w:t>2026年</w:t>
            </w:r>
            <w:r>
              <w:rPr>
                <w:rFonts w:ascii="仿宋_GB2312" w:hAnsi="仿宋_GB2312" w:cs="仿宋_GB2312" w:eastAsia="仿宋_GB2312"/>
                <w:sz w:val="24"/>
              </w:rPr>
              <w:t>农产品加工业发展报告</w:t>
            </w:r>
            <w:r>
              <w:rPr>
                <w:rFonts w:ascii="仿宋_GB2312" w:hAnsi="仿宋_GB2312" w:cs="仿宋_GB2312" w:eastAsia="仿宋_GB2312"/>
                <w:sz w:val="24"/>
              </w:rPr>
              <w:t>1个</w:t>
            </w:r>
            <w:r>
              <w:rPr>
                <w:rFonts w:ascii="仿宋_GB2312" w:hAnsi="仿宋_GB2312" w:cs="仿宋_GB2312" w:eastAsia="仿宋_GB2312"/>
                <w:sz w:val="24"/>
              </w:rPr>
              <w:t>。</w:t>
            </w:r>
          </w:p>
          <w:p>
            <w:pPr>
              <w:pStyle w:val="null3"/>
            </w:pPr>
            <w:r>
              <w:rPr>
                <w:rFonts w:ascii="仿宋_GB2312" w:hAnsi="仿宋_GB2312" w:cs="仿宋_GB2312" w:eastAsia="仿宋_GB2312"/>
                <w:sz w:val="24"/>
                <w:b/>
              </w:rPr>
              <w:t>三、付款方式</w:t>
            </w:r>
          </w:p>
          <w:p>
            <w:pPr>
              <w:pStyle w:val="null3"/>
            </w:pPr>
            <w:r>
              <w:rPr>
                <w:rFonts w:ascii="仿宋_GB2312" w:hAnsi="仿宋_GB2312" w:cs="仿宋_GB2312" w:eastAsia="仿宋_GB2312"/>
                <w:sz w:val="24"/>
              </w:rPr>
              <w:t>合同签订后，达到付款条件起30个工作日内，支付合同总金额的70.0%；服务完成，验收合格后，达到付款条件起30个工作日内，支付合同总金额的30.0%。</w:t>
            </w:r>
          </w:p>
          <w:p>
            <w:pPr>
              <w:pStyle w:val="null3"/>
            </w:pPr>
            <w:r>
              <w:rPr>
                <w:rFonts w:ascii="仿宋_GB2312" w:hAnsi="仿宋_GB2312" w:cs="仿宋_GB2312" w:eastAsia="仿宋_GB2312"/>
                <w:sz w:val="24"/>
                <w:b/>
              </w:rPr>
              <w:t>四、验收及违约</w:t>
            </w:r>
          </w:p>
          <w:p>
            <w:pPr>
              <w:pStyle w:val="null3"/>
            </w:pPr>
            <w:r>
              <w:rPr>
                <w:rFonts w:ascii="仿宋_GB2312" w:hAnsi="仿宋_GB2312" w:cs="仿宋_GB2312" w:eastAsia="仿宋_GB2312"/>
                <w:sz w:val="24"/>
              </w:rPr>
              <w:t>（一）验收标准按照国家、行业有关规范和要求执行。</w:t>
            </w:r>
          </w:p>
          <w:p>
            <w:pPr>
              <w:pStyle w:val="null3"/>
            </w:pPr>
            <w:r>
              <w:rPr>
                <w:rFonts w:ascii="仿宋_GB2312" w:hAnsi="仿宋_GB2312" w:cs="仿宋_GB2312" w:eastAsia="仿宋_GB2312"/>
                <w:sz w:val="24"/>
              </w:rPr>
              <w:t>（二）成交人承诺完全达到国家有关部门验收标准，并全部通过验收为交付使用的基本条件，验收过程中的一切费用由成交供应商承担。</w:t>
            </w:r>
          </w:p>
          <w:p>
            <w:pPr>
              <w:pStyle w:val="null3"/>
            </w:pPr>
            <w:r>
              <w:rPr>
                <w:rFonts w:ascii="仿宋_GB2312" w:hAnsi="仿宋_GB2312" w:cs="仿宋_GB2312" w:eastAsia="仿宋_GB2312"/>
                <w:sz w:val="24"/>
              </w:rPr>
              <w:t>（三）违约责任</w:t>
            </w:r>
          </w:p>
          <w:p>
            <w:pPr>
              <w:pStyle w:val="null3"/>
            </w:pPr>
            <w:r>
              <w:rPr>
                <w:rFonts w:ascii="仿宋_GB2312" w:hAnsi="仿宋_GB2312" w:cs="仿宋_GB2312" w:eastAsia="仿宋_GB2312"/>
                <w:sz w:val="24"/>
              </w:rPr>
              <w:t>委托人违反本合同约定造成咨询人损失的，委托人应予以赔偿。双方可在专用条款中约定赔偿金额的确定及支付方法。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服务完成，验收合格后，达到付款条件起30个工作日内，支付合同总金额的30.0%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履约时发生的争议，双方应友好协商解决。协商不成的，向甲方住所地人民法院诉讼解决。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成交单位领取中标通知书时，提供一正两副纸质版文件。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具有独立承担民事责任能力的法人、其他组织或自然人，营业执照、税务登记证、组织机构代码证（多证 合一只提供营业执照，事业单位提供事业单位法人证书，其他组织提供营业执照或相关登记证书，自然人提供本人身份证）合法有效；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应提供2024年度或2025年度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提供供应商投标截止日前6个月内至少一个月已缴纳的增值税纳税证明或完税证明（任意税种），依法免税的供应商应提供加盖公章的相关证明文件；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提供供应商投标截止日前6个月内至少一个月已缴纳的社会保障资金缴存单据或社保机构开具的社会保险参保缴费情况证明；依法不需要缴纳社会保障资金的供应商应提供加盖公章的相关证明文件；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参加本次政府采购活动前3年内在经营活动中没有重大违纪、未被列入失信被执行人、重大税收违法失信主体名单、政府采购严重违法失信行为记录名单的书面声明。开标评审将登陆“信用中国”网站 （www.creditchina.gov.cn）和“中国政府采购网”（www.ccgp.gov.cn）进行审查；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响应文件上法定代表人（负责人）或其授权代表人的签字齐全并加盖公章</w:t>
            </w:r>
          </w:p>
        </w:tc>
        <w:tc>
          <w:tcPr>
            <w:tcW w:type="dxa" w:w="1661"/>
          </w:tcPr>
          <w:p>
            <w:pPr>
              <w:pStyle w:val="null3"/>
            </w:pPr>
            <w:r>
              <w:rPr>
                <w:rFonts w:ascii="仿宋_GB2312" w:hAnsi="仿宋_GB2312" w:cs="仿宋_GB2312" w:eastAsia="仿宋_GB2312"/>
              </w:rPr>
              <w:t>响应文件封面 偏离表 资格证明文件 中小企业声明函 残疾人福利性单位声明函 服务方案 标的清单 报价表 供应商认为需要提供的其它资料 响应函 类似业绩一览表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符合“响应文件格式”和磋商文件要求</w:t>
            </w:r>
          </w:p>
        </w:tc>
        <w:tc>
          <w:tcPr>
            <w:tcW w:type="dxa" w:w="1661"/>
          </w:tcPr>
          <w:p>
            <w:pPr>
              <w:pStyle w:val="null3"/>
            </w:pPr>
            <w:r>
              <w:rPr>
                <w:rFonts w:ascii="仿宋_GB2312" w:hAnsi="仿宋_GB2312" w:cs="仿宋_GB2312" w:eastAsia="仿宋_GB2312"/>
              </w:rPr>
              <w:t>响应文件封面 偏离表 资格证明文件 中小企业声明函 残疾人福利性单位声明函 服务方案 标的清单 报价表 供应商认为需要提供的其它资料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项目实施方案，方案应至少包括、1、项目理解，2、服务总体设想及目标，3、服务理念及特色，4、应急保障措施，5、项目进度,包含以上5个方面的得20分，每缺少一项的扣4分，每有一项存在内容缺陷扣1分，每项关于内容缺陷的最多扣4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供应商针对本项目提供项目保障措施，应至少包括1、项目管理措施，2、质量控制措施，3、与采购人的配合措施，包含以上3个方面的得9分，每缺少一项的扣3分，每有一项存在内容缺陷扣1分，每项关于内容缺陷的最多扣3分，扣完为止。 （内容缺陷是指：非专门针对本项目或不适用项目特性的情形、内容不完整或缺少关键节点、内容前后矛盾、涉及的规范及标准错误、不利于项目实施、不可能实现的情形等任意一种情形。）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拟投入的人员设置满足项目需求。 1.机构设置科学、规范，人员配备数量充足、职责明确、分工清晰，完全满足项目需求，得6分； 2.机构设置较科学，人员配备数量充足、职责明确、分工清晰，能满足需求，得5分； 3.人员配备数量较充足、职责明确、分工清晰，能满足需求，得3分； 4.机构设置组成有漏缺，人员配备数量较少、职责分工不清晰，得1分； 5.不满足项目要求或未提供不计分。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各供应商针对本项目的服务质量、项目的完成是否全面认真、是否派遣人员驻扎现场等方面作出承诺。1、该项承诺详细、服务全面、科学合理，针对性强，完全满足本项目需求，得5分；2、承诺比较详细、基本可行、基本合理，比较有针对性，基本能满足本项目需求，得4分；3、承诺不够全面，可行性、合理性一般，针对性不够，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一、项目负责人具有：1、具备高级职称证书或注册咨询工程师证书的得4分；中级职称证书的得2分； 二、供应商需提供 2021年6月1日至今项目负责人的类似项目业绩，每提供一个得3分，最高得9分，未提供不得分。注：以合同或项目验收单或中标通知书签订日期为准，提供以上相关资料关键页复印件加盖公章。</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除项目负责人外， 1.提供的团队成员具备相关专业中级及以上职称或职业资格，每人次得2分； 2.提供的团队成员具备初级职称或相关技能证书，每人次得1分； 本项最高得12分。 注：需提供证书复印件或相关认定文件，人员不得重复计分。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06月01日至今类似项目业绩，以供应商提供的合同或中标（成交）通知书复印件（或扫描件）为准（日期以合同签订时间或中标（成交）通知书时间为准），每提供一份得4分，满分20分；未提供的不得分。注：提供的合同中包括绩效评估（绩效评价）、专项审计、指导服务工作三项其中一项即可算有效业绩，此项业绩可与项目负责人业绩重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磋商评审价为磋商基准价，其磋商报价为满分。供应商的磋商报价得分，统一按照下列公式计算：磋商评审价=磋商报价×（1-磋商报价扣除幅度），磋商报价得分=(评审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详见附件：供应商认为需要提供的其它资料</w:t>
      </w:r>
    </w:p>
    <w:p>
      <w:pPr>
        <w:pStyle w:val="null3"/>
        <w:ind w:firstLine="960"/>
      </w:pPr>
      <w:r>
        <w:rPr>
          <w:rFonts w:ascii="仿宋_GB2312" w:hAnsi="仿宋_GB2312" w:cs="仿宋_GB2312" w:eastAsia="仿宋_GB2312"/>
        </w:rPr>
        <w:t>详见附件：类似业绩一览表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