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版本号：HZ-J2026026C20260611001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南郑区福成镇至余家嘴公路建设工程监理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HZ-J2026026C</w:t>
      </w:r>
      <w:r>
        <w:br/>
      </w:r>
      <w:r>
        <w:br/>
      </w:r>
      <w:r>
        <w:br/>
      </w:r>
    </w:p>
    <w:p>
      <w:pPr>
        <w:pStyle w:val="null3"/>
        <w:jc w:val="center"/>
        <w:outlineLvl w:val="2"/>
      </w:pPr>
      <w:r>
        <w:rPr>
          <w:rFonts w:ascii="仿宋_GB2312" w:hAnsi="仿宋_GB2312" w:cs="仿宋_GB2312" w:eastAsia="仿宋_GB2312"/>
          <w:sz w:val="28"/>
          <w:b/>
        </w:rPr>
        <w:t>汉中市南郑区交通运输局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汉中市南郑区交通运输局</w:t>
      </w:r>
      <w:r>
        <w:rPr>
          <w:rFonts w:ascii="仿宋_GB2312" w:hAnsi="仿宋_GB2312" w:cs="仿宋_GB2312" w:eastAsia="仿宋_GB2312"/>
        </w:rPr>
        <w:t>委托，拟对</w:t>
      </w:r>
      <w:r>
        <w:rPr>
          <w:rFonts w:ascii="仿宋_GB2312" w:hAnsi="仿宋_GB2312" w:cs="仿宋_GB2312" w:eastAsia="仿宋_GB2312"/>
        </w:rPr>
        <w:t>南郑区福成镇至余家嘴公路建设工程监理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HZ-J2026026C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南郑区福成镇至余家嘴公路建设工程监理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南郑区福成镇至余家嘴公路建设工程监理采购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采购包1（南郑区福成镇至余家嘴公路建设工程监理）：属于专门面向中小企业采购。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4、企业资质：供应商具备交通行业主管部门颁发的公路工程监理乙级及以上资质。（材料应清晰可辨并进行电子签章）</w:t>
      </w:r>
    </w:p>
    <w:p>
      <w:pPr>
        <w:pStyle w:val="null3"/>
      </w:pPr>
      <w:r>
        <w:rPr>
          <w:rFonts w:ascii="仿宋_GB2312" w:hAnsi="仿宋_GB2312" w:cs="仿宋_GB2312" w:eastAsia="仿宋_GB2312"/>
        </w:rPr>
        <w:t>5、项目总监：拟派总监理工程师具备公路工程专业注册监理工程师职业资格，且在本单位注册并未担任其他在建项目的总监理工程师（提供承诺书）。（材料应清晰可辨并进行电子签章）</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陕西省汉中市南郑区汉山街道办东大街39号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张培泽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汉中市南郑区交通运输局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联系人：张培泽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南郑区福成镇至余家嘴公路建设工程监理采购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南郑区福成镇至余家嘴公路建设工程监理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标的名称：南郑区福成镇至余家嘴公路建设工程监理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建设地点</w:t>
            </w:r>
          </w:p>
          <w:p>
            <w:pPr>
              <w:pStyle w:val="null3"/>
            </w:pPr>
            <w:r>
              <w:rPr>
                <w:rFonts w:ascii="仿宋_GB2312" w:hAnsi="仿宋_GB2312" w:cs="仿宋_GB2312" w:eastAsia="仿宋_GB2312"/>
                <w:sz w:val="21"/>
              </w:rPr>
              <w:t>该项目起点位于南郑区福成镇九年制学校大门口，终点止于诺水河镇余家嘴村</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项目概况</w:t>
            </w:r>
          </w:p>
          <w:p>
            <w:pPr>
              <w:pStyle w:val="null3"/>
            </w:pPr>
            <w:r>
              <w:rPr>
                <w:rFonts w:ascii="仿宋_GB2312" w:hAnsi="仿宋_GB2312" w:cs="仿宋_GB2312" w:eastAsia="仿宋_GB2312"/>
                <w:sz w:val="21"/>
              </w:rPr>
              <w:t>南郑区福成镇至余家嘴公路建设工程</w:t>
            </w:r>
            <w:r>
              <w:rPr>
                <w:rFonts w:ascii="仿宋_GB2312" w:hAnsi="仿宋_GB2312" w:cs="仿宋_GB2312" w:eastAsia="仿宋_GB2312"/>
                <w:sz w:val="21"/>
              </w:rPr>
              <w:t>,项目起点位于南郑区福成镇九年制学校大门口，终点止于诺水河镇余家嘴村，路线全长 14.135 公里(含长链573.058米，终点桩号K13+562) 。项目采用四级公路技术标准，路基宽度6.5米，路面宽6米，困难路段采用小交通量农村公路四级-II类技术标准。</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w:t>
            </w:r>
            <w:r>
              <w:rPr>
                <w:rFonts w:ascii="仿宋_GB2312" w:hAnsi="仿宋_GB2312" w:cs="仿宋_GB2312" w:eastAsia="仿宋_GB2312"/>
                <w:sz w:val="21"/>
              </w:rPr>
              <w:t>监理</w:t>
            </w:r>
            <w:r>
              <w:rPr>
                <w:rFonts w:ascii="仿宋_GB2312" w:hAnsi="仿宋_GB2312" w:cs="仿宋_GB2312" w:eastAsia="仿宋_GB2312"/>
                <w:sz w:val="21"/>
              </w:rPr>
              <w:t>依据</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1. 国家和地方法律、法规；</w:t>
            </w:r>
          </w:p>
          <w:p>
            <w:pPr>
              <w:pStyle w:val="null3"/>
              <w:ind w:firstLine="420"/>
            </w:pPr>
            <w:r>
              <w:rPr>
                <w:rFonts w:ascii="仿宋_GB2312" w:hAnsi="仿宋_GB2312" w:cs="仿宋_GB2312" w:eastAsia="仿宋_GB2312"/>
                <w:sz w:val="21"/>
              </w:rPr>
              <w:t>2. 国家和行业、地方现行的有关标准、规范、规程及相关文件；</w:t>
            </w:r>
          </w:p>
          <w:p>
            <w:pPr>
              <w:pStyle w:val="null3"/>
              <w:ind w:firstLine="420"/>
            </w:pPr>
            <w:r>
              <w:rPr>
                <w:rFonts w:ascii="仿宋_GB2312" w:hAnsi="仿宋_GB2312" w:cs="仿宋_GB2312" w:eastAsia="仿宋_GB2312"/>
                <w:sz w:val="21"/>
              </w:rPr>
              <w:t>3. 监理合同；</w:t>
            </w:r>
          </w:p>
          <w:p>
            <w:pPr>
              <w:pStyle w:val="null3"/>
              <w:ind w:firstLine="420"/>
            </w:pPr>
            <w:r>
              <w:rPr>
                <w:rFonts w:ascii="仿宋_GB2312" w:hAnsi="仿宋_GB2312" w:cs="仿宋_GB2312" w:eastAsia="仿宋_GB2312"/>
                <w:sz w:val="21"/>
              </w:rPr>
              <w:t>4. 施工合同；</w:t>
            </w:r>
          </w:p>
          <w:p>
            <w:pPr>
              <w:pStyle w:val="null3"/>
              <w:ind w:firstLine="420"/>
            </w:pPr>
            <w:r>
              <w:rPr>
                <w:rFonts w:ascii="仿宋_GB2312" w:hAnsi="仿宋_GB2312" w:cs="仿宋_GB2312" w:eastAsia="仿宋_GB2312"/>
                <w:sz w:val="21"/>
              </w:rPr>
              <w:t>5. 《公路工程施工监理规范》(JTG G10-2016) ；</w:t>
            </w:r>
          </w:p>
          <w:p>
            <w:pPr>
              <w:pStyle w:val="null3"/>
              <w:ind w:firstLine="420"/>
            </w:pPr>
            <w:r>
              <w:rPr>
                <w:rFonts w:ascii="仿宋_GB2312" w:hAnsi="仿宋_GB2312" w:cs="仿宋_GB2312" w:eastAsia="仿宋_GB2312"/>
                <w:sz w:val="21"/>
              </w:rPr>
              <w:t>6</w:t>
            </w:r>
            <w:r>
              <w:rPr>
                <w:rFonts w:ascii="仿宋_GB2312" w:hAnsi="仿宋_GB2312" w:cs="仿宋_GB2312" w:eastAsia="仿宋_GB2312"/>
                <w:sz w:val="21"/>
              </w:rPr>
              <w:t>. 发包人、总监办批准实施的监理计划及监理细则；</w:t>
            </w:r>
          </w:p>
          <w:p>
            <w:pPr>
              <w:pStyle w:val="null3"/>
              <w:ind w:firstLine="420"/>
            </w:pPr>
            <w:r>
              <w:rPr>
                <w:rFonts w:ascii="仿宋_GB2312" w:hAnsi="仿宋_GB2312" w:cs="仿宋_GB2312" w:eastAsia="仿宋_GB2312"/>
                <w:sz w:val="21"/>
              </w:rPr>
              <w:t>7</w:t>
            </w:r>
            <w:r>
              <w:rPr>
                <w:rFonts w:ascii="仿宋_GB2312" w:hAnsi="仿宋_GB2312" w:cs="仿宋_GB2312" w:eastAsia="仿宋_GB2312"/>
                <w:sz w:val="21"/>
              </w:rPr>
              <w:t>. 工程前期有关文件；</w:t>
            </w:r>
          </w:p>
          <w:p>
            <w:pPr>
              <w:pStyle w:val="null3"/>
              <w:ind w:firstLine="420"/>
            </w:pPr>
            <w:r>
              <w:rPr>
                <w:rFonts w:ascii="仿宋_GB2312" w:hAnsi="仿宋_GB2312" w:cs="仿宋_GB2312" w:eastAsia="仿宋_GB2312"/>
                <w:sz w:val="21"/>
              </w:rPr>
              <w:t>8</w:t>
            </w:r>
            <w:r>
              <w:rPr>
                <w:rFonts w:ascii="仿宋_GB2312" w:hAnsi="仿宋_GB2312" w:cs="仿宋_GB2312" w:eastAsia="仿宋_GB2312"/>
                <w:sz w:val="21"/>
              </w:rPr>
              <w:t>. 工程设计文件和图纸；</w:t>
            </w:r>
          </w:p>
          <w:p>
            <w:pPr>
              <w:pStyle w:val="null3"/>
            </w:pPr>
            <w:r>
              <w:rPr>
                <w:rFonts w:ascii="仿宋_GB2312" w:hAnsi="仿宋_GB2312" w:cs="仿宋_GB2312" w:eastAsia="仿宋_GB2312"/>
                <w:sz w:val="21"/>
              </w:rPr>
              <w:t xml:space="preserve">     9</w:t>
            </w:r>
            <w:r>
              <w:rPr>
                <w:rFonts w:ascii="仿宋_GB2312" w:hAnsi="仿宋_GB2312" w:cs="仿宋_GB2312" w:eastAsia="仿宋_GB2312"/>
                <w:sz w:val="21"/>
              </w:rPr>
              <w:t>. 在工程实施全过程中，国家和发包人决定采用的新标准或规范及发包人有关监理工作的要求及函件。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适用规范标准</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通用施工监理规范</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2.</w:t>
            </w:r>
            <w:r>
              <w:rPr>
                <w:rFonts w:ascii="仿宋_GB2312" w:hAnsi="仿宋_GB2312" w:cs="仿宋_GB2312" w:eastAsia="仿宋_GB2312"/>
                <w:sz w:val="21"/>
              </w:rPr>
              <w:t>执行《公路工程施工监理规范》（</w:t>
            </w:r>
            <w:r>
              <w:rPr>
                <w:rFonts w:ascii="仿宋_GB2312" w:hAnsi="仿宋_GB2312" w:cs="仿宋_GB2312" w:eastAsia="仿宋_GB2312"/>
                <w:sz w:val="21"/>
              </w:rPr>
              <w:t>JTG G10—2016）。</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自合同签订之日起至本项目竣（交）工验收合格为止项目建设全过程监理（包括施工准备阶段、施工阶段、缺陷责任期等）</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按《公路工程质量检验评定标准》对工程质量进行评定。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进度款，进场后，达到付款条件起30个工作日内，支付合同总金额的40.0%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进度款，主体完工后，达到付款条件起30个工作日内，支付合同总金额的30.0%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进度款，竣（交）工验收合格后，达到付款条件起30个工作日内，支付合同总金额的30.0%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供应商具备交通行业主管部门颁发的公路工程监理乙级及以上资质。（材料应清晰可辨并进行电子签章）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拟派总监理工程师具备公路工程专业注册监理工程师职业资格，且在本单位注册并未担任其他在建项目的总监理工程师（提供承诺书）。（材料应清晰可辨并进行电子签章）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残疾人福利性单位声明函 商务要求应答表.docx 标的清单 报价表 服务内容及服务要求应答表.docx 响应函 监狱企业的证明文件 项目团队人员配备表.docx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一、评审内容：针对本项目制定监理大纲，包含①监理工作范围及内容②监理工作目标③监理工作依据④监理工作程序⑤监理工作制度⑥进度计划安排⑦进度保障措施⑧ 拟投入仪器及设备；⑨工程资料管理措施；⑩沟通机制、沟通措施及沟通优势，针对施工中各种矛盾组织协调具有明确沟通方法与方式。二、赋分标准： 1.完整性：对上述各项内容均有描述，得10分；每缺1项扣1分，扣完为止。此项不提供不得分。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施工安全及文明监督措施</w:t>
            </w:r>
          </w:p>
        </w:tc>
        <w:tc>
          <w:tcPr>
            <w:tcW w:type="dxa" w:w="2492"/>
          </w:tcPr>
          <w:p>
            <w:pPr>
              <w:pStyle w:val="null3"/>
            </w:pPr>
            <w:r>
              <w:rPr>
                <w:rFonts w:ascii="仿宋_GB2312" w:hAnsi="仿宋_GB2312" w:cs="仿宋_GB2312" w:eastAsia="仿宋_GB2312"/>
              </w:rPr>
              <w:t>一、评审内容：供应商针对本项目提供施工安全及文明监督措施：包含①施工安全监督管理；②文明施工管理及环境保护制度；③治污减霾监督管理措施。 二、赋分标准： 1.完整性：对上述各项内容均有描述，得3分；每缺1项扣1分，扣完为止。此项不提供不得分。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合同与信息管理措施及工程资料管理措施</w:t>
            </w:r>
          </w:p>
        </w:tc>
        <w:tc>
          <w:tcPr>
            <w:tcW w:type="dxa" w:w="2492"/>
          </w:tcPr>
          <w:p>
            <w:pPr>
              <w:pStyle w:val="null3"/>
            </w:pPr>
            <w:r>
              <w:rPr>
                <w:rFonts w:ascii="仿宋_GB2312" w:hAnsi="仿宋_GB2312" w:cs="仿宋_GB2312" w:eastAsia="仿宋_GB2312"/>
              </w:rPr>
              <w:t>一、评审内容：供应商针对本项目提供合同与信息管理措施及工程资料管理措施，包含①合同与信息协调管理措施；②监理保修阶段的服务工作；③工程资料管理措施。 二、赋分标准：1、完整性：上述各项内容均有描述，得3分；每缺1项扣1分，扣完为止。此项不提供不得分。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一、评审内容：供应商针对本项目提供应急预案，包含①突发性事件应急处置预案；②暴雨等专项防汛应急预案。 二、赋分标准：1、完整性：上述各项内容均有描述，得2分；每缺1项扣1分，扣完为止。此项不提供不得分。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一、评审内容：针对本项目提供拟投入人员配备方案，包含①项目团队人员配置；②岗位职责安排。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一、评审内容：提供2023年6月1日至今类似项目业绩。 二、赋分标准： 每提供1份得2分，满分4分。无此项内容不得分。（注：业绩证明材料以中标（成交）通知书或合同协议书为准，并加盖企业公章。）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