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版本号：SZT2026-SN-SC-ZC-FW-046520260522001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互联网专线及数据服务采购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SZT2026-SN-SC-ZC-FW-0465</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互联网专线及数据服务采购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SZT2026-SN-SC-ZC-FW-0465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互联网专线及数据服务采购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西安科技大学骊山校园采购互联网专线带宽和相关数据服务。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1、供应商要求1：具备增值电信业务经营许可证（互联网接入服务业务）</w:t>
      </w:r>
    </w:p>
    <w:p>
      <w:pPr>
        <w:pStyle w:val="null3"/>
      </w:pPr>
      <w:r>
        <w:rPr>
          <w:rFonts w:ascii="仿宋_GB2312" w:hAnsi="仿宋_GB2312" w:cs="仿宋_GB2312" w:eastAsia="仿宋_GB2312"/>
        </w:rPr>
        <w:t>2、供应商要求2：单位负责人为同一人或者存在直接控股、管理关系的不同供应商，不得参加同一合同项下的政府采购活动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李毓菲、陈先德、杨艳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开户名称：陕西中技招标有限公司（保证金缴纳后请在系统上上传凭证）</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银行账号：129916812810001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说明：供应商中标后凭中标通知书向采购人缴纳中标金额的5%作为履约保证金，合同履约完成、整体验收合格且无质量问题后一次性无息退还。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收取参见国家计委颁布的《招标代理服务收费管理暂行办法》（计价格[2002]1980号）和（发改办价格[2003]857号）服务类收费标准的0.775折收取，在领取中标通知书时向采购代理机构一次性交纳。 开户名称：陕西中技招标有限公司 开户银行：招商银行西安分行营业部 银行账号：129916812810001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西安科技大学骊山校园采购互联网专线带宽和相关数据服务。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互连网络集成及数据服务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标的名称：互连网络集成及数据服务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一）具体要求：</w:t>
            </w:r>
          </w:p>
          <w:p>
            <w:pPr>
              <w:pStyle w:val="null3"/>
              <w:jc w:val="left"/>
            </w:pPr>
            <w:r>
              <w:rPr>
                <w:rFonts w:ascii="仿宋_GB2312" w:hAnsi="仿宋_GB2312" w:cs="仿宋_GB2312" w:eastAsia="仿宋_GB2312"/>
                <w:sz w:val="24"/>
              </w:rPr>
              <w:t>1、</w:t>
            </w:r>
            <w:r>
              <w:rPr>
                <w:rFonts w:ascii="仿宋_GB2312" w:hAnsi="仿宋_GB2312" w:cs="仿宋_GB2312" w:eastAsia="仿宋_GB2312"/>
                <w:sz w:val="21"/>
              </w:rPr>
              <w:t>★</w:t>
            </w:r>
            <w:r>
              <w:rPr>
                <w:rFonts w:ascii="仿宋_GB2312" w:hAnsi="仿宋_GB2312" w:cs="仿宋_GB2312" w:eastAsia="仿宋_GB2312"/>
                <w:sz w:val="24"/>
              </w:rPr>
              <w:t>提供</w:t>
            </w:r>
            <w:r>
              <w:rPr>
                <w:rFonts w:ascii="仿宋_GB2312" w:hAnsi="仿宋_GB2312" w:cs="仿宋_GB2312" w:eastAsia="仿宋_GB2312"/>
                <w:sz w:val="24"/>
              </w:rPr>
              <w:t>≥10000M  IPv4和IPV6互联网专线带宽，接入链路介质：光纤（直连），</w:t>
            </w:r>
            <w:r>
              <w:rPr>
                <w:rFonts w:ascii="仿宋_GB2312" w:hAnsi="仿宋_GB2312" w:cs="仿宋_GB2312" w:eastAsia="仿宋_GB2312"/>
                <w:sz w:val="24"/>
              </w:rPr>
              <w:t>物理光路总衰减不超过</w:t>
            </w:r>
            <w:r>
              <w:rPr>
                <w:rFonts w:ascii="仿宋_GB2312" w:hAnsi="仿宋_GB2312" w:cs="仿宋_GB2312" w:eastAsia="仿宋_GB2312"/>
                <w:sz w:val="24"/>
              </w:rPr>
              <w:t>20db</w:t>
            </w:r>
            <w:r>
              <w:rPr>
                <w:rFonts w:ascii="仿宋_GB2312" w:hAnsi="仿宋_GB2312" w:cs="仿宋_GB2312" w:eastAsia="仿宋_GB2312"/>
                <w:sz w:val="24"/>
              </w:rPr>
              <w:t>，接入链路平均时延</w:t>
            </w:r>
            <w:r>
              <w:rPr>
                <w:rFonts w:ascii="仿宋_GB2312" w:hAnsi="仿宋_GB2312" w:cs="仿宋_GB2312" w:eastAsia="仿宋_GB2312"/>
                <w:sz w:val="24"/>
              </w:rPr>
              <w:t>≤20ms，平均丢包率≤3%，实际利用率≥90%，上行速率≥下行速率的95%；提供匹配线路两端的≥10000M光模块；提供≥250个公有IP地址,≥</w:t>
            </w:r>
            <w:r>
              <w:rPr>
                <w:rFonts w:ascii="仿宋_GB2312" w:hAnsi="仿宋_GB2312" w:cs="仿宋_GB2312" w:eastAsia="仿宋_GB2312"/>
                <w:sz w:val="24"/>
              </w:rPr>
              <w:t>1段</w:t>
            </w:r>
            <w:r>
              <w:rPr>
                <w:rFonts w:ascii="仿宋_GB2312" w:hAnsi="仿宋_GB2312" w:cs="仿宋_GB2312" w:eastAsia="仿宋_GB2312"/>
                <w:sz w:val="24"/>
              </w:rPr>
              <w:t>64</w:t>
            </w:r>
            <w:r>
              <w:rPr>
                <w:rFonts w:ascii="仿宋_GB2312" w:hAnsi="仿宋_GB2312" w:cs="仿宋_GB2312" w:eastAsia="仿宋_GB2312"/>
                <w:sz w:val="24"/>
              </w:rPr>
              <w:t>位</w:t>
            </w:r>
            <w:r>
              <w:rPr>
                <w:rFonts w:ascii="仿宋_GB2312" w:hAnsi="仿宋_GB2312" w:cs="仿宋_GB2312" w:eastAsia="仿宋_GB2312"/>
                <w:sz w:val="24"/>
              </w:rPr>
              <w:t>IPV6 地址</w:t>
            </w:r>
            <w:r>
              <w:rPr>
                <w:rFonts w:ascii="仿宋_GB2312" w:hAnsi="仿宋_GB2312" w:cs="仿宋_GB2312" w:eastAsia="仿宋_GB2312"/>
                <w:sz w:val="24"/>
              </w:rPr>
              <w:t>，提供互联网端到端的应用服务。提供冗余路由服务。提供证明材料（包括产品彩页或检测报告或带网址链接的官网功能截图或加盖厂商公章的技术参数说明）。</w:t>
            </w:r>
          </w:p>
          <w:p>
            <w:pPr>
              <w:pStyle w:val="null3"/>
              <w:ind w:firstLine="482"/>
              <w:jc w:val="both"/>
            </w:pPr>
            <w:r>
              <w:rPr>
                <w:rFonts w:ascii="仿宋_GB2312" w:hAnsi="仿宋_GB2312" w:cs="仿宋_GB2312" w:eastAsia="仿宋_GB2312"/>
                <w:sz w:val="24"/>
                <w:b/>
              </w:rPr>
              <w:t>2、提供SaaS化运维、互联网数据的分析、AI运维助手、日志采集服务的相关设备</w:t>
            </w:r>
            <w:r>
              <w:rPr>
                <w:rFonts w:ascii="仿宋_GB2312" w:hAnsi="仿宋_GB2312" w:cs="仿宋_GB2312" w:eastAsia="仿宋_GB2312"/>
                <w:sz w:val="24"/>
                <w:b/>
              </w:rPr>
              <w:t>要求如下：</w:t>
            </w:r>
          </w:p>
          <w:tbl>
            <w:tblPr>
              <w:tblInd w:type="dxa" w:w="120"/>
              <w:tblBorders>
                <w:top w:val="none" w:color="000000" w:sz="4"/>
                <w:left w:val="none" w:color="000000" w:sz="4"/>
                <w:bottom w:val="none" w:color="000000" w:sz="4"/>
                <w:right w:val="none" w:color="000000" w:sz="4"/>
                <w:insideH w:val="none"/>
                <w:insideV w:val="none"/>
              </w:tblBorders>
            </w:tblPr>
            <w:tblGrid>
              <w:gridCol w:w="443"/>
              <w:gridCol w:w="2110"/>
            </w:tblGrid>
            <w:tr>
              <w:tc>
                <w:tcPr>
                  <w:tcW w:type="dxa" w:w="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21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F1115"/>
                      <w:shd w:fill="FFFFFF" w:val="clear"/>
                    </w:rPr>
                    <w:t>防火墙</w:t>
                  </w:r>
                </w:p>
              </w:tc>
              <w:tc>
                <w:tcPr>
                  <w:tcW w:type="dxa" w:w="2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设备需符合软硬件一体化设计，采用国产化芯片、操作系统、数据库，</w:t>
                  </w:r>
                  <w:r>
                    <w:rPr>
                      <w:rFonts w:ascii="仿宋_GB2312" w:hAnsi="仿宋_GB2312" w:cs="仿宋_GB2312" w:eastAsia="仿宋_GB2312"/>
                      <w:sz w:val="24"/>
                    </w:rPr>
                    <w:t>本次配置</w:t>
                  </w:r>
                  <w:r>
                    <w:rPr>
                      <w:rFonts w:ascii="仿宋_GB2312" w:hAnsi="仿宋_GB2312" w:cs="仿宋_GB2312" w:eastAsia="仿宋_GB2312"/>
                      <w:sz w:val="24"/>
                    </w:rPr>
                    <w:t>100GE接口≥4，25GE接口≥16个，空余可扩展插槽≥4个，热插拔双冗余电源</w:t>
                  </w:r>
                  <w:r>
                    <w:rPr>
                      <w:rFonts w:ascii="仿宋_GB2312" w:hAnsi="仿宋_GB2312" w:cs="仿宋_GB2312" w:eastAsia="仿宋_GB2312"/>
                      <w:sz w:val="24"/>
                    </w:rPr>
                    <w:t>（提供所供产品前后面板高清图片并加盖</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吞吐量</w:t>
                  </w:r>
                  <w:r>
                    <w:rPr>
                      <w:rFonts w:ascii="仿宋_GB2312" w:hAnsi="仿宋_GB2312" w:cs="仿宋_GB2312" w:eastAsia="仿宋_GB2312"/>
                      <w:sz w:val="24"/>
                    </w:rPr>
                    <w:t>≥200Gbps，全功能开启必须满足流量≥30Gbps,最大并发会话数≥7000万，每秒新建连接数（HTTP）≥145万，IPS吞吐量≥75Gbps，AV吞吐量≥75Gbps；提供零信任并发用户数≥8个授权,提供SSL VPN并发用户数≥8个授权，提供IPsec VPN隧道数≥20000个</w:t>
                  </w:r>
                  <w:r>
                    <w:rPr>
                      <w:rFonts w:ascii="仿宋_GB2312" w:hAnsi="仿宋_GB2312" w:cs="仿宋_GB2312" w:eastAsia="仿宋_GB2312"/>
                      <w:sz w:val="24"/>
                    </w:rPr>
                    <w:t>。</w:t>
                  </w:r>
                  <w:r>
                    <w:rPr>
                      <w:rFonts w:ascii="仿宋_GB2312" w:hAnsi="仿宋_GB2312" w:cs="仿宋_GB2312" w:eastAsia="仿宋_GB2312"/>
                      <w:sz w:val="24"/>
                    </w:rPr>
                    <w:t>提供证明材料（包括产品彩页或检测报告或带网址链接的官网功能截图或加盖厂商公章的技术参数说明）。</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提供</w:t>
                  </w:r>
                  <w:r>
                    <w:rPr>
                      <w:rFonts w:ascii="仿宋_GB2312" w:hAnsi="仿宋_GB2312" w:cs="仿宋_GB2312" w:eastAsia="仿宋_GB2312"/>
                      <w:sz w:val="24"/>
                    </w:rPr>
                    <w:t>SaaS化安全运维服务平台，通过手机APP和web方式实现设备移动运维，</w:t>
                  </w:r>
                  <w:r>
                    <w:rPr>
                      <w:rFonts w:ascii="仿宋_GB2312" w:hAnsi="仿宋_GB2312" w:cs="仿宋_GB2312" w:eastAsia="仿宋_GB2312"/>
                      <w:sz w:val="24"/>
                    </w:rPr>
                    <w:t>至少</w:t>
                  </w:r>
                  <w:r>
                    <w:rPr>
                      <w:rFonts w:ascii="仿宋_GB2312" w:hAnsi="仿宋_GB2312" w:cs="仿宋_GB2312" w:eastAsia="仿宋_GB2312"/>
                      <w:sz w:val="24"/>
                    </w:rPr>
                    <w:t>包括设备安全监控、威胁分析、网络管控、资产管理以及设备运维监控等功能</w:t>
                  </w:r>
                  <w:r>
                    <w:rPr>
                      <w:rFonts w:ascii="仿宋_GB2312" w:hAnsi="仿宋_GB2312" w:cs="仿宋_GB2312" w:eastAsia="仿宋_GB2312"/>
                      <w:sz w:val="24"/>
                    </w:rPr>
                    <w:t>及</w:t>
                  </w:r>
                  <w:r>
                    <w:rPr>
                      <w:rFonts w:ascii="仿宋_GB2312" w:hAnsi="仿宋_GB2312" w:cs="仿宋_GB2312" w:eastAsia="仿宋_GB2312"/>
                      <w:sz w:val="24"/>
                    </w:rPr>
                    <w:t>CPU、内存、流量趋势、威胁信息等状态</w:t>
                  </w:r>
                  <w:r>
                    <w:rPr>
                      <w:rFonts w:ascii="仿宋_GB2312" w:hAnsi="仿宋_GB2312" w:cs="仿宋_GB2312" w:eastAsia="仿宋_GB2312"/>
                      <w:sz w:val="24"/>
                    </w:rPr>
                    <w:t>（提供手机</w:t>
                  </w:r>
                  <w:r>
                    <w:rPr>
                      <w:rFonts w:ascii="仿宋_GB2312" w:hAnsi="仿宋_GB2312" w:cs="仿宋_GB2312" w:eastAsia="仿宋_GB2312"/>
                      <w:sz w:val="24"/>
                    </w:rPr>
                    <w:t>APP软件功能截图或第三方检测报告并加盖</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w:t>
                  </w:r>
                  <w:r>
                    <w:rPr>
                      <w:rFonts w:ascii="仿宋_GB2312" w:hAnsi="仿宋_GB2312" w:cs="仿宋_GB2312" w:eastAsia="仿宋_GB2312"/>
                      <w:sz w:val="24"/>
                    </w:rPr>
                    <w:t>SLA功能，实现用户自定义链路质量标准，根据链路探测得到的链路质量参数（抖动、延迟、丢包率）比较用户自定义的质量阈值，对流量匹配的路由的多条出口链路进行筛选；</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支持对接威胁情报中心，具备定期向系统推送热点威胁情报，热点威胁情报可显示当前互联网上的最严峻的热点威胁情报信息，</w:t>
                  </w:r>
                  <w:r>
                    <w:rPr>
                      <w:rFonts w:ascii="仿宋_GB2312" w:hAnsi="仿宋_GB2312" w:cs="仿宋_GB2312" w:eastAsia="仿宋_GB2312"/>
                      <w:sz w:val="24"/>
                    </w:rPr>
                    <w:t>至少</w:t>
                  </w:r>
                  <w:r>
                    <w:rPr>
                      <w:rFonts w:ascii="仿宋_GB2312" w:hAnsi="仿宋_GB2312" w:cs="仿宋_GB2312" w:eastAsia="仿宋_GB2312"/>
                      <w:sz w:val="24"/>
                    </w:rPr>
                    <w:t>包括</w:t>
                  </w:r>
                  <w:r>
                    <w:rPr>
                      <w:rFonts w:ascii="仿宋_GB2312" w:hAnsi="仿宋_GB2312" w:cs="仿宋_GB2312" w:eastAsia="仿宋_GB2312"/>
                      <w:sz w:val="24"/>
                    </w:rPr>
                    <w:t>IPS漏洞、AV病毒的威胁情报，具备在系统WebUI页面中查看热点威胁情报的详细信息，也可按照系统的提供的防护措施，进行相</w:t>
                  </w:r>
                  <w:r>
                    <w:rPr>
                      <w:rFonts w:ascii="仿宋_GB2312" w:hAnsi="仿宋_GB2312" w:cs="仿宋_GB2312" w:eastAsia="仿宋_GB2312"/>
                      <w:sz w:val="24"/>
                    </w:rPr>
                    <w:t>应的操作</w:t>
                  </w:r>
                  <w:r>
                    <w:rPr>
                      <w:rFonts w:ascii="仿宋_GB2312" w:hAnsi="仿宋_GB2312" w:cs="仿宋_GB2312" w:eastAsia="仿宋_GB2312"/>
                      <w:sz w:val="24"/>
                    </w:rPr>
                    <w:t>。</w:t>
                  </w:r>
                  <w:r>
                    <w:rPr>
                      <w:rFonts w:ascii="仿宋_GB2312" w:hAnsi="仿宋_GB2312" w:cs="仿宋_GB2312" w:eastAsia="仿宋_GB2312"/>
                      <w:sz w:val="24"/>
                    </w:rPr>
                    <w:t>要求威胁情报中心和所投产品为同一厂商</w:t>
                  </w:r>
                  <w:r>
                    <w:rPr>
                      <w:rFonts w:ascii="仿宋_GB2312" w:hAnsi="仿宋_GB2312" w:cs="仿宋_GB2312" w:eastAsia="仿宋_GB2312"/>
                      <w:sz w:val="24"/>
                    </w:rPr>
                    <w:t>（提供功能截图并加盖</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支持策略自学习，能够提取命中指定策略</w:t>
                  </w:r>
                  <w:r>
                    <w:rPr>
                      <w:rFonts w:ascii="仿宋_GB2312" w:hAnsi="仿宋_GB2312" w:cs="仿宋_GB2312" w:eastAsia="仿宋_GB2312"/>
                      <w:sz w:val="24"/>
                    </w:rPr>
                    <w:t>ID的流量作为流量数据分析源，基于条目的命中数、报文数及字节数大小，过滤出有效数据，并且根据管理员设置的替换规则、聚合规则优化流量数据，最后自动生成安全策略规则</w:t>
                  </w:r>
                  <w:r>
                    <w:rPr>
                      <w:rFonts w:ascii="仿宋_GB2312" w:hAnsi="仿宋_GB2312" w:cs="仿宋_GB2312" w:eastAsia="仿宋_GB2312"/>
                      <w:sz w:val="24"/>
                    </w:rPr>
                    <w:t>（提供</w:t>
                  </w:r>
                  <w:r>
                    <w:rPr>
                      <w:rFonts w:ascii="仿宋_GB2312" w:hAnsi="仿宋_GB2312" w:cs="仿宋_GB2312" w:eastAsia="仿宋_GB2312"/>
                      <w:sz w:val="24"/>
                    </w:rPr>
                    <w:t>CNAS或CMA认证的第三方检测机构出具的检验检测报告复印件并加盖</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支持数据包路径检测，可模拟数据包穿越设备，图形化展示数据包通过</w:t>
                  </w:r>
                  <w:r>
                    <w:rPr>
                      <w:rFonts w:ascii="仿宋_GB2312" w:hAnsi="仿宋_GB2312" w:cs="仿宋_GB2312" w:eastAsia="仿宋_GB2312"/>
                      <w:sz w:val="24"/>
                    </w:rPr>
                    <w:t>设备</w:t>
                  </w:r>
                  <w:r>
                    <w:rPr>
                      <w:rFonts w:ascii="仿宋_GB2312" w:hAnsi="仿宋_GB2312" w:cs="仿宋_GB2312" w:eastAsia="仿宋_GB2312"/>
                      <w:sz w:val="24"/>
                    </w:rPr>
                    <w:t>各个功</w:t>
                  </w:r>
                  <w:r>
                    <w:rPr>
                      <w:rFonts w:ascii="仿宋_GB2312" w:hAnsi="仿宋_GB2312" w:cs="仿宋_GB2312" w:eastAsia="仿宋_GB2312"/>
                      <w:sz w:val="24"/>
                    </w:rPr>
                    <w:t>能模块</w:t>
                  </w:r>
                  <w:r>
                    <w:rPr>
                      <w:rFonts w:ascii="仿宋_GB2312" w:hAnsi="仿宋_GB2312" w:cs="仿宋_GB2312" w:eastAsia="仿宋_GB2312"/>
                      <w:sz w:val="24"/>
                    </w:rPr>
                    <w:t>，</w:t>
                  </w:r>
                  <w:r>
                    <w:rPr>
                      <w:rFonts w:ascii="仿宋_GB2312" w:hAnsi="仿宋_GB2312" w:cs="仿宋_GB2312" w:eastAsia="仿宋_GB2312"/>
                      <w:sz w:val="24"/>
                    </w:rPr>
                    <w:t>至少</w:t>
                  </w:r>
                  <w:r>
                    <w:rPr>
                      <w:rFonts w:ascii="仿宋_GB2312" w:hAnsi="仿宋_GB2312" w:cs="仿宋_GB2312" w:eastAsia="仿宋_GB2312"/>
                      <w:sz w:val="24"/>
                    </w:rPr>
                    <w:t>包括攻击防护、会话匹配、工作模式、</w:t>
                  </w:r>
                  <w:r>
                    <w:rPr>
                      <w:rFonts w:ascii="仿宋_GB2312" w:hAnsi="仿宋_GB2312" w:cs="仿宋_GB2312" w:eastAsia="仿宋_GB2312"/>
                      <w:sz w:val="24"/>
                    </w:rPr>
                    <w:t>NAT转换、策略匹配、ARP防护、流量管理等，进行有效性检测和快速故障定</w:t>
                  </w:r>
                  <w:r>
                    <w:rPr>
                      <w:rFonts w:ascii="仿宋_GB2312" w:hAnsi="仿宋_GB2312" w:cs="仿宋_GB2312" w:eastAsia="仿宋_GB2312"/>
                      <w:sz w:val="24"/>
                    </w:rPr>
                    <w:t>位</w:t>
                  </w:r>
                  <w:r>
                    <w:rPr>
                      <w:rFonts w:ascii="仿宋_GB2312" w:hAnsi="仿宋_GB2312" w:cs="仿宋_GB2312" w:eastAsia="仿宋_GB2312"/>
                      <w:sz w:val="24"/>
                    </w:rPr>
                    <w:t>（提供设备操作界面截图并加盖</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支持入侵防御功能，具备多种协议和应用的攻击检测和防御，</w:t>
                  </w:r>
                  <w:r>
                    <w:rPr>
                      <w:rFonts w:ascii="仿宋_GB2312" w:hAnsi="仿宋_GB2312" w:cs="仿宋_GB2312" w:eastAsia="仿宋_GB2312"/>
                      <w:sz w:val="24"/>
                    </w:rPr>
                    <w:t>至少</w:t>
                  </w:r>
                  <w:r>
                    <w:rPr>
                      <w:rFonts w:ascii="仿宋_GB2312" w:hAnsi="仿宋_GB2312" w:cs="仿宋_GB2312" w:eastAsia="仿宋_GB2312"/>
                      <w:sz w:val="24"/>
                    </w:rPr>
                    <w:t>包括：</w:t>
                  </w:r>
                  <w:r>
                    <w:rPr>
                      <w:rFonts w:ascii="仿宋_GB2312" w:hAnsi="仿宋_GB2312" w:cs="仿宋_GB2312" w:eastAsia="仿宋_GB2312"/>
                      <w:sz w:val="24"/>
                    </w:rPr>
                    <w:t>IMAP、POP3、TELNET、DNS、RPC、FINGER、MSSQL、ORACLE、NNTP、LDAP、VOIP、NETBIOS等协议，且IPS特征库数量≥17000条，支持抗CC攻击、支持针对web路径的访问控制、防SQL注入、防XSS跨站脚本、外链检查等；</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具备专业的病毒扫描引擎技术，被检测文件大小不受限制支持对压缩文件类型的病毒检测，支持对多重压缩文件的病毒检测，具备病毒过滤特征库</w:t>
                  </w:r>
                  <w:r>
                    <w:rPr>
                      <w:rFonts w:ascii="仿宋_GB2312" w:hAnsi="仿宋_GB2312" w:cs="仿宋_GB2312" w:eastAsia="仿宋_GB2312"/>
                      <w:sz w:val="24"/>
                    </w:rPr>
                    <w:t>≥300万，支持特征库每日自动更新升级；</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支持扫描互联网数据</w:t>
                  </w:r>
                  <w:r>
                    <w:rPr>
                      <w:rFonts w:ascii="仿宋_GB2312" w:hAnsi="仿宋_GB2312" w:cs="仿宋_GB2312" w:eastAsia="仿宋_GB2312"/>
                      <w:sz w:val="24"/>
                    </w:rPr>
                    <w:t>中的</w:t>
                  </w:r>
                  <w:r>
                    <w:rPr>
                      <w:rFonts w:ascii="仿宋_GB2312" w:hAnsi="仿宋_GB2312" w:cs="仿宋_GB2312" w:eastAsia="仿宋_GB2312"/>
                      <w:sz w:val="24"/>
                    </w:rPr>
                    <w:t>TCP/HTTP/DNS协议</w:t>
                  </w:r>
                  <w:r>
                    <w:rPr>
                      <w:rFonts w:ascii="仿宋_GB2312" w:hAnsi="仿宋_GB2312" w:cs="仿宋_GB2312" w:eastAsia="仿宋_GB2312"/>
                      <w:sz w:val="24"/>
                    </w:rPr>
                    <w:t>，</w:t>
                  </w:r>
                  <w:r>
                    <w:rPr>
                      <w:rFonts w:ascii="仿宋_GB2312" w:hAnsi="仿宋_GB2312" w:cs="仿宋_GB2312" w:eastAsia="仿宋_GB2312"/>
                      <w:sz w:val="24"/>
                    </w:rPr>
                    <w:t>对挖矿、勒索软件、</w:t>
                  </w:r>
                  <w:r>
                    <w:rPr>
                      <w:rFonts w:ascii="仿宋_GB2312" w:hAnsi="仿宋_GB2312" w:cs="仿宋_GB2312" w:eastAsia="仿宋_GB2312"/>
                      <w:sz w:val="24"/>
                    </w:rPr>
                    <w:t>CnC服务器、恶意软件、木马、网络钓鱼、DGA、DNS隧道等僵尸外联行为进行检测与拦截，具备单独功能模块以及≥150万特征库；</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具备互联网</w:t>
                  </w:r>
                  <w:r>
                    <w:rPr>
                      <w:rFonts w:ascii="仿宋_GB2312" w:hAnsi="仿宋_GB2312" w:cs="仿宋_GB2312" w:eastAsia="仿宋_GB2312"/>
                      <w:sz w:val="24"/>
                    </w:rPr>
                    <w:t>Web数据</w:t>
                  </w:r>
                  <w:r>
                    <w:rPr>
                      <w:rFonts w:ascii="仿宋_GB2312" w:hAnsi="仿宋_GB2312" w:cs="仿宋_GB2312" w:eastAsia="仿宋_GB2312"/>
                      <w:sz w:val="24"/>
                    </w:rPr>
                    <w:t>的</w:t>
                  </w:r>
                  <w:r>
                    <w:rPr>
                      <w:rFonts w:ascii="仿宋_GB2312" w:hAnsi="仿宋_GB2312" w:cs="仿宋_GB2312" w:eastAsia="仿宋_GB2312"/>
                      <w:sz w:val="24"/>
                    </w:rPr>
                    <w:t>攻击防护功能，支持</w:t>
                  </w:r>
                  <w:r>
                    <w:rPr>
                      <w:rFonts w:ascii="仿宋_GB2312" w:hAnsi="仿宋_GB2312" w:cs="仿宋_GB2312" w:eastAsia="仿宋_GB2312"/>
                      <w:sz w:val="24"/>
                    </w:rPr>
                    <w:t>SQL注入、XSS防护；外链检查，盗链检查</w:t>
                  </w:r>
                  <w:r>
                    <w:rPr>
                      <w:rFonts w:ascii="仿宋_GB2312" w:hAnsi="仿宋_GB2312" w:cs="仿宋_GB2312" w:eastAsia="仿宋_GB2312"/>
                      <w:sz w:val="24"/>
                    </w:rPr>
                    <w:t>等</w:t>
                  </w:r>
                  <w:r>
                    <w:rPr>
                      <w:rFonts w:ascii="仿宋_GB2312" w:hAnsi="仿宋_GB2312" w:cs="仿宋_GB2312" w:eastAsia="仿宋_GB2312"/>
                      <w:sz w:val="24"/>
                    </w:rPr>
                    <w:t>；支持</w:t>
                  </w:r>
                  <w:r>
                    <w:rPr>
                      <w:rFonts w:ascii="仿宋_GB2312" w:hAnsi="仿宋_GB2312" w:cs="仿宋_GB2312" w:eastAsia="仿宋_GB2312"/>
                      <w:sz w:val="24"/>
                    </w:rPr>
                    <w:t>CC攻击检测，检测到CC攻击时支持JS Cookie、重定向、访问确认、验证码四种认证方法；</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支持</w:t>
                  </w:r>
                  <w:r>
                    <w:rPr>
                      <w:rFonts w:ascii="仿宋_GB2312" w:hAnsi="仿宋_GB2312" w:cs="仿宋_GB2312" w:eastAsia="仿宋_GB2312"/>
                      <w:sz w:val="24"/>
                    </w:rPr>
                    <w:t>互联网</w:t>
                  </w:r>
                  <w:r>
                    <w:rPr>
                      <w:rFonts w:ascii="仿宋_GB2312" w:hAnsi="仿宋_GB2312" w:cs="仿宋_GB2312" w:eastAsia="仿宋_GB2312"/>
                      <w:sz w:val="24"/>
                    </w:rPr>
                    <w:t>黑名单功能，</w:t>
                  </w:r>
                  <w:r>
                    <w:rPr>
                      <w:rFonts w:ascii="仿宋_GB2312" w:hAnsi="仿宋_GB2312" w:cs="仿宋_GB2312" w:eastAsia="仿宋_GB2312"/>
                      <w:sz w:val="24"/>
                    </w:rPr>
                    <w:t>能够针对</w:t>
                  </w:r>
                  <w:r>
                    <w:rPr>
                      <w:rFonts w:ascii="仿宋_GB2312" w:hAnsi="仿宋_GB2312" w:cs="仿宋_GB2312" w:eastAsia="仿宋_GB2312"/>
                      <w:sz w:val="24"/>
                    </w:rPr>
                    <w:t>IP、URL和域名等进行批量导入配置，并且支持定时通过FTP、TFTP、HTTP</w:t>
                  </w:r>
                  <w:r>
                    <w:rPr>
                      <w:rFonts w:ascii="仿宋_GB2312" w:hAnsi="仿宋_GB2312" w:cs="仿宋_GB2312" w:eastAsia="仿宋_GB2312"/>
                      <w:sz w:val="24"/>
                    </w:rPr>
                    <w:t>、</w:t>
                  </w:r>
                  <w:r>
                    <w:rPr>
                      <w:rFonts w:ascii="仿宋_GB2312" w:hAnsi="仿宋_GB2312" w:cs="仿宋_GB2312" w:eastAsia="仿宋_GB2312"/>
                      <w:sz w:val="24"/>
                    </w:rPr>
                    <w:t>HTTPS等协议自动更新黑名单库地址支持黑名单功能，</w:t>
                  </w:r>
                  <w:r>
                    <w:rPr>
                      <w:rFonts w:ascii="仿宋_GB2312" w:hAnsi="仿宋_GB2312" w:cs="仿宋_GB2312" w:eastAsia="仿宋_GB2312"/>
                      <w:sz w:val="24"/>
                    </w:rPr>
                    <w:t>提供证明材料（包括产品彩页或检测报告或带网址链接的官网功能截图或加盖厂商公章的技术参数说明）。</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针对</w:t>
                  </w:r>
                  <w:r>
                    <w:rPr>
                      <w:rFonts w:ascii="仿宋_GB2312" w:hAnsi="仿宋_GB2312" w:cs="仿宋_GB2312" w:eastAsia="仿宋_GB2312"/>
                      <w:sz w:val="24"/>
                    </w:rPr>
                    <w:t>本设备的</w:t>
                  </w:r>
                  <w:r>
                    <w:rPr>
                      <w:rFonts w:ascii="仿宋_GB2312" w:hAnsi="仿宋_GB2312" w:cs="仿宋_GB2312" w:eastAsia="仿宋_GB2312"/>
                      <w:sz w:val="24"/>
                    </w:rPr>
                    <w:t>AI运维助手，AI运维助手能够进行知识问答，</w:t>
                  </w:r>
                  <w:r>
                    <w:rPr>
                      <w:rFonts w:ascii="仿宋_GB2312" w:hAnsi="仿宋_GB2312" w:cs="仿宋_GB2312" w:eastAsia="仿宋_GB2312"/>
                      <w:sz w:val="24"/>
                    </w:rPr>
                    <w:t>为</w:t>
                  </w:r>
                  <w:r>
                    <w:rPr>
                      <w:rFonts w:ascii="仿宋_GB2312" w:hAnsi="仿宋_GB2312" w:cs="仿宋_GB2312" w:eastAsia="仿宋_GB2312"/>
                      <w:sz w:val="24"/>
                    </w:rPr>
                    <w:t>用户理解专业术语或者协助用户进行</w:t>
                  </w:r>
                  <w:r>
                    <w:rPr>
                      <w:rFonts w:ascii="仿宋_GB2312" w:hAnsi="仿宋_GB2312" w:cs="仿宋_GB2312" w:eastAsia="仿宋_GB2312"/>
                      <w:sz w:val="24"/>
                    </w:rPr>
                    <w:t>设备</w:t>
                  </w:r>
                  <w:r>
                    <w:rPr>
                      <w:rFonts w:ascii="仿宋_GB2312" w:hAnsi="仿宋_GB2312" w:cs="仿宋_GB2312" w:eastAsia="仿宋_GB2312"/>
                      <w:sz w:val="24"/>
                    </w:rPr>
                    <w:t>配置</w:t>
                  </w:r>
                  <w:r>
                    <w:rPr>
                      <w:rFonts w:ascii="仿宋_GB2312" w:hAnsi="仿宋_GB2312" w:cs="仿宋_GB2312" w:eastAsia="仿宋_GB2312"/>
                      <w:sz w:val="24"/>
                    </w:rPr>
                    <w:t>提供帮助</w:t>
                  </w:r>
                  <w:r>
                    <w:rPr>
                      <w:rFonts w:ascii="仿宋_GB2312" w:hAnsi="仿宋_GB2312" w:cs="仿宋_GB2312" w:eastAsia="仿宋_GB2312"/>
                      <w:sz w:val="24"/>
                    </w:rPr>
                    <w:t>（提供</w:t>
                  </w:r>
                  <w:r>
                    <w:rPr>
                      <w:rFonts w:ascii="仿宋_GB2312" w:hAnsi="仿宋_GB2312" w:cs="仿宋_GB2312" w:eastAsia="仿宋_GB2312"/>
                      <w:sz w:val="24"/>
                    </w:rPr>
                    <w:t>CNAS或CMA认证的第三方检测机构出具的检验检测报告复印件并加盖</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支持对终端</w:t>
                  </w:r>
                  <w:r>
                    <w:rPr>
                      <w:rFonts w:ascii="仿宋_GB2312" w:hAnsi="仿宋_GB2312" w:cs="仿宋_GB2312" w:eastAsia="仿宋_GB2312"/>
                      <w:sz w:val="24"/>
                    </w:rPr>
                    <w:t>进行</w:t>
                  </w:r>
                  <w:r>
                    <w:rPr>
                      <w:rFonts w:ascii="仿宋_GB2312" w:hAnsi="仿宋_GB2312" w:cs="仿宋_GB2312" w:eastAsia="仿宋_GB2312"/>
                      <w:sz w:val="24"/>
                    </w:rPr>
                    <w:t>互联网</w:t>
                  </w:r>
                  <w:r>
                    <w:rPr>
                      <w:rFonts w:ascii="仿宋_GB2312" w:hAnsi="仿宋_GB2312" w:cs="仿宋_GB2312" w:eastAsia="仿宋_GB2312"/>
                      <w:sz w:val="24"/>
                    </w:rPr>
                    <w:t>访问时</w:t>
                  </w:r>
                  <w:r>
                    <w:rPr>
                      <w:rFonts w:ascii="仿宋_GB2312" w:hAnsi="仿宋_GB2312" w:cs="仿宋_GB2312" w:eastAsia="仿宋_GB2312"/>
                      <w:sz w:val="24"/>
                    </w:rPr>
                    <w:t>安全状态的持续鉴权，支持当接入用户状态变更时</w:t>
                  </w:r>
                  <w:r>
                    <w:rPr>
                      <w:rFonts w:ascii="仿宋_GB2312" w:hAnsi="仿宋_GB2312" w:cs="仿宋_GB2312" w:eastAsia="仿宋_GB2312"/>
                      <w:sz w:val="24"/>
                    </w:rPr>
                    <w:t>(包括动作，终端标签，应用资源、用户等变化)对访问流量进行实时控制。本次要求提供≥8个并发零信任用户授权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shd w:fill="FFFFFF" w:val="clear"/>
                    </w:rPr>
                    <w:t>设备</w:t>
                  </w:r>
                  <w:r>
                    <w:rPr>
                      <w:rFonts w:ascii="仿宋_GB2312" w:hAnsi="仿宋_GB2312" w:cs="仿宋_GB2312" w:eastAsia="仿宋_GB2312"/>
                      <w:sz w:val="24"/>
                      <w:shd w:fill="FFFFFF" w:val="clear"/>
                    </w:rPr>
                    <w:t>系统</w:t>
                  </w:r>
                  <w:r>
                    <w:rPr>
                      <w:rFonts w:ascii="仿宋_GB2312" w:hAnsi="仿宋_GB2312" w:cs="仿宋_GB2312" w:eastAsia="仿宋_GB2312"/>
                      <w:sz w:val="24"/>
                    </w:rPr>
                    <w:t>内置各个国家、省、市三级的</w:t>
                  </w:r>
                  <w:r>
                    <w:rPr>
                      <w:rFonts w:ascii="仿宋_GB2312" w:hAnsi="仿宋_GB2312" w:cs="仿宋_GB2312" w:eastAsia="仿宋_GB2312"/>
                      <w:sz w:val="24"/>
                    </w:rPr>
                    <w:t>IP地址池，可配置基于不同地域维度的IP访问控制策略；</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w:t>
                  </w:r>
                  <w:r>
                    <w:rPr>
                      <w:rFonts w:ascii="仿宋_GB2312" w:hAnsi="仿宋_GB2312" w:cs="仿宋_GB2312" w:eastAsia="仿宋_GB2312"/>
                      <w:sz w:val="24"/>
                    </w:rPr>
                    <w:t>具备与学校现用认证计费系统（城市热点）做数据对接能力，实现用户的实名制日志审计（提供设备厂商与认证计费系统厂商针对本项目招标人的确认函并加盖双方原厂公章）；</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w:t>
                  </w:r>
                  <w:r>
                    <w:rPr>
                      <w:rFonts w:ascii="仿宋_GB2312" w:hAnsi="仿宋_GB2312" w:cs="仿宋_GB2312" w:eastAsia="仿宋_GB2312"/>
                      <w:sz w:val="24"/>
                    </w:rPr>
                    <w:t>支持与我校骊山校区现用同类型设备组建主备双机，支持设备之间会话和配置的实时同步</w:t>
                  </w:r>
                  <w:r>
                    <w:rPr>
                      <w:rFonts w:ascii="仿宋_GB2312" w:hAnsi="仿宋_GB2312" w:cs="仿宋_GB2312" w:eastAsia="仿宋_GB2312"/>
                      <w:sz w:val="24"/>
                    </w:rPr>
                    <w:t>（</w:t>
                  </w:r>
                  <w:r>
                    <w:rPr>
                      <w:rFonts w:ascii="仿宋_GB2312" w:hAnsi="仿宋_GB2312" w:cs="仿宋_GB2312" w:eastAsia="仿宋_GB2312"/>
                      <w:sz w:val="24"/>
                    </w:rPr>
                    <w:t>提供现网设备厂商提供的承诺函，并加盖厂商公章）。</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投标</w:t>
                  </w:r>
                  <w:r>
                    <w:rPr>
                      <w:rFonts w:ascii="仿宋_GB2312" w:hAnsi="仿宋_GB2312" w:cs="仿宋_GB2312" w:eastAsia="仿宋_GB2312"/>
                      <w:sz w:val="24"/>
                    </w:rPr>
                    <w:t>产品要求提供中国网络安全审查技术与认证中心颁发《网络关键设备和网络安全专用产品安全认证证书》</w:t>
                  </w:r>
                  <w:r>
                    <w:rPr>
                      <w:rFonts w:ascii="仿宋_GB2312" w:hAnsi="仿宋_GB2312" w:cs="仿宋_GB2312" w:eastAsia="仿宋_GB2312"/>
                      <w:sz w:val="24"/>
                    </w:rPr>
                    <w:t>（提供证书复印件并加盖原厂公章）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19、</w:t>
                  </w:r>
                  <w:r>
                    <w:rPr>
                      <w:rFonts w:ascii="仿宋_GB2312" w:hAnsi="仿宋_GB2312" w:cs="仿宋_GB2312" w:eastAsia="仿宋_GB2312"/>
                      <w:sz w:val="24"/>
                    </w:rPr>
                    <w:t>投标产品具备中国信息安全测评中心</w:t>
                  </w:r>
                  <w:r>
                    <w:rPr>
                      <w:rFonts w:ascii="仿宋_GB2312" w:hAnsi="仿宋_GB2312" w:cs="仿宋_GB2312" w:eastAsia="仿宋_GB2312"/>
                      <w:sz w:val="24"/>
                    </w:rPr>
                    <w:t>颁发的《国家信息安全测评信息技术产品安全测评证书》</w:t>
                  </w:r>
                  <w:r>
                    <w:rPr>
                      <w:rFonts w:ascii="仿宋_GB2312" w:hAnsi="仿宋_GB2312" w:cs="仿宋_GB2312" w:eastAsia="仿宋_GB2312"/>
                      <w:sz w:val="24"/>
                    </w:rPr>
                    <w:t>(EAL</w:t>
                  </w:r>
                  <w:r>
                    <w:rPr>
                      <w:rFonts w:ascii="仿宋_GB2312" w:hAnsi="仿宋_GB2312" w:cs="仿宋_GB2312" w:eastAsia="仿宋_GB2312"/>
                      <w:sz w:val="24"/>
                    </w:rPr>
                    <w:t>4+)</w:t>
                  </w:r>
                  <w:r>
                    <w:rPr>
                      <w:rFonts w:ascii="仿宋_GB2312" w:hAnsi="仿宋_GB2312" w:cs="仿宋_GB2312" w:eastAsia="仿宋_GB2312"/>
                      <w:sz w:val="24"/>
                    </w:rPr>
                    <w:t>（提供证书复印件并加盖原厂公章）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设备厂商提供不少于</w:t>
                  </w:r>
                  <w:r>
                    <w:rPr>
                      <w:rFonts w:ascii="仿宋_GB2312" w:hAnsi="仿宋_GB2312" w:cs="仿宋_GB2312" w:eastAsia="仿宋_GB2312"/>
                      <w:sz w:val="24"/>
                    </w:rPr>
                    <w:t>2家威胁情报合作</w:t>
                  </w:r>
                  <w:r>
                    <w:rPr>
                      <w:rFonts w:ascii="仿宋_GB2312" w:hAnsi="仿宋_GB2312" w:cs="仿宋_GB2312" w:eastAsia="仿宋_GB2312"/>
                      <w:sz w:val="24"/>
                    </w:rPr>
                    <w:t>证明文</w:t>
                  </w:r>
                  <w:r>
                    <w:rPr>
                      <w:rFonts w:ascii="仿宋_GB2312" w:hAnsi="仿宋_GB2312" w:cs="仿宋_GB2312" w:eastAsia="仿宋_GB2312"/>
                      <w:sz w:val="24"/>
                    </w:rPr>
                    <w:t>件</w:t>
                  </w:r>
                  <w:r>
                    <w:rPr>
                      <w:rFonts w:ascii="仿宋_GB2312" w:hAnsi="仿宋_GB2312" w:cs="仿宋_GB2312" w:eastAsia="仿宋_GB2312"/>
                      <w:sz w:val="24"/>
                    </w:rPr>
                    <w:t>（提供证书复印件并加盖原厂公章）；</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≥3年软硬件质保服务。应用识别库特征库、IPS入侵防</w:t>
                  </w:r>
                  <w:r>
                    <w:rPr>
                      <w:rFonts w:ascii="仿宋_GB2312" w:hAnsi="仿宋_GB2312" w:cs="仿宋_GB2312" w:eastAsia="仿宋_GB2312"/>
                      <w:sz w:val="24"/>
                    </w:rPr>
                    <w:t>御特征库、</w:t>
                  </w:r>
                  <w:r>
                    <w:rPr>
                      <w:rFonts w:ascii="仿宋_GB2312" w:hAnsi="仿宋_GB2312" w:cs="仿宋_GB2312" w:eastAsia="仿宋_GB2312"/>
                      <w:sz w:val="24"/>
                    </w:rPr>
                    <w:t>AV病毒过滤特征库、QoS流量管理、URL过滤软件、Ti威胁情报特征库、C2僵尸网络防御、IPR IP信誉库、Sandbox云沙箱升级服务</w:t>
                  </w:r>
                  <w:r>
                    <w:rPr>
                      <w:rFonts w:ascii="仿宋_GB2312" w:hAnsi="仿宋_GB2312" w:cs="仿宋_GB2312" w:eastAsia="仿宋_GB2312"/>
                      <w:sz w:val="24"/>
                    </w:rPr>
                    <w:t>。（提供售后服务承诺函并加盖</w:t>
                  </w:r>
                  <w:r>
                    <w:rPr>
                      <w:rFonts w:ascii="仿宋_GB2312" w:hAnsi="仿宋_GB2312" w:cs="仿宋_GB2312" w:eastAsia="仿宋_GB2312"/>
                      <w:sz w:val="24"/>
                    </w:rPr>
                    <w:t>供应商</w:t>
                  </w:r>
                  <w:r>
                    <w:rPr>
                      <w:rFonts w:ascii="仿宋_GB2312" w:hAnsi="仿宋_GB2312" w:cs="仿宋_GB2312" w:eastAsia="仿宋_GB2312"/>
                      <w:sz w:val="24"/>
                    </w:rPr>
                    <w:t>公章）。</w:t>
                  </w:r>
                </w:p>
                <w:p>
                  <w:pPr>
                    <w:pStyle w:val="null3"/>
                    <w:spacing w:after="120"/>
                    <w:jc w:val="both"/>
                  </w:pPr>
                  <w:r>
                    <w:rPr>
                      <w:rFonts w:ascii="仿宋_GB2312" w:hAnsi="仿宋_GB2312" w:cs="仿宋_GB2312" w:eastAsia="仿宋_GB2312"/>
                      <w:sz w:val="24"/>
                    </w:rPr>
                    <w:t>2</w:t>
                  </w:r>
                  <w:r>
                    <w:rPr>
                      <w:rFonts w:ascii="仿宋_GB2312" w:hAnsi="仿宋_GB2312" w:cs="仿宋_GB2312" w:eastAsia="仿宋_GB2312"/>
                      <w:sz w:val="24"/>
                    </w:rPr>
                    <w:t>2</w:t>
                  </w:r>
                  <w:r>
                    <w:rPr>
                      <w:rFonts w:ascii="仿宋_GB2312" w:hAnsi="仿宋_GB2312" w:cs="仿宋_GB2312" w:eastAsia="仿宋_GB2312"/>
                      <w:sz w:val="24"/>
                    </w:rPr>
                    <w:t>.功能授权要求：本</w:t>
                  </w:r>
                  <w:r>
                    <w:rPr>
                      <w:rFonts w:ascii="仿宋_GB2312" w:hAnsi="仿宋_GB2312" w:cs="仿宋_GB2312" w:eastAsia="仿宋_GB2312"/>
                      <w:sz w:val="24"/>
                    </w:rPr>
                    <w:t>设备所具有的功能，不论上面是否列出，凡是具有的功能，如果需要授权的必须提供授权，并提供所有功能各种库在质保期内的在线升级，费用已计入项目总价，不需单独支付（提供承诺函并加盖公章）。</w:t>
                  </w:r>
                </w:p>
              </w:tc>
            </w:tr>
            <w:tr>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F1115"/>
                      <w:shd w:fill="FFFFFF" w:val="clear"/>
                    </w:rPr>
                    <w:t>日志审计分析平台</w:t>
                  </w:r>
                </w:p>
              </w:tc>
              <w:tc>
                <w:tcPr>
                  <w:tcW w:type="dxa" w:w="21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设备需符合软硬件一体化设计，</w:t>
                  </w:r>
                  <w:r>
                    <w:rPr>
                      <w:rFonts w:ascii="仿宋_GB2312" w:hAnsi="仿宋_GB2312" w:cs="仿宋_GB2312" w:eastAsia="仿宋_GB2312"/>
                      <w:sz w:val="24"/>
                    </w:rPr>
                    <w:t>配置</w:t>
                  </w:r>
                  <w:r>
                    <w:rPr>
                      <w:rFonts w:ascii="仿宋_GB2312" w:hAnsi="仿宋_GB2312" w:cs="仿宋_GB2312" w:eastAsia="仿宋_GB2312"/>
                      <w:sz w:val="24"/>
                    </w:rPr>
                    <w:t>≥128G内存，双</w:t>
                  </w:r>
                  <w:r>
                    <w:rPr>
                      <w:rFonts w:ascii="仿宋_GB2312" w:hAnsi="仿宋_GB2312" w:cs="仿宋_GB2312" w:eastAsia="仿宋_GB2312"/>
                      <w:sz w:val="24"/>
                    </w:rPr>
                    <w:t>电源，</w:t>
                  </w:r>
                  <w:r>
                    <w:rPr>
                      <w:rFonts w:ascii="仿宋_GB2312" w:hAnsi="仿宋_GB2312" w:cs="仿宋_GB2312" w:eastAsia="仿宋_GB2312"/>
                      <w:sz w:val="24"/>
                    </w:rPr>
                    <w:t>≥12个硬盘扩展槽，≥33TB硬盘,≥2个千兆电口,≥2个万兆光口</w:t>
                  </w:r>
                  <w:r>
                    <w:rPr>
                      <w:rFonts w:ascii="仿宋_GB2312" w:hAnsi="仿宋_GB2312" w:cs="仿宋_GB2312" w:eastAsia="仿宋_GB2312"/>
                      <w:sz w:val="24"/>
                    </w:rPr>
                    <w:t>，</w:t>
                  </w:r>
                  <w:r>
                    <w:rPr>
                      <w:rFonts w:ascii="仿宋_GB2312" w:hAnsi="仿宋_GB2312" w:cs="仿宋_GB2312" w:eastAsia="仿宋_GB2312"/>
                      <w:sz w:val="24"/>
                    </w:rPr>
                    <w:t>可扩容</w:t>
                  </w:r>
                  <w:r>
                    <w:rPr>
                      <w:rFonts w:ascii="仿宋_GB2312" w:hAnsi="仿宋_GB2312" w:cs="仿宋_GB2312" w:eastAsia="仿宋_GB2312"/>
                      <w:sz w:val="24"/>
                    </w:rPr>
                    <w:t>；</w:t>
                  </w:r>
                  <w:r>
                    <w:rPr>
                      <w:rFonts w:ascii="仿宋_GB2312" w:hAnsi="仿宋_GB2312" w:cs="仿宋_GB2312" w:eastAsia="仿宋_GB2312"/>
                      <w:sz w:val="24"/>
                    </w:rPr>
                    <w:t>提供证明材料（包括产品彩页或检测报告或带网址链接的官网功能截图或加盖厂商公章的技术参数说明）。</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配置</w:t>
                  </w:r>
                  <w:r>
                    <w:rPr>
                      <w:rFonts w:ascii="仿宋_GB2312" w:hAnsi="仿宋_GB2312" w:cs="仿宋_GB2312" w:eastAsia="仿宋_GB2312"/>
                      <w:sz w:val="24"/>
                    </w:rPr>
                    <w:t>≥1000个日志源数量授权，最大可扩展至1500个授权，现网日志处理速度≥15000EPS；</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支持集中和分布式部署、集群部署、热扩容。</w:t>
                  </w:r>
                </w:p>
                <w:p>
                  <w:pPr>
                    <w:pStyle w:val="null3"/>
                    <w:jc w:val="both"/>
                  </w:pPr>
                  <w:r>
                    <w:rPr>
                      <w:rFonts w:ascii="仿宋_GB2312" w:hAnsi="仿宋_GB2312" w:cs="仿宋_GB2312" w:eastAsia="仿宋_GB2312"/>
                      <w:sz w:val="24"/>
                    </w:rPr>
                    <w:t>4、支持支持Syslog、Syslog-ng、SNMP Trap、文件、WMI、SFTP、数据库、页面导入、SMB、插件扩展、kafka、sflow、http、https、二进制等方式采集日志；</w:t>
                  </w:r>
                </w:p>
                <w:p>
                  <w:pPr>
                    <w:pStyle w:val="null3"/>
                    <w:jc w:val="both"/>
                  </w:pPr>
                  <w:r>
                    <w:rPr>
                      <w:rFonts w:ascii="仿宋_GB2312" w:hAnsi="仿宋_GB2312" w:cs="仿宋_GB2312" w:eastAsia="仿宋_GB2312"/>
                      <w:sz w:val="24"/>
                    </w:rPr>
                    <w:t>5、支持日志采集器按策略实时将指定的日志送到审计中心；</w:t>
                  </w:r>
                </w:p>
                <w:p>
                  <w:pPr>
                    <w:pStyle w:val="null3"/>
                    <w:jc w:val="both"/>
                  </w:pPr>
                  <w:r>
                    <w:rPr>
                      <w:rFonts w:ascii="仿宋_GB2312" w:hAnsi="仿宋_GB2312" w:cs="仿宋_GB2312" w:eastAsia="仿宋_GB2312"/>
                      <w:sz w:val="24"/>
                    </w:rPr>
                    <w:t>6、标准化自动识别系统类型≥1200种（提供产品界面截图并加盖原厂公章）；</w:t>
                  </w:r>
                </w:p>
                <w:p>
                  <w:pPr>
                    <w:pStyle w:val="null3"/>
                    <w:jc w:val="both"/>
                  </w:pPr>
                  <w:r>
                    <w:rPr>
                      <w:rFonts w:ascii="仿宋_GB2312" w:hAnsi="仿宋_GB2312" w:cs="仿宋_GB2312" w:eastAsia="仿宋_GB2312"/>
                      <w:sz w:val="24"/>
                    </w:rPr>
                    <w:t>7、支持单一日志源转发多种设备类型日志依然能够智能适配解析（提供产品界面截图并加盖原厂公章）；</w:t>
                  </w:r>
                </w:p>
                <w:p>
                  <w:pPr>
                    <w:pStyle w:val="null3"/>
                    <w:jc w:val="both"/>
                  </w:pPr>
                  <w:r>
                    <w:rPr>
                      <w:rFonts w:ascii="仿宋_GB2312" w:hAnsi="仿宋_GB2312" w:cs="仿宋_GB2312" w:eastAsia="仿宋_GB2312"/>
                      <w:sz w:val="24"/>
                    </w:rPr>
                    <w:t>8、支持基于因果式的状态关联分析、实时关联策略命中后可以定义告警并通过相应方式转发，如：SYSLOG、Kafka、邮件等；支持防火墙联动阻断、系统内置关联规则300条以上（提供产品界面截图并加盖原厂公章）；</w:t>
                  </w:r>
                </w:p>
                <w:p>
                  <w:pPr>
                    <w:pStyle w:val="null3"/>
                    <w:jc w:val="both"/>
                  </w:pPr>
                  <w:r>
                    <w:rPr>
                      <w:rFonts w:ascii="仿宋_GB2312" w:hAnsi="仿宋_GB2312" w:cs="仿宋_GB2312" w:eastAsia="仿宋_GB2312"/>
                      <w:sz w:val="24"/>
                    </w:rPr>
                    <w:t>9、支持多种日志查询模式，根据页面的指导提示，通过组合查询表达式完成精确查询；</w:t>
                  </w:r>
                </w:p>
                <w:p>
                  <w:pPr>
                    <w:pStyle w:val="null3"/>
                    <w:jc w:val="both"/>
                  </w:pPr>
                  <w:r>
                    <w:rPr>
                      <w:rFonts w:ascii="仿宋_GB2312" w:hAnsi="仿宋_GB2312" w:cs="仿宋_GB2312" w:eastAsia="仿宋_GB2312"/>
                      <w:sz w:val="24"/>
                    </w:rPr>
                    <w:t>10、支持自定义告警设置、邮件告警等方式，系统内置丰富关联/审计类告警策略，并灵活支持自定义策略；</w:t>
                  </w:r>
                </w:p>
                <w:p>
                  <w:pPr>
                    <w:pStyle w:val="null3"/>
                    <w:jc w:val="both"/>
                  </w:pPr>
                  <w:r>
                    <w:rPr>
                      <w:rFonts w:ascii="仿宋_GB2312" w:hAnsi="仿宋_GB2312" w:cs="仿宋_GB2312" w:eastAsia="仿宋_GB2312"/>
                      <w:sz w:val="24"/>
                    </w:rPr>
                    <w:t>11、提供内置的多种报表模板，包括总体日志报表、主机类日志报表、网络设备类日志报表、防火墙类日志报表、数据库类日志报表、应用类日志报表、萨班斯报表、等级保护报表以及其他类型日志报表模板等；</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能够与骊山校区现用防火墙联动，支持对异常日志源的上网行为进行阻断</w:t>
                  </w:r>
                  <w:r>
                    <w:rPr>
                      <w:rFonts w:ascii="仿宋_GB2312" w:hAnsi="仿宋_GB2312" w:cs="仿宋_GB2312" w:eastAsia="仿宋_GB2312"/>
                      <w:sz w:val="24"/>
                    </w:rPr>
                    <w:t>。</w:t>
                  </w:r>
                  <w:r>
                    <w:rPr>
                      <w:rFonts w:ascii="仿宋_GB2312" w:hAnsi="仿宋_GB2312" w:cs="仿宋_GB2312" w:eastAsia="仿宋_GB2312"/>
                      <w:sz w:val="24"/>
                    </w:rPr>
                    <w:t>提供证明材料（包括产品彩页或检测报告或带网址链接的官网功能截图或加盖厂商公章的技术参数说明）。</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w:t>
                  </w:r>
                  <w:r>
                    <w:rPr>
                      <w:rFonts w:ascii="仿宋_GB2312" w:hAnsi="仿宋_GB2312" w:cs="仿宋_GB2312" w:eastAsia="仿宋_GB2312"/>
                      <w:sz w:val="24"/>
                    </w:rPr>
                    <w:t>提供国家保密局涉密信息系统安全保密测评中心颁发《涉密信息系统产品检测证书》；</w:t>
                  </w:r>
                </w:p>
                <w:p>
                  <w:pPr>
                    <w:pStyle w:val="null3"/>
                    <w:jc w:val="both"/>
                  </w:pPr>
                  <w:r>
                    <w:rPr>
                      <w:rFonts w:ascii="仿宋_GB2312" w:hAnsi="仿宋_GB2312" w:cs="仿宋_GB2312" w:eastAsia="仿宋_GB2312"/>
                      <w:sz w:val="24"/>
                    </w:rPr>
                    <w:t>14、具备《承担网络关键设备和网络安全专用产品安全认证和安全检测任务机构名录》</w:t>
                  </w:r>
                  <w:r>
                    <w:rPr>
                      <w:rFonts w:ascii="仿宋_GB2312" w:hAnsi="仿宋_GB2312" w:cs="仿宋_GB2312" w:eastAsia="仿宋_GB2312"/>
                      <w:sz w:val="24"/>
                    </w:rPr>
                    <w:t>中</w:t>
                  </w:r>
                  <w:r>
                    <w:rPr>
                      <w:rFonts w:ascii="仿宋_GB2312" w:hAnsi="仿宋_GB2312" w:cs="仿宋_GB2312" w:eastAsia="仿宋_GB2312"/>
                      <w:sz w:val="24"/>
                    </w:rPr>
                    <w:t>的机构</w:t>
                  </w:r>
                  <w:r>
                    <w:rPr>
                      <w:rFonts w:ascii="仿宋_GB2312" w:hAnsi="仿宋_GB2312" w:cs="仿宋_GB2312" w:eastAsia="仿宋_GB2312"/>
                      <w:sz w:val="24"/>
                    </w:rPr>
                    <w:t>出具的</w:t>
                  </w:r>
                  <w:r>
                    <w:rPr>
                      <w:rFonts w:ascii="仿宋_GB2312" w:hAnsi="仿宋_GB2312" w:cs="仿宋_GB2312" w:eastAsia="仿宋_GB2312"/>
                      <w:sz w:val="24"/>
                    </w:rPr>
                    <w:t>安全认证证书或安全检测合格证书（报告）</w:t>
                  </w:r>
                  <w:r>
                    <w:rPr>
                      <w:rFonts w:ascii="仿宋_GB2312" w:hAnsi="仿宋_GB2312" w:cs="仿宋_GB2312" w:eastAsia="仿宋_GB2312"/>
                      <w:sz w:val="24"/>
                    </w:rPr>
                    <w:t>（提供证明文件并加盖</w:t>
                  </w:r>
                  <w:r>
                    <w:rPr>
                      <w:rFonts w:ascii="仿宋_GB2312" w:hAnsi="仿宋_GB2312" w:cs="仿宋_GB2312" w:eastAsia="仿宋_GB2312"/>
                      <w:sz w:val="24"/>
                    </w:rPr>
                    <w:t>供应商</w:t>
                  </w:r>
                  <w:r>
                    <w:rPr>
                      <w:rFonts w:ascii="仿宋_GB2312" w:hAnsi="仿宋_GB2312" w:cs="仿宋_GB2312" w:eastAsia="仿宋_GB2312"/>
                      <w:sz w:val="24"/>
                    </w:rPr>
                    <w:t>公章）</w:t>
                  </w:r>
                  <w:r>
                    <w:rPr>
                      <w:rFonts w:ascii="仿宋_GB2312" w:hAnsi="仿宋_GB2312" w:cs="仿宋_GB2312" w:eastAsia="仿宋_GB2312"/>
                      <w:sz w:val="24"/>
                    </w:rPr>
                    <w:t>。</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1.自项目验收合格之日起12个月。 2.合同签订后 30 天内，按采购方指定地点完成相关服务设备的安装、数据对接、调试等工作。 3.本次服务期满，如双方无异议，可以以12个月为单位续签（最多不超过2个服务期）。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进度款，项目验收合格之日起，按合同金额的25%/3个月支付，达到付款条件起10个工作日内，支付合同总金额的25.0%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进度款，项目验收合格之日起，按合同金额的25%/3个月支付，达到付款条件起10个工作日内，支付合同总金额的25.0%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进度款，项目验收合格之日起，按合同金额的25%/3个月支付，达到付款条件起10个工作日内，支付合同总金额的25.0%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进度款，项目验收合格之日起，按合同金额的25%/3个月支付，达到付款条件起10个工作日内，支付合同总金额的25.0%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三、成交供应商在领取成交通知书时应提供与线上响应文件一致的纸质版文件（一正一副）。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2、具有良好的商业信誉和健全的财务会计制度（提供2024或2025年度财务审计报告或开标前近6个月内的银行资信证明或财政部门认可的政府采购专业担保机构出具的投标担保函）；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响应函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供应商要求1</w:t>
            </w:r>
          </w:p>
        </w:tc>
        <w:tc>
          <w:tcPr>
            <w:tcW w:type="dxa" w:w="3322"/>
          </w:tcPr>
          <w:p>
            <w:pPr>
              <w:pStyle w:val="null3"/>
            </w:pPr>
            <w:r>
              <w:rPr>
                <w:rFonts w:ascii="仿宋_GB2312" w:hAnsi="仿宋_GB2312" w:cs="仿宋_GB2312" w:eastAsia="仿宋_GB2312"/>
              </w:rPr>
              <w:t>具备增值电信业务经营许可证（互联网接入服务业务）</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供应商要求2</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格式文本.docx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1.在评标过程中，磋商小组会认为供应商报价异常的，应当启动异常低价投标（响应）审查程序（具体判定详见3.5其他要求） 2.供应商提交的相关说明和证明材料，应当加盖供应商（法定名称）电子印章，在磋商小组要求的时间内通过项目电子化交易系统进行提交，否则提交的相关证明材料无效。供应商不能证明其投标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被授权人提供响应文件截止时间前一年内任意一个月在供应商单位缴纳社会保障资金（养老保险或医疗保险）的缴纳证明及被授权人身份证。</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本项目不接收联合体投标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服务期符合磋商文件要求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付款方式符合磋商文件要求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★参数</w:t>
            </w:r>
          </w:p>
        </w:tc>
        <w:tc>
          <w:tcPr>
            <w:tcW w:type="dxa" w:w="3322"/>
          </w:tcPr>
          <w:p>
            <w:pPr>
              <w:pStyle w:val="null3"/>
            </w:pPr>
            <w:r>
              <w:rPr>
                <w:rFonts w:ascii="仿宋_GB2312" w:hAnsi="仿宋_GB2312" w:cs="仿宋_GB2312" w:eastAsia="仿宋_GB2312"/>
              </w:rPr>
              <w:t>★的参数需求为实质性要求，供应商必须响应并满足的参数需求。</w:t>
            </w:r>
          </w:p>
        </w:tc>
        <w:tc>
          <w:tcPr>
            <w:tcW w:type="dxa" w:w="1661"/>
          </w:tcPr>
          <w:p>
            <w:pPr>
              <w:pStyle w:val="null3"/>
            </w:pPr>
            <w:r>
              <w:rPr>
                <w:rFonts w:ascii="仿宋_GB2312" w:hAnsi="仿宋_GB2312" w:cs="仿宋_GB2312" w:eastAsia="仿宋_GB2312"/>
              </w:rPr>
              <w:t>格式文本.docx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技术指标响应评审</w:t>
            </w:r>
          </w:p>
        </w:tc>
        <w:tc>
          <w:tcPr>
            <w:tcW w:type="dxa" w:w="2492"/>
          </w:tcPr>
          <w:p>
            <w:pPr>
              <w:pStyle w:val="null3"/>
            </w:pPr>
            <w:r>
              <w:rPr>
                <w:rFonts w:ascii="仿宋_GB2312" w:hAnsi="仿宋_GB2312" w:cs="仿宋_GB2312" w:eastAsia="仿宋_GB2312"/>
              </w:rPr>
              <w:t>技术方案中各项设备及软件功能的技术参数响应清晰明确，符合使用要求，技术指标和性能完全响应磋商文件要求，满足使用需求，计40分。结合规格、技术参数偏离表的响应证明材料，按磋商文件内配置最低要求，带“▲”号指标项每出现1项负偏离扣2分，非“▲”号指标项每出现1项负偏离扣1分，扣完为止。 供应商须按磋商文件要求提供带“▲”号及非“▲”号指标项的证明材料，否则自行承担未提供证明材料导致技术参数被视为负偏离的风险。</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评审内容：①项目组织管理（人员配置计划）②项目实施（包括设备供货、安装调试、试运行、测试、验收等内容）③工作进度计划④质量保证⑤文档管理。 评审标准：每一项方案内容全面详细、阐述条理清晰详尽、符合本项目2分，满分10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评审内容：①服务响应时间②服务人员保证、应急预案③质量保障措施④服务承诺⑤原厂售后服务承诺。 评审标准：每一项方案内容全面详细、阐述条理清晰详尽、符合本项目2分，满分10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评审内容：所投设备相关的技术培训措施和方案①培训时间②培训内容③培训方式。 评审标准：每一项方案内容全面详细、阐述条理清晰详尽、符合本项目2分，满分6分，每项存在一处缺陷，扣0.5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供应商自2023年1月至今同类服务项目业绩（以合同签订时间为准），每提供1个得1分，最高得 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1.实质性满足磋商文件要求且最终报价最低的有效报价为磋商基准价,其价格分值为满分30分。2.磋商报价得分=（磋商基准价/最终磋商报价）×30。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详见附件：西安科技大学服务采购项目合同模版-2026.docx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