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版本号：政采-渭南市-2026-00282、2026-0320260508001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渭南市2025年大鸨等国家重点保护野生动物资源调查与监测项目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政采-渭南市-2026-00282、2026-03</w:t>
      </w:r>
      <w:r>
        <w:br/>
      </w:r>
      <w:r>
        <w:br/>
      </w:r>
      <w:r>
        <w:br/>
      </w:r>
    </w:p>
    <w:p>
      <w:pPr>
        <w:pStyle w:val="null3"/>
        <w:jc w:val="center"/>
        <w:outlineLvl w:val="2"/>
      </w:pPr>
      <w:r>
        <w:rPr>
          <w:rFonts w:ascii="仿宋_GB2312" w:hAnsi="仿宋_GB2312" w:cs="仿宋_GB2312" w:eastAsia="仿宋_GB2312"/>
          <w:sz w:val="28"/>
          <w:b/>
        </w:rPr>
        <w:t>陕西黄河湿地省级自然保护区管理处</w:t>
      </w:r>
    </w:p>
    <w:p>
      <w:pPr>
        <w:pStyle w:val="null3"/>
        <w:jc w:val="center"/>
        <w:outlineLvl w:val="2"/>
      </w:pPr>
      <w:r>
        <w:rPr>
          <w:rFonts w:ascii="仿宋_GB2312" w:hAnsi="仿宋_GB2312" w:cs="仿宋_GB2312" w:eastAsia="仿宋_GB2312"/>
          <w:sz w:val="28"/>
          <w:b/>
        </w:rPr>
        <w:t>陕西盈亿佑安建设管理有限公司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陕西盈亿佑安建设管理有限公司</w:t>
      </w:r>
      <w:r>
        <w:rPr>
          <w:rFonts w:ascii="仿宋_GB2312" w:hAnsi="仿宋_GB2312" w:cs="仿宋_GB2312" w:eastAsia="仿宋_GB2312"/>
        </w:rPr>
        <w:t>（以下简称“代理机构”）受</w:t>
      </w:r>
      <w:r>
        <w:rPr>
          <w:rFonts w:ascii="仿宋_GB2312" w:hAnsi="仿宋_GB2312" w:cs="仿宋_GB2312" w:eastAsia="仿宋_GB2312"/>
        </w:rPr>
        <w:t>陕西黄河湿地省级自然保护区管理处</w:t>
      </w:r>
      <w:r>
        <w:rPr>
          <w:rFonts w:ascii="仿宋_GB2312" w:hAnsi="仿宋_GB2312" w:cs="仿宋_GB2312" w:eastAsia="仿宋_GB2312"/>
        </w:rPr>
        <w:t>委托，拟对</w:t>
      </w:r>
      <w:r>
        <w:rPr>
          <w:rFonts w:ascii="仿宋_GB2312" w:hAnsi="仿宋_GB2312" w:cs="仿宋_GB2312" w:eastAsia="仿宋_GB2312"/>
        </w:rPr>
        <w:t>渭南市2025年大鸨等国家重点保护野生动物资源调查与监测项目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政采-渭南市-2026-00282、2026-03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渭南市2025年大鸨等国家重点保护野生动物资源调查与监测项目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查清渭南市（不含韩城市）大鸨等国家重点保护野生动物的种群数量、分布范围、栖息地现状及受威胁因素，建立编制物种资源数据库与常态化监测体系，为针对性保护策略制定提供坚实科学依据。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采购包1（渭南市2025年大鸨等国家重点保护野生动物资源调查与监测项目）：属于专门面向中小企业采购。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p>
      <w:pPr>
        <w:pStyle w:val="null3"/>
      </w:pPr>
      <w:r>
        <w:rPr>
          <w:rFonts w:ascii="仿宋_GB2312" w:hAnsi="仿宋_GB2312" w:cs="仿宋_GB2312" w:eastAsia="仿宋_GB2312"/>
        </w:rPr>
        <w:t>2、企业资质：供应商须具备林业调查规划设计丙级及以上资质；</w:t>
      </w:r>
    </w:p>
    <w:p>
      <w:pPr>
        <w:pStyle w:val="null3"/>
      </w:pPr>
      <w:r>
        <w:rPr>
          <w:rFonts w:ascii="仿宋_GB2312" w:hAnsi="仿宋_GB2312" w:cs="仿宋_GB2312" w:eastAsia="仿宋_GB2312"/>
        </w:rPr>
        <w:t>3、信用信息：供应商未列入“信用中国”网站(www.creditchina.gov.cn)失信被执行人、重大税收违法失信主体、政府采购严重违法失信行为记录名单和“中国政府采购网”(www.ccgp.gov.cn)政府采购严重违法失信行为信息记录；</w:t>
      </w:r>
    </w:p>
    <w:p>
      <w:pPr>
        <w:pStyle w:val="null3"/>
      </w:pPr>
      <w:r>
        <w:rPr>
          <w:rFonts w:ascii="仿宋_GB2312" w:hAnsi="仿宋_GB2312" w:cs="仿宋_GB2312" w:eastAsia="仿宋_GB2312"/>
        </w:rPr>
        <w:t>4、供应商不得存在的情形：单位负责人为同一人或者存在直接控股、管理关系的不同供应商，不得参加同一合同项下的政府采购活动。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陕西黄河湿地省级自然保护区管理处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渭南市临渭区仓程路与朝阳大街十字东北角林业大厦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郭俊刚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0913-2021773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陕西盈亿佑安建设管理有限公司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陕西省渭南市临渭区陕西省渭南市临渭区乐天大街与前进路十字西北角乐天枫渡6楼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15291437952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开户名称：陕西盈亿佑安建设管理有限公司</w:t>
            </w:r>
          </w:p>
          <w:p>
            <w:pPr>
              <w:pStyle w:val="null3"/>
            </w:pPr>
            <w:r>
              <w:rPr>
                <w:rFonts w:ascii="仿宋_GB2312" w:hAnsi="仿宋_GB2312" w:cs="仿宋_GB2312" w:eastAsia="仿宋_GB2312"/>
              </w:rPr>
              <w:t>开户银行：兴业银行股份有限公司渭南分行</w:t>
            </w:r>
          </w:p>
          <w:p>
            <w:pPr>
              <w:pStyle w:val="null3"/>
            </w:pPr>
            <w:r>
              <w:rPr>
                <w:rFonts w:ascii="仿宋_GB2312" w:hAnsi="仿宋_GB2312" w:cs="仿宋_GB2312" w:eastAsia="仿宋_GB2312"/>
              </w:rPr>
              <w:t>银行账号：452020100100048781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陕西黄河湿地省级自然保护区管理处</w:t>
      </w:r>
      <w:r>
        <w:rPr>
          <w:rFonts w:ascii="仿宋_GB2312" w:hAnsi="仿宋_GB2312" w:cs="仿宋_GB2312" w:eastAsia="仿宋_GB2312"/>
        </w:rPr>
        <w:t>和</w:t>
      </w:r>
      <w:r>
        <w:rPr>
          <w:rFonts w:ascii="仿宋_GB2312" w:hAnsi="仿宋_GB2312" w:cs="仿宋_GB2312" w:eastAsia="仿宋_GB2312"/>
        </w:rPr>
        <w:t>陕西盈亿佑安建设管理有限公司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陕西黄河湿地省级自然保护区管理处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陕西盈亿佑安建设管理有限公司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陕西黄河湿地省级自然保护区管理处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陕西盈亿佑安建设管理有限公司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1.项目全部验收达到合格标准，符合国家相关行业规范、规程和有关技术规定。 2.供应商的每一项内容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服务质量、资金使用情况及项目成效、存在问题与建议等。 3.本项目由采购人及相关部门定期对项目进行阶段性验收。 4.按磋商文件、磋商响应文件及澄清函、项目检查情况等综合指标进行验收。各项指标均应符合验收标准及要求。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陕西盈亿佑安建设管理有限公司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陕西盈亿佑安建设管理有限公司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陕西盈亿佑安建设管理有限公司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联系人：张聪</w:t>
      </w:r>
    </w:p>
    <w:p>
      <w:pPr>
        <w:pStyle w:val="null3"/>
      </w:pPr>
      <w:r>
        <w:rPr>
          <w:rFonts w:ascii="仿宋_GB2312" w:hAnsi="仿宋_GB2312" w:cs="仿宋_GB2312" w:eastAsia="仿宋_GB2312"/>
        </w:rPr>
        <w:t>联系电话：15291437952</w:t>
      </w:r>
    </w:p>
    <w:p>
      <w:pPr>
        <w:pStyle w:val="null3"/>
      </w:pPr>
      <w:r>
        <w:rPr>
          <w:rFonts w:ascii="仿宋_GB2312" w:hAnsi="仿宋_GB2312" w:cs="仿宋_GB2312" w:eastAsia="仿宋_GB2312"/>
        </w:rPr>
        <w:t>地址：陕西省渭南市临渭区乐天大街与前进路十字西北角乐天枫渡大厦6楼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查清渭南市（不含韩城市）大鸨等国家重点保护野生动物的种群数量、分布范围、栖息地现状及受威胁因素，建立编制物种资源数据库与常态化监测体系，为针对性保护策略制定提供坚实科学依据。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渭南市2025年大鸨等国家重点保护野生动物资源调查与监测项目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标的名称：渭南市2025年大鸨等国家重点保护野生动物资源调查与监测项目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1.服务地点</w:t>
            </w:r>
          </w:p>
          <w:p>
            <w:pPr>
              <w:pStyle w:val="null3"/>
              <w:jc w:val="both"/>
            </w:pPr>
            <w:r>
              <w:rPr>
                <w:rFonts w:ascii="仿宋_GB2312" w:hAnsi="仿宋_GB2312" w:cs="仿宋_GB2312" w:eastAsia="仿宋_GB2312"/>
                <w:sz w:val="21"/>
              </w:rPr>
              <w:t>项目建设地点为渭南市辖区内（不含韩城市）10个县（市、区），调查区域见图3—1（</w:t>
            </w:r>
            <w:r>
              <w:rPr>
                <w:rFonts w:ascii="仿宋_GB2312" w:hAnsi="仿宋_GB2312" w:cs="仿宋_GB2312" w:eastAsia="仿宋_GB2312"/>
                <w:sz w:val="21"/>
              </w:rPr>
              <w:t>见附件）</w:t>
            </w:r>
            <w:r>
              <w:rPr>
                <w:rFonts w:ascii="仿宋_GB2312" w:hAnsi="仿宋_GB2312" w:cs="仿宋_GB2312" w:eastAsia="仿宋_GB2312"/>
                <w:sz w:val="21"/>
              </w:rPr>
              <w:t>，具体包括：</w:t>
            </w:r>
          </w:p>
          <w:p>
            <w:pPr>
              <w:pStyle w:val="null3"/>
              <w:jc w:val="both"/>
            </w:pPr>
            <w:r>
              <w:rPr>
                <w:rFonts w:ascii="仿宋_GB2312" w:hAnsi="仿宋_GB2312" w:cs="仿宋_GB2312" w:eastAsia="仿宋_GB2312"/>
                <w:sz w:val="21"/>
              </w:rPr>
              <w:t>核心区域：陕西黄河湿地省级自然保护区（渭南段大荔县、合阳县、潼关县）、渭河流域（临渭区、华州区、华阴市）、洛河流域（富平县、白水县、蒲城县、大荔县）；</w:t>
            </w:r>
          </w:p>
          <w:p>
            <w:pPr>
              <w:pStyle w:val="null3"/>
              <w:jc w:val="both"/>
            </w:pPr>
            <w:r>
              <w:rPr>
                <w:rFonts w:ascii="仿宋_GB2312" w:hAnsi="仿宋_GB2312" w:cs="仿宋_GB2312" w:eastAsia="仿宋_GB2312"/>
                <w:sz w:val="21"/>
              </w:rPr>
              <w:t>重点区域：蒲城县撂荒地、白水县草原、澄城县农田区；</w:t>
            </w:r>
          </w:p>
          <w:p>
            <w:pPr>
              <w:pStyle w:val="null3"/>
              <w:jc w:val="both"/>
            </w:pPr>
            <w:r>
              <w:rPr>
                <w:rFonts w:ascii="仿宋_GB2312" w:hAnsi="仿宋_GB2312" w:cs="仿宋_GB2312" w:eastAsia="仿宋_GB2312"/>
                <w:sz w:val="21"/>
              </w:rPr>
              <w:t>普查区域：渭南全市范围内其他区域。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02"/>
              <w:jc w:val="both"/>
            </w:pPr>
            <w:r>
              <w:rPr>
                <w:rFonts w:ascii="仿宋_GB2312" w:hAnsi="仿宋_GB2312" w:cs="仿宋_GB2312" w:eastAsia="仿宋_GB2312"/>
                <w:sz w:val="21"/>
              </w:rPr>
              <w:t>2.项目内容及规模</w:t>
            </w:r>
          </w:p>
          <w:p>
            <w:pPr>
              <w:pStyle w:val="null3"/>
              <w:jc w:val="both"/>
            </w:pPr>
            <w:r>
              <w:rPr>
                <w:rFonts w:ascii="仿宋_GB2312" w:hAnsi="仿宋_GB2312" w:cs="仿宋_GB2312" w:eastAsia="仿宋_GB2312"/>
                <w:sz w:val="21"/>
              </w:rPr>
              <w:t>建设项目实施内容包括大鸨等国家重点保护野生动物资源调查及监测体系设备购置2个方面，分别为：</w:t>
            </w:r>
          </w:p>
          <w:p>
            <w:pPr>
              <w:pStyle w:val="null3"/>
              <w:jc w:val="both"/>
            </w:pPr>
            <w:r>
              <w:rPr>
                <w:rFonts w:ascii="仿宋_GB2312" w:hAnsi="仿宋_GB2312" w:cs="仿宋_GB2312" w:eastAsia="仿宋_GB2312"/>
                <w:sz w:val="21"/>
              </w:rPr>
              <w:t>大鸨等国家重点保护野生动物资源调查</w:t>
            </w:r>
          </w:p>
          <w:p>
            <w:pPr>
              <w:pStyle w:val="null3"/>
              <w:jc w:val="both"/>
            </w:pPr>
            <w:r>
              <w:rPr>
                <w:rFonts w:ascii="仿宋_GB2312" w:hAnsi="仿宋_GB2312" w:cs="仿宋_GB2312" w:eastAsia="仿宋_GB2312"/>
                <w:sz w:val="21"/>
              </w:rPr>
              <w:t>（1）样线布设</w:t>
            </w:r>
          </w:p>
          <w:p>
            <w:pPr>
              <w:pStyle w:val="null3"/>
              <w:jc w:val="both"/>
            </w:pPr>
            <w:r>
              <w:rPr>
                <w:rFonts w:ascii="仿宋_GB2312" w:hAnsi="仿宋_GB2312" w:cs="仿宋_GB2312" w:eastAsia="仿宋_GB2312"/>
                <w:sz w:val="21"/>
              </w:rPr>
              <w:t>大鸨对生境具有明显的选择性，并非在所有类型的生境中都会停留活动。因此，本次仅以10km×10km的抽样网格对调查区域进行</w:t>
            </w:r>
            <w:r>
              <w:rPr>
                <w:rFonts w:ascii="仿宋_GB2312" w:hAnsi="仿宋_GB2312" w:cs="仿宋_GB2312" w:eastAsia="仿宋_GB2312"/>
                <w:sz w:val="21"/>
              </w:rPr>
              <w:t>划分见图3—2（见附件），未预先划</w:t>
            </w:r>
            <w:r>
              <w:rPr>
                <w:rFonts w:ascii="仿宋_GB2312" w:hAnsi="仿宋_GB2312" w:cs="仿宋_GB2312" w:eastAsia="仿宋_GB2312"/>
                <w:sz w:val="21"/>
              </w:rPr>
              <w:t>定具体调查样线。在实际调查时，调查人员可依据抽样网格内实际遇见的生境情况，自主选取大鸨适宜活动的生境（如麦田、湿地、草原等）来设置调查样线，以更精准地开展大鸨等野生动物资源调查。本项目共需布设调查样线120条，其中：</w:t>
            </w:r>
          </w:p>
          <w:p>
            <w:pPr>
              <w:pStyle w:val="null3"/>
              <w:jc w:val="both"/>
            </w:pPr>
            <w:r>
              <w:rPr>
                <w:rFonts w:ascii="仿宋_GB2312" w:hAnsi="仿宋_GB2312" w:cs="仿宋_GB2312" w:eastAsia="仿宋_GB2312"/>
                <w:sz w:val="21"/>
              </w:rPr>
              <w:t>陕西黄河湿地（渭南段）：在覆盖滩涂、沼泽、麦田的抽样网格内布设40条，每条长度3—5km，重点区域所在网格可增加调查样线的数量；</w:t>
            </w:r>
          </w:p>
          <w:p>
            <w:pPr>
              <w:pStyle w:val="null3"/>
              <w:jc w:val="both"/>
            </w:pPr>
            <w:r>
              <w:rPr>
                <w:rFonts w:ascii="仿宋_GB2312" w:hAnsi="仿宋_GB2312" w:cs="仿宋_GB2312" w:eastAsia="仿宋_GB2312"/>
                <w:sz w:val="21"/>
              </w:rPr>
              <w:t>渭洛河平原农田区：于覆盖冬小麦、玉米地的抽样网格中布设35条，每条长度3—5km，根据农田分布集中程度，在核心农田网格适当多设样线；</w:t>
            </w:r>
          </w:p>
          <w:p>
            <w:pPr>
              <w:pStyle w:val="null3"/>
              <w:jc w:val="both"/>
            </w:pPr>
            <w:r>
              <w:rPr>
                <w:rFonts w:ascii="仿宋_GB2312" w:hAnsi="仿宋_GB2312" w:cs="仿宋_GB2312" w:eastAsia="仿宋_GB2312"/>
                <w:sz w:val="21"/>
              </w:rPr>
              <w:t>草原及撂荒地：在涵盖蒲城、白水草原的抽样网格里布设15条，每条长度3—5km，草原生境典型网格可增加样线；</w:t>
            </w:r>
          </w:p>
          <w:p>
            <w:pPr>
              <w:pStyle w:val="null3"/>
              <w:jc w:val="both"/>
            </w:pPr>
            <w:r>
              <w:rPr>
                <w:rFonts w:ascii="仿宋_GB2312" w:hAnsi="仿宋_GB2312" w:cs="仿宋_GB2312" w:eastAsia="仿宋_GB2312"/>
                <w:sz w:val="21"/>
              </w:rPr>
              <w:t>其他区域（丘陵、林地）：在涉及华州、澄城等区域的抽样网格内布设30条，每条长度3—5km，生态异质性高的网格可多设置样线。</w:t>
            </w:r>
          </w:p>
          <w:p>
            <w:pPr>
              <w:pStyle w:val="null3"/>
              <w:jc w:val="both"/>
            </w:pPr>
            <w:r>
              <w:rPr>
                <w:rFonts w:ascii="仿宋_GB2312" w:hAnsi="仿宋_GB2312" w:cs="仿宋_GB2312" w:eastAsia="仿宋_GB2312"/>
                <w:sz w:val="21"/>
              </w:rPr>
              <w:t>（2）调查频次</w:t>
            </w:r>
          </w:p>
          <w:p>
            <w:pPr>
              <w:pStyle w:val="null3"/>
              <w:jc w:val="both"/>
            </w:pPr>
            <w:r>
              <w:rPr>
                <w:rFonts w:ascii="仿宋_GB2312" w:hAnsi="仿宋_GB2312" w:cs="仿宋_GB2312" w:eastAsia="仿宋_GB2312"/>
                <w:sz w:val="21"/>
              </w:rPr>
              <w:t>调查频次：调查频次:为合同签订之日起至2026年12月开展秋冬季，大鸨越冬初期，大鸨北迁前期，确保覆盖不同季节物种活动规律。分2次、调查周期 15天。</w:t>
            </w:r>
          </w:p>
          <w:p>
            <w:pPr>
              <w:pStyle w:val="null3"/>
              <w:jc w:val="both"/>
            </w:pPr>
            <w:r>
              <w:rPr>
                <w:rFonts w:ascii="仿宋_GB2312" w:hAnsi="仿宋_GB2312" w:cs="仿宋_GB2312" w:eastAsia="仿宋_GB2312"/>
                <w:sz w:val="21"/>
              </w:rPr>
              <w:t>（3）调查对象</w:t>
            </w:r>
          </w:p>
          <w:p>
            <w:pPr>
              <w:pStyle w:val="null3"/>
              <w:jc w:val="both"/>
            </w:pPr>
            <w:r>
              <w:rPr>
                <w:rFonts w:ascii="仿宋_GB2312" w:hAnsi="仿宋_GB2312" w:cs="仿宋_GB2312" w:eastAsia="仿宋_GB2312"/>
                <w:sz w:val="21"/>
              </w:rPr>
              <w:t>核心对象：大鸨（东方亚种）；</w:t>
            </w:r>
          </w:p>
          <w:p>
            <w:pPr>
              <w:pStyle w:val="null3"/>
              <w:jc w:val="both"/>
            </w:pPr>
            <w:r>
              <w:rPr>
                <w:rFonts w:ascii="仿宋_GB2312" w:hAnsi="仿宋_GB2312" w:cs="仿宋_GB2312" w:eastAsia="仿宋_GB2312"/>
                <w:sz w:val="21"/>
              </w:rPr>
              <w:t>次要对象：东方白鹳、黑鹳、白鹤、白枕鹤、丹顶鹤等国家一级保护物种；大天鹅、灰鹤、白琵鹭等国家二级保护物种；斑头雁、斑嘴鸭、绿头鸭等陕西省重点保护物种；</w:t>
            </w:r>
          </w:p>
          <w:p>
            <w:pPr>
              <w:pStyle w:val="null3"/>
              <w:jc w:val="both"/>
            </w:pPr>
            <w:r>
              <w:rPr>
                <w:rFonts w:ascii="仿宋_GB2312" w:hAnsi="仿宋_GB2312" w:cs="仿宋_GB2312" w:eastAsia="仿宋_GB2312"/>
                <w:sz w:val="21"/>
              </w:rPr>
              <w:t>栖息地与威胁因素：生境类型、植被参数、人为干扰源及强度。</w:t>
            </w:r>
          </w:p>
          <w:p>
            <w:pPr>
              <w:pStyle w:val="null3"/>
              <w:ind w:firstLine="576"/>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3.监测体系建设</w:t>
            </w:r>
          </w:p>
          <w:p>
            <w:pPr>
              <w:pStyle w:val="null3"/>
              <w:jc w:val="both"/>
            </w:pPr>
            <w:r>
              <w:rPr>
                <w:rFonts w:ascii="仿宋_GB2312" w:hAnsi="仿宋_GB2312" w:cs="仿宋_GB2312" w:eastAsia="仿宋_GB2312"/>
                <w:sz w:val="21"/>
              </w:rPr>
              <w:t>（1）固定监测点设置</w:t>
            </w:r>
          </w:p>
          <w:p>
            <w:pPr>
              <w:pStyle w:val="null3"/>
              <w:jc w:val="both"/>
            </w:pPr>
            <w:r>
              <w:rPr>
                <w:rFonts w:ascii="仿宋_GB2312" w:hAnsi="仿宋_GB2312" w:cs="仿宋_GB2312" w:eastAsia="仿宋_GB2312"/>
                <w:sz w:val="21"/>
              </w:rPr>
              <w:t>在大鸨集中活动区域设置监测样线样点，利用无人机、单筒望远镜、观鸟镜对每个监测样线样点开展监测，分布具体分布：</w:t>
            </w:r>
          </w:p>
          <w:p>
            <w:pPr>
              <w:pStyle w:val="null3"/>
              <w:jc w:val="both"/>
            </w:pPr>
            <w:r>
              <w:rPr>
                <w:rFonts w:ascii="仿宋_GB2312" w:hAnsi="仿宋_GB2312" w:cs="仿宋_GB2312" w:eastAsia="仿宋_GB2312"/>
                <w:sz w:val="21"/>
              </w:rPr>
              <w:t>大荔县赵渡乡：是大鸨种群的重要活动区；原生态保留完好，人为干扰低，食物供应稳定，是大鸨传统觅食地。</w:t>
            </w:r>
          </w:p>
          <w:p>
            <w:pPr>
              <w:pStyle w:val="null3"/>
              <w:jc w:val="both"/>
            </w:pPr>
            <w:r>
              <w:rPr>
                <w:rFonts w:ascii="仿宋_GB2312" w:hAnsi="仿宋_GB2312" w:cs="仿宋_GB2312" w:eastAsia="仿宋_GB2312"/>
                <w:sz w:val="21"/>
              </w:rPr>
              <w:t>合阳县洽川湿地：洽川湿地是大鸨活动的代表性区域，也是保护区核心生态单元；可联动湿地整体生态数据。</w:t>
            </w:r>
          </w:p>
          <w:p>
            <w:pPr>
              <w:pStyle w:val="null3"/>
              <w:jc w:val="both"/>
            </w:pPr>
            <w:r>
              <w:rPr>
                <w:rFonts w:ascii="仿宋_GB2312" w:hAnsi="仿宋_GB2312" w:cs="仿宋_GB2312" w:eastAsia="仿宋_GB2312"/>
                <w:sz w:val="21"/>
              </w:rPr>
              <w:t>华州区渭河段麦田区：生境单一且远离居民区，人为干扰少，可重点监测纯农田生境中大鸨活动规律。</w:t>
            </w:r>
          </w:p>
          <w:p>
            <w:pPr>
              <w:pStyle w:val="null3"/>
              <w:jc w:val="both"/>
            </w:pPr>
            <w:r>
              <w:rPr>
                <w:rFonts w:ascii="仿宋_GB2312" w:hAnsi="仿宋_GB2312" w:cs="仿宋_GB2312" w:eastAsia="仿宋_GB2312"/>
                <w:sz w:val="21"/>
              </w:rPr>
              <w:t>华阴市黄河滩区：位于黄河与渭河交汇缓冲带，符合大鸨迁徙停歇地特征，补充核心区外种群监测空白。</w:t>
            </w:r>
          </w:p>
          <w:p>
            <w:pPr>
              <w:pStyle w:val="null3"/>
              <w:jc w:val="both"/>
            </w:pPr>
            <w:r>
              <w:rPr>
                <w:rFonts w:ascii="仿宋_GB2312" w:hAnsi="仿宋_GB2312" w:cs="仿宋_GB2312" w:eastAsia="仿宋_GB2312"/>
                <w:sz w:val="21"/>
              </w:rPr>
              <w:t>蒲城县撂荒地：填补渭北台塬区监测空白，与华州区渭河段麦田区形成“渭河平原—渭北台塬”生境对比监测，完善大鸨在不同地貌单元的活动规律研究。</w:t>
            </w:r>
          </w:p>
          <w:p>
            <w:pPr>
              <w:pStyle w:val="null3"/>
              <w:jc w:val="both"/>
            </w:pPr>
            <w:r>
              <w:rPr>
                <w:rFonts w:ascii="仿宋_GB2312" w:hAnsi="仿宋_GB2312" w:cs="仿宋_GB2312" w:eastAsia="仿宋_GB2312"/>
                <w:sz w:val="21"/>
              </w:rPr>
              <w:t>临渭区渭河岸：生境靠近渭河干流，水源充足，，可完善渭河中下游监测网络。</w:t>
            </w:r>
          </w:p>
          <w:p>
            <w:pPr>
              <w:pStyle w:val="null3"/>
              <w:jc w:val="both"/>
            </w:pPr>
            <w:r>
              <w:rPr>
                <w:rFonts w:ascii="仿宋_GB2312" w:hAnsi="仿宋_GB2312" w:cs="仿宋_GB2312" w:eastAsia="仿宋_GB2312"/>
                <w:sz w:val="21"/>
              </w:rPr>
              <w:t>（2）设备购置</w:t>
            </w:r>
          </w:p>
          <w:p>
            <w:pPr>
              <w:pStyle w:val="null3"/>
              <w:jc w:val="both"/>
            </w:pPr>
            <w:r>
              <w:rPr>
                <w:rFonts w:ascii="仿宋_GB2312" w:hAnsi="仿宋_GB2312" w:cs="仿宋_GB2312" w:eastAsia="仿宋_GB2312"/>
                <w:sz w:val="21"/>
              </w:rPr>
              <w:t>购置调查与监测设备共8台，明细如下表所示：</w:t>
            </w:r>
          </w:p>
          <w:tbl>
            <w:tblPr>
              <w:tblBorders>
                <w:top w:val="none" w:color="000000" w:sz="4"/>
                <w:left w:val="none" w:color="000000" w:sz="4"/>
                <w:bottom w:val="none" w:color="000000" w:sz="4"/>
                <w:right w:val="none" w:color="000000" w:sz="4"/>
                <w:insideH w:val="none"/>
                <w:insideV w:val="none"/>
              </w:tblBorders>
            </w:tblPr>
            <w:tblGrid>
              <w:gridCol w:w="423"/>
              <w:gridCol w:w="257"/>
              <w:gridCol w:w="293"/>
              <w:gridCol w:w="1569"/>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both"/>
                  </w:pPr>
                  <w:r>
                    <w:rPr>
                      <w:rFonts w:ascii="仿宋_GB2312" w:hAnsi="仿宋_GB2312" w:cs="仿宋_GB2312" w:eastAsia="仿宋_GB2312"/>
                      <w:sz w:val="21"/>
                    </w:rPr>
                    <w:t>设备名称</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both"/>
                  </w:pPr>
                  <w:r>
                    <w:rPr>
                      <w:rFonts w:ascii="仿宋_GB2312" w:hAnsi="仿宋_GB2312" w:cs="仿宋_GB2312" w:eastAsia="仿宋_GB2312"/>
                      <w:sz w:val="21"/>
                    </w:rPr>
                    <w:t>单位</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both"/>
                  </w:pPr>
                  <w:r>
                    <w:rPr>
                      <w:rFonts w:ascii="仿宋_GB2312" w:hAnsi="仿宋_GB2312" w:cs="仿宋_GB2312" w:eastAsia="仿宋_GB2312"/>
                      <w:sz w:val="21"/>
                    </w:rPr>
                    <w:t>数量</w:t>
                  </w:r>
                </w:p>
              </w:tc>
              <w:tc>
                <w:tcPr>
                  <w:tcW w:type="dxa" w:w="1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both"/>
                  </w:pPr>
                  <w:r>
                    <w:rPr>
                      <w:rFonts w:ascii="仿宋_GB2312" w:hAnsi="仿宋_GB2312" w:cs="仿宋_GB2312" w:eastAsia="仿宋_GB2312"/>
                      <w:sz w:val="21"/>
                    </w:rPr>
                    <w:t>规格参数</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both"/>
                  </w:pPr>
                  <w:r>
                    <w:rPr>
                      <w:rFonts w:ascii="仿宋_GB2312" w:hAnsi="仿宋_GB2312" w:cs="仿宋_GB2312" w:eastAsia="仿宋_GB2312"/>
                      <w:sz w:val="21"/>
                    </w:rPr>
                    <w:t>单筒望远镜</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both"/>
                  </w:pPr>
                  <w:r>
                    <w:rPr>
                      <w:rFonts w:ascii="仿宋_GB2312" w:hAnsi="仿宋_GB2312" w:cs="仿宋_GB2312" w:eastAsia="仿宋_GB2312"/>
                      <w:sz w:val="21"/>
                    </w:rPr>
                    <w:t>台</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both"/>
                  </w:pPr>
                  <w:r>
                    <w:rPr>
                      <w:rFonts w:ascii="仿宋_GB2312" w:hAnsi="仿宋_GB2312" w:cs="仿宋_GB2312" w:eastAsia="仿宋_GB2312"/>
                      <w:sz w:val="21"/>
                    </w:rPr>
                    <w:t>6</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both"/>
                  </w:pPr>
                  <w:r>
                    <w:rPr>
                      <w:rFonts w:ascii="仿宋_GB2312" w:hAnsi="仿宋_GB2312" w:cs="仿宋_GB2312" w:eastAsia="仿宋_GB2312"/>
                      <w:sz w:val="21"/>
                    </w:rPr>
                    <w:t>放大倍率20-60、物流口径 60-85mm、透光率≥90%，视野范围：20-60倍可达35-60/1000米，最近对焦距离1.5-5米。</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both"/>
                  </w:pPr>
                  <w:r>
                    <w:rPr>
                      <w:rFonts w:ascii="仿宋_GB2312" w:hAnsi="仿宋_GB2312" w:cs="仿宋_GB2312" w:eastAsia="仿宋_GB2312"/>
                      <w:sz w:val="21"/>
                    </w:rPr>
                    <w:t>单筒观鸟镜</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both"/>
                  </w:pPr>
                  <w:r>
                    <w:rPr>
                      <w:rFonts w:ascii="仿宋_GB2312" w:hAnsi="仿宋_GB2312" w:cs="仿宋_GB2312" w:eastAsia="仿宋_GB2312"/>
                      <w:sz w:val="21"/>
                    </w:rPr>
                    <w:t>台</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both"/>
                  </w:pPr>
                  <w:r>
                    <w:rPr>
                      <w:rFonts w:ascii="仿宋_GB2312" w:hAnsi="仿宋_GB2312" w:cs="仿宋_GB2312" w:eastAsia="仿宋_GB2312"/>
                      <w:sz w:val="21"/>
                    </w:rPr>
                    <w:t>2</w:t>
                  </w:r>
                </w:p>
              </w:tc>
              <w:tc>
                <w:tcPr>
                  <w:tcW w:type="dxa" w:w="1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both"/>
                  </w:pPr>
                  <w:r>
                    <w:rPr>
                      <w:rFonts w:ascii="仿宋_GB2312" w:hAnsi="仿宋_GB2312" w:cs="仿宋_GB2312" w:eastAsia="仿宋_GB2312"/>
                      <w:sz w:val="21"/>
                    </w:rPr>
                    <w:t>放大倍率10*42、物流口径 60mm、透光率≥90%，镜片材质 ：萤石/超低色散玻璃，视野范围：8*42可达155/1000米，最近对焦距离1.5-2米。</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4.数据整理与报告编制</w:t>
            </w:r>
          </w:p>
          <w:p>
            <w:pPr>
              <w:pStyle w:val="null3"/>
              <w:jc w:val="both"/>
            </w:pPr>
            <w:r>
              <w:rPr>
                <w:rFonts w:ascii="仿宋_GB2312" w:hAnsi="仿宋_GB2312" w:cs="仿宋_GB2312" w:eastAsia="仿宋_GB2312"/>
                <w:sz w:val="21"/>
              </w:rPr>
              <w:t>（1）原始数据整理</w:t>
            </w:r>
          </w:p>
          <w:p>
            <w:pPr>
              <w:pStyle w:val="null3"/>
            </w:pPr>
            <w:r>
              <w:rPr>
                <w:rFonts w:ascii="仿宋_GB2312" w:hAnsi="仿宋_GB2312" w:cs="仿宋_GB2312" w:eastAsia="仿宋_GB2312"/>
                <w:sz w:val="21"/>
              </w:rPr>
              <w:t>野外记录表应永久保存。野外记录表不宜涂改，对记录表中明显的错误应进行标注性修改，并加注修改时间及修改人。原始数据应依照有关规定进行数据录入、校验，采用ArcGIS绘制物种分布地图，运用统计软件进行种群数量统计与栖息地适宜性分析，并保存备份文件。影像、照片资料分类归档。</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1"/>
              </w:rPr>
              <w:t>（2）调查成果统计</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1"/>
              </w:rPr>
              <w:t>对野外调查资料进行全面分析汇总，统计我市越冬期大鸨等国家重点保护水鸟种类、数量。</w:t>
            </w:r>
          </w:p>
          <w:p>
            <w:pPr>
              <w:pStyle w:val="null3"/>
            </w:pPr>
            <w:r>
              <w:rPr>
                <w:rFonts w:ascii="仿宋_GB2312" w:hAnsi="仿宋_GB2312" w:cs="仿宋_GB2312" w:eastAsia="仿宋_GB2312"/>
                <w:sz w:val="21"/>
              </w:rPr>
              <w:t>（3）编制调查报告</w:t>
            </w:r>
          </w:p>
          <w:p>
            <w:pPr>
              <w:pStyle w:val="null3"/>
            </w:pPr>
            <w:r>
              <w:rPr>
                <w:rFonts w:ascii="仿宋_GB2312" w:hAnsi="仿宋_GB2312" w:cs="仿宋_GB2312" w:eastAsia="仿宋_GB2312"/>
                <w:sz w:val="21"/>
              </w:rPr>
              <w:t>根据调查成果统计资料，基于调查数据编制《渭南市2025年大鸨等国家重点保护野生动物资源调查报告》，包含调查方法、结果、结论及保护建议，附原始数据、影像资料图表及面临的威胁、对策建议等，确保报告科学、全面、实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一.服务要求 1.在服务范围内按工作内容和要求制定详细的方案，方案科学、合理、可靠。 2.人员配备合理。有针对本项目的专项项目小组，项目负责人、工作人员分工明确（应有具体成员名单，包括姓名、工作职责等）。 3.有各类突发事件的应急预案和措施，有明确具体的承诺。 4.供应商所拟派的工作人员，若在服务期间发生任何安全事故由供应商承担。 二.服务质量 完成《渭南市2025年大鸨等国家重点保护野生动物资源调查与监测项目》全部项目实施内容且达到合格标准，符合国家相关行业规范、规程和有关技术规定。 三.需执行的国家相关标准、行业标准、地方标准或者其他标准、规范标准 1.法律法规 （1）《中华人民共和国森林法》（2019年修订）； （2）《中华人民共和国野生动物保护法》（2022年修订）； （3）《中华人民共和国环境保护法》（2014年修订）； （4）《中华人民共和国湿地保护法》（2022年）； （5）《陕西省湿地保护条例》（2023年修订）； （6）《陕西省河道管理条例》（2000年修订）； （7）《陕西省秦岭生态环境保护条例》（2019年修订）； （8）《国家重点保护野生动物名录》（2021年修订）。 2.技术规范、规程 （1）《自然保护区总体规划技术规程》（GB/T20399—2006）； （2）《陆生野生动物资源调查技术规程》（LY/T1813—2009）； （3）《野生动物红外相机监测技术规范》（LY/T3294—2021）； （4）《湿地生态系统监测技术规范》（LY/T2937—2018）； （5）相应国家及地方的规范、规程。 3.相关文件、资料 （1）国家林草局财政部《林业草原生态保护恢复资金管理办法》（财资环〔2024〕159号）； （2）陕西省林业局《关于下达2025年林业草原生态保护恢复资金计划的通知》（陕财字〔2025〕233号）； （3）陕西省林业局《陕西省林业建设项目全流程监督管理办法（试行）的通知》（陕林财字〔2025〕13号）； （4）《林业和草原工程建设项目服务计费指导意见》（林建协〔2024〕54号）； （5）渭南市林业局《渭南市林业局关于下达2025年第二批林业草原生态保护恢复资金计划的通知》（渭林发〔2025〕90号）； （6）当地现行的定额、材料和仪器设备价格等经济技术指标； （7）《中国大鸨的生物学研究进展》、《陕西黄河湿地大鸨越冬种群受胁因素分析》等科研文献。 四.本次采购预算包括本次项目所需的大鸨等国家重点保护野生动物资源调查费、巡护设备购置费、税费等与本项目有关的所有费用。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渭南市辖区范围内（不含韩城市）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1.项目全部验收达到合格标准，符合国家相关行业规范、规程和有关技术规定。 2.供应商的每一项内容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服务质量、资金使用情况及项目成效、存在问题与建议等。 3.本项目由采购人及相关部门定期对项目进行阶段性验收。 4.按磋商文件、磋商响应文件及澄清函、项目检查情况等综合指标进行验收。各项指标均应符合验收标准及要求。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待项目全部完成并经采购人验收合格后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1.成交供应商在成交结果公告发布后3个工作日内提供叁套纸质响应文件（经编标工具生成的文件直接打印并加盖公章），递交的纸质版文件内容确保与线上电子文件保持一致，不允许修改和补充。 2.出具磋商保证金交纳凭证或担保机构出具的保函（未按磋商文件要求提供响应无效）。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1.2提供具有财务审计资质单位出具的2024年或2025年度的财务报告或响应文件提交截止时间前六个月内其基本账户银行出具的资信证明；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1.5提供供应商参加政府采购活动前三年内在经营活动中没有重大违法记录的声明；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本项目专门面向中小企业；供应商应为中型、小型或微型企业并提供中小企业声明函。（残疾人福利性企业及监狱企业视同为小型、微型企业）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供应商须具备林业调查规划设计丙级及以上资质；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供应商未列入“信用中国”网站(www.creditchina.gov.cn)失信被执行人、重大税收违法失信主体、政府采购严重违法失信行为记录名单和“中国政府采购网”(www.ccgp.gov.cn)政府采购严重违法失信行为信息记录；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供应商不得存在的情形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3）投标（响应）报价低于采购项目最高限价45%的，即投标（响应）报价采购项目最高限价×45%；（4）评审委员会基于专业判断，认为供应商报价过低，有可能影响产品质量或者不能诚信履约的其他情形。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3.供应商提交的相关说明和证明材料，应当加盖供应商（法定名称）电子印章，在评标委员会要求的时间内通过项目电子化交易系统进行提交，否则提交的相关证明材料无效。供应商不能证明其磋商报价合理性的，评标委员会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磋商响应文件签字、盖章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报价表 服务内容及服务邀请应答表.docx 商务应答表.docx 响应函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响应有效期满足磋商文件的要求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质量标准达到国家现行行业验收规范“合格”标准</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供应商提供的服务(货物)无实质性遗漏</w:t>
            </w:r>
          </w:p>
        </w:tc>
        <w:tc>
          <w:tcPr>
            <w:tcW w:type="dxa" w:w="1661"/>
          </w:tcPr>
          <w:p>
            <w:pPr>
              <w:pStyle w:val="null3"/>
            </w:pPr>
            <w:r>
              <w:rPr>
                <w:rFonts w:ascii="仿宋_GB2312" w:hAnsi="仿宋_GB2312" w:cs="仿宋_GB2312" w:eastAsia="仿宋_GB2312"/>
              </w:rPr>
              <w:t>服务方案 服务内容及服务邀请应答表.docx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一、评审内容：对本项目的理解与重难点分析，包括不限于：①对项目的理解和认识；②项目重难点分析；③合理化建议等。 二、评审标准：以上3项，以序号①、②、③为项数，内容无缺项且无缺陷的得12分，其中每有一项内容存在缺项扣4分，每项内容中每有一处存在缺陷的扣0.5分，该项分值扣完为止，未提供不得分。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一、评审内容：针对本项目的总体服务方案，包括不限于：①调查方式；②监测范围；③服务内容；④工作流程；⑤具体监测技术方案；⑥管理制度等。 二、评审标准：以上6项，以序号①、②、③、④、⑤、⑥为项数，内容无缺项、无漏项且无缺陷的得24分，其中每有一项内容存在缺项或漏项的扣4分，每项内容中每有一处存在缺陷的扣0.5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一、评审内容：针对本项目的质量保障措施，包含不限于：①质量管理体系及措施；②项目进度保障措施；③安全保证措施等。 二、评审标准：以上3项，以序号①、②、③为项数，内容无缺项、无漏项且无缺陷的得12分，其中每有一项内容存在缺项或漏项的扣5分，每项内容中每有一处存在缺陷的扣1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资料档案管理制度</w:t>
            </w:r>
          </w:p>
        </w:tc>
        <w:tc>
          <w:tcPr>
            <w:tcW w:type="dxa" w:w="2492"/>
          </w:tcPr>
          <w:p>
            <w:pPr>
              <w:pStyle w:val="null3"/>
            </w:pPr>
            <w:r>
              <w:rPr>
                <w:rFonts w:ascii="仿宋_GB2312" w:hAnsi="仿宋_GB2312" w:cs="仿宋_GB2312" w:eastAsia="仿宋_GB2312"/>
              </w:rPr>
              <w:t>一、评审内容：提供资料档案管理制度及移交方案。二、评审标准：提供详细、合理、科学可行的方案，方案符合本项目采购需求有针对性，得5分；内容存在缺陷扣1分；该项分值扣完为止，未提供不得分。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保密承诺及措施</w:t>
            </w:r>
          </w:p>
        </w:tc>
        <w:tc>
          <w:tcPr>
            <w:tcW w:type="dxa" w:w="2492"/>
          </w:tcPr>
          <w:p>
            <w:pPr>
              <w:pStyle w:val="null3"/>
            </w:pPr>
            <w:r>
              <w:rPr>
                <w:rFonts w:ascii="仿宋_GB2312" w:hAnsi="仿宋_GB2312" w:cs="仿宋_GB2312" w:eastAsia="仿宋_GB2312"/>
              </w:rPr>
              <w:t>一、评审内容：依据本项目情况，提出保密承诺及措施。二、评审标准：提供详细、合理、科学可行的方案，方案符合本项目采购需求有针对性，得5分；内容存在缺陷扣1分；该项分值扣完为止，未提供不得分。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提供具有针对突发特殊情况的应急保障措施。确保在发生紧急事件及其他问题时，能够及时、有效地解决问题，保证本项目顺利进行。二、评审标准：提供详细、合理、科学可行的方案，方案符合本项目采购需求有针对性，得5分；内容存在缺陷扣1分；该项分值扣完为止，未提供不得分。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针对本项目有详细的人员配备方案，包含不限于：①健全的组织机构及工作安排；②岗位分工明确（有具体成员名单、包括姓名、工作经验、工作职责、联系方式等）。二、评审标准：提供详细、合理、科学可行的方案，方案符合本合同包采购需求有针对性，以上2项，以序号①、②为项数，内容无缺项、无漏项且无缺陷的得8分，其中每有一项内容存在缺项或漏项的扣4分，每项内容中每有一处存在缺陷的扣0.5分，该项分值扣完为止，未提供不得分。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项目负责人具有中级及以上相关专业职称，得2分，（需提供证书复印件，同时需提供项目负责人近1年内任意1个月交纳社会保险的凭据复印件或劳动合同复印件，均需加盖供应商单位公章。）提供不全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起至今类似项目业绩，每提供一项得2分，最高得4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价格分采用低价优先法计算，即满足采购文件要求且投标报价最低的投标报价为评标基准价，其价格分为满分。其他供应商的价格得分统一按照下列公式计算： 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