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版本号：XDZ2026-262-J-5320260814001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宗地GX3-29-57地块围墙圈建工程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XDZ2026-262-J-53</w:t>
      </w:r>
      <w:r>
        <w:br/>
      </w:r>
      <w:r>
        <w:br/>
      </w:r>
      <w:r>
        <w:br/>
      </w:r>
    </w:p>
    <w:p>
      <w:pPr>
        <w:pStyle w:val="null3"/>
        <w:jc w:val="center"/>
        <w:outlineLvl w:val="2"/>
      </w:pPr>
      <w:r>
        <w:rPr>
          <w:rFonts w:ascii="仿宋_GB2312" w:hAnsi="仿宋_GB2312" w:cs="仿宋_GB2312" w:eastAsia="仿宋_GB2312"/>
          <w:sz w:val="28"/>
          <w:b/>
        </w:rPr>
        <w:t>西安市长安区五星街道办事处</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西安市长安区五星街道办事处</w:t>
      </w:r>
      <w:r>
        <w:rPr>
          <w:rFonts w:ascii="仿宋_GB2312" w:hAnsi="仿宋_GB2312" w:cs="仿宋_GB2312" w:eastAsia="仿宋_GB2312"/>
        </w:rPr>
        <w:t>委托，拟对</w:t>
      </w:r>
      <w:r>
        <w:rPr>
          <w:rFonts w:ascii="仿宋_GB2312" w:hAnsi="仿宋_GB2312" w:cs="仿宋_GB2312" w:eastAsia="仿宋_GB2312"/>
        </w:rPr>
        <w:t>宗地GX3-29-57地块围墙圈建工程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XDZ2026-262-J-53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宗地GX3-29-57地块围墙圈建工程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根据围墙圈建范围，需要先行拆除并清理已破损的旧环保预制围墙，新建新型水泥板围墙，圈建地块面积290.863亩，圈建围墙长度约为1900米，旧围墙拆除及垃圾清理约400立方米。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采购包1（宗地GX3-29-57地块围墙圈建工程）：属于专门面向中小企业采购。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2、资质证书：供应商具备建筑工程施工总承包三级及以上资质，同时具有合格有效的安全生产许可证；</w:t>
      </w:r>
    </w:p>
    <w:p>
      <w:pPr>
        <w:pStyle w:val="null3"/>
      </w:pPr>
      <w:r>
        <w:rPr>
          <w:rFonts w:ascii="仿宋_GB2312" w:hAnsi="仿宋_GB2312" w:cs="仿宋_GB2312" w:eastAsia="仿宋_GB2312"/>
        </w:rPr>
        <w:t>3、项目经理：拟派项目经理具备建筑工程专业二级及以上注册建造师执业资格且在本单位注册，具有有效的安全生产考核合格证，且未担任其他在建工程项目的项目经理（提供无在建承诺书）；</w:t>
      </w:r>
    </w:p>
    <w:p>
      <w:pPr>
        <w:pStyle w:val="null3"/>
      </w:pPr>
      <w:r>
        <w:rPr>
          <w:rFonts w:ascii="仿宋_GB2312" w:hAnsi="仿宋_GB2312" w:cs="仿宋_GB2312" w:eastAsia="仿宋_GB2312"/>
        </w:rPr>
        <w:t>4、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西安市长安区五星街道办事处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西安市长安区五星街道进五路1号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029-85860304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采购包1：853,200.00元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国家发展和改革委员会办公厅颁发的《关于招标代理服务收费有关问题的通知》（发改办价格〔2003〕857号）的有关规定执行。 收款单位：陕西蒿天项目管理有限公司 开户行：中国建设银行股份有限公司西安锦园新世纪支行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西安市长安区五星街道办事处</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西安市长安区五星街道办事处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西安市长安区五星街道办事处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853,200.00</w:t>
      </w:r>
    </w:p>
    <w:p>
      <w:pPr>
        <w:pStyle w:val="null3"/>
      </w:pPr>
      <w:r>
        <w:rPr>
          <w:rFonts w:ascii="仿宋_GB2312" w:hAnsi="仿宋_GB2312" w:cs="仿宋_GB2312" w:eastAsia="仿宋_GB2312"/>
        </w:rPr>
        <w:t>采购包最高限价（元）: 853,200.00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宗地GX3-29-57地块围墙圈建工程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853,200.00</w:t>
            </w:r>
          </w:p>
        </w:tc>
        <w:tc>
          <w:tcPr>
            <w:tcW w:type="dxa" w:w="1384"/>
          </w:tcPr>
          <w:p>
            <w:pPr>
              <w:pStyle w:val="null3"/>
            </w:pPr>
            <w:r>
              <w:rPr>
                <w:rFonts w:ascii="仿宋_GB2312" w:hAnsi="仿宋_GB2312" w:cs="仿宋_GB2312" w:eastAsia="仿宋_GB2312"/>
              </w:rPr>
              <w:t>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标的名称：宗地GX3-29-57地块围墙圈建工程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工程概况：</w:t>
            </w:r>
          </w:p>
          <w:p>
            <w:pPr>
              <w:pStyle w:val="null3"/>
            </w:pPr>
            <w:r>
              <w:rPr>
                <w:rFonts w:ascii="仿宋_GB2312" w:hAnsi="仿宋_GB2312" w:cs="仿宋_GB2312" w:eastAsia="仿宋_GB2312"/>
              </w:rPr>
              <w:t>根据围墙圈建范围，需要先行拆除并清理已破损的旧环保预制围墙，新建新型水泥板围墙，圈建地块面积290.863亩，圈建围墙长度约为1900米，旧围墙拆除及垃圾清理约400立方米。</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商务条款：</w:t>
            </w:r>
          </w:p>
          <w:p>
            <w:pPr>
              <w:pStyle w:val="null3"/>
            </w:pPr>
            <w:r>
              <w:rPr>
                <w:rFonts w:ascii="仿宋_GB2312" w:hAnsi="仿宋_GB2312" w:cs="仿宋_GB2312" w:eastAsia="仿宋_GB2312"/>
              </w:rPr>
              <w:t>1.施工地点：采购人指定地点。</w:t>
            </w:r>
          </w:p>
          <w:p>
            <w:pPr>
              <w:pStyle w:val="null3"/>
            </w:pPr>
            <w:r>
              <w:rPr>
                <w:rFonts w:ascii="仿宋_GB2312" w:hAnsi="仿宋_GB2312" w:cs="仿宋_GB2312" w:eastAsia="仿宋_GB2312"/>
              </w:rPr>
              <w:t>2.工期：自签订合同之日起30日历天内完成全部施工内容。</w:t>
            </w:r>
          </w:p>
          <w:p>
            <w:pPr>
              <w:pStyle w:val="null3"/>
            </w:pPr>
            <w:r>
              <w:rPr>
                <w:rFonts w:ascii="仿宋_GB2312" w:hAnsi="仿宋_GB2312" w:cs="仿宋_GB2312" w:eastAsia="仿宋_GB2312"/>
              </w:rPr>
              <w:t>3.质量保修期：2年。</w:t>
            </w:r>
          </w:p>
          <w:p>
            <w:pPr>
              <w:pStyle w:val="null3"/>
            </w:pPr>
            <w:r>
              <w:rPr>
                <w:rFonts w:ascii="仿宋_GB2312" w:hAnsi="仿宋_GB2312" w:cs="仿宋_GB2312" w:eastAsia="仿宋_GB2312"/>
              </w:rPr>
              <w:t>4.本工程缺陷责任期：24个月</w:t>
            </w:r>
          </w:p>
          <w:p>
            <w:pPr>
              <w:pStyle w:val="null3"/>
            </w:pPr>
            <w:r>
              <w:rPr>
                <w:rFonts w:ascii="仿宋_GB2312" w:hAnsi="仿宋_GB2312" w:cs="仿宋_GB2312" w:eastAsia="仿宋_GB2312"/>
              </w:rPr>
              <w:t>5.质量标准：符合国家现行有关施工质量验收规范“合格”要求。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技术要求：</w:t>
            </w:r>
          </w:p>
          <w:p>
            <w:pPr>
              <w:pStyle w:val="null3"/>
            </w:pPr>
            <w:r>
              <w:rPr>
                <w:rFonts w:ascii="仿宋_GB2312" w:hAnsi="仿宋_GB2312" w:cs="仿宋_GB2312" w:eastAsia="仿宋_GB2312"/>
              </w:rPr>
              <w:t>标准：水泥板围墙材质水泥，沙子，石硝压缩而成；施工环保围墙；每块墙体的长度约2.1m，高约2.15m。墙板长约2m，厚约4.5cm左右；立柱为正方形柱体，规格统一，边长约15公分，长2.6米。要求安全、结实、耐腐蚀。</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限价要求：</w:t>
            </w:r>
          </w:p>
          <w:p>
            <w:pPr>
              <w:pStyle w:val="null3"/>
            </w:pPr>
            <w:r>
              <w:rPr>
                <w:rFonts w:ascii="仿宋_GB2312" w:hAnsi="仿宋_GB2312" w:cs="仿宋_GB2312" w:eastAsia="仿宋_GB2312"/>
              </w:rPr>
              <w:t>旧围墙拆除及垃圾清理限价：100元/m3（需拆除旧围墙约560米，运距暂按45公里算）；</w:t>
            </w:r>
          </w:p>
          <w:p>
            <w:pPr>
              <w:pStyle w:val="null3"/>
            </w:pPr>
            <w:r>
              <w:rPr>
                <w:rFonts w:ascii="仿宋_GB2312" w:hAnsi="仿宋_GB2312" w:cs="仿宋_GB2312" w:eastAsia="仿宋_GB2312"/>
              </w:rPr>
              <w:t>围墙圈建限价：428元/米；</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施工单位要严格按照技术规范执行围墙圈建作业，必须在指定作业区域内施工，不得擅自变更作业地点，另自行协调与周边村庄关系。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供应商应为中小微企业或监狱企业或残疾人福利性单位。2.本项目属性为工程。3.本项目合同包1采购标的所属行业为：建筑业；4.本项目是否属于信用担保试点范围：否。5.本项目为固定单价合同。6.磋商中出现下列情形之一的，磋商小组应当启动异常低价投标(响应)审查程序：（1）投标(响应)报价低于全部通过符合性审查供应商投标(响应)报价平均值50%的，即投标(响应)报价〈全部通过符合性审查供应商投标(响应)报价平均值X50%；（2）投标(响应)报价低于通过符合性审查的次低报价供应商投标(响应)报价50%的，即投标(响应)报价〈通过符合性审查的次低报价供应商投标(响应)报价X50%；（3）投标(响应)报价低于采购项目最高限价45%的，即投标(响应)报价&lt;采购项目最高限价X45%；（4）磋商小组基于专业判断，认为供应商报价过低，有可能影响产品质量或者不能诚信履约的其他情形。磋商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磋商小组借助互联网等渠道查询相关信息的，应当严格遵守评审工作纪律，不得实施影响评审公正的行为。异常低价投标(响应)审查的启动原因、审查意见和审查结果应当在评审报告中记录，并随供应商提供的相关书面说明及证明材料，以及磋商小组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2026年02月至今已缴纳的至少一个月的纳税证明或完税证明（任意税种），依法免税的单位应提供相关证明材料；3.提供2026年02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供应商具备建筑工程施工总承包三级及以上资质，同时具有合格有效的安全生产许可证；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拟派项目经理具备建筑工程专业二级及以上注册建造师执业资格且在本单位注册，具有有效的安全生产考核合格证，且未担任其他在建工程项目的项目经理（提供无在建承诺书）；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依据财库〔2026〕2号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已标价工程量清单 中小企业声明函 资格证明文件.docx 强制优先采购产品承诺函 响应文件封面 项目管理机构组成表 残疾人福利性单位声明函 报价函 其它说明.docx 标的清单 响应函 主要人员简历表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应满足磋商文件中要求的工期。</w:t>
            </w:r>
          </w:p>
        </w:tc>
        <w:tc>
          <w:tcPr>
            <w:tcW w:type="dxa" w:w="1661"/>
          </w:tcPr>
          <w:p>
            <w:pPr>
              <w:pStyle w:val="null3"/>
            </w:pPr>
            <w:r>
              <w:rPr>
                <w:rFonts w:ascii="仿宋_GB2312" w:hAnsi="仿宋_GB2312" w:cs="仿宋_GB2312" w:eastAsia="仿宋_GB2312"/>
              </w:rPr>
              <w:t>其它说明.docx 响应函 商务条款偏离表.docx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其它说明.docx 响应函 商务条款偏离表.docx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施工组织部分1</w:t>
            </w:r>
          </w:p>
        </w:tc>
        <w:tc>
          <w:tcPr>
            <w:tcW w:type="dxa" w:w="2492"/>
          </w:tcPr>
          <w:p>
            <w:pPr>
              <w:pStyle w:val="null3"/>
            </w:pPr>
            <w:r>
              <w:rPr>
                <w:rFonts w:ascii="仿宋_GB2312" w:hAnsi="仿宋_GB2312" w:cs="仿宋_GB2312" w:eastAsia="仿宋_GB2312"/>
              </w:rPr>
              <w:t>一、评审内容 针对本项目编制完善的施工方案，方案内容包含但不限于：①施工目标：成本目标、工期目标、质量目标；②施工准备：技术准备、材料准备、机械设备、机具准备；③施工平面布置与安排：现场围挡及出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施工组织部分2</w:t>
            </w:r>
          </w:p>
        </w:tc>
        <w:tc>
          <w:tcPr>
            <w:tcW w:type="dxa" w:w="2492"/>
          </w:tcPr>
          <w:p>
            <w:pPr>
              <w:pStyle w:val="null3"/>
            </w:pPr>
            <w:r>
              <w:rPr>
                <w:rFonts w:ascii="仿宋_GB2312" w:hAnsi="仿宋_GB2312" w:cs="仿宋_GB2312" w:eastAsia="仿宋_GB2312"/>
              </w:rPr>
              <w:t>一、评审内容 针对本项目编制完善的质量保证措施，方案内容包含但不限于：①质量目标管理体系；②确保质量的技术组织措施；③施工质量控制措施等内容。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施工组织部分3</w:t>
            </w:r>
          </w:p>
        </w:tc>
        <w:tc>
          <w:tcPr>
            <w:tcW w:type="dxa" w:w="2492"/>
          </w:tcPr>
          <w:p>
            <w:pPr>
              <w:pStyle w:val="null3"/>
            </w:pPr>
            <w:r>
              <w:rPr>
                <w:rFonts w:ascii="仿宋_GB2312" w:hAnsi="仿宋_GB2312" w:cs="仿宋_GB2312" w:eastAsia="仿宋_GB2312"/>
              </w:rPr>
              <w:t>一、评审内容 针对本项目编制完善的施工机械配备和材料投入计划，方案内容包含但不限于：①劳动力资源配置计划；②施工机械设备投入计划；③主要施工材料供应计划等内容。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施工组织部分4</w:t>
            </w:r>
          </w:p>
        </w:tc>
        <w:tc>
          <w:tcPr>
            <w:tcW w:type="dxa" w:w="2492"/>
          </w:tcPr>
          <w:p>
            <w:pPr>
              <w:pStyle w:val="null3"/>
            </w:pPr>
            <w:r>
              <w:rPr>
                <w:rFonts w:ascii="仿宋_GB2312" w:hAnsi="仿宋_GB2312" w:cs="仿宋_GB2312" w:eastAsia="仿宋_GB2312"/>
              </w:rPr>
              <w:t>一、评审内容 针对本项目编制完整的安全施工措施，方案内容包含但不限于：①安全生产管理制度；②安全施工措施；③安全生产教育等内容。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施工组织部分5</w:t>
            </w:r>
          </w:p>
        </w:tc>
        <w:tc>
          <w:tcPr>
            <w:tcW w:type="dxa" w:w="2492"/>
          </w:tcPr>
          <w:p>
            <w:pPr>
              <w:pStyle w:val="null3"/>
            </w:pPr>
            <w:r>
              <w:rPr>
                <w:rFonts w:ascii="仿宋_GB2312" w:hAnsi="仿宋_GB2312" w:cs="仿宋_GB2312" w:eastAsia="仿宋_GB2312"/>
              </w:rPr>
              <w:t>一、评审内容 针对本项目编制完整的文明施工措施，方案内容包含但不限于：①文明施工管理目标及技术措施；②文明施工现场管理：材料管理、扰民措施等内容。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施工组织部分6</w:t>
            </w:r>
          </w:p>
        </w:tc>
        <w:tc>
          <w:tcPr>
            <w:tcW w:type="dxa" w:w="2492"/>
          </w:tcPr>
          <w:p>
            <w:pPr>
              <w:pStyle w:val="null3"/>
            </w:pPr>
            <w:r>
              <w:rPr>
                <w:rFonts w:ascii="仿宋_GB2312" w:hAnsi="仿宋_GB2312" w:cs="仿宋_GB2312" w:eastAsia="仿宋_GB2312"/>
              </w:rPr>
              <w:t>一、评审内容 针对本项目编制科学的项目管理机构，方案内容包含但不限于：①管理机构的配备计划；②组织机构的岗位职责等内容。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施工组织部分7</w:t>
            </w:r>
          </w:p>
        </w:tc>
        <w:tc>
          <w:tcPr>
            <w:tcW w:type="dxa" w:w="2492"/>
          </w:tcPr>
          <w:p>
            <w:pPr>
              <w:pStyle w:val="null3"/>
            </w:pPr>
            <w:r>
              <w:rPr>
                <w:rFonts w:ascii="仿宋_GB2312" w:hAnsi="仿宋_GB2312" w:cs="仿宋_GB2312" w:eastAsia="仿宋_GB2312"/>
              </w:rPr>
              <w:t>一、评审内容 针对本项目编制完善的施工进度计划，方案内容包含但不限于：①施工进度计划横道图；②进度计划保证措施；③工期保证措施等内容。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9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针对本项目编制保修方案，方案内容包含但不限于：①工程验收方案；②保修责任及保修承诺等内容。 二、评审标准 1.完整性：方案须全面，对评审内容中的各项要求有详细描述及说明； 2.可实施性：切合本项目实际情况，实施步骤清晰、合理； 3.针对性：方案能够紧扣项目实际情况，内容科学合理。 三、赋分标准 每项评审内容，每项评审内容每完全满足一项评审标准得1分，每项评审内容每有一处缺陷扣0.5分，未提供得0分，满分6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其它说明.docx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01月01日至今类似项目业绩，每提供1份得2分，最高得4分；业绩证明（以合同（协议）或中标（成交）通知书，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详见附件：西安市长安区五星街道办事处宗地GX3-29-57地块围墙圈建工程施工合同.docx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