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B3E154">
      <w:pPr>
        <w:pStyle w:val="4"/>
        <w:rPr>
          <w:rFonts w:hint="eastAsia" w:asciiTheme="minorEastAsia" w:hAnsiTheme="minorEastAsia" w:eastAsiaTheme="minorEastAsia"/>
          <w:color w:val="auto"/>
        </w:rPr>
      </w:pPr>
      <w:r>
        <w:rPr>
          <w:rFonts w:asciiTheme="minorEastAsia" w:hAnsiTheme="minorEastAsia" w:eastAsiaTheme="minorEastAsia"/>
          <w:color w:val="auto"/>
        </w:rPr>
        <w:t>详见附件：磋商方案</w:t>
      </w:r>
    </w:p>
    <w:p w14:paraId="44400746">
      <w:pPr>
        <w:spacing w:line="360" w:lineRule="auto"/>
        <w:jc w:val="center"/>
        <w:rPr>
          <w:rFonts w:hint="eastAsia" w:cs="宋体" w:asciiTheme="minorEastAsia" w:hAnsiTheme="minorEastAsia"/>
          <w:b/>
          <w:bCs/>
          <w:color w:val="auto"/>
          <w:sz w:val="28"/>
          <w:szCs w:val="28"/>
        </w:rPr>
      </w:pPr>
      <w:r>
        <w:rPr>
          <w:rFonts w:hint="eastAsia" w:cs="宋体" w:asciiTheme="minorEastAsia" w:hAnsiTheme="minorEastAsia"/>
          <w:b/>
          <w:bCs/>
          <w:color w:val="auto"/>
          <w:sz w:val="28"/>
          <w:szCs w:val="28"/>
        </w:rPr>
        <w:t>磋商方案</w:t>
      </w:r>
    </w:p>
    <w:p w14:paraId="41DF06F6">
      <w:pPr>
        <w:spacing w:line="360" w:lineRule="auto"/>
        <w:ind w:firstLine="480" w:firstLineChars="200"/>
        <w:rPr>
          <w:rFonts w:hint="eastAsia" w:cs="宋体" w:asciiTheme="minorEastAsia" w:hAnsiTheme="minorEastAsia"/>
          <w:color w:val="auto"/>
          <w:sz w:val="24"/>
        </w:rPr>
      </w:pPr>
      <w:r>
        <w:rPr>
          <w:rFonts w:hint="eastAsia" w:cs="宋体" w:asciiTheme="minorEastAsia" w:hAnsiTheme="minorEastAsia"/>
          <w:color w:val="auto"/>
          <w:sz w:val="24"/>
        </w:rPr>
        <w:t>1.供应商编制的施工组织设计包含以下内容：</w:t>
      </w:r>
    </w:p>
    <w:p w14:paraId="1E24D6F7">
      <w:pPr>
        <w:spacing w:line="360" w:lineRule="auto"/>
        <w:ind w:firstLine="480" w:firstLineChars="200"/>
        <w:rPr>
          <w:rFonts w:hint="eastAsia" w:cs="宋体" w:asciiTheme="minorEastAsia" w:hAnsiTheme="minorEastAsia"/>
          <w:color w:val="auto"/>
          <w:sz w:val="24"/>
        </w:rPr>
      </w:pPr>
      <w:r>
        <w:rPr>
          <w:rFonts w:hint="eastAsia" w:cs="宋体" w:asciiTheme="minorEastAsia" w:hAnsiTheme="minorEastAsia"/>
          <w:color w:val="auto"/>
          <w:sz w:val="24"/>
        </w:rPr>
        <w:t>（1）评审办法要求的内容；</w:t>
      </w:r>
    </w:p>
    <w:p w14:paraId="3104110A">
      <w:pPr>
        <w:spacing w:line="360" w:lineRule="auto"/>
        <w:ind w:firstLine="480" w:firstLineChars="200"/>
        <w:rPr>
          <w:rFonts w:hint="eastAsia" w:cs="宋体" w:asciiTheme="minorEastAsia" w:hAnsiTheme="minorEastAsia"/>
          <w:color w:val="auto"/>
          <w:sz w:val="24"/>
        </w:rPr>
      </w:pPr>
      <w:r>
        <w:rPr>
          <w:rFonts w:hint="eastAsia" w:cs="宋体" w:asciiTheme="minorEastAsia" w:hAnsiTheme="minorEastAsia"/>
          <w:color w:val="auto"/>
          <w:sz w:val="24"/>
        </w:rPr>
        <w:t>（2）服务承诺；</w:t>
      </w:r>
    </w:p>
    <w:p w14:paraId="6E37AFFB">
      <w:pPr>
        <w:spacing w:line="360" w:lineRule="auto"/>
        <w:ind w:firstLine="480" w:firstLineChars="200"/>
        <w:rPr>
          <w:rFonts w:hint="eastAsia" w:cs="宋体" w:asciiTheme="minorEastAsia" w:hAnsiTheme="minorEastAsia"/>
          <w:color w:val="auto"/>
          <w:sz w:val="24"/>
        </w:rPr>
      </w:pPr>
      <w:r>
        <w:rPr>
          <w:rFonts w:hint="eastAsia" w:cs="宋体" w:asciiTheme="minorEastAsia" w:hAnsiTheme="minorEastAsia"/>
          <w:color w:val="auto"/>
          <w:sz w:val="24"/>
        </w:rPr>
        <w:t>2.施工组织设计除采用文字表述外可附下列图表，图表及格式要求附后。</w:t>
      </w:r>
    </w:p>
    <w:p w14:paraId="262B5FEB">
      <w:pPr>
        <w:spacing w:line="360" w:lineRule="auto"/>
        <w:ind w:firstLine="480" w:firstLineChars="200"/>
        <w:rPr>
          <w:rFonts w:hint="eastAsia" w:cs="宋体" w:asciiTheme="minorEastAsia" w:hAnsiTheme="minorEastAsia"/>
          <w:color w:val="auto"/>
          <w:sz w:val="24"/>
        </w:rPr>
      </w:pPr>
      <w:r>
        <w:rPr>
          <w:rFonts w:hint="eastAsia" w:cs="宋体" w:asciiTheme="minorEastAsia" w:hAnsiTheme="minorEastAsia"/>
          <w:color w:val="auto"/>
          <w:sz w:val="24"/>
        </w:rPr>
        <w:t>附表一：拟投入本工程的主要施工设备表；</w:t>
      </w:r>
    </w:p>
    <w:p w14:paraId="0B0E803A">
      <w:pPr>
        <w:spacing w:line="360" w:lineRule="auto"/>
        <w:ind w:firstLine="480" w:firstLineChars="200"/>
        <w:rPr>
          <w:rFonts w:hint="eastAsia" w:cs="宋体" w:asciiTheme="minorEastAsia" w:hAnsiTheme="minorEastAsia"/>
          <w:color w:val="auto"/>
          <w:sz w:val="24"/>
        </w:rPr>
      </w:pPr>
      <w:r>
        <w:rPr>
          <w:rFonts w:hint="eastAsia" w:cs="宋体" w:asciiTheme="minorEastAsia" w:hAnsiTheme="minorEastAsia"/>
          <w:color w:val="auto"/>
          <w:sz w:val="24"/>
        </w:rPr>
        <w:t>附表二：拟配备本工程的试验和检测仪器设备表；</w:t>
      </w:r>
    </w:p>
    <w:p w14:paraId="511D7B64">
      <w:pPr>
        <w:spacing w:line="360" w:lineRule="auto"/>
        <w:ind w:firstLine="480" w:firstLineChars="200"/>
        <w:rPr>
          <w:rFonts w:hint="eastAsia" w:cs="宋体" w:asciiTheme="minorEastAsia" w:hAnsiTheme="minorEastAsia"/>
          <w:color w:val="auto"/>
          <w:sz w:val="24"/>
        </w:rPr>
      </w:pPr>
      <w:r>
        <w:rPr>
          <w:rFonts w:hint="eastAsia" w:cs="宋体" w:asciiTheme="minorEastAsia" w:hAnsiTheme="minorEastAsia"/>
          <w:color w:val="auto"/>
          <w:sz w:val="24"/>
        </w:rPr>
        <w:t>附表三：劳动力计划表；</w:t>
      </w:r>
    </w:p>
    <w:p w14:paraId="54C1A0DA">
      <w:pPr>
        <w:spacing w:line="360" w:lineRule="auto"/>
        <w:ind w:firstLine="480" w:firstLineChars="200"/>
        <w:rPr>
          <w:rFonts w:hint="eastAsia" w:cs="宋体" w:asciiTheme="minorEastAsia" w:hAnsiTheme="minorEastAsia"/>
          <w:color w:val="auto"/>
          <w:sz w:val="24"/>
        </w:rPr>
      </w:pPr>
      <w:r>
        <w:rPr>
          <w:rFonts w:hint="eastAsia" w:cs="宋体" w:asciiTheme="minorEastAsia" w:hAnsiTheme="minorEastAsia"/>
          <w:color w:val="auto"/>
          <w:sz w:val="24"/>
        </w:rPr>
        <w:t>附表四：计划开、竣工日期和施工进度网络图；</w:t>
      </w:r>
    </w:p>
    <w:p w14:paraId="14A839D0">
      <w:pPr>
        <w:spacing w:line="360" w:lineRule="auto"/>
        <w:ind w:firstLine="480" w:firstLineChars="200"/>
        <w:rPr>
          <w:rFonts w:hint="eastAsia" w:cs="宋体" w:asciiTheme="minorEastAsia" w:hAnsiTheme="minorEastAsia"/>
          <w:color w:val="auto"/>
          <w:sz w:val="24"/>
        </w:rPr>
      </w:pPr>
      <w:r>
        <w:rPr>
          <w:rFonts w:hint="eastAsia" w:cs="宋体" w:asciiTheme="minorEastAsia" w:hAnsiTheme="minorEastAsia"/>
          <w:color w:val="auto"/>
          <w:sz w:val="24"/>
        </w:rPr>
        <w:t>附表五：临时用地表</w:t>
      </w:r>
      <w:r>
        <w:rPr>
          <w:rFonts w:cs="宋体" w:asciiTheme="minorEastAsia" w:hAnsiTheme="minorEastAsia"/>
          <w:color w:val="auto"/>
          <w:sz w:val="24"/>
        </w:rPr>
        <w:t>；</w:t>
      </w:r>
    </w:p>
    <w:p w14:paraId="7CDA1543">
      <w:pPr>
        <w:rPr>
          <w:rFonts w:hint="eastAsia" w:asciiTheme="minorEastAsia" w:hAnsiTheme="minorEastAsia"/>
          <w:color w:val="auto"/>
        </w:rPr>
      </w:pPr>
    </w:p>
    <w:p w14:paraId="041D03F1">
      <w:pPr>
        <w:rPr>
          <w:rFonts w:hint="eastAsia" w:asciiTheme="minorEastAsia" w:hAnsiTheme="minorEastAsia"/>
          <w:color w:val="auto"/>
        </w:rPr>
        <w:sectPr>
          <w:pgSz w:w="11906" w:h="16838"/>
          <w:pgMar w:top="1418" w:right="1134" w:bottom="1418" w:left="1418" w:header="851" w:footer="992" w:gutter="0"/>
          <w:pgNumType w:fmt="decimal"/>
          <w:cols w:space="0" w:num="1"/>
          <w:docGrid w:type="lines" w:linePitch="312" w:charSpace="0"/>
        </w:sectPr>
      </w:pPr>
    </w:p>
    <w:p w14:paraId="084738DA">
      <w:pPr>
        <w:spacing w:before="156" w:beforeLines="50" w:after="312" w:afterLines="100" w:line="420" w:lineRule="exact"/>
        <w:rPr>
          <w:rFonts w:hint="eastAsia" w:cs="宋体" w:asciiTheme="minorEastAsia" w:hAnsiTheme="minorEastAsia"/>
          <w:b/>
          <w:bCs/>
          <w:color w:val="auto"/>
          <w:sz w:val="24"/>
        </w:rPr>
      </w:pPr>
      <w:r>
        <w:rPr>
          <w:rFonts w:hint="eastAsia" w:cs="宋体" w:asciiTheme="minorEastAsia" w:hAnsiTheme="minorEastAsia"/>
          <w:b/>
          <w:bCs/>
          <w:color w:val="auto"/>
          <w:sz w:val="24"/>
        </w:rPr>
        <w:t>附表1：拟投入本工程的主要施工设备表</w:t>
      </w:r>
    </w:p>
    <w:tbl>
      <w:tblPr>
        <w:tblStyle w:val="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8"/>
        <w:gridCol w:w="1002"/>
        <w:gridCol w:w="890"/>
        <w:gridCol w:w="636"/>
        <w:gridCol w:w="1018"/>
        <w:gridCol w:w="1018"/>
        <w:gridCol w:w="1654"/>
        <w:gridCol w:w="1526"/>
      </w:tblGrid>
      <w:tr w14:paraId="082594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457" w:type="pct"/>
            <w:vAlign w:val="center"/>
          </w:tcPr>
          <w:p w14:paraId="11A52328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</w:rPr>
              <w:t>序号</w:t>
            </w:r>
          </w:p>
        </w:tc>
        <w:tc>
          <w:tcPr>
            <w:tcW w:w="588" w:type="pct"/>
            <w:vAlign w:val="center"/>
          </w:tcPr>
          <w:p w14:paraId="432B565D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</w:rPr>
              <w:t>设备</w:t>
            </w:r>
          </w:p>
          <w:p w14:paraId="00E63145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</w:rPr>
              <w:t>名称</w:t>
            </w:r>
          </w:p>
        </w:tc>
        <w:tc>
          <w:tcPr>
            <w:tcW w:w="522" w:type="pct"/>
            <w:vAlign w:val="center"/>
          </w:tcPr>
          <w:p w14:paraId="7749D034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</w:rPr>
              <w:t>型号</w:t>
            </w:r>
          </w:p>
          <w:p w14:paraId="6482EECA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</w:rPr>
              <w:t>规格</w:t>
            </w:r>
          </w:p>
        </w:tc>
        <w:tc>
          <w:tcPr>
            <w:tcW w:w="373" w:type="pct"/>
            <w:vAlign w:val="center"/>
          </w:tcPr>
          <w:p w14:paraId="429FE6E3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</w:rPr>
              <w:t>数量</w:t>
            </w:r>
          </w:p>
        </w:tc>
        <w:tc>
          <w:tcPr>
            <w:tcW w:w="597" w:type="pct"/>
            <w:vAlign w:val="center"/>
          </w:tcPr>
          <w:p w14:paraId="56B6B5BC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</w:rPr>
              <w:t>国别</w:t>
            </w:r>
          </w:p>
          <w:p w14:paraId="1936696D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</w:rPr>
              <w:t>产地</w:t>
            </w:r>
          </w:p>
        </w:tc>
        <w:tc>
          <w:tcPr>
            <w:tcW w:w="597" w:type="pct"/>
            <w:vAlign w:val="center"/>
          </w:tcPr>
          <w:p w14:paraId="7C5D745B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</w:rPr>
              <w:t>额定功率</w:t>
            </w:r>
          </w:p>
          <w:p w14:paraId="41445E66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</w:rPr>
              <w:t>（KW）</w:t>
            </w:r>
          </w:p>
        </w:tc>
        <w:tc>
          <w:tcPr>
            <w:tcW w:w="970" w:type="pct"/>
            <w:vAlign w:val="center"/>
          </w:tcPr>
          <w:p w14:paraId="20D99B17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</w:rPr>
              <w:t>用于施工部位</w:t>
            </w:r>
          </w:p>
        </w:tc>
        <w:tc>
          <w:tcPr>
            <w:tcW w:w="895" w:type="pct"/>
            <w:vAlign w:val="center"/>
          </w:tcPr>
          <w:p w14:paraId="637868E3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</w:rPr>
              <w:t>备注</w:t>
            </w:r>
          </w:p>
        </w:tc>
      </w:tr>
      <w:tr w14:paraId="4A6AA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4D1F14E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8" w:type="pct"/>
            <w:vAlign w:val="center"/>
          </w:tcPr>
          <w:p w14:paraId="3A3F7EE8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22" w:type="pct"/>
            <w:vAlign w:val="center"/>
          </w:tcPr>
          <w:p w14:paraId="3A780F7D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373" w:type="pct"/>
            <w:vAlign w:val="center"/>
          </w:tcPr>
          <w:p w14:paraId="1776C533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25841D72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49CD4DD7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70" w:type="pct"/>
            <w:vAlign w:val="center"/>
          </w:tcPr>
          <w:p w14:paraId="1743F028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895" w:type="pct"/>
            <w:vAlign w:val="center"/>
          </w:tcPr>
          <w:p w14:paraId="03BC90F9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0227F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35081274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8" w:type="pct"/>
            <w:vAlign w:val="center"/>
          </w:tcPr>
          <w:p w14:paraId="33ACCF92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22" w:type="pct"/>
            <w:vAlign w:val="center"/>
          </w:tcPr>
          <w:p w14:paraId="02FBE740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373" w:type="pct"/>
            <w:vAlign w:val="center"/>
          </w:tcPr>
          <w:p w14:paraId="04C345A5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27DE331F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1420556F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70" w:type="pct"/>
            <w:vAlign w:val="center"/>
          </w:tcPr>
          <w:p w14:paraId="7FE57F49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895" w:type="pct"/>
            <w:vAlign w:val="center"/>
          </w:tcPr>
          <w:p w14:paraId="024D7592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4BEC7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66580CA0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8" w:type="pct"/>
            <w:vAlign w:val="center"/>
          </w:tcPr>
          <w:p w14:paraId="4B2CE3CB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22" w:type="pct"/>
            <w:vAlign w:val="center"/>
          </w:tcPr>
          <w:p w14:paraId="564ADE3A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373" w:type="pct"/>
            <w:vAlign w:val="center"/>
          </w:tcPr>
          <w:p w14:paraId="01D703CC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26EC5384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4D36AB8F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70" w:type="pct"/>
            <w:vAlign w:val="center"/>
          </w:tcPr>
          <w:p w14:paraId="44FAEBFC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895" w:type="pct"/>
            <w:vAlign w:val="center"/>
          </w:tcPr>
          <w:p w14:paraId="120E6781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496F7B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12628E22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8" w:type="pct"/>
            <w:vAlign w:val="center"/>
          </w:tcPr>
          <w:p w14:paraId="4FE49913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22" w:type="pct"/>
            <w:vAlign w:val="center"/>
          </w:tcPr>
          <w:p w14:paraId="48DFBBDF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373" w:type="pct"/>
            <w:vAlign w:val="center"/>
          </w:tcPr>
          <w:p w14:paraId="6537E31A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045F94C1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4E121F63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70" w:type="pct"/>
            <w:vAlign w:val="center"/>
          </w:tcPr>
          <w:p w14:paraId="554436B5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895" w:type="pct"/>
            <w:vAlign w:val="center"/>
          </w:tcPr>
          <w:p w14:paraId="47EA9C51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22474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2056C146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8" w:type="pct"/>
            <w:vAlign w:val="center"/>
          </w:tcPr>
          <w:p w14:paraId="441E97BA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22" w:type="pct"/>
            <w:vAlign w:val="center"/>
          </w:tcPr>
          <w:p w14:paraId="25F00410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373" w:type="pct"/>
            <w:vAlign w:val="center"/>
          </w:tcPr>
          <w:p w14:paraId="3E0E5D21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6FD15671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6BFCAA09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70" w:type="pct"/>
            <w:vAlign w:val="center"/>
          </w:tcPr>
          <w:p w14:paraId="503A63DD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895" w:type="pct"/>
            <w:vAlign w:val="center"/>
          </w:tcPr>
          <w:p w14:paraId="4F80E3DF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67701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0F37F2EF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8" w:type="pct"/>
            <w:vAlign w:val="center"/>
          </w:tcPr>
          <w:p w14:paraId="4DF86B39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22" w:type="pct"/>
            <w:vAlign w:val="center"/>
          </w:tcPr>
          <w:p w14:paraId="693EF94D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373" w:type="pct"/>
            <w:vAlign w:val="center"/>
          </w:tcPr>
          <w:p w14:paraId="1CABB29A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2D251BFD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29E7D48B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70" w:type="pct"/>
            <w:vAlign w:val="center"/>
          </w:tcPr>
          <w:p w14:paraId="4372082F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895" w:type="pct"/>
            <w:vAlign w:val="center"/>
          </w:tcPr>
          <w:p w14:paraId="5AD83C30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4262D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A0B9076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8" w:type="pct"/>
            <w:vAlign w:val="center"/>
          </w:tcPr>
          <w:p w14:paraId="62740803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22" w:type="pct"/>
            <w:vAlign w:val="center"/>
          </w:tcPr>
          <w:p w14:paraId="5EFDAC20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373" w:type="pct"/>
            <w:vAlign w:val="center"/>
          </w:tcPr>
          <w:p w14:paraId="3B1291D3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29C6B0EE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27DDF4E5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70" w:type="pct"/>
            <w:vAlign w:val="center"/>
          </w:tcPr>
          <w:p w14:paraId="1441F1B1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895" w:type="pct"/>
            <w:vAlign w:val="center"/>
          </w:tcPr>
          <w:p w14:paraId="5EB603BB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495B9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59357D7C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8" w:type="pct"/>
            <w:vAlign w:val="center"/>
          </w:tcPr>
          <w:p w14:paraId="536C3071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22" w:type="pct"/>
            <w:vAlign w:val="center"/>
          </w:tcPr>
          <w:p w14:paraId="40CD4217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373" w:type="pct"/>
            <w:vAlign w:val="center"/>
          </w:tcPr>
          <w:p w14:paraId="6366533F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69C68A4B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415DADB9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70" w:type="pct"/>
            <w:vAlign w:val="center"/>
          </w:tcPr>
          <w:p w14:paraId="2A112273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895" w:type="pct"/>
            <w:vAlign w:val="center"/>
          </w:tcPr>
          <w:p w14:paraId="083B4C70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70C132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4275D783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8" w:type="pct"/>
            <w:vAlign w:val="center"/>
          </w:tcPr>
          <w:p w14:paraId="231AF242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22" w:type="pct"/>
            <w:vAlign w:val="center"/>
          </w:tcPr>
          <w:p w14:paraId="04499C5D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373" w:type="pct"/>
            <w:vAlign w:val="center"/>
          </w:tcPr>
          <w:p w14:paraId="7A1D31B0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5D9A9557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172FD52C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70" w:type="pct"/>
            <w:vAlign w:val="center"/>
          </w:tcPr>
          <w:p w14:paraId="1557EDF0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895" w:type="pct"/>
            <w:vAlign w:val="center"/>
          </w:tcPr>
          <w:p w14:paraId="3703EB68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2A3CC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EEF4DE4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8" w:type="pct"/>
            <w:vAlign w:val="center"/>
          </w:tcPr>
          <w:p w14:paraId="639BCEC8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22" w:type="pct"/>
            <w:vAlign w:val="center"/>
          </w:tcPr>
          <w:p w14:paraId="3B7A8E86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373" w:type="pct"/>
            <w:vAlign w:val="center"/>
          </w:tcPr>
          <w:p w14:paraId="03B828DF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578B52EA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2630D71E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70" w:type="pct"/>
            <w:vAlign w:val="center"/>
          </w:tcPr>
          <w:p w14:paraId="3FA5701A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895" w:type="pct"/>
            <w:vAlign w:val="center"/>
          </w:tcPr>
          <w:p w14:paraId="7C79557B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28103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4DAC9B9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8" w:type="pct"/>
            <w:vAlign w:val="center"/>
          </w:tcPr>
          <w:p w14:paraId="5816C4B4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22" w:type="pct"/>
            <w:vAlign w:val="center"/>
          </w:tcPr>
          <w:p w14:paraId="41F0F3E3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373" w:type="pct"/>
            <w:vAlign w:val="center"/>
          </w:tcPr>
          <w:p w14:paraId="41238EF8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128C8876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3EF57E9A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70" w:type="pct"/>
            <w:vAlign w:val="center"/>
          </w:tcPr>
          <w:p w14:paraId="64EBB7AB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895" w:type="pct"/>
            <w:vAlign w:val="center"/>
          </w:tcPr>
          <w:p w14:paraId="106E08B9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6AB96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5B2A0F6F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8" w:type="pct"/>
            <w:vAlign w:val="center"/>
          </w:tcPr>
          <w:p w14:paraId="5463A843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22" w:type="pct"/>
            <w:vAlign w:val="center"/>
          </w:tcPr>
          <w:p w14:paraId="457DB4B6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373" w:type="pct"/>
            <w:vAlign w:val="center"/>
          </w:tcPr>
          <w:p w14:paraId="50861891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2DEC539B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1B937760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70" w:type="pct"/>
            <w:vAlign w:val="center"/>
          </w:tcPr>
          <w:p w14:paraId="5303CDEB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895" w:type="pct"/>
            <w:vAlign w:val="center"/>
          </w:tcPr>
          <w:p w14:paraId="38046FA8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6DEF7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672EA647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8" w:type="pct"/>
            <w:vAlign w:val="center"/>
          </w:tcPr>
          <w:p w14:paraId="60BB02E6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22" w:type="pct"/>
            <w:vAlign w:val="center"/>
          </w:tcPr>
          <w:p w14:paraId="74490D8A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373" w:type="pct"/>
            <w:vAlign w:val="center"/>
          </w:tcPr>
          <w:p w14:paraId="0C3E380B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6A217BFF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63B6E23E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70" w:type="pct"/>
            <w:vAlign w:val="center"/>
          </w:tcPr>
          <w:p w14:paraId="0E5FC1D3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895" w:type="pct"/>
            <w:vAlign w:val="center"/>
          </w:tcPr>
          <w:p w14:paraId="5C92B729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0619C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06BA4FC0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8" w:type="pct"/>
            <w:vAlign w:val="center"/>
          </w:tcPr>
          <w:p w14:paraId="3A8C2352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22" w:type="pct"/>
            <w:vAlign w:val="center"/>
          </w:tcPr>
          <w:p w14:paraId="1DED7750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373" w:type="pct"/>
            <w:vAlign w:val="center"/>
          </w:tcPr>
          <w:p w14:paraId="05A2CEB9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64DC9DD6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3A7FF1D8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70" w:type="pct"/>
            <w:vAlign w:val="center"/>
          </w:tcPr>
          <w:p w14:paraId="3CD6214F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895" w:type="pct"/>
            <w:vAlign w:val="center"/>
          </w:tcPr>
          <w:p w14:paraId="7293829B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29925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6214A719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8" w:type="pct"/>
            <w:vAlign w:val="center"/>
          </w:tcPr>
          <w:p w14:paraId="38C5A165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22" w:type="pct"/>
            <w:vAlign w:val="center"/>
          </w:tcPr>
          <w:p w14:paraId="146F3088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373" w:type="pct"/>
            <w:vAlign w:val="center"/>
          </w:tcPr>
          <w:p w14:paraId="7718AB2C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5A668911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00B69ABC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70" w:type="pct"/>
            <w:vAlign w:val="center"/>
          </w:tcPr>
          <w:p w14:paraId="20DEC89A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895" w:type="pct"/>
            <w:vAlign w:val="center"/>
          </w:tcPr>
          <w:p w14:paraId="19AF051C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3D8A2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2AB12ED9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8" w:type="pct"/>
            <w:vAlign w:val="center"/>
          </w:tcPr>
          <w:p w14:paraId="308B6703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22" w:type="pct"/>
            <w:vAlign w:val="center"/>
          </w:tcPr>
          <w:p w14:paraId="69B195C5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373" w:type="pct"/>
            <w:vAlign w:val="center"/>
          </w:tcPr>
          <w:p w14:paraId="15F36C3C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55673982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13C1B4DA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70" w:type="pct"/>
            <w:vAlign w:val="center"/>
          </w:tcPr>
          <w:p w14:paraId="332233D3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895" w:type="pct"/>
            <w:vAlign w:val="center"/>
          </w:tcPr>
          <w:p w14:paraId="2EE2CE2C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70845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078E72A9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8" w:type="pct"/>
            <w:vAlign w:val="center"/>
          </w:tcPr>
          <w:p w14:paraId="6DF58571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22" w:type="pct"/>
            <w:vAlign w:val="center"/>
          </w:tcPr>
          <w:p w14:paraId="2F984842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373" w:type="pct"/>
            <w:vAlign w:val="center"/>
          </w:tcPr>
          <w:p w14:paraId="1A856D40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35BA4E3A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7225F609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70" w:type="pct"/>
            <w:vAlign w:val="center"/>
          </w:tcPr>
          <w:p w14:paraId="79D2A02E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895" w:type="pct"/>
            <w:vAlign w:val="center"/>
          </w:tcPr>
          <w:p w14:paraId="0A887292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1DED0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46F1BC25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8" w:type="pct"/>
            <w:vAlign w:val="center"/>
          </w:tcPr>
          <w:p w14:paraId="00CF9926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22" w:type="pct"/>
            <w:vAlign w:val="center"/>
          </w:tcPr>
          <w:p w14:paraId="7B92A816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373" w:type="pct"/>
            <w:vAlign w:val="center"/>
          </w:tcPr>
          <w:p w14:paraId="2CF7769E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280F7413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3A191C3F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70" w:type="pct"/>
            <w:vAlign w:val="center"/>
          </w:tcPr>
          <w:p w14:paraId="2838A281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895" w:type="pct"/>
            <w:vAlign w:val="center"/>
          </w:tcPr>
          <w:p w14:paraId="42EE70FF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123E1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167EB36F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8" w:type="pct"/>
            <w:vAlign w:val="center"/>
          </w:tcPr>
          <w:p w14:paraId="42924202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22" w:type="pct"/>
            <w:vAlign w:val="center"/>
          </w:tcPr>
          <w:p w14:paraId="2B7898F4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373" w:type="pct"/>
            <w:vAlign w:val="center"/>
          </w:tcPr>
          <w:p w14:paraId="77DAD7E0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25921C1F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05E6AC3F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70" w:type="pct"/>
            <w:vAlign w:val="center"/>
          </w:tcPr>
          <w:p w14:paraId="699E1D15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895" w:type="pct"/>
            <w:vAlign w:val="center"/>
          </w:tcPr>
          <w:p w14:paraId="4AC82C40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4FC81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49F4392F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8" w:type="pct"/>
            <w:vAlign w:val="center"/>
          </w:tcPr>
          <w:p w14:paraId="4EF21860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22" w:type="pct"/>
            <w:vAlign w:val="center"/>
          </w:tcPr>
          <w:p w14:paraId="3CA7B966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373" w:type="pct"/>
            <w:vAlign w:val="center"/>
          </w:tcPr>
          <w:p w14:paraId="2E8E8646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4EAE32EB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318F81B9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70" w:type="pct"/>
            <w:vAlign w:val="center"/>
          </w:tcPr>
          <w:p w14:paraId="70362ED6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895" w:type="pct"/>
            <w:vAlign w:val="center"/>
          </w:tcPr>
          <w:p w14:paraId="0EE2B0F5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61CCC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054273D8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8" w:type="pct"/>
            <w:vAlign w:val="center"/>
          </w:tcPr>
          <w:p w14:paraId="320BFB25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22" w:type="pct"/>
            <w:vAlign w:val="center"/>
          </w:tcPr>
          <w:p w14:paraId="033D6520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373" w:type="pct"/>
            <w:vAlign w:val="center"/>
          </w:tcPr>
          <w:p w14:paraId="46F1AAC0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01564CCB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133F790A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70" w:type="pct"/>
            <w:vAlign w:val="center"/>
          </w:tcPr>
          <w:p w14:paraId="609DA169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895" w:type="pct"/>
            <w:vAlign w:val="center"/>
          </w:tcPr>
          <w:p w14:paraId="796C3797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367DD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2F5C77E2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8" w:type="pct"/>
            <w:vAlign w:val="center"/>
          </w:tcPr>
          <w:p w14:paraId="5067E7FE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22" w:type="pct"/>
            <w:vAlign w:val="center"/>
          </w:tcPr>
          <w:p w14:paraId="7AA6C8DA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373" w:type="pct"/>
            <w:vAlign w:val="center"/>
          </w:tcPr>
          <w:p w14:paraId="58312007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45529CDE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7CDB887C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70" w:type="pct"/>
            <w:vAlign w:val="center"/>
          </w:tcPr>
          <w:p w14:paraId="3903723D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895" w:type="pct"/>
            <w:vAlign w:val="center"/>
          </w:tcPr>
          <w:p w14:paraId="596A0360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0ECC6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4D08EF76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8" w:type="pct"/>
            <w:vAlign w:val="center"/>
          </w:tcPr>
          <w:p w14:paraId="00F3AEA9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22" w:type="pct"/>
            <w:vAlign w:val="center"/>
          </w:tcPr>
          <w:p w14:paraId="680DD0B7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373" w:type="pct"/>
            <w:vAlign w:val="center"/>
          </w:tcPr>
          <w:p w14:paraId="48EA7773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6BF22EDD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65663E1D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70" w:type="pct"/>
            <w:vAlign w:val="center"/>
          </w:tcPr>
          <w:p w14:paraId="0CF66913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895" w:type="pct"/>
            <w:vAlign w:val="center"/>
          </w:tcPr>
          <w:p w14:paraId="0759F3B5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</w:tbl>
    <w:p w14:paraId="23D01BD9">
      <w:pPr>
        <w:spacing w:line="420" w:lineRule="exact"/>
        <w:rPr>
          <w:rFonts w:hint="eastAsia" w:cs="宋体" w:asciiTheme="minorEastAsia" w:hAnsiTheme="minorEastAsia"/>
          <w:color w:val="auto"/>
          <w:sz w:val="24"/>
        </w:rPr>
      </w:pPr>
    </w:p>
    <w:p w14:paraId="5E98C25C">
      <w:pPr>
        <w:spacing w:before="156" w:beforeLines="50" w:after="312" w:afterLines="100" w:line="420" w:lineRule="exact"/>
        <w:rPr>
          <w:rFonts w:hint="eastAsia" w:cs="宋体" w:asciiTheme="minorEastAsia" w:hAnsiTheme="minorEastAsia"/>
          <w:b/>
          <w:bCs/>
          <w:color w:val="auto"/>
          <w:sz w:val="24"/>
        </w:rPr>
      </w:pPr>
      <w:r>
        <w:rPr>
          <w:rFonts w:hint="eastAsia" w:cs="宋体" w:asciiTheme="minorEastAsia" w:hAnsiTheme="minorEastAsia"/>
          <w:color w:val="auto"/>
          <w:sz w:val="24"/>
        </w:rPr>
        <w:br w:type="page"/>
      </w:r>
      <w:r>
        <w:rPr>
          <w:rFonts w:hint="eastAsia" w:cs="宋体" w:asciiTheme="minorEastAsia" w:hAnsiTheme="minorEastAsia"/>
          <w:b/>
          <w:bCs/>
          <w:color w:val="auto"/>
          <w:sz w:val="24"/>
        </w:rPr>
        <w:t>附表2：拟配备本工程的试验和检测仪器设备表</w:t>
      </w:r>
    </w:p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6"/>
        <w:gridCol w:w="1548"/>
        <w:gridCol w:w="1297"/>
        <w:gridCol w:w="953"/>
        <w:gridCol w:w="1125"/>
        <w:gridCol w:w="1336"/>
        <w:gridCol w:w="1217"/>
      </w:tblGrid>
      <w:tr w14:paraId="79E89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1" w:hRule="atLeast"/>
          <w:jc w:val="center"/>
        </w:trPr>
        <w:tc>
          <w:tcPr>
            <w:tcW w:w="614" w:type="pct"/>
            <w:vAlign w:val="center"/>
          </w:tcPr>
          <w:p w14:paraId="488BCB2D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</w:rPr>
              <w:t>序号</w:t>
            </w:r>
          </w:p>
        </w:tc>
        <w:tc>
          <w:tcPr>
            <w:tcW w:w="908" w:type="pct"/>
            <w:vAlign w:val="center"/>
          </w:tcPr>
          <w:p w14:paraId="5F62D1BC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</w:rPr>
              <w:t>仪器设备名称</w:t>
            </w:r>
          </w:p>
        </w:tc>
        <w:tc>
          <w:tcPr>
            <w:tcW w:w="761" w:type="pct"/>
            <w:vAlign w:val="center"/>
          </w:tcPr>
          <w:p w14:paraId="0371C710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</w:rPr>
              <w:t>型号规格</w:t>
            </w:r>
          </w:p>
        </w:tc>
        <w:tc>
          <w:tcPr>
            <w:tcW w:w="559" w:type="pct"/>
            <w:vAlign w:val="center"/>
          </w:tcPr>
          <w:p w14:paraId="3B996B9A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</w:rPr>
              <w:t>数量</w:t>
            </w:r>
          </w:p>
        </w:tc>
        <w:tc>
          <w:tcPr>
            <w:tcW w:w="660" w:type="pct"/>
            <w:vAlign w:val="center"/>
          </w:tcPr>
          <w:p w14:paraId="5EE7CB65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</w:rPr>
              <w:t>国别产地</w:t>
            </w:r>
          </w:p>
        </w:tc>
        <w:tc>
          <w:tcPr>
            <w:tcW w:w="784" w:type="pct"/>
            <w:vAlign w:val="center"/>
          </w:tcPr>
          <w:p w14:paraId="0E7064AA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</w:rPr>
              <w:t>用途</w:t>
            </w:r>
          </w:p>
        </w:tc>
        <w:tc>
          <w:tcPr>
            <w:tcW w:w="715" w:type="pct"/>
            <w:vAlign w:val="center"/>
          </w:tcPr>
          <w:p w14:paraId="6D9C3113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</w:rPr>
              <w:t>备注</w:t>
            </w:r>
          </w:p>
        </w:tc>
      </w:tr>
      <w:tr w14:paraId="01778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3D7E0BFC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08" w:type="pct"/>
            <w:vAlign w:val="center"/>
          </w:tcPr>
          <w:p w14:paraId="2609CC9B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61" w:type="pct"/>
            <w:vAlign w:val="center"/>
          </w:tcPr>
          <w:p w14:paraId="16454A98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59" w:type="pct"/>
            <w:vAlign w:val="center"/>
          </w:tcPr>
          <w:p w14:paraId="76871110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660" w:type="pct"/>
            <w:vAlign w:val="center"/>
          </w:tcPr>
          <w:p w14:paraId="0E1C4996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84" w:type="pct"/>
            <w:vAlign w:val="center"/>
          </w:tcPr>
          <w:p w14:paraId="24579B27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15" w:type="pct"/>
            <w:vAlign w:val="center"/>
          </w:tcPr>
          <w:p w14:paraId="1D8797A5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2BE47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5465998B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08" w:type="pct"/>
            <w:vAlign w:val="center"/>
          </w:tcPr>
          <w:p w14:paraId="3F52A285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61" w:type="pct"/>
            <w:vAlign w:val="center"/>
          </w:tcPr>
          <w:p w14:paraId="339A0B6E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59" w:type="pct"/>
            <w:vAlign w:val="center"/>
          </w:tcPr>
          <w:p w14:paraId="58B5698D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660" w:type="pct"/>
            <w:vAlign w:val="center"/>
          </w:tcPr>
          <w:p w14:paraId="682B98FB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84" w:type="pct"/>
            <w:vAlign w:val="center"/>
          </w:tcPr>
          <w:p w14:paraId="1283B576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15" w:type="pct"/>
            <w:vAlign w:val="center"/>
          </w:tcPr>
          <w:p w14:paraId="62C51704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6FF4D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35ED75B1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08" w:type="pct"/>
            <w:vAlign w:val="center"/>
          </w:tcPr>
          <w:p w14:paraId="133B8838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61" w:type="pct"/>
            <w:vAlign w:val="center"/>
          </w:tcPr>
          <w:p w14:paraId="49830732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59" w:type="pct"/>
            <w:vAlign w:val="center"/>
          </w:tcPr>
          <w:p w14:paraId="6DBAD314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660" w:type="pct"/>
            <w:vAlign w:val="center"/>
          </w:tcPr>
          <w:p w14:paraId="0CE599F2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84" w:type="pct"/>
            <w:vAlign w:val="center"/>
          </w:tcPr>
          <w:p w14:paraId="5D5831AA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15" w:type="pct"/>
            <w:vAlign w:val="center"/>
          </w:tcPr>
          <w:p w14:paraId="399319A2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6E843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5405019C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08" w:type="pct"/>
            <w:vAlign w:val="center"/>
          </w:tcPr>
          <w:p w14:paraId="58F5FD9E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61" w:type="pct"/>
            <w:vAlign w:val="center"/>
          </w:tcPr>
          <w:p w14:paraId="71DE1326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59" w:type="pct"/>
            <w:vAlign w:val="center"/>
          </w:tcPr>
          <w:p w14:paraId="1FAD2900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660" w:type="pct"/>
            <w:vAlign w:val="center"/>
          </w:tcPr>
          <w:p w14:paraId="0ABB44FB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84" w:type="pct"/>
            <w:vAlign w:val="center"/>
          </w:tcPr>
          <w:p w14:paraId="5364CA9A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15" w:type="pct"/>
            <w:vAlign w:val="center"/>
          </w:tcPr>
          <w:p w14:paraId="572DA8C3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33D80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50090B13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08" w:type="pct"/>
            <w:vAlign w:val="center"/>
          </w:tcPr>
          <w:p w14:paraId="76CB8111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61" w:type="pct"/>
            <w:vAlign w:val="center"/>
          </w:tcPr>
          <w:p w14:paraId="0EDBF9AF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59" w:type="pct"/>
            <w:vAlign w:val="center"/>
          </w:tcPr>
          <w:p w14:paraId="17FEB12E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660" w:type="pct"/>
            <w:vAlign w:val="center"/>
          </w:tcPr>
          <w:p w14:paraId="3253A405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84" w:type="pct"/>
            <w:vAlign w:val="center"/>
          </w:tcPr>
          <w:p w14:paraId="6FD3A815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15" w:type="pct"/>
            <w:vAlign w:val="center"/>
          </w:tcPr>
          <w:p w14:paraId="7A8D4EF5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3E764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44CD77AE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08" w:type="pct"/>
            <w:vAlign w:val="center"/>
          </w:tcPr>
          <w:p w14:paraId="517CC272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61" w:type="pct"/>
            <w:vAlign w:val="center"/>
          </w:tcPr>
          <w:p w14:paraId="6EC46490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59" w:type="pct"/>
            <w:vAlign w:val="center"/>
          </w:tcPr>
          <w:p w14:paraId="7EBB12EF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660" w:type="pct"/>
            <w:vAlign w:val="center"/>
          </w:tcPr>
          <w:p w14:paraId="17CE5A27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84" w:type="pct"/>
            <w:vAlign w:val="center"/>
          </w:tcPr>
          <w:p w14:paraId="4F6FCAA8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15" w:type="pct"/>
            <w:vAlign w:val="center"/>
          </w:tcPr>
          <w:p w14:paraId="492042E9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1BD7D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467CE66C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08" w:type="pct"/>
            <w:vAlign w:val="center"/>
          </w:tcPr>
          <w:p w14:paraId="6CC0788E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61" w:type="pct"/>
            <w:vAlign w:val="center"/>
          </w:tcPr>
          <w:p w14:paraId="6692CB0B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59" w:type="pct"/>
            <w:vAlign w:val="center"/>
          </w:tcPr>
          <w:p w14:paraId="783B7210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660" w:type="pct"/>
            <w:vAlign w:val="center"/>
          </w:tcPr>
          <w:p w14:paraId="2B7D34FD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84" w:type="pct"/>
            <w:vAlign w:val="center"/>
          </w:tcPr>
          <w:p w14:paraId="7ACF5896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15" w:type="pct"/>
            <w:vAlign w:val="center"/>
          </w:tcPr>
          <w:p w14:paraId="5DC09393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45FC8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AE8D386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08" w:type="pct"/>
            <w:vAlign w:val="center"/>
          </w:tcPr>
          <w:p w14:paraId="2516CBF8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61" w:type="pct"/>
            <w:vAlign w:val="center"/>
          </w:tcPr>
          <w:p w14:paraId="7CFF5FEF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59" w:type="pct"/>
            <w:vAlign w:val="center"/>
          </w:tcPr>
          <w:p w14:paraId="3648DCC0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660" w:type="pct"/>
            <w:vAlign w:val="center"/>
          </w:tcPr>
          <w:p w14:paraId="1DEF05F8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84" w:type="pct"/>
            <w:vAlign w:val="center"/>
          </w:tcPr>
          <w:p w14:paraId="27820B1A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15" w:type="pct"/>
            <w:vAlign w:val="center"/>
          </w:tcPr>
          <w:p w14:paraId="4ADFC50F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0203C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791ABCE6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08" w:type="pct"/>
            <w:vAlign w:val="center"/>
          </w:tcPr>
          <w:p w14:paraId="2C592CB3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61" w:type="pct"/>
            <w:vAlign w:val="center"/>
          </w:tcPr>
          <w:p w14:paraId="211202DD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59" w:type="pct"/>
            <w:vAlign w:val="center"/>
          </w:tcPr>
          <w:p w14:paraId="632FEBA5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660" w:type="pct"/>
            <w:vAlign w:val="center"/>
          </w:tcPr>
          <w:p w14:paraId="74A55ACF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84" w:type="pct"/>
            <w:vAlign w:val="center"/>
          </w:tcPr>
          <w:p w14:paraId="5F7FCB46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15" w:type="pct"/>
            <w:vAlign w:val="center"/>
          </w:tcPr>
          <w:p w14:paraId="5D1C2F1A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254BC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113A65D7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08" w:type="pct"/>
            <w:vAlign w:val="center"/>
          </w:tcPr>
          <w:p w14:paraId="0FCC3B3B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61" w:type="pct"/>
            <w:vAlign w:val="center"/>
          </w:tcPr>
          <w:p w14:paraId="516A9A7F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59" w:type="pct"/>
            <w:vAlign w:val="center"/>
          </w:tcPr>
          <w:p w14:paraId="52726592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660" w:type="pct"/>
            <w:vAlign w:val="center"/>
          </w:tcPr>
          <w:p w14:paraId="0723AE45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84" w:type="pct"/>
            <w:vAlign w:val="center"/>
          </w:tcPr>
          <w:p w14:paraId="1BF4F23D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15" w:type="pct"/>
            <w:vAlign w:val="center"/>
          </w:tcPr>
          <w:p w14:paraId="45BDE47B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2F7CF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9F8CDD7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08" w:type="pct"/>
            <w:vAlign w:val="center"/>
          </w:tcPr>
          <w:p w14:paraId="41D82954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61" w:type="pct"/>
            <w:vAlign w:val="center"/>
          </w:tcPr>
          <w:p w14:paraId="09D4577F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59" w:type="pct"/>
            <w:vAlign w:val="center"/>
          </w:tcPr>
          <w:p w14:paraId="5C150863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660" w:type="pct"/>
            <w:vAlign w:val="center"/>
          </w:tcPr>
          <w:p w14:paraId="2735EC74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84" w:type="pct"/>
            <w:vAlign w:val="center"/>
          </w:tcPr>
          <w:p w14:paraId="0C8C3D27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15" w:type="pct"/>
            <w:vAlign w:val="center"/>
          </w:tcPr>
          <w:p w14:paraId="11791786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70BD4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36F93C5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08" w:type="pct"/>
            <w:vAlign w:val="center"/>
          </w:tcPr>
          <w:p w14:paraId="2CBD58C1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61" w:type="pct"/>
            <w:vAlign w:val="center"/>
          </w:tcPr>
          <w:p w14:paraId="278D88E3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59" w:type="pct"/>
            <w:vAlign w:val="center"/>
          </w:tcPr>
          <w:p w14:paraId="010882CC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660" w:type="pct"/>
            <w:vAlign w:val="center"/>
          </w:tcPr>
          <w:p w14:paraId="362AA076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84" w:type="pct"/>
            <w:vAlign w:val="center"/>
          </w:tcPr>
          <w:p w14:paraId="7AA153AB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15" w:type="pct"/>
            <w:vAlign w:val="center"/>
          </w:tcPr>
          <w:p w14:paraId="7801BEAA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211EAF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6773B5CC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08" w:type="pct"/>
            <w:vAlign w:val="center"/>
          </w:tcPr>
          <w:p w14:paraId="05B7D77C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61" w:type="pct"/>
            <w:vAlign w:val="center"/>
          </w:tcPr>
          <w:p w14:paraId="628BA111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59" w:type="pct"/>
            <w:vAlign w:val="center"/>
          </w:tcPr>
          <w:p w14:paraId="3759D53D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660" w:type="pct"/>
            <w:vAlign w:val="center"/>
          </w:tcPr>
          <w:p w14:paraId="34990894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84" w:type="pct"/>
            <w:vAlign w:val="center"/>
          </w:tcPr>
          <w:p w14:paraId="5A448A76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15" w:type="pct"/>
            <w:vAlign w:val="center"/>
          </w:tcPr>
          <w:p w14:paraId="251C543D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00BDE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7FBBBD87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08" w:type="pct"/>
            <w:vAlign w:val="center"/>
          </w:tcPr>
          <w:p w14:paraId="5981763C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61" w:type="pct"/>
            <w:vAlign w:val="center"/>
          </w:tcPr>
          <w:p w14:paraId="5DC6A953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59" w:type="pct"/>
            <w:vAlign w:val="center"/>
          </w:tcPr>
          <w:p w14:paraId="0ED99F9A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660" w:type="pct"/>
            <w:vAlign w:val="center"/>
          </w:tcPr>
          <w:p w14:paraId="092BF083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84" w:type="pct"/>
            <w:vAlign w:val="center"/>
          </w:tcPr>
          <w:p w14:paraId="77DAADE3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15" w:type="pct"/>
            <w:vAlign w:val="center"/>
          </w:tcPr>
          <w:p w14:paraId="1ED44390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47112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268A1CBE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08" w:type="pct"/>
            <w:vAlign w:val="center"/>
          </w:tcPr>
          <w:p w14:paraId="0EEF0892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61" w:type="pct"/>
            <w:vAlign w:val="center"/>
          </w:tcPr>
          <w:p w14:paraId="4BC22D85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59" w:type="pct"/>
            <w:vAlign w:val="center"/>
          </w:tcPr>
          <w:p w14:paraId="7132E605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660" w:type="pct"/>
            <w:vAlign w:val="center"/>
          </w:tcPr>
          <w:p w14:paraId="1068FD6D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84" w:type="pct"/>
            <w:vAlign w:val="center"/>
          </w:tcPr>
          <w:p w14:paraId="0BFB7719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15" w:type="pct"/>
            <w:vAlign w:val="center"/>
          </w:tcPr>
          <w:p w14:paraId="42183E2E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2E059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2BF20E1C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08" w:type="pct"/>
            <w:vAlign w:val="center"/>
          </w:tcPr>
          <w:p w14:paraId="5C25962E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61" w:type="pct"/>
            <w:vAlign w:val="center"/>
          </w:tcPr>
          <w:p w14:paraId="798CA481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59" w:type="pct"/>
            <w:vAlign w:val="center"/>
          </w:tcPr>
          <w:p w14:paraId="43DC43FA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660" w:type="pct"/>
            <w:vAlign w:val="center"/>
          </w:tcPr>
          <w:p w14:paraId="6AC55C00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84" w:type="pct"/>
            <w:vAlign w:val="center"/>
          </w:tcPr>
          <w:p w14:paraId="014CD2B0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15" w:type="pct"/>
            <w:vAlign w:val="center"/>
          </w:tcPr>
          <w:p w14:paraId="3634FE1F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5C565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77EC98B7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08" w:type="pct"/>
            <w:vAlign w:val="center"/>
          </w:tcPr>
          <w:p w14:paraId="55A3F0F6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61" w:type="pct"/>
            <w:vAlign w:val="center"/>
          </w:tcPr>
          <w:p w14:paraId="5257FF76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59" w:type="pct"/>
            <w:vAlign w:val="center"/>
          </w:tcPr>
          <w:p w14:paraId="2782645B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660" w:type="pct"/>
            <w:vAlign w:val="center"/>
          </w:tcPr>
          <w:p w14:paraId="56DCE02F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84" w:type="pct"/>
            <w:vAlign w:val="center"/>
          </w:tcPr>
          <w:p w14:paraId="555C8E5C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15" w:type="pct"/>
            <w:vAlign w:val="center"/>
          </w:tcPr>
          <w:p w14:paraId="37C045F9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1B43C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2991BF11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08" w:type="pct"/>
            <w:vAlign w:val="center"/>
          </w:tcPr>
          <w:p w14:paraId="10BF1435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61" w:type="pct"/>
            <w:vAlign w:val="center"/>
          </w:tcPr>
          <w:p w14:paraId="7DFA9D13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59" w:type="pct"/>
            <w:vAlign w:val="center"/>
          </w:tcPr>
          <w:p w14:paraId="2CF07733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660" w:type="pct"/>
            <w:vAlign w:val="center"/>
          </w:tcPr>
          <w:p w14:paraId="0EF86F2B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84" w:type="pct"/>
            <w:vAlign w:val="center"/>
          </w:tcPr>
          <w:p w14:paraId="0F264F11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15" w:type="pct"/>
            <w:vAlign w:val="center"/>
          </w:tcPr>
          <w:p w14:paraId="23B16B17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</w:tbl>
    <w:p w14:paraId="6DEF5E05">
      <w:pPr>
        <w:spacing w:line="480" w:lineRule="auto"/>
        <w:rPr>
          <w:rFonts w:hint="eastAsia" w:cs="宋体" w:asciiTheme="minorEastAsia" w:hAnsiTheme="minorEastAsia"/>
          <w:b/>
          <w:bCs/>
          <w:color w:val="auto"/>
          <w:sz w:val="24"/>
        </w:rPr>
      </w:pPr>
      <w:r>
        <w:rPr>
          <w:rFonts w:hint="eastAsia" w:cs="宋体" w:asciiTheme="minorEastAsia" w:hAnsiTheme="minorEastAsia"/>
          <w:b/>
          <w:bCs/>
          <w:color w:val="auto"/>
          <w:sz w:val="24"/>
        </w:rPr>
        <w:br w:type="page"/>
      </w:r>
      <w:r>
        <w:rPr>
          <w:rFonts w:hint="eastAsia" w:cs="宋体" w:asciiTheme="minorEastAsia" w:hAnsiTheme="minorEastAsia"/>
          <w:b/>
          <w:bCs/>
          <w:color w:val="auto"/>
          <w:sz w:val="24"/>
        </w:rPr>
        <w:t>附表3：劳动力计划表</w:t>
      </w:r>
    </w:p>
    <w:p w14:paraId="34DD0476">
      <w:pPr>
        <w:spacing w:line="360" w:lineRule="auto"/>
        <w:rPr>
          <w:rFonts w:hint="eastAsia" w:cs="宋体" w:asciiTheme="minorEastAsia" w:hAnsiTheme="minorEastAsia"/>
          <w:b/>
          <w:bCs/>
          <w:color w:val="auto"/>
          <w:sz w:val="24"/>
        </w:rPr>
      </w:pPr>
      <w:r>
        <w:rPr>
          <w:rFonts w:hint="eastAsia" w:cs="宋体" w:asciiTheme="minorEastAsia" w:hAnsiTheme="minorEastAsia"/>
          <w:b/>
          <w:color w:val="auto"/>
          <w:sz w:val="24"/>
        </w:rPr>
        <w:t>单位：人</w:t>
      </w:r>
    </w:p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6"/>
        <w:gridCol w:w="997"/>
        <w:gridCol w:w="1012"/>
        <w:gridCol w:w="1012"/>
        <w:gridCol w:w="1012"/>
        <w:gridCol w:w="1012"/>
        <w:gridCol w:w="1013"/>
        <w:gridCol w:w="1008"/>
      </w:tblGrid>
      <w:tr w14:paraId="5F0A7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54" w:type="pct"/>
            <w:vAlign w:val="center"/>
          </w:tcPr>
          <w:p w14:paraId="78CF3FCC">
            <w:pPr>
              <w:jc w:val="center"/>
              <w:rPr>
                <w:rFonts w:hint="eastAsia" w:cs="宋体" w:asciiTheme="minorEastAsia" w:hAnsiTheme="minorEastAsia"/>
                <w:color w:val="auto"/>
                <w:sz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4"/>
              </w:rPr>
              <w:t>工种</w:t>
            </w:r>
          </w:p>
        </w:tc>
        <w:tc>
          <w:tcPr>
            <w:tcW w:w="4146" w:type="pct"/>
            <w:gridSpan w:val="7"/>
            <w:vAlign w:val="center"/>
          </w:tcPr>
          <w:p w14:paraId="6F3F1228">
            <w:pPr>
              <w:jc w:val="center"/>
              <w:rPr>
                <w:rFonts w:hint="eastAsia" w:cs="宋体" w:asciiTheme="minorEastAsia" w:hAnsiTheme="minorEastAsia"/>
                <w:color w:val="auto"/>
                <w:sz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4"/>
              </w:rPr>
              <w:t>按工程施工阶段投入劳动力情况</w:t>
            </w:r>
          </w:p>
        </w:tc>
      </w:tr>
      <w:tr w14:paraId="745EC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08C099A5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5" w:type="pct"/>
            <w:vAlign w:val="center"/>
          </w:tcPr>
          <w:p w14:paraId="1E3DA1FD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52C0FE67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320660FE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272EFDC2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06DC5065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210E8D36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3DB246D0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1F590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57B83993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5" w:type="pct"/>
            <w:vAlign w:val="center"/>
          </w:tcPr>
          <w:p w14:paraId="44A9406F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47846323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55C7CF61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3DB227D7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103E9E97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55155EA1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7A281869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57717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67CF18B0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5" w:type="pct"/>
            <w:vAlign w:val="center"/>
          </w:tcPr>
          <w:p w14:paraId="23EC2073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7C748BFD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248BE2A0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0BFD02A2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20411501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426091EA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253A574D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12872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6E019CA7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5" w:type="pct"/>
            <w:vAlign w:val="center"/>
          </w:tcPr>
          <w:p w14:paraId="68941359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080D92D9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1E73C768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3AB1CA65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4270AC63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7F17E03B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388DC45F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23F34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3F028D94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5" w:type="pct"/>
            <w:vAlign w:val="center"/>
          </w:tcPr>
          <w:p w14:paraId="61CDFB22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2E6C4A3F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09A9BAF9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75C6AFB1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6FD2ABD2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43515AC4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6F106B99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10747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336BB6B9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5" w:type="pct"/>
            <w:vAlign w:val="center"/>
          </w:tcPr>
          <w:p w14:paraId="56603B0D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5F3F4D3F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1539C496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422671CC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1101F472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68FAB0CA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08CBE33D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25414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4EBBCB69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5" w:type="pct"/>
            <w:vAlign w:val="center"/>
          </w:tcPr>
          <w:p w14:paraId="73B25C35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3161A976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3D7B8BAC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04A9D31C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7B0A3057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3B7EAE76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21DBEAE2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7AFCD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174F0954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5" w:type="pct"/>
            <w:vAlign w:val="center"/>
          </w:tcPr>
          <w:p w14:paraId="6846BC1B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509CE9F8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294D2457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0EBD15F0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0F505C07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45FD2DA1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06B0A3FD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34FFD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66AA4DC9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5" w:type="pct"/>
            <w:vAlign w:val="center"/>
          </w:tcPr>
          <w:p w14:paraId="330217E9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455CBAA0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3B817557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5A996691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3C60C0CD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4C93685E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36228EF6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77B19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18A8A33F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5" w:type="pct"/>
            <w:vAlign w:val="center"/>
          </w:tcPr>
          <w:p w14:paraId="354741F9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4E678CF7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4E6A3EF3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45E4DC11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6E663AB5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1AF4E855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19F54A9C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0EAB6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6DA27A0C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5" w:type="pct"/>
            <w:vAlign w:val="center"/>
          </w:tcPr>
          <w:p w14:paraId="24EE065E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5FBD8F17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7564B95D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4AA6F54B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6001E39B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47077BC8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19BC2B0E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4224C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5248BB12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5" w:type="pct"/>
            <w:vAlign w:val="center"/>
          </w:tcPr>
          <w:p w14:paraId="01A6922C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182B0F21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130791B3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67D00813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7C11FF71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2B7E68D4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734BAD0E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30EAD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5C5DEF7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5" w:type="pct"/>
            <w:vAlign w:val="center"/>
          </w:tcPr>
          <w:p w14:paraId="75213B7E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3E0B9C26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20254607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5AA01EB6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6B723C64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381F6BEA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64685432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10223C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4090E505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5" w:type="pct"/>
            <w:vAlign w:val="center"/>
          </w:tcPr>
          <w:p w14:paraId="101AB698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0D06EA5C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351F4E7A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389AE59F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5169E92A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475C4758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7BCB52AD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3B414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0B16E9D5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5" w:type="pct"/>
            <w:vAlign w:val="center"/>
          </w:tcPr>
          <w:p w14:paraId="1E991069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70B299F3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66EF07F8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7DBC2D9A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6A3B16C3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3A17045A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7F611C4B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4D273D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510F0B78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5" w:type="pct"/>
            <w:vAlign w:val="center"/>
          </w:tcPr>
          <w:p w14:paraId="613B2E24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235A0510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33B9F059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205E6A68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52EA88A9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698DAC5D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1E817CCC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505D6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02C05FC2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5" w:type="pct"/>
            <w:vAlign w:val="center"/>
          </w:tcPr>
          <w:p w14:paraId="266F92DF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2CA4A30F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46525A15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72D71325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49469CEA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1A048850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6E350324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695C1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65E29B4C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5" w:type="pct"/>
            <w:vAlign w:val="center"/>
          </w:tcPr>
          <w:p w14:paraId="16104331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731D9479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7BAB0F00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3CD54DDF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23947F33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661A5A79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5E1C443A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6E2B0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6DE7FA41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5" w:type="pct"/>
            <w:vAlign w:val="center"/>
          </w:tcPr>
          <w:p w14:paraId="1AD6B19E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2A98D3C7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7005764A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6C0B075F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797CA1CE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0D100561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363A0F3A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</w:tbl>
    <w:p w14:paraId="24C0B7FD">
      <w:pPr>
        <w:spacing w:line="580" w:lineRule="exact"/>
        <w:rPr>
          <w:rFonts w:hint="eastAsia" w:cs="宋体" w:asciiTheme="minorEastAsia" w:hAnsiTheme="minorEastAsia"/>
          <w:b/>
          <w:bCs/>
          <w:color w:val="auto"/>
          <w:spacing w:val="4"/>
          <w:sz w:val="24"/>
        </w:rPr>
      </w:pPr>
    </w:p>
    <w:p w14:paraId="57A88D4C">
      <w:pPr>
        <w:spacing w:line="360" w:lineRule="auto"/>
        <w:rPr>
          <w:rFonts w:hint="eastAsia" w:cs="宋体" w:asciiTheme="minorEastAsia" w:hAnsiTheme="minorEastAsia"/>
          <w:b/>
          <w:bCs/>
          <w:color w:val="auto"/>
          <w:sz w:val="24"/>
        </w:rPr>
      </w:pPr>
      <w:r>
        <w:rPr>
          <w:rFonts w:hint="eastAsia" w:cs="宋体" w:asciiTheme="minorEastAsia" w:hAnsiTheme="minorEastAsia"/>
          <w:b/>
          <w:bCs/>
          <w:color w:val="auto"/>
          <w:sz w:val="24"/>
        </w:rPr>
        <w:br w:type="page"/>
      </w:r>
      <w:r>
        <w:rPr>
          <w:rFonts w:hint="eastAsia" w:cs="宋体" w:asciiTheme="minorEastAsia" w:hAnsiTheme="minorEastAsia"/>
          <w:b/>
          <w:bCs/>
          <w:color w:val="auto"/>
          <w:sz w:val="24"/>
        </w:rPr>
        <w:t>附表4：计划开、竣工日期和施工进度网络图</w:t>
      </w:r>
    </w:p>
    <w:p w14:paraId="76F0CEEF">
      <w:pPr>
        <w:spacing w:line="360" w:lineRule="auto"/>
        <w:ind w:firstLine="480" w:firstLineChars="200"/>
        <w:rPr>
          <w:rFonts w:hint="eastAsia" w:cs="宋体" w:asciiTheme="minorEastAsia" w:hAnsiTheme="minorEastAsia"/>
          <w:color w:val="auto"/>
          <w:sz w:val="24"/>
        </w:rPr>
      </w:pPr>
      <w:r>
        <w:rPr>
          <w:rFonts w:hint="eastAsia" w:cs="宋体" w:asciiTheme="minorEastAsia" w:hAnsiTheme="minorEastAsia"/>
          <w:color w:val="auto"/>
          <w:sz w:val="24"/>
        </w:rPr>
        <w:t>1.供应商应递交施工进度网络图或施工进度表，说明按招标文件要求的计划工期进行施工的各个关键日期。</w:t>
      </w:r>
    </w:p>
    <w:p w14:paraId="6B3D7A94">
      <w:pPr>
        <w:spacing w:line="360" w:lineRule="auto"/>
        <w:ind w:firstLine="480" w:firstLineChars="200"/>
        <w:rPr>
          <w:rFonts w:hint="eastAsia" w:cs="宋体" w:asciiTheme="minorEastAsia" w:hAnsiTheme="minorEastAsia"/>
          <w:color w:val="auto"/>
          <w:sz w:val="24"/>
        </w:rPr>
      </w:pPr>
      <w:r>
        <w:rPr>
          <w:rFonts w:hint="eastAsia" w:cs="宋体" w:asciiTheme="minorEastAsia" w:hAnsiTheme="minorEastAsia"/>
          <w:color w:val="auto"/>
          <w:sz w:val="24"/>
        </w:rPr>
        <w:t>2.施工进度表可采用网络图或横道图表示。</w:t>
      </w:r>
    </w:p>
    <w:p w14:paraId="51C9596D">
      <w:pPr>
        <w:spacing w:line="360" w:lineRule="auto"/>
        <w:rPr>
          <w:rFonts w:hint="eastAsia" w:cs="宋体" w:asciiTheme="minorEastAsia" w:hAnsiTheme="minorEastAsia"/>
          <w:b/>
          <w:bCs/>
          <w:color w:val="auto"/>
          <w:sz w:val="24"/>
        </w:rPr>
      </w:pPr>
      <w:r>
        <w:rPr>
          <w:rFonts w:hint="eastAsia" w:cs="宋体" w:asciiTheme="minorEastAsia" w:hAnsiTheme="minorEastAsia"/>
          <w:color w:val="auto"/>
        </w:rPr>
        <w:br w:type="page"/>
      </w:r>
      <w:r>
        <w:rPr>
          <w:rFonts w:hint="eastAsia" w:cs="宋体" w:asciiTheme="minorEastAsia" w:hAnsiTheme="minorEastAsia"/>
          <w:b/>
          <w:bCs/>
          <w:color w:val="auto"/>
          <w:sz w:val="24"/>
        </w:rPr>
        <w:t>附表5：临时用地表</w:t>
      </w:r>
    </w:p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3"/>
        <w:gridCol w:w="2083"/>
        <w:gridCol w:w="2083"/>
        <w:gridCol w:w="2083"/>
      </w:tblGrid>
      <w:tr w14:paraId="2AA0C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13C5008D">
            <w:pPr>
              <w:jc w:val="center"/>
              <w:rPr>
                <w:rFonts w:hint="eastAsia" w:cs="宋体" w:asciiTheme="minorEastAsia" w:hAnsiTheme="minorEastAsia"/>
                <w:b/>
                <w:color w:val="auto"/>
              </w:rPr>
            </w:pPr>
            <w:r>
              <w:rPr>
                <w:rFonts w:hint="eastAsia" w:cs="宋体" w:asciiTheme="minorEastAsia" w:hAnsiTheme="minorEastAsia"/>
                <w:b/>
                <w:color w:val="auto"/>
              </w:rPr>
              <w:t>用途</w:t>
            </w:r>
          </w:p>
        </w:tc>
        <w:tc>
          <w:tcPr>
            <w:tcW w:w="1222" w:type="pct"/>
            <w:vAlign w:val="center"/>
          </w:tcPr>
          <w:p w14:paraId="7BCBE9D1">
            <w:pPr>
              <w:jc w:val="center"/>
              <w:rPr>
                <w:rFonts w:hint="eastAsia" w:cs="宋体" w:asciiTheme="minorEastAsia" w:hAnsiTheme="minorEastAsia"/>
                <w:b/>
                <w:color w:val="auto"/>
              </w:rPr>
            </w:pPr>
            <w:r>
              <w:rPr>
                <w:rFonts w:hint="eastAsia" w:cs="宋体" w:asciiTheme="minorEastAsia" w:hAnsiTheme="minorEastAsia"/>
                <w:b/>
                <w:color w:val="auto"/>
              </w:rPr>
              <w:t>面积（平方米）</w:t>
            </w:r>
          </w:p>
        </w:tc>
        <w:tc>
          <w:tcPr>
            <w:tcW w:w="1222" w:type="pct"/>
            <w:vAlign w:val="center"/>
          </w:tcPr>
          <w:p w14:paraId="7A514F5D">
            <w:pPr>
              <w:jc w:val="center"/>
              <w:rPr>
                <w:rFonts w:hint="eastAsia" w:cs="宋体" w:asciiTheme="minorEastAsia" w:hAnsiTheme="minorEastAsia"/>
                <w:b/>
                <w:color w:val="auto"/>
              </w:rPr>
            </w:pPr>
            <w:r>
              <w:rPr>
                <w:rFonts w:hint="eastAsia" w:cs="宋体" w:asciiTheme="minorEastAsia" w:hAnsiTheme="minorEastAsia"/>
                <w:b/>
                <w:color w:val="auto"/>
              </w:rPr>
              <w:t>位置</w:t>
            </w:r>
          </w:p>
        </w:tc>
        <w:tc>
          <w:tcPr>
            <w:tcW w:w="1222" w:type="pct"/>
            <w:vAlign w:val="center"/>
          </w:tcPr>
          <w:p w14:paraId="4BCDE6B2">
            <w:pPr>
              <w:jc w:val="center"/>
              <w:rPr>
                <w:rFonts w:hint="eastAsia" w:cs="宋体" w:asciiTheme="minorEastAsia" w:hAnsiTheme="minorEastAsia"/>
                <w:b/>
                <w:color w:val="auto"/>
              </w:rPr>
            </w:pPr>
            <w:r>
              <w:rPr>
                <w:rFonts w:hint="eastAsia" w:cs="宋体" w:asciiTheme="minorEastAsia" w:hAnsiTheme="minorEastAsia"/>
                <w:b/>
                <w:color w:val="auto"/>
              </w:rPr>
              <w:t>需用时间</w:t>
            </w:r>
          </w:p>
        </w:tc>
      </w:tr>
      <w:tr w14:paraId="54E8C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30A0A12F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5B094856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09C38066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46FC6019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313BF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483749D3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3664AA5F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234C2758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1CB0E28B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6C2B6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2E2B6D9A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172F5739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3862529F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1A3E74B5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10C9E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7A182423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0A56A3F1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0107EDF1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34814985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7AAA3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3B731FD8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67EFF892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38F8CB4E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1140BC98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3D972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1482E62B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14524E8F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5C51BF4E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4EEC7AB4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5F95E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77CD02AD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6E53B8A2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58CCFB1E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70FA2141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043A1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518BDBDA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6B60B6F1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21D79012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669BF9EF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59CC5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268C6517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04F365FF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23D67F54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1DAB2529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7C2F4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1FE170A6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51CFCCE9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6E1A216E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06BF7D3A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5E2DF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1FD560C3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233208C4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23671873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465F21CC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07DE6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50417C41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2EE6135E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77F0ABFE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24F9A1EC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7C91E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1D0D3C87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29D7DE5F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4992A785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3DBEF9B4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526F3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31407532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38F3E401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4751951C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6EB39F1E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76FD2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2C064FCC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50F391C9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0464A859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1168A61F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1B365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5A635EA0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3DFC01B5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35CD7A71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36E5CDF6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5FC93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2FAD18DD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127770B2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1BF7C676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31247D7A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4B8E4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5F30D531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3AA0F9B0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50C8BC0E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04018EB6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364D0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09136541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4F4E18E0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2DC7A1FC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68B1BB24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5EFF9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29FA82E3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76D888E0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30027F86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50FFB1B5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027A5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0D48C14E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169B2430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5C074A8A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3F7C1D73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423FC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6223AB63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4ADCDBA1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0F368B0B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5270790A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3D321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702E7C16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24495CD2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2CCB44A6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6673D8DC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7A014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477C46EB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1D48CA12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21D742E9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38CAE9B9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46F72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63F71BB0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757C5E45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7A5B35CC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67F3C36B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50EBD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658F4419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73F4DAFA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14D88B8F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23276C26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</w:tr>
    </w:tbl>
    <w:p w14:paraId="338FD11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1E1E5C"/>
    <w:rsid w:val="7FB11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autoRedefine/>
    <w:hidden/>
    <w:qFormat/>
    <w:uiPriority w:val="0"/>
    <w:pPr>
      <w:spacing w:line="360" w:lineRule="auto"/>
    </w:pPr>
    <w:rPr>
      <w:rFonts w:ascii="宋体" w:hAnsi="宋体" w:eastAsia="宋体" w:cs="宋体"/>
      <w:bCs/>
      <w:sz w:val="28"/>
      <w:szCs w:val="28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401</Words>
  <Characters>406</Characters>
  <Lines>0</Lines>
  <Paragraphs>0</Paragraphs>
  <TotalTime>0</TotalTime>
  <ScaleCrop>false</ScaleCrop>
  <LinksUpToDate>false</LinksUpToDate>
  <CharactersWithSpaces>406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2025-12-15T01:20:00Z</dcterms:created>
  <dc:creator>pc</dc:creator>
  <cp:lastModifiedBy>pc</cp:lastModifiedBy>
  <dcterms:modified xsi:type="dcterms:W3CDTF">2026-06-17T02:25:23Z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eyJoZGlkIjoiZDI1YjBlOTQzYmNjN2VlMzc2NDdjOGQyOWNiYjc2NDEiLCJ1c2VySWQiOiI0MDcwNDQ1MjgifQ==</vt:lpwstr>
  </property>
  <property fmtid="{D5CDD505-2E9C-101B-9397-08002B2CF9AE}" pid="4" name="ICV">
    <vt:lpwstr>150FA20BB3214E87AD9C981206B3F57A_12</vt:lpwstr>
  </property>
</Properties>
</file>