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版本号：SXDZ2026-ZC-CS01720260724001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食堂及校门口通道改造项目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SXDZ2026-ZC-CS017</w:t>
      </w:r>
      <w:r>
        <w:br/>
      </w:r>
      <w:r>
        <w:br/>
      </w:r>
      <w:r>
        <w:br/>
      </w:r>
    </w:p>
    <w:p>
      <w:pPr>
        <w:pStyle w:val="null3"/>
        <w:jc w:val="center"/>
        <w:outlineLvl w:val="2"/>
      </w:pPr>
      <w:r>
        <w:rPr>
          <w:rFonts w:ascii="仿宋_GB2312" w:hAnsi="仿宋_GB2312" w:cs="仿宋_GB2312" w:eastAsia="仿宋_GB2312"/>
          <w:sz w:val="28"/>
          <w:b/>
        </w:rPr>
        <w:t>西安实验职业中等专业学校</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西安实验职业中等专业学校</w:t>
      </w:r>
      <w:r>
        <w:rPr>
          <w:rFonts w:ascii="仿宋_GB2312" w:hAnsi="仿宋_GB2312" w:cs="仿宋_GB2312" w:eastAsia="仿宋_GB2312"/>
        </w:rPr>
        <w:t>委托，拟对</w:t>
      </w:r>
      <w:r>
        <w:rPr>
          <w:rFonts w:ascii="仿宋_GB2312" w:hAnsi="仿宋_GB2312" w:cs="仿宋_GB2312" w:eastAsia="仿宋_GB2312"/>
        </w:rPr>
        <w:t>食堂及校门口通道改造项目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SXDZ2026-ZC-CS017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食堂及校门口通道改造项目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工程名称：西安实验职业中等专业学校（机电校区）食堂及校门口通道改造工程 工程类型：食堂及校门口通道改造工程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采购包1（食堂及校门口通道改造项目）：属于专门面向中小企业采购。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须具有建筑工程专业二级及以上注册建造师证书，同时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西安实验职业中等专业学校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西安市莲湖区早慈巷24号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西安实验职业中等专业学校经办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18066572919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刘金杰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采购包1：1,278,400.00元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 2.成交单位在领取成交通知书前，须向采购代理机构一次性支付招标代理服务费。 3.招标代理服务费交纳信息： 户名：陕西东卓项目管理有限公司 开户行：中国银行股份有限公司西安市经济技术开发区支行 账号：102494375315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西安实验职业中等专业学校</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西安实验职业中等专业学校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西安实验职业中等专业学校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联系人：刘金杰</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1,278,400.00</w:t>
      </w:r>
    </w:p>
    <w:p>
      <w:pPr>
        <w:pStyle w:val="null3"/>
      </w:pPr>
      <w:r>
        <w:rPr>
          <w:rFonts w:ascii="仿宋_GB2312" w:hAnsi="仿宋_GB2312" w:cs="仿宋_GB2312" w:eastAsia="仿宋_GB2312"/>
        </w:rPr>
        <w:t>采购包最高限价（元）: 1,275,002.87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食堂及校门口通道改造项目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1,278,400.00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标的名称：食堂及校门口通道改造项目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工程名称：</w:t>
            </w:r>
            <w:r>
              <w:rPr>
                <w:rFonts w:ascii="仿宋_GB2312" w:hAnsi="仿宋_GB2312" w:cs="仿宋_GB2312" w:eastAsia="仿宋_GB2312"/>
                <w:sz w:val="24"/>
              </w:rPr>
              <w:t>西安实验职业中等专业学校（机电校区）</w:t>
            </w:r>
            <w:r>
              <w:rPr>
                <w:rFonts w:ascii="仿宋_GB2312" w:hAnsi="仿宋_GB2312" w:cs="仿宋_GB2312" w:eastAsia="仿宋_GB2312"/>
                <w:sz w:val="24"/>
              </w:rPr>
              <w:t>食堂及校门口通道</w:t>
            </w:r>
            <w:r>
              <w:rPr>
                <w:rFonts w:ascii="仿宋_GB2312" w:hAnsi="仿宋_GB2312" w:cs="仿宋_GB2312" w:eastAsia="仿宋_GB2312"/>
                <w:sz w:val="24"/>
              </w:rPr>
              <w:t>改造工程</w:t>
            </w:r>
          </w:p>
          <w:p>
            <w:pPr>
              <w:pStyle w:val="null3"/>
            </w:pPr>
            <w:r>
              <w:rPr>
                <w:rFonts w:ascii="仿宋_GB2312" w:hAnsi="仿宋_GB2312" w:cs="仿宋_GB2312" w:eastAsia="仿宋_GB2312"/>
                <w:sz w:val="24"/>
              </w:rPr>
              <w:t>工程类型：</w:t>
            </w:r>
            <w:r>
              <w:rPr>
                <w:rFonts w:ascii="仿宋_GB2312" w:hAnsi="仿宋_GB2312" w:cs="仿宋_GB2312" w:eastAsia="仿宋_GB2312"/>
                <w:sz w:val="24"/>
              </w:rPr>
              <w:t>食堂及校门口通道</w:t>
            </w:r>
            <w:r>
              <w:rPr>
                <w:rFonts w:ascii="仿宋_GB2312" w:hAnsi="仿宋_GB2312" w:cs="仿宋_GB2312" w:eastAsia="仿宋_GB2312"/>
                <w:sz w:val="24"/>
              </w:rPr>
              <w:t>改造工程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(一)工程内容食堂改造项目：主要是墙面地面基础装修、功能区域改造、排油烟系统、水电及消防系统升级等。          </w:t>
                  </w:r>
                </w:p>
                <w:p>
                  <w:pPr>
                    <w:pStyle w:val="null3"/>
                    <w:jc w:val="both"/>
                  </w:pPr>
                  <w:r>
                    <w:rPr>
                      <w:rFonts w:ascii="仿宋_GB2312" w:hAnsi="仿宋_GB2312" w:cs="仿宋_GB2312" w:eastAsia="仿宋_GB2312"/>
                      <w:sz w:val="24"/>
                    </w:rPr>
                    <w:t>（二）校门口通道改造内容：</w:t>
                  </w:r>
                  <w:r>
                    <w:rPr>
                      <w:rFonts w:ascii="仿宋_GB2312" w:hAnsi="仿宋_GB2312" w:cs="仿宋_GB2312" w:eastAsia="仿宋_GB2312"/>
                      <w:sz w:val="24"/>
                    </w:rPr>
                    <w:t>路面工程：铲除破损路面，重新铺设防滑耐磨路面材料，平整路面，解决路面坑洼、湿滑问题。</w:t>
                  </w:r>
                </w:p>
                <w:p>
                  <w:pPr>
                    <w:pStyle w:val="null3"/>
                    <w:jc w:val="both"/>
                  </w:pPr>
                  <w:r>
                    <w:rPr>
                      <w:rFonts w:ascii="仿宋_GB2312" w:hAnsi="仿宋_GB2312" w:cs="仿宋_GB2312" w:eastAsia="仿宋_GB2312"/>
                      <w:sz w:val="24"/>
                    </w:rPr>
                    <w:t>交通标识完善：重新施划人行通道、减速带、警示标线，设置交通指示牌、安全警示牌，规范出入口通行秩序。</w:t>
                  </w:r>
                </w:p>
                <w:p>
                  <w:pPr>
                    <w:pStyle w:val="null3"/>
                    <w:jc w:val="both"/>
                  </w:pPr>
                  <w:r>
                    <w:rPr>
                      <w:rFonts w:ascii="仿宋_GB2312" w:hAnsi="仿宋_GB2312" w:cs="仿宋_GB2312" w:eastAsia="仿宋_GB2312"/>
                      <w:sz w:val="24"/>
                    </w:rPr>
                    <w:t>（三）通行空间梳理：合理拓宽关键通行路段，划分行人与车辆通行区域，缓解高峰期拥堵问题。</w:t>
                  </w:r>
                </w:p>
                <w:p>
                  <w:pPr>
                    <w:pStyle w:val="null3"/>
                    <w:jc w:val="both"/>
                  </w:pPr>
                  <w:r>
                    <w:rPr>
                      <w:rFonts w:ascii="仿宋_GB2312" w:hAnsi="仿宋_GB2312" w:cs="仿宋_GB2312" w:eastAsia="仿宋_GB2312"/>
                      <w:sz w:val="24"/>
                    </w:rPr>
                    <w:t>（四）主要是路面施工、标识标线施划、校园文化宣传设施安装等。</w:t>
                  </w:r>
                </w:p>
                <w:p>
                  <w:pPr>
                    <w:pStyle w:val="null3"/>
                    <w:jc w:val="both"/>
                  </w:pPr>
                  <w:r>
                    <w:rPr>
                      <w:rFonts w:ascii="仿宋_GB2312" w:hAnsi="仿宋_GB2312" w:cs="仿宋_GB2312" w:eastAsia="仿宋_GB2312"/>
                      <w:sz w:val="24"/>
                    </w:rPr>
                    <w:t>(五)工程地点：西安市南小巷</w:t>
                  </w:r>
                </w:p>
                <w:p>
                  <w:pPr>
                    <w:pStyle w:val="null3"/>
                    <w:jc w:val="both"/>
                  </w:pPr>
                  <w:r>
                    <w:rPr>
                      <w:rFonts w:ascii="仿宋_GB2312" w:hAnsi="仿宋_GB2312" w:cs="仿宋_GB2312" w:eastAsia="仿宋_GB2312"/>
                      <w:sz w:val="24"/>
                    </w:rPr>
                    <w:t>(六)计划工期：</w:t>
                  </w:r>
                  <w:r>
                    <w:rPr>
                      <w:rFonts w:ascii="仿宋_GB2312" w:hAnsi="仿宋_GB2312" w:cs="仿宋_GB2312" w:eastAsia="仿宋_GB2312"/>
                      <w:sz w:val="24"/>
                    </w:rPr>
                    <w:t>自进场之日起</w:t>
                  </w:r>
                  <w:r>
                    <w:rPr>
                      <w:rFonts w:ascii="仿宋_GB2312" w:hAnsi="仿宋_GB2312" w:cs="仿宋_GB2312" w:eastAsia="仿宋_GB2312"/>
                      <w:sz w:val="24"/>
                    </w:rPr>
                    <w:t>25个日历日内竣工。</w:t>
                  </w:r>
                </w:p>
                <w:p>
                  <w:pPr>
                    <w:pStyle w:val="null3"/>
                    <w:jc w:val="both"/>
                  </w:pPr>
                  <w:r>
                    <w:rPr>
                      <w:rFonts w:ascii="仿宋_GB2312" w:hAnsi="仿宋_GB2312" w:cs="仿宋_GB2312" w:eastAsia="仿宋_GB2312"/>
                      <w:sz w:val="24"/>
                    </w:rPr>
                    <w:t>(七)缺陷责任期：1年。</w:t>
                  </w:r>
                </w:p>
                <w:p>
                  <w:pPr>
                    <w:pStyle w:val="null3"/>
                    <w:jc w:val="both"/>
                  </w:pPr>
                  <w:r>
                    <w:rPr>
                      <w:rFonts w:ascii="仿宋_GB2312" w:hAnsi="仿宋_GB2312" w:cs="仿宋_GB2312" w:eastAsia="仿宋_GB2312"/>
                      <w:sz w:val="24"/>
                    </w:rPr>
                    <w:t>(八)质量保修期：2年（防水5年）。</w:t>
                  </w:r>
                </w:p>
                <w:p>
                  <w:pPr>
                    <w:pStyle w:val="null3"/>
                    <w:jc w:val="both"/>
                  </w:pPr>
                  <w:r>
                    <w:rPr>
                      <w:rFonts w:ascii="仿宋_GB2312" w:hAnsi="仿宋_GB2312" w:cs="仿宋_GB2312" w:eastAsia="仿宋_GB2312"/>
                      <w:sz w:val="24"/>
                    </w:rPr>
                    <w:t>（九）</w:t>
                  </w:r>
                  <w:r>
                    <w:rPr>
                      <w:rFonts w:ascii="仿宋_GB2312" w:hAnsi="仿宋_GB2312" w:cs="仿宋_GB2312" w:eastAsia="仿宋_GB2312"/>
                      <w:sz w:val="24"/>
                    </w:rPr>
                    <w:t>质量标准：</w:t>
                  </w:r>
                  <w:r>
                    <w:rPr>
                      <w:rFonts w:ascii="仿宋_GB2312" w:hAnsi="仿宋_GB2312" w:cs="仿宋_GB2312" w:eastAsia="仿宋_GB2312"/>
                      <w:sz w:val="24"/>
                      <w:color w:val="000000"/>
                    </w:rPr>
                    <w:t>符合国家现行相关规定及施工验收规范的</w:t>
                  </w:r>
                  <w:r>
                    <w:rPr>
                      <w:rFonts w:ascii="仿宋_GB2312" w:hAnsi="仿宋_GB2312" w:cs="仿宋_GB2312" w:eastAsia="仿宋_GB2312"/>
                      <w:sz w:val="24"/>
                      <w:color w:val="000000"/>
                    </w:rPr>
                    <w:t>“合格”标准。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十一</w:t>
                  </w:r>
                  <w:r>
                    <w:rPr>
                      <w:rFonts w:ascii="仿宋_GB2312" w:hAnsi="仿宋_GB2312" w:cs="仿宋_GB2312" w:eastAsia="仿宋_GB2312"/>
                      <w:sz w:val="24"/>
                    </w:rPr>
                    <w:t>）工程进度款的结算与支付：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1）工程竣工且验收合格后支付合同总价款的 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 17%（支付至审定价款的97%）；</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3）审定价的 3%待缺陷责任期满后一次性付清。</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编制依据：</w:t>
                  </w:r>
                </w:p>
                <w:p>
                  <w:pPr>
                    <w:pStyle w:val="null3"/>
                    <w:jc w:val="both"/>
                  </w:pPr>
                  <w:r>
                    <w:rPr>
                      <w:rFonts w:ascii="仿宋_GB2312" w:hAnsi="仿宋_GB2312" w:cs="仿宋_GB2312" w:eastAsia="仿宋_GB2312"/>
                      <w:sz w:val="24"/>
                    </w:rPr>
                    <w:t>1.“西安实验职业中等专业学校（机电校区） 学生食堂及校门口通道改造项目”图纸、相关标准图集、施工规范及验收规范等；</w:t>
                  </w:r>
                </w:p>
                <w:p>
                  <w:pPr>
                    <w:pStyle w:val="null3"/>
                    <w:jc w:val="both"/>
                  </w:pPr>
                  <w:r>
                    <w:rPr>
                      <w:rFonts w:ascii="仿宋_GB2312" w:hAnsi="仿宋_GB2312" w:cs="仿宋_GB2312" w:eastAsia="仿宋_GB2312"/>
                      <w:sz w:val="24"/>
                    </w:rPr>
                    <w:t>2.《陕西省建设工程工程量清单计价标准及计算标准》（2025）；</w:t>
                  </w:r>
                </w:p>
                <w:p>
                  <w:pPr>
                    <w:pStyle w:val="null3"/>
                    <w:jc w:val="both"/>
                  </w:pPr>
                  <w:r>
                    <w:rPr>
                      <w:rFonts w:ascii="仿宋_GB2312" w:hAnsi="仿宋_GB2312" w:cs="仿宋_GB2312" w:eastAsia="仿宋_GB2312"/>
                      <w:sz w:val="24"/>
                    </w:rPr>
                    <w:t>3.《陕西省房屋建筑与装饰工程消耗量定额》（2025）、《陕西省通用安装工程消耗量定额》（2025）、《陕西省市政工程消耗量定额》（2025）、《陕西省园林绿化工程消耗量定额》（2025）；</w:t>
                  </w:r>
                </w:p>
                <w:p>
                  <w:pPr>
                    <w:pStyle w:val="null3"/>
                    <w:jc w:val="both"/>
                  </w:pPr>
                  <w:r>
                    <w:rPr>
                      <w:rFonts w:ascii="仿宋_GB2312" w:hAnsi="仿宋_GB2312" w:cs="仿宋_GB2312" w:eastAsia="仿宋_GB2312"/>
                      <w:sz w:val="24"/>
                    </w:rPr>
                    <w:t>4.《陕西省房屋建筑与装饰工程基价表》（2025）、《陕西省通用安装工程基价表》（2025）、《陕西省市政工程基价表》（2025）、《陕西省园林绿化工程基价表》（2025）；</w:t>
                  </w:r>
                </w:p>
                <w:p>
                  <w:pPr>
                    <w:pStyle w:val="null3"/>
                    <w:jc w:val="both"/>
                  </w:pPr>
                  <w:r>
                    <w:rPr>
                      <w:rFonts w:ascii="仿宋_GB2312" w:hAnsi="仿宋_GB2312" w:cs="仿宋_GB2312" w:eastAsia="仿宋_GB2312"/>
                      <w:sz w:val="24"/>
                    </w:rPr>
                    <w:t>5.《陕西省建设工程费用规则》（2025）；</w:t>
                  </w:r>
                </w:p>
                <w:p>
                  <w:pPr>
                    <w:pStyle w:val="null3"/>
                    <w:jc w:val="both"/>
                  </w:pPr>
                  <w:r>
                    <w:rPr>
                      <w:rFonts w:ascii="仿宋_GB2312" w:hAnsi="仿宋_GB2312" w:cs="仿宋_GB2312" w:eastAsia="仿宋_GB2312"/>
                      <w:sz w:val="24"/>
                    </w:rPr>
                    <w:t>6、本工程量清单采用广联达云计价平台GCCP7.0（7.5000.23.3版本）编制。</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jc w:val="both"/>
                  </w:pPr>
                  <w:r>
                    <w:rPr>
                      <w:rFonts w:ascii="仿宋_GB2312" w:hAnsi="仿宋_GB2312" w:cs="仿宋_GB2312" w:eastAsia="仿宋_GB2312"/>
                      <w:sz w:val="24"/>
                    </w:rPr>
                    <w:t>6、施工单位保持其施工范围内的环境卫生，垃圾做到及时清理。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符合国家现行相关规定及施工验收规范的“合格”标准。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1,275,002.87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(9)拟派项目经理须具有建筑工程专业二级及以上注册建造师证书，同时具有有效的安全生产考核合格证书（建安B证），在本单位注册，且无在建工程、无不良记录（提供无在建工程、无不良记录承诺书）；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拟派项目经理须具有建筑工程专业二级及以上注册建造师证书，同时具有有效的安全生产考核合格证书（建安B证），在本单位注册，且无在建工程、无不良记录（提供无在建工程、无不良记录承诺书）；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01月01日至今类似项目业绩，每提供1份得2分，最高得6分；业绩证明（时间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