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版本号：ZDSL26-053Z20260804001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64排CT球管采购项目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ZDSL26-053Z</w:t>
      </w:r>
      <w:r>
        <w:br/>
      </w:r>
      <w:r>
        <w:br/>
      </w:r>
      <w:r>
        <w:br/>
      </w:r>
    </w:p>
    <w:p>
      <w:pPr>
        <w:pStyle w:val="null3"/>
        <w:jc w:val="center"/>
        <w:outlineLvl w:val="2"/>
      </w:pPr>
      <w:r>
        <w:rPr>
          <w:rFonts w:ascii="仿宋_GB2312" w:hAnsi="仿宋_GB2312" w:cs="仿宋_GB2312" w:eastAsia="仿宋_GB2312"/>
          <w:sz w:val="28"/>
          <w:b/>
        </w:rPr>
        <w:t>商洛市中心医院</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商洛市中心医院</w:t>
      </w:r>
      <w:r>
        <w:rPr>
          <w:rFonts w:ascii="仿宋_GB2312" w:hAnsi="仿宋_GB2312" w:cs="仿宋_GB2312" w:eastAsia="仿宋_GB2312"/>
        </w:rPr>
        <w:t>委托，拟对</w:t>
      </w:r>
      <w:r>
        <w:rPr>
          <w:rFonts w:ascii="仿宋_GB2312" w:hAnsi="仿宋_GB2312" w:cs="仿宋_GB2312" w:eastAsia="仿宋_GB2312"/>
        </w:rPr>
        <w:t>64排CT球管采购项目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ZDSL26-053Z</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64排CT球管采购项目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我院急诊64排CT球管发生故障，急需采购更换，以保障日常急诊救治工作，拟为急诊64排CT购置球管1只。成交供应商须在30日历天内完成供货、安装、调试，确保采购人能正常使用，并达到验收规范标准。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1、供应商资质：（1）供应商为制造商的须提供《医疗器械生产许可证》及所投产品的《医疗器械注册证》、《辐射安全许可证》复印件； （2）供应商为经销商的须提供《医疗器械经营许可证》或《第二类医疗器械经营备案凭证》、《辐射安全许可证》、同时提供制造商的《医疗器械生产许可证》及所投产品的《医疗器械注册证》复印件。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陕西省商洛市北新街西段148号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金老师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0914-2180023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陕西省商洛市商州区民生路全兴紫苑10、11号商铺三楼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马一妃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15309181965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开户名称：正大方略工程咨询有限公司商洛分公司</w:t>
            </w:r>
          </w:p>
          <w:p>
            <w:pPr>
              <w:pStyle w:val="null3"/>
            </w:pPr>
            <w:r>
              <w:rPr>
                <w:rFonts w:ascii="仿宋_GB2312" w:hAnsi="仿宋_GB2312" w:cs="仿宋_GB2312" w:eastAsia="仿宋_GB2312"/>
              </w:rPr>
              <w:t>开户银行：中国建设银行股份有限公司商洛秦韵教育城支行</w:t>
            </w:r>
          </w:p>
          <w:p>
            <w:pPr>
              <w:pStyle w:val="null3"/>
            </w:pPr>
            <w:r>
              <w:rPr>
                <w:rFonts w:ascii="仿宋_GB2312" w:hAnsi="仿宋_GB2312" w:cs="仿宋_GB2312" w:eastAsia="仿宋_GB2312"/>
              </w:rPr>
              <w:t>银行账号：61050167450000000287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以中标价格为基础，参照《招标代理服务收费管理暂行办法》的通知（计价格[2002]1980号）和《关于招标代理服务收费有关问题的通知》（发改办价格[2003]857号）的有关规定下浮20%收取，具体收费金额将在中标公告中公布，在发出中标通知书前由中标人向代理机构一次性支付。 2、代理服务费可以采取现金、支票、银行汇票、电汇、网银等方式缴纳。 3、代理服务费缴纳信息： 银行户名：正大方略工程咨询有限公司商洛分公司 开户银行：中国建设银行股份有限公司商洛商州支行 账号：61050167410000000144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商洛市中心医院</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联系人：马一妃</w:t>
      </w:r>
    </w:p>
    <w:p>
      <w:pPr>
        <w:pStyle w:val="null3"/>
      </w:pPr>
      <w:r>
        <w:rPr>
          <w:rFonts w:ascii="仿宋_GB2312" w:hAnsi="仿宋_GB2312" w:cs="仿宋_GB2312" w:eastAsia="仿宋_GB2312"/>
        </w:rPr>
        <w:t>联系电话：15309181965</w:t>
      </w:r>
    </w:p>
    <w:p>
      <w:pPr>
        <w:pStyle w:val="null3"/>
      </w:pPr>
      <w:r>
        <w:rPr>
          <w:rFonts w:ascii="仿宋_GB2312" w:hAnsi="仿宋_GB2312" w:cs="仿宋_GB2312" w:eastAsia="仿宋_GB2312"/>
        </w:rPr>
        <w:t>地址：陕西省商洛市商州区民生路全兴紫苑10、11号商铺三楼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我院急诊64排CT球管发生故障，急需采购更换，以保障日常急诊救治工作，拟为急诊64排CT购置球管1只。成交供应商须在30日历天内完成供货、安装、调试，确保采购人能正常使用，并达到验收规范标准。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商洛市中心医院64排CT球管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pPr>
            <w:r>
              <w:rPr>
                <w:rFonts w:ascii="仿宋_GB2312" w:hAnsi="仿宋_GB2312" w:cs="仿宋_GB2312" w:eastAsia="仿宋_GB2312"/>
              </w:rPr>
              <w:t>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标的名称：商洛市中心医院64排CT球管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32"/>
              <w:gridCol w:w="572"/>
              <w:gridCol w:w="1648"/>
            </w:tblGrid>
            <w:tr>
              <w:tc>
                <w:tcPr>
                  <w:tcW w:type="dxa" w:w="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5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1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一、设备名称</w:t>
                  </w:r>
                </w:p>
              </w:tc>
              <w:tc>
                <w:tcPr>
                  <w:tcW w:type="dxa" w:w="1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64排CT球管</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数量</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台</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三、用途</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可适用于全身</w:t>
                  </w:r>
                  <w:r>
                    <w:rPr>
                      <w:rFonts w:ascii="仿宋_GB2312" w:hAnsi="仿宋_GB2312" w:cs="仿宋_GB2312" w:eastAsia="仿宋_GB2312"/>
                      <w:sz w:val="20"/>
                    </w:rPr>
                    <w:t>X射线计算机断层扫描系统，品牌：GE，型号Optima CT660。</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四、基本要求</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所投产品为各厂家</w:t>
                  </w:r>
                  <w:r>
                    <w:rPr>
                      <w:rFonts w:ascii="仿宋_GB2312" w:hAnsi="仿宋_GB2312" w:cs="仿宋_GB2312" w:eastAsia="仿宋_GB2312"/>
                      <w:sz w:val="20"/>
                    </w:rPr>
                    <w:t>全</w:t>
                  </w:r>
                  <w:r>
                    <w:rPr>
                      <w:rFonts w:ascii="仿宋_GB2312" w:hAnsi="仿宋_GB2312" w:cs="仿宋_GB2312" w:eastAsia="仿宋_GB2312"/>
                      <w:sz w:val="20"/>
                    </w:rPr>
                    <w:t>新产品</w:t>
                  </w:r>
                  <w:r>
                    <w:rPr>
                      <w:rFonts w:ascii="仿宋_GB2312" w:hAnsi="仿宋_GB2312" w:cs="仿宋_GB2312" w:eastAsia="仿宋_GB2312"/>
                      <w:sz w:val="20"/>
                    </w:rPr>
                    <w:t>，提供产品注册证，提供厂家授权书</w:t>
                  </w:r>
                  <w:r>
                    <w:rPr>
                      <w:rFonts w:ascii="仿宋_GB2312" w:hAnsi="仿宋_GB2312" w:cs="仿宋_GB2312" w:eastAsia="仿宋_GB2312"/>
                      <w:sz w:val="20"/>
                    </w:rPr>
                    <w:t>。</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主要技术规格要求</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5.1</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焦点数量：</w:t>
                  </w:r>
                  <w:r>
                    <w:rPr>
                      <w:rFonts w:ascii="仿宋_GB2312" w:hAnsi="仿宋_GB2312" w:cs="仿宋_GB2312" w:eastAsia="仿宋_GB2312"/>
                      <w:sz w:val="20"/>
                    </w:rPr>
                    <w:t>≥2个；</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5.2</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焦点尺寸：</w:t>
                  </w:r>
                </w:p>
                <w:p>
                  <w:pPr>
                    <w:pStyle w:val="null3"/>
                    <w:jc w:val="both"/>
                  </w:pPr>
                  <w:r>
                    <w:rPr>
                      <w:rFonts w:ascii="仿宋_GB2312" w:hAnsi="仿宋_GB2312" w:cs="仿宋_GB2312" w:eastAsia="仿宋_GB2312"/>
                      <w:sz w:val="20"/>
                    </w:rPr>
                    <w:t>大焦点</w:t>
                  </w:r>
                  <w:r>
                    <w:rPr>
                      <w:rFonts w:ascii="仿宋_GB2312" w:hAnsi="仿宋_GB2312" w:cs="仿宋_GB2312" w:eastAsia="仿宋_GB2312"/>
                      <w:sz w:val="20"/>
                    </w:rPr>
                    <w:t>≥1.2mm×1.1mm；</w:t>
                  </w:r>
                </w:p>
                <w:p>
                  <w:pPr>
                    <w:pStyle w:val="null3"/>
                    <w:jc w:val="both"/>
                  </w:pPr>
                  <w:r>
                    <w:rPr>
                      <w:rFonts w:ascii="仿宋_GB2312" w:hAnsi="仿宋_GB2312" w:cs="仿宋_GB2312" w:eastAsia="仿宋_GB2312"/>
                      <w:sz w:val="20"/>
                    </w:rPr>
                    <w:t>小焦点</w:t>
                  </w:r>
                  <w:r>
                    <w:rPr>
                      <w:rFonts w:ascii="仿宋_GB2312" w:hAnsi="仿宋_GB2312" w:cs="仿宋_GB2312" w:eastAsia="仿宋_GB2312"/>
                      <w:sz w:val="20"/>
                    </w:rPr>
                    <w:t>≤0.9mm×0.7mm；</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5.3</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标称管电压</w:t>
                  </w:r>
                  <w:r>
                    <w:rPr>
                      <w:rFonts w:ascii="仿宋_GB2312" w:hAnsi="仿宋_GB2312" w:cs="仿宋_GB2312" w:eastAsia="仿宋_GB2312"/>
                      <w:sz w:val="20"/>
                    </w:rPr>
                    <w:t>≥140KV；</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5.4</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阳极热容量：</w:t>
                  </w:r>
                  <w:r>
                    <w:rPr>
                      <w:rFonts w:ascii="仿宋_GB2312" w:hAnsi="仿宋_GB2312" w:cs="仿宋_GB2312" w:eastAsia="仿宋_GB2312"/>
                      <w:sz w:val="20"/>
                    </w:rPr>
                    <w:t>≥6.3MHU；</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5.5</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阳极转速：</w:t>
                  </w:r>
                  <w:r>
                    <w:rPr>
                      <w:rFonts w:ascii="仿宋_GB2312" w:hAnsi="仿宋_GB2312" w:cs="仿宋_GB2312" w:eastAsia="仿宋_GB2312"/>
                      <w:sz w:val="20"/>
                    </w:rPr>
                    <w:t>≥8400RPM；</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5.6</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标称阳极输入功率：</w:t>
                  </w:r>
                </w:p>
                <w:p>
                  <w:pPr>
                    <w:pStyle w:val="null3"/>
                    <w:jc w:val="both"/>
                  </w:pPr>
                  <w:r>
                    <w:rPr>
                      <w:rFonts w:ascii="仿宋_GB2312" w:hAnsi="仿宋_GB2312" w:cs="仿宋_GB2312" w:eastAsia="仿宋_GB2312"/>
                      <w:sz w:val="20"/>
                    </w:rPr>
                    <w:t>小焦点</w:t>
                  </w:r>
                  <w:r>
                    <w:rPr>
                      <w:rFonts w:ascii="仿宋_GB2312" w:hAnsi="仿宋_GB2312" w:cs="仿宋_GB2312" w:eastAsia="仿宋_GB2312"/>
                      <w:sz w:val="20"/>
                    </w:rPr>
                    <w:t>≥24KW；</w:t>
                  </w:r>
                </w:p>
                <w:p>
                  <w:pPr>
                    <w:pStyle w:val="null3"/>
                    <w:jc w:val="both"/>
                  </w:pPr>
                  <w:r>
                    <w:rPr>
                      <w:rFonts w:ascii="仿宋_GB2312" w:hAnsi="仿宋_GB2312" w:cs="仿宋_GB2312" w:eastAsia="仿宋_GB2312"/>
                      <w:sz w:val="20"/>
                    </w:rPr>
                    <w:t>大焦点</w:t>
                  </w:r>
                  <w:r>
                    <w:rPr>
                      <w:rFonts w:ascii="仿宋_GB2312" w:hAnsi="仿宋_GB2312" w:cs="仿宋_GB2312" w:eastAsia="仿宋_GB2312"/>
                      <w:sz w:val="20"/>
                    </w:rPr>
                    <w:t>≥72KW；</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5.7</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靶角度：</w:t>
                  </w:r>
                  <w:r>
                    <w:rPr>
                      <w:rFonts w:ascii="仿宋_GB2312" w:hAnsi="仿宋_GB2312" w:cs="仿宋_GB2312" w:eastAsia="仿宋_GB2312"/>
                      <w:sz w:val="20"/>
                    </w:rPr>
                    <w:t>≥7°；</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5.8</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标称连续输入功率：</w:t>
                  </w:r>
                  <w:r>
                    <w:rPr>
                      <w:rFonts w:ascii="仿宋_GB2312" w:hAnsi="仿宋_GB2312" w:cs="仿宋_GB2312" w:eastAsia="仿宋_GB2312"/>
                      <w:sz w:val="20"/>
                    </w:rPr>
                    <w:t>≥4.8KW；</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5.9</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热控开关开启温度：</w:t>
                  </w:r>
                  <w:r>
                    <w:rPr>
                      <w:rFonts w:ascii="仿宋_GB2312" w:hAnsi="仿宋_GB2312" w:cs="仿宋_GB2312" w:eastAsia="仿宋_GB2312"/>
                      <w:sz w:val="20"/>
                    </w:rPr>
                    <w:t>71℃±3℃；</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5.10</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运输和存储温度范围：</w:t>
                  </w:r>
                  <w:r>
                    <w:rPr>
                      <w:rFonts w:ascii="仿宋_GB2312" w:hAnsi="仿宋_GB2312" w:cs="仿宋_GB2312" w:eastAsia="仿宋_GB2312"/>
                      <w:sz w:val="20"/>
                    </w:rPr>
                    <w:t>-30℃-70℃；</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5.11</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运输和存储湿度范围：</w:t>
                  </w:r>
                  <w:r>
                    <w:rPr>
                      <w:rFonts w:ascii="仿宋_GB2312" w:hAnsi="仿宋_GB2312" w:cs="仿宋_GB2312" w:eastAsia="仿宋_GB2312"/>
                      <w:sz w:val="20"/>
                    </w:rPr>
                    <w:t>20%RH-70%RH。</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商洛市中心医院指定地点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进度款，设备维修、维护等技术服务完毕，经甲乙双方共同验收合格，设备运行正常后，由乙方开具全额发票，达到付款条件起90个工作日内，支付合同总金额的100.0%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货方应按标书规定的技术要求提供产品，必须与装箱单一致，产品必须按相应的国际标准和中国国家标准及有关政府部门的规定，规范的完成制作和安装工作。达到中国国家标准及有关政府部门和用户的规定。2.安装完成后由用户及供货方联合验收。设备各项技术指标必须完全达到供货方投标时提供的技术指标以及设备的产品标准，完全达到对患者和医师的安全防护要求后，方可验收合格。3.货物验收依据： （1）招标文件； （2）响应文件； （3）采购合同及补充协议； （4）质检部门抽样检查货物（产品）合格的检测报告。 4.货物验收时发现问题的处理办法： （1）乙方提供不符合文件和本合同规定的货物（产品），甲方有权拒绝接受； （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 （3）如货物经乙方 3 次更换仍不能达到合同约定的质量标准，甲方有权视作乙方不能交付货物，无履约能力，乙方须支付违约赔偿金给甲方，甲方还可依法追究乙方的违约责任； （4）货物安装完成后 30 日内，甲方无故不进行验收工作并已使用货物的，视同已安装调试完成并验收合格； （5）乙方不能完整交付货物及规定的单证和工具的，必须负责补齐，否则视为未按合同约定交货；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自安装之日起曝光30万秒次或12个月先到为准，质保期内损坏应无偿更换同品牌同规格新球管1只。供货方在质保期内应提供4次以上预防性保养服务。2.供货方应提供设备的使用手册、操作说明书、软件等服务类资料，供货清单，产地证明等相关资料。3.乙方须提供全新的、未使用过的合格正品货物（含零部件、配件等），完全符合合同规定的质量、规格和性能的要求。 4.乙方提供的节能和环保产品必须是列入节能、环保标志产品品目清单中的产品。 5.质量标准按照最新颁布的国家标准、行业标准或制造商企业标准确定，上述标准不一致的，以严格标准为准。 6.乙方所提供货物还应符合国家和陕西省有关安全、环保、节能之规定，“3C”认证的货物（产品）应加贴“3C”认证标志。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1.甲方违约责任 （1）甲方无正当理由拒收货物的，甲方应偿付合同总价 1%的违约金； （2）甲方逾期支付货款的，除应及时付足货款外，应向乙方每天支付欠款总额 1 ‰的滞纳金；但累计滞纳金总额不超过欠款总额的 2%。 2.乙方违约责任 （1）如乙方不能交付货物，甲方有权扣留全部履约保证金；同时乙方应向甲方支付合同总价5％的违约金； （2）乙方逾期交付货物的，每逾期 1 天，乙方向甲方偿付逾期交货部分货款总额的 5‰的滞纳金。如乙方逾期交货达 2 天，甲方有权解除合同，解除合同的通知自到达乙方时生效； （3）乙方所交付的货物品种、型号、规格不符合合同规定的，甲方有权拒收。甲方拒收的，乙方应向甲方支付货款总额 5%的违约金； （4）乙方货物经甲方送交具有法定资格条件的质量技术监督机构检测后，如检测结果认定货物质量不符合本合同规定标准的，则视为乙方没有按时交货而违约，乙方须在 5 天内无条件更换合格的货物，如逾期不能更换合格的货物，甲方有权终止本合同，乙方应另向甲方支付货款总额的10 %的违约金； （5）在乙方承诺的或国家规定的质量保证期内（取两者中最长的期限），如经乙方两次维修或更换，货物仍不能达到合同约定的质量标准，甲方有权退货，乙方应退回全部货款，并按第 3 款处理，同时，乙方还须赔偿甲方因此遭受的损失； （6）乙方未按本合同的规定和“服务承诺”提供伴随服务/售后服务的，应按合同总价款的 5 %向甲方承担违约责任； （7）乙方在承担上述 1-6款一项或多项违约责任后，仍应继续履行合同规定的义务（甲方解除合同的除外）。甲方未能及时追究乙方的任何一项违约责任并不表明甲方放弃追究乙方该项或其他违约责任； （8）乙方偿付的违约金不足以弥补甲方损失的，还应按甲方损失尚未弥补的部分，支付赔偿金给甲方。 争议的解决 1.因货物的质量问题发生争议，由质量技术监督部门或其指定的质量鉴定机构进行质量鉴定。 货物符合标准的，鉴定费由甲方承担；货物不符合质量标准的，鉴定费由乙方承担。 2.因履行本合同引起的或与本合同有关的争议，甲、乙双方应首先通过友好协商解决，如果协商不成，则向甲方所在地有管辖权的人民法院提起诉讼； 3.在裁决期间，本合同应继续履行。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保障政府采购电子化交易平台项目实施，供应商需要在线提交所有通过电子化交易平台实施的政府采购项目的响应文件，成交供应商领取成交通知书时须提交响应文件正本壹套、副本贰套，电子U盘1份。纸质响应文件应与电子响应文件保持一致。递交文件地点:陕西省商洛市商州区民生路全兴紫苑10、11号商铺三楼。 2.本项目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3.采购文件所列标准与国家现行标准不一致时，以国家现行标准为准。4.质保期：自安装之日起曝光30万秒次或12个月先到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应符合《中华人民共和国政府采购法》第二十二条第一款规定，并按照《政府采购法实施条例》第十七条规定提供下列材料：（1）投标人应具有独立承担民事责任的能力：提供营业执照等证明文件；（2）提供法定代表人身份证明及授权委托书（法定代表人参与投标的无须提供授权委托书）；（3）税收缴纳证明：提供投标人自投标前1年以来已缴纳的任意时段的完税凭证或税务机关开具的完税证明（任意税种）；依法免税的应提供相关文件证明； （4）社会保障资金缴纳证明：提供投标人自投标前1年以来已缴存的任意时段的社会保障资金缴存单据或社保机构开具的社会保险参保缴费情况证明；依法不需要缴纳社会保障资金的投标人应提供相关文件证明；（5）具备履行合同所必需的专业技术能力的证明；（6）投标人参加本次投标前3年内，在经营活动中没有重大违法记录的书面声明；（7）提供投标人缴纳的投标保证金凭证。</w:t>
            </w:r>
          </w:p>
        </w:tc>
        <w:tc>
          <w:tcPr>
            <w:tcW w:type="dxa" w:w="1661"/>
          </w:tcPr>
          <w:p>
            <w:pPr>
              <w:pStyle w:val="null3"/>
            </w:pPr>
            <w:r>
              <w:rPr>
                <w:rFonts w:ascii="仿宋_GB2312" w:hAnsi="仿宋_GB2312" w:cs="仿宋_GB2312" w:eastAsia="仿宋_GB2312"/>
              </w:rPr>
              <w:t>投标函 一般资格要求.docx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2025年度经审计的供应商财务报告（包括“四表一注”即《资产负债表》《利润表》《现金流量表》《所有者权益变动表》及其附注）或者提供响应文件截止时间3个月内其基本账户开户银行出具的资信证明；供应商成立不到1年的，可提供企业任意时段财务报表（注：供应商提供的经审计的财务报告应具有注册会计师行业统一监管平台赋予的验证码，并可通过统一监管平台或手机“扫一扫”等方式进行查验）</w:t>
            </w:r>
          </w:p>
        </w:tc>
        <w:tc>
          <w:tcPr>
            <w:tcW w:type="dxa" w:w="1661"/>
          </w:tcPr>
          <w:p>
            <w:pPr>
              <w:pStyle w:val="null3"/>
            </w:pPr>
            <w:r>
              <w:rPr>
                <w:rFonts w:ascii="仿宋_GB2312" w:hAnsi="仿宋_GB2312" w:cs="仿宋_GB2312" w:eastAsia="仿宋_GB2312"/>
              </w:rPr>
              <w:t>财务状况报告.docx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（1）供应商为制造商的须提供《医疗器械生产许可证》及所投产品的《医疗器械注册证》、《辐射安全许可证》复印件； （2）供应商为经销商的须提供《医疗器械经营许可证》或《第二类医疗器械经营备案凭证》、《辐射安全许可证》、同时提供制造商的《医疗器械生产许可证》及所投产品的《医疗器械注册证》复印件。</w:t>
            </w:r>
          </w:p>
        </w:tc>
        <w:tc>
          <w:tcPr>
            <w:tcW w:type="dxa" w:w="1661"/>
          </w:tcPr>
          <w:p>
            <w:pPr>
              <w:pStyle w:val="null3"/>
            </w:pPr>
            <w:r>
              <w:rPr>
                <w:rFonts w:ascii="仿宋_GB2312" w:hAnsi="仿宋_GB2312" w:cs="仿宋_GB2312" w:eastAsia="仿宋_GB2312"/>
              </w:rPr>
              <w:t>投标人特定资格条件证明材料.docx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符合招标文件签字盖章的规定</w:t>
            </w:r>
          </w:p>
        </w:tc>
        <w:tc>
          <w:tcPr>
            <w:tcW w:type="dxa" w:w="1661"/>
          </w:tcPr>
          <w:p>
            <w:pPr>
              <w:pStyle w:val="null3"/>
            </w:pPr>
            <w:r>
              <w:rPr>
                <w:rFonts w:ascii="仿宋_GB2312" w:hAnsi="仿宋_GB2312" w:cs="仿宋_GB2312" w:eastAsia="仿宋_GB2312"/>
              </w:rPr>
              <w:t>开标一览表.docx 本国产品说明.docx 开标一览表 售后服务方案.docx 货物（产品）分项报价表.docx 中小企业声明函 制造商授权书.docx 商务应答表 一般资格要求.docx 投标人认为有必要补充说明的事项.docx 中国境内生产的组件成本核算基本规则.docx 投标人近3年完成的类似业绩证明材料.docx 产品技术参数表 投标函 残疾人福利性单位声明函 标的清单 关于符合本国产品标准的声明函 投标文件封面 实施方案.docx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开标一览表.docx 本国产品说明.docx 开标一览表 售后服务方案.docx 货物（产品）分项报价表.docx 中小企业声明函 制造商授权书.docx 商务应答表 一般资格要求.docx 投标人认为有必要补充说明的事项.docx 中国境内生产的组件成本核算基本规则.docx 投标人近3年完成的类似业绩证明材料.docx 产品技术参数表 投标函 残疾人福利性单位声明函 标的清单 关于符合本国产品标准的声明函 投标文件封面 实施方案.docx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开标一览表.docx 开标一览表 产品技术参数表 货物（产品）分项报价表.docx 商务应答表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产品技术参数表 商务应答表 投标文件封面 投标人认为有必要补充说明的事项.docx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符合招标文件符合招标文件实质性要求的规定实质性要求的规定符合招标文件符合招标文件实质性要求的规定实质性要求的规定</w:t>
            </w:r>
          </w:p>
        </w:tc>
        <w:tc>
          <w:tcPr>
            <w:tcW w:type="dxa" w:w="1661"/>
          </w:tcPr>
          <w:p>
            <w:pPr>
              <w:pStyle w:val="null3"/>
            </w:pPr>
            <w:r>
              <w:rPr>
                <w:rFonts w:ascii="仿宋_GB2312" w:hAnsi="仿宋_GB2312" w:cs="仿宋_GB2312" w:eastAsia="仿宋_GB2312"/>
              </w:rPr>
              <w:t>开标一览表.docx 开标一览表 产品技术参数表 货物（产品）分项报价表.docx 商务应答表 标的清单 投标文件封面 投标人认为有必要补充说明的事项.docx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符合招标文件投标有效期的规定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符合招标文件交货期的规定</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符合招标文件交货地点的规定</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符合招标文件质保期的规定</w:t>
            </w:r>
          </w:p>
        </w:tc>
        <w:tc>
          <w:tcPr>
            <w:tcW w:type="dxa" w:w="1661"/>
          </w:tcPr>
          <w:p>
            <w:pPr>
              <w:pStyle w:val="null3"/>
            </w:pPr>
            <w:r>
              <w:rPr>
                <w:rFonts w:ascii="仿宋_GB2312" w:hAnsi="仿宋_GB2312" w:cs="仿宋_GB2312" w:eastAsia="仿宋_GB2312"/>
              </w:rPr>
              <w:t>开标一览表.docx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所投产品技术参数清楚、明确并满足磋商文件要求的，得36分，技术指标每有一条负偏离扣2分，扣完为止。 评审依据：按照技术参数要求提供相应的证明文件（包括但不限于检测报告、技术白皮书、厂家产品说明等），无技术材料支持视为负偏离。</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货物（产品）分项报价表.docx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一、评审内容：提供完整可行有针对性的实施方案，包含：①供货方案、②安装调试方案、③技术支持方案、④质量保证措施、⑤验收方案。 二、评审标准：每项内容完整可行且有针对性得2分，缺漏项不 得分，满分10分；每项内容中每有一处有缺陷扣0.5分，扣完为止。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一、评审内容：提供完整可行有针对性的售后服务方案，包含：①售后服务范围及保障措施、②应急保障方案、③培训方案、④故障处理及补救措施、⑤备品配件服务承诺。 二、评审标准：每项内容完整可行且有针对性得2分，缺漏项不得分，满分10分；每项内容中每有一处有缺陷扣0.5分，扣完为止。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以供应商提供的2023年7月1日起至今类似业绩（以合同签订时间为准，截止日为本项目公告发布之日）计算，每份合同为1个业绩，每提供一个得2.5分，最高得10分。提供合同复印件，未提供的不得分。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投标人近3年完成的类似业绩证明材料.docx</w:t>
            </w:r>
          </w:p>
        </w:tc>
      </w:tr>
      <w:tr>
        <w:tc>
          <w:tcPr>
            <w:tcW w:type="dxa" w:w="831"/>
            <w:vMerge/>
          </w:tcPr>
          <w:p/>
        </w:tc>
        <w:tc>
          <w:tcPr>
            <w:tcW w:type="dxa" w:w="1661"/>
          </w:tcPr>
          <w:p>
            <w:pPr>
              <w:pStyle w:val="null3"/>
            </w:pPr>
            <w:r>
              <w:rPr>
                <w:rFonts w:ascii="仿宋_GB2312" w:hAnsi="仿宋_GB2312" w:cs="仿宋_GB2312" w:eastAsia="仿宋_GB2312"/>
              </w:rPr>
              <w:t>制造商授权书</w:t>
            </w:r>
          </w:p>
        </w:tc>
        <w:tc>
          <w:tcPr>
            <w:tcW w:type="dxa" w:w="2492"/>
          </w:tcPr>
          <w:p>
            <w:pPr>
              <w:pStyle w:val="null3"/>
            </w:pPr>
            <w:r>
              <w:rPr>
                <w:rFonts w:ascii="仿宋_GB2312" w:hAnsi="仿宋_GB2312" w:cs="仿宋_GB2312" w:eastAsia="仿宋_GB2312"/>
              </w:rPr>
              <w:t>提供所投产品制造商授权书得4分，供应商为制造商的直接得4分，供应商未提供的不得分。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制造商授权书.docx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货物（产品）分项报价表.docx</w:t>
            </w:r>
          </w:p>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 号文件第二十四条和财库[2020]46号文件的规定，采用低价优先法计算，以本次满足招标文件要求的最低评审价为基准价，其价格为满分。供应商的价格分，统一按照下列公式计算：最后报价得分=(基准价／最后报价)×100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货物（产品）分项报价表.docx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货物（产品）分项报价表.docx</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详见附件：货物（产品）分项报价表.docx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详见附件：投标人近3年完成的类似业绩证明材料.docx</w:t>
      </w:r>
    </w:p>
    <w:p>
      <w:pPr>
        <w:pStyle w:val="null3"/>
        <w:ind w:firstLine="960"/>
      </w:pPr>
      <w:r>
        <w:rPr>
          <w:rFonts w:ascii="仿宋_GB2312" w:hAnsi="仿宋_GB2312" w:cs="仿宋_GB2312" w:eastAsia="仿宋_GB2312"/>
        </w:rPr>
        <w:t>详见附件：制造商授权书.docx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详见附件：投标人认为有必要补充说明的事项.docx</w:t>
      </w:r>
    </w:p>
    <w:p>
      <w:pPr>
        <w:pStyle w:val="null3"/>
        <w:ind w:firstLine="960"/>
      </w:pPr>
      <w:r>
        <w:rPr>
          <w:rFonts w:ascii="仿宋_GB2312" w:hAnsi="仿宋_GB2312" w:cs="仿宋_GB2312" w:eastAsia="仿宋_GB2312"/>
        </w:rPr>
        <w:t>详见附件：投标人特定资格条件证明材料.docx</w:t>
      </w:r>
    </w:p>
    <w:p>
      <w:pPr>
        <w:pStyle w:val="null3"/>
        <w:ind w:firstLine="960"/>
      </w:pPr>
      <w:r>
        <w:rPr>
          <w:rFonts w:ascii="仿宋_GB2312" w:hAnsi="仿宋_GB2312" w:cs="仿宋_GB2312" w:eastAsia="仿宋_GB2312"/>
        </w:rPr>
        <w:t>详见附件：财务状况报告.docx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