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版本号：SZT2026-SN-SC-ZC-HW-0189.1B120260625001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紫外可见近红外分光光度计(二次)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SZT2026-SN-SC-ZC-HW-0189.1B1</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紫外可见近红外分光光度计(二次)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SZT2026-SN-SC-ZC-HW-0189.1B1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紫外可见近红外分光光度计(二次)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本设备主要用于测量和分析液体、粉末、薄膜、织物等材料在紫外可见近红外光区的吸收、透过及漫反射等光学性能。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180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按照中标金额的0.69%进行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本设备主要用于测量和分析液体、粉末、薄膜、织物等材料在紫外可见近红外光区的吸收、透过及漫反射等光学性能。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紫外可见近红外分光光度计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标的名称：紫外可见近红外分光光度计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shd w:fill="FFFFFF" w:val="clear"/>
              </w:rPr>
              <w:t>▲1.190~3300 nm的波长范围；</w:t>
            </w:r>
          </w:p>
          <w:p>
            <w:pPr>
              <w:pStyle w:val="null3"/>
              <w:jc w:val="both"/>
            </w:pPr>
            <w:r>
              <w:rPr>
                <w:rFonts w:ascii="仿宋_GB2312" w:hAnsi="仿宋_GB2312" w:cs="仿宋_GB2312" w:eastAsia="仿宋_GB2312"/>
                <w:sz w:val="18"/>
                <w:shd w:fill="FFFFFF" w:val="clear"/>
              </w:rPr>
              <w:t>2.测定波长范围：标准积分球250~2500 nm，直射光190~3300 nm；</w:t>
            </w:r>
          </w:p>
          <w:p>
            <w:pPr>
              <w:pStyle w:val="null3"/>
              <w:jc w:val="both"/>
            </w:pPr>
            <w:r>
              <w:rPr>
                <w:rFonts w:ascii="仿宋_GB2312" w:hAnsi="仿宋_GB2312" w:cs="仿宋_GB2312" w:eastAsia="仿宋_GB2312"/>
                <w:sz w:val="18"/>
                <w:shd w:fill="FFFFFF" w:val="clear"/>
              </w:rPr>
              <w:t>3.波长精密度：紫外和可见光区≤±0.2 nm，近红外区≤±1 nm；</w:t>
            </w:r>
          </w:p>
          <w:p>
            <w:pPr>
              <w:pStyle w:val="null3"/>
              <w:jc w:val="both"/>
            </w:pPr>
            <w:r>
              <w:rPr>
                <w:rFonts w:ascii="仿宋_GB2312" w:hAnsi="仿宋_GB2312" w:cs="仿宋_GB2312" w:eastAsia="仿宋_GB2312"/>
                <w:sz w:val="18"/>
                <w:shd w:fill="FFFFFF" w:val="clear"/>
              </w:rPr>
              <w:t>4.双光束光学系统；</w:t>
            </w:r>
          </w:p>
          <w:p>
            <w:pPr>
              <w:pStyle w:val="null3"/>
              <w:jc w:val="both"/>
            </w:pPr>
            <w:r>
              <w:rPr>
                <w:rFonts w:ascii="仿宋_GB2312" w:hAnsi="仿宋_GB2312" w:cs="仿宋_GB2312" w:eastAsia="仿宋_GB2312"/>
                <w:sz w:val="18"/>
                <w:shd w:fill="FFFFFF" w:val="clear"/>
              </w:rPr>
              <w:t>▲5.杂散光：220 nm (NaI)：≤0.00008%，340 nm (NaNO₂)：≤0.00005%；</w:t>
            </w:r>
          </w:p>
          <w:p>
            <w:pPr>
              <w:pStyle w:val="null3"/>
              <w:jc w:val="both"/>
            </w:pPr>
            <w:r>
              <w:rPr>
                <w:rFonts w:ascii="仿宋_GB2312" w:hAnsi="仿宋_GB2312" w:cs="仿宋_GB2312" w:eastAsia="仿宋_GB2312"/>
                <w:sz w:val="18"/>
                <w:shd w:fill="FFFFFF" w:val="clear"/>
              </w:rPr>
              <w:t>6.光度范围：-2~5.0 Abs；光度准确性：≤0.002 Abs；</w:t>
            </w:r>
          </w:p>
          <w:p>
            <w:pPr>
              <w:pStyle w:val="null3"/>
              <w:jc w:val="both"/>
            </w:pPr>
            <w:r>
              <w:rPr>
                <w:rFonts w:ascii="仿宋_GB2312" w:hAnsi="仿宋_GB2312" w:cs="仿宋_GB2312" w:eastAsia="仿宋_GB2312"/>
                <w:sz w:val="18"/>
                <w:shd w:fill="FFFFFF" w:val="clear"/>
              </w:rPr>
              <w:t>▲7.噪声(0 Abs处)：≤0.00005 Abs (500 nm)，≤0.00005Abs (1500 nm)；</w:t>
            </w:r>
          </w:p>
          <w:p>
            <w:pPr>
              <w:pStyle w:val="null3"/>
              <w:jc w:val="both"/>
            </w:pPr>
            <w:r>
              <w:rPr>
                <w:rFonts w:ascii="仿宋_GB2312" w:hAnsi="仿宋_GB2312" w:cs="仿宋_GB2312" w:eastAsia="仿宋_GB2312"/>
                <w:sz w:val="18"/>
                <w:shd w:fill="FFFFFF" w:val="clear"/>
              </w:rPr>
              <w:t>8.光谱分辨率：≤0.2 nm；</w:t>
            </w:r>
          </w:p>
          <w:p>
            <w:pPr>
              <w:pStyle w:val="null3"/>
              <w:jc w:val="both"/>
            </w:pPr>
            <w:r>
              <w:rPr>
                <w:rFonts w:ascii="仿宋_GB2312" w:hAnsi="仿宋_GB2312" w:cs="仿宋_GB2312" w:eastAsia="仿宋_GB2312"/>
                <w:sz w:val="18"/>
                <w:shd w:fill="FFFFFF" w:val="clear"/>
              </w:rPr>
              <w:t>9.扫描速度：0.3~2000 nm/min；</w:t>
            </w:r>
          </w:p>
          <w:p>
            <w:pPr>
              <w:pStyle w:val="null3"/>
              <w:jc w:val="both"/>
            </w:pPr>
            <w:r>
              <w:rPr>
                <w:rFonts w:ascii="仿宋_GB2312" w:hAnsi="仿宋_GB2312" w:cs="仿宋_GB2312" w:eastAsia="仿宋_GB2312"/>
                <w:sz w:val="18"/>
                <w:shd w:fill="FFFFFF" w:val="clear"/>
              </w:rPr>
              <w:t>10.基线平直度：200-2500 nm&lt;±0.001Abs；</w:t>
            </w:r>
          </w:p>
          <w:p>
            <w:pPr>
              <w:pStyle w:val="null3"/>
              <w:jc w:val="both"/>
            </w:pPr>
            <w:r>
              <w:rPr>
                <w:rFonts w:ascii="仿宋_GB2312" w:hAnsi="仿宋_GB2312" w:cs="仿宋_GB2312" w:eastAsia="仿宋_GB2312"/>
                <w:sz w:val="18"/>
                <w:shd w:fill="FFFFFF" w:val="clear"/>
              </w:rPr>
              <w:t>▲11.光谱带宽：0.1/0.2/0.5/1/2/5/10 nm（UV-Vis），0.25/0.5 nm（NIR），1~35 nm(自动)；</w:t>
            </w:r>
          </w:p>
          <w:p>
            <w:pPr>
              <w:pStyle w:val="null3"/>
              <w:jc w:val="both"/>
            </w:pPr>
            <w:r>
              <w:rPr>
                <w:rFonts w:ascii="仿宋_GB2312" w:hAnsi="仿宋_GB2312" w:cs="仿宋_GB2312" w:eastAsia="仿宋_GB2312"/>
                <w:sz w:val="18"/>
                <w:shd w:fill="FFFFFF" w:val="clear"/>
              </w:rPr>
              <w:t>12.检测器配置：光电倍增管（UV-VIS）和冷却型PbS检测器（NIR）；</w:t>
            </w:r>
          </w:p>
          <w:p>
            <w:pPr>
              <w:pStyle w:val="null3"/>
            </w:pPr>
            <w:r>
              <w:rPr>
                <w:rFonts w:ascii="仿宋_GB2312" w:hAnsi="仿宋_GB2312" w:cs="仿宋_GB2312" w:eastAsia="仿宋_GB2312"/>
                <w:sz w:val="18"/>
                <w:shd w:fill="FFFFFF" w:val="clear"/>
              </w:rPr>
              <w:t>13.单样品仓，通过更换附件实现不同样品测试，大样品室（可放置≥300 mm×300 mm样品）。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合同签订后90日内货到采购人指定地点；安装调试验收时间：合同签订后90日内。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14日内支付成交金额的100%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不得少于2年，国产设备不得少于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四、投标有效期：本项目投标有效期为从开标之日起180日历天。中标供应商的投标文件有效期自动延长合同履行完毕。 五、报价说明：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六、其他备注说明（因本项目使用电子招投标系统，格式无法调整，招标文件中其他部分与本部分不一致时以本部分要求为准）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进口产品授权要求</w:t>
            </w:r>
          </w:p>
        </w:tc>
        <w:tc>
          <w:tcPr>
            <w:tcW w:type="dxa" w:w="3322"/>
          </w:tcPr>
          <w:p>
            <w:pPr>
              <w:pStyle w:val="null3"/>
            </w:pPr>
            <w:r>
              <w:rPr>
                <w:rFonts w:ascii="仿宋_GB2312" w:hAnsi="仿宋_GB2312" w:cs="仿宋_GB2312" w:eastAsia="仿宋_GB2312"/>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投标函 投标文件封面 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格式文本.docx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38分。结合规格、技术参数偏离表的响应证明材料，按招标文件内配置最低要求，带“▲”号指标项每出现1个负偏离扣5分，非“▲”号指标项每出现1个负偏离，扣2分，供应商须按招标文件要求提供带“▲”号指标项的证明材料（包括产品彩页或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评审内容包含:①产品性能②使用寿命及效果③质量保证措施。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评审内容包含:①项目分析：需求理解，重难点分析；②整体进度计划，安装调试，验收方案；③运行环境实施方案；④人员保障方案。 每一项内容全面详细、阐述条理清晰得2分，满分8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培训方案及售后</w:t>
            </w:r>
          </w:p>
        </w:tc>
        <w:tc>
          <w:tcPr>
            <w:tcW w:type="dxa" w:w="2492"/>
          </w:tcPr>
          <w:p>
            <w:pPr>
              <w:pStyle w:val="null3"/>
            </w:pPr>
            <w:r>
              <w:rPr>
                <w:rFonts w:ascii="仿宋_GB2312" w:hAnsi="仿宋_GB2312" w:cs="仿宋_GB2312" w:eastAsia="仿宋_GB2312"/>
              </w:rPr>
              <w:t>评审内容包含:①培训：培训时间、内容，预期达到的效果；提供培训的机会和次数；培训讲师。②售后服务：应急措施，人员配备，响应时间及方式，备件供应准备及质量，质保期后的维修方案。 每一项内容全面详细、阐述条理清晰得3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提供所投产品业绩，提供合同复印件（扫描件）加盖供应商公章，每份有效业绩计1分，合计最高10分。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政府采购活动中既有本国产品又有非本国产品参与竞争的,依法对本国产品给予价格评审优惠，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详见附件：进口设备采购协议（模板）20260508.docx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