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81BC4C">
      <w:pPr>
        <w:adjustRightInd w:val="0"/>
        <w:snapToGrid w:val="0"/>
        <w:spacing w:line="360" w:lineRule="auto"/>
        <w:jc w:val="right"/>
        <w:rPr>
          <w:rFonts w:ascii="宋体" w:cs="Times New Roman"/>
          <w:b/>
          <w:bCs/>
          <w:sz w:val="30"/>
          <w:szCs w:val="30"/>
        </w:rPr>
      </w:pPr>
      <w:bookmarkStart w:id="0" w:name="OLE_LINK9"/>
      <w:r>
        <w:rPr>
          <w:rFonts w:hint="eastAsia" w:ascii="宋体" w:hAnsi="宋体" w:cs="宋体"/>
          <w:b/>
          <w:bCs/>
          <w:sz w:val="30"/>
          <w:szCs w:val="30"/>
        </w:rPr>
        <w:t>政府采购项目</w:t>
      </w:r>
    </w:p>
    <w:p w14:paraId="17813E35">
      <w:pPr>
        <w:tabs>
          <w:tab w:val="left" w:pos="7400"/>
        </w:tabs>
        <w:adjustRightInd w:val="0"/>
        <w:snapToGrid w:val="0"/>
        <w:spacing w:line="360" w:lineRule="auto"/>
        <w:rPr>
          <w:rFonts w:hint="eastAsia" w:ascii="宋体" w:cs="Times New Roman"/>
          <w:b/>
          <w:bCs/>
          <w:sz w:val="44"/>
          <w:szCs w:val="44"/>
        </w:rPr>
      </w:pPr>
      <w:r>
        <w:rPr>
          <w:rFonts w:hint="eastAsia" w:ascii="宋体" w:hAnsi="宋体" w:cs="宋体"/>
          <w:b/>
          <w:bCs/>
          <w:sz w:val="30"/>
          <w:szCs w:val="30"/>
        </w:rPr>
        <w:t>项目编号：</w:t>
      </w:r>
      <w:r>
        <w:rPr>
          <w:rFonts w:hint="eastAsia" w:ascii="宋体" w:hAnsi="宋体" w:cs="宋体"/>
          <w:b/>
          <w:bCs/>
          <w:sz w:val="30"/>
          <w:szCs w:val="30"/>
          <w:lang w:eastAsia="zh-CN"/>
        </w:rPr>
        <w:t>AKSH2026-ZCS-113</w:t>
      </w:r>
      <w:r>
        <w:rPr>
          <w:rFonts w:hint="eastAsia" w:ascii="宋体" w:cs="Times New Roman"/>
          <w:b/>
          <w:bCs/>
          <w:sz w:val="44"/>
          <w:szCs w:val="44"/>
        </w:rPr>
        <w:tab/>
      </w:r>
    </w:p>
    <w:p w14:paraId="4C325BAB">
      <w:pPr>
        <w:tabs>
          <w:tab w:val="left" w:pos="0"/>
        </w:tabs>
        <w:adjustRightInd w:val="0"/>
        <w:snapToGrid w:val="0"/>
        <w:spacing w:line="360" w:lineRule="auto"/>
        <w:ind w:firstLine="2811" w:firstLineChars="500"/>
        <w:jc w:val="both"/>
        <w:rPr>
          <w:rFonts w:hint="eastAsia" w:ascii="宋体" w:hAnsi="宋体" w:eastAsia="宋体" w:cs="宋体"/>
          <w:b/>
          <w:bCs/>
          <w:kern w:val="2"/>
          <w:sz w:val="56"/>
          <w:szCs w:val="56"/>
          <w:lang w:val="en-US" w:eastAsia="zh-CN" w:bidi="ar-SA"/>
        </w:rPr>
      </w:pPr>
    </w:p>
    <w:p w14:paraId="6499E9A5">
      <w:pPr>
        <w:pStyle w:val="27"/>
        <w:jc w:val="center"/>
        <w:rPr>
          <w:rFonts w:hint="default" w:ascii="宋体" w:hAnsi="宋体" w:eastAsia="宋体" w:cs="宋体"/>
          <w:b/>
          <w:bCs/>
          <w:kern w:val="2"/>
          <w:sz w:val="52"/>
          <w:szCs w:val="52"/>
          <w:lang w:val="en-US" w:eastAsia="zh-CN" w:bidi="ar-SA"/>
        </w:rPr>
      </w:pPr>
      <w:r>
        <w:rPr>
          <w:rFonts w:hint="eastAsia" w:ascii="宋体" w:hAnsi="宋体" w:cs="宋体"/>
          <w:b/>
          <w:bCs/>
          <w:kern w:val="2"/>
          <w:sz w:val="52"/>
          <w:szCs w:val="52"/>
          <w:lang w:val="en-US" w:eastAsia="zh-CN" w:bidi="ar-SA"/>
        </w:rPr>
        <w:t>安康市工人文化宫一楼装修施工项目</w:t>
      </w:r>
    </w:p>
    <w:p w14:paraId="43F87694">
      <w:pPr>
        <w:tabs>
          <w:tab w:val="left" w:pos="0"/>
        </w:tabs>
        <w:adjustRightInd w:val="0"/>
        <w:snapToGrid w:val="0"/>
        <w:spacing w:line="360" w:lineRule="auto"/>
        <w:ind w:firstLine="2811" w:firstLineChars="500"/>
        <w:jc w:val="both"/>
        <w:rPr>
          <w:rFonts w:hint="eastAsia" w:ascii="宋体" w:hAnsi="宋体" w:eastAsia="宋体" w:cs="宋体"/>
          <w:b/>
          <w:bCs/>
          <w:kern w:val="2"/>
          <w:sz w:val="56"/>
          <w:szCs w:val="56"/>
          <w:lang w:val="en-US" w:eastAsia="zh-CN" w:bidi="ar-SA"/>
        </w:rPr>
      </w:pPr>
    </w:p>
    <w:p w14:paraId="2202E583">
      <w:pPr>
        <w:tabs>
          <w:tab w:val="left" w:pos="0"/>
        </w:tabs>
        <w:adjustRightInd w:val="0"/>
        <w:snapToGrid w:val="0"/>
        <w:spacing w:line="360" w:lineRule="auto"/>
        <w:ind w:firstLine="2811" w:firstLineChars="500"/>
        <w:jc w:val="both"/>
        <w:rPr>
          <w:rFonts w:hint="eastAsia" w:ascii="宋体" w:hAnsi="宋体" w:eastAsia="宋体" w:cs="宋体"/>
          <w:b/>
          <w:bCs/>
          <w:kern w:val="2"/>
          <w:sz w:val="56"/>
          <w:szCs w:val="56"/>
          <w:lang w:val="en-US" w:eastAsia="zh-CN" w:bidi="ar-SA"/>
        </w:rPr>
      </w:pPr>
    </w:p>
    <w:p w14:paraId="70C8818A">
      <w:pPr>
        <w:tabs>
          <w:tab w:val="left" w:pos="0"/>
        </w:tabs>
        <w:adjustRightInd w:val="0"/>
        <w:snapToGrid w:val="0"/>
        <w:spacing w:line="360" w:lineRule="auto"/>
        <w:ind w:firstLine="2811" w:firstLineChars="500"/>
        <w:jc w:val="both"/>
        <w:rPr>
          <w:rFonts w:hint="eastAsia" w:ascii="宋体" w:hAnsi="宋体" w:eastAsia="宋体" w:cs="宋体"/>
          <w:b/>
          <w:bCs/>
          <w:kern w:val="2"/>
          <w:sz w:val="56"/>
          <w:szCs w:val="56"/>
          <w:lang w:val="en-US" w:eastAsia="zh-CN" w:bidi="ar-SA"/>
        </w:rPr>
      </w:pPr>
      <w:r>
        <w:rPr>
          <w:rFonts w:hint="eastAsia" w:ascii="宋体" w:hAnsi="宋体" w:eastAsia="宋体" w:cs="宋体"/>
          <w:b/>
          <w:bCs/>
          <w:kern w:val="2"/>
          <w:sz w:val="56"/>
          <w:szCs w:val="56"/>
          <w:lang w:val="en-US" w:eastAsia="zh-CN" w:bidi="ar-SA"/>
        </w:rPr>
        <w:drawing>
          <wp:anchor distT="0" distB="0" distL="114300" distR="114300" simplePos="0" relativeHeight="251660288" behindDoc="0" locked="0" layoutInCell="1" allowOverlap="1">
            <wp:simplePos x="0" y="0"/>
            <wp:positionH relativeFrom="column">
              <wp:posOffset>2260600</wp:posOffset>
            </wp:positionH>
            <wp:positionV relativeFrom="paragraph">
              <wp:posOffset>96520</wp:posOffset>
            </wp:positionV>
            <wp:extent cx="1552575" cy="1123950"/>
            <wp:effectExtent l="0" t="0" r="9525" b="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9"/>
                    <a:stretch>
                      <a:fillRect/>
                    </a:stretch>
                  </pic:blipFill>
                  <pic:spPr>
                    <a:xfrm>
                      <a:off x="0" y="0"/>
                      <a:ext cx="1599474" cy="1157901"/>
                    </a:xfrm>
                    <a:prstGeom prst="rect">
                      <a:avLst/>
                    </a:prstGeom>
                  </pic:spPr>
                </pic:pic>
              </a:graphicData>
            </a:graphic>
          </wp:anchor>
        </w:drawing>
      </w:r>
      <w:r>
        <w:rPr>
          <w:rFonts w:hint="eastAsia" w:ascii="宋体" w:hAnsi="宋体" w:eastAsia="宋体" w:cs="宋体"/>
          <w:b/>
          <w:bCs/>
          <w:kern w:val="2"/>
          <w:sz w:val="56"/>
          <w:szCs w:val="56"/>
          <w:lang w:val="en-US" w:eastAsia="zh-CN" w:bidi="ar-SA"/>
        </w:rPr>
        <w:t xml:space="preserve"> </w:t>
      </w:r>
    </w:p>
    <w:p w14:paraId="3B99B0FB">
      <w:pPr>
        <w:adjustRightInd w:val="0"/>
        <w:snapToGrid w:val="0"/>
        <w:spacing w:line="360" w:lineRule="auto"/>
        <w:jc w:val="left"/>
        <w:rPr>
          <w:rFonts w:hint="default" w:ascii="宋体" w:eastAsia="宋体" w:cs="Times New Roman"/>
          <w:b/>
          <w:bCs/>
          <w:sz w:val="52"/>
          <w:szCs w:val="52"/>
          <w:lang w:val="en-US" w:eastAsia="zh-CN"/>
        </w:rPr>
      </w:pPr>
      <w:r>
        <w:rPr>
          <w:rFonts w:hint="eastAsia" w:ascii="宋体" w:cs="Times New Roman"/>
          <w:b/>
          <w:bCs/>
          <w:sz w:val="52"/>
          <w:szCs w:val="52"/>
        </w:rPr>
        <w:t xml:space="preserve"> </w:t>
      </w:r>
      <w:r>
        <w:rPr>
          <w:rFonts w:hint="eastAsia" w:ascii="宋体" w:cs="Times New Roman"/>
          <w:b/>
          <w:bCs/>
          <w:sz w:val="52"/>
          <w:szCs w:val="52"/>
          <w:lang w:val="en-US" w:eastAsia="zh-CN"/>
        </w:rPr>
        <w:t xml:space="preserve">         </w:t>
      </w:r>
    </w:p>
    <w:p w14:paraId="2D5BA7AE">
      <w:pPr>
        <w:tabs>
          <w:tab w:val="left" w:pos="0"/>
        </w:tabs>
        <w:adjustRightInd w:val="0"/>
        <w:snapToGrid w:val="0"/>
        <w:spacing w:line="360" w:lineRule="auto"/>
        <w:rPr>
          <w:rFonts w:ascii="宋体" w:cs="Times New Roman"/>
          <w:b/>
          <w:bCs/>
        </w:rPr>
      </w:pPr>
    </w:p>
    <w:p w14:paraId="5AEBF4BB">
      <w:pPr>
        <w:pStyle w:val="66"/>
      </w:pPr>
    </w:p>
    <w:p w14:paraId="6ADAD280">
      <w:pPr>
        <w:tabs>
          <w:tab w:val="left" w:pos="0"/>
        </w:tabs>
        <w:adjustRightInd w:val="0"/>
        <w:snapToGrid w:val="0"/>
        <w:spacing w:line="360" w:lineRule="auto"/>
        <w:ind w:firstLine="2811" w:firstLineChars="500"/>
        <w:jc w:val="both"/>
        <w:rPr>
          <w:rFonts w:hint="eastAsia" w:ascii="宋体" w:hAnsi="宋体" w:eastAsia="宋体" w:cs="宋体"/>
          <w:b/>
          <w:bCs/>
          <w:kern w:val="2"/>
          <w:sz w:val="56"/>
          <w:szCs w:val="56"/>
          <w:lang w:val="en-US" w:eastAsia="zh-CN" w:bidi="ar-SA"/>
        </w:rPr>
      </w:pPr>
      <w:r>
        <w:rPr>
          <w:rFonts w:hint="eastAsia" w:ascii="宋体" w:hAnsi="宋体" w:eastAsia="宋体" w:cs="宋体"/>
          <w:b/>
          <w:bCs/>
          <w:kern w:val="2"/>
          <w:sz w:val="56"/>
          <w:szCs w:val="56"/>
          <w:lang w:val="en-US" w:eastAsia="zh-CN" w:bidi="ar-SA"/>
        </w:rPr>
        <w:t>竞争性磋商文件</w:t>
      </w:r>
    </w:p>
    <w:p w14:paraId="25F693DF">
      <w:pPr>
        <w:pStyle w:val="67"/>
        <w:rPr>
          <w:rFonts w:ascii="宋体" w:hAnsi="宋体" w:cs="宋体"/>
          <w:b/>
          <w:bCs/>
          <w:sz w:val="30"/>
          <w:szCs w:val="30"/>
        </w:rPr>
      </w:pPr>
    </w:p>
    <w:p w14:paraId="171EE381">
      <w:pPr>
        <w:pStyle w:val="67"/>
        <w:rPr>
          <w:rFonts w:ascii="宋体" w:hAnsi="宋体" w:cs="宋体"/>
          <w:b/>
          <w:bCs/>
          <w:sz w:val="30"/>
          <w:szCs w:val="30"/>
        </w:rPr>
      </w:pPr>
    </w:p>
    <w:p w14:paraId="06D7A4AF">
      <w:pPr>
        <w:pStyle w:val="67"/>
        <w:rPr>
          <w:rFonts w:ascii="宋体" w:hAnsi="宋体" w:cs="宋体"/>
          <w:b/>
          <w:bCs/>
          <w:sz w:val="30"/>
          <w:szCs w:val="30"/>
        </w:rPr>
      </w:pPr>
    </w:p>
    <w:p w14:paraId="5BE4CD81">
      <w:pPr>
        <w:keepNext w:val="0"/>
        <w:keepLines w:val="0"/>
        <w:pageBreakBefore w:val="0"/>
        <w:widowControl w:val="0"/>
        <w:kinsoku/>
        <w:wordWrap/>
        <w:overflowPunct/>
        <w:topLinePunct w:val="0"/>
        <w:autoSpaceDE/>
        <w:autoSpaceDN/>
        <w:bidi w:val="0"/>
        <w:adjustRightInd w:val="0"/>
        <w:snapToGrid w:val="0"/>
        <w:spacing w:line="480" w:lineRule="auto"/>
        <w:ind w:firstLine="2108" w:firstLineChars="700"/>
        <w:textAlignment w:val="auto"/>
        <w:rPr>
          <w:rFonts w:hint="eastAsia"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采</w:t>
      </w:r>
      <w:r>
        <w:rPr>
          <w:rFonts w:hint="eastAsia" w:asciiTheme="minorEastAsia" w:hAnsiTheme="minorEastAsia" w:eastAsiaTheme="minorEastAsia" w:cstheme="minorEastAsia"/>
          <w:b/>
          <w:bCs/>
          <w:color w:val="auto"/>
          <w:sz w:val="30"/>
          <w:szCs w:val="30"/>
          <w:lang w:val="en-US" w:eastAsia="zh-CN"/>
        </w:rPr>
        <w:t xml:space="preserve"> </w:t>
      </w:r>
      <w:r>
        <w:rPr>
          <w:rFonts w:hint="eastAsia" w:asciiTheme="minorEastAsia" w:hAnsiTheme="minorEastAsia" w:eastAsiaTheme="minorEastAsia" w:cstheme="minorEastAsia"/>
          <w:b/>
          <w:bCs/>
          <w:color w:val="auto"/>
          <w:sz w:val="30"/>
          <w:szCs w:val="30"/>
        </w:rPr>
        <w:t>购</w:t>
      </w:r>
      <w:r>
        <w:rPr>
          <w:rFonts w:hint="eastAsia" w:asciiTheme="minorEastAsia" w:hAnsiTheme="minorEastAsia" w:eastAsiaTheme="minorEastAsia" w:cstheme="minorEastAsia"/>
          <w:b/>
          <w:bCs/>
          <w:color w:val="auto"/>
          <w:sz w:val="30"/>
          <w:szCs w:val="30"/>
          <w:lang w:val="en-US" w:eastAsia="zh-CN"/>
        </w:rPr>
        <w:t xml:space="preserve"> </w:t>
      </w:r>
      <w:r>
        <w:rPr>
          <w:rFonts w:hint="eastAsia" w:asciiTheme="minorEastAsia" w:hAnsiTheme="minorEastAsia" w:eastAsiaTheme="minorEastAsia" w:cstheme="minorEastAsia"/>
          <w:b/>
          <w:bCs/>
          <w:color w:val="auto"/>
          <w:sz w:val="30"/>
          <w:szCs w:val="30"/>
        </w:rPr>
        <w:t>人：</w:t>
      </w:r>
      <w:r>
        <w:rPr>
          <w:rFonts w:hint="eastAsia" w:asciiTheme="minorEastAsia" w:hAnsiTheme="minorEastAsia" w:eastAsiaTheme="minorEastAsia" w:cstheme="minorEastAsia"/>
          <w:b/>
          <w:bCs/>
          <w:color w:val="auto"/>
          <w:sz w:val="30"/>
          <w:szCs w:val="30"/>
          <w:lang w:val="en-US" w:eastAsia="zh-CN"/>
        </w:rPr>
        <w:t>安康市工人文化宫</w:t>
      </w:r>
    </w:p>
    <w:p w14:paraId="57740FE6">
      <w:pPr>
        <w:keepNext w:val="0"/>
        <w:keepLines w:val="0"/>
        <w:pageBreakBefore w:val="0"/>
        <w:widowControl w:val="0"/>
        <w:kinsoku/>
        <w:wordWrap/>
        <w:overflowPunct/>
        <w:topLinePunct w:val="0"/>
        <w:autoSpaceDE/>
        <w:autoSpaceDN/>
        <w:bidi w:val="0"/>
        <w:adjustRightInd w:val="0"/>
        <w:snapToGrid w:val="0"/>
        <w:spacing w:line="480" w:lineRule="auto"/>
        <w:ind w:firstLine="2108" w:firstLineChars="700"/>
        <w:textAlignment w:val="auto"/>
        <w:rPr>
          <w:rFonts w:hint="eastAsia" w:asciiTheme="minorEastAsia" w:hAnsiTheme="minorEastAsia" w:eastAsiaTheme="minorEastAsia" w:cstheme="minorEastAsia"/>
          <w:color w:val="auto"/>
          <w:sz w:val="30"/>
          <w:szCs w:val="30"/>
          <w:lang w:val="en-US" w:eastAsia="zh-CN" w:bidi="ar-SA"/>
        </w:rPr>
      </w:pPr>
      <w:r>
        <w:rPr>
          <w:rFonts w:hint="eastAsia" w:asciiTheme="minorEastAsia" w:hAnsiTheme="minorEastAsia" w:eastAsiaTheme="minorEastAsia" w:cstheme="minorEastAsia"/>
          <w:b/>
          <w:bCs/>
          <w:color w:val="auto"/>
          <w:sz w:val="30"/>
          <w:szCs w:val="30"/>
        </w:rPr>
        <w:t>代理机构：安康尚昊招标代理有限公司</w:t>
      </w:r>
    </w:p>
    <w:p w14:paraId="1B031A8A">
      <w:pPr>
        <w:keepNext w:val="0"/>
        <w:keepLines w:val="0"/>
        <w:pageBreakBefore w:val="0"/>
        <w:widowControl w:val="0"/>
        <w:kinsoku/>
        <w:wordWrap/>
        <w:overflowPunct/>
        <w:topLinePunct w:val="0"/>
        <w:autoSpaceDE/>
        <w:autoSpaceDN/>
        <w:bidi w:val="0"/>
        <w:adjustRightInd w:val="0"/>
        <w:snapToGrid w:val="0"/>
        <w:spacing w:line="480" w:lineRule="auto"/>
        <w:ind w:firstLine="2108" w:firstLineChars="700"/>
        <w:textAlignment w:val="auto"/>
        <w:rPr>
          <w:rFonts w:hint="eastAsia" w:asciiTheme="minorEastAsia" w:hAnsiTheme="minorEastAsia" w:eastAsiaTheme="minorEastAsia" w:cstheme="minorEastAsia"/>
          <w:b/>
          <w:bCs/>
          <w:color w:val="auto"/>
          <w:sz w:val="30"/>
          <w:szCs w:val="30"/>
          <w:lang w:val="en-US" w:eastAsia="zh-CN"/>
        </w:rPr>
        <w:sectPr>
          <w:headerReference r:id="rId6" w:type="first"/>
          <w:footerReference r:id="rId8" w:type="first"/>
          <w:headerReference r:id="rId5" w:type="default"/>
          <w:footerReference r:id="rId7" w:type="default"/>
          <w:pgSz w:w="11905" w:h="16838"/>
          <w:pgMar w:top="1304" w:right="1304" w:bottom="1304" w:left="1304" w:header="907" w:footer="879" w:gutter="0"/>
          <w:pgNumType w:start="0"/>
          <w:cols w:space="0" w:num="1"/>
          <w:titlePg/>
          <w:rtlGutter w:val="0"/>
          <w:docGrid w:type="lines" w:linePitch="323" w:charSpace="0"/>
        </w:sectPr>
      </w:pPr>
      <w:r>
        <w:rPr>
          <w:rFonts w:hint="eastAsia" w:asciiTheme="minorEastAsia" w:hAnsiTheme="minorEastAsia" w:eastAsiaTheme="minorEastAsia" w:cstheme="minorEastAsia"/>
          <w:b/>
          <w:bCs/>
          <w:color w:val="auto"/>
          <w:sz w:val="30"/>
          <w:szCs w:val="30"/>
          <w:lang w:val="en-US" w:eastAsia="zh-CN"/>
        </w:rPr>
        <w:t>日    期：二〇二六年九月</w:t>
      </w:r>
    </w:p>
    <w:p w14:paraId="71719D96">
      <w:pPr>
        <w:pStyle w:val="29"/>
        <w:tabs>
          <w:tab w:val="center" w:pos="4819"/>
          <w:tab w:val="left" w:pos="6069"/>
          <w:tab w:val="right" w:leader="dot" w:pos="8306"/>
        </w:tabs>
        <w:spacing w:before="0" w:after="0" w:line="480" w:lineRule="exact"/>
        <w:rPr>
          <w:rFonts w:ascii="宋体" w:hAnsi="宋体" w:cs="宋体"/>
          <w:b w:val="0"/>
          <w:bCs w:val="0"/>
          <w:sz w:val="48"/>
          <w:szCs w:val="52"/>
        </w:rPr>
      </w:pPr>
      <w:r>
        <w:rPr>
          <w:rFonts w:ascii="宋体" w:hAnsi="宋体" w:cs="宋体"/>
          <w:b w:val="0"/>
          <w:bCs w:val="0"/>
          <w:sz w:val="48"/>
          <w:szCs w:val="52"/>
        </w:rPr>
        <w:tab/>
      </w:r>
      <w:r>
        <w:rPr>
          <w:rFonts w:hint="eastAsia" w:ascii="宋体" w:hAnsi="宋体" w:cs="宋体"/>
          <w:b w:val="0"/>
          <w:bCs w:val="0"/>
          <w:sz w:val="48"/>
          <w:szCs w:val="52"/>
        </w:rPr>
        <w:t>目录</w:t>
      </w:r>
      <w:r>
        <w:rPr>
          <w:rFonts w:ascii="宋体" w:hAnsi="宋体" w:cs="宋体"/>
          <w:b w:val="0"/>
          <w:bCs w:val="0"/>
          <w:sz w:val="48"/>
          <w:szCs w:val="52"/>
        </w:rPr>
        <w:tab/>
      </w:r>
    </w:p>
    <w:p w14:paraId="729EBD24"/>
    <w:p w14:paraId="1DBFB8AF"/>
    <w:p w14:paraId="5F0D94E3"/>
    <w:p w14:paraId="58529FD2"/>
    <w:p w14:paraId="03BD7A57">
      <w:pPr>
        <w:pStyle w:val="29"/>
        <w:tabs>
          <w:tab w:val="right" w:leader="dot" w:pos="9297"/>
        </w:tabs>
        <w:rPr>
          <w:rFonts w:hint="eastAsia" w:ascii="宋体" w:hAnsi="宋体" w:eastAsia="宋体" w:cs="宋体"/>
          <w:sz w:val="32"/>
          <w:szCs w:val="32"/>
        </w:rPr>
      </w:pPr>
      <w:bookmarkStart w:id="1" w:name="_Toc536429369"/>
      <w:bookmarkStart w:id="2" w:name="_Toc536202282"/>
      <w:bookmarkStart w:id="3" w:name="_Toc536202376"/>
      <w:bookmarkStart w:id="4" w:name="OLE_LINK3"/>
      <w:bookmarkStart w:id="5" w:name="_Toc438048787"/>
      <w:bookmarkStart w:id="6" w:name="_Toc30089"/>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TOC \o "1-1" \h \z \u </w:instrText>
      </w:r>
      <w:r>
        <w:rPr>
          <w:rFonts w:hint="eastAsia" w:ascii="宋体" w:hAnsi="宋体" w:eastAsia="宋体" w:cs="宋体"/>
          <w:sz w:val="32"/>
          <w:szCs w:val="32"/>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_Toc28819 </w:instrText>
      </w:r>
      <w:r>
        <w:rPr>
          <w:rFonts w:hint="eastAsia" w:ascii="宋体" w:hAnsi="宋体" w:eastAsia="宋体" w:cs="宋体"/>
          <w:sz w:val="32"/>
          <w:szCs w:val="32"/>
        </w:rPr>
        <w:fldChar w:fldCharType="separate"/>
      </w:r>
      <w:r>
        <w:rPr>
          <w:rFonts w:hint="eastAsia" w:ascii="宋体" w:hAnsi="宋体" w:eastAsia="宋体" w:cs="宋体"/>
          <w:sz w:val="32"/>
          <w:szCs w:val="32"/>
        </w:rPr>
        <w:t>第一部分  竞争性磋商公告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_Toc28819 \h </w:instrText>
      </w:r>
      <w:r>
        <w:rPr>
          <w:rFonts w:hint="eastAsia" w:ascii="宋体" w:hAnsi="宋体" w:eastAsia="宋体" w:cs="宋体"/>
          <w:sz w:val="32"/>
          <w:szCs w:val="32"/>
        </w:rPr>
        <w:fldChar w:fldCharType="separate"/>
      </w:r>
      <w:r>
        <w:rPr>
          <w:rFonts w:hint="eastAsia" w:ascii="宋体" w:hAnsi="宋体" w:eastAsia="宋体" w:cs="宋体"/>
          <w:sz w:val="32"/>
          <w:szCs w:val="32"/>
        </w:rPr>
        <w:t>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18F8FC7B">
      <w:pPr>
        <w:pStyle w:val="29"/>
        <w:tabs>
          <w:tab w:val="right" w:leader="dot" w:pos="9297"/>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_Toc13215 </w:instrText>
      </w:r>
      <w:r>
        <w:rPr>
          <w:rFonts w:hint="eastAsia" w:ascii="宋体" w:hAnsi="宋体" w:eastAsia="宋体" w:cs="宋体"/>
          <w:sz w:val="32"/>
          <w:szCs w:val="32"/>
        </w:rPr>
        <w:fldChar w:fldCharType="separate"/>
      </w:r>
      <w:r>
        <w:rPr>
          <w:rFonts w:hint="eastAsia" w:ascii="宋体" w:hAnsi="宋体" w:eastAsia="宋体" w:cs="宋体"/>
          <w:sz w:val="32"/>
          <w:szCs w:val="32"/>
        </w:rPr>
        <w:t>第二部分  供应商须知前附表</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_Toc13215 \h </w:instrText>
      </w:r>
      <w:r>
        <w:rPr>
          <w:rFonts w:hint="eastAsia" w:ascii="宋体" w:hAnsi="宋体" w:eastAsia="宋体" w:cs="宋体"/>
          <w:sz w:val="32"/>
          <w:szCs w:val="32"/>
        </w:rPr>
        <w:fldChar w:fldCharType="separate"/>
      </w:r>
      <w:r>
        <w:rPr>
          <w:rFonts w:hint="eastAsia" w:ascii="宋体" w:hAnsi="宋体" w:eastAsia="宋体" w:cs="宋体"/>
          <w:sz w:val="32"/>
          <w:szCs w:val="32"/>
        </w:rPr>
        <w:t>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1C98C258">
      <w:pPr>
        <w:pStyle w:val="29"/>
        <w:tabs>
          <w:tab w:val="right" w:leader="dot" w:pos="9297"/>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_Toc10081 </w:instrText>
      </w:r>
      <w:r>
        <w:rPr>
          <w:rFonts w:hint="eastAsia" w:ascii="宋体" w:hAnsi="宋体" w:eastAsia="宋体" w:cs="宋体"/>
          <w:sz w:val="32"/>
          <w:szCs w:val="32"/>
        </w:rPr>
        <w:fldChar w:fldCharType="separate"/>
      </w:r>
      <w:r>
        <w:rPr>
          <w:rFonts w:hint="eastAsia" w:ascii="宋体" w:hAnsi="宋体" w:eastAsia="宋体" w:cs="宋体"/>
          <w:bCs/>
          <w:kern w:val="44"/>
          <w:sz w:val="32"/>
          <w:szCs w:val="32"/>
          <w:lang w:val="en-US" w:eastAsia="zh-CN" w:bidi="ar-SA"/>
        </w:rPr>
        <w:t>第三部分  供应商须知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_Toc10081 \h </w:instrText>
      </w:r>
      <w:r>
        <w:rPr>
          <w:rFonts w:hint="eastAsia" w:ascii="宋体" w:hAnsi="宋体" w:eastAsia="宋体" w:cs="宋体"/>
          <w:sz w:val="32"/>
          <w:szCs w:val="32"/>
        </w:rPr>
        <w:fldChar w:fldCharType="separate"/>
      </w:r>
      <w:r>
        <w:rPr>
          <w:rFonts w:hint="eastAsia" w:ascii="宋体" w:hAnsi="宋体" w:eastAsia="宋体" w:cs="宋体"/>
          <w:sz w:val="32"/>
          <w:szCs w:val="32"/>
        </w:rPr>
        <w:t>10</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223A256">
      <w:pPr>
        <w:pStyle w:val="29"/>
        <w:tabs>
          <w:tab w:val="right" w:leader="dot" w:pos="9297"/>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_Toc12955 </w:instrText>
      </w:r>
      <w:r>
        <w:rPr>
          <w:rFonts w:hint="eastAsia" w:ascii="宋体" w:hAnsi="宋体" w:eastAsia="宋体" w:cs="宋体"/>
          <w:sz w:val="32"/>
          <w:szCs w:val="32"/>
        </w:rPr>
        <w:fldChar w:fldCharType="separate"/>
      </w:r>
      <w:r>
        <w:rPr>
          <w:rFonts w:hint="eastAsia" w:ascii="宋体" w:hAnsi="宋体" w:eastAsia="宋体" w:cs="宋体"/>
          <w:bCs/>
          <w:caps/>
          <w:kern w:val="2"/>
          <w:sz w:val="32"/>
          <w:szCs w:val="32"/>
          <w:lang w:val="en-US" w:eastAsia="zh-CN" w:bidi="ar-SA"/>
        </w:rPr>
        <w:t>第四部分</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评分标准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_Toc12955 \h </w:instrText>
      </w:r>
      <w:r>
        <w:rPr>
          <w:rFonts w:hint="eastAsia" w:ascii="宋体" w:hAnsi="宋体" w:eastAsia="宋体" w:cs="宋体"/>
          <w:sz w:val="32"/>
          <w:szCs w:val="32"/>
        </w:rPr>
        <w:fldChar w:fldCharType="separate"/>
      </w:r>
      <w:r>
        <w:rPr>
          <w:rFonts w:hint="eastAsia" w:ascii="宋体" w:hAnsi="宋体" w:eastAsia="宋体" w:cs="宋体"/>
          <w:sz w:val="32"/>
          <w:szCs w:val="32"/>
        </w:rPr>
        <w:t>28</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68946791">
      <w:pPr>
        <w:pStyle w:val="29"/>
        <w:tabs>
          <w:tab w:val="right" w:leader="dot" w:pos="9297"/>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_Toc17885 </w:instrText>
      </w:r>
      <w:r>
        <w:rPr>
          <w:rFonts w:hint="eastAsia" w:ascii="宋体" w:hAnsi="宋体" w:eastAsia="宋体" w:cs="宋体"/>
          <w:sz w:val="32"/>
          <w:szCs w:val="32"/>
        </w:rPr>
        <w:fldChar w:fldCharType="separate"/>
      </w:r>
      <w:r>
        <w:rPr>
          <w:rFonts w:hint="eastAsia" w:ascii="宋体" w:hAnsi="宋体" w:eastAsia="宋体" w:cs="宋体"/>
          <w:bCs/>
          <w:kern w:val="44"/>
          <w:sz w:val="32"/>
          <w:szCs w:val="32"/>
          <w:lang w:val="en-US" w:eastAsia="zh-CN" w:bidi="ar-SA"/>
        </w:rPr>
        <w:t>第五部分</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采购内容及要求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_Toc17885 \h </w:instrText>
      </w:r>
      <w:r>
        <w:rPr>
          <w:rFonts w:hint="eastAsia" w:ascii="宋体" w:hAnsi="宋体" w:eastAsia="宋体" w:cs="宋体"/>
          <w:sz w:val="32"/>
          <w:szCs w:val="32"/>
        </w:rPr>
        <w:fldChar w:fldCharType="separate"/>
      </w:r>
      <w:r>
        <w:rPr>
          <w:rFonts w:hint="eastAsia" w:ascii="宋体" w:hAnsi="宋体" w:eastAsia="宋体" w:cs="宋体"/>
          <w:sz w:val="32"/>
          <w:szCs w:val="32"/>
        </w:rPr>
        <w:t>32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495D97A">
      <w:pPr>
        <w:pStyle w:val="29"/>
        <w:tabs>
          <w:tab w:val="right" w:leader="dot" w:pos="9297"/>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_Toc29683 </w:instrText>
      </w:r>
      <w:r>
        <w:rPr>
          <w:rFonts w:hint="eastAsia" w:ascii="宋体" w:hAnsi="宋体" w:eastAsia="宋体" w:cs="宋体"/>
          <w:sz w:val="32"/>
          <w:szCs w:val="32"/>
        </w:rPr>
        <w:fldChar w:fldCharType="separate"/>
      </w:r>
      <w:r>
        <w:rPr>
          <w:rFonts w:hint="eastAsia" w:ascii="宋体" w:hAnsi="宋体" w:eastAsia="宋体" w:cs="宋体"/>
          <w:sz w:val="32"/>
          <w:szCs w:val="32"/>
          <w:lang w:val="en-US" w:eastAsia="zh-CN"/>
        </w:rPr>
        <w:t>第六部分  合同主要条款</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_Toc29683 \h </w:instrText>
      </w:r>
      <w:r>
        <w:rPr>
          <w:rFonts w:hint="eastAsia" w:ascii="宋体" w:hAnsi="宋体" w:eastAsia="宋体" w:cs="宋体"/>
          <w:sz w:val="32"/>
          <w:szCs w:val="32"/>
        </w:rPr>
        <w:fldChar w:fldCharType="separate"/>
      </w:r>
      <w:r>
        <w:rPr>
          <w:rFonts w:hint="eastAsia" w:ascii="宋体" w:hAnsi="宋体" w:eastAsia="宋体" w:cs="宋体"/>
          <w:sz w:val="32"/>
          <w:szCs w:val="32"/>
        </w:rPr>
        <w:t>38</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8F08FA5">
      <w:pPr>
        <w:pStyle w:val="29"/>
        <w:tabs>
          <w:tab w:val="right" w:leader="dot" w:pos="9297"/>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_Toc24082 </w:instrText>
      </w:r>
      <w:r>
        <w:rPr>
          <w:rFonts w:hint="eastAsia" w:ascii="宋体" w:hAnsi="宋体" w:eastAsia="宋体" w:cs="宋体"/>
          <w:sz w:val="32"/>
          <w:szCs w:val="32"/>
        </w:rPr>
        <w:fldChar w:fldCharType="separate"/>
      </w:r>
      <w:r>
        <w:rPr>
          <w:rFonts w:hint="eastAsia" w:ascii="宋体" w:hAnsi="宋体" w:eastAsia="宋体" w:cs="宋体"/>
          <w:sz w:val="32"/>
          <w:szCs w:val="32"/>
        </w:rPr>
        <w:t>第七部分  响应文件格式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_Toc24082 \h </w:instrText>
      </w:r>
      <w:r>
        <w:rPr>
          <w:rFonts w:hint="eastAsia" w:ascii="宋体" w:hAnsi="宋体" w:eastAsia="宋体" w:cs="宋体"/>
          <w:sz w:val="32"/>
          <w:szCs w:val="32"/>
        </w:rPr>
        <w:fldChar w:fldCharType="separate"/>
      </w:r>
      <w:r>
        <w:rPr>
          <w:rFonts w:hint="eastAsia" w:ascii="宋体" w:hAnsi="宋体" w:eastAsia="宋体" w:cs="宋体"/>
          <w:sz w:val="32"/>
          <w:szCs w:val="32"/>
        </w:rPr>
        <w:t>58</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7E5A7EB">
      <w:pPr>
        <w:pStyle w:val="2"/>
        <w:tabs>
          <w:tab w:val="left" w:pos="206"/>
        </w:tabs>
        <w:spacing w:line="360" w:lineRule="auto"/>
        <w:jc w:val="left"/>
      </w:pPr>
      <w:r>
        <w:rPr>
          <w:rFonts w:hint="eastAsia" w:ascii="宋体" w:hAnsi="宋体" w:eastAsia="宋体" w:cs="宋体"/>
          <w:sz w:val="32"/>
          <w:szCs w:val="32"/>
        </w:rPr>
        <w:fldChar w:fldCharType="end"/>
      </w:r>
      <w:bookmarkStart w:id="7" w:name="_Toc19543333"/>
    </w:p>
    <w:p w14:paraId="5BD2996F">
      <w:pPr>
        <w:bidi w:val="0"/>
      </w:pPr>
    </w:p>
    <w:p w14:paraId="26992D47">
      <w:pPr>
        <w:bidi w:val="0"/>
      </w:pPr>
    </w:p>
    <w:p w14:paraId="7D38C05A">
      <w:pPr>
        <w:bidi w:val="0"/>
      </w:pPr>
    </w:p>
    <w:p w14:paraId="64969CB4">
      <w:pPr>
        <w:bidi w:val="0"/>
      </w:pPr>
    </w:p>
    <w:p w14:paraId="3C8205D6">
      <w:pPr>
        <w:bidi w:val="0"/>
      </w:pPr>
    </w:p>
    <w:p w14:paraId="1E45DFC1">
      <w:pPr>
        <w:bidi w:val="0"/>
      </w:pPr>
    </w:p>
    <w:p w14:paraId="307D2598">
      <w:pPr>
        <w:bidi w:val="0"/>
      </w:pPr>
    </w:p>
    <w:p w14:paraId="7F03221B">
      <w:pPr>
        <w:tabs>
          <w:tab w:val="left" w:pos="6811"/>
        </w:tabs>
        <w:bidi w:val="0"/>
        <w:jc w:val="left"/>
        <w:rPr>
          <w:rFonts w:hint="eastAsia" w:eastAsia="宋体"/>
          <w:lang w:eastAsia="zh-CN"/>
        </w:rPr>
        <w:sectPr>
          <w:headerReference r:id="rId10" w:type="first"/>
          <w:footerReference r:id="rId12" w:type="first"/>
          <w:headerReference r:id="rId9" w:type="default"/>
          <w:footerReference r:id="rId11" w:type="default"/>
          <w:pgSz w:w="11905" w:h="16838"/>
          <w:pgMar w:top="1304" w:right="1304" w:bottom="1304" w:left="1304" w:header="907" w:footer="879" w:gutter="0"/>
          <w:pgNumType w:fmt="decimal" w:start="1"/>
          <w:cols w:space="0" w:num="1"/>
          <w:titlePg/>
          <w:rtlGutter w:val="0"/>
          <w:docGrid w:type="lines" w:linePitch="323" w:charSpace="0"/>
        </w:sectPr>
      </w:pPr>
      <w:r>
        <w:rPr>
          <w:rFonts w:hint="eastAsia"/>
          <w:lang w:eastAsia="zh-CN"/>
        </w:rPr>
        <w:tab/>
      </w:r>
    </w:p>
    <w:p w14:paraId="3E2B6053">
      <w:pPr>
        <w:pStyle w:val="2"/>
        <w:tabs>
          <w:tab w:val="left" w:pos="206"/>
        </w:tabs>
        <w:spacing w:line="360" w:lineRule="auto"/>
        <w:jc w:val="left"/>
      </w:pPr>
      <w:r>
        <w:rPr>
          <w:rFonts w:hint="eastAsia"/>
        </w:rPr>
        <w:tab/>
      </w:r>
      <w:r>
        <w:rPr>
          <w:rFonts w:hint="eastAsia"/>
        </w:rPr>
        <w:t xml:space="preserve">             </w:t>
      </w:r>
      <w:r>
        <w:rPr>
          <w:rFonts w:hint="eastAsia"/>
          <w:lang w:val="en-US" w:eastAsia="zh-CN"/>
        </w:rPr>
        <w:t xml:space="preserve"> </w:t>
      </w:r>
      <w:r>
        <w:rPr>
          <w:rFonts w:hint="eastAsia"/>
        </w:rPr>
        <w:t xml:space="preserve"> </w:t>
      </w:r>
      <w:bookmarkStart w:id="8" w:name="_Toc28819"/>
      <w:r>
        <w:rPr>
          <w:rFonts w:hint="eastAsia"/>
        </w:rPr>
        <w:t xml:space="preserve">第一部分  </w:t>
      </w:r>
      <w:bookmarkStart w:id="9" w:name="OLE_LINK1"/>
      <w:bookmarkStart w:id="10" w:name="OLE_LINK4"/>
      <w:r>
        <w:rPr>
          <w:rFonts w:hint="eastAsia"/>
        </w:rPr>
        <w:t>竞争性</w:t>
      </w:r>
      <w:r>
        <w:t>磋商公告</w:t>
      </w:r>
      <w:bookmarkEnd w:id="1"/>
      <w:bookmarkEnd w:id="2"/>
      <w:bookmarkEnd w:id="3"/>
      <w:bookmarkEnd w:id="7"/>
      <w:bookmarkEnd w:id="8"/>
    </w:p>
    <w:bookmarkEnd w:id="4"/>
    <w:bookmarkEnd w:id="9"/>
    <w:bookmarkEnd w:id="10"/>
    <w:p w14:paraId="69A290B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150" w:beforeAutospacing="0" w:after="150" w:afterAutospacing="0" w:line="360" w:lineRule="auto"/>
        <w:ind w:left="0" w:right="0"/>
        <w:jc w:val="left"/>
        <w:textAlignment w:val="auto"/>
        <w:rPr>
          <w:rFonts w:hint="eastAsia" w:ascii="宋体" w:hAnsi="宋体" w:eastAsia="宋体" w:cs="宋体"/>
          <w:b w:val="0"/>
          <w:bCs w:val="0"/>
          <w:sz w:val="24"/>
          <w:szCs w:val="24"/>
        </w:rPr>
      </w:pPr>
      <w:r>
        <w:rPr>
          <w:rStyle w:val="47"/>
          <w:rFonts w:hint="eastAsia" w:ascii="宋体" w:hAnsi="宋体" w:eastAsia="宋体" w:cs="宋体"/>
          <w:b/>
          <w:bCs/>
          <w:i w:val="0"/>
          <w:iCs w:val="0"/>
          <w:caps w:val="0"/>
          <w:color w:val="333333"/>
          <w:spacing w:val="0"/>
          <w:sz w:val="24"/>
          <w:szCs w:val="24"/>
          <w:shd w:val="clear" w:fill="FFFFFF"/>
        </w:rPr>
        <w:t>项目概况</w:t>
      </w:r>
    </w:p>
    <w:p w14:paraId="6D1854C7">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150" w:beforeAutospacing="0" w:after="150" w:afterAutospacing="0" w:line="360" w:lineRule="auto"/>
        <w:ind w:left="0" w:right="0" w:firstLine="480"/>
        <w:jc w:val="both"/>
        <w:textAlignment w:val="auto"/>
        <w:rPr>
          <w:rFonts w:hint="eastAsia" w:ascii="宋体" w:hAnsi="宋体" w:eastAsia="宋体" w:cs="宋体"/>
          <w:sz w:val="24"/>
          <w:szCs w:val="24"/>
        </w:rPr>
      </w:pPr>
      <w:r>
        <w:rPr>
          <w:rFonts w:hint="eastAsia" w:cs="宋体"/>
          <w:i w:val="0"/>
          <w:iCs w:val="0"/>
          <w:caps w:val="0"/>
          <w:color w:val="333333"/>
          <w:spacing w:val="0"/>
          <w:sz w:val="24"/>
          <w:szCs w:val="24"/>
          <w:shd w:val="clear" w:fill="FFFFFF"/>
          <w:lang w:eastAsia="zh-CN"/>
        </w:rPr>
        <w:t>安康市工人文化宫一楼装修施工项目</w:t>
      </w:r>
      <w:r>
        <w:rPr>
          <w:rFonts w:hint="eastAsia" w:ascii="宋体" w:hAnsi="宋体" w:eastAsia="宋体" w:cs="宋体"/>
          <w:i w:val="0"/>
          <w:iCs w:val="0"/>
          <w:caps w:val="0"/>
          <w:color w:val="333333"/>
          <w:spacing w:val="0"/>
          <w:sz w:val="24"/>
          <w:szCs w:val="24"/>
          <w:shd w:val="clear" w:fill="FFFFFF"/>
        </w:rPr>
        <w:t>的潜在供应商应在全国公共资源交易平台（陕西省•安康市）获取采购文件，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并于2026年09月23日 16时00</w:t>
      </w:r>
      <w:r>
        <w:rPr>
          <w:rFonts w:hint="eastAsia" w:ascii="宋体" w:hAnsi="宋体" w:eastAsia="宋体" w:cs="宋体"/>
          <w:i w:val="0"/>
          <w:iCs w:val="0"/>
          <w:caps w:val="0"/>
          <w:color w:val="333333"/>
          <w:spacing w:val="0"/>
          <w:sz w:val="24"/>
          <w:szCs w:val="24"/>
          <w:shd w:val="clear" w:fill="FFFFFF"/>
        </w:rPr>
        <w:t>（北京时间）前提交响应文件。</w:t>
      </w:r>
    </w:p>
    <w:p w14:paraId="49120EA7">
      <w:pPr>
        <w:keepNext w:val="0"/>
        <w:keepLines w:val="0"/>
        <w:pageBreakBefore w:val="0"/>
        <w:widowControl/>
        <w:numPr>
          <w:ilvl w:val="0"/>
          <w:numId w:val="0"/>
        </w:numPr>
        <w:kinsoku/>
        <w:wordWrap/>
        <w:overflowPunct/>
        <w:topLinePunct w:val="0"/>
        <w:autoSpaceDE/>
        <w:autoSpaceDN/>
        <w:bidi w:val="0"/>
        <w:adjustRightInd/>
        <w:snapToGrid w:val="0"/>
        <w:spacing w:line="440" w:lineRule="exact"/>
        <w:ind w:left="0" w:leftChars="0"/>
        <w:jc w:val="left"/>
        <w:textAlignment w:val="auto"/>
        <w:outlineLvl w:val="9"/>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bidi="ar-SA"/>
        </w:rPr>
        <w:t>一、</w:t>
      </w:r>
      <w:r>
        <w:rPr>
          <w:rFonts w:hint="eastAsia" w:ascii="宋体" w:hAnsi="宋体" w:eastAsia="宋体" w:cs="宋体"/>
          <w:b/>
          <w:bCs/>
          <w:kern w:val="0"/>
          <w:sz w:val="24"/>
          <w:szCs w:val="24"/>
          <w:lang w:val="en-US" w:eastAsia="zh-CN"/>
        </w:rPr>
        <w:t>项目基本情况</w:t>
      </w:r>
    </w:p>
    <w:p w14:paraId="2E0E1422">
      <w:pPr>
        <w:keepNext w:val="0"/>
        <w:keepLines w:val="0"/>
        <w:pageBreakBefore w:val="0"/>
        <w:widowControl/>
        <w:kinsoku/>
        <w:wordWrap/>
        <w:overflowPunct/>
        <w:topLinePunct w:val="0"/>
        <w:autoSpaceDE/>
        <w:autoSpaceDN/>
        <w:bidi w:val="0"/>
        <w:adjustRightInd/>
        <w:snapToGrid w:val="0"/>
        <w:spacing w:line="440" w:lineRule="exact"/>
        <w:ind w:left="0" w:firstLine="480" w:firstLineChars="200"/>
        <w:jc w:val="left"/>
        <w:textAlignment w:val="auto"/>
        <w:outlineLvl w:val="9"/>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rPr>
        <w:t>项目编号：</w:t>
      </w:r>
      <w:r>
        <w:rPr>
          <w:rFonts w:hint="eastAsia" w:ascii="宋体" w:hAnsi="宋体" w:cs="宋体"/>
          <w:b w:val="0"/>
          <w:bCs w:val="0"/>
          <w:kern w:val="0"/>
          <w:sz w:val="24"/>
          <w:szCs w:val="24"/>
          <w:lang w:eastAsia="zh-CN"/>
        </w:rPr>
        <w:t>AKSH2026-ZCS-113</w:t>
      </w:r>
    </w:p>
    <w:p w14:paraId="43C02A1E">
      <w:pPr>
        <w:pStyle w:val="62"/>
        <w:keepNext w:val="0"/>
        <w:keepLines w:val="0"/>
        <w:pageBreakBefore w:val="0"/>
        <w:kinsoku/>
        <w:wordWrap/>
        <w:overflowPunct/>
        <w:topLinePunct w:val="0"/>
        <w:autoSpaceDE/>
        <w:autoSpaceDN/>
        <w:bidi w:val="0"/>
        <w:adjustRightInd/>
        <w:spacing w:line="440" w:lineRule="exact"/>
        <w:ind w:left="0"/>
        <w:textAlignment w:val="auto"/>
        <w:outlineLvl w:val="9"/>
        <w:rPr>
          <w:rFonts w:hint="eastAsia" w:ascii="宋体" w:hAnsi="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kern w:val="0"/>
          <w:sz w:val="24"/>
          <w:szCs w:val="24"/>
          <w:lang w:val="en-US" w:eastAsia="zh-CN"/>
        </w:rPr>
        <w:t>项目名称：</w:t>
      </w:r>
      <w:r>
        <w:rPr>
          <w:rFonts w:hint="eastAsia" w:ascii="宋体" w:hAnsi="宋体" w:cs="宋体"/>
          <w:b w:val="0"/>
          <w:bCs w:val="0"/>
          <w:kern w:val="0"/>
          <w:sz w:val="24"/>
          <w:szCs w:val="24"/>
          <w:lang w:val="en-US" w:eastAsia="zh-CN"/>
        </w:rPr>
        <w:t>安康市工人文化宫一楼装修施工项目</w:t>
      </w:r>
    </w:p>
    <w:p w14:paraId="2A85229B">
      <w:pPr>
        <w:pStyle w:val="62"/>
        <w:keepNext w:val="0"/>
        <w:keepLines w:val="0"/>
        <w:pageBreakBefore w:val="0"/>
        <w:kinsoku/>
        <w:wordWrap/>
        <w:overflowPunct/>
        <w:topLinePunct w:val="0"/>
        <w:autoSpaceDE/>
        <w:autoSpaceDN/>
        <w:bidi w:val="0"/>
        <w:adjustRightInd/>
        <w:spacing w:line="440" w:lineRule="exact"/>
        <w:ind w:left="0"/>
        <w:textAlignment w:val="auto"/>
        <w:outlineLvl w:val="9"/>
        <w:rPr>
          <w:rFonts w:hint="default" w:ascii="宋体" w:hAnsi="宋体" w:eastAsia="宋体" w:cs="宋体"/>
          <w:b w:val="0"/>
          <w:bCs w:val="0"/>
          <w:kern w:val="0"/>
          <w:sz w:val="24"/>
          <w:szCs w:val="24"/>
          <w:lang w:val="en-US" w:eastAsia="zh-CN"/>
        </w:rPr>
      </w:pPr>
      <w:r>
        <w:rPr>
          <w:rFonts w:hint="eastAsia" w:ascii="宋体" w:hAnsi="宋体" w:cs="宋体"/>
          <w:b w:val="0"/>
          <w:bCs w:val="0"/>
          <w:kern w:val="0"/>
          <w:sz w:val="24"/>
          <w:szCs w:val="24"/>
          <w:lang w:val="en-US" w:eastAsia="zh-CN"/>
        </w:rPr>
        <w:t>采购方式：竞争性磋商</w:t>
      </w:r>
    </w:p>
    <w:p w14:paraId="7198C2FE">
      <w:pPr>
        <w:pStyle w:val="62"/>
        <w:keepNext w:val="0"/>
        <w:keepLines w:val="0"/>
        <w:pageBreakBefore w:val="0"/>
        <w:kinsoku/>
        <w:wordWrap/>
        <w:overflowPunct/>
        <w:topLinePunct w:val="0"/>
        <w:autoSpaceDE/>
        <w:autoSpaceDN/>
        <w:bidi w:val="0"/>
        <w:adjustRightInd/>
        <w:spacing w:line="440" w:lineRule="exact"/>
        <w:ind w:left="0"/>
        <w:textAlignment w:val="auto"/>
        <w:outlineLvl w:val="9"/>
        <w:rPr>
          <w:rFonts w:hint="eastAsia" w:ascii="宋体" w:hAnsi="宋体" w:cs="宋体"/>
          <w:b w:val="0"/>
          <w:bCs w:val="0"/>
          <w:color w:val="auto"/>
          <w:kern w:val="0"/>
          <w:sz w:val="24"/>
          <w:szCs w:val="24"/>
          <w:lang w:val="en-US" w:eastAsia="zh-CN"/>
        </w:rPr>
      </w:pPr>
      <w:r>
        <w:rPr>
          <w:rFonts w:hint="eastAsia" w:ascii="宋体" w:hAnsi="宋体" w:eastAsia="宋体" w:cs="宋体"/>
          <w:b w:val="0"/>
          <w:bCs w:val="0"/>
          <w:kern w:val="0"/>
          <w:sz w:val="24"/>
          <w:szCs w:val="24"/>
          <w:lang w:val="en-US" w:eastAsia="zh-CN"/>
        </w:rPr>
        <w:t>预算金额：3,039,200.00</w:t>
      </w:r>
      <w:r>
        <w:rPr>
          <w:rFonts w:hint="eastAsia" w:ascii="宋体" w:hAnsi="宋体" w:cs="宋体"/>
          <w:b w:val="0"/>
          <w:bCs w:val="0"/>
          <w:color w:val="auto"/>
          <w:kern w:val="0"/>
          <w:sz w:val="24"/>
          <w:szCs w:val="24"/>
          <w:lang w:val="en-US" w:eastAsia="zh-CN"/>
        </w:rPr>
        <w:t>元</w:t>
      </w:r>
    </w:p>
    <w:p w14:paraId="352755D1">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shd w:val="clear" w:fill="FFFFFF"/>
        </w:rPr>
        <w:t>采购需求：</w:t>
      </w:r>
    </w:p>
    <w:p w14:paraId="31088246">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合同包1(</w:t>
      </w:r>
      <w:r>
        <w:rPr>
          <w:rFonts w:hint="eastAsia" w:cs="宋体"/>
          <w:b w:val="0"/>
          <w:bCs w:val="0"/>
          <w:i w:val="0"/>
          <w:iCs w:val="0"/>
          <w:caps w:val="0"/>
          <w:color w:val="333333"/>
          <w:spacing w:val="0"/>
          <w:sz w:val="24"/>
          <w:szCs w:val="24"/>
          <w:shd w:val="clear" w:fill="FFFFFF"/>
          <w:lang w:eastAsia="zh-CN"/>
        </w:rPr>
        <w:t>安康市工人文化宫一楼装修施工项目</w:t>
      </w:r>
      <w:r>
        <w:rPr>
          <w:rFonts w:hint="eastAsia" w:ascii="宋体" w:hAnsi="宋体" w:eastAsia="宋体" w:cs="宋体"/>
          <w:b w:val="0"/>
          <w:bCs w:val="0"/>
          <w:i w:val="0"/>
          <w:iCs w:val="0"/>
          <w:caps w:val="0"/>
          <w:color w:val="333333"/>
          <w:spacing w:val="0"/>
          <w:sz w:val="24"/>
          <w:szCs w:val="24"/>
          <w:shd w:val="clear" w:fill="FFFFFF"/>
        </w:rPr>
        <w:t>):</w:t>
      </w:r>
    </w:p>
    <w:p w14:paraId="0BAC9506">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6723"/>
        </w:tabs>
        <w:kinsoku/>
        <w:wordWrap w:val="0"/>
        <w:overflowPunct/>
        <w:topLinePunct w:val="0"/>
        <w:autoSpaceDE/>
        <w:autoSpaceDN/>
        <w:bidi w:val="0"/>
        <w:adjustRightInd w:val="0"/>
        <w:snapToGrid w:val="0"/>
        <w:spacing w:before="0" w:beforeAutospacing="0" w:after="0" w:afterAutospacing="0" w:line="360" w:lineRule="auto"/>
        <w:ind w:left="0" w:right="0" w:firstLine="63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i w:val="0"/>
          <w:iCs w:val="0"/>
          <w:caps w:val="0"/>
          <w:color w:val="333333"/>
          <w:spacing w:val="0"/>
          <w:sz w:val="24"/>
          <w:szCs w:val="24"/>
          <w:shd w:val="clear" w:fill="FFFFFF"/>
        </w:rPr>
        <w:t>合同包预算金额：</w:t>
      </w:r>
      <w:r>
        <w:rPr>
          <w:rFonts w:hint="eastAsia" w:ascii="宋体" w:hAnsi="宋体" w:eastAsia="宋体" w:cs="宋体"/>
          <w:b w:val="0"/>
          <w:bCs w:val="0"/>
          <w:i w:val="0"/>
          <w:iCs w:val="0"/>
          <w:caps w:val="0"/>
          <w:color w:val="auto"/>
          <w:spacing w:val="0"/>
          <w:sz w:val="24"/>
          <w:szCs w:val="24"/>
          <w:shd w:val="clear" w:fill="FFFFFF"/>
        </w:rPr>
        <w:t>3,039,200.00元</w:t>
      </w:r>
      <w:r>
        <w:rPr>
          <w:rFonts w:hint="eastAsia" w:cs="宋体"/>
          <w:b w:val="0"/>
          <w:bCs w:val="0"/>
          <w:i w:val="0"/>
          <w:iCs w:val="0"/>
          <w:caps w:val="0"/>
          <w:color w:val="333333"/>
          <w:spacing w:val="0"/>
          <w:sz w:val="24"/>
          <w:szCs w:val="24"/>
          <w:shd w:val="clear" w:fill="FFFFFF"/>
          <w:lang w:eastAsia="zh-CN"/>
        </w:rPr>
        <w:tab/>
      </w:r>
    </w:p>
    <w:p w14:paraId="1BD2CD1C">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630"/>
        <w:jc w:val="both"/>
        <w:textAlignment w:val="auto"/>
        <w:rPr>
          <w:rFonts w:hint="eastAsia" w:ascii="宋体" w:hAnsi="宋体" w:eastAsia="宋体" w:cs="宋体"/>
          <w:b w:val="0"/>
          <w:bCs w:val="0"/>
          <w:color w:val="0000FF"/>
          <w:sz w:val="24"/>
          <w:szCs w:val="24"/>
        </w:rPr>
      </w:pPr>
      <w:r>
        <w:rPr>
          <w:rFonts w:hint="eastAsia" w:ascii="宋体" w:hAnsi="宋体" w:eastAsia="宋体" w:cs="宋体"/>
          <w:b w:val="0"/>
          <w:bCs w:val="0"/>
          <w:i w:val="0"/>
          <w:iCs w:val="0"/>
          <w:caps w:val="0"/>
          <w:color w:val="333333"/>
          <w:spacing w:val="0"/>
          <w:sz w:val="24"/>
          <w:szCs w:val="24"/>
          <w:shd w:val="clear" w:fill="FFFFFF"/>
        </w:rPr>
        <w:t>合同包最高限价</w:t>
      </w:r>
      <w:r>
        <w:rPr>
          <w:rFonts w:hint="eastAsia" w:ascii="宋体" w:hAnsi="宋体" w:eastAsia="宋体" w:cs="宋体"/>
          <w:b w:val="0"/>
          <w:bCs w:val="0"/>
          <w:i w:val="0"/>
          <w:iCs w:val="0"/>
          <w:caps w:val="0"/>
          <w:color w:val="auto"/>
          <w:spacing w:val="0"/>
          <w:sz w:val="24"/>
          <w:szCs w:val="24"/>
          <w:shd w:val="clear" w:fill="FFFFFF"/>
        </w:rPr>
        <w:t>：3,039,1</w:t>
      </w:r>
      <w:r>
        <w:rPr>
          <w:rFonts w:hint="eastAsia" w:cs="宋体"/>
          <w:b w:val="0"/>
          <w:bCs w:val="0"/>
          <w:i w:val="0"/>
          <w:iCs w:val="0"/>
          <w:caps w:val="0"/>
          <w:color w:val="auto"/>
          <w:spacing w:val="0"/>
          <w:sz w:val="24"/>
          <w:szCs w:val="24"/>
          <w:shd w:val="clear" w:fill="FFFFFF"/>
          <w:lang w:val="en-US" w:eastAsia="zh-CN"/>
        </w:rPr>
        <w:t>00</w:t>
      </w:r>
      <w:r>
        <w:rPr>
          <w:rFonts w:hint="eastAsia" w:ascii="宋体" w:hAnsi="宋体" w:eastAsia="宋体" w:cs="宋体"/>
          <w:b w:val="0"/>
          <w:bCs w:val="0"/>
          <w:i w:val="0"/>
          <w:iCs w:val="0"/>
          <w:caps w:val="0"/>
          <w:color w:val="auto"/>
          <w:spacing w:val="0"/>
          <w:sz w:val="24"/>
          <w:szCs w:val="24"/>
          <w:shd w:val="clear" w:fill="FFFFFF"/>
        </w:rPr>
        <w:t>.</w:t>
      </w:r>
      <w:r>
        <w:rPr>
          <w:rFonts w:hint="eastAsia" w:cs="宋体"/>
          <w:b w:val="0"/>
          <w:bCs w:val="0"/>
          <w:i w:val="0"/>
          <w:iCs w:val="0"/>
          <w:caps w:val="0"/>
          <w:color w:val="auto"/>
          <w:spacing w:val="0"/>
          <w:sz w:val="24"/>
          <w:szCs w:val="24"/>
          <w:shd w:val="clear" w:fill="FFFFFF"/>
          <w:lang w:val="en-US" w:eastAsia="zh-CN"/>
        </w:rPr>
        <w:t>00</w:t>
      </w:r>
      <w:r>
        <w:rPr>
          <w:rFonts w:hint="eastAsia" w:ascii="宋体" w:hAnsi="宋体" w:eastAsia="宋体" w:cs="宋体"/>
          <w:b w:val="0"/>
          <w:bCs w:val="0"/>
          <w:i w:val="0"/>
          <w:iCs w:val="0"/>
          <w:caps w:val="0"/>
          <w:color w:val="auto"/>
          <w:spacing w:val="0"/>
          <w:sz w:val="24"/>
          <w:szCs w:val="24"/>
          <w:shd w:val="clear" w:fill="FFFFFF"/>
        </w:rPr>
        <w:t>元</w:t>
      </w:r>
    </w:p>
    <w:tbl>
      <w:tblPr>
        <w:tblStyle w:val="44"/>
        <w:tblW w:w="10074"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24"/>
        <w:gridCol w:w="1429"/>
        <w:gridCol w:w="1964"/>
        <w:gridCol w:w="1867"/>
        <w:gridCol w:w="1966"/>
        <w:gridCol w:w="1724"/>
      </w:tblGrid>
      <w:tr w14:paraId="5CB3732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68" w:hRule="atLeast"/>
          <w:tblHeader/>
          <w:jc w:val="center"/>
        </w:trPr>
        <w:tc>
          <w:tcPr>
            <w:tcW w:w="11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027645">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4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108DA7">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9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B9D297">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8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BD6335">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3AB34F81">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19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0BD682">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7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AF0802">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7B3BFF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11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882EAC">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4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D9EADF">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其他建筑工程</w:t>
            </w:r>
          </w:p>
        </w:tc>
        <w:tc>
          <w:tcPr>
            <w:tcW w:w="19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69D50D">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安康市工人文化宫一楼装修施工项目</w:t>
            </w:r>
          </w:p>
        </w:tc>
        <w:tc>
          <w:tcPr>
            <w:tcW w:w="18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89C401">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9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EBD42C">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7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8A6E57">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b w:val="0"/>
                <w:bCs w:val="0"/>
                <w:i w:val="0"/>
                <w:iCs w:val="0"/>
                <w:caps w:val="0"/>
                <w:color w:val="auto"/>
                <w:spacing w:val="0"/>
                <w:sz w:val="24"/>
                <w:szCs w:val="24"/>
                <w:shd w:val="clear" w:fill="FFFFFF"/>
              </w:rPr>
              <w:t>3,039,200.00</w:t>
            </w:r>
          </w:p>
        </w:tc>
      </w:tr>
    </w:tbl>
    <w:p w14:paraId="5ACBF79E">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0A93FA47">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630"/>
        <w:jc w:val="both"/>
        <w:textAlignment w:val="auto"/>
        <w:rPr>
          <w:rFonts w:hint="eastAsia" w:ascii="宋体" w:hAnsi="宋体" w:eastAsia="宋体" w:cs="宋体"/>
          <w:color w:val="0000FF"/>
          <w:sz w:val="24"/>
          <w:szCs w:val="24"/>
          <w:lang w:eastAsia="zh-CN"/>
        </w:rPr>
      </w:pPr>
      <w:r>
        <w:rPr>
          <w:rFonts w:hint="eastAsia" w:ascii="宋体" w:hAnsi="宋体" w:eastAsia="宋体" w:cs="宋体"/>
          <w:i w:val="0"/>
          <w:iCs w:val="0"/>
          <w:caps w:val="0"/>
          <w:color w:val="auto"/>
          <w:spacing w:val="0"/>
          <w:sz w:val="24"/>
          <w:szCs w:val="24"/>
          <w:shd w:val="clear" w:fill="FFFFFF"/>
        </w:rPr>
        <w:t>合同履行期限：自合同签订生效之日起60日历天。</w:t>
      </w:r>
    </w:p>
    <w:p w14:paraId="65F74582">
      <w:pPr>
        <w:keepNext w:val="0"/>
        <w:keepLines w:val="0"/>
        <w:pageBreakBefore w:val="0"/>
        <w:numPr>
          <w:ilvl w:val="0"/>
          <w:numId w:val="0"/>
        </w:numPr>
        <w:kinsoku/>
        <w:wordWrap/>
        <w:overflowPunct/>
        <w:topLinePunct w:val="0"/>
        <w:autoSpaceDE/>
        <w:autoSpaceDN/>
        <w:bidi w:val="0"/>
        <w:adjustRightInd/>
        <w:spacing w:line="440" w:lineRule="exact"/>
        <w:ind w:left="0" w:leftChars="0" w:firstLine="0" w:firstLineChars="0"/>
        <w:textAlignment w:val="auto"/>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SA"/>
        </w:rPr>
        <w:t>二、</w:t>
      </w:r>
      <w:r>
        <w:rPr>
          <w:rFonts w:hint="eastAsia" w:ascii="宋体" w:hAnsi="宋体" w:eastAsia="宋体" w:cs="宋体"/>
          <w:b/>
          <w:bCs/>
          <w:kern w:val="0"/>
          <w:sz w:val="24"/>
          <w:szCs w:val="24"/>
        </w:rPr>
        <w:t>申请人的资格要求：</w:t>
      </w:r>
    </w:p>
    <w:p w14:paraId="5D59EDC0">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lang w:val="en-US" w:eastAsia="zh-CN"/>
        </w:rPr>
        <w:t>一</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满足《中华人民共和国政府采购法》第二十二条规定;</w:t>
      </w:r>
    </w:p>
    <w:p w14:paraId="5B4E57AA">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lang w:val="en-US" w:eastAsia="zh-CN"/>
        </w:rPr>
        <w:t>二</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落实政府采购政策需满足的资格要求：</w:t>
      </w:r>
    </w:p>
    <w:p w14:paraId="2C8502BA">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安康市工人文化宫一楼装修施工项目</w:t>
      </w:r>
      <w:r>
        <w:rPr>
          <w:rFonts w:hint="eastAsia" w:ascii="宋体" w:hAnsi="宋体" w:eastAsia="宋体" w:cs="宋体"/>
          <w:i w:val="0"/>
          <w:iCs w:val="0"/>
          <w:caps w:val="0"/>
          <w:color w:val="333333"/>
          <w:spacing w:val="0"/>
          <w:sz w:val="24"/>
          <w:szCs w:val="24"/>
          <w:shd w:val="clear" w:fill="FFFFFF"/>
        </w:rPr>
        <w:t>)落实政府采购政策需满足的资格要求如下:</w:t>
      </w:r>
    </w:p>
    <w:p w14:paraId="3156BBD5">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依据《中华人民共和国政府采购法》和《中华人民共和国政府采购法实施条例》的有关规定，落实政府采购“优先购买节能环保产品、扶持小微企业、监狱企业、福利企业”等相关政策：</w:t>
      </w:r>
    </w:p>
    <w:p w14:paraId="172C7BC2">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p>
    <w:p w14:paraId="634DC13B">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2.《财政部司法部关于政府采购支持监狱企业发展有关问题的通知》（财库〔2014〕68号）；</w:t>
      </w:r>
    </w:p>
    <w:p w14:paraId="185E44B3">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3.《财政部发展改革委生态环境部市场监管总局关于调整优化节能产品、环境标志产品政府采购执行机制的通知》（财库〔2019〕9号）；</w:t>
      </w:r>
    </w:p>
    <w:p w14:paraId="69BDF92D">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4.《财政部民政部中国残疾人联合会关于促进残疾人就业政府采购政策的通知》（财库〔2017〕141号）；</w:t>
      </w:r>
    </w:p>
    <w:p w14:paraId="7CFD9F02">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5.《财政部农业农村部国家乡村振兴局关于运用政府采购政策支持乡村产业振兴的通知》（财库〔2021〕19号）；</w:t>
      </w:r>
    </w:p>
    <w:p w14:paraId="01C78DD4">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6.《陕西省财政厅关于加快推进我省中小企业政府采购信用融资工作的通知》（陕财办采〔2020〕15号）、陕西省财政厅关于印发《陕西省中小企业政府采购信用融资办法》（陕财办采〔2018〕23号）；</w:t>
      </w:r>
    </w:p>
    <w:p w14:paraId="6D0734F7">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7.其他需要落实的政府采购政策。</w:t>
      </w:r>
    </w:p>
    <w:p w14:paraId="004DEE0F">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lang w:val="en-US" w:eastAsia="zh-CN"/>
        </w:rPr>
        <w:t>三</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本项目的特定资格要求：</w:t>
      </w:r>
    </w:p>
    <w:p w14:paraId="5CDD4001">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安康市工人文化宫一楼装修施工项目</w:t>
      </w:r>
      <w:r>
        <w:rPr>
          <w:rFonts w:hint="eastAsia" w:ascii="宋体" w:hAnsi="宋体" w:eastAsia="宋体" w:cs="宋体"/>
          <w:i w:val="0"/>
          <w:iCs w:val="0"/>
          <w:caps w:val="0"/>
          <w:color w:val="333333"/>
          <w:spacing w:val="0"/>
          <w:sz w:val="24"/>
          <w:szCs w:val="24"/>
          <w:shd w:val="clear" w:fill="FFFFFF"/>
        </w:rPr>
        <w:t>)特定资格要求如下:</w:t>
      </w:r>
    </w:p>
    <w:p w14:paraId="2E86D376">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eastAsia" w:ascii="宋体" w:hAnsi="宋体" w:eastAsia="宋体" w:cs="宋体"/>
          <w:i w:val="0"/>
          <w:iCs w:val="0"/>
          <w:caps w:val="0"/>
          <w:color w:val="333333"/>
          <w:spacing w:val="0"/>
          <w:sz w:val="24"/>
          <w:szCs w:val="24"/>
          <w:shd w:val="clear" w:fill="FFFFFF"/>
        </w:rPr>
        <w:t>具有独立承担民事责任能力的法人、非法人组织或自然人，提供合法有效的营业执照/事业单位法人证书/专业服务机构执业许可证/民办非企业单位登记证书等相关证明，自然人参与的提供其身份证明。</w:t>
      </w:r>
    </w:p>
    <w:p w14:paraId="730496B1">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lang w:val="en-US" w:eastAsia="zh-CN"/>
        </w:rPr>
        <w:t>2.法定代表人授权书及被授权人身份证证明资料（法定代表人直接投标只需提交其身份证明资料）。</w:t>
      </w:r>
    </w:p>
    <w:p w14:paraId="061E6DED">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www.creditchina.gov.cn）或中国政府采购网（www.ccgp.gov.cn)查询结果为准。</w:t>
      </w:r>
    </w:p>
    <w:p w14:paraId="7D3CEAC5">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4.书面声明：投标人必须提供参加政府采购活动前3年内在经营活动中没有重大违法记录的书面声明。</w:t>
      </w:r>
    </w:p>
    <w:p w14:paraId="04205D02">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5.财务状况报告：提供</w:t>
      </w:r>
      <w:r>
        <w:rPr>
          <w:rFonts w:hint="eastAsia" w:ascii="宋体" w:hAnsi="宋体" w:eastAsia="宋体" w:cs="宋体"/>
          <w:i w:val="0"/>
          <w:iCs w:val="0"/>
          <w:caps w:val="0"/>
          <w:color w:val="333333"/>
          <w:spacing w:val="0"/>
          <w:sz w:val="24"/>
          <w:szCs w:val="24"/>
          <w:shd w:val="clear" w:fill="FFFFFF"/>
          <w:lang w:val="en-US" w:eastAsia="zh-CN"/>
        </w:rPr>
        <w:t>2025年度</w:t>
      </w:r>
      <w:r>
        <w:rPr>
          <w:rFonts w:hint="eastAsia" w:ascii="宋体" w:hAnsi="宋体" w:eastAsia="宋体" w:cs="宋体"/>
          <w:i w:val="0"/>
          <w:iCs w:val="0"/>
          <w:caps w:val="0"/>
          <w:color w:val="333333"/>
          <w:spacing w:val="0"/>
          <w:sz w:val="24"/>
          <w:szCs w:val="24"/>
          <w:shd w:val="clear" w:fill="FFFFFF"/>
        </w:rPr>
        <w:t>经审计的财务审计报告</w:t>
      </w:r>
      <w:r>
        <w:rPr>
          <w:rFonts w:hint="eastAsia" w:cs="宋体"/>
          <w:i w:val="0"/>
          <w:iCs w:val="0"/>
          <w:caps w:val="0"/>
          <w:color w:val="333333"/>
          <w:spacing w:val="0"/>
          <w:sz w:val="24"/>
          <w:szCs w:val="24"/>
          <w:shd w:val="clear" w:fill="FFFFFF"/>
          <w:lang w:eastAsia="zh-CN"/>
        </w:rPr>
        <w:t>（</w:t>
      </w:r>
      <w:r>
        <w:rPr>
          <w:rFonts w:hint="eastAsia" w:cs="宋体"/>
          <w:i w:val="0"/>
          <w:iCs w:val="0"/>
          <w:caps w:val="0"/>
          <w:color w:val="333333"/>
          <w:spacing w:val="0"/>
          <w:sz w:val="24"/>
          <w:szCs w:val="24"/>
          <w:shd w:val="clear" w:fill="FFFFFF"/>
          <w:lang w:val="en-US" w:eastAsia="zh-CN"/>
        </w:rPr>
        <w:t>且出具的审计报告应当经过注册会计师行业统一监管平台备案赋码</w:t>
      </w:r>
      <w:r>
        <w:rPr>
          <w:rFonts w:hint="eastAsia"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或投标截止时间前六个月内基本开户银行出具的资信证明（成立时间至提交响应文件截止时间不足一年的可提供成立后任意时段的资产负债表）。</w:t>
      </w:r>
    </w:p>
    <w:p w14:paraId="5D89EBBC">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6.社会保障资金缴纳证明：提供</w:t>
      </w:r>
      <w:r>
        <w:rPr>
          <w:rFonts w:hint="eastAsia" w:cs="宋体"/>
          <w:i w:val="0"/>
          <w:iCs w:val="0"/>
          <w:caps w:val="0"/>
          <w:color w:val="333333"/>
          <w:spacing w:val="0"/>
          <w:sz w:val="24"/>
          <w:szCs w:val="24"/>
          <w:shd w:val="clear" w:fill="FFFFFF"/>
          <w:lang w:val="en-US" w:eastAsia="zh-CN"/>
        </w:rPr>
        <w:t>2026</w:t>
      </w:r>
      <w:r>
        <w:rPr>
          <w:rFonts w:hint="eastAsia" w:ascii="宋体" w:hAnsi="宋体" w:eastAsia="宋体" w:cs="宋体"/>
          <w:i w:val="0"/>
          <w:iCs w:val="0"/>
          <w:caps w:val="0"/>
          <w:color w:val="333333"/>
          <w:spacing w:val="0"/>
          <w:sz w:val="24"/>
          <w:szCs w:val="24"/>
          <w:shd w:val="clear" w:fill="FFFFFF"/>
        </w:rPr>
        <w:t>年</w:t>
      </w:r>
      <w:r>
        <w:rPr>
          <w:rFonts w:hint="eastAsia"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月至今任意一个月社会保障资金缴存单据或社保机构开具的社会保险参保缴费情况证明，依法不需要缴纳社会保险资金的单位应提供相关证明材料，单据或证明上应有社保机构或代收机构的印章（成立时间至提交响应文件截止时间不足三个月的可不提供）。</w:t>
      </w:r>
    </w:p>
    <w:p w14:paraId="0B5261FA">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7.税收缴纳证明：提供</w:t>
      </w:r>
      <w:r>
        <w:rPr>
          <w:rFonts w:hint="eastAsia" w:cs="宋体"/>
          <w:i w:val="0"/>
          <w:iCs w:val="0"/>
          <w:caps w:val="0"/>
          <w:color w:val="333333"/>
          <w:spacing w:val="0"/>
          <w:sz w:val="24"/>
          <w:szCs w:val="24"/>
          <w:shd w:val="clear" w:fill="FFFFFF"/>
          <w:lang w:val="en-US" w:eastAsia="zh-CN"/>
        </w:rPr>
        <w:t>2026</w:t>
      </w:r>
      <w:r>
        <w:rPr>
          <w:rFonts w:hint="eastAsia" w:ascii="宋体" w:hAnsi="宋体" w:eastAsia="宋体" w:cs="宋体"/>
          <w:i w:val="0"/>
          <w:iCs w:val="0"/>
          <w:caps w:val="0"/>
          <w:color w:val="333333"/>
          <w:spacing w:val="0"/>
          <w:sz w:val="24"/>
          <w:szCs w:val="24"/>
          <w:shd w:val="clear" w:fill="FFFFFF"/>
        </w:rPr>
        <w:t>年</w:t>
      </w:r>
      <w:r>
        <w:rPr>
          <w:rFonts w:hint="eastAsia"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219F9836">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8.投标供应商应具有建筑工程施工总承包三级及以上资质或建筑装修装饰工程专业承包二级及以上资质，并具有在有效期内的安全生产许可证，在人员、设备、资金等方面具备相应的施工能力。</w:t>
      </w:r>
    </w:p>
    <w:p w14:paraId="40C31915">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9.拟派项目经理须具备建筑工程专业二级及以上注册建造师执业资格和有效的安全生产考核合格证书（安全考核B证），在本单位注册，且未担任其他在建工程项目的项目经理。</w:t>
      </w:r>
    </w:p>
    <w:p w14:paraId="5604494C">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10.本项目专门面向中小企业采购，供应商须提供《中小企业声明函》。</w:t>
      </w:r>
    </w:p>
    <w:p w14:paraId="464181A9">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rPr>
        <w:t>本项目不接受联合体投标。</w:t>
      </w:r>
    </w:p>
    <w:p w14:paraId="24C7DDE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bookmarkStart w:id="11" w:name="_Toc35529354"/>
      <w:r>
        <w:rPr>
          <w:rStyle w:val="47"/>
          <w:rFonts w:hint="eastAsia" w:ascii="宋体" w:hAnsi="宋体" w:eastAsia="宋体" w:cs="宋体"/>
          <w:b/>
          <w:bCs/>
          <w:i w:val="0"/>
          <w:iCs w:val="0"/>
          <w:caps w:val="0"/>
          <w:color w:val="333333"/>
          <w:spacing w:val="0"/>
          <w:sz w:val="24"/>
          <w:szCs w:val="24"/>
          <w:shd w:val="clear" w:fill="FFFFFF"/>
        </w:rPr>
        <w:t>三、获取采购文件</w:t>
      </w:r>
    </w:p>
    <w:p w14:paraId="21DFEB4A">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333333"/>
          <w:spacing w:val="0"/>
          <w:sz w:val="24"/>
          <w:szCs w:val="24"/>
          <w:shd w:val="clear" w:fill="FFFFFF"/>
        </w:rPr>
        <w:t>时间</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：2026年09月12日至2026年09月18日，每天上午08:00:00至12:00:00，下午14:00:00至18:00:00（北京时间）</w:t>
      </w:r>
    </w:p>
    <w:p w14:paraId="0E34E1AC">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途径：全国公共资源交易中心平台（陕西省 安康市）</w:t>
      </w:r>
    </w:p>
    <w:p w14:paraId="6DA6433B">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default"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shd w:val="clear" w:fill="FFFFFF"/>
        </w:rPr>
        <w:t>方式：</w:t>
      </w:r>
      <w:r>
        <w:rPr>
          <w:rFonts w:hint="eastAsia" w:ascii="宋体" w:hAnsi="宋体" w:eastAsia="宋体" w:cs="宋体"/>
          <w:i w:val="0"/>
          <w:iCs w:val="0"/>
          <w:caps w:val="0"/>
          <w:color w:val="auto"/>
          <w:spacing w:val="0"/>
          <w:sz w:val="24"/>
          <w:szCs w:val="24"/>
          <w:shd w:val="clear" w:fill="FFFFFF"/>
          <w:lang w:val="en-US" w:eastAsia="zh-CN"/>
        </w:rPr>
        <w:t>在线获取</w:t>
      </w:r>
    </w:p>
    <w:p w14:paraId="617117A4">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售价：0元</w:t>
      </w:r>
    </w:p>
    <w:p w14:paraId="739D3B6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47"/>
          <w:rFonts w:hint="eastAsia" w:ascii="宋体" w:hAnsi="宋体" w:eastAsia="宋体" w:cs="宋体"/>
          <w:b/>
          <w:bCs/>
          <w:i w:val="0"/>
          <w:iCs w:val="0"/>
          <w:caps w:val="0"/>
          <w:color w:val="333333"/>
          <w:spacing w:val="0"/>
          <w:sz w:val="24"/>
          <w:szCs w:val="24"/>
          <w:shd w:val="clear" w:fill="FFFFFF"/>
        </w:rPr>
        <w:t>四、响应文件提交</w:t>
      </w:r>
    </w:p>
    <w:p w14:paraId="71D511E9">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截止时间：2026年09月23日 16时00分00秒 （北京时间）</w:t>
      </w:r>
    </w:p>
    <w:p w14:paraId="18EA0FF5">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地点：全国公共资源交易中心平台（陕西省 安康市）</w:t>
      </w:r>
    </w:p>
    <w:p w14:paraId="63EA98B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47"/>
          <w:rFonts w:hint="eastAsia" w:ascii="宋体" w:hAnsi="宋体" w:eastAsia="宋体" w:cs="宋体"/>
          <w:b/>
          <w:bCs/>
          <w:i w:val="0"/>
          <w:iCs w:val="0"/>
          <w:caps w:val="0"/>
          <w:color w:val="333333"/>
          <w:spacing w:val="0"/>
          <w:sz w:val="24"/>
          <w:szCs w:val="24"/>
          <w:shd w:val="clear" w:fill="FFFFFF"/>
        </w:rPr>
        <w:t>五、开启</w:t>
      </w:r>
    </w:p>
    <w:p w14:paraId="777E35D7">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时间：2026年09月23日 16时00分00秒 （北京时间）</w:t>
      </w:r>
    </w:p>
    <w:p w14:paraId="3FE36A52">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地点：</w:t>
      </w:r>
      <w:r>
        <w:rPr>
          <w:rFonts w:hint="eastAsia" w:ascii="宋体" w:hAnsi="宋体" w:eastAsia="宋体" w:cs="宋体"/>
          <w:i w:val="0"/>
          <w:iCs w:val="0"/>
          <w:caps w:val="0"/>
          <w:color w:val="auto"/>
          <w:spacing w:val="0"/>
          <w:sz w:val="24"/>
          <w:szCs w:val="24"/>
          <w:shd w:val="clear" w:fill="FFFFFF"/>
        </w:rPr>
        <w:t>安康不见面开标大厅系统（http://219.145.206.209/BidOpeningHall/bidopeninghallaction/hall/login）</w:t>
      </w:r>
    </w:p>
    <w:p w14:paraId="2DE5884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47"/>
          <w:rFonts w:hint="eastAsia" w:ascii="宋体" w:hAnsi="宋体" w:eastAsia="宋体" w:cs="宋体"/>
          <w:b/>
          <w:bCs/>
          <w:i w:val="0"/>
          <w:iCs w:val="0"/>
          <w:caps w:val="0"/>
          <w:color w:val="333333"/>
          <w:spacing w:val="0"/>
          <w:sz w:val="24"/>
          <w:szCs w:val="24"/>
          <w:shd w:val="clear" w:fill="FFFFFF"/>
        </w:rPr>
        <w:t>六、公告期限</w:t>
      </w:r>
    </w:p>
    <w:p w14:paraId="540EDCAD">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自本公告发布之日起3个工作日。</w:t>
      </w:r>
    </w:p>
    <w:p w14:paraId="3096CA8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47"/>
          <w:rFonts w:hint="eastAsia" w:ascii="宋体" w:hAnsi="宋体" w:eastAsia="宋体" w:cs="宋体"/>
          <w:b/>
          <w:bCs/>
          <w:i w:val="0"/>
          <w:iCs w:val="0"/>
          <w:caps w:val="0"/>
          <w:color w:val="333333"/>
          <w:spacing w:val="0"/>
          <w:sz w:val="24"/>
          <w:szCs w:val="24"/>
          <w:shd w:val="clear" w:fill="FFFFFF"/>
        </w:rPr>
        <w:t>七、其他补充事宜</w:t>
      </w:r>
    </w:p>
    <w:bookmarkEnd w:id="11"/>
    <w:p w14:paraId="79EECAF9">
      <w:pPr>
        <w:pStyle w:val="40"/>
        <w:wordWrap w:val="0"/>
        <w:adjustRightInd w:val="0"/>
        <w:snapToGrid w:val="0"/>
        <w:spacing w:before="0" w:beforeAutospacing="0" w:after="0" w:afterAutospacing="0" w:line="360" w:lineRule="auto"/>
        <w:ind w:firstLine="480"/>
        <w:jc w:val="both"/>
        <w:rPr>
          <w:rFonts w:cs="宋体"/>
          <w:color w:val="FF0000"/>
          <w:szCs w:val="24"/>
        </w:rPr>
      </w:pPr>
      <w:r>
        <w:rPr>
          <w:rFonts w:hint="eastAsia" w:cs="宋体"/>
          <w:szCs w:val="24"/>
          <w:shd w:val="clear" w:color="auto" w:fill="FFFFFF"/>
        </w:rPr>
        <w:t>备注：（1）获取须知：投标供应商使用捆绑省交易平台的CA锁登录电子交易平台，选择电子交易平台中的陕西政府采购交易系统企业端进行登录，登录后点击我要投标，完善相关投标信息。网上投标确认后在线下载</w:t>
      </w:r>
      <w:r>
        <w:rPr>
          <w:rFonts w:hint="eastAsia" w:cs="宋体"/>
          <w:szCs w:val="24"/>
          <w:shd w:val="clear" w:color="auto" w:fill="FFFFFF"/>
          <w:lang w:val="en-US" w:eastAsia="zh-CN"/>
        </w:rPr>
        <w:t>磋商</w:t>
      </w:r>
      <w:r>
        <w:rPr>
          <w:rFonts w:hint="eastAsia" w:cs="宋体"/>
          <w:szCs w:val="24"/>
          <w:shd w:val="clear" w:color="auto" w:fill="FFFFFF"/>
        </w:rPr>
        <w:t>文件，未在文件获取时间内从电子交易平台下载</w:t>
      </w:r>
      <w:r>
        <w:rPr>
          <w:rFonts w:hint="eastAsia" w:cs="宋体"/>
          <w:szCs w:val="24"/>
          <w:shd w:val="clear" w:color="auto" w:fill="FFFFFF"/>
          <w:lang w:val="en-US" w:eastAsia="zh-CN"/>
        </w:rPr>
        <w:t>磋商</w:t>
      </w:r>
      <w:r>
        <w:rPr>
          <w:rFonts w:hint="eastAsia" w:cs="宋体"/>
          <w:szCs w:val="24"/>
          <w:shd w:val="clear" w:color="auto" w:fill="FFFFFF"/>
        </w:rPr>
        <w:t>文件的，无法完成后续流程。（2）网上投标未成功或未在规定时间内在平台上下载文件的，导致无法完成后续流程的责任自负。（3）本项目采用电子化投标及远程不见面开标方式，相关操作流程详见全国公共资源交易平台（陕西省）网站[服务指南－下载专区]中的《陕西省公共资源交易中心政府采购项目投标指南》。开标前，供应商需登录网络开标大厅。开标时，按照工作人员要求进行远程解密，如因供应商自身原因造成无法签到或解密投标文件，按无效投标对待。（4）电子投标文件技术支持：4009280095、4009980000</w:t>
      </w:r>
      <w:r>
        <w:rPr>
          <w:rFonts w:hint="eastAsia" w:cs="宋体"/>
          <w:szCs w:val="24"/>
          <w:shd w:val="clear" w:color="auto" w:fill="FFFFFF"/>
          <w:lang w:eastAsia="zh-CN"/>
        </w:rPr>
        <w:t>、4006369888、0512-58188039</w:t>
      </w:r>
      <w:r>
        <w:rPr>
          <w:rFonts w:hint="eastAsia" w:cs="宋体"/>
          <w:szCs w:val="24"/>
          <w:shd w:val="clear" w:color="auto" w:fill="FFFFFF"/>
        </w:rPr>
        <w:t>（5）请各供应商获取采购文件后，按照陕西省财政厅《关于政府采购供应商注册登记有关事项的通知》要求，通过陕西省政府采购网注册登记加入陕西省政府采购供应商库。</w:t>
      </w:r>
    </w:p>
    <w:p w14:paraId="688723B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4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254BEEC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3D7E7D4">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eastAsia="zh-CN"/>
        </w:rPr>
        <w:t>安康市工人文化宫</w:t>
      </w:r>
    </w:p>
    <w:p w14:paraId="66942FD0">
      <w:pPr>
        <w:pStyle w:val="62"/>
        <w:widowControl/>
        <w:adjustRightInd w:val="0"/>
        <w:snapToGrid w:val="0"/>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地    址：安康市汉滨区安康大道与秦岭南路交汇处</w:t>
      </w:r>
    </w:p>
    <w:p w14:paraId="583FA253">
      <w:pPr>
        <w:pStyle w:val="62"/>
        <w:widowControl/>
        <w:adjustRightInd w:val="0"/>
        <w:snapToGrid w:val="0"/>
        <w:spacing w:line="360" w:lineRule="auto"/>
        <w:ind w:firstLine="480"/>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联系方式：</w:t>
      </w:r>
      <w:r>
        <w:rPr>
          <w:rFonts w:hint="eastAsia" w:ascii="宋体" w:hAnsi="宋体" w:cs="宋体"/>
          <w:color w:val="auto"/>
          <w:kern w:val="0"/>
          <w:sz w:val="24"/>
          <w:szCs w:val="24"/>
          <w:lang w:val="en-US" w:eastAsia="zh-CN"/>
        </w:rPr>
        <w:t>18391561331</w:t>
      </w:r>
    </w:p>
    <w:p w14:paraId="5C1F3FD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67A9846">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名称：安康尚昊招标代理有限公司</w:t>
      </w:r>
    </w:p>
    <w:p w14:paraId="754F1E53">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地址：陕西省安康市高新区高新观澜8幢2单元801室</w:t>
      </w:r>
    </w:p>
    <w:p w14:paraId="09B4C281">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联系方式：15991480332</w:t>
      </w:r>
    </w:p>
    <w:p w14:paraId="0C4A05C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65F82E04">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项目联系人：陈工</w:t>
      </w:r>
    </w:p>
    <w:p w14:paraId="3B185B28">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电话：15991480332</w:t>
      </w:r>
    </w:p>
    <w:p w14:paraId="194193D9">
      <w:pPr>
        <w:keepNext w:val="0"/>
        <w:keepLines w:val="0"/>
        <w:pageBreakBefore w:val="0"/>
        <w:widowControl w:val="0"/>
        <w:kinsoku/>
        <w:wordWrap/>
        <w:overflowPunct/>
        <w:topLinePunct w:val="0"/>
        <w:autoSpaceDE/>
        <w:autoSpaceDN/>
        <w:bidi w:val="0"/>
        <w:adjustRightInd/>
        <w:snapToGrid/>
        <w:spacing w:line="440" w:lineRule="exact"/>
        <w:ind w:left="0"/>
        <w:jc w:val="righ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安康尚昊招标代理有限公司</w:t>
      </w:r>
    </w:p>
    <w:p w14:paraId="0B44A0DB">
      <w:pPr>
        <w:keepNext w:val="0"/>
        <w:keepLines w:val="0"/>
        <w:pageBreakBefore w:val="0"/>
        <w:widowControl/>
        <w:kinsoku/>
        <w:wordWrap/>
        <w:overflowPunct/>
        <w:topLinePunct w:val="0"/>
        <w:autoSpaceDE/>
        <w:autoSpaceDN/>
        <w:bidi w:val="0"/>
        <w:adjustRightInd/>
        <w:spacing w:line="336" w:lineRule="auto"/>
        <w:jc w:val="left"/>
        <w:textAlignment w:val="auto"/>
        <w:rPr>
          <w:rFonts w:ascii="宋体" w:hAnsi="宋体" w:cs="宋体"/>
          <w:b/>
          <w:bCs/>
          <w:kern w:val="44"/>
          <w:sz w:val="32"/>
          <w:szCs w:val="32"/>
        </w:rPr>
      </w:pPr>
      <w:r>
        <w:rPr>
          <w:rFonts w:hint="eastAsia" w:ascii="宋体" w:hAnsi="宋体" w:eastAsia="宋体" w:cs="宋体"/>
          <w:kern w:val="0"/>
          <w:sz w:val="24"/>
          <w:szCs w:val="24"/>
          <w:lang w:val="en-US" w:eastAsia="zh-CN" w:bidi="ar-SA"/>
        </w:rPr>
        <w:t xml:space="preserve">                                             </w:t>
      </w:r>
      <w:r>
        <w:rPr>
          <w:rFonts w:hint="eastAsia" w:ascii="宋体" w:hAnsi="宋体" w:cs="宋体"/>
          <w:kern w:val="0"/>
          <w:sz w:val="24"/>
          <w:szCs w:val="24"/>
          <w:lang w:val="en-US" w:eastAsia="zh-CN" w:bidi="ar-SA"/>
        </w:rPr>
        <w:t xml:space="preserve">           </w:t>
      </w:r>
      <w:bookmarkStart w:id="12" w:name="_Toc536202283"/>
      <w:bookmarkStart w:id="13" w:name="_Toc536202377"/>
      <w:bookmarkStart w:id="14" w:name="_Toc5018"/>
      <w:bookmarkStart w:id="15" w:name="_Toc536429317"/>
      <w:bookmarkStart w:id="16" w:name="_Toc536429370"/>
      <w:r>
        <w:rPr>
          <w:rFonts w:hint="eastAsia" w:ascii="宋体" w:hAnsi="宋体" w:cs="宋体"/>
          <w:kern w:val="0"/>
          <w:sz w:val="24"/>
          <w:szCs w:val="24"/>
          <w:lang w:val="en-US" w:eastAsia="zh-CN" w:bidi="ar-SA"/>
        </w:rPr>
        <w:t>2026年9月11日</w:t>
      </w:r>
      <w:r>
        <w:rPr>
          <w:rFonts w:ascii="宋体" w:hAnsi="宋体" w:cs="宋体"/>
          <w:b/>
          <w:bCs/>
          <w:kern w:val="44"/>
          <w:sz w:val="32"/>
          <w:szCs w:val="32"/>
        </w:rPr>
        <w:br w:type="page"/>
      </w:r>
    </w:p>
    <w:p w14:paraId="7AD5E786">
      <w:pPr>
        <w:widowControl/>
        <w:jc w:val="left"/>
        <w:rPr>
          <w:rFonts w:ascii="宋体" w:hAnsi="宋体" w:cs="宋体"/>
          <w:b/>
          <w:bCs/>
          <w:kern w:val="44"/>
          <w:sz w:val="32"/>
          <w:szCs w:val="32"/>
        </w:rPr>
      </w:pPr>
      <w:bookmarkStart w:id="17" w:name="_Toc19543334"/>
      <w:r>
        <w:rPr>
          <w:rFonts w:hint="eastAsia" w:ascii="宋体" w:hAnsi="宋体" w:cs="宋体"/>
          <w:b/>
          <w:bCs/>
          <w:kern w:val="44"/>
          <w:sz w:val="32"/>
          <w:szCs w:val="32"/>
        </w:rPr>
        <w:t>特别提醒：</w:t>
      </w:r>
    </w:p>
    <w:p w14:paraId="75FBE13F">
      <w:pPr>
        <w:spacing w:line="460" w:lineRule="exact"/>
        <w:ind w:firstLine="482" w:firstLineChars="200"/>
        <w:jc w:val="left"/>
        <w:rPr>
          <w:rFonts w:ascii="宋体" w:hAnsi="宋体" w:cs="宋体"/>
          <w:b/>
          <w:bCs/>
          <w:color w:val="000000"/>
          <w:sz w:val="24"/>
          <w:szCs w:val="24"/>
        </w:rPr>
      </w:pPr>
      <w:r>
        <w:rPr>
          <w:rFonts w:hint="eastAsia" w:ascii="宋体" w:hAnsi="宋体" w:cs="宋体"/>
          <w:b/>
          <w:bCs/>
          <w:color w:val="000000"/>
          <w:sz w:val="24"/>
          <w:szCs w:val="24"/>
        </w:rPr>
        <w:t>1.本项目采用电子化投标及远程不见面开标方式（无需提供纸质版文件，无需到开标现场），开标时请务必携带数字认证证书，如因供应商自身原因未携带数字认证证书造成无法解密投标文件</w:t>
      </w:r>
      <w:r>
        <w:rPr>
          <w:rFonts w:hint="eastAsia" w:ascii="宋体" w:hAnsi="宋体" w:cs="宋体"/>
          <w:b/>
          <w:bCs/>
          <w:sz w:val="24"/>
          <w:szCs w:val="24"/>
        </w:rPr>
        <w:t>，按无效投标对待。</w:t>
      </w:r>
      <w:r>
        <w:rPr>
          <w:rFonts w:hint="eastAsia" w:ascii="宋体" w:hAnsi="宋体" w:cs="宋体"/>
          <w:b/>
          <w:bCs/>
          <w:color w:val="000000"/>
          <w:sz w:val="24"/>
          <w:szCs w:val="24"/>
        </w:rPr>
        <w:t>“不见面大厅”登录网址为：</w:t>
      </w:r>
    </w:p>
    <w:p w14:paraId="58AF06E2">
      <w:pPr>
        <w:spacing w:line="460" w:lineRule="exact"/>
        <w:ind w:firstLine="482" w:firstLineChars="200"/>
        <w:jc w:val="left"/>
        <w:rPr>
          <w:rFonts w:ascii="宋体" w:hAnsi="宋体" w:cs="宋体"/>
          <w:b/>
          <w:bCs/>
          <w:color w:val="000000"/>
          <w:sz w:val="24"/>
          <w:szCs w:val="24"/>
        </w:rPr>
      </w:pPr>
      <w:r>
        <w:rPr>
          <w:rFonts w:hint="eastAsia" w:ascii="宋体" w:hAnsi="宋体" w:cs="宋体"/>
          <w:b/>
          <w:bCs/>
          <w:color w:val="000000"/>
          <w:sz w:val="24"/>
          <w:szCs w:val="24"/>
        </w:rPr>
        <w:t>http://219.145.206.209/BidOpeningHall/bidopeninghallaction/hall/login（请各投标人下载最新驱动，详细操作请关注《关于陕西省公共资源交易平台多CA互认系统正式上线运行的通知》）电子开标、评标无法进行时，按照《安康市公共资源交易平台电子化交易应急处置管理办法（试行）》规定执行。</w:t>
      </w:r>
    </w:p>
    <w:p w14:paraId="20F05ACD">
      <w:pPr>
        <w:widowControl/>
        <w:tabs>
          <w:tab w:val="left" w:pos="1620"/>
        </w:tabs>
        <w:snapToGrid w:val="0"/>
        <w:spacing w:line="460" w:lineRule="exact"/>
        <w:ind w:firstLine="482" w:firstLineChars="200"/>
        <w:jc w:val="left"/>
        <w:rPr>
          <w:rFonts w:ascii="宋体" w:hAnsi="宋体" w:cs="宋体"/>
          <w:b/>
          <w:bCs/>
          <w:kern w:val="0"/>
          <w:sz w:val="24"/>
          <w:szCs w:val="24"/>
        </w:rPr>
      </w:pPr>
      <w:r>
        <w:rPr>
          <w:rFonts w:hint="eastAsia" w:ascii="宋体" w:hAnsi="宋体" w:cs="宋体"/>
          <w:b/>
          <w:bCs/>
          <w:kern w:val="0"/>
          <w:sz w:val="24"/>
          <w:szCs w:val="24"/>
        </w:rPr>
        <w:t>2.制作电子投标文件</w:t>
      </w:r>
    </w:p>
    <w:p w14:paraId="3FF5DD2B">
      <w:pPr>
        <w:widowControl/>
        <w:tabs>
          <w:tab w:val="left" w:pos="1620"/>
        </w:tabs>
        <w:snapToGrid w:val="0"/>
        <w:spacing w:line="460" w:lineRule="exact"/>
        <w:ind w:firstLine="482" w:firstLineChars="200"/>
        <w:jc w:val="left"/>
        <w:rPr>
          <w:rFonts w:ascii="宋体" w:hAnsi="宋体" w:cs="宋体"/>
          <w:b/>
          <w:bCs/>
          <w:kern w:val="0"/>
          <w:sz w:val="24"/>
          <w:szCs w:val="24"/>
        </w:rPr>
      </w:pPr>
      <w:r>
        <w:rPr>
          <w:rFonts w:hint="eastAsia" w:ascii="宋体" w:hAnsi="宋体" w:cs="宋体"/>
          <w:b/>
          <w:bCs/>
          <w:kern w:val="0"/>
          <w:sz w:val="24"/>
          <w:szCs w:val="24"/>
        </w:rPr>
        <w:t>投标供应商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14:paraId="54BA5D7E">
      <w:pPr>
        <w:widowControl/>
        <w:tabs>
          <w:tab w:val="left" w:pos="1620"/>
        </w:tabs>
        <w:snapToGrid w:val="0"/>
        <w:spacing w:line="460" w:lineRule="exact"/>
        <w:ind w:firstLine="482" w:firstLineChars="200"/>
        <w:jc w:val="left"/>
        <w:rPr>
          <w:rFonts w:ascii="宋体" w:hAnsi="宋体" w:cs="宋体"/>
          <w:b/>
          <w:bCs/>
          <w:kern w:val="0"/>
          <w:sz w:val="24"/>
          <w:szCs w:val="24"/>
        </w:rPr>
      </w:pPr>
      <w:r>
        <w:rPr>
          <w:rFonts w:hint="eastAsia" w:ascii="宋体" w:hAnsi="宋体" w:cs="宋体"/>
          <w:b/>
          <w:bCs/>
          <w:kern w:val="0"/>
          <w:sz w:val="24"/>
          <w:szCs w:val="24"/>
        </w:rPr>
        <w:t>3.递交电子投标文件</w:t>
      </w:r>
    </w:p>
    <w:p w14:paraId="19927C40">
      <w:pPr>
        <w:spacing w:line="460" w:lineRule="exact"/>
        <w:ind w:firstLine="482" w:firstLineChars="200"/>
        <w:jc w:val="left"/>
        <w:rPr>
          <w:rFonts w:ascii="宋体" w:hAnsi="宋体" w:cs="宋体"/>
          <w:b/>
          <w:bCs/>
          <w:kern w:val="0"/>
          <w:sz w:val="24"/>
          <w:szCs w:val="24"/>
        </w:rPr>
      </w:pPr>
      <w:r>
        <w:rPr>
          <w:rFonts w:hint="eastAsia" w:ascii="宋体" w:hAnsi="宋体" w:cs="宋体"/>
          <w:b/>
          <w:bCs/>
          <w:kern w:val="0"/>
          <w:sz w:val="24"/>
          <w:szCs w:val="24"/>
        </w:rPr>
        <w:t>登录全国公共资源交易中心平台（陕西省）（http://www.sxggzyjy.cn/），选择“电子交易平台——陕西省政府采购交易系统——企业端”进行登录，登录后选择“交易乙方”身份进入，进入菜单“采购业务—我的项目——项目流程——上传响应文件”，上传加密的电子投标文件。上传成功后，电子化平台将予以记录。</w:t>
      </w:r>
    </w:p>
    <w:p w14:paraId="1367C143">
      <w:pPr>
        <w:pStyle w:val="62"/>
        <w:spacing w:line="460" w:lineRule="exact"/>
        <w:ind w:firstLine="482"/>
        <w:rPr>
          <w:rFonts w:ascii="宋体" w:hAnsi="宋体" w:cs="宋体"/>
          <w:b/>
          <w:bCs/>
          <w:kern w:val="0"/>
          <w:sz w:val="24"/>
          <w:szCs w:val="24"/>
        </w:rPr>
      </w:pPr>
      <w:r>
        <w:rPr>
          <w:rFonts w:hint="eastAsia" w:ascii="宋体" w:hAnsi="宋体" w:cs="宋体"/>
          <w:b/>
          <w:bCs/>
          <w:kern w:val="0"/>
          <w:sz w:val="24"/>
          <w:szCs w:val="24"/>
        </w:rPr>
        <w:t>项目如有变更文件，则应点击“项目流程——答疑文件下载”下载更新后的电子招标文件（*.SXSCF），使用旧版电子招标文件制作的电子投标文件，系统将拒绝接收。</w:t>
      </w:r>
    </w:p>
    <w:p w14:paraId="42750FDD">
      <w:pPr>
        <w:widowControl/>
        <w:numPr>
          <w:ilvl w:val="0"/>
          <w:numId w:val="0"/>
        </w:numPr>
        <w:tabs>
          <w:tab w:val="left" w:pos="1620"/>
        </w:tabs>
        <w:snapToGrid w:val="0"/>
        <w:spacing w:line="400" w:lineRule="exact"/>
        <w:ind w:firstLine="482" w:firstLineChars="200"/>
        <w:jc w:val="left"/>
        <w:rPr>
          <w:rFonts w:hint="eastAsia" w:ascii="宋体" w:hAnsi="宋体" w:cs="宋体"/>
          <w:b/>
          <w:bCs/>
          <w:sz w:val="24"/>
          <w:szCs w:val="24"/>
        </w:rPr>
      </w:pPr>
      <w:r>
        <w:rPr>
          <w:rFonts w:hint="eastAsia" w:ascii="宋体" w:hAnsi="宋体" w:eastAsia="宋体" w:cs="宋体"/>
          <w:b/>
          <w:bCs/>
          <w:kern w:val="2"/>
          <w:sz w:val="24"/>
          <w:szCs w:val="24"/>
          <w:lang w:val="en-US" w:eastAsia="zh-CN" w:bidi="ar-SA"/>
        </w:rPr>
        <w:t>4.</w:t>
      </w:r>
      <w:r>
        <w:rPr>
          <w:rFonts w:hint="eastAsia" w:ascii="宋体" w:hAnsi="宋体" w:cs="宋体"/>
          <w:b/>
          <w:bCs/>
          <w:sz w:val="24"/>
          <w:szCs w:val="24"/>
        </w:rPr>
        <w:t>电子投标文件技术支持：4009280095、4009980000、4006369888、0512-58188039</w:t>
      </w:r>
    </w:p>
    <w:p w14:paraId="13E3EBCA">
      <w:pPr>
        <w:widowControl/>
        <w:numPr>
          <w:ilvl w:val="0"/>
          <w:numId w:val="0"/>
        </w:numPr>
        <w:tabs>
          <w:tab w:val="left" w:pos="1620"/>
        </w:tabs>
        <w:snapToGrid w:val="0"/>
        <w:spacing w:line="400" w:lineRule="exact"/>
        <w:ind w:firstLine="482" w:firstLineChars="200"/>
        <w:jc w:val="left"/>
        <w:rPr>
          <w:rFonts w:ascii="宋体" w:hAnsi="宋体" w:cs="宋体"/>
          <w:sz w:val="24"/>
          <w:szCs w:val="24"/>
        </w:rPr>
      </w:pPr>
      <w:r>
        <w:rPr>
          <w:rFonts w:hint="eastAsia" w:ascii="宋体" w:hAnsi="宋体" w:cs="宋体"/>
          <w:b/>
          <w:bCs/>
          <w:sz w:val="24"/>
          <w:szCs w:val="24"/>
        </w:rPr>
        <w:t>5.投标供应商报名成功，如自愿放弃投标，应在开标前一个工作日以电子邮件或书面形式告知采购代理机构。供应商若未按此要求告知，采购代理机构将登记供应商不诚信信用记录，在一个自然年度进行综合考评，报采购监督管理部门。由此产生的一切后果由供应商自行承担。</w:t>
      </w:r>
    </w:p>
    <w:p w14:paraId="5D98AF1B">
      <w:pPr>
        <w:widowControl/>
        <w:jc w:val="left"/>
        <w:rPr>
          <w:rFonts w:ascii="Times New Roman" w:hAnsi="Times New Roman" w:cs="Times New Roman"/>
          <w:b/>
          <w:bCs/>
          <w:kern w:val="44"/>
          <w:sz w:val="32"/>
          <w:szCs w:val="32"/>
        </w:rPr>
      </w:pPr>
      <w:r>
        <w:br w:type="page"/>
      </w:r>
    </w:p>
    <w:p w14:paraId="7A33EB71">
      <w:pPr>
        <w:pStyle w:val="2"/>
        <w:spacing w:line="360" w:lineRule="auto"/>
        <w:rPr>
          <w:rFonts w:ascii="宋体" w:hAnsi="宋体" w:cs="宋体"/>
        </w:rPr>
      </w:pPr>
      <w:bookmarkStart w:id="18" w:name="_Toc13215"/>
      <w:r>
        <w:rPr>
          <w:rFonts w:hint="eastAsia"/>
        </w:rPr>
        <w:t>第二部分</w:t>
      </w:r>
      <w:r>
        <w:t xml:space="preserve">  </w:t>
      </w:r>
      <w:r>
        <w:rPr>
          <w:rFonts w:hint="eastAsia"/>
        </w:rPr>
        <w:t>供应商须知前附表</w:t>
      </w:r>
      <w:bookmarkEnd w:id="5"/>
      <w:bookmarkEnd w:id="6"/>
      <w:bookmarkEnd w:id="12"/>
      <w:bookmarkEnd w:id="13"/>
      <w:bookmarkEnd w:id="14"/>
      <w:bookmarkEnd w:id="15"/>
      <w:bookmarkEnd w:id="16"/>
      <w:bookmarkEnd w:id="17"/>
      <w:bookmarkEnd w:id="18"/>
    </w:p>
    <w:tbl>
      <w:tblPr>
        <w:tblStyle w:val="98"/>
        <w:tblW w:w="9884" w:type="dxa"/>
        <w:tblInd w:w="0" w:type="dxa"/>
        <w:tblLayout w:type="fixed"/>
        <w:tblCellMar>
          <w:top w:w="147" w:type="dxa"/>
          <w:left w:w="108" w:type="dxa"/>
          <w:bottom w:w="56" w:type="dxa"/>
          <w:right w:w="0" w:type="dxa"/>
        </w:tblCellMar>
      </w:tblPr>
      <w:tblGrid>
        <w:gridCol w:w="704"/>
        <w:gridCol w:w="1989"/>
        <w:gridCol w:w="7191"/>
      </w:tblGrid>
      <w:tr w14:paraId="4831DD3A">
        <w:tblPrEx>
          <w:tblCellMar>
            <w:top w:w="147" w:type="dxa"/>
            <w:left w:w="108" w:type="dxa"/>
            <w:bottom w:w="56" w:type="dxa"/>
            <w:right w:w="0" w:type="dxa"/>
          </w:tblCellMar>
        </w:tblPrEx>
        <w:trPr>
          <w:trHeight w:val="339"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27C0B1F4">
            <w:pPr>
              <w:spacing w:line="259"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序号</w:t>
            </w:r>
          </w:p>
        </w:tc>
        <w:tc>
          <w:tcPr>
            <w:tcW w:w="1989" w:type="dxa"/>
            <w:tcBorders>
              <w:top w:val="single" w:color="000000" w:sz="4" w:space="0"/>
              <w:left w:val="single" w:color="000000" w:sz="4" w:space="0"/>
              <w:bottom w:val="single" w:color="000000" w:sz="4" w:space="0"/>
              <w:right w:val="single" w:color="000000" w:sz="4" w:space="0"/>
            </w:tcBorders>
            <w:vAlign w:val="center"/>
          </w:tcPr>
          <w:p w14:paraId="2EA484D2">
            <w:pPr>
              <w:spacing w:line="259" w:lineRule="auto"/>
              <w:ind w:right="310"/>
              <w:jc w:val="center"/>
              <w:rPr>
                <w:rFonts w:asciiTheme="minorEastAsia" w:hAnsiTheme="minorEastAsia" w:eastAsiaTheme="minorEastAsia"/>
                <w:sz w:val="24"/>
                <w:szCs w:val="24"/>
              </w:rPr>
            </w:pPr>
            <w:r>
              <w:rPr>
                <w:rFonts w:asciiTheme="minorEastAsia" w:hAnsiTheme="minorEastAsia" w:eastAsiaTheme="minorEastAsia"/>
                <w:sz w:val="24"/>
                <w:szCs w:val="24"/>
              </w:rPr>
              <w:t>内 容</w:t>
            </w:r>
          </w:p>
        </w:tc>
        <w:tc>
          <w:tcPr>
            <w:tcW w:w="7191" w:type="dxa"/>
            <w:tcBorders>
              <w:top w:val="single" w:color="000000" w:sz="4" w:space="0"/>
              <w:left w:val="single" w:color="000000" w:sz="4" w:space="0"/>
              <w:bottom w:val="single" w:color="000000" w:sz="4" w:space="0"/>
              <w:right w:val="single" w:color="000000" w:sz="4" w:space="0"/>
            </w:tcBorders>
            <w:vAlign w:val="center"/>
          </w:tcPr>
          <w:p w14:paraId="70A6656E">
            <w:pPr>
              <w:spacing w:line="259" w:lineRule="auto"/>
              <w:ind w:left="840" w:right="111"/>
              <w:jc w:val="center"/>
              <w:rPr>
                <w:rFonts w:asciiTheme="minorEastAsia" w:hAnsiTheme="minorEastAsia" w:eastAsiaTheme="minorEastAsia"/>
                <w:sz w:val="24"/>
                <w:szCs w:val="24"/>
              </w:rPr>
            </w:pPr>
            <w:r>
              <w:rPr>
                <w:rFonts w:asciiTheme="minorEastAsia" w:hAnsiTheme="minorEastAsia" w:eastAsiaTheme="minorEastAsia"/>
                <w:sz w:val="24"/>
                <w:szCs w:val="24"/>
              </w:rPr>
              <w:t>说明与要求</w:t>
            </w:r>
          </w:p>
        </w:tc>
      </w:tr>
      <w:tr w14:paraId="0A21B884">
        <w:tblPrEx>
          <w:tblCellMar>
            <w:top w:w="147" w:type="dxa"/>
            <w:left w:w="108" w:type="dxa"/>
            <w:bottom w:w="56" w:type="dxa"/>
            <w:right w:w="0" w:type="dxa"/>
          </w:tblCellMar>
        </w:tblPrEx>
        <w:trPr>
          <w:trHeight w:val="20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339940DB">
            <w:pPr>
              <w:pStyle w:val="97"/>
              <w:numPr>
                <w:ilvl w:val="0"/>
                <w:numId w:val="3"/>
              </w:numPr>
              <w:spacing w:line="259" w:lineRule="auto"/>
              <w:ind w:right="110"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6B3BF1A7">
            <w:pPr>
              <w:spacing w:line="259" w:lineRule="auto"/>
              <w:ind w:right="109"/>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采购人</w:t>
            </w:r>
          </w:p>
        </w:tc>
        <w:tc>
          <w:tcPr>
            <w:tcW w:w="7191" w:type="dxa"/>
            <w:tcBorders>
              <w:top w:val="single" w:color="000000" w:sz="4" w:space="0"/>
              <w:left w:val="single" w:color="000000" w:sz="4" w:space="0"/>
              <w:bottom w:val="single" w:color="000000" w:sz="4" w:space="0"/>
              <w:right w:val="single" w:color="000000" w:sz="4" w:space="0"/>
            </w:tcBorders>
            <w:vAlign w:val="center"/>
          </w:tcPr>
          <w:p w14:paraId="34DDC526">
            <w:pPr>
              <w:spacing w:line="259" w:lineRule="auto"/>
              <w:rPr>
                <w:rFonts w:hint="default"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安康市工人文化宫</w:t>
            </w:r>
          </w:p>
        </w:tc>
      </w:tr>
      <w:tr w14:paraId="52F4013B">
        <w:tblPrEx>
          <w:tblCellMar>
            <w:top w:w="147" w:type="dxa"/>
            <w:left w:w="108" w:type="dxa"/>
            <w:bottom w:w="56" w:type="dxa"/>
            <w:right w:w="0" w:type="dxa"/>
          </w:tblCellMar>
        </w:tblPrEx>
        <w:trPr>
          <w:trHeight w:val="211"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101996DB">
            <w:pPr>
              <w:pStyle w:val="97"/>
              <w:numPr>
                <w:ilvl w:val="0"/>
                <w:numId w:val="3"/>
              </w:numPr>
              <w:spacing w:line="259" w:lineRule="auto"/>
              <w:ind w:right="110"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500079CE">
            <w:pPr>
              <w:spacing w:line="259" w:lineRule="auto"/>
              <w:ind w:right="109"/>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代理机构</w:t>
            </w:r>
          </w:p>
        </w:tc>
        <w:tc>
          <w:tcPr>
            <w:tcW w:w="7191" w:type="dxa"/>
            <w:tcBorders>
              <w:top w:val="single" w:color="000000" w:sz="4" w:space="0"/>
              <w:left w:val="single" w:color="000000" w:sz="4" w:space="0"/>
              <w:bottom w:val="single" w:color="000000" w:sz="4" w:space="0"/>
              <w:right w:val="single" w:color="000000" w:sz="4" w:space="0"/>
            </w:tcBorders>
            <w:vAlign w:val="center"/>
          </w:tcPr>
          <w:p w14:paraId="7CB5F6CA">
            <w:pPr>
              <w:spacing w:line="259"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安康</w:t>
            </w:r>
            <w:r>
              <w:rPr>
                <w:rFonts w:asciiTheme="minorEastAsia" w:hAnsiTheme="minorEastAsia" w:eastAsiaTheme="minorEastAsia"/>
                <w:sz w:val="24"/>
                <w:szCs w:val="24"/>
              </w:rPr>
              <w:t>尚昊招标代理有限公司</w:t>
            </w:r>
          </w:p>
        </w:tc>
      </w:tr>
      <w:tr w14:paraId="6898F071">
        <w:tblPrEx>
          <w:tblCellMar>
            <w:top w:w="147" w:type="dxa"/>
            <w:left w:w="108" w:type="dxa"/>
            <w:bottom w:w="56" w:type="dxa"/>
            <w:right w:w="0" w:type="dxa"/>
          </w:tblCellMar>
        </w:tblPrEx>
        <w:trPr>
          <w:trHeight w:val="478"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178F90ED">
            <w:pPr>
              <w:pStyle w:val="97"/>
              <w:numPr>
                <w:ilvl w:val="0"/>
                <w:numId w:val="3"/>
              </w:numPr>
              <w:spacing w:line="259" w:lineRule="auto"/>
              <w:ind w:right="110"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5F632879">
            <w:pPr>
              <w:spacing w:line="259" w:lineRule="auto"/>
              <w:ind w:right="111"/>
              <w:jc w:val="center"/>
              <w:rPr>
                <w:rFonts w:asciiTheme="minorEastAsia" w:hAnsiTheme="minorEastAsia" w:eastAsiaTheme="minorEastAsia"/>
                <w:sz w:val="24"/>
                <w:szCs w:val="24"/>
                <w:highlight w:val="red"/>
              </w:rPr>
            </w:pPr>
            <w:r>
              <w:rPr>
                <w:rFonts w:asciiTheme="minorEastAsia" w:hAnsiTheme="minorEastAsia" w:eastAsiaTheme="minorEastAsia"/>
                <w:sz w:val="24"/>
                <w:szCs w:val="24"/>
                <w:highlight w:val="none"/>
              </w:rPr>
              <w:t>项目名称</w:t>
            </w:r>
          </w:p>
        </w:tc>
        <w:tc>
          <w:tcPr>
            <w:tcW w:w="7191" w:type="dxa"/>
            <w:tcBorders>
              <w:top w:val="single" w:color="000000" w:sz="4" w:space="0"/>
              <w:left w:val="single" w:color="000000" w:sz="4" w:space="0"/>
              <w:bottom w:val="single" w:color="000000" w:sz="4" w:space="0"/>
              <w:right w:val="single" w:color="000000" w:sz="4" w:space="0"/>
            </w:tcBorders>
            <w:vAlign w:val="center"/>
          </w:tcPr>
          <w:p w14:paraId="03451184">
            <w:pPr>
              <w:pStyle w:val="62"/>
              <w:keepNext w:val="0"/>
              <w:keepLines w:val="0"/>
              <w:pageBreakBefore w:val="0"/>
              <w:kinsoku/>
              <w:wordWrap/>
              <w:overflowPunct/>
              <w:topLinePunct w:val="0"/>
              <w:autoSpaceDE/>
              <w:autoSpaceDN/>
              <w:bidi w:val="0"/>
              <w:adjustRightInd/>
              <w:spacing w:line="336" w:lineRule="auto"/>
              <w:ind w:left="0" w:leftChars="0" w:firstLine="0" w:firstLineChars="0"/>
              <w:textAlignment w:val="auto"/>
              <w:outlineLvl w:val="9"/>
              <w:rPr>
                <w:rFonts w:hint="eastAsia" w:asciiTheme="minorEastAsia" w:hAnsiTheme="minorEastAsia" w:eastAsiaTheme="minorEastAsia"/>
                <w:sz w:val="24"/>
                <w:szCs w:val="24"/>
                <w:highlight w:val="red"/>
                <w:lang w:eastAsia="zh-CN"/>
              </w:rPr>
            </w:pPr>
            <w:r>
              <w:rPr>
                <w:rFonts w:hint="eastAsia" w:cs="Calibri" w:asciiTheme="minorEastAsia" w:hAnsiTheme="minorEastAsia" w:eastAsiaTheme="minorEastAsia"/>
                <w:kern w:val="2"/>
                <w:sz w:val="24"/>
                <w:szCs w:val="24"/>
                <w:lang w:val="en-US" w:eastAsia="zh-CN" w:bidi="ar-SA"/>
              </w:rPr>
              <w:t>安康市工人文化宫一楼装修施工项目</w:t>
            </w:r>
          </w:p>
        </w:tc>
      </w:tr>
      <w:tr w14:paraId="59434D79">
        <w:tblPrEx>
          <w:tblCellMar>
            <w:top w:w="147" w:type="dxa"/>
            <w:left w:w="108" w:type="dxa"/>
            <w:bottom w:w="56" w:type="dxa"/>
            <w:right w:w="0" w:type="dxa"/>
          </w:tblCellMar>
        </w:tblPrEx>
        <w:trPr>
          <w:trHeight w:val="933"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67C0889A">
            <w:pPr>
              <w:pStyle w:val="97"/>
              <w:numPr>
                <w:ilvl w:val="0"/>
                <w:numId w:val="3"/>
              </w:numPr>
              <w:spacing w:line="259" w:lineRule="auto"/>
              <w:ind w:right="110"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4267C7F0">
            <w:pPr>
              <w:spacing w:line="259" w:lineRule="auto"/>
              <w:ind w:right="111"/>
              <w:jc w:val="center"/>
              <w:rPr>
                <w:rFonts w:asciiTheme="minorEastAsia" w:hAnsiTheme="minorEastAsia" w:eastAsiaTheme="minorEastAsia"/>
                <w:color w:val="auto"/>
                <w:sz w:val="24"/>
                <w:szCs w:val="24"/>
                <w:highlight w:val="red"/>
              </w:rPr>
            </w:pPr>
            <w:r>
              <w:rPr>
                <w:rFonts w:hint="eastAsia" w:asciiTheme="minorEastAsia" w:hAnsiTheme="minorEastAsia" w:eastAsiaTheme="minorEastAsia"/>
                <w:color w:val="auto"/>
                <w:sz w:val="24"/>
                <w:szCs w:val="24"/>
                <w:highlight w:val="none"/>
              </w:rPr>
              <w:t>采购</w:t>
            </w:r>
            <w:r>
              <w:rPr>
                <w:rFonts w:asciiTheme="minorEastAsia" w:hAnsiTheme="minorEastAsia" w:eastAsiaTheme="minorEastAsia"/>
                <w:color w:val="auto"/>
                <w:sz w:val="24"/>
                <w:szCs w:val="24"/>
                <w:highlight w:val="none"/>
              </w:rPr>
              <w:t>内容</w:t>
            </w:r>
          </w:p>
        </w:tc>
        <w:tc>
          <w:tcPr>
            <w:tcW w:w="7191" w:type="dxa"/>
            <w:tcBorders>
              <w:top w:val="single" w:color="000000" w:sz="4" w:space="0"/>
              <w:left w:val="single" w:color="000000" w:sz="4" w:space="0"/>
              <w:bottom w:val="single" w:color="000000" w:sz="4" w:space="0"/>
              <w:right w:val="single" w:color="000000" w:sz="4" w:space="0"/>
            </w:tcBorders>
          </w:tcPr>
          <w:p w14:paraId="212269EB">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cs="宋体" w:asciiTheme="minorEastAsia" w:hAnsiTheme="minorEastAsia" w:eastAsiaTheme="minorEastAsia"/>
                <w:color w:val="auto"/>
                <w:kern w:val="0"/>
                <w:sz w:val="24"/>
                <w:szCs w:val="24"/>
                <w:highlight w:val="red"/>
                <w:lang w:eastAsia="zh-CN"/>
              </w:rPr>
            </w:pPr>
            <w:r>
              <w:rPr>
                <w:rFonts w:hint="eastAsia" w:cs="Calibri" w:asciiTheme="minorEastAsia" w:hAnsiTheme="minorEastAsia" w:eastAsiaTheme="minorEastAsia"/>
                <w:color w:val="auto"/>
                <w:kern w:val="2"/>
                <w:sz w:val="24"/>
                <w:szCs w:val="24"/>
                <w:lang w:val="en-US" w:eastAsia="zh-CN" w:bidi="ar-SA"/>
              </w:rPr>
              <w:t>该工程主要内容为：包括室内精装修工程，强电工程，弱电工程，给排水工程，消防工程，暖通工程的施工，均以设计图纸为准；具体内容详见工程量清单及设计施工图。</w:t>
            </w:r>
          </w:p>
        </w:tc>
      </w:tr>
      <w:tr w14:paraId="64B53B82">
        <w:tblPrEx>
          <w:tblCellMar>
            <w:top w:w="147" w:type="dxa"/>
            <w:left w:w="108" w:type="dxa"/>
            <w:bottom w:w="56" w:type="dxa"/>
            <w:right w:w="0" w:type="dxa"/>
          </w:tblCellMar>
        </w:tblPrEx>
        <w:trPr>
          <w:trHeight w:val="510" w:hRule="exact"/>
        </w:trPr>
        <w:tc>
          <w:tcPr>
            <w:tcW w:w="704" w:type="dxa"/>
            <w:tcBorders>
              <w:top w:val="single" w:color="000000" w:sz="4" w:space="0"/>
              <w:left w:val="single" w:color="000000" w:sz="4" w:space="0"/>
              <w:bottom w:val="single" w:color="000000" w:sz="4" w:space="0"/>
              <w:right w:val="single" w:color="000000" w:sz="4" w:space="0"/>
            </w:tcBorders>
          </w:tcPr>
          <w:p w14:paraId="1893F65D">
            <w:pPr>
              <w:pStyle w:val="97"/>
              <w:numPr>
                <w:ilvl w:val="0"/>
                <w:numId w:val="3"/>
              </w:numPr>
              <w:spacing w:line="259" w:lineRule="auto"/>
              <w:ind w:right="110"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shd w:val="clear" w:color="auto" w:fill="auto"/>
          </w:tcPr>
          <w:p w14:paraId="627ABACD">
            <w:pPr>
              <w:spacing w:line="259" w:lineRule="auto"/>
              <w:ind w:right="111"/>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预算金额</w:t>
            </w:r>
          </w:p>
        </w:tc>
        <w:tc>
          <w:tcPr>
            <w:tcW w:w="7191" w:type="dxa"/>
            <w:tcBorders>
              <w:top w:val="single" w:color="000000" w:sz="4" w:space="0"/>
              <w:left w:val="single" w:color="000000" w:sz="4" w:space="0"/>
              <w:bottom w:val="single" w:color="000000" w:sz="4" w:space="0"/>
              <w:right w:val="single" w:color="000000" w:sz="4" w:space="0"/>
            </w:tcBorders>
            <w:shd w:val="clear" w:color="auto" w:fill="auto"/>
          </w:tcPr>
          <w:p w14:paraId="583021FB">
            <w:pPr>
              <w:spacing w:line="259" w:lineRule="auto"/>
              <w:rPr>
                <w:rFonts w:hint="default" w:asciiTheme="minorEastAsia" w:hAnsiTheme="minorEastAsia" w:eastAsiaTheme="minorEastAsia"/>
                <w:color w:val="auto"/>
                <w:sz w:val="24"/>
                <w:szCs w:val="24"/>
                <w:highlight w:val="none"/>
                <w:lang w:val="en-US"/>
              </w:rPr>
            </w:pPr>
            <w:r>
              <w:rPr>
                <w:rFonts w:hint="eastAsia" w:ascii="宋体" w:hAnsi="宋体" w:eastAsia="宋体" w:cs="宋体"/>
                <w:b w:val="0"/>
                <w:bCs w:val="0"/>
                <w:color w:val="auto"/>
                <w:kern w:val="0"/>
                <w:sz w:val="24"/>
                <w:szCs w:val="24"/>
                <w:lang w:val="en-US" w:eastAsia="zh-CN"/>
              </w:rPr>
              <w:t>3,039,200.00元</w:t>
            </w:r>
          </w:p>
        </w:tc>
      </w:tr>
      <w:tr w14:paraId="2BAFBFFA">
        <w:tblPrEx>
          <w:tblCellMar>
            <w:top w:w="147" w:type="dxa"/>
            <w:left w:w="108" w:type="dxa"/>
            <w:bottom w:w="56" w:type="dxa"/>
            <w:right w:w="0" w:type="dxa"/>
          </w:tblCellMar>
        </w:tblPrEx>
        <w:trPr>
          <w:trHeight w:val="415" w:hRule="exact"/>
        </w:trPr>
        <w:tc>
          <w:tcPr>
            <w:tcW w:w="704" w:type="dxa"/>
            <w:tcBorders>
              <w:top w:val="single" w:color="000000" w:sz="4" w:space="0"/>
              <w:left w:val="single" w:color="000000" w:sz="4" w:space="0"/>
              <w:bottom w:val="single" w:color="000000" w:sz="4" w:space="0"/>
              <w:right w:val="single" w:color="000000" w:sz="4" w:space="0"/>
            </w:tcBorders>
          </w:tcPr>
          <w:p w14:paraId="394CDE28">
            <w:pPr>
              <w:pStyle w:val="97"/>
              <w:numPr>
                <w:ilvl w:val="0"/>
                <w:numId w:val="3"/>
              </w:numPr>
              <w:spacing w:line="259" w:lineRule="auto"/>
              <w:ind w:right="110"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shd w:val="clear" w:color="auto" w:fill="auto"/>
          </w:tcPr>
          <w:p w14:paraId="0EE2BD15">
            <w:pPr>
              <w:spacing w:line="259" w:lineRule="auto"/>
              <w:ind w:right="111"/>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最高限价</w:t>
            </w:r>
          </w:p>
        </w:tc>
        <w:tc>
          <w:tcPr>
            <w:tcW w:w="7191" w:type="dxa"/>
            <w:tcBorders>
              <w:top w:val="single" w:color="000000" w:sz="4" w:space="0"/>
              <w:left w:val="single" w:color="000000" w:sz="4" w:space="0"/>
              <w:bottom w:val="single" w:color="000000" w:sz="4" w:space="0"/>
              <w:right w:val="single" w:color="000000" w:sz="4" w:space="0"/>
            </w:tcBorders>
            <w:shd w:val="clear" w:color="auto" w:fill="auto"/>
          </w:tcPr>
          <w:p w14:paraId="116675E2">
            <w:pPr>
              <w:spacing w:line="259" w:lineRule="auto"/>
              <w:rPr>
                <w:rFonts w:hint="default" w:asciiTheme="minorEastAsia" w:hAnsiTheme="minorEastAsia" w:eastAsiaTheme="minorEastAsia"/>
                <w:color w:val="auto"/>
                <w:sz w:val="24"/>
                <w:szCs w:val="24"/>
                <w:highlight w:val="none"/>
                <w:lang w:val="en-US"/>
              </w:rPr>
            </w:pPr>
            <w:r>
              <w:rPr>
                <w:rFonts w:hint="eastAsia" w:ascii="宋体" w:hAnsi="宋体" w:cs="宋体"/>
                <w:b w:val="0"/>
                <w:bCs w:val="0"/>
                <w:color w:val="auto"/>
                <w:kern w:val="0"/>
                <w:sz w:val="24"/>
                <w:szCs w:val="24"/>
                <w:lang w:val="en-US" w:eastAsia="zh-CN"/>
              </w:rPr>
              <w:t>3,039,100.00</w:t>
            </w:r>
            <w:r>
              <w:rPr>
                <w:rFonts w:hint="eastAsia" w:ascii="宋体" w:hAnsi="宋体" w:eastAsia="宋体" w:cs="宋体"/>
                <w:b w:val="0"/>
                <w:bCs w:val="0"/>
                <w:color w:val="auto"/>
                <w:kern w:val="0"/>
                <w:sz w:val="24"/>
                <w:szCs w:val="24"/>
                <w:lang w:val="en-US" w:eastAsia="zh-CN"/>
              </w:rPr>
              <w:t>元</w:t>
            </w:r>
          </w:p>
        </w:tc>
      </w:tr>
      <w:tr w14:paraId="576F05E2">
        <w:tblPrEx>
          <w:tblCellMar>
            <w:top w:w="147" w:type="dxa"/>
            <w:left w:w="108" w:type="dxa"/>
            <w:bottom w:w="56" w:type="dxa"/>
            <w:right w:w="0" w:type="dxa"/>
          </w:tblCellMar>
        </w:tblPrEx>
        <w:trPr>
          <w:trHeight w:val="507" w:hRule="exact"/>
        </w:trPr>
        <w:tc>
          <w:tcPr>
            <w:tcW w:w="704" w:type="dxa"/>
            <w:tcBorders>
              <w:top w:val="single" w:color="000000" w:sz="4" w:space="0"/>
              <w:left w:val="single" w:color="000000" w:sz="4" w:space="0"/>
              <w:bottom w:val="single" w:color="000000" w:sz="4" w:space="0"/>
              <w:right w:val="single" w:color="000000" w:sz="4" w:space="0"/>
            </w:tcBorders>
          </w:tcPr>
          <w:p w14:paraId="37FB9866">
            <w:pPr>
              <w:pStyle w:val="97"/>
              <w:keepNext w:val="0"/>
              <w:keepLines w:val="0"/>
              <w:pageBreakBefore w:val="0"/>
              <w:numPr>
                <w:ilvl w:val="0"/>
                <w:numId w:val="3"/>
              </w:numPr>
              <w:kinsoku/>
              <w:wordWrap/>
              <w:overflowPunct/>
              <w:topLinePunct w:val="0"/>
              <w:autoSpaceDE/>
              <w:autoSpaceDN/>
              <w:bidi w:val="0"/>
              <w:adjustRightInd/>
              <w:spacing w:line="460" w:lineRule="exact"/>
              <w:ind w:right="110" w:firstLineChars="0"/>
              <w:jc w:val="center"/>
              <w:textAlignment w:val="auto"/>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top"/>
          </w:tcPr>
          <w:p w14:paraId="1BEB8969">
            <w:pPr>
              <w:keepNext w:val="0"/>
              <w:keepLines w:val="0"/>
              <w:pageBreakBefore w:val="0"/>
              <w:kinsoku/>
              <w:wordWrap/>
              <w:overflowPunct/>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Calibri" w:eastAsia="宋体" w:cs="宋体"/>
                <w:color w:val="auto"/>
                <w:kern w:val="2"/>
                <w:sz w:val="24"/>
                <w:szCs w:val="24"/>
                <w:highlight w:val="none"/>
                <w:lang w:val="en-US" w:eastAsia="zh-CN" w:bidi="ar-SA"/>
              </w:rPr>
            </w:pPr>
            <w:r>
              <w:rPr>
                <w:rFonts w:hint="eastAsia" w:ascii="宋体" w:hAnsi="Calibri" w:eastAsia="宋体" w:cs="宋体"/>
                <w:color w:val="auto"/>
                <w:kern w:val="2"/>
                <w:sz w:val="24"/>
                <w:szCs w:val="24"/>
                <w:highlight w:val="none"/>
                <w:lang w:val="en-US" w:eastAsia="zh-CN" w:bidi="ar-SA"/>
              </w:rPr>
              <w:t>工期</w:t>
            </w:r>
          </w:p>
        </w:tc>
        <w:tc>
          <w:tcPr>
            <w:tcW w:w="7191" w:type="dxa"/>
            <w:tcBorders>
              <w:top w:val="single" w:color="000000" w:sz="4" w:space="0"/>
              <w:left w:val="single" w:color="000000" w:sz="4" w:space="0"/>
              <w:bottom w:val="single" w:color="000000" w:sz="4" w:space="0"/>
              <w:right w:val="single" w:color="000000" w:sz="4" w:space="0"/>
            </w:tcBorders>
            <w:vAlign w:val="top"/>
          </w:tcPr>
          <w:p w14:paraId="70812450">
            <w:pPr>
              <w:keepNext w:val="0"/>
              <w:keepLines w:val="0"/>
              <w:pageBreakBefore w:val="0"/>
              <w:widowControl/>
              <w:tabs>
                <w:tab w:val="left" w:pos="1620"/>
              </w:tabs>
              <w:kinsoku/>
              <w:wordWrap/>
              <w:overflowPunct/>
              <w:topLinePunct w:val="0"/>
              <w:autoSpaceDE/>
              <w:autoSpaceDN/>
              <w:bidi w:val="0"/>
              <w:adjustRightInd w:val="0"/>
              <w:snapToGrid w:val="0"/>
              <w:spacing w:line="460" w:lineRule="exact"/>
              <w:jc w:val="left"/>
              <w:textAlignment w:val="auto"/>
              <w:rPr>
                <w:rFonts w:hint="default" w:ascii="宋体" w:hAnsi="Calibri" w:eastAsia="宋体" w:cs="宋体"/>
                <w:color w:val="auto"/>
                <w:kern w:val="2"/>
                <w:sz w:val="24"/>
                <w:szCs w:val="24"/>
                <w:highlight w:val="none"/>
                <w:lang w:val="en-US" w:eastAsia="zh-CN" w:bidi="ar-SA"/>
              </w:rPr>
            </w:pPr>
            <w:r>
              <w:rPr>
                <w:rFonts w:hint="eastAsia" w:ascii="宋体" w:hAnsi="宋体" w:eastAsia="宋体" w:cs="宋体"/>
                <w:i w:val="0"/>
                <w:iCs w:val="0"/>
                <w:caps w:val="0"/>
                <w:color w:val="auto"/>
                <w:spacing w:val="0"/>
                <w:sz w:val="24"/>
                <w:szCs w:val="24"/>
                <w:shd w:val="clear" w:fill="FFFFFF"/>
              </w:rPr>
              <w:t>自合同签订生效之日起60日历天。</w:t>
            </w:r>
          </w:p>
        </w:tc>
      </w:tr>
      <w:tr w14:paraId="7822CB6B">
        <w:tblPrEx>
          <w:tblCellMar>
            <w:top w:w="147" w:type="dxa"/>
            <w:left w:w="108" w:type="dxa"/>
            <w:bottom w:w="56" w:type="dxa"/>
            <w:right w:w="0" w:type="dxa"/>
          </w:tblCellMar>
        </w:tblPrEx>
        <w:trPr>
          <w:trHeight w:val="635" w:hRule="exact"/>
        </w:trPr>
        <w:tc>
          <w:tcPr>
            <w:tcW w:w="704" w:type="dxa"/>
            <w:tcBorders>
              <w:top w:val="single" w:color="000000" w:sz="4" w:space="0"/>
              <w:left w:val="single" w:color="000000" w:sz="4" w:space="0"/>
              <w:bottom w:val="single" w:color="000000" w:sz="4" w:space="0"/>
              <w:right w:val="single" w:color="000000" w:sz="4" w:space="0"/>
            </w:tcBorders>
          </w:tcPr>
          <w:p w14:paraId="257562CF">
            <w:pPr>
              <w:pStyle w:val="97"/>
              <w:numPr>
                <w:ilvl w:val="0"/>
                <w:numId w:val="3"/>
              </w:numPr>
              <w:spacing w:line="259" w:lineRule="auto"/>
              <w:ind w:right="110"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top"/>
          </w:tcPr>
          <w:p w14:paraId="13620EBE">
            <w:pPr>
              <w:keepNext w:val="0"/>
              <w:keepLines w:val="0"/>
              <w:pageBreakBefore w:val="0"/>
              <w:kinsoku/>
              <w:wordWrap/>
              <w:overflowPunct/>
              <w:topLinePunct w:val="0"/>
              <w:autoSpaceDE/>
              <w:autoSpaceDN/>
              <w:bidi w:val="0"/>
              <w:adjustRightInd/>
              <w:spacing w:line="312" w:lineRule="auto"/>
              <w:ind w:left="0" w:leftChars="0" w:right="0" w:rightChars="0"/>
              <w:jc w:val="center"/>
              <w:textAlignment w:val="auto"/>
              <w:rPr>
                <w:rFonts w:hint="eastAsia" w:ascii="宋体" w:hAnsi="宋体" w:eastAsia="宋体" w:cs="宋体"/>
                <w:color w:val="auto"/>
                <w:kern w:val="0"/>
                <w:sz w:val="24"/>
                <w:szCs w:val="24"/>
                <w:lang w:val="en-US" w:eastAsia="zh-CN"/>
              </w:rPr>
            </w:pPr>
            <w:r>
              <w:rPr>
                <w:rFonts w:hint="eastAsia" w:asciiTheme="minorEastAsia" w:hAnsiTheme="minorEastAsia" w:eastAsiaTheme="minorEastAsia"/>
                <w:color w:val="auto"/>
                <w:sz w:val="24"/>
                <w:szCs w:val="24"/>
                <w:highlight w:val="none"/>
                <w:lang w:val="en-US" w:eastAsia="zh-CN"/>
              </w:rPr>
              <w:t>质保期</w:t>
            </w:r>
          </w:p>
        </w:tc>
        <w:tc>
          <w:tcPr>
            <w:tcW w:w="7191" w:type="dxa"/>
            <w:tcBorders>
              <w:top w:val="single" w:color="000000" w:sz="4" w:space="0"/>
              <w:left w:val="single" w:color="000000" w:sz="4" w:space="0"/>
              <w:bottom w:val="single" w:color="000000" w:sz="4" w:space="0"/>
              <w:right w:val="single" w:color="000000" w:sz="4" w:space="0"/>
            </w:tcBorders>
            <w:vAlign w:val="center"/>
          </w:tcPr>
          <w:p w14:paraId="411C98E9">
            <w:pPr>
              <w:widowControl/>
              <w:tabs>
                <w:tab w:val="left" w:pos="1620"/>
              </w:tabs>
              <w:snapToGrid w:val="0"/>
              <w:spacing w:line="400" w:lineRule="exact"/>
              <w:rPr>
                <w:rFonts w:hint="default" w:ascii="宋体" w:hAnsi="宋体" w:eastAsia="宋体" w:cs="宋体"/>
                <w:color w:val="auto"/>
                <w:kern w:val="0"/>
                <w:sz w:val="24"/>
                <w:szCs w:val="24"/>
                <w:lang w:val="en-US" w:eastAsia="zh-CN"/>
              </w:rPr>
            </w:pPr>
            <w:r>
              <w:rPr>
                <w:rFonts w:hint="default" w:ascii="宋体" w:hAnsi="宋体" w:eastAsia="宋体" w:cs="宋体"/>
                <w:color w:val="auto"/>
                <w:kern w:val="0"/>
                <w:sz w:val="24"/>
                <w:szCs w:val="24"/>
                <w:lang w:val="en-US" w:eastAsia="zh-CN"/>
              </w:rPr>
              <w:t>参照国家及行业标准，具体情况双方协商。</w:t>
            </w:r>
          </w:p>
        </w:tc>
      </w:tr>
      <w:tr w14:paraId="0B7A4FFC">
        <w:tblPrEx>
          <w:tblCellMar>
            <w:top w:w="147" w:type="dxa"/>
            <w:left w:w="108" w:type="dxa"/>
            <w:bottom w:w="56" w:type="dxa"/>
            <w:right w:w="0" w:type="dxa"/>
          </w:tblCellMar>
        </w:tblPrEx>
        <w:trPr>
          <w:trHeight w:val="545" w:hRule="exact"/>
        </w:trPr>
        <w:tc>
          <w:tcPr>
            <w:tcW w:w="704" w:type="dxa"/>
            <w:tcBorders>
              <w:top w:val="single" w:color="000000" w:sz="4" w:space="0"/>
              <w:left w:val="single" w:color="000000" w:sz="4" w:space="0"/>
              <w:bottom w:val="single" w:color="000000" w:sz="4" w:space="0"/>
              <w:right w:val="single" w:color="000000" w:sz="4" w:space="0"/>
            </w:tcBorders>
          </w:tcPr>
          <w:p w14:paraId="5164E8C1">
            <w:pPr>
              <w:pStyle w:val="97"/>
              <w:numPr>
                <w:ilvl w:val="0"/>
                <w:numId w:val="3"/>
              </w:numPr>
              <w:spacing w:line="259" w:lineRule="auto"/>
              <w:ind w:right="110"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top"/>
          </w:tcPr>
          <w:p w14:paraId="04D13E1C">
            <w:pPr>
              <w:keepNext w:val="0"/>
              <w:keepLines w:val="0"/>
              <w:pageBreakBefore w:val="0"/>
              <w:kinsoku/>
              <w:wordWrap/>
              <w:overflowPunct/>
              <w:topLinePunct w:val="0"/>
              <w:autoSpaceDE/>
              <w:autoSpaceDN/>
              <w:bidi w:val="0"/>
              <w:adjustRightInd/>
              <w:spacing w:line="312" w:lineRule="auto"/>
              <w:ind w:left="0" w:leftChars="0" w:right="0" w:rightChars="0"/>
              <w:jc w:val="center"/>
              <w:textAlignment w:val="auto"/>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rPr>
              <w:t>地</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点</w:t>
            </w:r>
          </w:p>
        </w:tc>
        <w:tc>
          <w:tcPr>
            <w:tcW w:w="7191" w:type="dxa"/>
            <w:tcBorders>
              <w:top w:val="single" w:color="000000" w:sz="4" w:space="0"/>
              <w:left w:val="single" w:color="000000" w:sz="4" w:space="0"/>
              <w:bottom w:val="single" w:color="000000" w:sz="4" w:space="0"/>
              <w:right w:val="single" w:color="000000" w:sz="4" w:space="0"/>
            </w:tcBorders>
            <w:vAlign w:val="center"/>
          </w:tcPr>
          <w:p w14:paraId="310324AC">
            <w:pPr>
              <w:widowControl/>
              <w:tabs>
                <w:tab w:val="left" w:pos="1620"/>
              </w:tabs>
              <w:snapToGrid w:val="0"/>
              <w:spacing w:line="400" w:lineRule="exact"/>
              <w:rPr>
                <w:rFonts w:hint="default" w:ascii="宋体" w:hAnsi="宋体" w:eastAsia="宋体" w:cs="宋体"/>
                <w:color w:val="FF0000"/>
                <w:kern w:val="0"/>
                <w:sz w:val="24"/>
                <w:szCs w:val="24"/>
                <w:lang w:val="en-US" w:eastAsia="zh-CN"/>
              </w:rPr>
            </w:pPr>
            <w:r>
              <w:rPr>
                <w:rFonts w:hint="eastAsia" w:ascii="宋体" w:hAnsi="宋体" w:eastAsia="宋体" w:cs="宋体"/>
                <w:color w:val="auto"/>
                <w:sz w:val="24"/>
                <w:szCs w:val="24"/>
                <w:lang w:eastAsia="zh-CN"/>
              </w:rPr>
              <w:t>采购人指定地点</w:t>
            </w:r>
          </w:p>
        </w:tc>
      </w:tr>
      <w:tr w14:paraId="7CCA39F8">
        <w:tblPrEx>
          <w:tblCellMar>
            <w:top w:w="147" w:type="dxa"/>
            <w:left w:w="108" w:type="dxa"/>
            <w:bottom w:w="56" w:type="dxa"/>
            <w:right w:w="0" w:type="dxa"/>
          </w:tblCellMar>
        </w:tblPrEx>
        <w:trPr>
          <w:trHeight w:val="557" w:hRule="exact"/>
        </w:trPr>
        <w:tc>
          <w:tcPr>
            <w:tcW w:w="704" w:type="dxa"/>
            <w:tcBorders>
              <w:top w:val="single" w:color="000000" w:sz="4" w:space="0"/>
              <w:left w:val="single" w:color="000000" w:sz="4" w:space="0"/>
              <w:bottom w:val="single" w:color="000000" w:sz="4" w:space="0"/>
              <w:right w:val="single" w:color="000000" w:sz="4" w:space="0"/>
            </w:tcBorders>
          </w:tcPr>
          <w:p w14:paraId="4D649EEA">
            <w:pPr>
              <w:pStyle w:val="97"/>
              <w:numPr>
                <w:ilvl w:val="0"/>
                <w:numId w:val="3"/>
              </w:numPr>
              <w:spacing w:line="259" w:lineRule="auto"/>
              <w:ind w:right="110"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492757E7">
            <w:pPr>
              <w:spacing w:line="259"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资格审查方式</w:t>
            </w:r>
          </w:p>
        </w:tc>
        <w:tc>
          <w:tcPr>
            <w:tcW w:w="7191" w:type="dxa"/>
            <w:tcBorders>
              <w:top w:val="single" w:color="000000" w:sz="4" w:space="0"/>
              <w:left w:val="single" w:color="000000" w:sz="4" w:space="0"/>
              <w:bottom w:val="single" w:color="000000" w:sz="4" w:space="0"/>
              <w:right w:val="single" w:color="000000" w:sz="4" w:space="0"/>
            </w:tcBorders>
          </w:tcPr>
          <w:p w14:paraId="481D56EC">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rPr>
              <w:t>资格后审</w:t>
            </w:r>
          </w:p>
        </w:tc>
      </w:tr>
      <w:tr w14:paraId="2450382A">
        <w:tblPrEx>
          <w:tblCellMar>
            <w:top w:w="147" w:type="dxa"/>
            <w:left w:w="108" w:type="dxa"/>
            <w:bottom w:w="56" w:type="dxa"/>
            <w:right w:w="0" w:type="dxa"/>
          </w:tblCellMar>
        </w:tblPrEx>
        <w:trPr>
          <w:trHeight w:val="549"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715E4FA8">
            <w:pPr>
              <w:pStyle w:val="97"/>
              <w:numPr>
                <w:ilvl w:val="0"/>
                <w:numId w:val="3"/>
              </w:numPr>
              <w:spacing w:line="259" w:lineRule="auto"/>
              <w:ind w:right="110"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35B3B0E1">
            <w:pPr>
              <w:spacing w:line="259" w:lineRule="auto"/>
              <w:ind w:right="29"/>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投标人资质要求</w:t>
            </w:r>
          </w:p>
        </w:tc>
        <w:tc>
          <w:tcPr>
            <w:tcW w:w="7191" w:type="dxa"/>
            <w:tcBorders>
              <w:top w:val="single" w:color="000000" w:sz="4" w:space="0"/>
              <w:left w:val="single" w:color="000000" w:sz="4" w:space="0"/>
              <w:bottom w:val="single" w:color="000000" w:sz="4" w:space="0"/>
              <w:right w:val="single" w:color="000000" w:sz="4" w:space="0"/>
            </w:tcBorders>
          </w:tcPr>
          <w:p w14:paraId="30F2E650">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eastAsia" w:ascii="宋体" w:hAnsi="宋体" w:eastAsia="宋体" w:cs="宋体"/>
                <w:i w:val="0"/>
                <w:iCs w:val="0"/>
                <w:caps w:val="0"/>
                <w:color w:val="333333"/>
                <w:spacing w:val="0"/>
                <w:sz w:val="24"/>
                <w:szCs w:val="24"/>
                <w:shd w:val="clear" w:fill="FFFFFF"/>
              </w:rPr>
              <w:t>具有独立承担民事责任能力的法人、非法人组织或自然人，提供合法有效的营业执照/事业单位法人证书/专业服务机构执业许可证/民办非企业单位登记证书等相关证明，自然人参与的提供其身份证明。</w:t>
            </w:r>
          </w:p>
          <w:p w14:paraId="08B9AC64">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lang w:val="en-US" w:eastAsia="zh-CN"/>
              </w:rPr>
              <w:t>2.法定代表人授权书及被授权人身份证证明资料（法定代表人直接投标只需提交其身份证明资料）。</w:t>
            </w:r>
          </w:p>
          <w:p w14:paraId="18CC2F47">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www.creditchina.gov.cn）或中国政府采购网（www.ccgp.gov.cn)查询结果为准。</w:t>
            </w:r>
          </w:p>
          <w:p w14:paraId="353BCE8A">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4.书面声明：投标人必须提供参加政府采购活动前3年内在经营活动中没有重大违法记录的书面声明。</w:t>
            </w:r>
          </w:p>
          <w:p w14:paraId="64B32666">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5.财务状况报告：提供</w:t>
            </w:r>
            <w:r>
              <w:rPr>
                <w:rFonts w:hint="eastAsia" w:ascii="宋体" w:hAnsi="宋体" w:eastAsia="宋体" w:cs="宋体"/>
                <w:i w:val="0"/>
                <w:iCs w:val="0"/>
                <w:caps w:val="0"/>
                <w:color w:val="333333"/>
                <w:spacing w:val="0"/>
                <w:sz w:val="24"/>
                <w:szCs w:val="24"/>
                <w:shd w:val="clear" w:fill="FFFFFF"/>
                <w:lang w:val="en-US" w:eastAsia="zh-CN"/>
              </w:rPr>
              <w:t>2025年度</w:t>
            </w:r>
            <w:r>
              <w:rPr>
                <w:rFonts w:hint="eastAsia" w:ascii="宋体" w:hAnsi="宋体" w:eastAsia="宋体" w:cs="宋体"/>
                <w:i w:val="0"/>
                <w:iCs w:val="0"/>
                <w:caps w:val="0"/>
                <w:color w:val="333333"/>
                <w:spacing w:val="0"/>
                <w:sz w:val="24"/>
                <w:szCs w:val="24"/>
                <w:shd w:val="clear" w:fill="FFFFFF"/>
              </w:rPr>
              <w:t>经审计的财务审计报告</w:t>
            </w:r>
            <w:r>
              <w:rPr>
                <w:rFonts w:hint="eastAsia" w:cs="宋体"/>
                <w:i w:val="0"/>
                <w:iCs w:val="0"/>
                <w:caps w:val="0"/>
                <w:color w:val="333333"/>
                <w:spacing w:val="0"/>
                <w:sz w:val="24"/>
                <w:szCs w:val="24"/>
                <w:shd w:val="clear" w:fill="FFFFFF"/>
                <w:lang w:eastAsia="zh-CN"/>
              </w:rPr>
              <w:t>（</w:t>
            </w:r>
            <w:r>
              <w:rPr>
                <w:rFonts w:hint="eastAsia" w:cs="宋体"/>
                <w:i w:val="0"/>
                <w:iCs w:val="0"/>
                <w:caps w:val="0"/>
                <w:color w:val="333333"/>
                <w:spacing w:val="0"/>
                <w:sz w:val="24"/>
                <w:szCs w:val="24"/>
                <w:shd w:val="clear" w:fill="FFFFFF"/>
                <w:lang w:val="en-US" w:eastAsia="zh-CN"/>
              </w:rPr>
              <w:t>且出具的审计报告应当经过注册会计师行业统一监管平台备案赋码</w:t>
            </w:r>
            <w:r>
              <w:rPr>
                <w:rFonts w:hint="eastAsia"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或投标截止时间前六个月内基本开户银行出具的资信证明（成立时间至提交响应文件截止时间不足一年的可提供成立后任意时段的资产负债表）。</w:t>
            </w:r>
          </w:p>
          <w:p w14:paraId="41F886AA">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6.社会保障资金缴纳证明：提供</w:t>
            </w:r>
            <w:r>
              <w:rPr>
                <w:rFonts w:hint="eastAsia" w:cs="宋体"/>
                <w:i w:val="0"/>
                <w:iCs w:val="0"/>
                <w:caps w:val="0"/>
                <w:color w:val="333333"/>
                <w:spacing w:val="0"/>
                <w:sz w:val="24"/>
                <w:szCs w:val="24"/>
                <w:shd w:val="clear" w:fill="FFFFFF"/>
                <w:lang w:val="en-US" w:eastAsia="zh-CN"/>
              </w:rPr>
              <w:t>2026</w:t>
            </w:r>
            <w:r>
              <w:rPr>
                <w:rFonts w:hint="eastAsia" w:ascii="宋体" w:hAnsi="宋体" w:eastAsia="宋体" w:cs="宋体"/>
                <w:i w:val="0"/>
                <w:iCs w:val="0"/>
                <w:caps w:val="0"/>
                <w:color w:val="333333"/>
                <w:spacing w:val="0"/>
                <w:sz w:val="24"/>
                <w:szCs w:val="24"/>
                <w:shd w:val="clear" w:fill="FFFFFF"/>
              </w:rPr>
              <w:t>年</w:t>
            </w:r>
            <w:r>
              <w:rPr>
                <w:rFonts w:hint="eastAsia"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月至今任意一个月社会保障资金缴存单据或社保机构开具的社会保险参保缴费情况证明，依法不需要缴纳社会保险资金的单位应提供相关证明材料，单据或证明上应有社保机构或代收机构的印章（成立时间至提交响应文件截止时间不足三个月的可不提供）。</w:t>
            </w:r>
          </w:p>
          <w:p w14:paraId="63F76254">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7.税收缴纳证明：提供</w:t>
            </w:r>
            <w:r>
              <w:rPr>
                <w:rFonts w:hint="eastAsia" w:cs="宋体"/>
                <w:i w:val="0"/>
                <w:iCs w:val="0"/>
                <w:caps w:val="0"/>
                <w:color w:val="333333"/>
                <w:spacing w:val="0"/>
                <w:sz w:val="24"/>
                <w:szCs w:val="24"/>
                <w:shd w:val="clear" w:fill="FFFFFF"/>
                <w:lang w:val="en-US" w:eastAsia="zh-CN"/>
              </w:rPr>
              <w:t>2026</w:t>
            </w:r>
            <w:r>
              <w:rPr>
                <w:rFonts w:hint="eastAsia" w:ascii="宋体" w:hAnsi="宋体" w:eastAsia="宋体" w:cs="宋体"/>
                <w:i w:val="0"/>
                <w:iCs w:val="0"/>
                <w:caps w:val="0"/>
                <w:color w:val="333333"/>
                <w:spacing w:val="0"/>
                <w:sz w:val="24"/>
                <w:szCs w:val="24"/>
                <w:shd w:val="clear" w:fill="FFFFFF"/>
              </w:rPr>
              <w:t>年</w:t>
            </w:r>
            <w:r>
              <w:rPr>
                <w:rFonts w:hint="eastAsia"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月至今任意一个月缴纳的纳税证明或完税证明，依法免税或缓缴的单位应提供相关证明材料，纳税证明或完税证明上应有代收机构或税务机关的公章或业务专用章（成立时</w:t>
            </w:r>
            <w:r>
              <w:rPr>
                <w:rFonts w:hint="eastAsia" w:ascii="宋体" w:hAnsi="宋体" w:eastAsia="宋体" w:cs="宋体"/>
                <w:i w:val="0"/>
                <w:iCs w:val="0"/>
                <w:caps w:val="0"/>
                <w:color w:val="auto"/>
                <w:spacing w:val="0"/>
                <w:sz w:val="24"/>
                <w:szCs w:val="24"/>
                <w:shd w:val="clear" w:fill="FFFFFF"/>
              </w:rPr>
              <w:t>间至提交响应文件截止时间不足三个月的可不提供）。</w:t>
            </w:r>
          </w:p>
          <w:p w14:paraId="514A5DAF">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8.投标供应商应具有建筑工程施工总承包三级及以上资质或建筑装修装饰工程专业承包二级及以上资质，并具有在有效期内的安全生产许可证，在人员、设备、资金等方面具备相应的施工能力。</w:t>
            </w:r>
          </w:p>
          <w:p w14:paraId="7C549FB1">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9.拟派项目经理须具备建筑工程专业二级及以上注册建造师执业资格和有效的安全生产考核合格证书（安全考核B证），在本单位注册，且未担任其他在建工程项目的项目经理。</w:t>
            </w:r>
          </w:p>
          <w:p w14:paraId="26B0C7F5">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10.本项目专门面向中小企业采购，供应商须提供《中小企业声明函》。</w:t>
            </w:r>
          </w:p>
          <w:p w14:paraId="5C950D0D">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eastAsia="宋体"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rPr>
              <w:t>本项目不接受联合体投标。</w:t>
            </w:r>
          </w:p>
        </w:tc>
      </w:tr>
      <w:tr w14:paraId="3F970604">
        <w:tblPrEx>
          <w:tblCellMar>
            <w:top w:w="147" w:type="dxa"/>
            <w:left w:w="108" w:type="dxa"/>
            <w:bottom w:w="56" w:type="dxa"/>
            <w:right w:w="0" w:type="dxa"/>
          </w:tblCellMar>
        </w:tblPrEx>
        <w:trPr>
          <w:trHeight w:val="368"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7C2B5B17">
            <w:pPr>
              <w:pStyle w:val="97"/>
              <w:numPr>
                <w:ilvl w:val="0"/>
                <w:numId w:val="3"/>
              </w:numPr>
              <w:spacing w:line="259" w:lineRule="auto"/>
              <w:ind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00227D52">
            <w:pPr>
              <w:spacing w:line="259"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是否接受联合体</w:t>
            </w:r>
          </w:p>
          <w:p w14:paraId="4E74D3A4">
            <w:pPr>
              <w:spacing w:line="259"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投标</w:t>
            </w:r>
          </w:p>
        </w:tc>
        <w:tc>
          <w:tcPr>
            <w:tcW w:w="7191" w:type="dxa"/>
            <w:tcBorders>
              <w:top w:val="single" w:color="000000" w:sz="4" w:space="0"/>
              <w:left w:val="single" w:color="000000" w:sz="4" w:space="0"/>
              <w:bottom w:val="single" w:color="000000" w:sz="4" w:space="0"/>
              <w:right w:val="single" w:color="000000" w:sz="4" w:space="0"/>
            </w:tcBorders>
            <w:vAlign w:val="center"/>
          </w:tcPr>
          <w:p w14:paraId="22C195B9">
            <w:pPr>
              <w:spacing w:line="259"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不接受联合体磋商。</w:t>
            </w:r>
          </w:p>
        </w:tc>
      </w:tr>
      <w:tr w14:paraId="064D3CD2">
        <w:tblPrEx>
          <w:tblCellMar>
            <w:top w:w="147" w:type="dxa"/>
            <w:left w:w="108" w:type="dxa"/>
            <w:bottom w:w="56" w:type="dxa"/>
            <w:right w:w="0" w:type="dxa"/>
          </w:tblCellMar>
        </w:tblPrEx>
        <w:trPr>
          <w:trHeight w:val="368"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00CF887A">
            <w:pPr>
              <w:pStyle w:val="97"/>
              <w:numPr>
                <w:ilvl w:val="0"/>
                <w:numId w:val="3"/>
              </w:numPr>
              <w:spacing w:line="259" w:lineRule="auto"/>
              <w:ind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2EBAF037">
            <w:pPr>
              <w:spacing w:line="259" w:lineRule="auto"/>
              <w:jc w:val="center"/>
              <w:rPr>
                <w:rFonts w:asciiTheme="minorEastAsia" w:hAnsiTheme="minorEastAsia" w:eastAsiaTheme="minorEastAsia"/>
                <w:sz w:val="24"/>
                <w:szCs w:val="24"/>
              </w:rPr>
            </w:pPr>
            <w:r>
              <w:rPr>
                <w:rFonts w:hint="eastAsia" w:ascii="宋体" w:hAnsi="宋体" w:cs="宋体"/>
                <w:color w:val="auto"/>
                <w:sz w:val="24"/>
                <w:szCs w:val="24"/>
                <w:lang w:val="en-US" w:eastAsia="zh-CN"/>
              </w:rPr>
              <w:t>分包要求</w:t>
            </w:r>
          </w:p>
        </w:tc>
        <w:tc>
          <w:tcPr>
            <w:tcW w:w="7191" w:type="dxa"/>
            <w:tcBorders>
              <w:top w:val="single" w:color="000000" w:sz="4" w:space="0"/>
              <w:left w:val="single" w:color="000000" w:sz="4" w:space="0"/>
              <w:bottom w:val="single" w:color="000000" w:sz="4" w:space="0"/>
              <w:right w:val="single" w:color="000000" w:sz="4" w:space="0"/>
            </w:tcBorders>
            <w:vAlign w:val="center"/>
          </w:tcPr>
          <w:p w14:paraId="62C68DC4">
            <w:pPr>
              <w:spacing w:line="259" w:lineRule="auto"/>
              <w:rPr>
                <w:rFonts w:hint="eastAsia" w:asciiTheme="minorEastAsia" w:hAnsiTheme="minorEastAsia" w:eastAsiaTheme="minorEastAsia"/>
                <w:sz w:val="24"/>
                <w:szCs w:val="24"/>
              </w:rPr>
            </w:pPr>
            <w:r>
              <w:rPr>
                <w:rFonts w:hint="eastAsia" w:ascii="宋体" w:hAnsi="宋体" w:cs="宋体"/>
                <w:color w:val="auto"/>
                <w:sz w:val="24"/>
                <w:szCs w:val="24"/>
                <w:lang w:val="en-US" w:eastAsia="zh-CN"/>
              </w:rPr>
              <w:t>不允许分包转包</w:t>
            </w:r>
          </w:p>
        </w:tc>
      </w:tr>
      <w:tr w14:paraId="67E84238">
        <w:tblPrEx>
          <w:tblCellMar>
            <w:top w:w="147" w:type="dxa"/>
            <w:left w:w="108" w:type="dxa"/>
            <w:bottom w:w="56" w:type="dxa"/>
            <w:right w:w="0" w:type="dxa"/>
          </w:tblCellMar>
        </w:tblPrEx>
        <w:trPr>
          <w:trHeight w:val="46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3858A3A9">
            <w:pPr>
              <w:pStyle w:val="97"/>
              <w:numPr>
                <w:ilvl w:val="0"/>
                <w:numId w:val="3"/>
              </w:numPr>
              <w:spacing w:line="259" w:lineRule="auto"/>
              <w:ind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4A88797A">
            <w:pPr>
              <w:spacing w:line="259" w:lineRule="auto"/>
              <w:ind w:right="111"/>
              <w:jc w:val="center"/>
              <w:rPr>
                <w:rFonts w:asciiTheme="minorEastAsia" w:hAnsiTheme="minorEastAsia" w:eastAsiaTheme="minorEastAsia"/>
                <w:sz w:val="24"/>
                <w:szCs w:val="24"/>
              </w:rPr>
            </w:pPr>
            <w:r>
              <w:rPr>
                <w:rFonts w:asciiTheme="minorEastAsia" w:hAnsiTheme="minorEastAsia" w:eastAsiaTheme="minorEastAsia"/>
                <w:sz w:val="24"/>
                <w:szCs w:val="24"/>
              </w:rPr>
              <w:t>现场踏勘</w:t>
            </w:r>
          </w:p>
        </w:tc>
        <w:tc>
          <w:tcPr>
            <w:tcW w:w="7191" w:type="dxa"/>
            <w:tcBorders>
              <w:top w:val="single" w:color="000000" w:sz="4" w:space="0"/>
              <w:left w:val="single" w:color="000000" w:sz="4" w:space="0"/>
              <w:bottom w:val="single" w:color="000000" w:sz="4" w:space="0"/>
              <w:right w:val="single" w:color="000000" w:sz="4" w:space="0"/>
            </w:tcBorders>
          </w:tcPr>
          <w:p w14:paraId="1C6DE340">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自行勘察，未勘察现场造成的一切后果由投标人自行承担。（一切费用自理）。 </w:t>
            </w:r>
          </w:p>
        </w:tc>
      </w:tr>
      <w:tr w14:paraId="5485389C">
        <w:tblPrEx>
          <w:tblCellMar>
            <w:top w:w="147" w:type="dxa"/>
            <w:left w:w="108" w:type="dxa"/>
            <w:bottom w:w="56" w:type="dxa"/>
            <w:right w:w="0" w:type="dxa"/>
          </w:tblCellMar>
        </w:tblPrEx>
        <w:trPr>
          <w:trHeight w:val="533"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0485FF95">
            <w:pPr>
              <w:pStyle w:val="97"/>
              <w:numPr>
                <w:ilvl w:val="0"/>
                <w:numId w:val="3"/>
              </w:numPr>
              <w:spacing w:line="259" w:lineRule="auto"/>
              <w:ind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17860EE3">
            <w:pPr>
              <w:spacing w:line="259" w:lineRule="auto"/>
              <w:jc w:val="cente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磋商时间和地点</w:t>
            </w:r>
          </w:p>
        </w:tc>
        <w:tc>
          <w:tcPr>
            <w:tcW w:w="7191" w:type="dxa"/>
            <w:tcBorders>
              <w:top w:val="single" w:color="000000" w:sz="4" w:space="0"/>
              <w:left w:val="single" w:color="000000" w:sz="4" w:space="0"/>
              <w:bottom w:val="single" w:color="000000" w:sz="4" w:space="0"/>
              <w:right w:val="single" w:color="000000" w:sz="4" w:space="0"/>
            </w:tcBorders>
          </w:tcPr>
          <w:p w14:paraId="62D6DAB3">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w:t>
            </w:r>
            <w:r>
              <w:rPr>
                <w:rFonts w:hint="eastAsia" w:asciiTheme="minorEastAsia" w:hAnsiTheme="minorEastAsia" w:eastAsiaTheme="minorEastAsia"/>
                <w:color w:val="auto"/>
                <w:sz w:val="24"/>
                <w:szCs w:val="24"/>
              </w:rPr>
              <w:t>2026年09月23日 16时00分00秒 </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 xml:space="preserve">  </w:t>
            </w:r>
            <w:r>
              <w:rPr>
                <w:rFonts w:asciiTheme="minorEastAsia" w:hAnsiTheme="minorEastAsia" w:eastAsiaTheme="minorEastAsia"/>
                <w:color w:val="auto"/>
                <w:sz w:val="24"/>
                <w:szCs w:val="24"/>
              </w:rPr>
              <w:t xml:space="preserve"> </w:t>
            </w:r>
          </w:p>
          <w:p w14:paraId="75C83CD7">
            <w:pPr>
              <w:spacing w:line="259" w:lineRule="auto"/>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磋商地点：</w:t>
            </w:r>
            <w:r>
              <w:rPr>
                <w:rFonts w:hint="eastAsia" w:asciiTheme="minorEastAsia" w:hAnsiTheme="minorEastAsia" w:eastAsiaTheme="minorEastAsia"/>
                <w:color w:val="auto"/>
                <w:sz w:val="24"/>
                <w:szCs w:val="24"/>
              </w:rPr>
              <w:t>安康不见面开标大厅系统（http://219.145.206.209/BidOpeningHall/bidopeninghallaction/hall/login）</w:t>
            </w:r>
          </w:p>
          <w:p w14:paraId="46D3FDDD">
            <w:pPr>
              <w:spacing w:line="259"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（如有变动，另行通知）</w:t>
            </w:r>
          </w:p>
        </w:tc>
      </w:tr>
      <w:tr w14:paraId="1A8816E2">
        <w:tblPrEx>
          <w:tblCellMar>
            <w:top w:w="147" w:type="dxa"/>
            <w:left w:w="108" w:type="dxa"/>
            <w:bottom w:w="56" w:type="dxa"/>
            <w:right w:w="0" w:type="dxa"/>
          </w:tblCellMar>
        </w:tblPrEx>
        <w:trPr>
          <w:trHeight w:val="643"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2E718985">
            <w:pPr>
              <w:pStyle w:val="97"/>
              <w:numPr>
                <w:ilvl w:val="0"/>
                <w:numId w:val="3"/>
              </w:numPr>
              <w:spacing w:line="259" w:lineRule="auto"/>
              <w:ind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5916A1EF">
            <w:pPr>
              <w:spacing w:line="259"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磋商响应文件递交截止时间</w:t>
            </w:r>
            <w:r>
              <w:rPr>
                <w:rFonts w:hint="eastAsia" w:asciiTheme="minorEastAsia" w:hAnsiTheme="minorEastAsia" w:eastAsiaTheme="minorEastAsia"/>
                <w:color w:val="000000" w:themeColor="text1"/>
                <w:sz w:val="24"/>
                <w:szCs w:val="24"/>
                <w14:textFill>
                  <w14:solidFill>
                    <w14:schemeClr w14:val="tx1"/>
                  </w14:solidFill>
                </w14:textFill>
              </w:rPr>
              <w:t>地点</w:t>
            </w:r>
          </w:p>
        </w:tc>
        <w:tc>
          <w:tcPr>
            <w:tcW w:w="7191" w:type="dxa"/>
            <w:tcBorders>
              <w:top w:val="single" w:color="000000" w:sz="4" w:space="0"/>
              <w:left w:val="single" w:color="000000" w:sz="4" w:space="0"/>
              <w:bottom w:val="single" w:color="000000" w:sz="4" w:space="0"/>
              <w:right w:val="single" w:color="000000" w:sz="4" w:space="0"/>
            </w:tcBorders>
            <w:vAlign w:val="center"/>
          </w:tcPr>
          <w:p w14:paraId="6B882E8E">
            <w:pPr>
              <w:spacing w:line="259" w:lineRule="auto"/>
              <w:rPr>
                <w:rFonts w:asciiTheme="minorEastAsia" w:hAnsiTheme="minorEastAsia" w:eastAsiaTheme="minorEastAsia"/>
                <w:color w:val="0000FF"/>
                <w:sz w:val="24"/>
                <w:szCs w:val="24"/>
              </w:rPr>
            </w:pPr>
            <w:r>
              <w:rPr>
                <w:rFonts w:hint="eastAsia" w:asciiTheme="minorEastAsia" w:hAnsiTheme="minorEastAsia" w:eastAsiaTheme="minorEastAsia"/>
                <w:color w:val="auto"/>
                <w:sz w:val="24"/>
                <w:szCs w:val="24"/>
              </w:rPr>
              <w:t>递交</w:t>
            </w:r>
            <w:r>
              <w:rPr>
                <w:rFonts w:asciiTheme="minorEastAsia" w:hAnsiTheme="minorEastAsia" w:eastAsiaTheme="minorEastAsia"/>
                <w:color w:val="auto"/>
                <w:sz w:val="24"/>
                <w:szCs w:val="24"/>
              </w:rPr>
              <w:t>截止时间：</w:t>
            </w:r>
            <w:r>
              <w:rPr>
                <w:rFonts w:hint="eastAsia" w:asciiTheme="minorEastAsia" w:hAnsiTheme="minorEastAsia" w:eastAsiaTheme="minorEastAsia"/>
                <w:color w:val="auto"/>
                <w:sz w:val="24"/>
                <w:szCs w:val="24"/>
              </w:rPr>
              <w:t>2026年09月23日 16时00分00秒</w:t>
            </w:r>
            <w:r>
              <w:rPr>
                <w:rFonts w:hint="eastAsia" w:ascii="宋体" w:hAnsi="宋体" w:cs="宋体"/>
                <w:color w:val="auto"/>
                <w:kern w:val="0"/>
                <w:sz w:val="24"/>
                <w:szCs w:val="28"/>
                <w:highlight w:val="none"/>
                <w:lang w:val="en-US" w:eastAsia="zh-CN"/>
              </w:rPr>
              <w:t>止</w:t>
            </w:r>
            <w:r>
              <w:rPr>
                <w:rFonts w:asciiTheme="minorEastAsia" w:hAnsiTheme="minorEastAsia" w:eastAsiaTheme="minorEastAsia"/>
                <w:color w:val="auto"/>
                <w:sz w:val="24"/>
                <w:szCs w:val="24"/>
              </w:rPr>
              <w:t xml:space="preserve"> </w:t>
            </w:r>
          </w:p>
          <w:p w14:paraId="3C0CD95A">
            <w:pPr>
              <w:pStyle w:val="62"/>
              <w:keepNext w:val="0"/>
              <w:keepLines w:val="0"/>
              <w:pageBreakBefore w:val="0"/>
              <w:kinsoku/>
              <w:wordWrap/>
              <w:overflowPunct/>
              <w:topLinePunct w:val="0"/>
              <w:autoSpaceDE/>
              <w:autoSpaceDN/>
              <w:bidi w:val="0"/>
              <w:adjustRightInd/>
              <w:spacing w:line="440" w:lineRule="exact"/>
              <w:ind w:left="0" w:leftChars="0" w:firstLine="0" w:firstLineChars="0"/>
              <w:textAlignment w:val="auto"/>
              <w:outlineLvl w:val="9"/>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auto"/>
                <w:sz w:val="24"/>
                <w:szCs w:val="24"/>
              </w:rPr>
              <w:t>递交</w:t>
            </w:r>
            <w:r>
              <w:rPr>
                <w:rFonts w:asciiTheme="minorEastAsia" w:hAnsiTheme="minorEastAsia" w:eastAsiaTheme="minorEastAsia"/>
                <w:color w:val="auto"/>
                <w:sz w:val="24"/>
                <w:szCs w:val="24"/>
              </w:rPr>
              <w:t>地点</w:t>
            </w:r>
            <w:r>
              <w:rPr>
                <w:rFonts w:asciiTheme="minorEastAsia" w:hAnsiTheme="minorEastAsia" w:eastAsiaTheme="minorEastAsia"/>
                <w:color w:val="auto"/>
                <w:sz w:val="24"/>
                <w:szCs w:val="24"/>
                <w:highlight w:val="none"/>
              </w:rPr>
              <w:t>：</w:t>
            </w:r>
            <w:r>
              <w:rPr>
                <w:rFonts w:hint="eastAsia" w:ascii="宋体" w:hAnsi="宋体" w:eastAsia="宋体" w:cs="宋体"/>
                <w:color w:val="auto"/>
                <w:kern w:val="0"/>
                <w:sz w:val="24"/>
                <w:szCs w:val="24"/>
              </w:rPr>
              <w:t>全国公共资源交易中心平台（陕西省 安康市）</w:t>
            </w:r>
            <w:r>
              <w:rPr>
                <w:rFonts w:hint="eastAsia" w:ascii="宋体" w:hAnsi="宋体" w:eastAsia="宋体" w:cs="宋体"/>
                <w:color w:val="auto"/>
                <w:kern w:val="0"/>
                <w:sz w:val="24"/>
                <w:szCs w:val="24"/>
                <w:lang w:val="en-US" w:eastAsia="zh-CN" w:bidi="ar-SA"/>
              </w:rPr>
              <w:t xml:space="preserve"> </w:t>
            </w:r>
          </w:p>
        </w:tc>
      </w:tr>
      <w:tr w14:paraId="19571AEA">
        <w:tblPrEx>
          <w:tblCellMar>
            <w:top w:w="147" w:type="dxa"/>
            <w:left w:w="108" w:type="dxa"/>
            <w:bottom w:w="56" w:type="dxa"/>
            <w:right w:w="0" w:type="dxa"/>
          </w:tblCellMar>
        </w:tblPrEx>
        <w:trPr>
          <w:trHeight w:val="262" w:hRule="atLeast"/>
        </w:trPr>
        <w:tc>
          <w:tcPr>
            <w:tcW w:w="704" w:type="dxa"/>
            <w:tcBorders>
              <w:top w:val="single" w:color="000000" w:sz="4" w:space="0"/>
              <w:left w:val="single" w:color="000000" w:sz="4" w:space="0"/>
              <w:bottom w:val="single" w:color="000000" w:sz="4" w:space="0"/>
              <w:right w:val="single" w:color="000000" w:sz="4" w:space="0"/>
            </w:tcBorders>
          </w:tcPr>
          <w:p w14:paraId="41EC9E7D">
            <w:pPr>
              <w:pStyle w:val="97"/>
              <w:numPr>
                <w:ilvl w:val="0"/>
                <w:numId w:val="3"/>
              </w:numPr>
              <w:spacing w:line="259" w:lineRule="auto"/>
              <w:ind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30D92EC5">
            <w:pPr>
              <w:spacing w:line="259"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响应有效期</w:t>
            </w:r>
          </w:p>
        </w:tc>
        <w:tc>
          <w:tcPr>
            <w:tcW w:w="7191" w:type="dxa"/>
            <w:tcBorders>
              <w:top w:val="single" w:color="000000" w:sz="4" w:space="0"/>
              <w:left w:val="single" w:color="000000" w:sz="4" w:space="0"/>
              <w:bottom w:val="single" w:color="000000" w:sz="4" w:space="0"/>
              <w:right w:val="single" w:color="000000" w:sz="4" w:space="0"/>
            </w:tcBorders>
          </w:tcPr>
          <w:p w14:paraId="340ACB63">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u w:val="single" w:color="000000"/>
              </w:rPr>
              <w:t>90</w:t>
            </w:r>
            <w:r>
              <w:rPr>
                <w:rFonts w:asciiTheme="minorEastAsia" w:hAnsiTheme="minorEastAsia" w:eastAsiaTheme="minorEastAsia"/>
                <w:sz w:val="24"/>
                <w:szCs w:val="24"/>
              </w:rPr>
              <w:t xml:space="preserve">日历天（从提交响应文件日起计算） </w:t>
            </w:r>
          </w:p>
        </w:tc>
      </w:tr>
      <w:tr w14:paraId="082B9AD5">
        <w:tblPrEx>
          <w:tblCellMar>
            <w:top w:w="147" w:type="dxa"/>
            <w:left w:w="108" w:type="dxa"/>
            <w:bottom w:w="56" w:type="dxa"/>
            <w:right w:w="0" w:type="dxa"/>
          </w:tblCellMar>
        </w:tblPrEx>
        <w:trPr>
          <w:trHeight w:val="126"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325511E9">
            <w:pPr>
              <w:pStyle w:val="97"/>
              <w:numPr>
                <w:ilvl w:val="0"/>
                <w:numId w:val="3"/>
              </w:numPr>
              <w:spacing w:line="259" w:lineRule="auto"/>
              <w:ind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5BE8BA48">
            <w:pPr>
              <w:spacing w:line="259" w:lineRule="auto"/>
              <w:ind w:right="111"/>
              <w:jc w:val="center"/>
              <w:rPr>
                <w:rFonts w:asciiTheme="minorEastAsia" w:hAnsiTheme="minorEastAsia" w:eastAsiaTheme="minorEastAsia"/>
                <w:sz w:val="24"/>
                <w:szCs w:val="24"/>
              </w:rPr>
            </w:pPr>
            <w:r>
              <w:rPr>
                <w:rFonts w:asciiTheme="minorEastAsia" w:hAnsiTheme="minorEastAsia" w:eastAsiaTheme="minorEastAsia"/>
                <w:sz w:val="24"/>
                <w:szCs w:val="24"/>
              </w:rPr>
              <w:t>评分办法</w:t>
            </w:r>
          </w:p>
        </w:tc>
        <w:tc>
          <w:tcPr>
            <w:tcW w:w="7191" w:type="dxa"/>
            <w:tcBorders>
              <w:top w:val="single" w:color="000000" w:sz="4" w:space="0"/>
              <w:left w:val="single" w:color="000000" w:sz="4" w:space="0"/>
              <w:bottom w:val="single" w:color="000000" w:sz="4" w:space="0"/>
              <w:right w:val="single" w:color="000000" w:sz="4" w:space="0"/>
            </w:tcBorders>
          </w:tcPr>
          <w:p w14:paraId="748507F9">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综合评分法 </w:t>
            </w:r>
          </w:p>
        </w:tc>
      </w:tr>
      <w:tr w14:paraId="06CEC798">
        <w:tblPrEx>
          <w:tblCellMar>
            <w:top w:w="147" w:type="dxa"/>
            <w:left w:w="108" w:type="dxa"/>
            <w:bottom w:w="56" w:type="dxa"/>
            <w:right w:w="0" w:type="dxa"/>
          </w:tblCellMar>
        </w:tblPrEx>
        <w:trPr>
          <w:trHeight w:val="701"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1815FDF9">
            <w:pPr>
              <w:pStyle w:val="97"/>
              <w:numPr>
                <w:ilvl w:val="0"/>
                <w:numId w:val="3"/>
              </w:numPr>
              <w:spacing w:line="259" w:lineRule="auto"/>
              <w:ind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447D9C06">
            <w:pPr>
              <w:spacing w:line="259"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磋商小组构成</w:t>
            </w:r>
          </w:p>
        </w:tc>
        <w:tc>
          <w:tcPr>
            <w:tcW w:w="7191" w:type="dxa"/>
            <w:tcBorders>
              <w:top w:val="single" w:color="000000" w:sz="4" w:space="0"/>
              <w:left w:val="single" w:color="000000" w:sz="4" w:space="0"/>
              <w:bottom w:val="single" w:color="000000" w:sz="4" w:space="0"/>
              <w:right w:val="single" w:color="000000" w:sz="4" w:space="0"/>
            </w:tcBorders>
          </w:tcPr>
          <w:p w14:paraId="4E092B64">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rPr>
              <w:t>根据《中华人民共和国政府采购法</w:t>
            </w: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rPr>
              <w:t>中华人民共和国</w:t>
            </w:r>
            <w:r>
              <w:rPr>
                <w:rFonts w:hint="eastAsia" w:asciiTheme="minorEastAsia" w:hAnsiTheme="minorEastAsia" w:eastAsiaTheme="minorEastAsia"/>
                <w:sz w:val="24"/>
                <w:szCs w:val="24"/>
                <w:lang w:val="en-US" w:eastAsia="zh-CN"/>
              </w:rPr>
              <w:t>政府采购法实施条例</w:t>
            </w:r>
            <w:r>
              <w:rPr>
                <w:rFonts w:asciiTheme="minorEastAsia" w:hAnsiTheme="minorEastAsia" w:eastAsiaTheme="minorEastAsia"/>
                <w:sz w:val="24"/>
                <w:szCs w:val="24"/>
              </w:rPr>
              <w:t>》等有关法律规定组建磋商小组。</w:t>
            </w:r>
            <w:r>
              <w:rPr>
                <w:rFonts w:cs="Times New Roman" w:asciiTheme="minorEastAsia" w:hAnsiTheme="minorEastAsia" w:eastAsiaTheme="minorEastAsia"/>
                <w:sz w:val="24"/>
                <w:szCs w:val="24"/>
              </w:rPr>
              <w:t xml:space="preserve"> </w:t>
            </w:r>
          </w:p>
        </w:tc>
      </w:tr>
      <w:tr w14:paraId="70AF9B7F">
        <w:tblPrEx>
          <w:tblCellMar>
            <w:top w:w="147" w:type="dxa"/>
            <w:left w:w="108" w:type="dxa"/>
            <w:bottom w:w="56" w:type="dxa"/>
            <w:right w:w="0" w:type="dxa"/>
          </w:tblCellMar>
        </w:tblPrEx>
        <w:trPr>
          <w:trHeight w:val="109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28FA11A9">
            <w:pPr>
              <w:pStyle w:val="97"/>
              <w:numPr>
                <w:ilvl w:val="0"/>
                <w:numId w:val="3"/>
              </w:numPr>
              <w:spacing w:line="259" w:lineRule="auto"/>
              <w:ind w:firstLineChars="0"/>
              <w:jc w:val="center"/>
              <w:rPr>
                <w:rFonts w:cs="Calibri" w:asciiTheme="minorEastAsia" w:hAnsiTheme="minorEastAsia" w:eastAsiaTheme="minorEastAsia"/>
                <w:color w:val="auto"/>
                <w:kern w:val="2"/>
                <w:sz w:val="24"/>
                <w:szCs w:val="24"/>
                <w:lang w:val="en-US" w:eastAsia="zh-CN" w:bidi="ar-SA"/>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2C393C0D">
            <w:pPr>
              <w:spacing w:line="259" w:lineRule="auto"/>
              <w:ind w:firstLine="480" w:firstLineChars="200"/>
              <w:rPr>
                <w:rFonts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lang w:val="en-US" w:eastAsia="zh-CN"/>
              </w:rPr>
              <w:t>付款方式</w:t>
            </w:r>
          </w:p>
        </w:tc>
        <w:tc>
          <w:tcPr>
            <w:tcW w:w="7191" w:type="dxa"/>
            <w:tcBorders>
              <w:top w:val="single" w:color="000000" w:sz="4" w:space="0"/>
              <w:left w:val="single" w:color="000000" w:sz="4" w:space="0"/>
              <w:bottom w:val="single" w:color="000000" w:sz="4" w:space="0"/>
              <w:right w:val="single" w:color="000000" w:sz="4" w:space="0"/>
            </w:tcBorders>
            <w:vAlign w:val="center"/>
          </w:tcPr>
          <w:p w14:paraId="6BA22B67">
            <w:pPr>
              <w:keepNext w:val="0"/>
              <w:keepLines w:val="0"/>
              <w:pageBreakBefore w:val="0"/>
              <w:widowControl w:val="0"/>
              <w:kinsoku/>
              <w:wordWrap/>
              <w:overflowPunct/>
              <w:topLinePunct w:val="0"/>
              <w:autoSpaceDE/>
              <w:autoSpaceDN/>
              <w:bidi w:val="0"/>
              <w:adjustRightInd/>
              <w:snapToGrid/>
              <w:spacing w:line="440" w:lineRule="exact"/>
              <w:ind w:left="0" w:leftChars="0" w:firstLine="570"/>
              <w:textAlignment w:val="auto"/>
              <w:rPr>
                <w:rFonts w:hint="default"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lang w:val="en-US" w:eastAsia="zh-CN"/>
              </w:rPr>
              <w:t>合同签订生效支付合同总额的40%作为工程预付款；工程完工并通过竣工验收，且完成结算审计后，付清余款。</w:t>
            </w:r>
          </w:p>
        </w:tc>
      </w:tr>
      <w:tr w14:paraId="6B65BAAB">
        <w:tblPrEx>
          <w:tblCellMar>
            <w:top w:w="147" w:type="dxa"/>
            <w:left w:w="108" w:type="dxa"/>
            <w:bottom w:w="56" w:type="dxa"/>
            <w:right w:w="0" w:type="dxa"/>
          </w:tblCellMar>
        </w:tblPrEx>
        <w:trPr>
          <w:trHeight w:val="368" w:hRule="atLeast"/>
        </w:trPr>
        <w:tc>
          <w:tcPr>
            <w:tcW w:w="704" w:type="dxa"/>
            <w:tcBorders>
              <w:top w:val="single" w:color="000000" w:sz="4" w:space="0"/>
              <w:left w:val="single" w:color="000000" w:sz="4" w:space="0"/>
              <w:bottom w:val="single" w:color="000000" w:sz="4" w:space="0"/>
              <w:right w:val="single" w:color="000000" w:sz="4" w:space="0"/>
            </w:tcBorders>
          </w:tcPr>
          <w:p w14:paraId="76C833BB">
            <w:pPr>
              <w:pStyle w:val="97"/>
              <w:numPr>
                <w:ilvl w:val="0"/>
                <w:numId w:val="3"/>
              </w:numPr>
              <w:spacing w:line="259" w:lineRule="auto"/>
              <w:ind w:firstLineChars="0"/>
              <w:jc w:val="center"/>
              <w:rPr>
                <w:rFonts w:asciiTheme="minorEastAsia" w:hAnsiTheme="minorEastAsia" w:eastAsiaTheme="minorEastAsia"/>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7C630345">
            <w:pPr>
              <w:spacing w:line="259" w:lineRule="auto"/>
              <w:ind w:right="109"/>
              <w:jc w:val="center"/>
              <w:rPr>
                <w:rFonts w:asciiTheme="minorEastAsia" w:hAnsiTheme="minorEastAsia" w:eastAsiaTheme="minorEastAsia"/>
                <w:sz w:val="24"/>
                <w:szCs w:val="24"/>
              </w:rPr>
            </w:pPr>
            <w:r>
              <w:rPr>
                <w:rFonts w:asciiTheme="minorEastAsia" w:hAnsiTheme="minorEastAsia" w:eastAsiaTheme="minorEastAsia"/>
                <w:sz w:val="24"/>
                <w:szCs w:val="24"/>
              </w:rPr>
              <w:t>答疑</w:t>
            </w:r>
          </w:p>
        </w:tc>
        <w:tc>
          <w:tcPr>
            <w:tcW w:w="7191" w:type="dxa"/>
            <w:tcBorders>
              <w:top w:val="single" w:color="000000" w:sz="4" w:space="0"/>
              <w:left w:val="single" w:color="000000" w:sz="4" w:space="0"/>
              <w:bottom w:val="single" w:color="000000" w:sz="4" w:space="0"/>
              <w:right w:val="single" w:color="000000" w:sz="4" w:space="0"/>
            </w:tcBorders>
          </w:tcPr>
          <w:p w14:paraId="2CDF2F67">
            <w:pPr>
              <w:spacing w:line="259" w:lineRule="auto"/>
              <w:ind w:right="-11"/>
              <w:rPr>
                <w:rFonts w:asciiTheme="minorEastAsia" w:hAnsiTheme="minorEastAsia" w:eastAsiaTheme="minorEastAsia"/>
                <w:sz w:val="24"/>
                <w:szCs w:val="24"/>
              </w:rPr>
            </w:pPr>
            <w:r>
              <w:rPr>
                <w:rFonts w:asciiTheme="minorEastAsia" w:hAnsiTheme="minorEastAsia" w:eastAsiaTheme="minorEastAsia"/>
                <w:sz w:val="24"/>
                <w:szCs w:val="24"/>
              </w:rPr>
              <w:t xml:space="preserve">如有疑问，投标人需书面提出，经采购人收集问题后，统一答疑。 </w:t>
            </w:r>
          </w:p>
        </w:tc>
      </w:tr>
      <w:tr w14:paraId="54697242">
        <w:tblPrEx>
          <w:tblCellMar>
            <w:top w:w="147" w:type="dxa"/>
            <w:left w:w="108" w:type="dxa"/>
            <w:bottom w:w="56" w:type="dxa"/>
            <w:right w:w="0" w:type="dxa"/>
          </w:tblCellMar>
        </w:tblPrEx>
        <w:trPr>
          <w:trHeight w:val="296"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679EF964">
            <w:pPr>
              <w:pStyle w:val="97"/>
              <w:numPr>
                <w:ilvl w:val="0"/>
                <w:numId w:val="3"/>
              </w:numPr>
              <w:spacing w:line="259" w:lineRule="auto"/>
              <w:ind w:firstLineChars="0"/>
              <w:jc w:val="center"/>
              <w:rPr>
                <w:rFonts w:asciiTheme="minorEastAsia" w:hAnsiTheme="minorEastAsia" w:eastAsiaTheme="minorEastAsia"/>
                <w:sz w:val="24"/>
                <w:szCs w:val="24"/>
              </w:rPr>
            </w:pPr>
            <w:bookmarkStart w:id="19" w:name="_Toc536429318"/>
            <w:bookmarkStart w:id="20" w:name="_Toc19543335"/>
            <w:bookmarkStart w:id="21" w:name="_Toc536202378"/>
            <w:bookmarkStart w:id="22" w:name="_Toc21495"/>
            <w:bookmarkStart w:id="23" w:name="_Toc536429371"/>
            <w:bookmarkStart w:id="24" w:name="_Toc536202284"/>
            <w:bookmarkStart w:id="25" w:name="_Toc19272"/>
          </w:p>
        </w:tc>
        <w:tc>
          <w:tcPr>
            <w:tcW w:w="1989" w:type="dxa"/>
            <w:tcBorders>
              <w:top w:val="single" w:color="000000" w:sz="4" w:space="0"/>
              <w:left w:val="single" w:color="000000" w:sz="4" w:space="0"/>
              <w:bottom w:val="single" w:color="000000" w:sz="4" w:space="0"/>
              <w:right w:val="single" w:color="000000" w:sz="4" w:space="0"/>
            </w:tcBorders>
            <w:vAlign w:val="center"/>
          </w:tcPr>
          <w:p w14:paraId="58628E1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其他说明事项</w:t>
            </w:r>
          </w:p>
        </w:tc>
        <w:tc>
          <w:tcPr>
            <w:tcW w:w="7191" w:type="dxa"/>
            <w:tcBorders>
              <w:top w:val="single" w:color="000000" w:sz="4" w:space="0"/>
              <w:left w:val="single" w:color="000000" w:sz="4" w:space="0"/>
              <w:bottom w:val="single" w:color="000000" w:sz="4" w:space="0"/>
              <w:right w:val="single" w:color="000000" w:sz="4" w:space="0"/>
            </w:tcBorders>
          </w:tcPr>
          <w:p w14:paraId="39EEBA73">
            <w:pPr>
              <w:keepNext w:val="0"/>
              <w:keepLines w:val="0"/>
              <w:pageBreakBefore w:val="0"/>
              <w:widowControl w:val="0"/>
              <w:kinsoku/>
              <w:wordWrap/>
              <w:overflowPunct/>
              <w:topLinePunct w:val="0"/>
              <w:autoSpaceDE/>
              <w:autoSpaceDN/>
              <w:bidi w:val="0"/>
              <w:adjustRightInd/>
              <w:snapToGrid/>
              <w:spacing w:line="440" w:lineRule="exact"/>
              <w:ind w:left="0" w:leftChars="0" w:firstLine="57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采购标的对应的中小企业划分标准所属行业为</w:t>
            </w:r>
            <w:r>
              <w:rPr>
                <w:rFonts w:hint="eastAsia" w:asciiTheme="minorEastAsia" w:hAnsiTheme="minorEastAsia" w:eastAsiaTheme="minorEastAsia"/>
                <w:sz w:val="24"/>
                <w:szCs w:val="24"/>
                <w:lang w:val="en-US" w:eastAsia="zh-CN"/>
              </w:rPr>
              <w:t>建筑业</w:t>
            </w:r>
            <w:r>
              <w:rPr>
                <w:rFonts w:hint="eastAsia" w:asciiTheme="minorEastAsia" w:hAnsiTheme="minorEastAsia" w:eastAsiaTheme="minorEastAsia"/>
                <w:sz w:val="24"/>
                <w:szCs w:val="24"/>
              </w:rPr>
              <w:t>。营业收入80000万元以下或资产总额80000万元以下的为中小微型企业。其中，营业收入6000万元及以上，且资产总额5000万元及以上的为中型企业；营业收 入300万元及以上，且资产总额300万元及以上的为小型企业；营业收入300万元以下或资 产总额300万元以下的为微型企业。</w:t>
            </w:r>
          </w:p>
        </w:tc>
      </w:tr>
    </w:tbl>
    <w:p w14:paraId="2816C64A">
      <w:pPr>
        <w:pStyle w:val="17"/>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Times New Roman" w:hAnsi="Times New Roman" w:eastAsia="宋体" w:cs="Times New Roman"/>
          <w:b/>
          <w:bCs/>
          <w:kern w:val="44"/>
          <w:sz w:val="32"/>
          <w:szCs w:val="32"/>
          <w:lang w:val="en-US" w:eastAsia="zh-CN" w:bidi="ar-SA"/>
        </w:rPr>
        <w:sectPr>
          <w:headerReference r:id="rId14" w:type="first"/>
          <w:footerReference r:id="rId16" w:type="first"/>
          <w:headerReference r:id="rId13" w:type="default"/>
          <w:footerReference r:id="rId15" w:type="default"/>
          <w:pgSz w:w="11905" w:h="16838"/>
          <w:pgMar w:top="1304" w:right="1304" w:bottom="1304" w:left="1304" w:header="907" w:footer="879" w:gutter="0"/>
          <w:pgNumType w:fmt="decimal"/>
          <w:cols w:space="0" w:num="1"/>
          <w:titlePg/>
          <w:rtlGutter w:val="0"/>
          <w:docGrid w:type="lines" w:linePitch="323" w:charSpace="0"/>
        </w:sectPr>
      </w:pPr>
    </w:p>
    <w:p w14:paraId="12DF70EF">
      <w:pPr>
        <w:pStyle w:val="17"/>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Times New Roman" w:hAnsi="Times New Roman" w:eastAsia="宋体" w:cs="Times New Roman"/>
          <w:b/>
          <w:bCs/>
          <w:kern w:val="44"/>
          <w:sz w:val="32"/>
          <w:szCs w:val="32"/>
          <w:lang w:val="en-US" w:eastAsia="zh-CN" w:bidi="ar-SA"/>
        </w:rPr>
      </w:pPr>
      <w:bookmarkStart w:id="26" w:name="_Toc10081"/>
      <w:r>
        <w:rPr>
          <w:rFonts w:hint="eastAsia" w:ascii="Times New Roman" w:hAnsi="Times New Roman" w:eastAsia="宋体" w:cs="Times New Roman"/>
          <w:b/>
          <w:bCs/>
          <w:kern w:val="44"/>
          <w:sz w:val="32"/>
          <w:szCs w:val="32"/>
          <w:lang w:val="en-US" w:eastAsia="zh-CN" w:bidi="ar-SA"/>
        </w:rPr>
        <w:t>第三部分  供应商须知</w:t>
      </w:r>
      <w:bookmarkEnd w:id="19"/>
      <w:bookmarkEnd w:id="20"/>
      <w:bookmarkEnd w:id="21"/>
      <w:bookmarkEnd w:id="22"/>
      <w:bookmarkEnd w:id="23"/>
      <w:bookmarkEnd w:id="24"/>
      <w:bookmarkEnd w:id="25"/>
      <w:bookmarkEnd w:id="26"/>
    </w:p>
    <w:p w14:paraId="6AEA7F07">
      <w:pPr>
        <w:keepLines w:val="0"/>
        <w:pageBreakBefore w:val="0"/>
        <w:widowControl/>
        <w:numPr>
          <w:ilvl w:val="0"/>
          <w:numId w:val="4"/>
        </w:numPr>
        <w:kinsoku/>
        <w:wordWrap/>
        <w:overflowPunct/>
        <w:topLinePunct w:val="0"/>
        <w:autoSpaceDE/>
        <w:autoSpaceDN/>
        <w:bidi w:val="0"/>
        <w:adjustRightInd/>
        <w:snapToGrid/>
        <w:spacing w:before="318" w:beforeLines="100" w:line="360" w:lineRule="auto"/>
        <w:ind w:left="420" w:leftChars="0" w:firstLine="643" w:firstLineChars="0"/>
        <w:jc w:val="center"/>
        <w:textAlignment w:val="auto"/>
        <w:outlineLvl w:val="1"/>
        <w:rPr>
          <w:rFonts w:ascii="宋体" w:cs="Times New Roman"/>
          <w:b/>
          <w:bCs/>
          <w:kern w:val="0"/>
          <w:sz w:val="32"/>
          <w:szCs w:val="32"/>
        </w:rPr>
      </w:pPr>
      <w:bookmarkStart w:id="27" w:name="_Toc536429372"/>
      <w:bookmarkStart w:id="28" w:name="_Toc536429319"/>
      <w:bookmarkStart w:id="29" w:name="_Toc26739"/>
      <w:bookmarkStart w:id="30" w:name="_Toc17059"/>
      <w:bookmarkStart w:id="31" w:name="_Toc536202379"/>
      <w:bookmarkStart w:id="32" w:name="_Toc19543336"/>
      <w:bookmarkStart w:id="33" w:name="_Toc536202285"/>
      <w:r>
        <w:rPr>
          <w:rFonts w:hint="eastAsia" w:ascii="宋体" w:hAnsi="宋体" w:cs="宋体"/>
          <w:b/>
          <w:bCs/>
          <w:kern w:val="0"/>
          <w:sz w:val="32"/>
          <w:szCs w:val="32"/>
        </w:rPr>
        <w:t>总则</w:t>
      </w:r>
      <w:bookmarkEnd w:id="27"/>
      <w:bookmarkEnd w:id="28"/>
      <w:bookmarkEnd w:id="29"/>
      <w:bookmarkEnd w:id="30"/>
      <w:bookmarkEnd w:id="31"/>
      <w:bookmarkEnd w:id="32"/>
      <w:bookmarkEnd w:id="33"/>
    </w:p>
    <w:p w14:paraId="52E8AB9A">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w:t>
      </w:r>
      <w:r>
        <w:rPr>
          <w:rFonts w:hint="eastAsia" w:ascii="宋体" w:hAnsi="宋体" w:cs="宋体"/>
          <w:b/>
          <w:bCs/>
          <w:sz w:val="24"/>
          <w:szCs w:val="24"/>
          <w:lang w:val="en-US" w:eastAsia="zh-CN"/>
        </w:rPr>
        <w:t>.</w:t>
      </w:r>
      <w:r>
        <w:rPr>
          <w:rFonts w:hint="eastAsia" w:ascii="宋体" w:hAnsi="宋体" w:eastAsia="宋体" w:cs="宋体"/>
          <w:b/>
          <w:bCs/>
          <w:sz w:val="24"/>
          <w:szCs w:val="24"/>
        </w:rPr>
        <w:t>适用范围</w:t>
      </w:r>
    </w:p>
    <w:p w14:paraId="7F67FEA7">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1.1本磋商文件适用于本次采购活动的全过程。</w:t>
      </w:r>
    </w:p>
    <w:p w14:paraId="501F5962">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2A7933A5">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w:t>
      </w:r>
      <w:r>
        <w:rPr>
          <w:rFonts w:hint="eastAsia" w:ascii="宋体" w:hAnsi="宋体" w:eastAsia="宋体" w:cs="宋体"/>
          <w:b/>
          <w:bCs/>
          <w:sz w:val="24"/>
          <w:szCs w:val="24"/>
        </w:rPr>
        <w:t>定义</w:t>
      </w:r>
    </w:p>
    <w:p w14:paraId="2B0417E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2.1采购人：</w:t>
      </w:r>
      <w:r>
        <w:rPr>
          <w:rFonts w:hint="eastAsia" w:ascii="宋体" w:hAnsi="宋体" w:cs="宋体"/>
          <w:bCs/>
          <w:sz w:val="24"/>
          <w:szCs w:val="24"/>
          <w:lang w:val="en-US" w:eastAsia="zh-CN"/>
        </w:rPr>
        <w:t>安康市工人文化宫</w:t>
      </w:r>
    </w:p>
    <w:p w14:paraId="6BF65C54">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2.2采购代理机构：安康尚昊招标代理有限公司</w:t>
      </w:r>
    </w:p>
    <w:p w14:paraId="2469019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2.3</w:t>
      </w:r>
      <w:r>
        <w:rPr>
          <w:rFonts w:hint="eastAsia" w:ascii="宋体" w:hAnsi="宋体" w:eastAsia="宋体" w:cs="宋体"/>
          <w:bCs/>
          <w:sz w:val="24"/>
          <w:szCs w:val="24"/>
          <w:lang w:eastAsia="zh-CN"/>
        </w:rPr>
        <w:t>监管机构：安康市</w:t>
      </w:r>
      <w:r>
        <w:rPr>
          <w:rFonts w:hint="eastAsia" w:ascii="宋体" w:hAnsi="宋体" w:eastAsia="宋体" w:cs="宋体"/>
          <w:bCs/>
          <w:sz w:val="24"/>
          <w:szCs w:val="24"/>
        </w:rPr>
        <w:t>财政局</w:t>
      </w:r>
    </w:p>
    <w:p w14:paraId="3FA563E3">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2.4</w:t>
      </w:r>
      <w:r>
        <w:rPr>
          <w:rFonts w:hint="eastAsia" w:ascii="宋体" w:hAnsi="宋体" w:eastAsia="宋体" w:cs="宋体"/>
          <w:bCs/>
          <w:sz w:val="24"/>
          <w:szCs w:val="24"/>
        </w:rPr>
        <w:t>供应商：是参与本项目磋商活动的法人、其他组织或自然人。</w:t>
      </w:r>
    </w:p>
    <w:p w14:paraId="262C71D9">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2.5</w:t>
      </w:r>
      <w:r>
        <w:rPr>
          <w:rFonts w:hint="eastAsia" w:ascii="宋体" w:hAnsi="宋体" w:eastAsia="宋体" w:cs="宋体"/>
          <w:bCs/>
          <w:sz w:val="24"/>
          <w:szCs w:val="24"/>
        </w:rPr>
        <w:t>货物：是指</w:t>
      </w:r>
      <w:r>
        <w:rPr>
          <w:rFonts w:hint="eastAsia" w:ascii="宋体" w:hAnsi="宋体" w:eastAsia="宋体" w:cs="宋体"/>
          <w:bCs/>
          <w:sz w:val="24"/>
          <w:szCs w:val="24"/>
          <w:lang w:eastAsia="zh-CN"/>
        </w:rPr>
        <w:t>本次投标所需的</w:t>
      </w:r>
      <w:r>
        <w:rPr>
          <w:rFonts w:hint="eastAsia" w:ascii="宋体" w:hAnsi="宋体" w:eastAsia="宋体" w:cs="宋体"/>
          <w:bCs/>
          <w:sz w:val="24"/>
          <w:szCs w:val="24"/>
        </w:rPr>
        <w:t>各种形态和种类的物品。</w:t>
      </w:r>
    </w:p>
    <w:p w14:paraId="0286FED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2.6</w:t>
      </w:r>
      <w:r>
        <w:rPr>
          <w:rFonts w:hint="eastAsia" w:ascii="宋体" w:hAnsi="宋体" w:eastAsia="宋体" w:cs="宋体"/>
          <w:bCs/>
          <w:sz w:val="24"/>
          <w:szCs w:val="24"/>
        </w:rPr>
        <w:t>服务：指除了货物和工程外的其他政府采购对象。包含除货物以外规定由供应商承担的与货物有关的辅助服务。</w:t>
      </w:r>
    </w:p>
    <w:p w14:paraId="381D2022">
      <w:pPr>
        <w:autoSpaceDE w:val="0"/>
        <w:autoSpaceDN w:val="0"/>
        <w:adjustRightInd w:val="0"/>
        <w:spacing w:line="360" w:lineRule="auto"/>
        <w:ind w:firstLine="482" w:firstLineChars="200"/>
        <w:rPr>
          <w:rFonts w:ascii="宋体" w:hAnsi="宋体"/>
          <w:b/>
          <w:sz w:val="24"/>
          <w:szCs w:val="24"/>
        </w:rPr>
      </w:pPr>
      <w:r>
        <w:rPr>
          <w:rFonts w:ascii="宋体" w:hAnsi="宋体"/>
          <w:b/>
          <w:sz w:val="24"/>
          <w:szCs w:val="24"/>
        </w:rPr>
        <w:t>3.</w:t>
      </w:r>
      <w:r>
        <w:rPr>
          <w:rFonts w:hint="eastAsia" w:ascii="宋体" w:hAnsi="宋体"/>
          <w:b/>
          <w:sz w:val="24"/>
          <w:szCs w:val="24"/>
        </w:rPr>
        <w:t xml:space="preserve"> 投标人资格要求</w:t>
      </w:r>
    </w:p>
    <w:p w14:paraId="532FAB31">
      <w:pPr>
        <w:pStyle w:val="38"/>
        <w:ind w:firstLine="480" w:firstLineChars="200"/>
        <w:jc w:val="both"/>
        <w:rPr>
          <w:rFonts w:hint="eastAsia" w:ascii="宋体" w:hAnsi="宋体" w:eastAsia="宋体" w:cs="宋体"/>
          <w:b w:val="0"/>
          <w:bCs/>
          <w:spacing w:val="0"/>
          <w:w w:val="100"/>
          <w:kern w:val="2"/>
          <w:sz w:val="24"/>
          <w:szCs w:val="24"/>
          <w:lang w:val="en-US" w:eastAsia="zh-CN" w:bidi="ar-SA"/>
        </w:rPr>
      </w:pPr>
      <w:r>
        <w:rPr>
          <w:rFonts w:hint="eastAsia" w:ascii="宋体" w:hAnsi="宋体" w:eastAsia="宋体" w:cs="宋体"/>
          <w:b w:val="0"/>
          <w:bCs/>
          <w:spacing w:val="0"/>
          <w:w w:val="100"/>
          <w:kern w:val="2"/>
          <w:sz w:val="24"/>
          <w:szCs w:val="24"/>
          <w:lang w:val="zh-CN" w:eastAsia="zh-CN" w:bidi="ar-SA"/>
        </w:rPr>
        <w:t>3.1 投标人应具备的资格条件：见投标人须知前附表。</w:t>
      </w:r>
    </w:p>
    <w:p w14:paraId="0D87490D">
      <w:pPr>
        <w:autoSpaceDE w:val="0"/>
        <w:autoSpaceDN w:val="0"/>
        <w:adjustRightInd w:val="0"/>
        <w:spacing w:line="360" w:lineRule="auto"/>
        <w:ind w:firstLine="482" w:firstLineChars="200"/>
        <w:rPr>
          <w:rFonts w:hint="default" w:ascii="宋体" w:hAnsi="宋体" w:cs="Times New Roman"/>
          <w:b/>
          <w:sz w:val="24"/>
          <w:szCs w:val="24"/>
          <w:lang w:val="en-US" w:eastAsia="zh-CN"/>
        </w:rPr>
      </w:pPr>
      <w:r>
        <w:rPr>
          <w:rFonts w:hint="eastAsia" w:ascii="宋体" w:hAnsi="宋体" w:cs="Times New Roman"/>
          <w:b/>
          <w:sz w:val="24"/>
          <w:szCs w:val="24"/>
          <w:lang w:val="en-US" w:eastAsia="zh-CN"/>
        </w:rPr>
        <w:t>4.</w:t>
      </w:r>
      <w:r>
        <w:rPr>
          <w:rFonts w:hint="eastAsia" w:ascii="宋体" w:hAnsi="宋体" w:cs="Times New Roman"/>
          <w:b/>
          <w:sz w:val="24"/>
          <w:szCs w:val="24"/>
        </w:rPr>
        <w:t xml:space="preserve"> 合格的投标人</w:t>
      </w:r>
      <w:r>
        <w:rPr>
          <w:rFonts w:hint="eastAsia" w:ascii="宋体" w:hAnsi="宋体" w:cs="Times New Roman"/>
          <w:b/>
          <w:sz w:val="24"/>
          <w:szCs w:val="24"/>
          <w:lang w:eastAsia="zh-CN"/>
        </w:rPr>
        <w:t>、</w:t>
      </w:r>
      <w:r>
        <w:rPr>
          <w:rFonts w:hint="eastAsia" w:ascii="宋体" w:hAnsi="宋体" w:cs="Times New Roman"/>
          <w:b/>
          <w:sz w:val="24"/>
          <w:szCs w:val="24"/>
          <w:lang w:val="en-US" w:eastAsia="zh-CN"/>
        </w:rPr>
        <w:t>合格的工程</w:t>
      </w:r>
    </w:p>
    <w:p w14:paraId="5DEC288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4.1</w:t>
      </w:r>
      <w:r>
        <w:rPr>
          <w:rFonts w:hint="eastAsia" w:ascii="宋体" w:hAnsi="宋体" w:eastAsia="宋体" w:cs="宋体"/>
          <w:bCs/>
          <w:sz w:val="24"/>
          <w:szCs w:val="24"/>
        </w:rPr>
        <w:t xml:space="preserve"> 合格的投标人 </w:t>
      </w:r>
    </w:p>
    <w:p w14:paraId="10986F5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4.1.1</w:t>
      </w:r>
      <w:r>
        <w:rPr>
          <w:rFonts w:hint="eastAsia" w:ascii="宋体" w:hAnsi="宋体" w:eastAsia="宋体" w:cs="宋体"/>
          <w:bCs/>
          <w:sz w:val="24"/>
          <w:szCs w:val="24"/>
        </w:rPr>
        <w:t>依照《中华人民共和国公司法》注册、具有法人资格、符合《中华人民共和国政府采购法》第二十二条要求具备的条件、并具备国家规定的相关该行业必备资质。</w:t>
      </w:r>
    </w:p>
    <w:p w14:paraId="4F7C0AB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4.1.2</w:t>
      </w:r>
      <w:r>
        <w:rPr>
          <w:rFonts w:hint="eastAsia" w:ascii="宋体" w:hAnsi="宋体" w:eastAsia="宋体" w:cs="宋体"/>
          <w:bCs/>
          <w:sz w:val="24"/>
          <w:szCs w:val="24"/>
        </w:rPr>
        <w:t>本项目不接受联合体</w:t>
      </w:r>
      <w:r>
        <w:rPr>
          <w:rFonts w:hint="eastAsia" w:ascii="宋体" w:hAnsi="宋体" w:eastAsia="宋体" w:cs="宋体"/>
          <w:bCs/>
          <w:sz w:val="24"/>
          <w:szCs w:val="24"/>
          <w:lang w:val="en-US" w:eastAsia="zh-CN"/>
        </w:rPr>
        <w:t>投标</w:t>
      </w:r>
      <w:r>
        <w:rPr>
          <w:rFonts w:hint="eastAsia" w:ascii="宋体" w:hAnsi="宋体" w:eastAsia="宋体" w:cs="宋体"/>
          <w:bCs/>
          <w:sz w:val="24"/>
          <w:szCs w:val="24"/>
        </w:rPr>
        <w:t>。</w:t>
      </w:r>
    </w:p>
    <w:p w14:paraId="1BC4163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4.2</w:t>
      </w:r>
      <w:r>
        <w:rPr>
          <w:rFonts w:hint="eastAsia" w:ascii="宋体" w:hAnsi="宋体" w:eastAsia="宋体" w:cs="宋体"/>
          <w:bCs/>
          <w:sz w:val="24"/>
          <w:szCs w:val="24"/>
        </w:rPr>
        <w:t xml:space="preserve"> 合格的工程</w:t>
      </w:r>
    </w:p>
    <w:p w14:paraId="6D8D0EE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4.2.1</w:t>
      </w:r>
      <w:r>
        <w:rPr>
          <w:rFonts w:hint="eastAsia" w:ascii="宋体" w:hAnsi="宋体" w:eastAsia="宋体" w:cs="宋体"/>
          <w:bCs/>
          <w:sz w:val="24"/>
          <w:szCs w:val="24"/>
        </w:rPr>
        <w:t>工程项目建设依据：采购人提供</w:t>
      </w:r>
      <w:r>
        <w:rPr>
          <w:rFonts w:hint="eastAsia" w:ascii="宋体" w:hAnsi="宋体" w:eastAsia="宋体" w:cs="宋体"/>
          <w:bCs/>
          <w:sz w:val="24"/>
          <w:szCs w:val="24"/>
          <w:lang w:eastAsia="zh-CN"/>
        </w:rPr>
        <w:t>的</w:t>
      </w:r>
      <w:r>
        <w:rPr>
          <w:rFonts w:hint="eastAsia" w:ascii="宋体" w:hAnsi="宋体" w:eastAsia="宋体" w:cs="宋体"/>
          <w:bCs/>
          <w:sz w:val="24"/>
          <w:szCs w:val="24"/>
        </w:rPr>
        <w:t>资料齐全，可满足施工需要。</w:t>
      </w:r>
    </w:p>
    <w:p w14:paraId="243244E3">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4.2.2</w:t>
      </w:r>
      <w:r>
        <w:rPr>
          <w:rFonts w:hint="eastAsia" w:ascii="宋体" w:hAnsi="宋体" w:eastAsia="宋体" w:cs="宋体"/>
          <w:bCs/>
          <w:sz w:val="24"/>
          <w:szCs w:val="24"/>
        </w:rPr>
        <w:t>工程范围及工期、质量要求</w:t>
      </w:r>
    </w:p>
    <w:p w14:paraId="6716A164">
      <w:pPr>
        <w:pageBreakBefore w:val="0"/>
        <w:widowControl/>
        <w:wordWrap/>
        <w:topLinePunct w:val="0"/>
        <w:autoSpaceDE/>
        <w:autoSpaceDN/>
        <w:bidi w:val="0"/>
        <w:snapToGrid w:val="0"/>
        <w:spacing w:line="336" w:lineRule="auto"/>
        <w:ind w:right="-90" w:rightChars="-43" w:firstLine="480" w:firstLineChars="200"/>
        <w:jc w:val="left"/>
        <w:textAlignment w:val="auto"/>
        <w:rPr>
          <w:rFonts w:hint="default" w:ascii="宋体" w:hAnsi="宋体" w:eastAsia="宋体" w:cs="宋体"/>
          <w:bCs/>
          <w:sz w:val="24"/>
          <w:szCs w:val="24"/>
          <w:lang w:val="en-US" w:eastAsia="zh-CN"/>
        </w:rPr>
      </w:pPr>
      <w:r>
        <w:rPr>
          <w:rFonts w:hint="eastAsia" w:ascii="宋体" w:hAnsi="宋体" w:cs="宋体"/>
          <w:bCs/>
          <w:sz w:val="24"/>
          <w:szCs w:val="24"/>
          <w:lang w:eastAsia="zh-CN"/>
        </w:rPr>
        <w:t>（</w:t>
      </w:r>
      <w:r>
        <w:rPr>
          <w:rFonts w:hint="eastAsia" w:ascii="宋体" w:hAnsi="宋体" w:eastAsia="宋体" w:cs="宋体"/>
          <w:bCs/>
          <w:sz w:val="24"/>
          <w:szCs w:val="24"/>
        </w:rPr>
        <w:t>1</w:t>
      </w:r>
      <w:r>
        <w:rPr>
          <w:rFonts w:hint="eastAsia" w:ascii="宋体" w:hAnsi="宋体" w:cs="宋体"/>
          <w:bCs/>
          <w:sz w:val="24"/>
          <w:szCs w:val="24"/>
          <w:lang w:eastAsia="zh-CN"/>
        </w:rPr>
        <w:t>）</w:t>
      </w:r>
      <w:r>
        <w:rPr>
          <w:rFonts w:hint="eastAsia" w:ascii="宋体" w:hAnsi="宋体" w:eastAsia="宋体" w:cs="宋体"/>
          <w:bCs/>
          <w:sz w:val="24"/>
          <w:szCs w:val="24"/>
        </w:rPr>
        <w:t>工程范围：详见</w:t>
      </w:r>
      <w:r>
        <w:rPr>
          <w:rFonts w:hint="eastAsia" w:ascii="宋体" w:hAnsi="宋体" w:eastAsia="宋体" w:cs="宋体"/>
          <w:bCs/>
          <w:sz w:val="24"/>
          <w:szCs w:val="24"/>
          <w:lang w:eastAsia="zh-CN"/>
        </w:rPr>
        <w:t>采购</w:t>
      </w:r>
      <w:r>
        <w:rPr>
          <w:rFonts w:hint="eastAsia" w:ascii="宋体" w:hAnsi="宋体" w:cs="宋体"/>
          <w:bCs/>
          <w:sz w:val="24"/>
          <w:szCs w:val="24"/>
          <w:lang w:val="en-US" w:eastAsia="zh-CN"/>
        </w:rPr>
        <w:t>内容</w:t>
      </w:r>
      <w:r>
        <w:rPr>
          <w:rFonts w:hint="eastAsia" w:ascii="宋体" w:hAnsi="宋体" w:eastAsia="宋体" w:cs="宋体"/>
          <w:bCs/>
          <w:sz w:val="24"/>
          <w:szCs w:val="24"/>
          <w:lang w:eastAsia="zh-CN"/>
        </w:rPr>
        <w:t>及</w:t>
      </w:r>
      <w:r>
        <w:rPr>
          <w:rFonts w:hint="eastAsia" w:ascii="宋体" w:hAnsi="宋体" w:cs="宋体"/>
          <w:bCs/>
          <w:sz w:val="24"/>
          <w:szCs w:val="24"/>
          <w:lang w:val="en-US" w:eastAsia="zh-CN"/>
        </w:rPr>
        <w:t>要求</w:t>
      </w:r>
    </w:p>
    <w:p w14:paraId="51EA9C7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eastAsia="宋体" w:cs="宋体"/>
          <w:bCs/>
          <w:sz w:val="24"/>
          <w:szCs w:val="24"/>
        </w:rPr>
        <w:t>2</w:t>
      </w:r>
      <w:r>
        <w:rPr>
          <w:rFonts w:hint="eastAsia" w:ascii="宋体" w:hAnsi="宋体" w:cs="宋体"/>
          <w:bCs/>
          <w:sz w:val="24"/>
          <w:szCs w:val="24"/>
          <w:lang w:eastAsia="zh-CN"/>
        </w:rPr>
        <w:t>）</w:t>
      </w:r>
      <w:r>
        <w:rPr>
          <w:rFonts w:hint="eastAsia" w:ascii="宋体" w:hAnsi="宋体" w:eastAsia="宋体" w:cs="宋体"/>
          <w:bCs/>
          <w:sz w:val="24"/>
          <w:szCs w:val="24"/>
        </w:rPr>
        <w:t>质量要求：合格</w:t>
      </w:r>
    </w:p>
    <w:p w14:paraId="067C18E3">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a.本工程的工程质量应符合国家工程质量验收标准合格以上要求，投标人应按现行的国家施工验收规范和质量评定标准和施工说明书、</w:t>
      </w:r>
      <w:r>
        <w:rPr>
          <w:rFonts w:hint="eastAsia" w:ascii="宋体" w:hAnsi="宋体" w:eastAsia="宋体" w:cs="宋体"/>
          <w:bCs/>
          <w:sz w:val="24"/>
          <w:szCs w:val="24"/>
          <w:lang w:val="en-US" w:eastAsia="zh-CN"/>
        </w:rPr>
        <w:t>工程量清单、</w:t>
      </w:r>
      <w:r>
        <w:rPr>
          <w:rFonts w:hint="eastAsia" w:ascii="宋体" w:hAnsi="宋体" w:eastAsia="宋体" w:cs="宋体"/>
          <w:bCs/>
          <w:sz w:val="24"/>
          <w:szCs w:val="24"/>
        </w:rPr>
        <w:t>设备说明书、设计变更等技术文件为依据施工。</w:t>
      </w:r>
    </w:p>
    <w:p w14:paraId="715F434C">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sz w:val="24"/>
          <w:szCs w:val="24"/>
        </w:rPr>
        <w:t>b.如工程质量达不到约定条件的部分，一经发现。可要求投标人返工，直至达到合同约定条件，并由投标人承担返工费用。返工后仍达不到约定条件，应继续返工到约定条件或合格标准。投标人承诺的质量等级达不到约定条件应承担违约责任，并按合同总价格 5 %支</w:t>
      </w:r>
      <w:r>
        <w:rPr>
          <w:rFonts w:hint="eastAsia" w:ascii="宋体" w:hAnsi="宋体" w:eastAsia="宋体" w:cs="宋体"/>
          <w:bCs/>
          <w:color w:val="auto"/>
          <w:sz w:val="24"/>
          <w:szCs w:val="24"/>
        </w:rPr>
        <w:t>付赔偿金。</w:t>
      </w:r>
    </w:p>
    <w:p w14:paraId="2AA639AC">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c.工期：</w:t>
      </w:r>
      <w:r>
        <w:rPr>
          <w:rFonts w:hint="eastAsia" w:ascii="宋体" w:hAnsi="宋体" w:eastAsia="宋体" w:cs="宋体"/>
          <w:bCs/>
          <w:color w:val="auto"/>
          <w:sz w:val="24"/>
          <w:szCs w:val="24"/>
          <w:u w:val="single"/>
          <w:lang w:val="en-US" w:eastAsia="zh-CN"/>
        </w:rPr>
        <w:t xml:space="preserve"> 自合同签订生效之日起60日历天。</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rPr>
        <w:t xml:space="preserve"> </w:t>
      </w:r>
    </w:p>
    <w:p w14:paraId="34B7E0C0">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本工程按采购人要求施工总工期为</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u w:val="single"/>
          <w:lang w:val="en-US" w:eastAsia="zh-CN"/>
        </w:rPr>
        <w:t xml:space="preserve"> 自合同签订生效之日起60日历天。</w:t>
      </w:r>
    </w:p>
    <w:p w14:paraId="74736FC4">
      <w:pPr>
        <w:pageBreakBefore w:val="0"/>
        <w:widowControl/>
        <w:wordWrap/>
        <w:topLinePunct w:val="0"/>
        <w:autoSpaceDE/>
        <w:autoSpaceDN/>
        <w:bidi w:val="0"/>
        <w:snapToGrid w:val="0"/>
        <w:spacing w:line="336" w:lineRule="auto"/>
        <w:ind w:right="-90" w:rightChars="-43" w:firstLine="720" w:firstLineChars="300"/>
        <w:jc w:val="left"/>
        <w:textAlignment w:val="auto"/>
        <w:rPr>
          <w:rFonts w:hint="eastAsia" w:ascii="宋体" w:hAnsi="宋体" w:eastAsia="宋体" w:cs="宋体"/>
          <w:bCs/>
          <w:sz w:val="24"/>
          <w:szCs w:val="24"/>
        </w:rPr>
      </w:pPr>
      <w:r>
        <w:rPr>
          <w:rFonts w:hint="eastAsia" w:ascii="宋体" w:hAnsi="宋体" w:eastAsia="宋体" w:cs="宋体"/>
          <w:bCs/>
          <w:sz w:val="24"/>
          <w:szCs w:val="24"/>
        </w:rPr>
        <w:t>工期延误，如果由于以下原因造成竣工日期推迟延误，经采购人代表确认后，投标人有理由延期完成工程或部分工程，采购人应同投标人协商决定延长竣工时间的期限。</w:t>
      </w:r>
    </w:p>
    <w:p w14:paraId="1225488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（1）额外的或附加的工程数量。</w:t>
      </w:r>
    </w:p>
    <w:p w14:paraId="1B4BA71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（2）由采购人原因造成的延误、障碍、阻止。</w:t>
      </w:r>
    </w:p>
    <w:p w14:paraId="4B3E8D5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（3）不可抗力。</w:t>
      </w:r>
    </w:p>
    <w:p w14:paraId="43AB5D20">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（4）可能会出现的，不属投标人的过失或违约造成的。</w:t>
      </w:r>
    </w:p>
    <w:p w14:paraId="3B4629D6">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4.2.3</w:t>
      </w:r>
      <w:r>
        <w:rPr>
          <w:rFonts w:hint="eastAsia" w:ascii="宋体" w:hAnsi="宋体" w:eastAsia="宋体" w:cs="宋体"/>
          <w:bCs/>
          <w:sz w:val="24"/>
          <w:szCs w:val="24"/>
        </w:rPr>
        <w:t xml:space="preserve"> 踏勘现场</w:t>
      </w:r>
    </w:p>
    <w:p w14:paraId="32FA209B">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eastAsia="宋体" w:cs="宋体"/>
          <w:bCs/>
          <w:sz w:val="24"/>
          <w:szCs w:val="24"/>
        </w:rPr>
        <w:t>1</w:t>
      </w:r>
      <w:r>
        <w:rPr>
          <w:rFonts w:hint="eastAsia" w:ascii="宋体" w:hAnsi="宋体" w:cs="宋体"/>
          <w:bCs/>
          <w:sz w:val="24"/>
          <w:szCs w:val="24"/>
          <w:lang w:eastAsia="zh-CN"/>
        </w:rPr>
        <w:t>）</w:t>
      </w:r>
      <w:r>
        <w:rPr>
          <w:rFonts w:hint="eastAsia" w:ascii="宋体" w:hAnsi="宋体" w:eastAsia="宋体" w:cs="宋体"/>
          <w:bCs/>
          <w:sz w:val="24"/>
          <w:szCs w:val="24"/>
        </w:rPr>
        <w:t>由投标人自行现场踏勘，投标人将需澄清的问题以书面形式提交，采购代理机构、采购人对投标人提出的问题或现场踏勘的问题进行答复，形成答疑纪要发送投标人。投标人承担踏勘现场所发生的自身费用。</w:t>
      </w:r>
    </w:p>
    <w:p w14:paraId="50C9C4F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eastAsia="宋体" w:cs="宋体"/>
          <w:bCs/>
          <w:sz w:val="24"/>
          <w:szCs w:val="24"/>
        </w:rPr>
        <w:t>2</w:t>
      </w:r>
      <w:r>
        <w:rPr>
          <w:rFonts w:hint="eastAsia" w:ascii="宋体" w:hAnsi="宋体" w:cs="宋体"/>
          <w:bCs/>
          <w:sz w:val="24"/>
          <w:szCs w:val="24"/>
          <w:lang w:eastAsia="zh-CN"/>
        </w:rPr>
        <w:t>）</w:t>
      </w:r>
      <w:r>
        <w:rPr>
          <w:rFonts w:hint="eastAsia" w:ascii="宋体" w:hAnsi="宋体" w:eastAsia="宋体" w:cs="宋体"/>
          <w:bCs/>
          <w:sz w:val="24"/>
          <w:szCs w:val="24"/>
        </w:rPr>
        <w:t>采购人和采购代理机构向投标人提供的有关现场的数据和资料，是现有的能被投标人利用的资料，采购人和采购代理机构对投标人做出的任何推论、理解和结论均不承担责任。</w:t>
      </w:r>
    </w:p>
    <w:p w14:paraId="0ACE1AF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eastAsia="宋体" w:cs="宋体"/>
          <w:bCs/>
          <w:sz w:val="24"/>
          <w:szCs w:val="24"/>
        </w:rPr>
        <w:t>3</w:t>
      </w:r>
      <w:r>
        <w:rPr>
          <w:rFonts w:hint="eastAsia" w:ascii="宋体" w:hAnsi="宋体" w:cs="宋体"/>
          <w:bCs/>
          <w:sz w:val="24"/>
          <w:szCs w:val="24"/>
          <w:lang w:eastAsia="zh-CN"/>
        </w:rPr>
        <w:t>）</w:t>
      </w:r>
      <w:r>
        <w:rPr>
          <w:rFonts w:hint="eastAsia" w:ascii="宋体" w:hAnsi="宋体" w:eastAsia="宋体" w:cs="宋体"/>
          <w:bCs/>
          <w:sz w:val="24"/>
          <w:szCs w:val="24"/>
        </w:rPr>
        <w:t>经采购人允许，投标人可为踏勘目的进入项目现场，但投标人不得因此使采购人承担有关的责任和蒙受损失。投标人应承担踏勘现场的责任和风险。</w:t>
      </w:r>
    </w:p>
    <w:p w14:paraId="18A4D646">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5.</w:t>
      </w:r>
      <w:r>
        <w:rPr>
          <w:rFonts w:hint="eastAsia" w:ascii="宋体" w:hAnsi="宋体" w:eastAsia="宋体" w:cs="宋体"/>
          <w:b/>
          <w:bCs/>
          <w:sz w:val="24"/>
          <w:szCs w:val="24"/>
        </w:rPr>
        <w:t>政府采购政策支持</w:t>
      </w:r>
    </w:p>
    <w:p w14:paraId="43F66063">
      <w:pPr>
        <w:spacing w:line="360" w:lineRule="auto"/>
        <w:ind w:firstLine="480" w:firstLineChars="200"/>
        <w:rPr>
          <w:rFonts w:ascii="宋体" w:hAnsi="宋体"/>
          <w:sz w:val="24"/>
          <w:szCs w:val="24"/>
        </w:rPr>
      </w:pPr>
      <w:r>
        <w:rPr>
          <w:rFonts w:hint="eastAsia" w:ascii="宋体" w:hAnsi="宋体"/>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49B4D14E">
      <w:pPr>
        <w:tabs>
          <w:tab w:val="left" w:pos="0"/>
        </w:tabs>
        <w:autoSpaceDE w:val="0"/>
        <w:autoSpaceDN w:val="0"/>
        <w:adjustRightInd w:val="0"/>
        <w:snapToGrid w:val="0"/>
        <w:spacing w:line="360" w:lineRule="auto"/>
        <w:ind w:firstLine="480" w:firstLineChars="200"/>
        <w:rPr>
          <w:rFonts w:ascii="宋体" w:hAnsi="宋体"/>
          <w:sz w:val="24"/>
          <w:szCs w:val="24"/>
        </w:rPr>
      </w:pPr>
      <w:r>
        <w:rPr>
          <w:rFonts w:hint="eastAsia" w:ascii="宋体" w:hAnsi="宋体"/>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sz w:val="24"/>
          <w:szCs w:val="24"/>
          <w:lang w:val="en-US" w:eastAsia="zh-CN"/>
        </w:rPr>
        <w:t>10%</w:t>
      </w:r>
      <w:r>
        <w:rPr>
          <w:rFonts w:hint="eastAsia" w:ascii="宋体" w:hAnsi="宋体"/>
          <w:sz w:val="24"/>
          <w:szCs w:val="24"/>
        </w:rPr>
        <w:t xml:space="preserve">的价格扣除，用扣除后的价格参与评标。  </w:t>
      </w:r>
    </w:p>
    <w:p w14:paraId="4009490F">
      <w:pPr>
        <w:tabs>
          <w:tab w:val="left" w:pos="0"/>
        </w:tabs>
        <w:autoSpaceDE w:val="0"/>
        <w:autoSpaceDN w:val="0"/>
        <w:adjustRightInd w:val="0"/>
        <w:snapToGrid w:val="0"/>
        <w:spacing w:line="360" w:lineRule="auto"/>
        <w:ind w:firstLine="480" w:firstLineChars="200"/>
        <w:rPr>
          <w:rFonts w:ascii="宋体" w:hAnsi="宋体"/>
          <w:sz w:val="24"/>
          <w:szCs w:val="24"/>
        </w:rPr>
      </w:pPr>
      <w:r>
        <w:rPr>
          <w:rFonts w:hint="eastAsia" w:ascii="宋体" w:hAnsi="宋体"/>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sz w:val="24"/>
          <w:szCs w:val="24"/>
          <w:lang w:eastAsia="zh-CN"/>
        </w:rPr>
        <w:t>给予</w:t>
      </w:r>
      <w:r>
        <w:rPr>
          <w:rFonts w:hint="eastAsia" w:ascii="宋体" w:hAnsi="宋体"/>
          <w:sz w:val="24"/>
          <w:szCs w:val="24"/>
          <w:lang w:val="en-US" w:eastAsia="zh-CN"/>
        </w:rPr>
        <w:t>10%</w:t>
      </w:r>
      <w:r>
        <w:rPr>
          <w:rFonts w:hint="eastAsia" w:ascii="宋体" w:hAnsi="宋体"/>
          <w:sz w:val="24"/>
          <w:szCs w:val="24"/>
        </w:rPr>
        <w:t>的价格扣除，用扣除后的价格参与评审；</w:t>
      </w:r>
    </w:p>
    <w:p w14:paraId="16D5118E">
      <w:pPr>
        <w:tabs>
          <w:tab w:val="left" w:pos="0"/>
        </w:tabs>
        <w:autoSpaceDE w:val="0"/>
        <w:autoSpaceDN w:val="0"/>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(3) 根据财政部、民政部、中国残疾人联合会下发的《关于促进残疾人就业政府采购政策的通知》（财库〔201</w:t>
      </w:r>
      <w:r>
        <w:rPr>
          <w:rFonts w:ascii="宋体" w:hAnsi="宋体"/>
          <w:sz w:val="24"/>
          <w:szCs w:val="24"/>
        </w:rPr>
        <w:t>7</w:t>
      </w:r>
      <w:r>
        <w:rPr>
          <w:rFonts w:hint="eastAsia" w:ascii="宋体" w:hAnsi="宋体"/>
          <w:sz w:val="24"/>
          <w:szCs w:val="24"/>
        </w:rPr>
        <w:t>〕</w:t>
      </w:r>
      <w:r>
        <w:rPr>
          <w:rFonts w:ascii="宋体" w:hAnsi="宋体"/>
          <w:sz w:val="24"/>
          <w:szCs w:val="24"/>
        </w:rPr>
        <w:t>141</w:t>
      </w:r>
      <w:r>
        <w:rPr>
          <w:rFonts w:hint="eastAsia" w:ascii="宋体" w:hAnsi="宋体"/>
          <w:sz w:val="24"/>
          <w:szCs w:val="24"/>
        </w:rPr>
        <w:t>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小微企业发展的政府采购政策。</w:t>
      </w:r>
    </w:p>
    <w:p w14:paraId="6DB9CB98">
      <w:pPr>
        <w:tabs>
          <w:tab w:val="left" w:pos="0"/>
        </w:tabs>
        <w:autoSpaceDE w:val="0"/>
        <w:autoSpaceDN w:val="0"/>
        <w:adjustRightInd w:val="0"/>
        <w:snapToGrid w:val="0"/>
        <w:spacing w:line="360" w:lineRule="auto"/>
        <w:ind w:firstLine="482" w:firstLineChars="200"/>
        <w:rPr>
          <w:rFonts w:hint="eastAsia" w:ascii="宋体" w:hAnsi="宋体"/>
          <w:b/>
          <w:bCs/>
          <w:sz w:val="24"/>
          <w:szCs w:val="24"/>
          <w:lang w:val="en-US" w:eastAsia="zh-CN"/>
        </w:rPr>
      </w:pPr>
      <w:r>
        <w:rPr>
          <w:rFonts w:hint="eastAsia" w:ascii="宋体" w:hAnsi="宋体"/>
          <w:b/>
          <w:bCs/>
          <w:sz w:val="24"/>
          <w:szCs w:val="24"/>
          <w:lang w:val="en-US" w:eastAsia="zh-CN"/>
        </w:rPr>
        <w:t>（4）对专门面向中小企业采购项目，不再执行价格扣除政策。</w:t>
      </w:r>
    </w:p>
    <w:p w14:paraId="40C1490D">
      <w:pPr>
        <w:tabs>
          <w:tab w:val="left" w:pos="0"/>
        </w:tabs>
        <w:autoSpaceDE w:val="0"/>
        <w:autoSpaceDN w:val="0"/>
        <w:adjustRightInd w:val="0"/>
        <w:snapToGrid w:val="0"/>
        <w:spacing w:line="360" w:lineRule="auto"/>
        <w:ind w:firstLine="482" w:firstLineChars="200"/>
        <w:rPr>
          <w:rFonts w:hint="eastAsia" w:ascii="宋体" w:hAnsi="宋体"/>
          <w:b/>
          <w:bCs/>
          <w:sz w:val="24"/>
          <w:szCs w:val="24"/>
          <w:lang w:val="en-US" w:eastAsia="zh-CN"/>
        </w:rPr>
      </w:pPr>
      <w:r>
        <w:rPr>
          <w:rFonts w:hint="eastAsia" w:ascii="宋体" w:hAnsi="宋体"/>
          <w:b/>
          <w:bCs/>
          <w:sz w:val="24"/>
          <w:szCs w:val="24"/>
          <w:lang w:val="en-US" w:eastAsia="zh-CN"/>
        </w:rPr>
        <w:t>（5）对非专门面向中小企业采购项目，执行以上价格扣除政策。</w:t>
      </w:r>
    </w:p>
    <w:p w14:paraId="40E1553B">
      <w:pPr>
        <w:spacing w:line="360" w:lineRule="auto"/>
        <w:ind w:firstLine="482" w:firstLineChars="200"/>
        <w:rPr>
          <w:rFonts w:ascii="宋体" w:hAnsi="宋体"/>
          <w:sz w:val="24"/>
          <w:szCs w:val="24"/>
        </w:rPr>
      </w:pPr>
      <w:r>
        <w:rPr>
          <w:rFonts w:hint="eastAsia" w:ascii="宋体" w:hAnsi="宋体"/>
          <w:b/>
          <w:sz w:val="24"/>
          <w:szCs w:val="24"/>
        </w:rPr>
        <w:t>注：</w:t>
      </w:r>
      <w:r>
        <w:rPr>
          <w:rFonts w:hint="eastAsia" w:ascii="宋体" w:hAnsi="宋体"/>
          <w:sz w:val="24"/>
          <w:szCs w:val="24"/>
        </w:rPr>
        <w:t>参加政府采购活动的</w:t>
      </w:r>
      <w:r>
        <w:rPr>
          <w:rFonts w:hint="eastAsia" w:ascii="宋体" w:hAnsi="宋体"/>
          <w:sz w:val="24"/>
          <w:szCs w:val="24"/>
          <w:lang w:val="en-US" w:eastAsia="zh-CN"/>
        </w:rPr>
        <w:t>中小</w:t>
      </w:r>
      <w:r>
        <w:rPr>
          <w:rFonts w:hint="eastAsia" w:ascii="宋体" w:hAnsi="宋体"/>
          <w:sz w:val="24"/>
          <w:szCs w:val="24"/>
        </w:rPr>
        <w:t>企业/残疾人单位应提供《</w:t>
      </w:r>
      <w:r>
        <w:rPr>
          <w:rFonts w:hint="eastAsia" w:ascii="宋体" w:hAnsi="宋体"/>
          <w:sz w:val="24"/>
          <w:szCs w:val="24"/>
          <w:lang w:val="en-US" w:eastAsia="zh-CN"/>
        </w:rPr>
        <w:t>中小</w:t>
      </w:r>
      <w:r>
        <w:rPr>
          <w:rFonts w:hint="eastAsia" w:ascii="宋体" w:hAnsi="宋体"/>
          <w:sz w:val="24"/>
          <w:szCs w:val="24"/>
        </w:rPr>
        <w:t>企业声明函》或《残疾人福利性单位声明函》。投标产品中有监狱企业生产的产品的，应提供由省级以上监狱管理局、戒毒管理局（含新疆生产建设兵团）出具的生产厂商属于监狱企业的证明文件复印件。未提供上述声明函证明文件的，不能享受</w:t>
      </w:r>
      <w:r>
        <w:rPr>
          <w:rFonts w:hint="eastAsia" w:ascii="宋体" w:hAnsi="宋体"/>
          <w:sz w:val="24"/>
          <w:szCs w:val="24"/>
          <w:lang w:val="en-US" w:eastAsia="zh-CN"/>
        </w:rPr>
        <w:t>磋商</w:t>
      </w:r>
      <w:r>
        <w:rPr>
          <w:rFonts w:hint="eastAsia" w:ascii="宋体" w:hAnsi="宋体"/>
          <w:sz w:val="24"/>
          <w:szCs w:val="24"/>
        </w:rPr>
        <w:t>文件规定的价格扣除，但不影响</w:t>
      </w:r>
      <w:r>
        <w:rPr>
          <w:rFonts w:hint="eastAsia" w:ascii="宋体" w:hAnsi="宋体"/>
          <w:sz w:val="24"/>
          <w:szCs w:val="24"/>
          <w:lang w:val="en-US" w:eastAsia="zh-CN"/>
        </w:rPr>
        <w:t>响应</w:t>
      </w:r>
      <w:r>
        <w:rPr>
          <w:rFonts w:hint="eastAsia" w:ascii="宋体" w:hAnsi="宋体"/>
          <w:sz w:val="24"/>
          <w:szCs w:val="24"/>
        </w:rPr>
        <w:t>文件的有效性</w:t>
      </w:r>
      <w:r>
        <w:rPr>
          <w:rFonts w:hint="eastAsia" w:ascii="宋体" w:hAnsi="宋体"/>
          <w:sz w:val="24"/>
          <w:szCs w:val="24"/>
          <w:lang w:eastAsia="zh-CN"/>
        </w:rPr>
        <w:t>，</w:t>
      </w:r>
      <w:r>
        <w:rPr>
          <w:rFonts w:hint="eastAsia" w:ascii="宋体" w:hAnsi="宋体"/>
          <w:sz w:val="24"/>
          <w:szCs w:val="24"/>
        </w:rPr>
        <w:t>对既属于监狱企业、福利企业，同时又满足小微企业规定的投标单位，其价格扣除仅适用一次。</w:t>
      </w:r>
    </w:p>
    <w:p w14:paraId="53501F3B">
      <w:pPr>
        <w:spacing w:line="360" w:lineRule="auto"/>
        <w:ind w:firstLine="480" w:firstLineChars="200"/>
        <w:rPr>
          <w:rFonts w:ascii="宋体" w:hAnsi="宋体"/>
          <w:sz w:val="24"/>
          <w:szCs w:val="24"/>
        </w:rPr>
      </w:pPr>
      <w:r>
        <w:rPr>
          <w:rFonts w:hint="eastAsia" w:ascii="宋体" w:hAnsi="宋体"/>
          <w:sz w:val="24"/>
          <w:szCs w:val="24"/>
        </w:rPr>
        <w:t>(</w:t>
      </w:r>
      <w:r>
        <w:rPr>
          <w:rFonts w:hint="eastAsia" w:ascii="宋体" w:hAnsi="宋体"/>
          <w:sz w:val="24"/>
          <w:szCs w:val="24"/>
          <w:lang w:val="en-US" w:eastAsia="zh-CN"/>
        </w:rPr>
        <w:t>6</w:t>
      </w:r>
      <w:r>
        <w:rPr>
          <w:rFonts w:hint="eastAsia" w:ascii="宋体" w:hAnsi="宋体"/>
          <w:sz w:val="24"/>
          <w:szCs w:val="24"/>
        </w:rPr>
        <w:t>) ①根据财政部、国家发展改革委《关于印发〈节能产品政府采购实施意见〉的通知》（财库〔2004〕185号）所投产品属于节能产品政府采购清单所列产品，在技术、服务同等的条件下，应当优先采用清单中的节能产品；</w:t>
      </w:r>
    </w:p>
    <w:p w14:paraId="1478D576">
      <w:pPr>
        <w:spacing w:line="360" w:lineRule="auto"/>
        <w:ind w:firstLine="480" w:firstLineChars="200"/>
        <w:rPr>
          <w:rFonts w:ascii="宋体" w:hAnsi="宋体"/>
          <w:sz w:val="24"/>
          <w:szCs w:val="24"/>
        </w:rPr>
      </w:pPr>
      <w:r>
        <w:rPr>
          <w:rFonts w:hint="eastAsia" w:ascii="宋体" w:hAnsi="宋体"/>
          <w:sz w:val="24"/>
          <w:szCs w:val="24"/>
        </w:rPr>
        <w:t>②所投产品为“环境标志产品政府采购清单”所列产品，在性能、技术、服务等指标同等的条件下，应当优先采用；</w:t>
      </w:r>
    </w:p>
    <w:p w14:paraId="156B087C">
      <w:pPr>
        <w:spacing w:line="360" w:lineRule="auto"/>
        <w:ind w:firstLine="480" w:firstLineChars="200"/>
        <w:rPr>
          <w:rFonts w:ascii="宋体" w:hAnsi="宋体"/>
          <w:sz w:val="24"/>
          <w:szCs w:val="24"/>
        </w:rPr>
      </w:pPr>
      <w:r>
        <w:rPr>
          <w:rFonts w:hint="eastAsia" w:ascii="宋体" w:hAnsi="宋体"/>
          <w:sz w:val="24"/>
          <w:szCs w:val="24"/>
        </w:rPr>
        <w:t>③节能产品根据《国务院办公厅关于建立政府强制采购节能产品制度的通知》国办发</w:t>
      </w:r>
      <w:r>
        <w:rPr>
          <w:rFonts w:hint="eastAsia" w:ascii="宋体" w:hAnsi="宋体"/>
          <w:sz w:val="24"/>
          <w:szCs w:val="24"/>
          <w:lang w:eastAsia="zh-CN"/>
        </w:rPr>
        <w:t>〔</w:t>
      </w:r>
      <w:r>
        <w:rPr>
          <w:rFonts w:hint="eastAsia" w:ascii="宋体" w:hAnsi="宋体"/>
          <w:sz w:val="24"/>
          <w:szCs w:val="24"/>
        </w:rPr>
        <w:t>2007</w:t>
      </w:r>
      <w:r>
        <w:rPr>
          <w:rFonts w:hint="eastAsia" w:ascii="宋体" w:hAnsi="宋体"/>
          <w:sz w:val="24"/>
          <w:szCs w:val="24"/>
          <w:lang w:eastAsia="zh-CN"/>
        </w:rPr>
        <w:t>〕</w:t>
      </w:r>
      <w:r>
        <w:rPr>
          <w:rFonts w:hint="eastAsia" w:ascii="宋体" w:hAnsi="宋体"/>
          <w:sz w:val="24"/>
          <w:szCs w:val="24"/>
        </w:rPr>
        <w:t>51号的规定，以中国政府采购网（http://www.ccgp.gov.cn/）公布的最新一期节能产品政府采购清单为准；</w:t>
      </w:r>
    </w:p>
    <w:p w14:paraId="3B6ACB01">
      <w:pPr>
        <w:spacing w:line="360" w:lineRule="auto"/>
        <w:ind w:firstLine="480" w:firstLineChars="200"/>
        <w:rPr>
          <w:rFonts w:ascii="宋体" w:hAnsi="宋体"/>
          <w:sz w:val="24"/>
          <w:szCs w:val="24"/>
        </w:rPr>
      </w:pPr>
      <w:r>
        <w:rPr>
          <w:rFonts w:hint="eastAsia" w:ascii="宋体" w:hAnsi="宋体"/>
          <w:sz w:val="24"/>
          <w:szCs w:val="24"/>
        </w:rPr>
        <w:t>④环境标志产品根据《环境标志产品政府采购实施的意见》（财库</w:t>
      </w:r>
      <w:r>
        <w:rPr>
          <w:rFonts w:hint="eastAsia" w:ascii="宋体" w:hAnsi="宋体"/>
          <w:sz w:val="24"/>
          <w:szCs w:val="24"/>
          <w:lang w:eastAsia="zh-CN"/>
        </w:rPr>
        <w:t>〔2006〕90号</w:t>
      </w:r>
      <w:r>
        <w:rPr>
          <w:rFonts w:hint="eastAsia" w:ascii="宋体" w:hAnsi="宋体"/>
          <w:sz w:val="24"/>
          <w:szCs w:val="24"/>
        </w:rPr>
        <w:t>）的规定，以中国政府采购网（http://www.ccgp.gov.cn/）公布的最新一期环境标志产品政府采购清单为准；</w:t>
      </w:r>
    </w:p>
    <w:p w14:paraId="709A73A2">
      <w:pPr>
        <w:spacing w:line="360" w:lineRule="auto"/>
        <w:ind w:firstLine="480" w:firstLineChars="200"/>
        <w:rPr>
          <w:rFonts w:ascii="宋体" w:hAnsi="宋体"/>
          <w:sz w:val="24"/>
          <w:szCs w:val="24"/>
        </w:rPr>
      </w:pPr>
      <w:r>
        <w:rPr>
          <w:rFonts w:hint="eastAsia" w:ascii="宋体" w:hAnsi="宋体"/>
          <w:sz w:val="24"/>
          <w:szCs w:val="24"/>
        </w:rPr>
        <w:t>⑤若节能、环保、环境标志清单内的产品仅是构成投标产品的部件、组件或零件的，则该投标产品不享受鼓励优惠政策；</w:t>
      </w:r>
    </w:p>
    <w:p w14:paraId="3ED98F83">
      <w:pPr>
        <w:ind w:firstLine="480" w:firstLineChars="200"/>
        <w:rPr>
          <w:rFonts w:ascii="Calibri" w:hAnsi="Calibri"/>
        </w:rPr>
      </w:pPr>
      <w:r>
        <w:rPr>
          <w:rFonts w:hint="eastAsia" w:ascii="宋体" w:hAnsi="宋体"/>
          <w:sz w:val="24"/>
          <w:szCs w:val="24"/>
        </w:rPr>
        <w:t>（</w:t>
      </w:r>
      <w:r>
        <w:rPr>
          <w:rFonts w:hint="eastAsia" w:ascii="宋体" w:hAnsi="宋体"/>
          <w:sz w:val="24"/>
          <w:szCs w:val="24"/>
          <w:lang w:val="en-US" w:eastAsia="zh-CN"/>
        </w:rPr>
        <w:t>7</w:t>
      </w:r>
      <w:r>
        <w:rPr>
          <w:rFonts w:hint="eastAsia" w:ascii="宋体" w:hAnsi="宋体"/>
          <w:sz w:val="24"/>
          <w:szCs w:val="24"/>
        </w:rPr>
        <w:t>）</w:t>
      </w:r>
      <w:r>
        <w:rPr>
          <w:rFonts w:ascii="宋体" w:hAnsi="宋体"/>
          <w:sz w:val="24"/>
          <w:szCs w:val="24"/>
        </w:rPr>
        <w:t>关于信用记录的查询和使用</w:t>
      </w:r>
    </w:p>
    <w:p w14:paraId="4637528B">
      <w:pPr>
        <w:spacing w:line="360" w:lineRule="auto"/>
        <w:ind w:firstLine="480" w:firstLineChars="200"/>
        <w:rPr>
          <w:rFonts w:ascii="宋体" w:hAnsi="宋体"/>
          <w:sz w:val="24"/>
          <w:szCs w:val="24"/>
        </w:rPr>
      </w:pPr>
      <w:r>
        <w:rPr>
          <w:rFonts w:hint="eastAsia" w:ascii="宋体" w:hAnsi="宋体"/>
          <w:sz w:val="24"/>
          <w:szCs w:val="24"/>
        </w:rPr>
        <w:t>1</w:t>
      </w:r>
      <w:r>
        <w:rPr>
          <w:rFonts w:hint="eastAsia" w:ascii="宋体" w:hAnsi="宋体"/>
          <w:sz w:val="24"/>
          <w:szCs w:val="24"/>
          <w:lang w:eastAsia="zh-CN"/>
        </w:rPr>
        <w:t>.</w:t>
      </w:r>
      <w:r>
        <w:rPr>
          <w:rFonts w:hint="eastAsia" w:ascii="宋体" w:hAnsi="宋体"/>
          <w:sz w:val="24"/>
          <w:szCs w:val="24"/>
        </w:rPr>
        <w:t>在</w:t>
      </w:r>
      <w:r>
        <w:rPr>
          <w:rFonts w:ascii="宋体" w:hAnsi="宋体"/>
          <w:sz w:val="24"/>
          <w:szCs w:val="24"/>
        </w:rPr>
        <w:t>资格审查</w:t>
      </w:r>
      <w:r>
        <w:rPr>
          <w:rFonts w:hint="eastAsia" w:ascii="宋体" w:hAnsi="宋体"/>
          <w:sz w:val="24"/>
          <w:szCs w:val="24"/>
        </w:rPr>
        <w:t>阶段通过【</w:t>
      </w:r>
      <w:r>
        <w:fldChar w:fldCharType="begin"/>
      </w:r>
      <w:r>
        <w:instrText xml:space="preserve"> HYPERLINK "http://www.creditchina.gov.cn" </w:instrText>
      </w:r>
      <w:r>
        <w:fldChar w:fldCharType="separate"/>
      </w:r>
      <w:r>
        <w:rPr>
          <w:rFonts w:hint="eastAsia" w:ascii="宋体" w:hAnsi="宋体"/>
          <w:sz w:val="24"/>
          <w:szCs w:val="24"/>
        </w:rPr>
        <w:t>信用中国</w:t>
      </w:r>
      <w:r>
        <w:rPr>
          <w:rFonts w:hint="eastAsia" w:ascii="宋体" w:hAnsi="宋体"/>
          <w:sz w:val="24"/>
          <w:szCs w:val="24"/>
        </w:rPr>
        <w:fldChar w:fldCharType="end"/>
      </w:r>
      <w:r>
        <w:rPr>
          <w:rFonts w:hint="eastAsia" w:ascii="宋体" w:hAnsi="宋体"/>
          <w:sz w:val="24"/>
          <w:szCs w:val="24"/>
        </w:rPr>
        <w:t>（www.creditchina.gov.cn）】、【</w:t>
      </w:r>
      <w:r>
        <w:fldChar w:fldCharType="begin"/>
      </w:r>
      <w:r>
        <w:instrText xml:space="preserve"> HYPERLINK "http://www.ccgp.gov.cn/cr/list" </w:instrText>
      </w:r>
      <w:r>
        <w:fldChar w:fldCharType="separate"/>
      </w:r>
      <w:r>
        <w:rPr>
          <w:rFonts w:hint="eastAsia" w:ascii="宋体" w:hAnsi="宋体"/>
          <w:sz w:val="24"/>
          <w:szCs w:val="24"/>
        </w:rPr>
        <w:t>中国政府采购网</w:t>
      </w:r>
      <w:r>
        <w:rPr>
          <w:rFonts w:hint="eastAsia" w:ascii="宋体" w:hAnsi="宋体"/>
          <w:sz w:val="24"/>
          <w:szCs w:val="24"/>
        </w:rPr>
        <w:fldChar w:fldCharType="end"/>
      </w:r>
      <w:r>
        <w:rPr>
          <w:rFonts w:hint="eastAsia" w:ascii="宋体" w:hAnsi="宋体"/>
          <w:sz w:val="24"/>
          <w:szCs w:val="24"/>
        </w:rPr>
        <w:t>（www.ccgp.gov.cn）】网站对响应文件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1B80B84B">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lang w:eastAsia="zh-CN"/>
        </w:rPr>
        <w:t>.</w:t>
      </w:r>
      <w:r>
        <w:rPr>
          <w:rFonts w:hint="eastAsia" w:ascii="宋体" w:hAnsi="宋体"/>
          <w:sz w:val="24"/>
          <w:szCs w:val="24"/>
        </w:rPr>
        <w:t>投标人在参加政府采购活动前3年内因违法经营被禁止在一定期限内参加政府采购活动，期限届满的，可以参加政府采购活动的，但投标人应提供相关证明材料；</w:t>
      </w:r>
    </w:p>
    <w:p w14:paraId="556C417A">
      <w:pPr>
        <w:spacing w:line="360" w:lineRule="auto"/>
        <w:ind w:firstLine="480" w:firstLineChars="200"/>
        <w:rPr>
          <w:rFonts w:hint="eastAsia" w:ascii="宋体" w:hAnsi="宋体"/>
          <w:sz w:val="24"/>
          <w:szCs w:val="24"/>
        </w:rPr>
      </w:pPr>
      <w:r>
        <w:rPr>
          <w:rFonts w:ascii="宋体" w:hAnsi="宋体"/>
          <w:sz w:val="24"/>
          <w:szCs w:val="24"/>
        </w:rPr>
        <w:t>3</w:t>
      </w:r>
      <w:r>
        <w:rPr>
          <w:rFonts w:hint="eastAsia" w:ascii="宋体" w:hAnsi="宋体"/>
          <w:sz w:val="24"/>
          <w:szCs w:val="24"/>
          <w:lang w:eastAsia="zh-CN"/>
        </w:rPr>
        <w:t>.</w:t>
      </w:r>
      <w:r>
        <w:rPr>
          <w:rFonts w:ascii="宋体" w:hAnsi="宋体"/>
          <w:sz w:val="24"/>
          <w:szCs w:val="24"/>
        </w:rPr>
        <w:t>信用记录查询的截止时点为“</w:t>
      </w:r>
      <w:r>
        <w:rPr>
          <w:rFonts w:hint="eastAsia" w:ascii="宋体" w:hAnsi="宋体"/>
          <w:sz w:val="24"/>
          <w:szCs w:val="24"/>
          <w:lang w:val="en-US" w:eastAsia="zh-CN"/>
        </w:rPr>
        <w:t>磋商</w:t>
      </w:r>
      <w:r>
        <w:rPr>
          <w:rFonts w:hint="eastAsia" w:ascii="宋体" w:hAnsi="宋体"/>
          <w:sz w:val="24"/>
          <w:szCs w:val="24"/>
        </w:rPr>
        <w:t>文件</w:t>
      </w:r>
      <w:r>
        <w:rPr>
          <w:rFonts w:hint="eastAsia" w:ascii="宋体" w:hAnsi="宋体"/>
          <w:sz w:val="24"/>
          <w:szCs w:val="24"/>
          <w:lang w:val="en-US" w:eastAsia="zh-CN"/>
        </w:rPr>
        <w:t>获取</w:t>
      </w:r>
      <w:r>
        <w:rPr>
          <w:rFonts w:hint="eastAsia" w:ascii="宋体" w:hAnsi="宋体"/>
          <w:sz w:val="24"/>
          <w:szCs w:val="24"/>
        </w:rPr>
        <w:t>之日起至投标截止日前</w:t>
      </w:r>
      <w:r>
        <w:rPr>
          <w:rFonts w:ascii="宋体" w:hAnsi="宋体"/>
          <w:sz w:val="24"/>
          <w:szCs w:val="24"/>
        </w:rPr>
        <w:t>”。</w:t>
      </w:r>
      <w:r>
        <w:rPr>
          <w:rFonts w:hint="eastAsia" w:ascii="宋体" w:hAnsi="宋体"/>
          <w:sz w:val="24"/>
          <w:szCs w:val="24"/>
        </w:rPr>
        <w:t>信用记录查询的结果，将以纸质截图或将截图保存至电子介质的形式留存。投标人未如实填报《投标人书面声明函》的，视为“投标人提供虚假材料谋取中标、成交的”行为。</w:t>
      </w:r>
    </w:p>
    <w:p w14:paraId="780A8172">
      <w:pPr>
        <w:spacing w:line="360" w:lineRule="auto"/>
        <w:ind w:firstLine="480" w:firstLineChars="200"/>
        <w:rPr>
          <w:rFonts w:hint="eastAsia" w:ascii="宋体" w:hAnsi="宋体"/>
          <w:sz w:val="24"/>
          <w:szCs w:val="24"/>
          <w:lang w:val="zh-CN"/>
        </w:rPr>
      </w:pPr>
      <w:r>
        <w:rPr>
          <w:rFonts w:hint="eastAsia" w:ascii="宋体" w:hAnsi="宋体"/>
          <w:sz w:val="24"/>
          <w:szCs w:val="24"/>
          <w:lang w:val="zh-CN"/>
        </w:rPr>
        <w:t>（</w:t>
      </w:r>
      <w:r>
        <w:rPr>
          <w:rFonts w:hint="eastAsia" w:ascii="宋体" w:hAnsi="宋体"/>
          <w:sz w:val="24"/>
          <w:szCs w:val="24"/>
          <w:lang w:val="en-US" w:eastAsia="zh-CN"/>
        </w:rPr>
        <w:t>8</w:t>
      </w:r>
      <w:r>
        <w:rPr>
          <w:rFonts w:hint="eastAsia" w:ascii="宋体" w:hAnsi="宋体"/>
          <w:sz w:val="24"/>
          <w:szCs w:val="24"/>
          <w:lang w:val="zh-CN"/>
        </w:rPr>
        <w:t>）融资政策</w:t>
      </w:r>
    </w:p>
    <w:p w14:paraId="7E6FE395">
      <w:pPr>
        <w:spacing w:line="360" w:lineRule="auto"/>
        <w:ind w:firstLine="480" w:firstLineChars="200"/>
        <w:rPr>
          <w:rFonts w:hint="eastAsia" w:ascii="宋体" w:hAnsi="宋体"/>
          <w:sz w:val="24"/>
          <w:szCs w:val="24"/>
          <w:lang w:val="zh-CN"/>
        </w:rPr>
      </w:pPr>
      <w:r>
        <w:rPr>
          <w:rFonts w:hint="eastAsia" w:ascii="宋体" w:hAnsi="宋体"/>
          <w:sz w:val="24"/>
          <w:szCs w:val="24"/>
          <w:lang w:val="zh-CN"/>
        </w:rPr>
        <w:t>根据《陕西省财政厅关于加快推进我省中小企业政府采购信用融资工作的通知》（陕财办采</w:t>
      </w:r>
      <w:r>
        <w:rPr>
          <w:rFonts w:hint="eastAsia" w:ascii="宋体" w:hAnsi="宋体"/>
          <w:sz w:val="24"/>
          <w:szCs w:val="24"/>
        </w:rPr>
        <w:t>〔</w:t>
      </w:r>
      <w:r>
        <w:rPr>
          <w:rFonts w:hint="eastAsia" w:ascii="宋体" w:hAnsi="宋体"/>
          <w:sz w:val="24"/>
          <w:szCs w:val="24"/>
          <w:lang w:val="zh-CN"/>
        </w:rPr>
        <w:t>2020</w:t>
      </w:r>
      <w:r>
        <w:rPr>
          <w:rFonts w:hint="eastAsia" w:ascii="宋体" w:hAnsi="宋体"/>
          <w:sz w:val="24"/>
          <w:szCs w:val="24"/>
        </w:rPr>
        <w:t>〕</w:t>
      </w:r>
      <w:r>
        <w:rPr>
          <w:rFonts w:hint="eastAsia" w:ascii="宋体" w:hAnsi="宋体"/>
          <w:sz w:val="24"/>
          <w:szCs w:val="24"/>
          <w:lang w:val="zh-CN"/>
        </w:rPr>
        <w:t>15号）文件精神，有融资需求的</w:t>
      </w:r>
      <w:r>
        <w:rPr>
          <w:rFonts w:hint="eastAsia" w:ascii="宋体" w:hAnsi="宋体"/>
          <w:sz w:val="24"/>
          <w:szCs w:val="24"/>
        </w:rPr>
        <w:t>中标（成交）人</w:t>
      </w:r>
      <w:r>
        <w:rPr>
          <w:rFonts w:hint="eastAsia" w:ascii="宋体" w:hAnsi="宋体"/>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http://www.ccgp-shaanxi.gov.cn/zcdservice/zcd/shanxi/s</w:t>
      </w:r>
    </w:p>
    <w:p w14:paraId="081A9525">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6.</w:t>
      </w:r>
      <w:r>
        <w:rPr>
          <w:rFonts w:hint="eastAsia" w:ascii="宋体" w:hAnsi="宋体" w:eastAsia="宋体" w:cs="宋体"/>
          <w:b/>
          <w:bCs/>
          <w:sz w:val="24"/>
          <w:szCs w:val="24"/>
        </w:rPr>
        <w:t>费用承担</w:t>
      </w:r>
    </w:p>
    <w:p w14:paraId="5A735A79">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供应商准备和参加磋商活动发生的费用自理。</w:t>
      </w:r>
    </w:p>
    <w:p w14:paraId="786B7B2E">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7.</w:t>
      </w:r>
      <w:r>
        <w:rPr>
          <w:rFonts w:hint="eastAsia" w:ascii="宋体" w:hAnsi="宋体" w:eastAsia="宋体" w:cs="宋体"/>
          <w:b/>
          <w:bCs/>
          <w:sz w:val="24"/>
          <w:szCs w:val="24"/>
        </w:rPr>
        <w:t>保密</w:t>
      </w:r>
    </w:p>
    <w:p w14:paraId="3E29CBC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参与磋商活动的各方应对磋商文件和响应文件的商业和技术等秘密保密，违者应对由此造成的后果承担法律责任。</w:t>
      </w:r>
    </w:p>
    <w:p w14:paraId="5DC30FDA">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8.</w:t>
      </w:r>
      <w:r>
        <w:rPr>
          <w:rFonts w:hint="eastAsia" w:ascii="宋体" w:hAnsi="宋体" w:eastAsia="宋体" w:cs="宋体"/>
          <w:b/>
          <w:bCs/>
          <w:sz w:val="24"/>
          <w:szCs w:val="24"/>
        </w:rPr>
        <w:t>语言文字</w:t>
      </w:r>
    </w:p>
    <w:p w14:paraId="50CD65C9">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除专用术语外，与磋商文件有关的语言均使用中文；必要时专用术语应附有中文注释。</w:t>
      </w:r>
    </w:p>
    <w:p w14:paraId="6378A0B7">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9.</w:t>
      </w:r>
      <w:r>
        <w:rPr>
          <w:rFonts w:hint="eastAsia" w:ascii="宋体" w:hAnsi="宋体" w:eastAsia="宋体" w:cs="宋体"/>
          <w:b/>
          <w:bCs/>
          <w:sz w:val="24"/>
          <w:szCs w:val="24"/>
        </w:rPr>
        <w:t>计量单位</w:t>
      </w:r>
    </w:p>
    <w:p w14:paraId="0C8F635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所有计量均采用中华人民共和国法定计量单位。</w:t>
      </w:r>
    </w:p>
    <w:p w14:paraId="4CEB95F7">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10.</w:t>
      </w:r>
      <w:r>
        <w:rPr>
          <w:rFonts w:hint="eastAsia" w:ascii="宋体" w:hAnsi="宋体" w:eastAsia="宋体" w:cs="宋体"/>
          <w:b/>
          <w:bCs/>
          <w:sz w:val="24"/>
          <w:szCs w:val="24"/>
        </w:rPr>
        <w:t>踏勘现场</w:t>
      </w:r>
    </w:p>
    <w:p w14:paraId="6239220F">
      <w:pPr>
        <w:pStyle w:val="17"/>
        <w:pageBreakBefore w:val="0"/>
        <w:wordWrap/>
        <w:topLinePunct w:val="0"/>
        <w:autoSpaceDE/>
        <w:autoSpaceDN/>
        <w:bidi w:val="0"/>
        <w:spacing w:line="336"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自行勘察，未勘察现场造成的一切后果由投标人自行承担。（一切费用自理）。</w:t>
      </w:r>
    </w:p>
    <w:p w14:paraId="45691E63">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11.</w:t>
      </w:r>
      <w:r>
        <w:rPr>
          <w:rFonts w:hint="eastAsia" w:ascii="宋体" w:hAnsi="宋体" w:eastAsia="宋体" w:cs="宋体"/>
          <w:b/>
          <w:bCs/>
          <w:sz w:val="24"/>
          <w:szCs w:val="24"/>
        </w:rPr>
        <w:t>偏离</w:t>
      </w:r>
    </w:p>
    <w:p w14:paraId="72313EF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除供应商须知前附表另有规定外，供应商递交的响应文件不允许严重负偏离。</w:t>
      </w:r>
    </w:p>
    <w:p w14:paraId="1EA0F751">
      <w:pPr>
        <w:pageBreakBefore w:val="0"/>
        <w:widowControl/>
        <w:numPr>
          <w:ilvl w:val="0"/>
          <w:numId w:val="4"/>
        </w:numPr>
        <w:wordWrap/>
        <w:topLinePunct w:val="0"/>
        <w:autoSpaceDE/>
        <w:autoSpaceDN/>
        <w:bidi w:val="0"/>
        <w:spacing w:line="336" w:lineRule="auto"/>
        <w:ind w:left="420" w:leftChars="0" w:firstLine="482" w:firstLineChars="0"/>
        <w:jc w:val="center"/>
        <w:textAlignment w:val="auto"/>
        <w:outlineLvl w:val="1"/>
        <w:rPr>
          <w:rFonts w:hint="eastAsia" w:ascii="宋体" w:hAnsi="宋体" w:eastAsia="宋体" w:cs="宋体"/>
          <w:b/>
          <w:bCs/>
          <w:kern w:val="0"/>
          <w:sz w:val="24"/>
          <w:szCs w:val="24"/>
        </w:rPr>
      </w:pPr>
      <w:bookmarkStart w:id="34" w:name="_Toc3976"/>
      <w:bookmarkStart w:id="35" w:name="_Toc536202380"/>
      <w:bookmarkStart w:id="36" w:name="_Toc19543337"/>
      <w:bookmarkStart w:id="37" w:name="_Toc536429373"/>
      <w:bookmarkStart w:id="38" w:name="_Toc536202288"/>
      <w:bookmarkStart w:id="39" w:name="_Toc536429320"/>
      <w:r>
        <w:rPr>
          <w:rFonts w:hint="eastAsia" w:ascii="宋体" w:hAnsi="宋体" w:eastAsia="宋体" w:cs="宋体"/>
          <w:b/>
          <w:bCs/>
          <w:kern w:val="0"/>
          <w:sz w:val="24"/>
          <w:szCs w:val="24"/>
        </w:rPr>
        <w:t>竞争性磋商文件</w:t>
      </w:r>
      <w:bookmarkEnd w:id="34"/>
      <w:bookmarkEnd w:id="35"/>
      <w:bookmarkEnd w:id="36"/>
      <w:bookmarkEnd w:id="37"/>
      <w:bookmarkEnd w:id="38"/>
      <w:bookmarkEnd w:id="39"/>
    </w:p>
    <w:p w14:paraId="0D540783">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sz w:val="24"/>
          <w:szCs w:val="24"/>
        </w:rPr>
      </w:pPr>
      <w:bookmarkStart w:id="40" w:name="_Toc5801"/>
      <w:bookmarkStart w:id="41" w:name="_Toc536202289"/>
      <w:r>
        <w:rPr>
          <w:rFonts w:hint="default" w:ascii="宋体" w:hAnsi="宋体" w:eastAsia="宋体" w:cs="宋体"/>
          <w:b/>
          <w:bCs/>
          <w:kern w:val="2"/>
          <w:sz w:val="24"/>
          <w:szCs w:val="24"/>
          <w:lang w:val="en-US" w:eastAsia="zh-CN" w:bidi="ar-SA"/>
        </w:rPr>
        <w:t>1</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竞争性磋商文件的构成</w:t>
      </w:r>
      <w:bookmarkEnd w:id="40"/>
      <w:bookmarkEnd w:id="41"/>
    </w:p>
    <w:p w14:paraId="6977ABCD">
      <w:pPr>
        <w:pageBreakBefore w:val="0"/>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3152F80E">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竞争性磋商公告；</w:t>
      </w:r>
    </w:p>
    <w:p w14:paraId="1043103F">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供应商须知前附表；</w:t>
      </w:r>
    </w:p>
    <w:p w14:paraId="3FFBCA74">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供应商须知；</w:t>
      </w:r>
    </w:p>
    <w:p w14:paraId="655D3608">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评分标准；</w:t>
      </w:r>
    </w:p>
    <w:p w14:paraId="4C81162C">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采购要求；</w:t>
      </w:r>
    </w:p>
    <w:p w14:paraId="5B419D52">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合同条款；</w:t>
      </w:r>
    </w:p>
    <w:p w14:paraId="028700A5">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响应文件格式。</w:t>
      </w:r>
    </w:p>
    <w:p w14:paraId="04006580">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sz w:val="24"/>
          <w:szCs w:val="24"/>
        </w:rPr>
      </w:pPr>
      <w:bookmarkStart w:id="42" w:name="_Toc536202290"/>
      <w:r>
        <w:rPr>
          <w:rFonts w:hint="default" w:ascii="宋体" w:hAnsi="宋体" w:eastAsia="宋体" w:cs="宋体"/>
          <w:b/>
          <w:bCs/>
          <w:kern w:val="2"/>
          <w:sz w:val="24"/>
          <w:szCs w:val="24"/>
          <w:lang w:val="en-US" w:eastAsia="zh-CN" w:bidi="ar-SA"/>
        </w:rPr>
        <w:t>2</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磋商文件的检查及阅读</w:t>
      </w:r>
      <w:bookmarkEnd w:id="42"/>
    </w:p>
    <w:p w14:paraId="02583B9F">
      <w:pPr>
        <w:pageBreakBefore w:val="0"/>
        <w:tabs>
          <w:tab w:val="left" w:pos="0"/>
        </w:tabs>
        <w:wordWrap/>
        <w:topLinePunct w:val="0"/>
        <w:autoSpaceDE/>
        <w:autoSpaceDN/>
        <w:bidi w:val="0"/>
        <w:adjustRightInd w:val="0"/>
        <w:snapToGrid w:val="0"/>
        <w:spacing w:line="336" w:lineRule="auto"/>
        <w:ind w:firstLine="600" w:firstLineChars="250"/>
        <w:jc w:val="left"/>
        <w:textAlignment w:val="auto"/>
        <w:rPr>
          <w:rFonts w:hint="eastAsia" w:ascii="宋体" w:hAnsi="宋体" w:eastAsia="宋体" w:cs="宋体"/>
          <w:sz w:val="24"/>
          <w:szCs w:val="24"/>
        </w:rPr>
      </w:pPr>
      <w:r>
        <w:rPr>
          <w:rFonts w:hint="eastAsia" w:ascii="宋体" w:hAnsi="宋体" w:eastAsia="宋体" w:cs="宋体"/>
          <w:sz w:val="24"/>
          <w:szCs w:val="24"/>
        </w:rPr>
        <w:t>供应商应认真阅读和充分理解竞争性磋商文件中所有的事项、格式条款和规范要求。供应商没有对竞争性磋商文件全面做出实质性响应是供应商的风险。没有按照竞争性磋商文件要求作出实质性响应的响应文件应作</w:t>
      </w:r>
      <w:r>
        <w:rPr>
          <w:rFonts w:hint="eastAsia" w:ascii="宋体" w:hAnsi="宋体" w:cs="宋体"/>
          <w:sz w:val="24"/>
          <w:szCs w:val="24"/>
          <w:lang w:val="en-US" w:eastAsia="zh-CN"/>
        </w:rPr>
        <w:t>无效投标</w:t>
      </w:r>
      <w:r>
        <w:rPr>
          <w:rFonts w:hint="eastAsia" w:ascii="宋体" w:hAnsi="宋体" w:eastAsia="宋体" w:cs="宋体"/>
          <w:sz w:val="24"/>
          <w:szCs w:val="24"/>
        </w:rPr>
        <w:t>处理。</w:t>
      </w:r>
    </w:p>
    <w:p w14:paraId="453DBFBF">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3" w:name="_Toc536202292"/>
      <w:r>
        <w:rPr>
          <w:rFonts w:hint="default" w:ascii="宋体" w:hAnsi="宋体" w:eastAsia="宋体" w:cs="宋体"/>
          <w:b/>
          <w:bCs/>
          <w:color w:val="000000" w:themeColor="text1"/>
          <w:kern w:val="2"/>
          <w:sz w:val="24"/>
          <w:szCs w:val="24"/>
          <w:lang w:val="en-US" w:eastAsia="zh-CN" w:bidi="ar-SA"/>
          <w14:textFill>
            <w14:solidFill>
              <w14:schemeClr w14:val="tx1"/>
            </w14:solidFill>
          </w14:textFill>
        </w:rPr>
        <w:t>3</w:t>
      </w:r>
      <w:r>
        <w:rPr>
          <w:rFonts w:hint="eastAsia" w:ascii="宋体" w:hAnsi="宋体" w:cs="宋体"/>
          <w:b/>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现场踏勘</w:t>
      </w:r>
      <w:bookmarkEnd w:id="43"/>
    </w:p>
    <w:p w14:paraId="091FC069">
      <w:pPr>
        <w:pageBreakBefore w:val="0"/>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asciiTheme="minorEastAsia" w:hAnsiTheme="minorEastAsia" w:eastAsiaTheme="minorEastAsia"/>
          <w:sz w:val="24"/>
          <w:szCs w:val="24"/>
        </w:rPr>
        <w:t>自行勘察，未勘察现场造成的一切后果由投标人自行承担。（一切费用自理）。</w:t>
      </w:r>
    </w:p>
    <w:p w14:paraId="14588984">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sz w:val="24"/>
          <w:szCs w:val="24"/>
        </w:rPr>
      </w:pPr>
      <w:bookmarkStart w:id="44" w:name="_Toc536202293"/>
      <w:bookmarkStart w:id="45" w:name="_Toc19797"/>
      <w:r>
        <w:rPr>
          <w:rFonts w:hint="default" w:ascii="宋体" w:hAnsi="宋体" w:eastAsia="宋体" w:cs="宋体"/>
          <w:b/>
          <w:bCs/>
          <w:kern w:val="2"/>
          <w:sz w:val="24"/>
          <w:szCs w:val="24"/>
          <w:lang w:val="en-US" w:eastAsia="zh-CN" w:bidi="ar-SA"/>
        </w:rPr>
        <w:t>4</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竞争性磋商文件的澄清</w:t>
      </w:r>
      <w:bookmarkEnd w:id="44"/>
      <w:bookmarkEnd w:id="45"/>
    </w:p>
    <w:p w14:paraId="05FE12B8">
      <w:pPr>
        <w:pageBreakBefore w:val="0"/>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4.1供应商应认真阅读和充分理解竞争性磋商文件中所有的事项，如有问题或</w:t>
      </w:r>
      <w:r>
        <w:rPr>
          <w:rFonts w:hint="eastAsia" w:ascii="宋体" w:hAnsi="宋体" w:cs="宋体"/>
          <w:sz w:val="24"/>
          <w:szCs w:val="24"/>
          <w:lang w:eastAsia="zh-CN"/>
        </w:rPr>
        <w:t>异议</w:t>
      </w:r>
      <w:r>
        <w:rPr>
          <w:rFonts w:hint="eastAsia" w:ascii="宋体" w:hAnsi="宋体" w:eastAsia="宋体" w:cs="宋体"/>
          <w:sz w:val="24"/>
          <w:szCs w:val="24"/>
        </w:rPr>
        <w:t>请及时函告。否则，视为同意竞争性磋商文件的一切条款和要求并承担由此引起的一切法律责任。凡因供应商对竞争性磋商文件阅读不深、理解不透、误解、疏漏</w:t>
      </w:r>
      <w:r>
        <w:rPr>
          <w:rFonts w:hint="eastAsia" w:ascii="宋体" w:hAnsi="宋体" w:cs="宋体"/>
          <w:sz w:val="24"/>
          <w:szCs w:val="24"/>
          <w:lang w:eastAsia="zh-CN"/>
        </w:rPr>
        <w:t>或</w:t>
      </w:r>
      <w:r>
        <w:rPr>
          <w:rFonts w:hint="eastAsia" w:ascii="宋体" w:hAnsi="宋体" w:eastAsia="宋体" w:cs="宋体"/>
          <w:sz w:val="24"/>
          <w:szCs w:val="24"/>
        </w:rPr>
        <w:t>因市场行情了解不清造成的后果和风险均由供应商自负。</w:t>
      </w:r>
    </w:p>
    <w:p w14:paraId="183933A4">
      <w:pPr>
        <w:pageBreakBefore w:val="0"/>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4.2响应人若对磋商文件有任何疑问要求澄清，或认为有必要与采购人进行技术交流的，响应人在收到采购文件之日或者采购文件公告期限届满之日七个工作日内，以书面形式向招标代理机构提出</w:t>
      </w:r>
      <w:r>
        <w:rPr>
          <w:rFonts w:hint="eastAsia" w:ascii="宋体" w:hAnsi="宋体" w:eastAsia="宋体" w:cs="宋体"/>
          <w:sz w:val="24"/>
          <w:szCs w:val="24"/>
          <w:lang w:eastAsia="zh-CN"/>
        </w:rPr>
        <w:t>。采购代理机构将视情况确定采用适当方式予以澄清或以书面形式予以答复，涉及变更或修正内容在政府采购发布媒体上发布变更公告。在此之后提出的询问或者质疑均为无效，采购代理机构不予受理。</w:t>
      </w:r>
    </w:p>
    <w:p w14:paraId="0E8D403F">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4.3</w:t>
      </w:r>
      <w:r>
        <w:rPr>
          <w:rFonts w:hint="eastAsia" w:ascii="宋体" w:hAnsi="宋体" w:eastAsia="宋体" w:cs="宋体"/>
          <w:sz w:val="24"/>
          <w:szCs w:val="24"/>
        </w:rPr>
        <w:t>对于在规定时间内收到的投标人依法提出的询问或者质疑，采购代理机构将按程序及时</w:t>
      </w:r>
      <w:r>
        <w:rPr>
          <w:rFonts w:hint="eastAsia" w:ascii="宋体" w:hAnsi="宋体" w:cs="宋体"/>
          <w:sz w:val="24"/>
          <w:szCs w:val="24"/>
          <w:lang w:eastAsia="zh-CN"/>
        </w:rPr>
        <w:t>作出</w:t>
      </w:r>
      <w:r>
        <w:rPr>
          <w:rFonts w:hint="eastAsia" w:ascii="宋体" w:hAnsi="宋体" w:eastAsia="宋体" w:cs="宋体"/>
          <w:sz w:val="24"/>
          <w:szCs w:val="24"/>
        </w:rPr>
        <w:t>答复，若对</w:t>
      </w:r>
      <w:r>
        <w:rPr>
          <w:rFonts w:hint="eastAsia" w:ascii="宋体" w:hAnsi="宋体" w:cs="宋体"/>
          <w:sz w:val="24"/>
          <w:szCs w:val="24"/>
          <w:lang w:val="en-US" w:eastAsia="zh-CN"/>
        </w:rPr>
        <w:t>磋商</w:t>
      </w:r>
      <w:r>
        <w:rPr>
          <w:rFonts w:hint="eastAsia" w:ascii="宋体" w:hAnsi="宋体" w:eastAsia="宋体" w:cs="宋体"/>
          <w:sz w:val="24"/>
          <w:szCs w:val="24"/>
        </w:rPr>
        <w:t>文件做出实质性变动，则按照相关规定延长投标截止时间。</w:t>
      </w:r>
    </w:p>
    <w:p w14:paraId="2E97F75F">
      <w:pPr>
        <w:pStyle w:val="13"/>
        <w:pageBreakBefore w:val="0"/>
        <w:wordWrap/>
        <w:topLinePunct w:val="0"/>
        <w:autoSpaceDE/>
        <w:autoSpaceDN/>
        <w:bidi w:val="0"/>
        <w:spacing w:line="336"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4.4</w:t>
      </w:r>
      <w:r>
        <w:rPr>
          <w:rFonts w:hint="eastAsia" w:ascii="宋体" w:hAnsi="宋体" w:eastAsia="宋体" w:cs="宋体"/>
          <w:sz w:val="24"/>
          <w:szCs w:val="24"/>
        </w:rPr>
        <w:t>投标人提出质疑应当有明确的请求和必要的证明材料。</w:t>
      </w:r>
    </w:p>
    <w:p w14:paraId="2EC8A6A4">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sz w:val="24"/>
          <w:szCs w:val="24"/>
        </w:rPr>
      </w:pPr>
      <w:bookmarkStart w:id="46" w:name="_Toc536202294"/>
      <w:bookmarkStart w:id="47" w:name="_Toc6390"/>
      <w:r>
        <w:rPr>
          <w:rFonts w:hint="default" w:ascii="宋体" w:hAnsi="宋体" w:eastAsia="宋体" w:cs="宋体"/>
          <w:b/>
          <w:bCs/>
          <w:kern w:val="2"/>
          <w:sz w:val="24"/>
          <w:szCs w:val="24"/>
          <w:lang w:val="en-US" w:eastAsia="zh-CN" w:bidi="ar-SA"/>
        </w:rPr>
        <w:t>5</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竞争性磋商文件的修改</w:t>
      </w:r>
      <w:bookmarkEnd w:id="46"/>
      <w:bookmarkEnd w:id="47"/>
    </w:p>
    <w:p w14:paraId="16D9626A">
      <w:pPr>
        <w:keepNext w:val="0"/>
        <w:keepLines w:val="0"/>
        <w:pageBreakBefore w:val="0"/>
        <w:widowControl w:val="0"/>
        <w:kinsoku/>
        <w:wordWrap/>
        <w:overflowPunct w:val="0"/>
        <w:topLinePunct w:val="0"/>
        <w:autoSpaceDE/>
        <w:autoSpaceDN/>
        <w:bidi w:val="0"/>
        <w:adjustRightInd w:val="0"/>
        <w:snapToGrid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5.1 在磋商截止时间五日前，无论出于何种原因，代理机构可主动或在解答供应商提出的澄清问题时，对竞争性磋商文件进行修改</w:t>
      </w:r>
      <w:r>
        <w:rPr>
          <w:rFonts w:hint="eastAsia" w:ascii="宋体" w:hAnsi="宋体" w:eastAsia="宋体" w:cs="宋体"/>
          <w:sz w:val="24"/>
          <w:szCs w:val="24"/>
          <w:lang w:eastAsia="zh-CN"/>
        </w:rPr>
        <w:t>，</w:t>
      </w:r>
      <w:r>
        <w:rPr>
          <w:rFonts w:hint="eastAsia" w:ascii="宋体" w:hAnsi="宋体" w:eastAsia="宋体" w:cs="宋体"/>
          <w:sz w:val="24"/>
          <w:szCs w:val="24"/>
        </w:rPr>
        <w:t>不足</w:t>
      </w:r>
      <w:r>
        <w:rPr>
          <w:rFonts w:hint="eastAsia" w:ascii="宋体" w:hAnsi="宋体" w:eastAsia="宋体" w:cs="宋体"/>
          <w:sz w:val="24"/>
          <w:szCs w:val="24"/>
          <w:lang w:val="en-US" w:eastAsia="zh-CN"/>
        </w:rPr>
        <w:t>5</w:t>
      </w:r>
      <w:r>
        <w:rPr>
          <w:rFonts w:hint="eastAsia" w:ascii="宋体" w:hAnsi="宋体" w:eastAsia="宋体" w:cs="宋体"/>
          <w:sz w:val="24"/>
          <w:szCs w:val="24"/>
        </w:rPr>
        <w:t>日的，顺延提交</w:t>
      </w:r>
      <w:r>
        <w:rPr>
          <w:rFonts w:hint="eastAsia" w:ascii="宋体" w:hAnsi="宋体" w:eastAsia="宋体" w:cs="宋体"/>
          <w:sz w:val="24"/>
          <w:szCs w:val="24"/>
          <w:lang w:eastAsia="zh-CN"/>
        </w:rPr>
        <w:t>响应</w:t>
      </w:r>
      <w:r>
        <w:rPr>
          <w:rFonts w:hint="eastAsia" w:ascii="宋体" w:hAnsi="宋体" w:eastAsia="宋体" w:cs="宋体"/>
          <w:sz w:val="24"/>
          <w:szCs w:val="24"/>
        </w:rPr>
        <w:t>文件的截止时间</w:t>
      </w:r>
      <w:r>
        <w:rPr>
          <w:rFonts w:hint="eastAsia" w:ascii="宋体" w:hAnsi="宋体" w:eastAsia="宋体" w:cs="宋体"/>
          <w:sz w:val="24"/>
          <w:szCs w:val="24"/>
          <w:lang w:eastAsia="zh-CN"/>
        </w:rPr>
        <w:t>，并</w:t>
      </w:r>
      <w:r>
        <w:rPr>
          <w:rFonts w:hint="eastAsia" w:ascii="宋体" w:hAnsi="宋体" w:eastAsia="宋体" w:cs="宋体"/>
          <w:sz w:val="24"/>
          <w:szCs w:val="24"/>
        </w:rPr>
        <w:t>在发布</w:t>
      </w:r>
      <w:r>
        <w:rPr>
          <w:rFonts w:hint="eastAsia" w:ascii="宋体" w:hAnsi="宋体" w:eastAsia="宋体" w:cs="宋体"/>
          <w:sz w:val="24"/>
          <w:szCs w:val="24"/>
          <w:lang w:eastAsia="zh-CN"/>
        </w:rPr>
        <w:t>磋商</w:t>
      </w:r>
      <w:r>
        <w:rPr>
          <w:rFonts w:hint="eastAsia" w:ascii="宋体" w:hAnsi="宋体" w:eastAsia="宋体" w:cs="宋体"/>
          <w:sz w:val="24"/>
          <w:szCs w:val="24"/>
        </w:rPr>
        <w:t>公告的财政部门指定媒体上由采购代理机构发布变更公告。该澄清或者修改的内容为</w:t>
      </w:r>
      <w:r>
        <w:rPr>
          <w:rFonts w:hint="eastAsia" w:ascii="宋体" w:hAnsi="宋体" w:cs="宋体"/>
          <w:sz w:val="24"/>
          <w:szCs w:val="24"/>
          <w:lang w:val="en-US" w:eastAsia="zh-CN"/>
        </w:rPr>
        <w:t>磋商</w:t>
      </w:r>
      <w:r>
        <w:rPr>
          <w:rFonts w:hint="eastAsia" w:ascii="宋体" w:hAnsi="宋体" w:eastAsia="宋体" w:cs="宋体"/>
          <w:sz w:val="24"/>
          <w:szCs w:val="24"/>
        </w:rPr>
        <w:t>文件的组成部分。</w:t>
      </w:r>
    </w:p>
    <w:p w14:paraId="56F1722E">
      <w:pPr>
        <w:keepNext w:val="0"/>
        <w:keepLines w:val="0"/>
        <w:pageBreakBefore w:val="0"/>
        <w:widowControl w:val="0"/>
        <w:kinsoku/>
        <w:wordWrap/>
        <w:overflowPunct w:val="0"/>
        <w:topLinePunct w:val="0"/>
        <w:autoSpaceDE/>
        <w:autoSpaceDN/>
        <w:bidi w:val="0"/>
        <w:adjustRightInd w:val="0"/>
        <w:snapToGrid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w:t>
      </w:r>
      <w:r>
        <w:rPr>
          <w:rFonts w:hint="eastAsia" w:ascii="宋体" w:hAnsi="宋体" w:cs="宋体"/>
          <w:sz w:val="24"/>
          <w:szCs w:val="24"/>
          <w:lang w:val="en-US" w:eastAsia="zh-CN"/>
        </w:rPr>
        <w:t>磋商</w:t>
      </w:r>
      <w:r>
        <w:rPr>
          <w:rFonts w:hint="eastAsia" w:ascii="宋体" w:hAnsi="宋体" w:eastAsia="宋体" w:cs="宋体"/>
          <w:sz w:val="24"/>
          <w:szCs w:val="24"/>
        </w:rPr>
        <w:t>文件的修改书将构成</w:t>
      </w:r>
      <w:r>
        <w:rPr>
          <w:rFonts w:hint="eastAsia" w:ascii="宋体" w:hAnsi="宋体" w:cs="宋体"/>
          <w:sz w:val="24"/>
          <w:szCs w:val="24"/>
          <w:lang w:val="en-US" w:eastAsia="zh-CN"/>
        </w:rPr>
        <w:t>磋商</w:t>
      </w:r>
      <w:r>
        <w:rPr>
          <w:rFonts w:hint="eastAsia" w:ascii="宋体" w:hAnsi="宋体" w:eastAsia="宋体" w:cs="宋体"/>
          <w:sz w:val="24"/>
          <w:szCs w:val="24"/>
        </w:rPr>
        <w:t>文件的一部分，对采购人和投标人都具有约束力。</w:t>
      </w:r>
    </w:p>
    <w:p w14:paraId="29CDF691">
      <w:pPr>
        <w:keepNext w:val="0"/>
        <w:keepLines w:val="0"/>
        <w:pageBreakBefore w:val="0"/>
        <w:widowControl w:val="0"/>
        <w:kinsoku/>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5.3</w:t>
      </w:r>
      <w:r>
        <w:rPr>
          <w:rFonts w:hint="eastAsia" w:ascii="宋体" w:hAnsi="宋体" w:eastAsia="宋体" w:cs="宋体"/>
          <w:sz w:val="24"/>
          <w:szCs w:val="24"/>
        </w:rPr>
        <w:t>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sz w:val="24"/>
          <w:szCs w:val="24"/>
          <w:lang w:val="en-US" w:eastAsia="zh-CN"/>
        </w:rPr>
        <w:t>获取</w:t>
      </w:r>
      <w:r>
        <w:rPr>
          <w:rFonts w:hint="eastAsia" w:ascii="宋体" w:hAnsi="宋体" w:eastAsia="宋体" w:cs="宋体"/>
          <w:sz w:val="24"/>
          <w:szCs w:val="24"/>
          <w:lang w:eastAsia="zh-CN"/>
        </w:rPr>
        <w:t>磋商</w:t>
      </w:r>
      <w:r>
        <w:rPr>
          <w:rFonts w:hint="eastAsia" w:ascii="宋体" w:hAnsi="宋体" w:eastAsia="宋体" w:cs="宋体"/>
          <w:sz w:val="24"/>
          <w:szCs w:val="24"/>
        </w:rPr>
        <w:t>文件的单位。</w:t>
      </w:r>
    </w:p>
    <w:p w14:paraId="6BDAF203">
      <w:pPr>
        <w:pStyle w:val="4"/>
        <w:pageBreakBefore w:val="0"/>
        <w:numPr>
          <w:ilvl w:val="0"/>
          <w:numId w:val="0"/>
        </w:numPr>
        <w:wordWrap/>
        <w:topLinePunct w:val="0"/>
        <w:autoSpaceDE/>
        <w:autoSpaceDN/>
        <w:bidi w:val="0"/>
        <w:spacing w:line="336" w:lineRule="auto"/>
        <w:ind w:firstLine="420" w:firstLineChars="0"/>
        <w:textAlignment w:val="auto"/>
        <w:rPr>
          <w:rFonts w:hint="eastAsia" w:ascii="宋体" w:hAnsi="宋体" w:eastAsia="宋体" w:cs="宋体"/>
          <w:sz w:val="24"/>
          <w:szCs w:val="24"/>
        </w:rPr>
      </w:pPr>
      <w:bookmarkStart w:id="48" w:name="_Toc31188"/>
      <w:bookmarkStart w:id="49" w:name="_Toc536202295"/>
      <w:r>
        <w:rPr>
          <w:rFonts w:hint="default" w:ascii="宋体" w:hAnsi="宋体" w:eastAsia="宋体" w:cs="宋体"/>
          <w:b/>
          <w:bCs/>
          <w:kern w:val="2"/>
          <w:sz w:val="24"/>
          <w:szCs w:val="24"/>
          <w:lang w:val="en-US" w:eastAsia="zh-CN" w:bidi="ar-SA"/>
        </w:rPr>
        <w:t>6</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质疑</w:t>
      </w:r>
    </w:p>
    <w:p w14:paraId="54B8F7E1">
      <w:pPr>
        <w:pStyle w:val="4"/>
        <w:pageBreakBefore w:val="0"/>
        <w:wordWrap/>
        <w:topLinePunct w:val="0"/>
        <w:autoSpaceDE/>
        <w:autoSpaceDN/>
        <w:bidi w:val="0"/>
        <w:spacing w:line="336" w:lineRule="auto"/>
        <w:ind w:firstLine="480" w:firstLineChars="200"/>
        <w:textAlignment w:val="auto"/>
        <w:rPr>
          <w:rFonts w:hint="eastAsia" w:ascii="宋体" w:hAnsi="宋体" w:eastAsia="宋体" w:cs="宋体"/>
          <w:b w:val="0"/>
          <w:sz w:val="24"/>
          <w:szCs w:val="24"/>
        </w:rPr>
      </w:pPr>
      <w:r>
        <w:rPr>
          <w:rFonts w:hint="eastAsia" w:ascii="宋体" w:hAnsi="宋体" w:eastAsia="宋体" w:cs="宋体"/>
          <w:b w:val="0"/>
          <w:sz w:val="24"/>
          <w:szCs w:val="24"/>
        </w:rPr>
        <w:t>供应商认为磋商文件、</w:t>
      </w:r>
      <w:r>
        <w:rPr>
          <w:rFonts w:hint="eastAsia" w:ascii="宋体" w:hAnsi="宋体" w:cs="宋体"/>
          <w:b w:val="0"/>
          <w:sz w:val="24"/>
          <w:szCs w:val="24"/>
          <w:lang w:eastAsia="zh-CN"/>
        </w:rPr>
        <w:t>磋</w:t>
      </w:r>
      <w:r>
        <w:rPr>
          <w:rFonts w:hint="eastAsia" w:ascii="宋体" w:hAnsi="宋体" w:eastAsia="宋体" w:cs="宋体"/>
          <w:b w:val="0"/>
          <w:sz w:val="24"/>
          <w:szCs w:val="24"/>
        </w:rPr>
        <w:t>过程和中标</w:t>
      </w:r>
      <w:r>
        <w:rPr>
          <w:rFonts w:hint="eastAsia" w:ascii="宋体" w:hAnsi="宋体" w:cs="宋体"/>
          <w:b w:val="0"/>
          <w:sz w:val="24"/>
          <w:szCs w:val="24"/>
          <w:lang w:eastAsia="zh-CN"/>
        </w:rPr>
        <w:t>（</w:t>
      </w:r>
      <w:r>
        <w:rPr>
          <w:rFonts w:hint="eastAsia" w:ascii="宋体" w:hAnsi="宋体" w:cs="宋体"/>
          <w:b w:val="0"/>
          <w:sz w:val="24"/>
          <w:szCs w:val="24"/>
          <w:lang w:val="en-US" w:eastAsia="zh-CN"/>
        </w:rPr>
        <w:t>成交</w:t>
      </w:r>
      <w:r>
        <w:rPr>
          <w:rFonts w:hint="eastAsia" w:ascii="宋体" w:hAnsi="宋体" w:cs="宋体"/>
          <w:b w:val="0"/>
          <w:sz w:val="24"/>
          <w:szCs w:val="24"/>
          <w:lang w:eastAsia="zh-CN"/>
        </w:rPr>
        <w:t>）</w:t>
      </w:r>
      <w:r>
        <w:rPr>
          <w:rFonts w:hint="eastAsia" w:ascii="宋体" w:hAnsi="宋体" w:eastAsia="宋体" w:cs="宋体"/>
          <w:b w:val="0"/>
          <w:sz w:val="24"/>
          <w:szCs w:val="24"/>
        </w:rPr>
        <w:t>结果使自己的权益受到损害的，可以</w:t>
      </w:r>
      <w:r>
        <w:rPr>
          <w:rFonts w:hint="eastAsia" w:ascii="宋体" w:hAnsi="宋体" w:cs="宋体"/>
          <w:b w:val="0"/>
          <w:sz w:val="24"/>
          <w:szCs w:val="24"/>
          <w:lang w:eastAsia="zh-CN"/>
        </w:rPr>
        <w:t>按照</w:t>
      </w:r>
      <w:r>
        <w:rPr>
          <w:rFonts w:hint="eastAsia" w:ascii="宋体" w:hAnsi="宋体" w:eastAsia="宋体" w:cs="宋体"/>
          <w:b w:val="0"/>
          <w:sz w:val="24"/>
          <w:szCs w:val="24"/>
        </w:rPr>
        <w:t>《</w:t>
      </w:r>
      <w:r>
        <w:rPr>
          <w:rFonts w:hint="eastAsia" w:ascii="宋体" w:hAnsi="宋体" w:cs="宋体"/>
          <w:b w:val="0"/>
          <w:sz w:val="24"/>
          <w:szCs w:val="24"/>
          <w:lang w:eastAsia="zh-CN"/>
        </w:rPr>
        <w:t>中华人民共和国政府采购法</w:t>
      </w:r>
      <w:r>
        <w:rPr>
          <w:rFonts w:hint="eastAsia" w:ascii="宋体" w:hAnsi="宋体" w:eastAsia="宋体" w:cs="宋体"/>
          <w:b w:val="0"/>
          <w:sz w:val="24"/>
          <w:szCs w:val="24"/>
        </w:rPr>
        <w:t>》</w:t>
      </w:r>
      <w:r>
        <w:rPr>
          <w:rFonts w:hint="eastAsia" w:ascii="宋体" w:hAnsi="宋体" w:cs="宋体"/>
          <w:b w:val="0"/>
          <w:sz w:val="24"/>
          <w:szCs w:val="24"/>
          <w:lang w:eastAsia="zh-CN"/>
        </w:rPr>
        <w:t>第五十二条</w:t>
      </w:r>
      <w:r>
        <w:rPr>
          <w:rFonts w:hint="eastAsia" w:ascii="宋体" w:hAnsi="宋体" w:eastAsia="宋体" w:cs="宋体"/>
          <w:b w:val="0"/>
          <w:sz w:val="24"/>
          <w:szCs w:val="24"/>
        </w:rPr>
        <w:t>执行。</w:t>
      </w:r>
    </w:p>
    <w:p w14:paraId="31F5D661">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default" w:ascii="宋体" w:hAnsi="宋体" w:eastAsia="宋体" w:cs="宋体"/>
          <w:b/>
          <w:bCs/>
          <w:color w:val="000000" w:themeColor="text1"/>
          <w:kern w:val="2"/>
          <w:sz w:val="24"/>
          <w:szCs w:val="24"/>
          <w:lang w:val="en-US" w:eastAsia="zh-CN" w:bidi="ar-SA"/>
          <w14:textFill>
            <w14:solidFill>
              <w14:schemeClr w14:val="tx1"/>
            </w14:solidFill>
          </w14:textFill>
        </w:rPr>
        <w:t>7</w:t>
      </w:r>
      <w:r>
        <w:rPr>
          <w:rFonts w:hint="eastAsia" w:ascii="宋体" w:hAnsi="宋体" w:cs="宋体"/>
          <w:b/>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竞争性磋商文件的获取</w:t>
      </w:r>
      <w:bookmarkEnd w:id="48"/>
      <w:bookmarkEnd w:id="49"/>
    </w:p>
    <w:p w14:paraId="3AD07C49">
      <w:pPr>
        <w:pageBreakBefore w:val="0"/>
        <w:widowControl/>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供应商必须从</w:t>
      </w:r>
      <w:r>
        <w:rPr>
          <w:rFonts w:hint="eastAsia" w:ascii="宋体" w:hAnsi="宋体" w:eastAsia="宋体" w:cs="宋体"/>
          <w:color w:val="auto"/>
          <w:kern w:val="0"/>
          <w:sz w:val="24"/>
          <w:szCs w:val="24"/>
        </w:rPr>
        <w:t>全国公共资源交易中心平台（陕西省 安康市）</w:t>
      </w:r>
      <w:r>
        <w:rPr>
          <w:rFonts w:hint="eastAsia" w:ascii="宋体" w:hAnsi="宋体" w:cs="宋体"/>
          <w:color w:val="000000" w:themeColor="text1"/>
          <w:sz w:val="24"/>
          <w:szCs w:val="24"/>
          <w:lang w:val="en-US" w:eastAsia="zh-CN"/>
          <w14:textFill>
            <w14:solidFill>
              <w14:schemeClr w14:val="tx1"/>
            </w14:solidFill>
          </w14:textFill>
        </w:rPr>
        <w:t>下载获取</w:t>
      </w:r>
      <w:r>
        <w:rPr>
          <w:rFonts w:hint="eastAsia" w:ascii="宋体" w:hAnsi="宋体" w:eastAsia="宋体" w:cs="宋体"/>
          <w:color w:val="000000" w:themeColor="text1"/>
          <w:sz w:val="24"/>
          <w:szCs w:val="24"/>
          <w14:textFill>
            <w14:solidFill>
              <w14:schemeClr w14:val="tx1"/>
            </w14:solidFill>
          </w14:textFill>
        </w:rPr>
        <w:t>竞争性磋商文件，供应商自行转让或复制竞争性磋商文件视为无效。</w:t>
      </w:r>
    </w:p>
    <w:p w14:paraId="71CD394D">
      <w:pPr>
        <w:pStyle w:val="13"/>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bookmarkStart w:id="50" w:name="_Toc536202296"/>
      <w:bookmarkStart w:id="51" w:name="_Toc5095"/>
      <w:r>
        <w:rPr>
          <w:rFonts w:hint="eastAsia" w:ascii="宋体" w:hAnsi="宋体" w:eastAsia="宋体" w:cs="宋体"/>
          <w:sz w:val="24"/>
          <w:szCs w:val="24"/>
        </w:rPr>
        <w:t>8</w:t>
      </w:r>
      <w:r>
        <w:rPr>
          <w:rFonts w:hint="eastAsia" w:ascii="宋体" w:hAnsi="宋体" w:cs="宋体"/>
          <w:sz w:val="24"/>
          <w:szCs w:val="24"/>
          <w:lang w:val="en-US" w:eastAsia="zh-CN"/>
        </w:rPr>
        <w:t>.</w:t>
      </w:r>
      <w:r>
        <w:rPr>
          <w:rFonts w:hint="eastAsia" w:ascii="宋体" w:hAnsi="宋体" w:eastAsia="宋体" w:cs="宋体"/>
          <w:b/>
          <w:bCs/>
          <w:sz w:val="24"/>
          <w:szCs w:val="24"/>
        </w:rPr>
        <w:t>竞争性磋商文件的解释权归代理机构</w:t>
      </w:r>
      <w:bookmarkEnd w:id="50"/>
      <w:bookmarkEnd w:id="51"/>
      <w:r>
        <w:rPr>
          <w:rFonts w:hint="eastAsia" w:ascii="宋体" w:hAnsi="宋体" w:eastAsia="宋体" w:cs="宋体"/>
          <w:sz w:val="24"/>
          <w:szCs w:val="24"/>
        </w:rPr>
        <w:t>（ 如发现</w:t>
      </w:r>
      <w:r>
        <w:rPr>
          <w:rFonts w:hint="eastAsia" w:ascii="宋体" w:hAnsi="宋体" w:cs="宋体"/>
          <w:sz w:val="24"/>
          <w:szCs w:val="24"/>
          <w:lang w:val="en-US" w:eastAsia="zh-CN"/>
        </w:rPr>
        <w:t>磋商</w:t>
      </w:r>
      <w:r>
        <w:rPr>
          <w:rFonts w:hint="eastAsia" w:ascii="宋体" w:hAnsi="宋体" w:eastAsia="宋体" w:cs="宋体"/>
          <w:sz w:val="24"/>
          <w:szCs w:val="24"/>
        </w:rPr>
        <w:t>文件内容与现行法律法规不相符的情况，以现行法律法规为准</w:t>
      </w:r>
      <w:r>
        <w:rPr>
          <w:rFonts w:hint="eastAsia" w:ascii="宋体" w:hAnsi="宋体" w:cs="宋体"/>
          <w:sz w:val="24"/>
          <w:szCs w:val="24"/>
          <w:lang w:eastAsia="zh-CN"/>
        </w:rPr>
        <w:t>）</w:t>
      </w:r>
    </w:p>
    <w:p w14:paraId="2D0F4840">
      <w:pPr>
        <w:pageBreakBefore w:val="0"/>
        <w:widowControl/>
        <w:numPr>
          <w:ilvl w:val="0"/>
          <w:numId w:val="4"/>
        </w:numPr>
        <w:wordWrap/>
        <w:topLinePunct w:val="0"/>
        <w:autoSpaceDE/>
        <w:autoSpaceDN/>
        <w:bidi w:val="0"/>
        <w:spacing w:line="336" w:lineRule="auto"/>
        <w:ind w:left="420" w:leftChars="0" w:firstLine="482" w:firstLineChars="0"/>
        <w:jc w:val="center"/>
        <w:textAlignment w:val="auto"/>
        <w:outlineLvl w:val="1"/>
        <w:rPr>
          <w:rFonts w:hint="eastAsia" w:ascii="宋体" w:hAnsi="宋体" w:eastAsia="宋体" w:cs="宋体"/>
          <w:b/>
          <w:bCs/>
          <w:kern w:val="0"/>
          <w:sz w:val="24"/>
          <w:szCs w:val="24"/>
        </w:rPr>
      </w:pPr>
      <w:bookmarkStart w:id="52" w:name="_Toc536429374"/>
      <w:bookmarkStart w:id="53" w:name="_Toc536202381"/>
      <w:bookmarkStart w:id="54" w:name="_Toc19543338"/>
      <w:bookmarkStart w:id="55" w:name="_Toc536429321"/>
      <w:bookmarkStart w:id="56" w:name="_Toc622"/>
      <w:bookmarkStart w:id="57" w:name="_Toc536202297"/>
      <w:r>
        <w:rPr>
          <w:rFonts w:hint="eastAsia" w:ascii="宋体" w:hAnsi="宋体" w:eastAsia="宋体" w:cs="宋体"/>
          <w:b/>
          <w:bCs/>
          <w:kern w:val="0"/>
          <w:sz w:val="24"/>
          <w:szCs w:val="24"/>
        </w:rPr>
        <w:t>响应文件</w:t>
      </w:r>
      <w:bookmarkEnd w:id="52"/>
      <w:bookmarkEnd w:id="53"/>
      <w:bookmarkEnd w:id="54"/>
      <w:bookmarkEnd w:id="55"/>
      <w:bookmarkEnd w:id="56"/>
      <w:bookmarkEnd w:id="57"/>
    </w:p>
    <w:p w14:paraId="143B41DC">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sz w:val="24"/>
          <w:szCs w:val="24"/>
        </w:rPr>
      </w:pPr>
      <w:r>
        <w:rPr>
          <w:rFonts w:hint="default" w:ascii="宋体" w:hAnsi="宋体" w:eastAsia="宋体" w:cs="宋体"/>
          <w:b/>
          <w:bCs/>
          <w:kern w:val="2"/>
          <w:sz w:val="24"/>
          <w:szCs w:val="24"/>
          <w:lang w:val="en-US" w:eastAsia="zh-CN" w:bidi="ar-SA"/>
        </w:rPr>
        <w:t>1</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响应文件编制的原则</w:t>
      </w:r>
    </w:p>
    <w:p w14:paraId="187C4E48">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bCs/>
          <w:kern w:val="0"/>
          <w:sz w:val="24"/>
          <w:szCs w:val="24"/>
        </w:rPr>
      </w:pPr>
      <w:r>
        <w:rPr>
          <w:rFonts w:hint="eastAsia" w:ascii="宋体" w:hAnsi="宋体" w:cs="宋体"/>
          <w:bCs/>
          <w:kern w:val="0"/>
          <w:sz w:val="24"/>
          <w:szCs w:val="24"/>
          <w:lang w:val="en-US" w:eastAsia="zh-CN"/>
        </w:rPr>
        <w:t>1.1</w:t>
      </w:r>
      <w:r>
        <w:rPr>
          <w:rFonts w:hint="eastAsia" w:ascii="宋体" w:hAnsi="宋体" w:eastAsia="宋体" w:cs="宋体"/>
          <w:bCs/>
          <w:kern w:val="0"/>
          <w:sz w:val="24"/>
          <w:szCs w:val="24"/>
        </w:rPr>
        <w:t>投标人应在认真阅读磋商文件所有内容的基础上，按照磋商文件的要求编制完整的响应文件。磋商文件中对响应文件格式有要求的，应按格式编制并逐项填写内容。</w:t>
      </w:r>
      <w:r>
        <w:rPr>
          <w:rFonts w:hint="eastAsia" w:ascii="宋体" w:hAnsi="宋体"/>
          <w:sz w:val="24"/>
          <w:szCs w:val="24"/>
          <w:lang w:val="en-US" w:eastAsia="zh-CN"/>
        </w:rPr>
        <w:t>响应</w:t>
      </w:r>
      <w:r>
        <w:rPr>
          <w:rFonts w:hint="eastAsia" w:ascii="宋体" w:hAnsi="宋体" w:eastAsia="宋体" w:cs="宋体"/>
          <w:bCs/>
          <w:kern w:val="0"/>
          <w:sz w:val="24"/>
          <w:szCs w:val="24"/>
        </w:rPr>
        <w:t>文件中留有空项的或没有按格式制作的，将被视为不完整响应的</w:t>
      </w:r>
      <w:r>
        <w:rPr>
          <w:rFonts w:hint="eastAsia" w:ascii="宋体" w:hAnsi="宋体"/>
          <w:sz w:val="24"/>
          <w:szCs w:val="24"/>
          <w:lang w:val="en-US" w:eastAsia="zh-CN"/>
        </w:rPr>
        <w:t>响应</w:t>
      </w:r>
      <w:r>
        <w:rPr>
          <w:rFonts w:hint="eastAsia" w:ascii="宋体" w:hAnsi="宋体" w:eastAsia="宋体" w:cs="宋体"/>
          <w:bCs/>
          <w:kern w:val="0"/>
          <w:sz w:val="24"/>
          <w:szCs w:val="24"/>
        </w:rPr>
        <w:t xml:space="preserve">文件，其投标将有可能被拒绝。 </w:t>
      </w:r>
    </w:p>
    <w:p w14:paraId="70B6611A">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bCs/>
          <w:kern w:val="0"/>
          <w:sz w:val="24"/>
          <w:szCs w:val="24"/>
        </w:rPr>
      </w:pPr>
      <w:r>
        <w:rPr>
          <w:rFonts w:hint="eastAsia" w:ascii="宋体" w:hAnsi="宋体" w:cs="宋体"/>
          <w:bCs/>
          <w:kern w:val="0"/>
          <w:sz w:val="24"/>
          <w:szCs w:val="24"/>
          <w:lang w:val="en-US" w:eastAsia="zh-CN"/>
        </w:rPr>
        <w:t>1.2</w:t>
      </w:r>
      <w:r>
        <w:rPr>
          <w:rFonts w:hint="eastAsia" w:ascii="宋体" w:hAnsi="宋体" w:eastAsia="宋体" w:cs="宋体"/>
          <w:bCs/>
          <w:kern w:val="0"/>
          <w:sz w:val="24"/>
          <w:szCs w:val="24"/>
        </w:rPr>
        <w:t>投标人必须保证</w:t>
      </w:r>
      <w:r>
        <w:rPr>
          <w:rFonts w:hint="eastAsia" w:ascii="宋体" w:hAnsi="宋体"/>
          <w:sz w:val="24"/>
          <w:szCs w:val="24"/>
          <w:lang w:val="en-US" w:eastAsia="zh-CN"/>
        </w:rPr>
        <w:t>响应</w:t>
      </w:r>
      <w:r>
        <w:rPr>
          <w:rFonts w:hint="eastAsia" w:ascii="宋体" w:hAnsi="宋体" w:eastAsia="宋体" w:cs="宋体"/>
          <w:bCs/>
          <w:kern w:val="0"/>
          <w:sz w:val="24"/>
          <w:szCs w:val="24"/>
        </w:rPr>
        <w:t>文件所提供的全部资料真实可靠，并接受对其中任何资料进一步审查的要求。</w:t>
      </w:r>
    </w:p>
    <w:p w14:paraId="132B5FD1">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sz w:val="24"/>
          <w:szCs w:val="24"/>
        </w:rPr>
      </w:pPr>
      <w:r>
        <w:rPr>
          <w:rFonts w:hint="eastAsia" w:ascii="宋体" w:hAnsi="宋体" w:cs="宋体"/>
          <w:bCs/>
          <w:kern w:val="0"/>
          <w:sz w:val="24"/>
          <w:szCs w:val="24"/>
          <w:lang w:val="en-US" w:eastAsia="zh-CN"/>
        </w:rPr>
        <w:t>1.3</w:t>
      </w:r>
      <w:r>
        <w:rPr>
          <w:rFonts w:hint="eastAsia" w:ascii="宋体" w:hAnsi="宋体"/>
          <w:sz w:val="24"/>
          <w:szCs w:val="24"/>
          <w:lang w:val="en-US" w:eastAsia="zh-CN"/>
        </w:rPr>
        <w:t>响应</w:t>
      </w:r>
      <w:r>
        <w:rPr>
          <w:rFonts w:hint="eastAsia" w:ascii="宋体" w:hAnsi="宋体" w:eastAsia="宋体" w:cs="宋体"/>
          <w:bCs/>
          <w:kern w:val="0"/>
          <w:sz w:val="24"/>
          <w:szCs w:val="24"/>
        </w:rPr>
        <w:t>文件须对</w:t>
      </w:r>
      <w:r>
        <w:rPr>
          <w:rFonts w:hint="eastAsia" w:ascii="宋体" w:hAnsi="宋体" w:cs="宋体"/>
          <w:bCs/>
          <w:kern w:val="0"/>
          <w:sz w:val="24"/>
          <w:szCs w:val="24"/>
          <w:lang w:val="en-US" w:eastAsia="zh-CN"/>
        </w:rPr>
        <w:t>磋商</w:t>
      </w:r>
      <w:r>
        <w:rPr>
          <w:rFonts w:hint="eastAsia" w:ascii="宋体" w:hAnsi="宋体" w:eastAsia="宋体" w:cs="宋体"/>
          <w:bCs/>
          <w:kern w:val="0"/>
          <w:sz w:val="24"/>
          <w:szCs w:val="24"/>
        </w:rPr>
        <w:t>文件中的内容做出实质性和完整性的响应，否则其投标将被视为无效投标。</w:t>
      </w:r>
    </w:p>
    <w:p w14:paraId="64F67A48">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sz w:val="24"/>
          <w:szCs w:val="24"/>
        </w:rPr>
      </w:pPr>
      <w:r>
        <w:rPr>
          <w:rFonts w:hint="default" w:ascii="宋体" w:hAnsi="宋体" w:eastAsia="宋体" w:cs="宋体"/>
          <w:b/>
          <w:bCs/>
          <w:kern w:val="2"/>
          <w:sz w:val="24"/>
          <w:szCs w:val="24"/>
          <w:lang w:val="en-US" w:eastAsia="zh-CN" w:bidi="ar-SA"/>
        </w:rPr>
        <w:t>2</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响应文件构成</w:t>
      </w:r>
    </w:p>
    <w:p w14:paraId="30AE2024">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bCs/>
          <w:kern w:val="0"/>
          <w:sz w:val="24"/>
          <w:szCs w:val="24"/>
        </w:rPr>
      </w:pPr>
      <w:r>
        <w:rPr>
          <w:rFonts w:hint="eastAsia" w:ascii="宋体" w:hAnsi="宋体" w:eastAsia="宋体" w:cs="宋体"/>
          <w:bCs/>
          <w:kern w:val="0"/>
          <w:sz w:val="24"/>
          <w:szCs w:val="24"/>
        </w:rPr>
        <w:t>2.1文件的制作和签名</w:t>
      </w:r>
    </w:p>
    <w:p w14:paraId="09C794FA">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bCs/>
          <w:kern w:val="0"/>
          <w:sz w:val="24"/>
          <w:szCs w:val="24"/>
        </w:rPr>
      </w:pPr>
      <w:r>
        <w:rPr>
          <w:rFonts w:hint="eastAsia" w:ascii="宋体" w:hAnsi="宋体" w:eastAsia="宋体" w:cs="宋体"/>
          <w:bCs/>
          <w:kern w:val="0"/>
          <w:sz w:val="24"/>
          <w:szCs w:val="24"/>
        </w:rPr>
        <w:t>2.1.1电子投标文件（*.SXSTF）需要使用专用制作软件——“新点投标文件制作软件（陕西公共资源）”进行编制。软件下载地址及操作手册：见安康市公共资源交易平台〖首页〉服务指南〉下载专区〗中的《政府采购项目投标文件制作软件及操作手册》。</w:t>
      </w:r>
    </w:p>
    <w:p w14:paraId="34790590">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bCs/>
          <w:kern w:val="0"/>
          <w:sz w:val="24"/>
          <w:szCs w:val="24"/>
        </w:rPr>
      </w:pPr>
      <w:r>
        <w:rPr>
          <w:rFonts w:hint="eastAsia" w:ascii="宋体" w:hAnsi="宋体" w:eastAsia="宋体" w:cs="宋体"/>
          <w:bCs/>
          <w:kern w:val="0"/>
          <w:sz w:val="24"/>
          <w:szCs w:val="24"/>
        </w:rPr>
        <w:t>链接地址：</w:t>
      </w:r>
    </w:p>
    <w:p w14:paraId="68F9B7DA">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bCs/>
          <w:kern w:val="0"/>
          <w:sz w:val="24"/>
          <w:szCs w:val="24"/>
        </w:rPr>
      </w:pPr>
      <w:r>
        <w:rPr>
          <w:rFonts w:hint="eastAsia" w:ascii="宋体" w:hAnsi="宋体" w:eastAsia="宋体" w:cs="宋体"/>
          <w:bCs/>
          <w:kern w:val="0"/>
          <w:sz w:val="24"/>
          <w:szCs w:val="24"/>
        </w:rPr>
        <w:t>http://sxggzyjy.xa.gov.cn/fwzn/004003/20181115/4d59c184-e8f6-4d5a-a416-c2f6b0601e66.html。。</w:t>
      </w:r>
    </w:p>
    <w:p w14:paraId="7E2DAF2F">
      <w:pPr>
        <w:keepNext w:val="0"/>
        <w:keepLines w:val="0"/>
        <w:pageBreakBefore w:val="0"/>
        <w:widowControl w:val="0"/>
        <w:kinsoku/>
        <w:overflowPunct/>
        <w:topLinePunct w:val="0"/>
        <w:autoSpaceDE/>
        <w:autoSpaceDN/>
        <w:bidi w:val="0"/>
        <w:adjustRightInd/>
        <w:spacing w:line="360" w:lineRule="auto"/>
        <w:ind w:firstLine="480" w:firstLineChars="200"/>
        <w:textAlignment w:val="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2.1.2编制电子投标文件时，应使用最新发布的电子招标文件及专用制作工具进行编制。并使用数字认证证书（CA）对电子</w:t>
      </w:r>
      <w:r>
        <w:rPr>
          <w:rFonts w:hint="eastAsia" w:ascii="宋体" w:hAnsi="宋体"/>
          <w:sz w:val="24"/>
          <w:szCs w:val="24"/>
          <w:lang w:val="en-US" w:eastAsia="zh-CN"/>
        </w:rPr>
        <w:t>响应</w:t>
      </w:r>
      <w:r>
        <w:rPr>
          <w:rFonts w:hint="eastAsia" w:ascii="宋体" w:hAnsi="宋体" w:eastAsia="宋体"/>
          <w:color w:val="000000" w:themeColor="text1"/>
          <w:sz w:val="24"/>
          <w:highlight w:val="none"/>
          <w14:textFill>
            <w14:solidFill>
              <w14:schemeClr w14:val="tx1"/>
            </w14:solidFill>
          </w14:textFill>
        </w:rPr>
        <w:t>文件进行签署、加密、递交及开标时解密等相关操作。投标文件中需要加盖法定代表人私章的地方，请使用“法人CA”进行签章；需要加盖供应商公章的地方，请使用“企业 CA”进行盖章。加密和解密应当使用同一 CA，否则将会导致解密失败。因供应商自身原因</w:t>
      </w:r>
      <w:r>
        <w:rPr>
          <w:rFonts w:hint="eastAsia" w:ascii="宋体" w:hAnsi="宋体" w:eastAsia="宋体"/>
          <w:color w:val="000000" w:themeColor="text1"/>
          <w:sz w:val="24"/>
          <w:highlight w:val="none"/>
          <w:lang w:val="en-US" w:eastAsia="zh-CN"/>
          <w14:textFill>
            <w14:solidFill>
              <w14:schemeClr w14:val="tx1"/>
            </w14:solidFill>
          </w14:textFill>
        </w:rPr>
        <w:t>未</w:t>
      </w:r>
      <w:r>
        <w:rPr>
          <w:rFonts w:hint="eastAsia" w:ascii="宋体" w:hAnsi="宋体" w:eastAsia="宋体"/>
          <w:color w:val="000000" w:themeColor="text1"/>
          <w:sz w:val="24"/>
          <w:highlight w:val="none"/>
          <w14:textFill>
            <w14:solidFill>
              <w14:schemeClr w14:val="tx1"/>
            </w14:solidFill>
          </w14:textFill>
        </w:rPr>
        <w:t>使用最新发布的电子招标文件及专用制作工具进行编制，导致</w:t>
      </w:r>
      <w:r>
        <w:rPr>
          <w:rFonts w:hint="eastAsia" w:ascii="宋体" w:hAnsi="宋体" w:eastAsia="宋体"/>
          <w:color w:val="000000" w:themeColor="text1"/>
          <w:sz w:val="24"/>
          <w:highlight w:val="none"/>
          <w:lang w:val="en-US" w:eastAsia="zh-CN"/>
          <w14:textFill>
            <w14:solidFill>
              <w14:schemeClr w14:val="tx1"/>
            </w14:solidFill>
          </w14:textFill>
        </w:rPr>
        <w:t>电子文件上传失败</w:t>
      </w:r>
      <w:r>
        <w:rPr>
          <w:rFonts w:hint="eastAsia" w:ascii="宋体" w:hAnsi="宋体" w:eastAsia="宋体"/>
          <w:color w:val="000000" w:themeColor="text1"/>
          <w:sz w:val="24"/>
          <w:highlight w:val="none"/>
          <w:lang w:eastAsia="zh-CN"/>
          <w14:textFill>
            <w14:solidFill>
              <w14:schemeClr w14:val="tx1"/>
            </w14:solidFill>
          </w14:textFill>
        </w:rPr>
        <w:t>，</w:t>
      </w:r>
      <w:r>
        <w:rPr>
          <w:rFonts w:hint="eastAsia" w:ascii="宋体" w:hAnsi="宋体" w:eastAsia="宋体"/>
          <w:color w:val="000000" w:themeColor="text1"/>
          <w:sz w:val="24"/>
          <w:highlight w:val="none"/>
          <w:lang w:val="en-US" w:eastAsia="zh-CN"/>
          <w14:textFill>
            <w14:solidFill>
              <w14:schemeClr w14:val="tx1"/>
            </w14:solidFill>
          </w14:textFill>
        </w:rPr>
        <w:t>由供应商</w:t>
      </w:r>
      <w:r>
        <w:rPr>
          <w:rFonts w:hint="eastAsia" w:ascii="宋体" w:hAnsi="宋体" w:eastAsia="宋体"/>
          <w:color w:val="000000" w:themeColor="text1"/>
          <w:sz w:val="24"/>
          <w:highlight w:val="none"/>
          <w14:textFill>
            <w14:solidFill>
              <w14:schemeClr w14:val="tx1"/>
            </w14:solidFill>
          </w14:textFill>
        </w:rPr>
        <w:t>自行承担全部责任</w:t>
      </w:r>
      <w:r>
        <w:rPr>
          <w:rFonts w:hint="eastAsia" w:ascii="宋体" w:hAnsi="宋体" w:eastAsia="宋体"/>
          <w:color w:val="000000" w:themeColor="text1"/>
          <w:sz w:val="24"/>
          <w:highlight w:val="none"/>
          <w:lang w:val="en-US" w:eastAsia="zh-CN"/>
          <w14:textFill>
            <w14:solidFill>
              <w14:schemeClr w14:val="tx1"/>
            </w14:solidFill>
          </w14:textFill>
        </w:rPr>
        <w:t>。</w:t>
      </w:r>
    </w:p>
    <w:p w14:paraId="482B7B11">
      <w:pPr>
        <w:keepNext w:val="0"/>
        <w:keepLines w:val="0"/>
        <w:pageBreakBefore w:val="0"/>
        <w:widowControl w:val="0"/>
        <w:kinsoku/>
        <w:overflowPunct/>
        <w:topLinePunct w:val="0"/>
        <w:autoSpaceDE/>
        <w:autoSpaceDN/>
        <w:bidi w:val="0"/>
        <w:adjustRightInd/>
        <w:spacing w:line="360" w:lineRule="auto"/>
        <w:ind w:firstLine="480" w:firstLineChars="200"/>
        <w:textAlignment w:val="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2.3投标人应按照本须知响应文件构成和格式及第七部分提供的格式编写</w:t>
      </w:r>
      <w:r>
        <w:rPr>
          <w:rFonts w:hint="eastAsia" w:ascii="宋体" w:hAnsi="宋体"/>
          <w:sz w:val="24"/>
          <w:szCs w:val="24"/>
          <w:lang w:val="en-US" w:eastAsia="zh-CN"/>
        </w:rPr>
        <w:t>响应</w:t>
      </w:r>
      <w:r>
        <w:rPr>
          <w:rFonts w:hint="eastAsia" w:ascii="宋体" w:hAnsi="宋体" w:eastAsia="宋体"/>
          <w:color w:val="000000" w:themeColor="text1"/>
          <w:sz w:val="24"/>
          <w:highlight w:val="none"/>
          <w14:textFill>
            <w14:solidFill>
              <w14:schemeClr w14:val="tx1"/>
            </w14:solidFill>
          </w14:textFill>
        </w:rPr>
        <w:t>文件，不得缺少</w:t>
      </w:r>
      <w:r>
        <w:rPr>
          <w:rFonts w:hint="eastAsia" w:ascii="宋体" w:hAnsi="宋体"/>
          <w:color w:val="000000" w:themeColor="text1"/>
          <w:sz w:val="24"/>
          <w:highlight w:val="none"/>
          <w:lang w:val="en-US" w:eastAsia="zh-CN"/>
          <w14:textFill>
            <w14:solidFill>
              <w14:schemeClr w14:val="tx1"/>
            </w14:solidFill>
          </w14:textFill>
        </w:rPr>
        <w:t>磋商</w:t>
      </w:r>
      <w:r>
        <w:rPr>
          <w:rFonts w:hint="eastAsia" w:ascii="宋体" w:hAnsi="宋体" w:eastAsia="宋体"/>
          <w:color w:val="000000" w:themeColor="text1"/>
          <w:sz w:val="24"/>
          <w:highlight w:val="none"/>
          <w14:textFill>
            <w14:solidFill>
              <w14:schemeClr w14:val="tx1"/>
            </w14:solidFill>
          </w14:textFill>
        </w:rPr>
        <w:t>文件要求填写的表格或提交的资料。</w:t>
      </w:r>
    </w:p>
    <w:p w14:paraId="60D202ED">
      <w:pPr>
        <w:pStyle w:val="4"/>
        <w:keepNext w:val="0"/>
        <w:keepLines w:val="0"/>
        <w:pageBreakBefore w:val="0"/>
        <w:widowControl w:val="0"/>
        <w:numPr>
          <w:ilvl w:val="0"/>
          <w:numId w:val="0"/>
        </w:numPr>
        <w:kinsoku/>
        <w:wordWrap/>
        <w:overflowPunct/>
        <w:topLinePunct w:val="0"/>
        <w:autoSpaceDE/>
        <w:autoSpaceDN/>
        <w:bidi w:val="0"/>
        <w:adjustRightInd/>
        <w:spacing w:line="336" w:lineRule="auto"/>
        <w:ind w:firstLine="482" w:firstLineChars="200"/>
        <w:textAlignment w:val="auto"/>
        <w:rPr>
          <w:rFonts w:hint="eastAsia" w:ascii="宋体" w:hAnsi="宋体" w:eastAsia="宋体" w:cs="宋体"/>
          <w:sz w:val="24"/>
          <w:szCs w:val="24"/>
        </w:rPr>
      </w:pPr>
      <w:r>
        <w:rPr>
          <w:rFonts w:hint="default" w:ascii="宋体" w:hAnsi="宋体" w:eastAsia="宋体" w:cs="宋体"/>
          <w:b/>
          <w:bCs/>
          <w:kern w:val="2"/>
          <w:sz w:val="24"/>
          <w:szCs w:val="24"/>
          <w:lang w:val="en-US" w:eastAsia="zh-CN" w:bidi="ar-SA"/>
        </w:rPr>
        <w:t>3</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磋商报价</w:t>
      </w:r>
    </w:p>
    <w:p w14:paraId="613139DC">
      <w:pPr>
        <w:pStyle w:val="4"/>
        <w:keepNext w:val="0"/>
        <w:keepLines w:val="0"/>
        <w:pageBreakBefore w:val="0"/>
        <w:widowControl w:val="0"/>
        <w:kinsoku/>
        <w:wordWrap w:val="0"/>
        <w:overflowPunct/>
        <w:topLinePunct w:val="0"/>
        <w:autoSpaceDE/>
        <w:autoSpaceDN/>
        <w:bidi w:val="0"/>
        <w:adjustRightInd/>
        <w:snapToGrid w:val="0"/>
        <w:spacing w:line="336" w:lineRule="auto"/>
        <w:ind w:firstLine="480" w:firstLineChars="200"/>
        <w:textAlignment w:val="auto"/>
        <w:rPr>
          <w:rFonts w:hint="eastAsia" w:ascii="宋体" w:hAnsi="宋体" w:eastAsia="宋体" w:cs="宋体"/>
          <w:b w:val="0"/>
          <w:bCs w:val="0"/>
          <w:sz w:val="24"/>
          <w:szCs w:val="24"/>
        </w:rPr>
      </w:pPr>
      <w:bookmarkStart w:id="58" w:name="_Toc29200"/>
      <w:bookmarkStart w:id="59" w:name="_Toc536202300"/>
      <w:r>
        <w:rPr>
          <w:rFonts w:hint="eastAsia" w:ascii="宋体" w:hAnsi="宋体" w:eastAsia="宋体" w:cs="宋体"/>
          <w:b w:val="0"/>
          <w:bCs w:val="0"/>
          <w:sz w:val="24"/>
          <w:szCs w:val="24"/>
        </w:rPr>
        <w:t>3.1投标人应充分考虑磋商文件的各项条款和本工程的实际，依据磋商文件所附工程量清单、澄清和修改通知，根据企业自身情况、施工经验、现场环境以及磋商文件的要求，进行自主报价。</w:t>
      </w:r>
    </w:p>
    <w:p w14:paraId="496B8F63">
      <w:pPr>
        <w:pStyle w:val="4"/>
        <w:keepNext w:val="0"/>
        <w:keepLines w:val="0"/>
        <w:pageBreakBefore w:val="0"/>
        <w:widowControl w:val="0"/>
        <w:kinsoku/>
        <w:wordWrap/>
        <w:overflowPunct/>
        <w:topLinePunct w:val="0"/>
        <w:autoSpaceDE/>
        <w:autoSpaceDN/>
        <w:bidi w:val="0"/>
        <w:adjustRightInd/>
        <w:spacing w:line="336" w:lineRule="auto"/>
        <w:ind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3.2投标人的磋商报价，应是完成本</w:t>
      </w:r>
      <w:r>
        <w:rPr>
          <w:rFonts w:hint="eastAsia" w:ascii="宋体" w:hAnsi="宋体" w:eastAsia="宋体" w:cs="宋体"/>
          <w:b w:val="0"/>
          <w:bCs w:val="0"/>
          <w:sz w:val="24"/>
          <w:szCs w:val="24"/>
          <w:lang w:eastAsia="zh-CN"/>
        </w:rPr>
        <w:t>项目</w:t>
      </w:r>
      <w:r>
        <w:rPr>
          <w:rFonts w:hint="eastAsia" w:ascii="宋体" w:hAnsi="宋体" w:eastAsia="宋体" w:cs="宋体"/>
          <w:b w:val="0"/>
          <w:bCs w:val="0"/>
          <w:sz w:val="24"/>
          <w:szCs w:val="24"/>
        </w:rPr>
        <w:t>所列工程范围及工期、质量的全部要求，不得以任何理由予以重复。</w:t>
      </w:r>
    </w:p>
    <w:p w14:paraId="1C7498B5">
      <w:pPr>
        <w:pStyle w:val="4"/>
        <w:keepNext w:val="0"/>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3.3磋商报价为投标人在响应文件中提出的各项支付金额的总和，是完成磋商文件所确定的该工程项目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磋商前以及合同明示或暗示的所有风险、责任和义务。投标人在磋商报价时应考虑以下因素：人工费、材料费、机械</w:t>
      </w:r>
      <w:r>
        <w:rPr>
          <w:rFonts w:hint="eastAsia" w:ascii="宋体" w:hAnsi="宋体" w:cs="宋体"/>
          <w:b w:val="0"/>
          <w:bCs w:val="0"/>
          <w:sz w:val="24"/>
          <w:szCs w:val="24"/>
          <w:lang w:eastAsia="zh-CN"/>
        </w:rPr>
        <w:t>费等</w:t>
      </w:r>
      <w:r>
        <w:rPr>
          <w:rFonts w:hint="eastAsia" w:ascii="宋体" w:hAnsi="宋体" w:eastAsia="宋体" w:cs="宋体"/>
          <w:b w:val="0"/>
          <w:bCs w:val="0"/>
          <w:sz w:val="24"/>
          <w:szCs w:val="24"/>
        </w:rPr>
        <w:t>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533EDCA6">
      <w:pPr>
        <w:pStyle w:val="43"/>
        <w:keepNext w:val="0"/>
        <w:keepLines w:val="0"/>
        <w:pageBreakBefore w:val="0"/>
        <w:widowControl w:val="0"/>
        <w:kinsoku/>
        <w:wordWrap/>
        <w:overflowPunct/>
        <w:topLinePunct w:val="0"/>
        <w:autoSpaceDE/>
        <w:autoSpaceDN/>
        <w:bidi w:val="0"/>
        <w:adjustRightInd/>
        <w:snapToGrid/>
        <w:spacing w:after="0" w:line="336" w:lineRule="auto"/>
        <w:ind w:left="0" w:leftChars="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1F8BCFDA">
      <w:pPr>
        <w:pStyle w:val="4"/>
        <w:pageBreakBefore w:val="0"/>
        <w:wordWrap/>
        <w:topLinePunct w:val="0"/>
        <w:autoSpaceDE/>
        <w:autoSpaceDN/>
        <w:bidi w:val="0"/>
        <w:spacing w:line="336" w:lineRule="auto"/>
        <w:ind w:firstLine="600" w:firstLineChars="25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3.5除非采购人或采购代理机构对磋商文件予以修改，投标人应按采购人提供的工程量清单中列出的工程项目和工程量认真填报单价和合价。每一项目只允许有一个报价。任何有选择的报价将不予接受。投标人未填单价或合价的工程项目（零报价项目），视为该项费用已包括在其他价款的单价或合价内，并在工程实施后，采购人将不予支付，承包人必须按发包人代表及项目经理指令完成工程量清单中未填入单价或合价的工程项目；若投标人未填单价或合价的工程项目在实施中发生变更，无论变更增加或减少均按合同约定执行而且必须无条件执行发包人发出的变更通知。</w:t>
      </w:r>
    </w:p>
    <w:p w14:paraId="3BFB622F">
      <w:pPr>
        <w:pStyle w:val="4"/>
        <w:pageBreakBefore w:val="0"/>
        <w:wordWrap/>
        <w:topLinePunct w:val="0"/>
        <w:autoSpaceDE/>
        <w:autoSpaceDN/>
        <w:bidi w:val="0"/>
        <w:spacing w:line="336" w:lineRule="auto"/>
        <w:ind w:firstLine="600" w:firstLineChars="25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3.6磋商报价应考虑</w:t>
      </w:r>
      <w:r>
        <w:rPr>
          <w:rFonts w:hint="eastAsia" w:ascii="宋体" w:hAnsi="宋体" w:cs="宋体"/>
          <w:b w:val="0"/>
          <w:bCs w:val="0"/>
          <w:sz w:val="24"/>
          <w:szCs w:val="24"/>
          <w:lang w:eastAsia="zh-CN"/>
        </w:rPr>
        <w:t>的其他</w:t>
      </w:r>
      <w:r>
        <w:rPr>
          <w:rFonts w:hint="eastAsia" w:ascii="宋体" w:hAnsi="宋体" w:eastAsia="宋体" w:cs="宋体"/>
          <w:b w:val="0"/>
          <w:bCs w:val="0"/>
          <w:sz w:val="24"/>
          <w:szCs w:val="24"/>
        </w:rPr>
        <w:t>风险</w:t>
      </w:r>
    </w:p>
    <w:p w14:paraId="7A8FC4A1">
      <w:pPr>
        <w:pStyle w:val="4"/>
        <w:pageBreakBefore w:val="0"/>
        <w:wordWrap/>
        <w:topLinePunct w:val="0"/>
        <w:autoSpaceDE/>
        <w:autoSpaceDN/>
        <w:bidi w:val="0"/>
        <w:spacing w:line="336" w:lineRule="auto"/>
        <w:ind w:firstLine="600" w:firstLineChars="25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36AC96DC">
      <w:pPr>
        <w:pageBreakBefore w:val="0"/>
        <w:wordWrap/>
        <w:topLinePunct w:val="0"/>
        <w:autoSpaceDE/>
        <w:autoSpaceDN/>
        <w:bidi w:val="0"/>
        <w:spacing w:line="336" w:lineRule="auto"/>
        <w:ind w:firstLine="600" w:firstLineChars="250"/>
        <w:textAlignment w:val="auto"/>
        <w:rPr>
          <w:rFonts w:hint="eastAsia" w:ascii="宋体" w:hAnsi="宋体" w:eastAsia="宋体" w:cs="宋体"/>
          <w:sz w:val="24"/>
          <w:szCs w:val="24"/>
        </w:rPr>
      </w:pPr>
      <w:r>
        <w:rPr>
          <w:rFonts w:hint="eastAsia" w:ascii="宋体" w:hAnsi="宋体" w:eastAsia="宋体" w:cs="宋体"/>
          <w:sz w:val="24"/>
          <w:szCs w:val="24"/>
        </w:rPr>
        <w:t>3.7编制报价</w:t>
      </w:r>
      <w:r>
        <w:rPr>
          <w:rFonts w:hint="eastAsia" w:ascii="宋体" w:hAnsi="宋体" w:cs="宋体"/>
          <w:sz w:val="24"/>
          <w:szCs w:val="24"/>
          <w:lang w:eastAsia="zh-CN"/>
        </w:rPr>
        <w:t>的其他</w:t>
      </w:r>
      <w:r>
        <w:rPr>
          <w:rFonts w:hint="eastAsia" w:ascii="宋体" w:hAnsi="宋体" w:eastAsia="宋体" w:cs="宋体"/>
          <w:sz w:val="24"/>
          <w:szCs w:val="24"/>
        </w:rPr>
        <w:t>约定</w:t>
      </w:r>
    </w:p>
    <w:p w14:paraId="7610D68E">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lang w:eastAsia="zh-CN"/>
        </w:rPr>
      </w:pPr>
      <w:r>
        <w:rPr>
          <w:rFonts w:hint="eastAsia" w:ascii="宋体" w:hAnsi="宋体" w:cs="宋体"/>
          <w:sz w:val="24"/>
          <w:szCs w:val="24"/>
          <w:lang w:val="en-US" w:eastAsia="zh-CN"/>
        </w:rPr>
        <w:t>3.</w:t>
      </w:r>
      <w:r>
        <w:rPr>
          <w:rFonts w:hint="eastAsia" w:ascii="宋体" w:hAnsi="宋体" w:eastAsia="宋体" w:cs="宋体"/>
          <w:sz w:val="24"/>
          <w:szCs w:val="24"/>
        </w:rPr>
        <w:t>7.1投标供应商根据自行确定的施工组织设计或施工方案进行自主报价</w:t>
      </w:r>
      <w:r>
        <w:rPr>
          <w:rFonts w:hint="eastAsia" w:ascii="宋体" w:hAnsi="宋体" w:cs="宋体"/>
          <w:sz w:val="24"/>
          <w:szCs w:val="24"/>
          <w:lang w:eastAsia="zh-CN"/>
        </w:rPr>
        <w:t>，供应商的投标报价不得高于最高限价。</w:t>
      </w:r>
    </w:p>
    <w:p w14:paraId="65ADA11C">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3</w:t>
      </w:r>
      <w:r>
        <w:rPr>
          <w:rFonts w:hint="eastAsia" w:ascii="宋体" w:hAnsi="宋体" w:eastAsia="宋体" w:cs="宋体"/>
          <w:sz w:val="24"/>
          <w:szCs w:val="24"/>
        </w:rPr>
        <w:t>.7.</w:t>
      </w:r>
      <w:r>
        <w:rPr>
          <w:rFonts w:hint="eastAsia" w:ascii="宋体" w:hAnsi="宋体" w:eastAsia="宋体" w:cs="宋体"/>
          <w:sz w:val="24"/>
          <w:szCs w:val="24"/>
          <w:lang w:val="en-US" w:eastAsia="zh-CN"/>
        </w:rPr>
        <w:t>2磋商小组</w:t>
      </w:r>
      <w:r>
        <w:rPr>
          <w:rFonts w:hint="eastAsia" w:ascii="宋体" w:hAnsi="宋体" w:eastAsia="宋体" w:cs="宋体"/>
          <w:sz w:val="24"/>
          <w:szCs w:val="24"/>
        </w:rPr>
        <w:t>认为投标人的报价明显低于其他通过符合性审查投标人的报价，有可能影响产品质量或者不能诚信履约的，磋商小组</w:t>
      </w:r>
      <w:r>
        <w:rPr>
          <w:rFonts w:hint="eastAsia" w:ascii="宋体" w:hAnsi="宋体" w:eastAsia="宋体" w:cs="宋体"/>
          <w:sz w:val="24"/>
          <w:szCs w:val="24"/>
          <w:lang w:val="en-US" w:eastAsia="zh-CN"/>
        </w:rPr>
        <w:t>将</w:t>
      </w:r>
      <w:r>
        <w:rPr>
          <w:rFonts w:hint="eastAsia" w:ascii="宋体" w:hAnsi="宋体" w:eastAsia="宋体" w:cs="宋体"/>
          <w:sz w:val="24"/>
          <w:szCs w:val="24"/>
        </w:rPr>
        <w:t>启动异常低价投标（响应）审查</w:t>
      </w:r>
      <w:r>
        <w:rPr>
          <w:rFonts w:hint="eastAsia" w:ascii="宋体" w:hAnsi="宋体" w:eastAsia="宋体" w:cs="宋体"/>
          <w:sz w:val="24"/>
          <w:szCs w:val="24"/>
          <w:lang w:eastAsia="zh-CN"/>
        </w:rPr>
        <w:t>，</w:t>
      </w:r>
    </w:p>
    <w:p w14:paraId="2F3E1253">
      <w:pPr>
        <w:keepNext/>
        <w:keepLines w:val="0"/>
        <w:pageBreakBefore w:val="0"/>
        <w:widowControl w:val="0"/>
        <w:kinsoku/>
        <w:wordWrap/>
        <w:overflowPunct/>
        <w:topLinePunct w:val="0"/>
        <w:autoSpaceDE/>
        <w:autoSpaceDN/>
        <w:bidi w:val="0"/>
        <w:adjustRightInd/>
        <w:spacing w:line="336" w:lineRule="auto"/>
        <w:textAlignment w:val="auto"/>
        <w:rPr>
          <w:rFonts w:hint="eastAsia" w:ascii="宋体" w:hAnsi="宋体" w:eastAsia="宋体" w:cs="宋体"/>
          <w:sz w:val="24"/>
          <w:szCs w:val="24"/>
        </w:rPr>
      </w:pPr>
      <w:r>
        <w:rPr>
          <w:rFonts w:hint="eastAsia" w:ascii="宋体" w:hAnsi="宋体" w:eastAsia="宋体" w:cs="宋体"/>
          <w:sz w:val="24"/>
          <w:szCs w:val="24"/>
        </w:rPr>
        <w:t>应当要求其在评标现场合理的时间内提供书面说明，必要时提交相关证明材料；投标人不能证明其报价合理性的，</w:t>
      </w:r>
      <w:r>
        <w:rPr>
          <w:rFonts w:hint="eastAsia" w:ascii="宋体" w:hAnsi="宋体" w:eastAsia="宋体" w:cs="宋体"/>
          <w:sz w:val="24"/>
          <w:szCs w:val="24"/>
          <w:lang w:val="en-US" w:eastAsia="zh-CN"/>
        </w:rPr>
        <w:t>磋商小组</w:t>
      </w:r>
      <w:r>
        <w:rPr>
          <w:rFonts w:hint="eastAsia" w:ascii="宋体" w:hAnsi="宋体" w:eastAsia="宋体" w:cs="宋体"/>
          <w:sz w:val="24"/>
          <w:szCs w:val="24"/>
        </w:rPr>
        <w:t>应当将其作为无效投标处理。</w:t>
      </w:r>
    </w:p>
    <w:p w14:paraId="0E292EAD">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.7.</w:t>
      </w:r>
      <w:r>
        <w:rPr>
          <w:rFonts w:hint="eastAsia" w:ascii="宋体" w:hAnsi="宋体" w:cs="宋体"/>
          <w:sz w:val="24"/>
          <w:szCs w:val="24"/>
          <w:lang w:val="en-US" w:eastAsia="zh-CN"/>
        </w:rPr>
        <w:t>3</w:t>
      </w:r>
      <w:r>
        <w:rPr>
          <w:rFonts w:hint="eastAsia" w:ascii="宋体" w:hAnsi="宋体" w:eastAsia="宋体" w:cs="宋体"/>
          <w:sz w:val="24"/>
          <w:szCs w:val="24"/>
        </w:rPr>
        <w:t>投标供应商应针对拟建工程编制保证安全施工、文明施工和环境保护的技术措施方案。</w:t>
      </w:r>
    </w:p>
    <w:p w14:paraId="5CCC6DE2">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sz w:val="24"/>
          <w:szCs w:val="24"/>
        </w:rPr>
      </w:pPr>
      <w:r>
        <w:rPr>
          <w:rFonts w:hint="default" w:ascii="宋体" w:hAnsi="宋体" w:eastAsia="宋体" w:cs="宋体"/>
          <w:b/>
          <w:bCs/>
          <w:kern w:val="2"/>
          <w:sz w:val="24"/>
          <w:szCs w:val="24"/>
          <w:lang w:val="en-US" w:eastAsia="zh-CN" w:bidi="ar-SA"/>
        </w:rPr>
        <w:t>4</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 xml:space="preserve"> 磋商货币</w:t>
      </w:r>
      <w:bookmarkEnd w:id="58"/>
      <w:bookmarkEnd w:id="59"/>
    </w:p>
    <w:p w14:paraId="65A72036">
      <w:pPr>
        <w:pageBreakBefore w:val="0"/>
        <w:widowControl/>
        <w:wordWrap/>
        <w:topLinePunct w:val="0"/>
        <w:autoSpaceDE/>
        <w:autoSpaceDN/>
        <w:bidi w:val="0"/>
        <w:spacing w:line="336"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采购人只接受人民币作为唯一磋商货币。以人民币为投标货币。以元为报价单位，保留小数点后两位。</w:t>
      </w:r>
    </w:p>
    <w:p w14:paraId="331F46BA">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sz w:val="24"/>
          <w:szCs w:val="24"/>
        </w:rPr>
      </w:pPr>
      <w:bookmarkStart w:id="60" w:name="_Toc536202301"/>
      <w:bookmarkStart w:id="61" w:name="_Toc1311"/>
      <w:r>
        <w:rPr>
          <w:rFonts w:hint="default" w:ascii="宋体" w:hAnsi="宋体" w:eastAsia="宋体" w:cs="宋体"/>
          <w:b/>
          <w:bCs/>
          <w:kern w:val="2"/>
          <w:sz w:val="24"/>
          <w:szCs w:val="24"/>
          <w:lang w:val="en-US" w:eastAsia="zh-CN" w:bidi="ar-SA"/>
        </w:rPr>
        <w:t>5</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磋商保证金</w:t>
      </w:r>
      <w:bookmarkEnd w:id="60"/>
      <w:bookmarkEnd w:id="61"/>
    </w:p>
    <w:p w14:paraId="5EB56C0A">
      <w:pPr>
        <w:ind w:firstLine="480" w:firstLineChars="200"/>
        <w:rPr>
          <w:rFonts w:hint="eastAsia"/>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本项目不设置投标保证金</w:t>
      </w:r>
    </w:p>
    <w:p w14:paraId="41A8C069">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sz w:val="24"/>
          <w:szCs w:val="24"/>
        </w:rPr>
      </w:pPr>
      <w:bookmarkStart w:id="62" w:name="_Toc536202302"/>
      <w:r>
        <w:rPr>
          <w:rFonts w:hint="default" w:ascii="宋体" w:hAnsi="宋体" w:eastAsia="宋体" w:cs="宋体"/>
          <w:b/>
          <w:bCs/>
          <w:kern w:val="2"/>
          <w:sz w:val="24"/>
          <w:szCs w:val="24"/>
          <w:lang w:val="en-US" w:eastAsia="zh-CN" w:bidi="ar-SA"/>
        </w:rPr>
        <w:t>6</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响应有效期</w:t>
      </w:r>
      <w:bookmarkEnd w:id="62"/>
    </w:p>
    <w:p w14:paraId="50494867">
      <w:pPr>
        <w:pageBreakBefore w:val="0"/>
        <w:wordWrap/>
        <w:topLinePunct w:val="0"/>
        <w:autoSpaceDE/>
        <w:autoSpaceDN/>
        <w:bidi w:val="0"/>
        <w:adjustRightInd w:val="0"/>
        <w:snapToGrid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79426BE1">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sz w:val="24"/>
          <w:szCs w:val="24"/>
        </w:rPr>
      </w:pPr>
      <w:bookmarkStart w:id="63" w:name="_Toc24827"/>
      <w:bookmarkStart w:id="64" w:name="_Toc536202303"/>
      <w:r>
        <w:rPr>
          <w:rFonts w:hint="default" w:ascii="宋体" w:hAnsi="宋体" w:eastAsia="宋体" w:cs="宋体"/>
          <w:b/>
          <w:bCs/>
          <w:kern w:val="2"/>
          <w:sz w:val="24"/>
          <w:szCs w:val="24"/>
          <w:lang w:val="en-US" w:eastAsia="zh-CN" w:bidi="ar-SA"/>
        </w:rPr>
        <w:t>7</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响应文件的格式</w:t>
      </w:r>
      <w:bookmarkEnd w:id="63"/>
      <w:bookmarkEnd w:id="64"/>
      <w:r>
        <w:rPr>
          <w:rFonts w:hint="eastAsia" w:ascii="宋体" w:hAnsi="宋体" w:cs="宋体"/>
          <w:sz w:val="24"/>
          <w:szCs w:val="24"/>
          <w:lang w:val="en-US" w:eastAsia="zh-CN"/>
        </w:rPr>
        <w:t>及签署</w:t>
      </w:r>
    </w:p>
    <w:p w14:paraId="3A8C57B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7.1供应商须依据竞争性磋商文件内容和响应文件格式的要求编制响应文件；</w:t>
      </w:r>
      <w:r>
        <w:rPr>
          <w:rFonts w:hint="eastAsia" w:ascii="宋体" w:hAnsi="宋体"/>
          <w:sz w:val="24"/>
          <w:szCs w:val="24"/>
        </w:rPr>
        <w:t>并编制目录和对应的页码。</w:t>
      </w:r>
    </w:p>
    <w:p w14:paraId="586B20C2">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cs="宋体"/>
          <w:sz w:val="24"/>
          <w:szCs w:val="24"/>
          <w:lang w:val="en-US" w:eastAsia="zh-CN"/>
        </w:rPr>
        <w:t>2</w:t>
      </w:r>
      <w:r>
        <w:rPr>
          <w:rFonts w:hint="eastAsia" w:ascii="宋体" w:hAnsi="宋体" w:eastAsia="宋体" w:cs="宋体"/>
          <w:sz w:val="24"/>
          <w:szCs w:val="24"/>
        </w:rPr>
        <w:t>响应文件的签署</w:t>
      </w:r>
    </w:p>
    <w:p w14:paraId="52A62F76">
      <w:pPr>
        <w:pageBreakBefore w:val="0"/>
        <w:numPr>
          <w:ilvl w:val="0"/>
          <w:numId w:val="6"/>
        </w:numPr>
        <w:wordWrap/>
        <w:topLinePunct w:val="0"/>
        <w:autoSpaceDE/>
        <w:autoSpaceDN/>
        <w:bidi w:val="0"/>
        <w:spacing w:line="336" w:lineRule="auto"/>
        <w:jc w:val="left"/>
        <w:textAlignment w:val="auto"/>
        <w:rPr>
          <w:rFonts w:hint="eastAsia" w:ascii="宋体" w:hAnsi="宋体" w:eastAsia="宋体" w:cs="宋体"/>
          <w:sz w:val="24"/>
          <w:szCs w:val="24"/>
        </w:rPr>
      </w:pPr>
      <w:r>
        <w:rPr>
          <w:rFonts w:hint="eastAsia" w:ascii="宋体" w:hAnsi="宋体" w:eastAsia="宋体" w:cs="宋体"/>
          <w:sz w:val="24"/>
          <w:szCs w:val="24"/>
        </w:rPr>
        <w:t>供应商应在</w:t>
      </w:r>
      <w:r>
        <w:rPr>
          <w:rFonts w:hint="eastAsia" w:ascii="宋体" w:hAnsi="宋体"/>
          <w:sz w:val="24"/>
          <w:szCs w:val="24"/>
          <w:lang w:val="en-US" w:eastAsia="zh-CN"/>
        </w:rPr>
        <w:t>响应</w:t>
      </w:r>
      <w:r>
        <w:rPr>
          <w:rFonts w:hint="eastAsia" w:ascii="宋体" w:hAnsi="宋体" w:eastAsia="宋体" w:cs="宋体"/>
          <w:sz w:val="24"/>
          <w:szCs w:val="24"/>
        </w:rPr>
        <w:t>文件中指定的页面落款处填写供应商全称，并按要求加盖公章及签字。</w:t>
      </w:r>
    </w:p>
    <w:p w14:paraId="49C74A7B">
      <w:pPr>
        <w:pageBreakBefore w:val="0"/>
        <w:numPr>
          <w:ilvl w:val="0"/>
          <w:numId w:val="6"/>
        </w:numPr>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响应文件应字迹清楚、内容齐全、不得涂改或增删。如有修改和增删，必须有供应商公章及法定代表人或其授权代表签字。</w:t>
      </w:r>
    </w:p>
    <w:p w14:paraId="30D99918">
      <w:pPr>
        <w:pageBreakBefore w:val="0"/>
        <w:numPr>
          <w:ilvl w:val="0"/>
          <w:numId w:val="6"/>
        </w:numPr>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因响应文件字迹潦草或表达不清所引起的不利后果由供应商承担。</w:t>
      </w:r>
    </w:p>
    <w:p w14:paraId="2F2CF53D">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cs="宋体"/>
          <w:sz w:val="24"/>
          <w:szCs w:val="24"/>
          <w:lang w:val="en-US" w:eastAsia="zh-CN"/>
        </w:rPr>
        <w:t>3</w:t>
      </w:r>
      <w:r>
        <w:rPr>
          <w:rFonts w:hint="eastAsia" w:ascii="宋体" w:hAnsi="宋体" w:eastAsia="宋体" w:cs="宋体"/>
          <w:sz w:val="24"/>
          <w:szCs w:val="24"/>
        </w:rPr>
        <w:t>本次磋商只接受简体中文文字的响应文件；如响应文件中出现外文资料，必须配以中文译文。否则，由此引发的一切责任由供应商自负。</w:t>
      </w:r>
    </w:p>
    <w:p w14:paraId="1C7330C8">
      <w:pPr>
        <w:pageBreakBefore w:val="0"/>
        <w:widowControl/>
        <w:wordWrap/>
        <w:topLinePunct w:val="0"/>
        <w:autoSpaceDE/>
        <w:autoSpaceDN/>
        <w:bidi w:val="0"/>
        <w:spacing w:line="336"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7.</w:t>
      </w:r>
      <w:r>
        <w:rPr>
          <w:rFonts w:hint="eastAsia" w:ascii="宋体" w:hAnsi="宋体" w:cs="宋体"/>
          <w:kern w:val="0"/>
          <w:sz w:val="24"/>
          <w:szCs w:val="24"/>
          <w:lang w:val="en-US" w:eastAsia="zh-CN"/>
        </w:rPr>
        <w:t>4</w:t>
      </w:r>
      <w:r>
        <w:rPr>
          <w:rFonts w:hint="eastAsia" w:ascii="宋体" w:hAnsi="宋体" w:eastAsia="宋体" w:cs="宋体"/>
          <w:kern w:val="0"/>
          <w:sz w:val="24"/>
          <w:szCs w:val="24"/>
        </w:rPr>
        <w:t>拒绝接受以电话、传真、电子邮件形式的磋商。</w:t>
      </w:r>
    </w:p>
    <w:p w14:paraId="36247A93">
      <w:pPr>
        <w:pStyle w:val="4"/>
        <w:pageBreakBefore w:val="0"/>
        <w:numPr>
          <w:ilvl w:val="0"/>
          <w:numId w:val="0"/>
        </w:numPr>
        <w:wordWrap/>
        <w:overflowPunct/>
        <w:topLinePunct w:val="0"/>
        <w:autoSpaceDE/>
        <w:autoSpaceDN/>
        <w:bidi w:val="0"/>
        <w:spacing w:line="360" w:lineRule="auto"/>
        <w:ind w:firstLine="482" w:firstLineChars="200"/>
        <w:textAlignment w:val="auto"/>
        <w:rPr>
          <w:rFonts w:hint="eastAsia" w:ascii="宋体" w:hAnsi="宋体" w:eastAsia="宋体" w:cs="宋体"/>
          <w:sz w:val="24"/>
          <w:szCs w:val="24"/>
        </w:rPr>
      </w:pPr>
      <w:bookmarkStart w:id="65" w:name="_Toc22752"/>
      <w:bookmarkStart w:id="66" w:name="_Toc536202304"/>
      <w:r>
        <w:rPr>
          <w:rFonts w:hint="default" w:ascii="宋体" w:hAnsi="宋体" w:eastAsia="宋体" w:cs="宋体"/>
          <w:b/>
          <w:bCs/>
          <w:kern w:val="2"/>
          <w:sz w:val="24"/>
          <w:szCs w:val="24"/>
          <w:lang w:val="en-US" w:eastAsia="zh-CN" w:bidi="ar-SA"/>
        </w:rPr>
        <w:t>8</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知识产权</w:t>
      </w:r>
      <w:bookmarkEnd w:id="65"/>
      <w:bookmarkEnd w:id="66"/>
    </w:p>
    <w:p w14:paraId="202804E0">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.1供应商应保证在本项目使用的任何产品和服务（包括部分使用）时，不会产生因第三方提出侵犯其专利权、商标权或</w:t>
      </w:r>
      <w:r>
        <w:rPr>
          <w:rFonts w:hint="eastAsia" w:ascii="宋体" w:hAnsi="宋体" w:cs="宋体"/>
          <w:sz w:val="24"/>
          <w:szCs w:val="24"/>
          <w:lang w:eastAsia="zh-CN"/>
        </w:rPr>
        <w:t>其他</w:t>
      </w:r>
      <w:r>
        <w:rPr>
          <w:rFonts w:hint="eastAsia" w:ascii="宋体" w:hAnsi="宋体" w:eastAsia="宋体" w:cs="宋体"/>
          <w:sz w:val="24"/>
          <w:szCs w:val="24"/>
        </w:rPr>
        <w:t>知识产权而引起的法律和经济纠纷，如因专利权、商标权</w:t>
      </w:r>
      <w:r>
        <w:rPr>
          <w:rFonts w:hint="eastAsia" w:ascii="宋体" w:hAnsi="宋体" w:cs="宋体"/>
          <w:sz w:val="24"/>
          <w:szCs w:val="24"/>
          <w:lang w:eastAsia="zh-CN"/>
        </w:rPr>
        <w:t>或其他</w:t>
      </w:r>
      <w:r>
        <w:rPr>
          <w:rFonts w:hint="eastAsia" w:ascii="宋体" w:hAnsi="宋体" w:eastAsia="宋体" w:cs="宋体"/>
          <w:sz w:val="24"/>
          <w:szCs w:val="24"/>
        </w:rPr>
        <w:t>知识产权而引起法律纠纷和经济纠纷，由供应商承担所有相关责任。</w:t>
      </w:r>
    </w:p>
    <w:p w14:paraId="72F40D7F">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.2采购人享有本项目在实施过程中产生的知识成果及知识产权。</w:t>
      </w:r>
    </w:p>
    <w:p w14:paraId="71DAD44E">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3供应商如欲在项目实施过程中采用自有知识成果，需在响应文件中声明，并提供相关知识产权证明文件。使用该知识成果后，供应商须提供开发接口和开发手册等技术文档，并承诺提供无限期技术支持，采购人享有永久使用权。</w:t>
      </w:r>
    </w:p>
    <w:p w14:paraId="0610CF15">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.4如供应商所不拥有的知识产权，则在响应报价中必须包括合法获取该知识产权的相关费用。</w:t>
      </w:r>
    </w:p>
    <w:p w14:paraId="57A2F142">
      <w:pPr>
        <w:pageBreakBefore w:val="0"/>
        <w:widowControl/>
        <w:numPr>
          <w:ilvl w:val="0"/>
          <w:numId w:val="4"/>
        </w:numPr>
        <w:wordWrap/>
        <w:topLinePunct w:val="0"/>
        <w:autoSpaceDE/>
        <w:autoSpaceDN/>
        <w:bidi w:val="0"/>
        <w:spacing w:line="336" w:lineRule="auto"/>
        <w:ind w:left="420" w:leftChars="0" w:firstLineChars="0"/>
        <w:jc w:val="center"/>
        <w:textAlignment w:val="auto"/>
        <w:outlineLvl w:val="1"/>
        <w:rPr>
          <w:rFonts w:hint="eastAsia" w:ascii="宋体" w:hAnsi="宋体" w:eastAsia="宋体" w:cs="宋体"/>
          <w:b/>
          <w:bCs/>
          <w:kern w:val="0"/>
          <w:sz w:val="24"/>
          <w:szCs w:val="24"/>
        </w:rPr>
      </w:pPr>
      <w:bookmarkStart w:id="67" w:name="_Toc536202305"/>
      <w:bookmarkStart w:id="68" w:name="_Toc19543339"/>
      <w:bookmarkStart w:id="69" w:name="_Toc536429322"/>
      <w:bookmarkStart w:id="70" w:name="_Toc536429375"/>
      <w:bookmarkStart w:id="71" w:name="_Toc4747"/>
      <w:bookmarkStart w:id="72" w:name="_Toc536202382"/>
      <w:bookmarkStart w:id="73" w:name="_Toc3565"/>
      <w:bookmarkStart w:id="74" w:name="_Toc3736"/>
      <w:r>
        <w:rPr>
          <w:rFonts w:hint="eastAsia" w:ascii="宋体" w:hAnsi="宋体" w:eastAsia="宋体" w:cs="宋体"/>
          <w:b/>
          <w:bCs/>
          <w:kern w:val="0"/>
          <w:sz w:val="24"/>
          <w:szCs w:val="24"/>
        </w:rPr>
        <w:t>响应文件的递交</w:t>
      </w:r>
      <w:bookmarkEnd w:id="67"/>
      <w:bookmarkEnd w:id="68"/>
      <w:bookmarkEnd w:id="69"/>
      <w:bookmarkEnd w:id="70"/>
      <w:bookmarkEnd w:id="71"/>
      <w:bookmarkEnd w:id="72"/>
      <w:bookmarkEnd w:id="73"/>
    </w:p>
    <w:bookmarkEnd w:id="74"/>
    <w:p w14:paraId="30F38B4F">
      <w:pPr>
        <w:keepNext/>
        <w:keepLines/>
        <w:spacing w:line="400" w:lineRule="exact"/>
        <w:ind w:firstLine="482" w:firstLineChars="200"/>
        <w:outlineLvl w:val="2"/>
        <w:rPr>
          <w:rFonts w:ascii="宋体" w:hAnsi="宋体" w:cs="宋体"/>
          <w:b/>
          <w:bCs/>
          <w:sz w:val="24"/>
          <w:szCs w:val="28"/>
        </w:rPr>
      </w:pPr>
      <w:bookmarkStart w:id="75" w:name="_Toc27066"/>
      <w:bookmarkStart w:id="76" w:name="_Toc536202383"/>
      <w:bookmarkStart w:id="77" w:name="_Toc19543340"/>
      <w:bookmarkStart w:id="78" w:name="_Toc175"/>
      <w:bookmarkStart w:id="79" w:name="_Toc14415"/>
      <w:bookmarkStart w:id="80" w:name="_Toc536429323"/>
      <w:bookmarkStart w:id="81" w:name="_Toc536202308"/>
      <w:bookmarkStart w:id="82" w:name="_Toc536429376"/>
      <w:r>
        <w:rPr>
          <w:rFonts w:hint="eastAsia" w:ascii="宋体" w:hAnsi="宋体" w:cs="宋体"/>
          <w:b/>
          <w:bCs/>
          <w:sz w:val="24"/>
          <w:szCs w:val="28"/>
          <w:lang w:val="en-US" w:eastAsia="zh-CN"/>
        </w:rPr>
        <w:t>1.响应</w:t>
      </w:r>
      <w:r>
        <w:rPr>
          <w:rFonts w:hint="eastAsia" w:ascii="宋体" w:hAnsi="宋体" w:cs="宋体"/>
          <w:b/>
          <w:bCs/>
          <w:sz w:val="24"/>
          <w:szCs w:val="28"/>
        </w:rPr>
        <w:t>文件递交</w:t>
      </w:r>
    </w:p>
    <w:p w14:paraId="2CC730E7">
      <w:pPr>
        <w:adjustRightInd w:val="0"/>
        <w:snapToGrid w:val="0"/>
        <w:spacing w:line="440" w:lineRule="exact"/>
        <w:ind w:firstLine="480" w:firstLineChars="200"/>
        <w:rPr>
          <w:rFonts w:ascii="宋体" w:hAnsi="宋体" w:cs="宋体"/>
          <w:b/>
          <w:color w:val="000000"/>
          <w:kern w:val="0"/>
          <w:sz w:val="24"/>
          <w:szCs w:val="24"/>
        </w:rPr>
      </w:pPr>
      <w:r>
        <w:rPr>
          <w:rFonts w:hint="eastAsia" w:ascii="宋体" w:hAnsi="宋体" w:cs="宋体"/>
          <w:color w:val="000000"/>
          <w:kern w:val="0"/>
          <w:sz w:val="24"/>
          <w:szCs w:val="24"/>
          <w:lang w:val="en-US" w:eastAsia="zh-CN"/>
        </w:rPr>
        <w:t>1.1</w:t>
      </w:r>
      <w:r>
        <w:rPr>
          <w:rFonts w:hint="eastAsia" w:ascii="宋体" w:hAnsi="宋体" w:cs="宋体"/>
          <w:color w:val="000000"/>
          <w:kern w:val="0"/>
          <w:sz w:val="24"/>
          <w:szCs w:val="24"/>
        </w:rPr>
        <w:t>电子响应文件递交</w:t>
      </w:r>
    </w:p>
    <w:p w14:paraId="552D45CB">
      <w:pPr>
        <w:adjustRightInd w:val="0"/>
        <w:snapToGrid w:val="0"/>
        <w:spacing w:line="440" w:lineRule="exact"/>
        <w:ind w:firstLine="480" w:firstLineChars="200"/>
        <w:rPr>
          <w:rFonts w:ascii="宋体" w:hAnsi="宋体" w:cs="宋体"/>
          <w:kern w:val="0"/>
          <w:sz w:val="24"/>
          <w:szCs w:val="24"/>
        </w:rPr>
      </w:pPr>
      <w:bookmarkStart w:id="83" w:name="_Toc536202307"/>
      <w:bookmarkStart w:id="84" w:name="_Toc12741"/>
      <w:r>
        <w:rPr>
          <w:rFonts w:hint="eastAsia" w:ascii="宋体" w:hAnsi="宋体" w:cs="宋体"/>
          <w:kern w:val="0"/>
          <w:sz w:val="24"/>
          <w:szCs w:val="24"/>
        </w:rPr>
        <w:t>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上传成功后，电子化平台将予以记录。</w:t>
      </w:r>
    </w:p>
    <w:p w14:paraId="7793ABF1">
      <w:pPr>
        <w:widowControl/>
        <w:tabs>
          <w:tab w:val="left" w:pos="0"/>
        </w:tabs>
        <w:spacing w:line="400" w:lineRule="exact"/>
        <w:ind w:firstLine="480" w:firstLineChars="200"/>
        <w:jc w:val="left"/>
        <w:rPr>
          <w:rFonts w:ascii="宋体" w:hAnsi="Calibri"/>
          <w:sz w:val="24"/>
          <w:szCs w:val="28"/>
        </w:rPr>
      </w:pPr>
      <w:r>
        <w:rPr>
          <w:rFonts w:hint="eastAsia" w:ascii="宋体" w:hAnsi="宋体" w:cs="宋体"/>
          <w:sz w:val="24"/>
          <w:szCs w:val="28"/>
          <w:lang w:val="en-US" w:eastAsia="zh-CN"/>
        </w:rPr>
        <w:t>1.2</w:t>
      </w:r>
      <w:r>
        <w:rPr>
          <w:rFonts w:hint="eastAsia" w:ascii="宋体" w:hAnsi="宋体" w:cs="宋体"/>
          <w:sz w:val="24"/>
          <w:szCs w:val="28"/>
        </w:rPr>
        <w:t>上传文件有误或需要重新提交的，可先撤销已经上传的文件，然后重新上传新文件。</w:t>
      </w:r>
    </w:p>
    <w:p w14:paraId="470269FD">
      <w:pPr>
        <w:widowControl/>
        <w:tabs>
          <w:tab w:val="left" w:pos="0"/>
        </w:tabs>
        <w:spacing w:line="400" w:lineRule="exact"/>
        <w:ind w:firstLine="480" w:firstLineChars="200"/>
        <w:jc w:val="left"/>
        <w:rPr>
          <w:rFonts w:ascii="宋体" w:hAnsi="宋体" w:cs="宋体"/>
          <w:sz w:val="24"/>
          <w:szCs w:val="28"/>
        </w:rPr>
      </w:pPr>
      <w:r>
        <w:rPr>
          <w:rFonts w:hint="eastAsia" w:ascii="宋体" w:hAnsi="宋体" w:cs="宋体"/>
          <w:sz w:val="24"/>
          <w:szCs w:val="28"/>
          <w:lang w:val="en-US" w:eastAsia="zh-CN"/>
        </w:rPr>
        <w:t>1.3</w:t>
      </w:r>
      <w:r>
        <w:rPr>
          <w:rFonts w:hint="eastAsia" w:ascii="宋体" w:hAnsi="宋体" w:cs="宋体"/>
          <w:sz w:val="24"/>
          <w:szCs w:val="28"/>
        </w:rPr>
        <w:t>在生成电子投标文件时，需要使用CA锁对投标文件进行加密。加密投标文件和开标时解密投标文件应当使用同一CA，否则将会导致解密失败。</w:t>
      </w:r>
    </w:p>
    <w:p w14:paraId="6FC664A7">
      <w:pPr>
        <w:pStyle w:val="4"/>
        <w:pageBreakBefore w:val="0"/>
        <w:numPr>
          <w:ilvl w:val="0"/>
          <w:numId w:val="0"/>
        </w:numPr>
        <w:wordWrap/>
        <w:topLinePunct w:val="0"/>
        <w:autoSpaceDE/>
        <w:autoSpaceDN/>
        <w:bidi w:val="0"/>
        <w:spacing w:line="336" w:lineRule="auto"/>
        <w:ind w:left="420" w:leftChars="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响应文件的修改和撤回</w:t>
      </w:r>
      <w:bookmarkEnd w:id="83"/>
      <w:bookmarkEnd w:id="84"/>
    </w:p>
    <w:p w14:paraId="3F30E507">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2.1供应商在</w:t>
      </w:r>
      <w:r>
        <w:rPr>
          <w:rFonts w:hint="eastAsia" w:ascii="宋体" w:hAnsi="宋体" w:eastAsia="宋体" w:cs="宋体"/>
          <w:sz w:val="24"/>
          <w:szCs w:val="24"/>
          <w:lang w:val="en-US" w:eastAsia="zh-CN"/>
        </w:rPr>
        <w:t>上传响应</w:t>
      </w:r>
      <w:r>
        <w:rPr>
          <w:rFonts w:hint="eastAsia" w:ascii="宋体" w:hAnsi="宋体" w:eastAsia="宋体" w:cs="宋体"/>
          <w:sz w:val="24"/>
          <w:szCs w:val="24"/>
        </w:rPr>
        <w:t>文件以后，在规定的投标截止时间之前</w:t>
      </w:r>
      <w:r>
        <w:rPr>
          <w:rFonts w:hint="eastAsia" w:ascii="宋体" w:hAnsi="宋体" w:cs="宋体"/>
          <w:sz w:val="24"/>
          <w:szCs w:val="24"/>
          <w:lang w:eastAsia="zh-CN"/>
        </w:rPr>
        <w:t>，</w:t>
      </w:r>
      <w:r>
        <w:rPr>
          <w:rFonts w:hint="eastAsia" w:ascii="宋体" w:hAnsi="宋体" w:eastAsia="宋体" w:cs="宋体"/>
          <w:sz w:val="24"/>
          <w:szCs w:val="24"/>
        </w:rPr>
        <w:t>可以</w:t>
      </w:r>
      <w:r>
        <w:rPr>
          <w:rFonts w:hint="eastAsia" w:ascii="宋体" w:hAnsi="宋体" w:eastAsia="宋体" w:cs="宋体"/>
          <w:sz w:val="24"/>
          <w:szCs w:val="24"/>
          <w:lang w:val="en-US" w:eastAsia="zh-CN"/>
        </w:rPr>
        <w:t>对已</w:t>
      </w:r>
      <w:r>
        <w:rPr>
          <w:rFonts w:hint="eastAsia" w:ascii="宋体" w:hAnsi="宋体" w:eastAsia="宋体" w:cs="宋体"/>
          <w:sz w:val="24"/>
          <w:szCs w:val="24"/>
        </w:rPr>
        <w:t>递交的响应文件</w:t>
      </w:r>
      <w:r>
        <w:rPr>
          <w:rFonts w:hint="eastAsia" w:ascii="宋体" w:hAnsi="宋体" w:eastAsia="宋体" w:cs="宋体"/>
          <w:sz w:val="24"/>
          <w:szCs w:val="24"/>
          <w:lang w:val="en-US" w:eastAsia="zh-CN"/>
        </w:rPr>
        <w:t>进行修改、撤回</w:t>
      </w:r>
      <w:r>
        <w:rPr>
          <w:rFonts w:hint="eastAsia" w:ascii="宋体" w:hAnsi="宋体" w:eastAsia="宋体" w:cs="宋体"/>
          <w:sz w:val="24"/>
          <w:szCs w:val="24"/>
        </w:rPr>
        <w:t>。补充、修改的内容应当按</w:t>
      </w:r>
      <w:r>
        <w:rPr>
          <w:rFonts w:hint="eastAsia" w:ascii="宋体" w:hAnsi="宋体" w:cs="宋体"/>
          <w:sz w:val="24"/>
          <w:szCs w:val="24"/>
          <w:lang w:val="en-US" w:eastAsia="zh-CN"/>
        </w:rPr>
        <w:t>磋商</w:t>
      </w:r>
      <w:r>
        <w:rPr>
          <w:rFonts w:hint="eastAsia" w:ascii="宋体" w:hAnsi="宋体" w:eastAsia="宋体" w:cs="宋体"/>
          <w:sz w:val="24"/>
          <w:szCs w:val="24"/>
        </w:rPr>
        <w:t>文件要求</w:t>
      </w:r>
      <w:r>
        <w:rPr>
          <w:rFonts w:hint="eastAsia" w:ascii="宋体" w:hAnsi="宋体" w:eastAsia="宋体" w:cs="宋体"/>
          <w:sz w:val="24"/>
          <w:szCs w:val="24"/>
          <w:lang w:val="en-US" w:eastAsia="zh-CN"/>
        </w:rPr>
        <w:t>签章、加密上传。</w:t>
      </w:r>
    </w:p>
    <w:p w14:paraId="7C7505CB">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投标截止时间之后，供应商不得补充、修改响应文件。</w:t>
      </w:r>
    </w:p>
    <w:p w14:paraId="39E32E9D">
      <w:pPr>
        <w:pageBreakBefore w:val="0"/>
        <w:widowControl/>
        <w:numPr>
          <w:ilvl w:val="0"/>
          <w:numId w:val="4"/>
        </w:numPr>
        <w:wordWrap/>
        <w:topLinePunct w:val="0"/>
        <w:autoSpaceDE/>
        <w:autoSpaceDN/>
        <w:bidi w:val="0"/>
        <w:spacing w:line="336" w:lineRule="auto"/>
        <w:ind w:left="420" w:leftChars="0" w:firstLine="482" w:firstLineChars="0"/>
        <w:jc w:val="center"/>
        <w:textAlignment w:val="auto"/>
        <w:outlineLvl w:val="1"/>
        <w:rPr>
          <w:rFonts w:hint="eastAsia" w:ascii="宋体" w:hAnsi="宋体" w:eastAsia="宋体" w:cs="宋体"/>
          <w:b/>
          <w:bCs/>
          <w:kern w:val="0"/>
          <w:sz w:val="24"/>
          <w:szCs w:val="24"/>
        </w:rPr>
      </w:pPr>
      <w:r>
        <w:rPr>
          <w:rFonts w:hint="eastAsia" w:ascii="宋体" w:hAnsi="宋体" w:eastAsia="宋体" w:cs="宋体"/>
          <w:b/>
          <w:bCs/>
          <w:kern w:val="0"/>
          <w:sz w:val="24"/>
          <w:szCs w:val="24"/>
        </w:rPr>
        <w:t>磋商、评审、定标</w:t>
      </w:r>
      <w:bookmarkEnd w:id="75"/>
      <w:bookmarkEnd w:id="76"/>
      <w:bookmarkEnd w:id="77"/>
      <w:bookmarkEnd w:id="78"/>
      <w:bookmarkEnd w:id="79"/>
      <w:bookmarkEnd w:id="80"/>
      <w:bookmarkEnd w:id="81"/>
      <w:bookmarkEnd w:id="82"/>
    </w:p>
    <w:p w14:paraId="54243062">
      <w:pPr>
        <w:pStyle w:val="4"/>
        <w:pageBreakBefore w:val="0"/>
        <w:numPr>
          <w:ilvl w:val="0"/>
          <w:numId w:val="0"/>
        </w:numPr>
        <w:wordWrap/>
        <w:topLinePunct w:val="0"/>
        <w:autoSpaceDE/>
        <w:autoSpaceDN/>
        <w:bidi w:val="0"/>
        <w:spacing w:line="336" w:lineRule="auto"/>
        <w:ind w:firstLine="482" w:firstLineChars="200"/>
        <w:textAlignment w:val="auto"/>
        <w:rPr>
          <w:rFonts w:hint="default" w:ascii="宋体" w:hAnsi="宋体" w:eastAsia="宋体" w:cs="宋体"/>
          <w:sz w:val="24"/>
          <w:szCs w:val="24"/>
          <w:lang w:val="en-US" w:eastAsia="zh-CN"/>
        </w:rPr>
      </w:pPr>
      <w:bookmarkStart w:id="85" w:name="_Toc536202310"/>
      <w:r>
        <w:rPr>
          <w:rFonts w:hint="default" w:ascii="宋体" w:hAnsi="宋体" w:eastAsia="宋体" w:cs="宋体"/>
          <w:b/>
          <w:bCs/>
          <w:kern w:val="2"/>
          <w:sz w:val="24"/>
          <w:szCs w:val="24"/>
          <w:lang w:val="en-US" w:eastAsia="zh-CN" w:bidi="ar-SA"/>
        </w:rPr>
        <w:t>1</w:t>
      </w:r>
      <w:r>
        <w:rPr>
          <w:rFonts w:hint="eastAsia" w:ascii="宋体" w:hAnsi="宋体" w:cs="宋体"/>
          <w:b/>
          <w:bCs/>
          <w:kern w:val="2"/>
          <w:sz w:val="24"/>
          <w:szCs w:val="24"/>
          <w:lang w:val="en-US" w:eastAsia="zh-CN" w:bidi="ar-SA"/>
        </w:rPr>
        <w:t>.</w:t>
      </w:r>
      <w:r>
        <w:rPr>
          <w:rFonts w:hint="eastAsia" w:ascii="宋体" w:hAnsi="宋体" w:cs="宋体"/>
          <w:sz w:val="24"/>
          <w:szCs w:val="24"/>
          <w:lang w:val="en-US" w:eastAsia="zh-CN"/>
        </w:rPr>
        <w:t>开标、解密</w:t>
      </w:r>
    </w:p>
    <w:p w14:paraId="686C92F0">
      <w:pPr>
        <w:overflowPunct w:val="0"/>
        <w:adjustRightInd w:val="0"/>
        <w:snapToGrid w:val="0"/>
        <w:spacing w:line="360" w:lineRule="auto"/>
        <w:ind w:firstLine="480" w:firstLineChars="200"/>
        <w:rPr>
          <w:rFonts w:hint="eastAsia" w:ascii="宋体" w:hAnsi="宋体" w:eastAsia="宋体"/>
          <w:sz w:val="24"/>
          <w:szCs w:val="24"/>
          <w:lang w:eastAsia="zh-CN"/>
        </w:rPr>
      </w:pPr>
      <w:r>
        <w:rPr>
          <w:rFonts w:hint="eastAsia" w:ascii="宋体" w:hAnsi="宋体"/>
          <w:sz w:val="24"/>
          <w:szCs w:val="24"/>
          <w:lang w:val="en-US" w:eastAsia="zh-CN"/>
        </w:rPr>
        <w:t>1.1</w:t>
      </w:r>
      <w:r>
        <w:rPr>
          <w:rFonts w:ascii="宋体" w:hAnsi="宋体"/>
          <w:sz w:val="24"/>
          <w:szCs w:val="24"/>
        </w:rPr>
        <w:t>采购代理机构在</w:t>
      </w:r>
      <w:r>
        <w:rPr>
          <w:rFonts w:hint="eastAsia" w:ascii="宋体" w:hAnsi="宋体"/>
          <w:sz w:val="24"/>
          <w:szCs w:val="24"/>
          <w:lang w:val="en-US" w:eastAsia="zh-CN"/>
        </w:rPr>
        <w:t>磋商</w:t>
      </w:r>
      <w:r>
        <w:rPr>
          <w:rFonts w:hint="eastAsia" w:ascii="宋体" w:hAnsi="宋体"/>
          <w:sz w:val="24"/>
          <w:szCs w:val="24"/>
        </w:rPr>
        <w:t>文件</w:t>
      </w:r>
      <w:r>
        <w:rPr>
          <w:rFonts w:ascii="宋体" w:hAnsi="宋体"/>
          <w:sz w:val="24"/>
          <w:szCs w:val="24"/>
        </w:rPr>
        <w:t>规定的时间和地点组织</w:t>
      </w:r>
      <w:r>
        <w:rPr>
          <w:rFonts w:hint="eastAsia" w:ascii="宋体" w:hAnsi="宋体"/>
          <w:sz w:val="24"/>
          <w:szCs w:val="24"/>
          <w:lang w:val="en-US" w:eastAsia="zh-CN"/>
        </w:rPr>
        <w:t>开标会议</w:t>
      </w:r>
      <w:r>
        <w:rPr>
          <w:rFonts w:hint="eastAsia" w:ascii="宋体" w:hAnsi="宋体"/>
          <w:sz w:val="24"/>
          <w:szCs w:val="24"/>
          <w:lang w:eastAsia="zh-CN"/>
        </w:rPr>
        <w:t>，</w:t>
      </w:r>
      <w:r>
        <w:rPr>
          <w:rFonts w:hint="eastAsia" w:ascii="宋体" w:hAnsi="宋体" w:eastAsia="宋体" w:cs="宋体"/>
          <w:spacing w:val="-8"/>
          <w:w w:val="100"/>
          <w:sz w:val="24"/>
          <w:szCs w:val="24"/>
        </w:rPr>
        <w:t>整个过程受政府采购监管机构的监督、管理。</w:t>
      </w:r>
    </w:p>
    <w:p w14:paraId="2879D10E">
      <w:pPr>
        <w:overflowPunct w:val="0"/>
        <w:adjustRightInd w:val="0"/>
        <w:snapToGrid w:val="0"/>
        <w:spacing w:line="360" w:lineRule="auto"/>
        <w:ind w:firstLine="480" w:firstLineChars="200"/>
        <w:rPr>
          <w:rFonts w:ascii="宋体" w:hAnsi="宋体"/>
          <w:sz w:val="24"/>
          <w:szCs w:val="24"/>
        </w:rPr>
      </w:pPr>
      <w:r>
        <w:rPr>
          <w:rFonts w:hint="eastAsia" w:ascii="宋体" w:hAnsi="宋体"/>
          <w:sz w:val="24"/>
          <w:szCs w:val="24"/>
          <w:lang w:val="en-US" w:eastAsia="zh-CN"/>
        </w:rPr>
        <w:t>1.2</w:t>
      </w:r>
      <w:r>
        <w:rPr>
          <w:rFonts w:hint="eastAsia" w:ascii="宋体" w:hAnsi="宋体"/>
          <w:sz w:val="24"/>
          <w:szCs w:val="24"/>
        </w:rPr>
        <w:t>开标仪式由采购代理机构主持，采购人代表及有关人员参加。</w:t>
      </w:r>
    </w:p>
    <w:p w14:paraId="0A136734">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hint="eastAsia" w:ascii="宋体" w:hAnsi="宋体" w:eastAsia="宋体" w:cs="宋体"/>
          <w:spacing w:val="-8"/>
          <w:w w:val="100"/>
          <w:sz w:val="24"/>
          <w:szCs w:val="24"/>
          <w:lang w:eastAsia="zh-CN"/>
        </w:rPr>
      </w:pPr>
      <w:r>
        <w:rPr>
          <w:rFonts w:hint="eastAsia" w:ascii="宋体" w:hAnsi="宋体" w:eastAsia="宋体"/>
          <w:sz w:val="24"/>
          <w:szCs w:val="24"/>
          <w:lang w:val="en-US" w:eastAsia="zh-CN"/>
        </w:rPr>
        <w:t>1.3</w:t>
      </w:r>
      <w:r>
        <w:rPr>
          <w:rFonts w:hint="eastAsia" w:ascii="宋体" w:hAnsi="宋体" w:eastAsia="宋体" w:cs="宋体"/>
          <w:spacing w:val="-8"/>
          <w:w w:val="100"/>
          <w:sz w:val="24"/>
          <w:szCs w:val="24"/>
        </w:rPr>
        <w:t>本项目采用远程不见面开标方式进行开标、采购代理机构在规定的时间和地点组织开标，投标单位授权代表不到现场参加开标，须自行在各自办公场所，自备电脑在投标截止时间前登录不见面开标大厅，进行远程开标</w:t>
      </w:r>
      <w:r>
        <w:rPr>
          <w:rFonts w:hint="eastAsia" w:ascii="宋体" w:hAnsi="宋体" w:eastAsia="宋体" w:cs="宋体"/>
          <w:spacing w:val="-8"/>
          <w:w w:val="100"/>
          <w:sz w:val="24"/>
          <w:szCs w:val="24"/>
          <w:lang w:eastAsia="zh-CN"/>
        </w:rPr>
        <w:t>。</w:t>
      </w:r>
    </w:p>
    <w:p w14:paraId="4DC9A985">
      <w:pPr>
        <w:keepNext w:val="0"/>
        <w:keepLines w:val="0"/>
        <w:pageBreakBefore w:val="0"/>
        <w:widowControl w:val="0"/>
        <w:kinsoku/>
        <w:wordWrap w:val="0"/>
        <w:overflowPunct/>
        <w:topLinePunct w:val="0"/>
        <w:autoSpaceDE/>
        <w:autoSpaceDN/>
        <w:bidi w:val="0"/>
        <w:adjustRightInd/>
        <w:snapToGrid/>
        <w:spacing w:line="460" w:lineRule="exact"/>
        <w:ind w:firstLine="448" w:firstLineChars="200"/>
        <w:textAlignment w:val="auto"/>
        <w:rPr>
          <w:rFonts w:ascii="宋体" w:hAnsi="宋体" w:cs="宋体"/>
          <w:spacing w:val="-8"/>
          <w:sz w:val="24"/>
          <w:szCs w:val="24"/>
        </w:rPr>
      </w:pPr>
      <w:r>
        <w:rPr>
          <w:rFonts w:hint="eastAsia" w:ascii="宋体" w:hAnsi="宋体" w:eastAsia="宋体" w:cs="宋体"/>
          <w:spacing w:val="-8"/>
          <w:w w:val="100"/>
          <w:sz w:val="24"/>
          <w:szCs w:val="24"/>
          <w:lang w:val="en-US" w:eastAsia="zh-CN"/>
        </w:rPr>
        <w:t>1.3.1投标供应商在获取</w:t>
      </w:r>
      <w:r>
        <w:rPr>
          <w:rFonts w:hint="eastAsia" w:ascii="宋体" w:hAnsi="宋体" w:cs="宋体"/>
          <w:spacing w:val="-8"/>
          <w:w w:val="100"/>
          <w:sz w:val="24"/>
          <w:szCs w:val="24"/>
          <w:lang w:val="en-US" w:eastAsia="zh-CN"/>
        </w:rPr>
        <w:t>磋商</w:t>
      </w:r>
      <w:r>
        <w:rPr>
          <w:rFonts w:hint="eastAsia" w:ascii="宋体" w:hAnsi="宋体" w:eastAsia="宋体" w:cs="宋体"/>
          <w:spacing w:val="-8"/>
          <w:w w:val="100"/>
          <w:sz w:val="24"/>
          <w:szCs w:val="24"/>
          <w:lang w:val="en-US" w:eastAsia="zh-CN"/>
        </w:rPr>
        <w:t>文件后应在全国公共资源交易平台（陕西省.安康市）网站[</w:t>
      </w:r>
      <w:r>
        <w:rPr>
          <w:rFonts w:hint="eastAsia" w:ascii="宋体" w:hAnsi="宋体" w:cs="宋体"/>
          <w:spacing w:val="-8"/>
          <w:w w:val="100"/>
          <w:sz w:val="24"/>
          <w:szCs w:val="24"/>
          <w:lang w:val="en-US" w:eastAsia="zh-CN"/>
        </w:rPr>
        <w:t>新闻资讯</w:t>
      </w:r>
      <w:r>
        <w:rPr>
          <w:rFonts w:hint="eastAsia" w:ascii="宋体" w:hAnsi="宋体" w:eastAsia="宋体" w:cs="宋体"/>
          <w:spacing w:val="-8"/>
          <w:w w:val="100"/>
          <w:sz w:val="24"/>
          <w:szCs w:val="24"/>
          <w:lang w:val="en-US" w:eastAsia="zh-CN"/>
        </w:rPr>
        <w:t>→通知公告]中下载并详细阅读安康公共资源交易中心不见面开标系统（投标人）操作 http://www.sxggzyjy.cn/xwzx/002002/subPage.html，下载并详细阅读《关于陕西省公共资源交易平台多CA互认系统正式上线运行的通知》并下载最新版本驱动。</w:t>
      </w:r>
      <w:r>
        <w:rPr>
          <w:rFonts w:hint="eastAsia" w:ascii="宋体" w:hAnsi="宋体" w:cs="宋体"/>
          <w:spacing w:val="-8"/>
          <w:sz w:val="24"/>
          <w:szCs w:val="24"/>
        </w:rPr>
        <w:t>不见面开标系统：打开页面网址（http://219.145.206.209/BidOpeningHall/bidopeninghallaction/hall/login）选择点击右上角  “登录 ”，在左侧选择“投标人”身份，插入 CA 锁登录，输入密码后，点击“登录 ”，投标人登录之后可以看到当前投标人今日开标项目：选择要开标的项目，点击进入，页面首先阅读开标流程，点击“我已阅读 ” 进入开标大厅，点击“取消 ”返回项目列表页面。</w:t>
      </w:r>
    </w:p>
    <w:p w14:paraId="7E640D7E">
      <w:pPr>
        <w:spacing w:line="460" w:lineRule="exact"/>
        <w:ind w:firstLine="448" w:firstLineChars="200"/>
        <w:rPr>
          <w:rFonts w:ascii="宋体" w:hAnsi="宋体" w:cs="宋体"/>
          <w:spacing w:val="-8"/>
          <w:sz w:val="24"/>
          <w:szCs w:val="24"/>
        </w:rPr>
      </w:pPr>
      <w:r>
        <w:rPr>
          <w:rFonts w:hint="eastAsia" w:ascii="宋体" w:hAnsi="宋体" w:eastAsia="宋体" w:cs="宋体"/>
          <w:spacing w:val="-8"/>
          <w:w w:val="100"/>
          <w:sz w:val="24"/>
          <w:szCs w:val="24"/>
          <w:lang w:val="en-US" w:eastAsia="zh-CN"/>
        </w:rPr>
        <w:t>1.3.2</w:t>
      </w:r>
      <w:r>
        <w:rPr>
          <w:rFonts w:hint="eastAsia" w:ascii="宋体" w:hAnsi="宋体" w:eastAsia="宋体" w:cs="宋体"/>
          <w:spacing w:val="-8"/>
          <w:w w:val="100"/>
          <w:sz w:val="24"/>
          <w:szCs w:val="24"/>
        </w:rPr>
        <w:t>为顺利实现不见面开标系统的远程交互，建议投标人配置的软硬件设施有：高配置电脑、高速稳定的网络、电源（不间断）、CA 锁、音视频设备（话筒、耳麦、高清摄像头、音响），浏览器要求使用 IE11 浏览器，且电脑已经正确安装了陕西省公共资源 CA 驱动。</w:t>
      </w:r>
      <w:r>
        <w:rPr>
          <w:rFonts w:hint="eastAsia" w:ascii="宋体" w:hAnsi="宋体" w:cs="宋体"/>
          <w:spacing w:val="-8"/>
          <w:sz w:val="24"/>
          <w:szCs w:val="24"/>
        </w:rPr>
        <w:t>投标供应商需安装新点播放器，以便观看远程不见面开标直播画面（播放器下载链接为：https://download.bqpoint.com/download/downloaddetail.html?SourceFrom=Down&amp;SoftGuid=55aa4 e06-c384-4005-bcb9-48932d410fd4）。</w:t>
      </w:r>
    </w:p>
    <w:p w14:paraId="7CDB398D">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spacing w:val="-8"/>
          <w:w w:val="100"/>
          <w:sz w:val="24"/>
          <w:szCs w:val="24"/>
        </w:rPr>
      </w:pPr>
      <w:r>
        <w:rPr>
          <w:rFonts w:hint="eastAsia" w:ascii="宋体" w:hAnsi="宋体" w:eastAsia="宋体" w:cs="宋体"/>
          <w:spacing w:val="-8"/>
          <w:w w:val="100"/>
          <w:sz w:val="24"/>
          <w:szCs w:val="24"/>
          <w:lang w:val="en-US" w:eastAsia="zh-CN"/>
        </w:rPr>
        <w:t>1.3.3</w:t>
      </w:r>
      <w:r>
        <w:rPr>
          <w:rFonts w:hint="eastAsia" w:ascii="宋体" w:hAnsi="宋体" w:eastAsia="宋体" w:cs="宋体"/>
          <w:spacing w:val="-8"/>
          <w:w w:val="100"/>
          <w:sz w:val="24"/>
          <w:szCs w:val="24"/>
        </w:rPr>
        <w:t>投标人需注意 CA 锁一定要提前准备好，并确保 CA 锁为制作响应文件的 CA 锁。</w:t>
      </w:r>
    </w:p>
    <w:p w14:paraId="10669432">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spacing w:val="-8"/>
          <w:w w:val="100"/>
          <w:sz w:val="24"/>
          <w:szCs w:val="24"/>
          <w:lang w:val="en-AU"/>
        </w:rPr>
      </w:pPr>
      <w:r>
        <w:rPr>
          <w:rFonts w:hint="eastAsia" w:ascii="宋体" w:hAnsi="宋体" w:eastAsia="宋体" w:cs="宋体"/>
          <w:spacing w:val="-8"/>
          <w:w w:val="100"/>
          <w:sz w:val="24"/>
          <w:szCs w:val="24"/>
          <w:lang w:val="en-AU"/>
        </w:rPr>
        <w:t>不见面开标方式因投标人不来开标现场，资格审查如需提供复印件，请按文件中要求， 在响应文件中上传电子版。</w:t>
      </w:r>
    </w:p>
    <w:p w14:paraId="7BAC8067">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spacing w:val="-8"/>
          <w:w w:val="100"/>
          <w:sz w:val="24"/>
          <w:szCs w:val="24"/>
          <w:lang w:eastAsia="zh-CN"/>
        </w:rPr>
      </w:pPr>
      <w:r>
        <w:rPr>
          <w:rFonts w:hint="eastAsia" w:ascii="宋体" w:hAnsi="宋体" w:eastAsia="宋体" w:cs="宋体"/>
          <w:spacing w:val="-8"/>
          <w:w w:val="100"/>
          <w:sz w:val="24"/>
          <w:szCs w:val="24"/>
          <w:lang w:val="en-US" w:eastAsia="zh-CN"/>
        </w:rPr>
        <w:t>1.3.4</w:t>
      </w:r>
      <w:r>
        <w:rPr>
          <w:rFonts w:hint="eastAsia" w:ascii="宋体" w:hAnsi="宋体" w:eastAsia="宋体" w:cs="宋体"/>
          <w:spacing w:val="-8"/>
          <w:w w:val="100"/>
          <w:sz w:val="24"/>
          <w:szCs w:val="24"/>
        </w:rPr>
        <w:t>开标时间到了之后就不能签到，建议投标人在开标前半小时登录不见面开标大厅， 并及时签到（开标前 60 分钟即可签到），遇到问题及时联系客服 029-88661292、88661267、88661241</w:t>
      </w:r>
      <w:r>
        <w:rPr>
          <w:rFonts w:hint="eastAsia" w:ascii="宋体" w:hAnsi="宋体" w:eastAsia="宋体" w:cs="宋体"/>
          <w:spacing w:val="-8"/>
          <w:w w:val="100"/>
          <w:sz w:val="24"/>
          <w:szCs w:val="24"/>
          <w:lang w:eastAsia="zh-CN"/>
        </w:rPr>
        <w:t>。</w:t>
      </w:r>
    </w:p>
    <w:p w14:paraId="265A47A4">
      <w:pPr>
        <w:spacing w:line="460" w:lineRule="exact"/>
        <w:ind w:firstLine="448" w:firstLineChars="200"/>
        <w:rPr>
          <w:rFonts w:ascii="宋体" w:hAnsi="宋体" w:cs="宋体"/>
          <w:spacing w:val="-8"/>
          <w:sz w:val="24"/>
          <w:szCs w:val="24"/>
        </w:rPr>
      </w:pPr>
      <w:r>
        <w:rPr>
          <w:rFonts w:hint="eastAsia" w:ascii="宋体" w:hAnsi="宋体" w:eastAsia="宋体" w:cs="宋体"/>
          <w:spacing w:val="-8"/>
          <w:w w:val="100"/>
          <w:sz w:val="24"/>
          <w:szCs w:val="24"/>
          <w:lang w:val="en-US" w:eastAsia="zh-CN"/>
        </w:rPr>
        <w:t>1.3.5</w:t>
      </w:r>
      <w:r>
        <w:rPr>
          <w:rFonts w:hint="eastAsia" w:ascii="宋体" w:hAnsi="宋体" w:cs="宋体"/>
          <w:spacing w:val="-8"/>
          <w:sz w:val="24"/>
          <w:szCs w:val="24"/>
        </w:rPr>
        <w:t>开标时，供应商须使用电子投标文件加密时所用的数字认证证书CA 锁在自备电脑上自行远程解密电子投标文件。供应商请及时关注不见面开标大厅右侧公告及互动栏目信息。</w:t>
      </w:r>
    </w:p>
    <w:p w14:paraId="0ED2FF13">
      <w:pPr>
        <w:spacing w:line="460" w:lineRule="exact"/>
        <w:ind w:firstLine="448" w:firstLineChars="200"/>
        <w:rPr>
          <w:rFonts w:hint="eastAsia" w:ascii="宋体" w:hAnsi="宋体" w:cs="宋体"/>
          <w:spacing w:val="-8"/>
          <w:sz w:val="24"/>
          <w:szCs w:val="24"/>
          <w:highlight w:val="none"/>
        </w:rPr>
      </w:pPr>
      <w:r>
        <w:rPr>
          <w:rFonts w:hint="eastAsia" w:ascii="宋体" w:hAnsi="宋体" w:cs="宋体"/>
          <w:spacing w:val="-8"/>
          <w:sz w:val="24"/>
          <w:szCs w:val="24"/>
        </w:rPr>
        <w:t xml:space="preserve">系统默认解密时长为 </w:t>
      </w:r>
      <w:r>
        <w:rPr>
          <w:rFonts w:hint="eastAsia" w:ascii="宋体" w:hAnsi="宋体" w:cs="宋体"/>
          <w:spacing w:val="-8"/>
          <w:sz w:val="24"/>
          <w:szCs w:val="24"/>
          <w:lang w:val="en-US" w:eastAsia="zh-CN"/>
        </w:rPr>
        <w:t>60</w:t>
      </w:r>
      <w:r>
        <w:rPr>
          <w:rFonts w:hint="eastAsia" w:ascii="宋体" w:hAnsi="宋体" w:cs="宋体"/>
          <w:spacing w:val="-8"/>
          <w:sz w:val="24"/>
          <w:szCs w:val="24"/>
        </w:rPr>
        <w:t>分钟，投标单位需在解密时</w:t>
      </w:r>
      <w:r>
        <w:rPr>
          <w:rFonts w:hint="eastAsia" w:ascii="宋体" w:hAnsi="宋体" w:eastAsia="宋体" w:cs="宋体"/>
          <w:spacing w:val="-8"/>
          <w:w w:val="100"/>
          <w:sz w:val="24"/>
          <w:szCs w:val="24"/>
        </w:rPr>
        <w:t>间规定内完成响应</w:t>
      </w:r>
      <w:r>
        <w:rPr>
          <w:rFonts w:hint="eastAsia" w:ascii="宋体" w:hAnsi="宋体" w:eastAsia="宋体" w:cs="宋体"/>
          <w:spacing w:val="-8"/>
          <w:w w:val="100"/>
          <w:sz w:val="24"/>
          <w:szCs w:val="24"/>
          <w:lang w:val="en-US" w:eastAsia="zh-CN"/>
        </w:rPr>
        <w:t>文件</w:t>
      </w:r>
      <w:r>
        <w:rPr>
          <w:rFonts w:hint="eastAsia" w:ascii="宋体" w:hAnsi="宋体" w:cs="宋体"/>
          <w:spacing w:val="-8"/>
          <w:sz w:val="24"/>
          <w:szCs w:val="24"/>
        </w:rPr>
        <w:t>解密</w:t>
      </w:r>
      <w:r>
        <w:rPr>
          <w:rFonts w:hint="eastAsia" w:ascii="宋体" w:hAnsi="宋体" w:cs="宋体"/>
          <w:spacing w:val="-8"/>
          <w:sz w:val="24"/>
          <w:szCs w:val="24"/>
          <w:lang w:eastAsia="zh-CN"/>
        </w:rPr>
        <w:t>，</w:t>
      </w:r>
      <w:r>
        <w:rPr>
          <w:rFonts w:hint="eastAsia" w:ascii="宋体" w:hAnsi="宋体" w:cs="宋体"/>
          <w:spacing w:val="-8"/>
          <w:sz w:val="24"/>
          <w:szCs w:val="24"/>
          <w:lang w:val="en-US" w:eastAsia="zh-CN"/>
        </w:rPr>
        <w:t>如因</w:t>
      </w:r>
      <w:r>
        <w:rPr>
          <w:rFonts w:hint="eastAsia" w:ascii="宋体" w:hAnsi="宋体" w:cs="宋体"/>
          <w:spacing w:val="-8"/>
          <w:sz w:val="24"/>
          <w:szCs w:val="24"/>
        </w:rPr>
        <w:t>投标单位</w:t>
      </w:r>
      <w:r>
        <w:rPr>
          <w:rFonts w:hint="eastAsia" w:ascii="宋体" w:hAnsi="宋体" w:cs="宋体"/>
          <w:spacing w:val="-8"/>
          <w:sz w:val="24"/>
          <w:szCs w:val="24"/>
          <w:lang w:val="en-US" w:eastAsia="zh-CN"/>
        </w:rPr>
        <w:t>自身原因未在</w:t>
      </w:r>
      <w:r>
        <w:rPr>
          <w:rFonts w:hint="eastAsia" w:ascii="宋体" w:hAnsi="宋体" w:cs="宋体"/>
          <w:spacing w:val="-8"/>
          <w:sz w:val="24"/>
          <w:szCs w:val="24"/>
        </w:rPr>
        <w:t>规定</w:t>
      </w:r>
      <w:r>
        <w:rPr>
          <w:rFonts w:hint="eastAsia" w:ascii="宋体" w:hAnsi="宋体" w:cs="宋体"/>
          <w:spacing w:val="-8"/>
          <w:sz w:val="24"/>
          <w:szCs w:val="24"/>
          <w:lang w:val="en-US" w:eastAsia="zh-CN"/>
        </w:rPr>
        <w:t>时间内完成解密的，采购代理机构将在系统中退回未解密的响应文件，被退回的响应文件将不再参与后续的开标活动</w:t>
      </w:r>
      <w:r>
        <w:rPr>
          <w:rFonts w:hint="eastAsia" w:ascii="宋体" w:hAnsi="宋体" w:cs="宋体"/>
          <w:spacing w:val="-8"/>
          <w:sz w:val="24"/>
          <w:szCs w:val="24"/>
        </w:rPr>
        <w:t>。所有投标单位解密完成后由开标人员将响应文件导入开评标系统。</w:t>
      </w:r>
    </w:p>
    <w:p w14:paraId="34F6B020">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spacing w:val="-8"/>
          <w:w w:val="100"/>
          <w:sz w:val="24"/>
          <w:szCs w:val="24"/>
        </w:rPr>
      </w:pPr>
      <w:r>
        <w:rPr>
          <w:rFonts w:hint="eastAsia" w:ascii="宋体" w:hAnsi="宋体" w:eastAsia="宋体" w:cs="宋体"/>
          <w:spacing w:val="-8"/>
          <w:w w:val="100"/>
          <w:sz w:val="24"/>
          <w:szCs w:val="24"/>
          <w:lang w:val="en-US" w:eastAsia="zh-CN"/>
        </w:rPr>
        <w:t>1.4</w:t>
      </w:r>
      <w:r>
        <w:rPr>
          <w:rFonts w:hint="eastAsia" w:ascii="宋体" w:hAnsi="宋体" w:eastAsia="宋体" w:cs="宋体"/>
          <w:spacing w:val="-8"/>
          <w:w w:val="100"/>
          <w:sz w:val="24"/>
          <w:szCs w:val="24"/>
        </w:rPr>
        <w:t>特殊情形下的应急处置</w:t>
      </w:r>
    </w:p>
    <w:p w14:paraId="480FAD88">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ascii="宋体" w:hAnsi="Calibri"/>
          <w:sz w:val="24"/>
          <w:szCs w:val="28"/>
        </w:rPr>
      </w:pPr>
      <w:r>
        <w:rPr>
          <w:rFonts w:hint="eastAsia" w:ascii="宋体" w:hAnsi="宋体" w:eastAsia="宋体" w:cs="宋体"/>
          <w:spacing w:val="-8"/>
          <w:w w:val="100"/>
          <w:sz w:val="24"/>
          <w:szCs w:val="24"/>
        </w:rPr>
        <w:t>在开标、评审过程中，如因停电、断网、电子化系统故障等原因导致电子化开、评标无法正常进行时，将</w:t>
      </w:r>
      <w:r>
        <w:rPr>
          <w:rFonts w:hint="eastAsia" w:ascii="宋体" w:hAnsi="宋体" w:eastAsia="宋体" w:cs="宋体"/>
          <w:spacing w:val="-8"/>
          <w:w w:val="100"/>
          <w:sz w:val="24"/>
          <w:szCs w:val="24"/>
          <w:lang w:eastAsia="zh-CN"/>
        </w:rPr>
        <w:t>按照采购监管机构及公共资源交易中心统一安排部署</w:t>
      </w:r>
      <w:r>
        <w:rPr>
          <w:rFonts w:hint="eastAsia" w:ascii="宋体" w:hAnsi="宋体" w:eastAsia="宋体" w:cs="宋体"/>
          <w:spacing w:val="-8"/>
          <w:w w:val="100"/>
          <w:sz w:val="24"/>
          <w:szCs w:val="24"/>
        </w:rPr>
        <w:t>开展后续采购活动。</w:t>
      </w:r>
    </w:p>
    <w:p w14:paraId="15BD9912">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sz w:val="24"/>
          <w:szCs w:val="24"/>
        </w:rPr>
      </w:pPr>
      <w:r>
        <w:rPr>
          <w:rFonts w:hint="default" w:ascii="宋体" w:hAnsi="宋体" w:eastAsia="宋体" w:cs="宋体"/>
          <w:b/>
          <w:bCs/>
          <w:kern w:val="2"/>
          <w:sz w:val="24"/>
          <w:szCs w:val="24"/>
          <w:lang w:val="en-US" w:eastAsia="zh-CN" w:bidi="ar-SA"/>
        </w:rPr>
        <w:t>2</w:t>
      </w:r>
      <w:r>
        <w:rPr>
          <w:rFonts w:hint="eastAsia" w:ascii="宋体" w:hAnsi="宋体" w:cs="宋体"/>
          <w:b/>
          <w:bCs/>
          <w:kern w:val="2"/>
          <w:sz w:val="24"/>
          <w:szCs w:val="24"/>
          <w:lang w:val="en-US" w:eastAsia="zh-CN" w:bidi="ar-SA"/>
        </w:rPr>
        <w:t>.</w:t>
      </w:r>
      <w:r>
        <w:rPr>
          <w:rFonts w:hint="eastAsia" w:ascii="宋体" w:hAnsi="宋体" w:eastAsia="宋体" w:cs="宋体"/>
          <w:sz w:val="24"/>
          <w:szCs w:val="24"/>
        </w:rPr>
        <w:t>磋商小组</w:t>
      </w:r>
      <w:bookmarkEnd w:id="85"/>
    </w:p>
    <w:p w14:paraId="22C153B2">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bookmarkStart w:id="86" w:name="_Toc536202311"/>
      <w:bookmarkStart w:id="87" w:name="_Toc385958808"/>
      <w:bookmarkStart w:id="88" w:name="_Toc27940"/>
      <w:bookmarkStart w:id="89" w:name="_Toc386129876"/>
      <w:bookmarkStart w:id="90" w:name="_Toc28085"/>
      <w:r>
        <w:rPr>
          <w:rFonts w:hint="eastAsia" w:ascii="宋体" w:hAnsi="宋体" w:eastAsia="宋体" w:cs="宋体"/>
          <w:sz w:val="24"/>
          <w:szCs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3A94B7D7">
      <w:pPr>
        <w:pageBreakBefore w:val="0"/>
        <w:wordWrap/>
        <w:topLinePunct w:val="0"/>
        <w:autoSpaceDE/>
        <w:autoSpaceDN/>
        <w:bidi w:val="0"/>
        <w:spacing w:line="336" w:lineRule="auto"/>
        <w:ind w:firstLine="458" w:firstLineChars="191"/>
        <w:textAlignment w:val="auto"/>
        <w:rPr>
          <w:rFonts w:hint="eastAsia" w:ascii="宋体" w:hAnsi="宋体" w:eastAsia="宋体" w:cs="宋体"/>
          <w:sz w:val="24"/>
          <w:szCs w:val="24"/>
        </w:rPr>
      </w:pPr>
      <w:r>
        <w:rPr>
          <w:rFonts w:hint="eastAsia" w:ascii="宋体" w:hAnsi="宋体" w:eastAsia="宋体" w:cs="宋体"/>
          <w:sz w:val="24"/>
          <w:szCs w:val="24"/>
        </w:rPr>
        <w:t>（1）要严格遵守政府采购相关法律制度，依法履行各自职责，公正、客观、审慎地组织和参与评审工作；</w:t>
      </w:r>
    </w:p>
    <w:p w14:paraId="3864319C">
      <w:pPr>
        <w:pageBreakBefore w:val="0"/>
        <w:tabs>
          <w:tab w:val="left" w:pos="1200"/>
        </w:tabs>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（2）对所有响应文件逐一进行资格性、符合性审查，并</w:t>
      </w:r>
      <w:r>
        <w:rPr>
          <w:rFonts w:hint="eastAsia" w:ascii="宋体" w:hAnsi="宋体" w:cs="宋体"/>
          <w:sz w:val="24"/>
          <w:szCs w:val="24"/>
          <w:lang w:eastAsia="zh-CN"/>
        </w:rPr>
        <w:t>作出评价</w:t>
      </w:r>
      <w:r>
        <w:rPr>
          <w:rFonts w:hint="eastAsia" w:ascii="宋体" w:hAnsi="宋体" w:eastAsia="宋体" w:cs="宋体"/>
          <w:sz w:val="24"/>
          <w:szCs w:val="24"/>
        </w:rPr>
        <w:t>；</w:t>
      </w:r>
    </w:p>
    <w:p w14:paraId="71836C75">
      <w:pPr>
        <w:pageBreakBefore w:val="0"/>
        <w:tabs>
          <w:tab w:val="left" w:pos="1200"/>
        </w:tabs>
        <w:wordWrap/>
        <w:topLinePunct w:val="0"/>
        <w:autoSpaceDE/>
        <w:autoSpaceDN/>
        <w:bidi w:val="0"/>
        <w:spacing w:line="336" w:lineRule="auto"/>
        <w:ind w:left="17" w:leftChars="8" w:firstLine="458" w:firstLineChars="191"/>
        <w:textAlignment w:val="auto"/>
        <w:rPr>
          <w:rFonts w:hint="eastAsia" w:ascii="宋体" w:hAnsi="宋体" w:eastAsia="宋体" w:cs="宋体"/>
          <w:sz w:val="24"/>
          <w:szCs w:val="24"/>
        </w:rPr>
      </w:pPr>
      <w:r>
        <w:rPr>
          <w:rFonts w:hint="eastAsia" w:ascii="宋体" w:hAnsi="宋体" w:eastAsia="宋体" w:cs="宋体"/>
          <w:sz w:val="24"/>
          <w:szCs w:val="24"/>
        </w:rPr>
        <w:t>（3）按磋商文件规定的评审方法和标准，进行比较和评价；对供应商的价格分等客观评分项的评分应当一致；</w:t>
      </w:r>
    </w:p>
    <w:p w14:paraId="58D3DC6D">
      <w:pPr>
        <w:pageBreakBefore w:val="0"/>
        <w:wordWrap/>
        <w:topLinePunct w:val="0"/>
        <w:autoSpaceDE/>
        <w:autoSpaceDN/>
        <w:bidi w:val="0"/>
        <w:spacing w:line="336" w:lineRule="auto"/>
        <w:ind w:left="839" w:leftChars="228" w:hanging="360" w:hangingChars="150"/>
        <w:textAlignment w:val="auto"/>
        <w:rPr>
          <w:rFonts w:hint="eastAsia" w:ascii="宋体" w:hAnsi="宋体" w:eastAsia="宋体" w:cs="宋体"/>
          <w:sz w:val="24"/>
          <w:szCs w:val="24"/>
        </w:rPr>
      </w:pPr>
      <w:r>
        <w:rPr>
          <w:rFonts w:hint="eastAsia" w:ascii="宋体" w:hAnsi="宋体" w:eastAsia="宋体" w:cs="宋体"/>
          <w:sz w:val="24"/>
          <w:szCs w:val="24"/>
        </w:rPr>
        <w:t>（4）要求供应商对响应文件有关事项作出解释或澄清；</w:t>
      </w:r>
    </w:p>
    <w:p w14:paraId="71E9D0FE">
      <w:pPr>
        <w:pageBreakBefore w:val="0"/>
        <w:wordWrap/>
        <w:topLinePunct w:val="0"/>
        <w:autoSpaceDE/>
        <w:autoSpaceDN/>
        <w:bidi w:val="0"/>
        <w:spacing w:line="336" w:lineRule="auto"/>
        <w:ind w:left="17" w:leftChars="8" w:firstLine="458" w:firstLineChars="191"/>
        <w:textAlignment w:val="auto"/>
        <w:rPr>
          <w:rFonts w:hint="eastAsia" w:ascii="宋体" w:hAnsi="宋体" w:eastAsia="宋体" w:cs="宋体"/>
          <w:sz w:val="24"/>
          <w:szCs w:val="24"/>
        </w:rPr>
      </w:pPr>
      <w:r>
        <w:rPr>
          <w:rFonts w:hint="eastAsia" w:ascii="宋体" w:hAnsi="宋体" w:eastAsia="宋体" w:cs="宋体"/>
          <w:sz w:val="24"/>
          <w:szCs w:val="24"/>
        </w:rPr>
        <w:t>（5）要依法独立评审，按照磋商文件的要求和评标标准进行评标，推荐成交候选供应商名单，对评审意见承担个人责任；</w:t>
      </w:r>
    </w:p>
    <w:p w14:paraId="18ACD698">
      <w:pPr>
        <w:pageBreakBefore w:val="0"/>
        <w:wordWrap/>
        <w:topLinePunct w:val="0"/>
        <w:autoSpaceDE/>
        <w:autoSpaceDN/>
        <w:bidi w:val="0"/>
        <w:spacing w:line="336" w:lineRule="auto"/>
        <w:ind w:left="1" w:leftChars="-171" w:hanging="360" w:hangingChars="150"/>
        <w:textAlignment w:val="auto"/>
        <w:rPr>
          <w:rFonts w:hint="eastAsia" w:ascii="宋体" w:hAnsi="宋体" w:eastAsia="宋体" w:cs="宋体"/>
          <w:sz w:val="24"/>
          <w:szCs w:val="24"/>
        </w:rPr>
      </w:pPr>
      <w:r>
        <w:rPr>
          <w:rFonts w:hint="eastAsia" w:ascii="宋体" w:hAnsi="宋体" w:eastAsia="宋体" w:cs="宋体"/>
          <w:sz w:val="24"/>
          <w:szCs w:val="24"/>
        </w:rPr>
        <w:t xml:space="preserve">       （6）对需要共同认定的事项存在争议的，按照少数服从多数的原则</w:t>
      </w:r>
      <w:r>
        <w:rPr>
          <w:rFonts w:hint="eastAsia" w:ascii="宋体" w:hAnsi="宋体" w:cs="宋体"/>
          <w:sz w:val="24"/>
          <w:szCs w:val="24"/>
          <w:lang w:eastAsia="zh-CN"/>
        </w:rPr>
        <w:t>作出</w:t>
      </w:r>
      <w:r>
        <w:rPr>
          <w:rFonts w:hint="eastAsia" w:ascii="宋体" w:hAnsi="宋体" w:eastAsia="宋体" w:cs="宋体"/>
          <w:sz w:val="24"/>
          <w:szCs w:val="24"/>
        </w:rPr>
        <w:t xml:space="preserve">结论。持不同意见的磋商小组成员应当在评审报告上签署不同意见并说明理由，否则视为同意； </w:t>
      </w:r>
    </w:p>
    <w:p w14:paraId="07A389D2">
      <w:pPr>
        <w:pageBreakBefore w:val="0"/>
        <w:wordWrap/>
        <w:topLinePunct w:val="0"/>
        <w:autoSpaceDE/>
        <w:autoSpaceDN/>
        <w:bidi w:val="0"/>
        <w:spacing w:line="336" w:lineRule="auto"/>
        <w:ind w:left="839" w:leftChars="228" w:hanging="360" w:hangingChars="150"/>
        <w:textAlignment w:val="auto"/>
        <w:rPr>
          <w:rFonts w:hint="eastAsia" w:ascii="宋体" w:hAnsi="宋体" w:eastAsia="宋体" w:cs="宋体"/>
          <w:sz w:val="24"/>
          <w:szCs w:val="24"/>
        </w:rPr>
      </w:pPr>
      <w:r>
        <w:rPr>
          <w:rFonts w:hint="eastAsia" w:ascii="宋体" w:hAnsi="宋体" w:eastAsia="宋体" w:cs="宋体"/>
          <w:sz w:val="24"/>
          <w:szCs w:val="24"/>
        </w:rPr>
        <w:t>（7）对评审情况以及在评审过程中获悉的国家秘密、商业秘密负有保密责任；</w:t>
      </w:r>
    </w:p>
    <w:p w14:paraId="3ECC1C19">
      <w:pPr>
        <w:pageBreakBefore w:val="0"/>
        <w:wordWrap/>
        <w:topLinePunct w:val="0"/>
        <w:autoSpaceDE/>
        <w:autoSpaceDN/>
        <w:bidi w:val="0"/>
        <w:spacing w:line="336" w:lineRule="auto"/>
        <w:ind w:left="359" w:leftChars="171"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(8) 配合财政部门的投诉处理工作；</w:t>
      </w:r>
    </w:p>
    <w:p w14:paraId="25EF29A8">
      <w:pPr>
        <w:pageBreakBefore w:val="0"/>
        <w:wordWrap/>
        <w:topLinePunct w:val="0"/>
        <w:autoSpaceDE/>
        <w:autoSpaceDN/>
        <w:bidi w:val="0"/>
        <w:spacing w:line="336" w:lineRule="auto"/>
        <w:ind w:firstLine="600" w:firstLineChars="250"/>
        <w:textAlignment w:val="auto"/>
        <w:rPr>
          <w:rFonts w:hint="eastAsia" w:ascii="宋体" w:hAnsi="宋体" w:eastAsia="宋体" w:cs="宋体"/>
          <w:sz w:val="24"/>
          <w:szCs w:val="24"/>
        </w:rPr>
      </w:pPr>
      <w:r>
        <w:rPr>
          <w:rFonts w:hint="eastAsia" w:ascii="宋体" w:hAnsi="宋体" w:eastAsia="宋体" w:cs="宋体"/>
          <w:sz w:val="24"/>
          <w:szCs w:val="24"/>
        </w:rPr>
        <w:t>(9) 配合采购人、采购代理机构答复供应商提出的质疑。</w:t>
      </w:r>
    </w:p>
    <w:bookmarkEnd w:id="86"/>
    <w:bookmarkEnd w:id="87"/>
    <w:bookmarkEnd w:id="88"/>
    <w:bookmarkEnd w:id="89"/>
    <w:bookmarkEnd w:id="90"/>
    <w:p w14:paraId="0E0FD6E4">
      <w:pPr>
        <w:pageBreakBefore w:val="0"/>
        <w:wordWrap/>
        <w:topLinePunct w:val="0"/>
        <w:autoSpaceDE/>
        <w:autoSpaceDN/>
        <w:bidi w:val="0"/>
        <w:spacing w:line="336" w:lineRule="auto"/>
        <w:ind w:firstLine="482" w:firstLineChars="200"/>
        <w:textAlignment w:val="auto"/>
        <w:rPr>
          <w:rFonts w:hint="eastAsia" w:ascii="宋体" w:hAnsi="宋体" w:eastAsia="宋体" w:cs="宋体"/>
          <w:b/>
          <w:sz w:val="24"/>
          <w:szCs w:val="24"/>
        </w:rPr>
      </w:pPr>
      <w:bookmarkStart w:id="91" w:name="_Toc536202313"/>
      <w:r>
        <w:rPr>
          <w:rFonts w:hint="eastAsia" w:ascii="宋体" w:hAnsi="宋体" w:eastAsia="宋体" w:cs="宋体"/>
          <w:b/>
          <w:sz w:val="24"/>
          <w:szCs w:val="24"/>
        </w:rPr>
        <w:t>3</w:t>
      </w:r>
      <w:r>
        <w:rPr>
          <w:rFonts w:hint="eastAsia" w:ascii="宋体" w:hAnsi="宋体" w:cs="宋体"/>
          <w:b/>
          <w:sz w:val="24"/>
          <w:szCs w:val="24"/>
          <w:lang w:val="en-US" w:eastAsia="zh-CN"/>
        </w:rPr>
        <w:t>.</w:t>
      </w:r>
      <w:r>
        <w:rPr>
          <w:rFonts w:hint="eastAsia" w:ascii="宋体" w:hAnsi="宋体" w:eastAsia="宋体" w:cs="宋体"/>
          <w:b/>
          <w:sz w:val="24"/>
          <w:szCs w:val="24"/>
        </w:rPr>
        <w:t>响应文件的初审</w:t>
      </w:r>
    </w:p>
    <w:p w14:paraId="77E5E5E0">
      <w:pPr>
        <w:pageBreakBefore w:val="0"/>
        <w:wordWrap/>
        <w:topLinePunct w:val="0"/>
        <w:autoSpaceDE/>
        <w:autoSpaceDN/>
        <w:bidi w:val="0"/>
        <w:spacing w:line="336"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（1）初审分为资格性审查和符合性审查。</w:t>
      </w:r>
    </w:p>
    <w:p w14:paraId="6A2EFD75">
      <w:pPr>
        <w:pageBreakBefore w:val="0"/>
        <w:wordWrap/>
        <w:topLinePunct w:val="0"/>
        <w:autoSpaceDE/>
        <w:autoSpaceDN/>
        <w:bidi w:val="0"/>
        <w:spacing w:line="336"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（2）资格性审查：依据磋商文件</w:t>
      </w:r>
      <w:r>
        <w:rPr>
          <w:rFonts w:hint="eastAsia" w:ascii="宋体" w:hAnsi="宋体" w:cs="宋体"/>
          <w:sz w:val="24"/>
          <w:szCs w:val="24"/>
          <w:lang w:val="en-US" w:eastAsia="zh-CN"/>
        </w:rPr>
        <w:t>须知前附表</w:t>
      </w:r>
      <w:r>
        <w:rPr>
          <w:rFonts w:asciiTheme="minorEastAsia" w:hAnsiTheme="minorEastAsia" w:eastAsiaTheme="minorEastAsia"/>
          <w:color w:val="000000" w:themeColor="text1"/>
          <w:sz w:val="24"/>
          <w:szCs w:val="24"/>
          <w14:textFill>
            <w14:solidFill>
              <w14:schemeClr w14:val="tx1"/>
            </w14:solidFill>
          </w14:textFill>
        </w:rPr>
        <w:t>投标人</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资格</w:t>
      </w:r>
      <w:r>
        <w:rPr>
          <w:rFonts w:asciiTheme="minorEastAsia" w:hAnsiTheme="minorEastAsia" w:eastAsiaTheme="minorEastAsia"/>
          <w:color w:val="000000" w:themeColor="text1"/>
          <w:sz w:val="24"/>
          <w:szCs w:val="24"/>
          <w14:textFill>
            <w14:solidFill>
              <w14:schemeClr w14:val="tx1"/>
            </w14:solidFill>
          </w14:textFill>
        </w:rPr>
        <w:t>要求</w:t>
      </w:r>
      <w:r>
        <w:rPr>
          <w:rFonts w:hint="eastAsia" w:ascii="宋体" w:hAnsi="宋体" w:eastAsia="宋体" w:cs="宋体"/>
          <w:sz w:val="24"/>
          <w:szCs w:val="24"/>
        </w:rPr>
        <w:t>的规定，</w:t>
      </w:r>
      <w:r>
        <w:rPr>
          <w:rFonts w:hint="eastAsia" w:ascii="宋体" w:hAnsi="宋体" w:cs="宋体"/>
          <w:sz w:val="24"/>
          <w:szCs w:val="24"/>
          <w:lang w:val="en-US" w:eastAsia="zh-CN"/>
        </w:rPr>
        <w:t>磋商小组</w:t>
      </w:r>
      <w:r>
        <w:rPr>
          <w:rFonts w:hint="eastAsia" w:ascii="宋体" w:hAnsi="宋体" w:eastAsia="宋体" w:cs="宋体"/>
          <w:sz w:val="24"/>
          <w:szCs w:val="24"/>
        </w:rPr>
        <w:t>对</w:t>
      </w:r>
      <w:r>
        <w:rPr>
          <w:rFonts w:hint="eastAsia" w:ascii="宋体" w:hAnsi="宋体" w:cs="宋体"/>
          <w:sz w:val="24"/>
          <w:szCs w:val="24"/>
          <w:lang w:val="en-US" w:eastAsia="zh-CN"/>
        </w:rPr>
        <w:t>投标人</w:t>
      </w:r>
      <w:r>
        <w:rPr>
          <w:rFonts w:hint="eastAsia" w:ascii="宋体" w:hAnsi="宋体" w:eastAsia="宋体" w:cs="宋体"/>
          <w:sz w:val="24"/>
          <w:szCs w:val="24"/>
        </w:rPr>
        <w:t>的资格证明文件进行审查，以确定供应商是否具备磋商资格。</w:t>
      </w:r>
    </w:p>
    <w:p w14:paraId="0AF0F405">
      <w:pPr>
        <w:pageBreakBefore w:val="0"/>
        <w:wordWrap/>
        <w:topLinePunct w:val="0"/>
        <w:autoSpaceDE/>
        <w:autoSpaceDN/>
        <w:bidi w:val="0"/>
        <w:spacing w:line="336"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（3）符合性审查：依据磋商文件规定，从响应文件的有效性、完整性和对磋商文件的响应程度进行审查。</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2418"/>
        <w:gridCol w:w="3857"/>
        <w:gridCol w:w="1029"/>
        <w:gridCol w:w="1532"/>
      </w:tblGrid>
      <w:tr w14:paraId="07CEE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top"/>
          </w:tcPr>
          <w:p w14:paraId="3617B076">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271"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1F29623E">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2027"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1F1D22B7">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541"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5AD875F3">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结论</w:t>
            </w:r>
          </w:p>
        </w:tc>
        <w:tc>
          <w:tcPr>
            <w:tcW w:w="803"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5B552D2B">
            <w:pPr>
              <w:keepNext w:val="0"/>
              <w:keepLines w:val="0"/>
              <w:pageBreakBefore w:val="0"/>
              <w:widowControl/>
              <w:kinsoku/>
              <w:wordWrap/>
              <w:overflowPunct/>
              <w:topLinePunct w:val="0"/>
              <w:autoSpaceDE/>
              <w:autoSpaceDN/>
              <w:bidi w:val="0"/>
              <w:adjustRightInd/>
              <w:snapToGrid/>
              <w:spacing w:line="288" w:lineRule="auto"/>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未通过原因</w:t>
            </w:r>
          </w:p>
        </w:tc>
      </w:tr>
      <w:tr w14:paraId="522F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5EFA3DFE">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val="en-US" w:eastAsia="zh-CN"/>
              </w:rPr>
              <w:t>1</w:t>
            </w:r>
          </w:p>
        </w:tc>
        <w:tc>
          <w:tcPr>
            <w:tcW w:w="1271" w:type="pct"/>
            <w:tcBorders>
              <w:top w:val="single" w:color="auto" w:sz="4" w:space="0"/>
              <w:left w:val="single" w:color="auto" w:sz="4" w:space="0"/>
              <w:bottom w:val="single" w:color="auto" w:sz="4" w:space="0"/>
              <w:right w:val="single" w:color="auto" w:sz="4" w:space="0"/>
            </w:tcBorders>
            <w:vAlign w:val="top"/>
          </w:tcPr>
          <w:p w14:paraId="31D48BA2">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文件封面、投标函、法定代表人委托授权书三处的项目名称、项目编号、标段（未分标段的除外）</w:t>
            </w:r>
          </w:p>
        </w:tc>
        <w:tc>
          <w:tcPr>
            <w:tcW w:w="2027" w:type="pct"/>
            <w:tcBorders>
              <w:top w:val="single" w:color="auto" w:sz="4" w:space="0"/>
              <w:left w:val="single" w:color="auto" w:sz="4" w:space="0"/>
              <w:bottom w:val="single" w:color="auto" w:sz="4" w:space="0"/>
              <w:right w:val="single" w:color="auto" w:sz="4" w:space="0"/>
            </w:tcBorders>
            <w:vAlign w:val="center"/>
          </w:tcPr>
          <w:p w14:paraId="4D96F2A8">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三处均无遗漏，且与所投项目名称、项目编号完全一致。</w:t>
            </w:r>
          </w:p>
        </w:tc>
        <w:tc>
          <w:tcPr>
            <w:tcW w:w="541" w:type="pct"/>
            <w:tcBorders>
              <w:top w:val="single" w:color="auto" w:sz="4" w:space="0"/>
              <w:left w:val="single" w:color="auto" w:sz="4" w:space="0"/>
              <w:bottom w:val="single" w:color="auto" w:sz="4" w:space="0"/>
              <w:right w:val="single" w:color="auto" w:sz="4" w:space="0"/>
            </w:tcBorders>
            <w:vAlign w:val="top"/>
          </w:tcPr>
          <w:p w14:paraId="028882EC">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426EF0A0">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4D452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6E2B4A0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val="en-US" w:eastAsia="zh-CN"/>
              </w:rPr>
              <w:t>2</w:t>
            </w:r>
          </w:p>
        </w:tc>
        <w:tc>
          <w:tcPr>
            <w:tcW w:w="1271" w:type="pct"/>
            <w:tcBorders>
              <w:top w:val="single" w:color="auto" w:sz="4" w:space="0"/>
              <w:left w:val="single" w:color="auto" w:sz="4" w:space="0"/>
              <w:bottom w:val="single" w:color="auto" w:sz="4" w:space="0"/>
              <w:right w:val="single" w:color="auto" w:sz="4" w:space="0"/>
            </w:tcBorders>
            <w:vAlign w:val="center"/>
          </w:tcPr>
          <w:p w14:paraId="4D27CA3E">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文件签署、盖章</w:t>
            </w:r>
          </w:p>
        </w:tc>
        <w:tc>
          <w:tcPr>
            <w:tcW w:w="2027" w:type="pct"/>
            <w:tcBorders>
              <w:top w:val="single" w:color="auto" w:sz="4" w:space="0"/>
              <w:left w:val="single" w:color="auto" w:sz="4" w:space="0"/>
              <w:bottom w:val="single" w:color="auto" w:sz="4" w:space="0"/>
              <w:right w:val="single" w:color="auto" w:sz="4" w:space="0"/>
            </w:tcBorders>
            <w:vAlign w:val="top"/>
          </w:tcPr>
          <w:p w14:paraId="72AD5A89">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均按</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文件要求签字、盖章。</w:t>
            </w:r>
          </w:p>
          <w:p w14:paraId="258194AC">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（《评标要素及分值一览表》中要求提供的证明材料除外）。</w:t>
            </w:r>
          </w:p>
        </w:tc>
        <w:tc>
          <w:tcPr>
            <w:tcW w:w="541" w:type="pct"/>
            <w:tcBorders>
              <w:top w:val="single" w:color="auto" w:sz="4" w:space="0"/>
              <w:left w:val="single" w:color="auto" w:sz="4" w:space="0"/>
              <w:bottom w:val="single" w:color="auto" w:sz="4" w:space="0"/>
              <w:right w:val="single" w:color="auto" w:sz="4" w:space="0"/>
            </w:tcBorders>
            <w:vAlign w:val="top"/>
          </w:tcPr>
          <w:p w14:paraId="1F40E4AC">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22477247">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1026C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26283E37">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val="en-US" w:eastAsia="zh-CN"/>
              </w:rPr>
              <w:t>3</w:t>
            </w:r>
          </w:p>
        </w:tc>
        <w:tc>
          <w:tcPr>
            <w:tcW w:w="1271" w:type="pct"/>
            <w:tcBorders>
              <w:top w:val="single" w:color="auto" w:sz="4" w:space="0"/>
              <w:left w:val="single" w:color="auto" w:sz="4" w:space="0"/>
              <w:bottom w:val="single" w:color="auto" w:sz="4" w:space="0"/>
              <w:right w:val="single" w:color="auto" w:sz="4" w:space="0"/>
            </w:tcBorders>
            <w:vAlign w:val="center"/>
          </w:tcPr>
          <w:p w14:paraId="7B4931D0">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auto"/>
                <w:kern w:val="0"/>
                <w:sz w:val="24"/>
                <w:szCs w:val="24"/>
                <w:highlight w:val="red"/>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文件组成</w:t>
            </w:r>
          </w:p>
        </w:tc>
        <w:tc>
          <w:tcPr>
            <w:tcW w:w="2027" w:type="pct"/>
            <w:tcBorders>
              <w:top w:val="single" w:color="auto" w:sz="4" w:space="0"/>
              <w:left w:val="single" w:color="auto" w:sz="4" w:space="0"/>
              <w:bottom w:val="single" w:color="auto" w:sz="4" w:space="0"/>
              <w:right w:val="single" w:color="auto" w:sz="4" w:space="0"/>
            </w:tcBorders>
            <w:vAlign w:val="top"/>
          </w:tcPr>
          <w:p w14:paraId="0A2C74ED">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color w:val="auto"/>
                <w:sz w:val="24"/>
                <w:szCs w:val="24"/>
                <w:highlight w:val="none"/>
              </w:rPr>
              <w:t>文件应包含以下内容：</w:t>
            </w:r>
          </w:p>
          <w:p w14:paraId="3CF31233">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一、磋商响应函</w:t>
            </w:r>
          </w:p>
          <w:p w14:paraId="65BD399B">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二、第一次磋商报价表</w:t>
            </w:r>
          </w:p>
          <w:p w14:paraId="42D72428">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val="en-US" w:eastAsia="zh-CN"/>
              </w:rPr>
              <w:t>已标</w:t>
            </w:r>
            <w:r>
              <w:rPr>
                <w:rFonts w:hint="eastAsia" w:ascii="宋体" w:hAnsi="宋体" w:cs="宋体"/>
                <w:color w:val="auto"/>
                <w:sz w:val="24"/>
                <w:szCs w:val="24"/>
                <w:highlight w:val="none"/>
                <w:lang w:val="en-US" w:eastAsia="zh-CN"/>
              </w:rPr>
              <w:t>价</w:t>
            </w:r>
            <w:r>
              <w:rPr>
                <w:rFonts w:hint="eastAsia" w:ascii="宋体" w:hAnsi="宋体" w:eastAsia="宋体" w:cs="宋体"/>
                <w:color w:val="auto"/>
                <w:sz w:val="24"/>
                <w:szCs w:val="24"/>
                <w:highlight w:val="none"/>
                <w:lang w:val="en-US" w:eastAsia="zh-CN"/>
              </w:rPr>
              <w:t>工</w:t>
            </w:r>
            <w:r>
              <w:rPr>
                <w:rFonts w:hint="eastAsia" w:ascii="宋体" w:hAnsi="宋体" w:cs="宋体"/>
                <w:color w:val="auto"/>
                <w:sz w:val="24"/>
                <w:szCs w:val="24"/>
                <w:highlight w:val="none"/>
                <w:lang w:val="en-US" w:eastAsia="zh-CN"/>
              </w:rPr>
              <w:t>程</w:t>
            </w:r>
            <w:r>
              <w:rPr>
                <w:rFonts w:hint="eastAsia" w:ascii="宋体" w:hAnsi="宋体" w:eastAsia="宋体" w:cs="宋体"/>
                <w:color w:val="auto"/>
                <w:sz w:val="24"/>
                <w:szCs w:val="24"/>
                <w:highlight w:val="none"/>
                <w:lang w:val="en-US" w:eastAsia="zh-CN"/>
              </w:rPr>
              <w:t>量清单</w:t>
            </w:r>
          </w:p>
          <w:p w14:paraId="097A7A70">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资格证明文件</w:t>
            </w:r>
          </w:p>
          <w:p w14:paraId="1A0CF700">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五、商务</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lang w:val="en-US" w:eastAsia="zh-CN"/>
              </w:rPr>
              <w:t>偏离表</w:t>
            </w:r>
          </w:p>
          <w:p w14:paraId="7B0FC7BC">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方案</w:t>
            </w:r>
          </w:p>
          <w:p w14:paraId="77AB8C0D">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red"/>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、投标人拒绝</w:t>
            </w:r>
            <w:r>
              <w:rPr>
                <w:rFonts w:hint="eastAsia" w:ascii="宋体" w:hAnsi="宋体" w:eastAsia="宋体" w:cs="宋体"/>
                <w:color w:val="auto"/>
                <w:sz w:val="24"/>
                <w:szCs w:val="24"/>
                <w:highlight w:val="none"/>
                <w:lang w:eastAsia="zh-CN"/>
              </w:rPr>
              <w:t>招标投标</w:t>
            </w:r>
            <w:r>
              <w:rPr>
                <w:rFonts w:hint="eastAsia" w:ascii="宋体" w:hAnsi="宋体" w:eastAsia="宋体" w:cs="宋体"/>
                <w:color w:val="auto"/>
                <w:sz w:val="24"/>
                <w:szCs w:val="24"/>
                <w:highlight w:val="none"/>
              </w:rPr>
              <w:t>领域商业贿赂承诺书</w:t>
            </w:r>
          </w:p>
        </w:tc>
        <w:tc>
          <w:tcPr>
            <w:tcW w:w="541" w:type="pct"/>
            <w:tcBorders>
              <w:top w:val="single" w:color="auto" w:sz="4" w:space="0"/>
              <w:left w:val="single" w:color="auto" w:sz="4" w:space="0"/>
              <w:bottom w:val="single" w:color="auto" w:sz="4" w:space="0"/>
              <w:right w:val="single" w:color="auto" w:sz="4" w:space="0"/>
            </w:tcBorders>
            <w:vAlign w:val="top"/>
          </w:tcPr>
          <w:p w14:paraId="4B34523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26D4B934">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4E93A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6867623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val="en-US" w:eastAsia="zh-CN"/>
              </w:rPr>
              <w:t>4</w:t>
            </w:r>
          </w:p>
        </w:tc>
        <w:tc>
          <w:tcPr>
            <w:tcW w:w="1271" w:type="pct"/>
            <w:tcBorders>
              <w:top w:val="single" w:color="auto" w:sz="4" w:space="0"/>
              <w:left w:val="single" w:color="auto" w:sz="4" w:space="0"/>
              <w:bottom w:val="single" w:color="auto" w:sz="4" w:space="0"/>
              <w:right w:val="single" w:color="auto" w:sz="4" w:space="0"/>
            </w:tcBorders>
            <w:vAlign w:val="center"/>
          </w:tcPr>
          <w:p w14:paraId="6CA6432D">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文件的计量单位、语言、报价货币、投标有效期</w:t>
            </w:r>
          </w:p>
        </w:tc>
        <w:tc>
          <w:tcPr>
            <w:tcW w:w="2027" w:type="pct"/>
            <w:tcBorders>
              <w:top w:val="single" w:color="auto" w:sz="4" w:space="0"/>
              <w:left w:val="single" w:color="auto" w:sz="4" w:space="0"/>
              <w:bottom w:val="single" w:color="auto" w:sz="4" w:space="0"/>
              <w:right w:val="single" w:color="auto" w:sz="4" w:space="0"/>
            </w:tcBorders>
            <w:vAlign w:val="center"/>
          </w:tcPr>
          <w:p w14:paraId="1B0D802F">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计量单位、语言、报价货币、投标有效期均符合</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w:t>
            </w:r>
          </w:p>
        </w:tc>
        <w:tc>
          <w:tcPr>
            <w:tcW w:w="541" w:type="pct"/>
            <w:tcBorders>
              <w:top w:val="single" w:color="auto" w:sz="4" w:space="0"/>
              <w:left w:val="single" w:color="auto" w:sz="4" w:space="0"/>
              <w:bottom w:val="single" w:color="auto" w:sz="4" w:space="0"/>
              <w:right w:val="single" w:color="auto" w:sz="4" w:space="0"/>
            </w:tcBorders>
            <w:vAlign w:val="center"/>
          </w:tcPr>
          <w:p w14:paraId="464C2C06">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50765AD4">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7111E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662C440B">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val="en-US" w:eastAsia="zh-CN"/>
              </w:rPr>
              <w:t>5</w:t>
            </w:r>
          </w:p>
        </w:tc>
        <w:tc>
          <w:tcPr>
            <w:tcW w:w="1271" w:type="pct"/>
            <w:tcBorders>
              <w:top w:val="single" w:color="auto" w:sz="4" w:space="0"/>
              <w:left w:val="single" w:color="auto" w:sz="4" w:space="0"/>
              <w:bottom w:val="single" w:color="auto" w:sz="4" w:space="0"/>
              <w:right w:val="single" w:color="auto" w:sz="4" w:space="0"/>
            </w:tcBorders>
            <w:vAlign w:val="center"/>
          </w:tcPr>
          <w:p w14:paraId="217ADC3B">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报价</w:t>
            </w:r>
          </w:p>
        </w:tc>
        <w:tc>
          <w:tcPr>
            <w:tcW w:w="2027" w:type="pct"/>
            <w:tcBorders>
              <w:top w:val="single" w:color="auto" w:sz="4" w:space="0"/>
              <w:left w:val="single" w:color="auto" w:sz="4" w:space="0"/>
              <w:bottom w:val="single" w:color="auto" w:sz="4" w:space="0"/>
              <w:right w:val="single" w:color="auto" w:sz="4" w:space="0"/>
            </w:tcBorders>
            <w:vAlign w:val="top"/>
          </w:tcPr>
          <w:p w14:paraId="360E55D8">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报价符合唯一性要求：</w:t>
            </w:r>
          </w:p>
          <w:p w14:paraId="338ED102">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（2）开标一览表填写符合要求；</w:t>
            </w:r>
          </w:p>
          <w:p w14:paraId="5CF59529">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kern w:val="0"/>
                <w:sz w:val="24"/>
                <w:szCs w:val="24"/>
                <w:highlight w:val="none"/>
              </w:rPr>
              <w:t>（3）未超出采购预算或</w:t>
            </w:r>
            <w:r>
              <w:rPr>
                <w:rFonts w:hint="eastAsia" w:ascii="宋体" w:hAnsi="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文件规定的最高限价</w:t>
            </w:r>
            <w:r>
              <w:rPr>
                <w:rFonts w:hint="eastAsia" w:ascii="宋体" w:hAnsi="宋体" w:cs="宋体"/>
                <w:bCs/>
                <w:color w:val="auto"/>
                <w:kern w:val="0"/>
                <w:sz w:val="24"/>
                <w:szCs w:val="24"/>
                <w:highlight w:val="none"/>
                <w:lang w:eastAsia="zh-CN"/>
              </w:rPr>
              <w:t>。</w:t>
            </w:r>
          </w:p>
        </w:tc>
        <w:tc>
          <w:tcPr>
            <w:tcW w:w="541" w:type="pct"/>
            <w:tcBorders>
              <w:top w:val="single" w:color="auto" w:sz="4" w:space="0"/>
              <w:left w:val="single" w:color="auto" w:sz="4" w:space="0"/>
              <w:bottom w:val="single" w:color="auto" w:sz="4" w:space="0"/>
              <w:right w:val="single" w:color="auto" w:sz="4" w:space="0"/>
            </w:tcBorders>
            <w:vAlign w:val="top"/>
          </w:tcPr>
          <w:p w14:paraId="00E60B0D">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38FCA64E">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3831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692C7A8D">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val="en-US" w:eastAsia="zh-CN"/>
              </w:rPr>
              <w:t>6</w:t>
            </w:r>
          </w:p>
        </w:tc>
        <w:tc>
          <w:tcPr>
            <w:tcW w:w="1271" w:type="pct"/>
            <w:tcBorders>
              <w:top w:val="single" w:color="auto" w:sz="4" w:space="0"/>
              <w:left w:val="single" w:color="auto" w:sz="4" w:space="0"/>
              <w:bottom w:val="single" w:color="auto" w:sz="4" w:space="0"/>
              <w:right w:val="single" w:color="auto" w:sz="4" w:space="0"/>
            </w:tcBorders>
            <w:vAlign w:val="center"/>
          </w:tcPr>
          <w:p w14:paraId="4628BD7D">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文件要求的实质性条款</w:t>
            </w:r>
          </w:p>
        </w:tc>
        <w:tc>
          <w:tcPr>
            <w:tcW w:w="2027" w:type="pct"/>
            <w:tcBorders>
              <w:top w:val="single" w:color="auto" w:sz="4" w:space="0"/>
              <w:left w:val="single" w:color="auto" w:sz="4" w:space="0"/>
              <w:bottom w:val="single" w:color="auto" w:sz="4" w:space="0"/>
              <w:right w:val="single" w:color="auto" w:sz="4" w:space="0"/>
            </w:tcBorders>
            <w:vAlign w:val="center"/>
          </w:tcPr>
          <w:p w14:paraId="1A6E271B">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文件要求的各项实质性条款。</w:t>
            </w:r>
          </w:p>
        </w:tc>
        <w:tc>
          <w:tcPr>
            <w:tcW w:w="541" w:type="pct"/>
            <w:tcBorders>
              <w:top w:val="single" w:color="auto" w:sz="4" w:space="0"/>
              <w:left w:val="single" w:color="auto" w:sz="4" w:space="0"/>
              <w:bottom w:val="single" w:color="auto" w:sz="4" w:space="0"/>
              <w:right w:val="single" w:color="auto" w:sz="4" w:space="0"/>
            </w:tcBorders>
            <w:vAlign w:val="top"/>
          </w:tcPr>
          <w:p w14:paraId="03DAE1EA">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6C45B785">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65F0D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63937F99">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p>
        </w:tc>
        <w:tc>
          <w:tcPr>
            <w:tcW w:w="1271" w:type="pct"/>
            <w:tcBorders>
              <w:top w:val="single" w:color="auto" w:sz="4" w:space="0"/>
              <w:left w:val="single" w:color="auto" w:sz="4" w:space="0"/>
              <w:bottom w:val="single" w:color="auto" w:sz="4" w:space="0"/>
              <w:right w:val="single" w:color="auto" w:sz="4" w:space="0"/>
            </w:tcBorders>
            <w:vAlign w:val="center"/>
          </w:tcPr>
          <w:p w14:paraId="3A43A334">
            <w:pPr>
              <w:keepNext w:val="0"/>
              <w:keepLines w:val="0"/>
              <w:pageBreakBefore w:val="0"/>
              <w:widowControl/>
              <w:kinsoku/>
              <w:wordWrap/>
              <w:overflowPunct/>
              <w:topLinePunct w:val="0"/>
              <w:autoSpaceDE/>
              <w:autoSpaceDN/>
              <w:bidi w:val="0"/>
              <w:adjustRightInd/>
              <w:snapToGrid/>
              <w:spacing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合同主要条款响应</w:t>
            </w:r>
          </w:p>
        </w:tc>
        <w:tc>
          <w:tcPr>
            <w:tcW w:w="2027" w:type="pct"/>
            <w:tcBorders>
              <w:top w:val="single" w:color="auto" w:sz="4" w:space="0"/>
              <w:left w:val="single" w:color="auto" w:sz="4" w:space="0"/>
              <w:bottom w:val="single" w:color="auto" w:sz="4" w:space="0"/>
              <w:right w:val="single" w:color="auto" w:sz="4" w:space="0"/>
            </w:tcBorders>
            <w:vAlign w:val="center"/>
          </w:tcPr>
          <w:p w14:paraId="69FCC642">
            <w:pPr>
              <w:keepNext w:val="0"/>
              <w:keepLines w:val="0"/>
              <w:pageBreakBefore w:val="0"/>
              <w:widowControl/>
              <w:kinsoku/>
              <w:wordWrap/>
              <w:overflowPunct/>
              <w:topLinePunct w:val="0"/>
              <w:autoSpaceDE/>
              <w:autoSpaceDN/>
              <w:bidi w:val="0"/>
              <w:adjustRightInd/>
              <w:snapToGrid/>
              <w:spacing w:line="288"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完整响应</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文件合同主要条款。</w:t>
            </w:r>
          </w:p>
        </w:tc>
        <w:tc>
          <w:tcPr>
            <w:tcW w:w="541" w:type="pct"/>
            <w:tcBorders>
              <w:top w:val="single" w:color="auto" w:sz="4" w:space="0"/>
              <w:left w:val="single" w:color="auto" w:sz="4" w:space="0"/>
              <w:bottom w:val="single" w:color="auto" w:sz="4" w:space="0"/>
              <w:right w:val="single" w:color="auto" w:sz="4" w:space="0"/>
            </w:tcBorders>
            <w:vAlign w:val="top"/>
          </w:tcPr>
          <w:p w14:paraId="3F0F5077">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57712EDD">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6000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7CB17A91">
            <w:pPr>
              <w:keepNext w:val="0"/>
              <w:keepLines w:val="0"/>
              <w:pageBreakBefore w:val="0"/>
              <w:widowControl/>
              <w:kinsoku/>
              <w:wordWrap/>
              <w:overflowPunct/>
              <w:topLinePunct w:val="0"/>
              <w:autoSpaceDE/>
              <w:autoSpaceDN/>
              <w:bidi w:val="0"/>
              <w:adjustRightInd/>
              <w:snapToGrid/>
              <w:spacing w:line="288" w:lineRule="auto"/>
              <w:ind w:left="0" w:right="0" w:firstLine="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eastAsia="zh-CN"/>
              </w:rPr>
              <w:t>磋商小组</w:t>
            </w:r>
            <w:r>
              <w:rPr>
                <w:rFonts w:hint="eastAsia" w:ascii="宋体" w:hAnsi="宋体" w:eastAsia="宋体" w:cs="宋体"/>
                <w:b/>
                <w:bCs/>
                <w:color w:val="auto"/>
                <w:kern w:val="0"/>
                <w:sz w:val="24"/>
                <w:szCs w:val="24"/>
                <w:highlight w:val="none"/>
              </w:rPr>
              <w:t>成员：（签字或盖章）</w:t>
            </w:r>
          </w:p>
        </w:tc>
      </w:tr>
    </w:tbl>
    <w:p w14:paraId="073FD937">
      <w:pPr>
        <w:pageBreakBefore w:val="0"/>
        <w:wordWrap/>
        <w:topLinePunct w:val="0"/>
        <w:autoSpaceDE/>
        <w:autoSpaceDN/>
        <w:bidi w:val="0"/>
        <w:spacing w:line="336"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 xml:space="preserve"> （4）磋商时，响应文件中出现下列情况，修正原则为：</w:t>
      </w:r>
    </w:p>
    <w:p w14:paraId="239A2048">
      <w:pPr>
        <w:pageBreakBefore w:val="0"/>
        <w:wordWrap/>
        <w:topLinePunct w:val="0"/>
        <w:autoSpaceDE/>
        <w:autoSpaceDN/>
        <w:bidi w:val="0"/>
        <w:spacing w:line="336" w:lineRule="auto"/>
        <w:ind w:firstLine="600" w:firstLineChars="250"/>
        <w:textAlignment w:val="auto"/>
        <w:rPr>
          <w:rFonts w:hint="eastAsia" w:ascii="宋体" w:hAnsi="宋体" w:eastAsia="宋体" w:cs="宋体"/>
          <w:sz w:val="24"/>
          <w:szCs w:val="24"/>
        </w:rPr>
      </w:pPr>
      <w:r>
        <w:rPr>
          <w:rFonts w:hint="eastAsia" w:ascii="宋体" w:hAnsi="宋体" w:eastAsia="宋体" w:cs="宋体"/>
          <w:color w:val="000000"/>
          <w:sz w:val="24"/>
          <w:szCs w:val="24"/>
        </w:rPr>
        <w:t>A</w:t>
      </w:r>
      <w:r>
        <w:rPr>
          <w:rFonts w:hint="eastAsia" w:ascii="宋体" w:hAnsi="宋体" w:cs="宋体"/>
          <w:color w:val="000000"/>
          <w:sz w:val="24"/>
          <w:szCs w:val="24"/>
          <w:lang w:eastAsia="zh-CN"/>
        </w:rPr>
        <w:t>.</w:t>
      </w:r>
      <w:r>
        <w:rPr>
          <w:rFonts w:hint="eastAsia" w:ascii="宋体" w:hAnsi="宋体" w:eastAsia="宋体" w:cs="宋体"/>
          <w:color w:val="000000"/>
          <w:sz w:val="24"/>
          <w:szCs w:val="24"/>
        </w:rPr>
        <w:t>响应文件中响应报价表内容与响应文件中明细内容不一致的，以响应报价表为准；</w:t>
      </w:r>
    </w:p>
    <w:p w14:paraId="6DDA4856">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B</w:t>
      </w:r>
      <w:r>
        <w:rPr>
          <w:rFonts w:hint="eastAsia" w:ascii="宋体" w:hAnsi="宋体" w:cs="宋体"/>
          <w:sz w:val="24"/>
          <w:szCs w:val="24"/>
          <w:lang w:eastAsia="zh-CN"/>
        </w:rPr>
        <w:t>.</w:t>
      </w:r>
      <w:r>
        <w:rPr>
          <w:rFonts w:hint="eastAsia" w:ascii="宋体" w:hAnsi="宋体" w:eastAsia="宋体" w:cs="宋体"/>
          <w:sz w:val="24"/>
          <w:szCs w:val="24"/>
        </w:rPr>
        <w:t>大写金额和小写金额不一致的，以大写金额为准；</w:t>
      </w:r>
    </w:p>
    <w:p w14:paraId="49D43564">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C</w:t>
      </w:r>
      <w:r>
        <w:rPr>
          <w:rFonts w:hint="eastAsia" w:ascii="宋体" w:hAnsi="宋体" w:cs="宋体"/>
          <w:sz w:val="24"/>
          <w:szCs w:val="24"/>
          <w:lang w:eastAsia="zh-CN"/>
        </w:rPr>
        <w:t>.</w:t>
      </w:r>
      <w:r>
        <w:rPr>
          <w:rFonts w:hint="eastAsia" w:ascii="宋体" w:hAnsi="宋体" w:eastAsia="宋体" w:cs="宋体"/>
          <w:sz w:val="24"/>
          <w:szCs w:val="24"/>
        </w:rPr>
        <w:t>单价金额小数点或者百分比有明显错位的，以</w:t>
      </w:r>
      <w:r>
        <w:rPr>
          <w:rFonts w:hint="eastAsia" w:ascii="宋体" w:hAnsi="宋体" w:eastAsia="宋体" w:cs="宋体"/>
          <w:color w:val="000000"/>
          <w:sz w:val="24"/>
          <w:szCs w:val="24"/>
        </w:rPr>
        <w:t>响应报价表</w:t>
      </w:r>
      <w:r>
        <w:rPr>
          <w:rFonts w:hint="eastAsia" w:ascii="宋体" w:hAnsi="宋体" w:eastAsia="宋体" w:cs="宋体"/>
          <w:sz w:val="24"/>
          <w:szCs w:val="24"/>
        </w:rPr>
        <w:t>的总价为准，并修改单价；</w:t>
      </w:r>
    </w:p>
    <w:p w14:paraId="3F7C9BAF">
      <w:pPr>
        <w:pageBreakBefore w:val="0"/>
        <w:wordWrap/>
        <w:topLinePunct w:val="0"/>
        <w:autoSpaceDE/>
        <w:autoSpaceDN/>
        <w:bidi w:val="0"/>
        <w:spacing w:line="336" w:lineRule="auto"/>
        <w:ind w:firstLine="600" w:firstLineChars="250"/>
        <w:textAlignment w:val="auto"/>
        <w:rPr>
          <w:rFonts w:hint="eastAsia" w:ascii="宋体" w:hAnsi="宋体" w:eastAsia="宋体" w:cs="宋体"/>
          <w:sz w:val="24"/>
          <w:szCs w:val="24"/>
        </w:rPr>
      </w:pPr>
      <w:r>
        <w:rPr>
          <w:rFonts w:hint="eastAsia" w:ascii="宋体" w:hAnsi="宋体" w:eastAsia="宋体" w:cs="宋体"/>
          <w:sz w:val="24"/>
          <w:szCs w:val="24"/>
        </w:rPr>
        <w:t>D</w:t>
      </w:r>
      <w:r>
        <w:rPr>
          <w:rFonts w:hint="eastAsia" w:ascii="宋体" w:hAnsi="宋体" w:cs="宋体"/>
          <w:sz w:val="24"/>
          <w:szCs w:val="24"/>
          <w:lang w:eastAsia="zh-CN"/>
        </w:rPr>
        <w:t>.</w:t>
      </w:r>
      <w:r>
        <w:rPr>
          <w:rFonts w:hint="eastAsia" w:ascii="宋体" w:hAnsi="宋体" w:eastAsia="宋体" w:cs="宋体"/>
          <w:sz w:val="24"/>
          <w:szCs w:val="24"/>
        </w:rPr>
        <w:t xml:space="preserve">总价金额与按单价汇总金额不一致的，以单价金额计算结果为准； </w:t>
      </w:r>
    </w:p>
    <w:p w14:paraId="3B49DC7A">
      <w:pPr>
        <w:pageBreakBefore w:val="0"/>
        <w:wordWrap/>
        <w:topLinePunct w:val="0"/>
        <w:autoSpaceDE/>
        <w:autoSpaceDN/>
        <w:bidi w:val="0"/>
        <w:spacing w:line="336" w:lineRule="auto"/>
        <w:ind w:firstLine="600" w:firstLineChars="250"/>
        <w:textAlignment w:val="auto"/>
        <w:rPr>
          <w:rFonts w:hint="eastAsia" w:ascii="宋体" w:hAnsi="宋体" w:eastAsia="宋体" w:cs="宋体"/>
          <w:sz w:val="24"/>
          <w:szCs w:val="24"/>
        </w:rPr>
      </w:pPr>
      <w:r>
        <w:rPr>
          <w:rFonts w:hint="eastAsia" w:ascii="宋体" w:hAnsi="宋体" w:cs="宋体"/>
          <w:sz w:val="24"/>
          <w:szCs w:val="24"/>
          <w:lang w:val="en-US" w:eastAsia="zh-CN"/>
        </w:rPr>
        <w:t>E.</w:t>
      </w:r>
      <w:r>
        <w:rPr>
          <w:rFonts w:hint="eastAsia" w:ascii="宋体" w:hAnsi="宋体" w:eastAsia="宋体" w:cs="宋体"/>
          <w:sz w:val="24"/>
          <w:szCs w:val="24"/>
        </w:rPr>
        <w:t>多处内容交叉不符时，以磋商小组评审结果为准；</w:t>
      </w:r>
    </w:p>
    <w:p w14:paraId="7E89A834">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val="en-US" w:eastAsia="zh-CN"/>
        </w:rPr>
        <w:t>F.</w:t>
      </w:r>
      <w:r>
        <w:rPr>
          <w:rFonts w:hint="eastAsia" w:ascii="宋体" w:hAnsi="宋体" w:eastAsia="宋体" w:cs="宋体"/>
          <w:sz w:val="24"/>
          <w:szCs w:val="24"/>
        </w:rPr>
        <w:t>文字与图表不符的，以文字为准。</w:t>
      </w:r>
    </w:p>
    <w:p w14:paraId="7DFB4428">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74BDDBD9">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（5）磋商开始后，直到向成交供应商授予合同为止，凡审查、澄清、评价和比较磋商的有关资料，磋商小组成员均不得向供应商及与磋商无关的其他人透露。</w:t>
      </w:r>
    </w:p>
    <w:p w14:paraId="73E3D1C8">
      <w:pPr>
        <w:pageBreakBefore w:val="0"/>
        <w:wordWrap/>
        <w:topLinePunct w:val="0"/>
        <w:autoSpaceDE/>
        <w:autoSpaceDN/>
        <w:bidi w:val="0"/>
        <w:spacing w:line="336"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cs="宋体"/>
          <w:b/>
          <w:sz w:val="24"/>
          <w:szCs w:val="24"/>
          <w:lang w:val="en-US" w:eastAsia="zh-CN"/>
        </w:rPr>
        <w:t>.</w:t>
      </w:r>
      <w:r>
        <w:rPr>
          <w:rFonts w:hint="eastAsia" w:ascii="宋体" w:hAnsi="宋体" w:eastAsia="宋体" w:cs="宋体"/>
          <w:b/>
          <w:sz w:val="24"/>
          <w:szCs w:val="24"/>
        </w:rPr>
        <w:t>出现下列情况之一者（但不限于），按无效文件处理：</w:t>
      </w:r>
    </w:p>
    <w:p w14:paraId="7A7774EE">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A</w:t>
      </w:r>
      <w:r>
        <w:rPr>
          <w:rFonts w:hint="eastAsia" w:ascii="宋体" w:hAnsi="宋体" w:cs="宋体"/>
          <w:sz w:val="24"/>
          <w:szCs w:val="24"/>
          <w:lang w:eastAsia="zh-CN"/>
        </w:rPr>
        <w:t>.</w:t>
      </w:r>
      <w:r>
        <w:rPr>
          <w:rFonts w:hint="eastAsia" w:ascii="宋体" w:hAnsi="宋体" w:eastAsia="宋体" w:cs="宋体"/>
          <w:sz w:val="24"/>
          <w:szCs w:val="24"/>
        </w:rPr>
        <w:t>供应商的响应报价不符合</w:t>
      </w:r>
      <w:r>
        <w:rPr>
          <w:rFonts w:hint="eastAsia" w:ascii="宋体" w:hAnsi="宋体" w:cs="宋体"/>
          <w:sz w:val="24"/>
          <w:szCs w:val="24"/>
          <w:lang w:val="en-US" w:eastAsia="zh-CN"/>
        </w:rPr>
        <w:t>磋商</w:t>
      </w:r>
      <w:r>
        <w:rPr>
          <w:rFonts w:hint="eastAsia" w:ascii="宋体" w:hAnsi="宋体" w:eastAsia="宋体" w:cs="宋体"/>
          <w:sz w:val="24"/>
          <w:szCs w:val="24"/>
        </w:rPr>
        <w:t>文件要求的；</w:t>
      </w:r>
    </w:p>
    <w:p w14:paraId="1170DFF2">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B</w:t>
      </w:r>
      <w:r>
        <w:rPr>
          <w:rFonts w:hint="eastAsia" w:ascii="宋体" w:hAnsi="宋体" w:cs="宋体"/>
          <w:sz w:val="24"/>
          <w:szCs w:val="24"/>
          <w:lang w:eastAsia="zh-CN"/>
        </w:rPr>
        <w:t>.</w:t>
      </w:r>
      <w:r>
        <w:rPr>
          <w:rFonts w:hint="eastAsia" w:ascii="宋体" w:hAnsi="宋体" w:eastAsia="宋体" w:cs="宋体"/>
          <w:sz w:val="24"/>
          <w:szCs w:val="24"/>
        </w:rPr>
        <w:t>供应商未经过正常渠道</w:t>
      </w:r>
      <w:r>
        <w:rPr>
          <w:rFonts w:hint="eastAsia" w:ascii="宋体" w:hAnsi="宋体" w:cs="宋体"/>
          <w:sz w:val="24"/>
          <w:szCs w:val="24"/>
          <w:lang w:val="en-US" w:eastAsia="zh-CN"/>
        </w:rPr>
        <w:t>获取</w:t>
      </w:r>
      <w:r>
        <w:rPr>
          <w:rFonts w:hint="eastAsia" w:ascii="宋体" w:hAnsi="宋体" w:eastAsia="宋体" w:cs="宋体"/>
          <w:sz w:val="24"/>
          <w:szCs w:val="24"/>
        </w:rPr>
        <w:t>磋商文件，或供应商名称与</w:t>
      </w:r>
      <w:r>
        <w:rPr>
          <w:rFonts w:hint="eastAsia" w:ascii="宋体" w:hAnsi="宋体" w:cs="宋体"/>
          <w:sz w:val="24"/>
          <w:szCs w:val="24"/>
          <w:lang w:val="en-US" w:eastAsia="zh-CN"/>
        </w:rPr>
        <w:t>获取</w:t>
      </w:r>
      <w:r>
        <w:rPr>
          <w:rFonts w:hint="eastAsia" w:ascii="宋体" w:hAnsi="宋体" w:eastAsia="宋体" w:cs="宋体"/>
          <w:sz w:val="24"/>
          <w:szCs w:val="24"/>
        </w:rPr>
        <w:t>磋商文件时供应商名称不符的；</w:t>
      </w:r>
    </w:p>
    <w:p w14:paraId="759BFD08">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C</w:t>
      </w:r>
      <w:r>
        <w:rPr>
          <w:rFonts w:hint="eastAsia" w:ascii="宋体" w:hAnsi="宋体" w:cs="宋体"/>
          <w:sz w:val="24"/>
          <w:szCs w:val="24"/>
          <w:lang w:eastAsia="zh-CN"/>
        </w:rPr>
        <w:t>.</w:t>
      </w:r>
      <w:r>
        <w:rPr>
          <w:rFonts w:hint="eastAsia" w:ascii="宋体" w:hAnsi="宋体" w:eastAsia="宋体" w:cs="宋体"/>
          <w:sz w:val="24"/>
          <w:szCs w:val="24"/>
        </w:rPr>
        <w:t>不同供应商单位负责人为同一人或者存在控股、管理关系的；</w:t>
      </w:r>
    </w:p>
    <w:p w14:paraId="3275A6CF">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D</w:t>
      </w:r>
      <w:r>
        <w:rPr>
          <w:rFonts w:hint="eastAsia" w:ascii="宋体" w:hAnsi="宋体" w:cs="宋体"/>
          <w:sz w:val="24"/>
          <w:szCs w:val="24"/>
          <w:lang w:eastAsia="zh-CN"/>
        </w:rPr>
        <w:t>.</w:t>
      </w:r>
      <w:r>
        <w:rPr>
          <w:rFonts w:hint="eastAsia" w:ascii="宋体" w:hAnsi="宋体" w:eastAsia="宋体" w:cs="宋体"/>
          <w:sz w:val="24"/>
          <w:szCs w:val="24"/>
        </w:rPr>
        <w:t>响应文件的有效性和符合性不符合要求的；</w:t>
      </w:r>
    </w:p>
    <w:p w14:paraId="7AB8E601">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E</w:t>
      </w:r>
      <w:r>
        <w:rPr>
          <w:rFonts w:hint="eastAsia" w:ascii="宋体" w:hAnsi="宋体" w:cs="宋体"/>
          <w:sz w:val="24"/>
          <w:szCs w:val="24"/>
          <w:lang w:eastAsia="zh-CN"/>
        </w:rPr>
        <w:t>.</w:t>
      </w:r>
      <w:r>
        <w:rPr>
          <w:rFonts w:hint="eastAsia" w:ascii="宋体" w:hAnsi="宋体" w:eastAsia="宋体" w:cs="宋体"/>
          <w:sz w:val="24"/>
          <w:szCs w:val="24"/>
        </w:rPr>
        <w:t>实质性内容不满足或未响应的；</w:t>
      </w:r>
    </w:p>
    <w:p w14:paraId="6DB79B9C">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F</w:t>
      </w:r>
      <w:r>
        <w:rPr>
          <w:rFonts w:hint="eastAsia" w:ascii="宋体" w:hAnsi="宋体" w:cs="宋体"/>
          <w:sz w:val="24"/>
          <w:szCs w:val="24"/>
          <w:lang w:eastAsia="zh-CN"/>
        </w:rPr>
        <w:t>.</w:t>
      </w:r>
      <w:r>
        <w:rPr>
          <w:rFonts w:hint="eastAsia" w:ascii="宋体" w:hAnsi="宋体" w:eastAsia="宋体" w:cs="宋体"/>
          <w:sz w:val="24"/>
          <w:szCs w:val="24"/>
        </w:rPr>
        <w:t>响应文件未按磋商文件要求签字、加盖公章的；</w:t>
      </w:r>
    </w:p>
    <w:p w14:paraId="3F7F37D9">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G</w:t>
      </w:r>
      <w:r>
        <w:rPr>
          <w:rFonts w:hint="eastAsia" w:ascii="宋体" w:hAnsi="宋体" w:cs="宋体"/>
          <w:sz w:val="24"/>
          <w:szCs w:val="24"/>
          <w:lang w:eastAsia="zh-CN"/>
        </w:rPr>
        <w:t>.</w:t>
      </w:r>
      <w:r>
        <w:rPr>
          <w:rFonts w:hint="eastAsia" w:ascii="宋体" w:hAnsi="宋体" w:eastAsia="宋体" w:cs="宋体"/>
          <w:sz w:val="24"/>
          <w:szCs w:val="24"/>
        </w:rPr>
        <w:t>无磋商有效期或有效期达不到磋商文件要求的；</w:t>
      </w:r>
    </w:p>
    <w:p w14:paraId="3332A0AB">
      <w:pPr>
        <w:keepNext w:val="0"/>
        <w:keepLines w:val="0"/>
        <w:pageBreakBefore w:val="0"/>
        <w:widowControl w:val="0"/>
        <w:kinsoku/>
        <w:wordWrap w:val="0"/>
        <w:overflowPunct/>
        <w:topLinePunct/>
        <w:autoSpaceDE/>
        <w:autoSpaceDN/>
        <w:bidi w:val="0"/>
        <w:adjustRightInd/>
        <w:snapToGrid/>
        <w:spacing w:line="336"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H.</w:t>
      </w:r>
      <w:r>
        <w:rPr>
          <w:rFonts w:hint="eastAsia" w:ascii="宋体" w:hAnsi="宋体" w:eastAsia="宋体" w:cs="宋体"/>
          <w:sz w:val="24"/>
          <w:szCs w:val="24"/>
        </w:rPr>
        <w:t>供应商有串通投标、弄虚作假（包括但不限于虚假资质、虚假证明、虚假应答等）、行贿等违法行为的；</w:t>
      </w:r>
    </w:p>
    <w:p w14:paraId="55430930">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I.</w:t>
      </w:r>
      <w:r>
        <w:rPr>
          <w:rFonts w:hint="eastAsia" w:ascii="宋体" w:hAnsi="宋体" w:eastAsia="宋体" w:cs="宋体"/>
          <w:sz w:val="24"/>
          <w:szCs w:val="24"/>
        </w:rPr>
        <w:t>响应文件在商务响应方面附加了采购人难以接受的条件或条款的；</w:t>
      </w:r>
    </w:p>
    <w:p w14:paraId="589FA112">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J.</w:t>
      </w:r>
      <w:r>
        <w:rPr>
          <w:rFonts w:hint="eastAsia" w:ascii="宋体" w:hAnsi="宋体" w:eastAsia="宋体" w:cs="宋体"/>
          <w:sz w:val="24"/>
          <w:szCs w:val="24"/>
        </w:rPr>
        <w:t>在政府采购</w:t>
      </w:r>
      <w:r>
        <w:rPr>
          <w:rFonts w:hint="eastAsia" w:ascii="宋体" w:hAnsi="宋体" w:cs="宋体"/>
          <w:sz w:val="24"/>
          <w:szCs w:val="24"/>
          <w:lang w:eastAsia="zh-CN"/>
        </w:rPr>
        <w:t>或其他</w:t>
      </w:r>
      <w:r>
        <w:rPr>
          <w:rFonts w:hint="eastAsia" w:ascii="宋体" w:hAnsi="宋体" w:eastAsia="宋体" w:cs="宋体"/>
          <w:sz w:val="24"/>
          <w:szCs w:val="24"/>
        </w:rPr>
        <w:t>重大项目履约过程中有不良记录，未能按期履约的；</w:t>
      </w:r>
    </w:p>
    <w:p w14:paraId="3F0BC516">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K.</w:t>
      </w:r>
      <w:r>
        <w:rPr>
          <w:rFonts w:hint="eastAsia" w:ascii="宋体" w:hAnsi="宋体" w:eastAsia="宋体" w:cs="宋体"/>
          <w:sz w:val="24"/>
          <w:szCs w:val="24"/>
        </w:rPr>
        <w:t>磋商报价与市场价格偏离较大、低于成本、形成不正当竞争的；</w:t>
      </w:r>
    </w:p>
    <w:p w14:paraId="5A040099">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L.</w:t>
      </w:r>
      <w:r>
        <w:rPr>
          <w:rFonts w:hint="eastAsia" w:ascii="宋体" w:hAnsi="宋体" w:eastAsia="宋体" w:cs="宋体"/>
          <w:sz w:val="24"/>
          <w:szCs w:val="24"/>
        </w:rPr>
        <w:t>报价子目出现漏项或报价数量与要求不符的；</w:t>
      </w:r>
    </w:p>
    <w:p w14:paraId="15F317E6">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M.</w:t>
      </w:r>
      <w:r>
        <w:rPr>
          <w:rFonts w:hint="eastAsia" w:ascii="宋体" w:hAnsi="宋体" w:eastAsia="宋体" w:cs="宋体"/>
          <w:sz w:val="24"/>
          <w:szCs w:val="24"/>
        </w:rPr>
        <w:t>响应文件的技术要求与磋商文件出现重大负偏差的；</w:t>
      </w:r>
    </w:p>
    <w:p w14:paraId="60FD5816">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N.</w:t>
      </w:r>
      <w:r>
        <w:rPr>
          <w:rFonts w:hint="eastAsia" w:ascii="宋体" w:hAnsi="宋体" w:eastAsia="宋体" w:cs="宋体"/>
          <w:sz w:val="24"/>
          <w:szCs w:val="24"/>
        </w:rPr>
        <w:t>提供虚假技术指标的。</w:t>
      </w:r>
    </w:p>
    <w:p w14:paraId="35BE5E04">
      <w:pPr>
        <w:pageBreakBefore w:val="0"/>
        <w:wordWrap/>
        <w:topLinePunct w:val="0"/>
        <w:autoSpaceDE/>
        <w:autoSpaceDN/>
        <w:bidi w:val="0"/>
        <w:spacing w:line="336" w:lineRule="auto"/>
        <w:ind w:firstLine="602" w:firstLineChars="250"/>
        <w:textAlignment w:val="auto"/>
        <w:rPr>
          <w:rFonts w:hint="eastAsia" w:ascii="宋体" w:hAnsi="宋体" w:eastAsia="宋体" w:cs="宋体"/>
          <w:b/>
          <w:sz w:val="24"/>
          <w:szCs w:val="24"/>
        </w:rPr>
      </w:pPr>
      <w:r>
        <w:rPr>
          <w:rFonts w:hint="eastAsia" w:ascii="宋体" w:hAnsi="宋体" w:eastAsia="宋体" w:cs="宋体"/>
          <w:b/>
          <w:sz w:val="24"/>
          <w:szCs w:val="24"/>
        </w:rPr>
        <w:t>5</w:t>
      </w:r>
      <w:r>
        <w:rPr>
          <w:rFonts w:hint="eastAsia" w:ascii="宋体" w:hAnsi="宋体" w:cs="宋体"/>
          <w:b/>
          <w:sz w:val="24"/>
          <w:szCs w:val="24"/>
          <w:lang w:val="en-US" w:eastAsia="zh-CN"/>
        </w:rPr>
        <w:t>.</w:t>
      </w:r>
      <w:r>
        <w:rPr>
          <w:rFonts w:hint="eastAsia" w:ascii="宋体" w:hAnsi="宋体" w:eastAsia="宋体" w:cs="宋体"/>
          <w:b/>
          <w:sz w:val="24"/>
          <w:szCs w:val="24"/>
        </w:rPr>
        <w:t>有下列情形之一的，视为供应商串通投标，磋商小组应当认定其响应文件无效：</w:t>
      </w:r>
    </w:p>
    <w:p w14:paraId="0BD465EF">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A</w:t>
      </w:r>
      <w:r>
        <w:rPr>
          <w:rFonts w:hint="eastAsia" w:ascii="宋体" w:hAnsi="宋体" w:cs="宋体"/>
          <w:sz w:val="24"/>
          <w:szCs w:val="24"/>
          <w:lang w:eastAsia="zh-CN"/>
        </w:rPr>
        <w:t>.</w:t>
      </w:r>
      <w:r>
        <w:rPr>
          <w:rFonts w:hint="eastAsia" w:ascii="宋体" w:hAnsi="宋体" w:eastAsia="宋体" w:cs="宋体"/>
          <w:sz w:val="24"/>
          <w:szCs w:val="24"/>
        </w:rPr>
        <w:t>不同供应商的响应文件由同一单位或者个人编制；</w:t>
      </w:r>
    </w:p>
    <w:p w14:paraId="3229E3AE">
      <w:pPr>
        <w:pageBreakBefore w:val="0"/>
        <w:widowControl/>
        <w:wordWrap/>
        <w:topLinePunct w:val="0"/>
        <w:autoSpaceDE/>
        <w:autoSpaceDN/>
        <w:bidi w:val="0"/>
        <w:spacing w:line="336" w:lineRule="auto"/>
        <w:ind w:firstLine="600" w:firstLineChars="250"/>
        <w:textAlignment w:val="auto"/>
        <w:rPr>
          <w:rFonts w:hint="eastAsia" w:ascii="宋体" w:hAnsi="宋体" w:eastAsia="宋体" w:cs="宋体"/>
          <w:sz w:val="24"/>
          <w:szCs w:val="24"/>
        </w:rPr>
      </w:pPr>
      <w:r>
        <w:rPr>
          <w:rFonts w:hint="eastAsia" w:ascii="宋体" w:hAnsi="宋体" w:eastAsia="宋体" w:cs="宋体"/>
          <w:sz w:val="24"/>
          <w:szCs w:val="24"/>
        </w:rPr>
        <w:t>B</w:t>
      </w:r>
      <w:r>
        <w:rPr>
          <w:rFonts w:hint="eastAsia" w:ascii="宋体" w:hAnsi="宋体" w:cs="宋体"/>
          <w:sz w:val="24"/>
          <w:szCs w:val="24"/>
          <w:lang w:eastAsia="zh-CN"/>
        </w:rPr>
        <w:t>.</w:t>
      </w:r>
      <w:r>
        <w:rPr>
          <w:rFonts w:hint="eastAsia" w:ascii="宋体" w:hAnsi="宋体" w:eastAsia="宋体" w:cs="宋体"/>
          <w:sz w:val="24"/>
          <w:szCs w:val="24"/>
        </w:rPr>
        <w:t xml:space="preserve">不同供应商委托同一单位或者个人办理磋商事宜； </w:t>
      </w:r>
    </w:p>
    <w:p w14:paraId="3F948277">
      <w:pPr>
        <w:pageBreakBefore w:val="0"/>
        <w:widowControl/>
        <w:wordWrap/>
        <w:topLinePunct w:val="0"/>
        <w:autoSpaceDE/>
        <w:autoSpaceDN/>
        <w:bidi w:val="0"/>
        <w:spacing w:line="336" w:lineRule="auto"/>
        <w:ind w:firstLine="600" w:firstLineChars="250"/>
        <w:textAlignment w:val="auto"/>
        <w:rPr>
          <w:rFonts w:hint="eastAsia" w:ascii="宋体" w:hAnsi="宋体" w:eastAsia="宋体" w:cs="宋体"/>
          <w:sz w:val="24"/>
          <w:szCs w:val="24"/>
        </w:rPr>
      </w:pPr>
      <w:r>
        <w:rPr>
          <w:rFonts w:hint="eastAsia" w:ascii="宋体" w:hAnsi="宋体" w:eastAsia="宋体" w:cs="宋体"/>
          <w:sz w:val="24"/>
          <w:szCs w:val="24"/>
        </w:rPr>
        <w:t>C</w:t>
      </w:r>
      <w:r>
        <w:rPr>
          <w:rFonts w:hint="eastAsia" w:ascii="宋体" w:hAnsi="宋体" w:cs="宋体"/>
          <w:sz w:val="24"/>
          <w:szCs w:val="24"/>
          <w:lang w:eastAsia="zh-CN"/>
        </w:rPr>
        <w:t>.</w:t>
      </w:r>
      <w:r>
        <w:rPr>
          <w:rFonts w:hint="eastAsia" w:ascii="宋体" w:hAnsi="宋体" w:eastAsia="宋体" w:cs="宋体"/>
          <w:sz w:val="24"/>
          <w:szCs w:val="24"/>
        </w:rPr>
        <w:t>不同供应商的响应文件载明的项目管理成员或者联系人员为同一人；</w:t>
      </w:r>
    </w:p>
    <w:p w14:paraId="17470B2C">
      <w:pPr>
        <w:pageBreakBefore w:val="0"/>
        <w:widowControl/>
        <w:wordWrap/>
        <w:topLinePunct w:val="0"/>
        <w:autoSpaceDE/>
        <w:autoSpaceDN/>
        <w:bidi w:val="0"/>
        <w:spacing w:line="336" w:lineRule="auto"/>
        <w:ind w:firstLine="600" w:firstLineChars="250"/>
        <w:textAlignment w:val="auto"/>
        <w:rPr>
          <w:rFonts w:hint="eastAsia" w:ascii="宋体" w:hAnsi="宋体" w:eastAsia="宋体" w:cs="宋体"/>
          <w:sz w:val="24"/>
          <w:szCs w:val="24"/>
        </w:rPr>
      </w:pPr>
      <w:r>
        <w:rPr>
          <w:rFonts w:hint="eastAsia" w:ascii="宋体" w:hAnsi="宋体" w:eastAsia="宋体" w:cs="宋体"/>
          <w:sz w:val="24"/>
          <w:szCs w:val="24"/>
        </w:rPr>
        <w:t>D</w:t>
      </w:r>
      <w:r>
        <w:rPr>
          <w:rFonts w:hint="eastAsia" w:ascii="宋体" w:hAnsi="宋体" w:cs="宋体"/>
          <w:sz w:val="24"/>
          <w:szCs w:val="24"/>
          <w:lang w:eastAsia="zh-CN"/>
        </w:rPr>
        <w:t>.</w:t>
      </w:r>
      <w:r>
        <w:rPr>
          <w:rFonts w:hint="eastAsia" w:ascii="宋体" w:hAnsi="宋体" w:eastAsia="宋体" w:cs="宋体"/>
          <w:sz w:val="24"/>
          <w:szCs w:val="24"/>
        </w:rPr>
        <w:t>不同供应商的响应文件异常一致或者磋商报价呈规律性差异；</w:t>
      </w:r>
    </w:p>
    <w:p w14:paraId="5970617F">
      <w:pPr>
        <w:pageBreakBefore w:val="0"/>
        <w:widowControl/>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E</w:t>
      </w:r>
      <w:r>
        <w:rPr>
          <w:rFonts w:hint="eastAsia" w:ascii="宋体" w:hAnsi="宋体" w:cs="宋体"/>
          <w:sz w:val="24"/>
          <w:szCs w:val="24"/>
          <w:lang w:eastAsia="zh-CN"/>
        </w:rPr>
        <w:t>.</w:t>
      </w:r>
      <w:r>
        <w:rPr>
          <w:rFonts w:hint="eastAsia" w:ascii="宋体" w:hAnsi="宋体" w:eastAsia="宋体" w:cs="宋体"/>
          <w:sz w:val="24"/>
          <w:szCs w:val="24"/>
        </w:rPr>
        <w:t>不同供应商的响应文件相互混装；</w:t>
      </w:r>
    </w:p>
    <w:p w14:paraId="657982C7">
      <w:pPr>
        <w:pageBreakBefore w:val="0"/>
        <w:wordWrap/>
        <w:topLinePunct w:val="0"/>
        <w:autoSpaceDE/>
        <w:autoSpaceDN/>
        <w:bidi w:val="0"/>
        <w:spacing w:line="336" w:lineRule="auto"/>
        <w:ind w:firstLine="600" w:firstLineChars="250"/>
        <w:textAlignment w:val="auto"/>
        <w:rPr>
          <w:rFonts w:hint="eastAsia" w:ascii="宋体" w:hAnsi="宋体" w:eastAsia="宋体" w:cs="宋体"/>
          <w:sz w:val="24"/>
          <w:szCs w:val="24"/>
        </w:rPr>
      </w:pPr>
      <w:r>
        <w:rPr>
          <w:rFonts w:hint="eastAsia" w:ascii="宋体" w:hAnsi="宋体" w:eastAsia="宋体" w:cs="宋体"/>
          <w:sz w:val="24"/>
          <w:szCs w:val="24"/>
        </w:rPr>
        <w:t>F</w:t>
      </w:r>
      <w:r>
        <w:rPr>
          <w:rFonts w:hint="eastAsia" w:ascii="宋体" w:hAnsi="宋体" w:cs="宋体"/>
          <w:sz w:val="24"/>
          <w:szCs w:val="24"/>
          <w:lang w:eastAsia="zh-CN"/>
        </w:rPr>
        <w:t>.</w:t>
      </w:r>
      <w:r>
        <w:rPr>
          <w:rFonts w:hint="eastAsia" w:ascii="宋体" w:hAnsi="宋体" w:eastAsia="宋体" w:cs="宋体"/>
          <w:sz w:val="24"/>
          <w:szCs w:val="24"/>
        </w:rPr>
        <w:t>不同供应商的磋商保证金从同一单位或者个人的账户转出。</w:t>
      </w:r>
    </w:p>
    <w:p w14:paraId="272C493E">
      <w:pPr>
        <w:pStyle w:val="4"/>
        <w:keepNext w:val="0"/>
        <w:keepLines w:val="0"/>
        <w:pageBreakBefore w:val="0"/>
        <w:wordWrap/>
        <w:topLinePunct w:val="0"/>
        <w:autoSpaceDE/>
        <w:autoSpaceDN/>
        <w:bidi w:val="0"/>
        <w:spacing w:line="336" w:lineRule="auto"/>
        <w:ind w:firstLine="482"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6</w:t>
      </w:r>
      <w:r>
        <w:rPr>
          <w:rFonts w:hint="eastAsia" w:ascii="宋体" w:hAnsi="宋体" w:cs="宋体"/>
          <w:sz w:val="24"/>
          <w:szCs w:val="24"/>
          <w:lang w:val="en-US" w:eastAsia="zh-CN"/>
        </w:rPr>
        <w:t>.</w:t>
      </w:r>
      <w:r>
        <w:rPr>
          <w:rFonts w:hint="eastAsia" w:ascii="宋体" w:hAnsi="宋体" w:eastAsia="宋体" w:cs="宋体"/>
          <w:sz w:val="24"/>
          <w:szCs w:val="24"/>
        </w:rPr>
        <w:t>澄清</w:t>
      </w:r>
      <w:r>
        <w:rPr>
          <w:rFonts w:hint="eastAsia" w:ascii="宋体" w:hAnsi="宋体" w:cs="宋体"/>
          <w:sz w:val="24"/>
          <w:szCs w:val="24"/>
          <w:lang w:val="en-US" w:eastAsia="zh-CN"/>
        </w:rPr>
        <w:t>及磋商</w:t>
      </w:r>
    </w:p>
    <w:p w14:paraId="1C616DDB">
      <w:pPr>
        <w:pageBreakBefore w:val="0"/>
        <w:widowControl/>
        <w:wordWrap/>
        <w:topLinePunct w:val="0"/>
        <w:autoSpaceDE/>
        <w:autoSpaceDN/>
        <w:bidi w:val="0"/>
        <w:spacing w:line="336" w:lineRule="auto"/>
        <w:ind w:firstLine="480" w:firstLineChars="200"/>
        <w:textAlignment w:val="auto"/>
        <w:rPr>
          <w:rFonts w:hint="default" w:ascii="宋体" w:hAnsi="宋体" w:cs="宋体"/>
          <w:sz w:val="24"/>
          <w:szCs w:val="24"/>
          <w:lang w:val="en-US" w:eastAsia="zh-CN"/>
        </w:rPr>
      </w:pPr>
      <w:r>
        <w:rPr>
          <w:rFonts w:hint="eastAsia" w:ascii="宋体" w:hAnsi="宋体" w:cs="宋体"/>
          <w:sz w:val="24"/>
          <w:szCs w:val="24"/>
          <w:lang w:val="en-US" w:eastAsia="zh-CN"/>
        </w:rPr>
        <w:t>6.1澄清</w:t>
      </w:r>
    </w:p>
    <w:p w14:paraId="6CACE799">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9E4FDF7">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FF0000"/>
          <w:sz w:val="24"/>
          <w:szCs w:val="24"/>
        </w:rPr>
      </w:pPr>
      <w:r>
        <w:rPr>
          <w:rFonts w:hint="eastAsia" w:ascii="宋体" w:hAnsi="宋体" w:eastAsia="宋体" w:cs="宋体"/>
          <w:sz w:val="24"/>
          <w:szCs w:val="24"/>
        </w:rPr>
        <w:t>（2）实质性内容包括但不限于：</w:t>
      </w:r>
      <w:r>
        <w:rPr>
          <w:rFonts w:hint="eastAsia" w:ascii="宋体" w:hAnsi="宋体" w:eastAsia="宋体" w:cs="宋体"/>
          <w:color w:val="auto"/>
          <w:sz w:val="24"/>
          <w:szCs w:val="24"/>
        </w:rPr>
        <w:t>计划工期、合同价款与支付方式、质保要求</w:t>
      </w:r>
      <w:r>
        <w:rPr>
          <w:rFonts w:hint="eastAsia" w:ascii="宋体" w:hAnsi="宋体" w:cs="宋体"/>
          <w:color w:val="auto"/>
          <w:sz w:val="24"/>
          <w:szCs w:val="24"/>
          <w:lang w:eastAsia="zh-CN"/>
        </w:rPr>
        <w:t>、</w:t>
      </w:r>
      <w:r>
        <w:rPr>
          <w:rFonts w:hint="eastAsia" w:ascii="宋体" w:hAnsi="宋体" w:eastAsia="宋体" w:cs="宋体"/>
          <w:color w:val="auto"/>
          <w:kern w:val="2"/>
          <w:sz w:val="24"/>
          <w:szCs w:val="24"/>
          <w:lang w:val="en-US" w:eastAsia="zh-CN" w:bidi="ar-SA"/>
        </w:rPr>
        <w:t>质量验收标准</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质量等级</w:t>
      </w:r>
      <w:r>
        <w:rPr>
          <w:rFonts w:hint="eastAsia" w:ascii="宋体" w:hAnsi="宋体" w:eastAsia="宋体" w:cs="宋体"/>
          <w:color w:val="auto"/>
          <w:sz w:val="24"/>
          <w:szCs w:val="24"/>
        </w:rPr>
        <w:t>等。</w:t>
      </w:r>
    </w:p>
    <w:p w14:paraId="17276B57">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（3）磋商小组要求供应商澄清、说明或者更正响应文件应当以书面形式作出，并由其法定代表人或被授权人签字。</w:t>
      </w:r>
    </w:p>
    <w:p w14:paraId="12270D69">
      <w:pPr>
        <w:pageBreakBefore w:val="0"/>
        <w:wordWrap/>
        <w:topLinePunct w:val="0"/>
        <w:autoSpaceDE/>
        <w:autoSpaceDN/>
        <w:bidi w:val="0"/>
        <w:spacing w:line="336"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（4）在磋商过程中，磋商小组可以根据磋商文件和磋商情况实质性变动采购需求中的技术、服务要求以及合同草案条款，但不得变动磋商文件中的其他内容。实质性变动的内容，须经采购人代表确认。</w:t>
      </w:r>
    </w:p>
    <w:bookmarkEnd w:id="91"/>
    <w:p w14:paraId="1CA03D99">
      <w:pPr>
        <w:pageBreakBefore w:val="0"/>
        <w:widowControl/>
        <w:wordWrap/>
        <w:topLinePunct w:val="0"/>
        <w:autoSpaceDE/>
        <w:autoSpaceDN/>
        <w:bidi w:val="0"/>
        <w:spacing w:line="336" w:lineRule="auto"/>
        <w:ind w:firstLine="480" w:firstLineChars="200"/>
        <w:textAlignment w:val="auto"/>
        <w:rPr>
          <w:rFonts w:hint="default" w:ascii="宋体" w:hAnsi="宋体" w:cs="宋体"/>
          <w:sz w:val="24"/>
          <w:szCs w:val="24"/>
          <w:lang w:val="en-US" w:eastAsia="zh-CN"/>
        </w:rPr>
      </w:pPr>
      <w:bookmarkStart w:id="92" w:name="_Toc12947"/>
      <w:bookmarkStart w:id="93" w:name="_Toc536202314"/>
      <w:r>
        <w:rPr>
          <w:rFonts w:hint="eastAsia" w:ascii="宋体" w:hAnsi="宋体" w:cs="宋体"/>
          <w:sz w:val="24"/>
          <w:szCs w:val="24"/>
          <w:lang w:val="en-US" w:eastAsia="zh-CN"/>
        </w:rPr>
        <w:t>6.2磋商</w:t>
      </w:r>
    </w:p>
    <w:p w14:paraId="2DFD65D9">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）磋商小组将分别与每位供应商远程进行磋商，请及时关注不见面开播大厅右侧公告及互动栏目信息。</w:t>
      </w:r>
    </w:p>
    <w:p w14:paraId="304B2D3F">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cs="宋体"/>
          <w:sz w:val="24"/>
          <w:szCs w:val="24"/>
          <w:lang w:val="en-US" w:eastAsia="zh-CN"/>
        </w:rPr>
        <w:t>2</w:t>
      </w:r>
      <w:r>
        <w:rPr>
          <w:rFonts w:hint="eastAsia" w:ascii="宋体" w:hAnsi="宋体" w:eastAsia="宋体" w:cs="宋体"/>
          <w:sz w:val="24"/>
          <w:szCs w:val="24"/>
        </w:rPr>
        <w:t>）磋商开始后，直到向成交供应商授予合同为止，凡审查、澄清、评价和比较</w:t>
      </w:r>
      <w:r>
        <w:rPr>
          <w:rFonts w:hint="eastAsia" w:ascii="宋体" w:hAnsi="宋体" w:eastAsia="宋体" w:cs="宋体"/>
          <w:sz w:val="24"/>
          <w:szCs w:val="24"/>
          <w:lang w:val="en-US" w:eastAsia="zh-CN"/>
        </w:rPr>
        <w:t>磋商的有关资料，磋商小组成员均不得向供应商及与磋商无关的其他人透露。</w:t>
      </w:r>
    </w:p>
    <w:p w14:paraId="7EF52C99">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）磋商结束后，供应商须使用数字认证证书（CA 主锁）登录全国公共资源交易平台</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陕西省</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 xml:space="preserve"> 在交易系统中提交多轮</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最后</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报价，并用数字认证证书</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CA 主锁</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签章，系统按照评标规则自动排序。</w:t>
      </w:r>
    </w:p>
    <w:p w14:paraId="3D6A61A7">
      <w:pPr>
        <w:pStyle w:val="17"/>
        <w:spacing w:before="219" w:line="219" w:lineRule="auto"/>
        <w:ind w:left="457"/>
        <w:rPr>
          <w:b/>
          <w:bCs/>
          <w:sz w:val="24"/>
          <w:szCs w:val="24"/>
        </w:rPr>
      </w:pPr>
      <w:r>
        <w:rPr>
          <w:rFonts w:hint="eastAsia" w:ascii="宋体" w:hAnsi="宋体" w:eastAsia="宋体" w:cs="宋体"/>
          <w:sz w:val="24"/>
          <w:szCs w:val="24"/>
        </w:rPr>
        <w:t xml:space="preserve"> </w:t>
      </w:r>
      <w:r>
        <w:rPr>
          <w:b/>
          <w:bCs/>
          <w:spacing w:val="-3"/>
          <w:sz w:val="24"/>
          <w:szCs w:val="24"/>
        </w:rPr>
        <w:t>网上</w:t>
      </w:r>
      <w:r>
        <w:rPr>
          <w:rFonts w:hint="eastAsia"/>
          <w:b/>
          <w:bCs/>
          <w:spacing w:val="-3"/>
          <w:sz w:val="24"/>
          <w:szCs w:val="24"/>
          <w:lang w:val="en-US" w:eastAsia="zh-CN"/>
        </w:rPr>
        <w:t>报价</w:t>
      </w:r>
      <w:r>
        <w:rPr>
          <w:b/>
          <w:bCs/>
          <w:spacing w:val="-3"/>
          <w:sz w:val="24"/>
          <w:szCs w:val="24"/>
        </w:rPr>
        <w:t>操作流程：</w:t>
      </w:r>
    </w:p>
    <w:p w14:paraId="473F367A">
      <w:pPr>
        <w:pStyle w:val="17"/>
        <w:spacing w:before="25" w:line="480" w:lineRule="exact"/>
        <w:ind w:left="455"/>
        <w:rPr>
          <w:b w:val="0"/>
          <w:bCs w:val="0"/>
          <w:sz w:val="24"/>
          <w:szCs w:val="24"/>
        </w:rPr>
      </w:pPr>
      <w:r>
        <w:rPr>
          <w:b w:val="0"/>
          <w:bCs w:val="0"/>
          <w:position w:val="7"/>
          <w:sz w:val="24"/>
          <w:szCs w:val="24"/>
        </w:rPr>
        <w:t xml:space="preserve">a.插入 CA </w:t>
      </w:r>
      <w:r>
        <w:rPr>
          <w:b w:val="0"/>
          <w:bCs w:val="0"/>
          <w:sz w:val="24"/>
          <w:szCs w:val="24"/>
        </w:rPr>
        <w:fldChar w:fldCharType="begin"/>
      </w:r>
      <w:r>
        <w:rPr>
          <w:b w:val="0"/>
          <w:bCs w:val="0"/>
          <w:sz w:val="24"/>
          <w:szCs w:val="24"/>
        </w:rPr>
        <w:instrText xml:space="preserve"> HYPERLINK "http://www.sxggzyjy.cn/" </w:instrText>
      </w:r>
      <w:r>
        <w:rPr>
          <w:b w:val="0"/>
          <w:bCs w:val="0"/>
          <w:sz w:val="24"/>
          <w:szCs w:val="24"/>
        </w:rPr>
        <w:fldChar w:fldCharType="separate"/>
      </w:r>
      <w:r>
        <w:rPr>
          <w:b w:val="0"/>
          <w:bCs w:val="0"/>
          <w:position w:val="7"/>
          <w:sz w:val="24"/>
          <w:szCs w:val="24"/>
        </w:rPr>
        <w:t>锁，登录陕西省公共资源交易平台网站（http://www.sx</w:t>
      </w:r>
      <w:r>
        <w:rPr>
          <w:b w:val="0"/>
          <w:bCs w:val="0"/>
          <w:spacing w:val="-1"/>
          <w:position w:val="7"/>
          <w:sz w:val="24"/>
          <w:szCs w:val="24"/>
        </w:rPr>
        <w:t>ggzyjy.cn/</w:t>
      </w:r>
      <w:r>
        <w:rPr>
          <w:b w:val="0"/>
          <w:bCs w:val="0"/>
          <w:spacing w:val="-1"/>
          <w:position w:val="7"/>
          <w:sz w:val="24"/>
          <w:szCs w:val="24"/>
        </w:rPr>
        <w:fldChar w:fldCharType="end"/>
      </w:r>
      <w:r>
        <w:rPr>
          <w:b w:val="0"/>
          <w:bCs w:val="0"/>
          <w:spacing w:val="-41"/>
          <w:position w:val="7"/>
          <w:sz w:val="24"/>
          <w:szCs w:val="24"/>
        </w:rPr>
        <w:t>）；</w:t>
      </w:r>
    </w:p>
    <w:p w14:paraId="3FE98A0E">
      <w:pPr>
        <w:pStyle w:val="17"/>
        <w:spacing w:before="195" w:line="219" w:lineRule="auto"/>
        <w:ind w:left="450"/>
        <w:rPr>
          <w:b w:val="0"/>
          <w:bCs w:val="0"/>
          <w:sz w:val="24"/>
          <w:szCs w:val="24"/>
        </w:rPr>
      </w:pPr>
      <w:r>
        <w:rPr>
          <w:b w:val="0"/>
          <w:bCs w:val="0"/>
          <w:sz w:val="24"/>
          <w:szCs w:val="24"/>
        </w:rPr>
        <w:t>b.点击右上角我的项目，选择本次开标项目，点击</w:t>
      </w:r>
      <w:r>
        <w:rPr>
          <w:b w:val="0"/>
          <w:bCs w:val="0"/>
          <w:spacing w:val="-1"/>
          <w:sz w:val="24"/>
          <w:szCs w:val="24"/>
        </w:rPr>
        <w:t>项目流程；</w:t>
      </w:r>
    </w:p>
    <w:p w14:paraId="3DA13996">
      <w:pPr>
        <w:pStyle w:val="17"/>
        <w:spacing w:before="218" w:line="219" w:lineRule="auto"/>
        <w:ind w:left="458"/>
        <w:rPr>
          <w:b w:val="0"/>
          <w:bCs w:val="0"/>
          <w:sz w:val="24"/>
          <w:szCs w:val="24"/>
        </w:rPr>
      </w:pPr>
      <w:r>
        <w:rPr>
          <w:b w:val="0"/>
          <w:bCs w:val="0"/>
          <w:spacing w:val="-2"/>
          <w:sz w:val="24"/>
          <w:szCs w:val="24"/>
        </w:rPr>
        <w:t>c.点击网上报价；</w:t>
      </w:r>
    </w:p>
    <w:p w14:paraId="6DC71CEC">
      <w:pPr>
        <w:pStyle w:val="17"/>
        <w:spacing w:before="61" w:line="419" w:lineRule="exact"/>
        <w:ind w:left="458"/>
        <w:rPr>
          <w:b w:val="0"/>
          <w:bCs w:val="0"/>
          <w:sz w:val="24"/>
          <w:szCs w:val="24"/>
        </w:rPr>
      </w:pPr>
      <w:r>
        <w:rPr>
          <w:b w:val="0"/>
          <w:bCs w:val="0"/>
          <w:spacing w:val="-1"/>
          <w:position w:val="-4"/>
          <w:sz w:val="24"/>
          <w:szCs w:val="24"/>
        </w:rPr>
        <w:t>d.报价：点击</w:t>
      </w:r>
      <w:r>
        <w:rPr>
          <w:b w:val="0"/>
          <w:bCs w:val="0"/>
          <w:position w:val="-4"/>
          <w:sz w:val="24"/>
          <w:szCs w:val="24"/>
        </w:rPr>
        <w:drawing>
          <wp:inline distT="0" distB="0" distL="0" distR="0">
            <wp:extent cx="219075" cy="220345"/>
            <wp:effectExtent l="0" t="0" r="9525" b="8255"/>
            <wp:docPr id="21" name="IM 4"/>
            <wp:cNvGraphicFramePr/>
            <a:graphic xmlns:a="http://schemas.openxmlformats.org/drawingml/2006/main">
              <a:graphicData uri="http://schemas.openxmlformats.org/drawingml/2006/picture">
                <pic:pic xmlns:pic="http://schemas.openxmlformats.org/drawingml/2006/picture">
                  <pic:nvPicPr>
                    <pic:cNvPr id="21" name="IM 4"/>
                    <pic:cNvPicPr/>
                  </pic:nvPicPr>
                  <pic:blipFill>
                    <a:blip r:embed="rId30"/>
                    <a:stretch>
                      <a:fillRect/>
                    </a:stretch>
                  </pic:blipFill>
                  <pic:spPr>
                    <a:xfrm>
                      <a:off x="0" y="0"/>
                      <a:ext cx="219340" cy="220979"/>
                    </a:xfrm>
                    <a:prstGeom prst="rect">
                      <a:avLst/>
                    </a:prstGeom>
                  </pic:spPr>
                </pic:pic>
              </a:graphicData>
            </a:graphic>
          </wp:inline>
        </w:drawing>
      </w:r>
      <w:r>
        <w:rPr>
          <w:b w:val="0"/>
          <w:bCs w:val="0"/>
          <w:spacing w:val="-1"/>
          <w:position w:val="-4"/>
          <w:sz w:val="24"/>
          <w:szCs w:val="24"/>
        </w:rPr>
        <w:t>报价，输入金额（注意大小写一致</w:t>
      </w:r>
      <w:r>
        <w:rPr>
          <w:b w:val="0"/>
          <w:bCs w:val="0"/>
          <w:spacing w:val="-57"/>
          <w:position w:val="-4"/>
          <w:sz w:val="24"/>
          <w:szCs w:val="24"/>
        </w:rPr>
        <w:t>）；</w:t>
      </w:r>
    </w:p>
    <w:p w14:paraId="09F1EEB2">
      <w:pPr>
        <w:pStyle w:val="17"/>
        <w:spacing w:before="25" w:line="455" w:lineRule="exact"/>
        <w:ind w:left="459"/>
        <w:rPr>
          <w:b w:val="0"/>
          <w:bCs w:val="0"/>
          <w:sz w:val="24"/>
          <w:szCs w:val="24"/>
        </w:rPr>
      </w:pPr>
      <w:r>
        <w:rPr>
          <w:b w:val="0"/>
          <w:bCs w:val="0"/>
          <w:spacing w:val="-2"/>
          <w:position w:val="-4"/>
          <w:sz w:val="24"/>
          <w:szCs w:val="24"/>
        </w:rPr>
        <w:t>e.签章查看：点击</w:t>
      </w:r>
      <w:r>
        <w:rPr>
          <w:b w:val="0"/>
          <w:bCs w:val="0"/>
          <w:position w:val="-4"/>
          <w:sz w:val="24"/>
          <w:szCs w:val="24"/>
        </w:rPr>
        <w:drawing>
          <wp:inline distT="0" distB="0" distL="0" distR="0">
            <wp:extent cx="250825" cy="243840"/>
            <wp:effectExtent l="0" t="0" r="15875" b="3810"/>
            <wp:docPr id="22" name="IM 6"/>
            <wp:cNvGraphicFramePr/>
            <a:graphic xmlns:a="http://schemas.openxmlformats.org/drawingml/2006/main">
              <a:graphicData uri="http://schemas.openxmlformats.org/drawingml/2006/picture">
                <pic:pic xmlns:pic="http://schemas.openxmlformats.org/drawingml/2006/picture">
                  <pic:nvPicPr>
                    <pic:cNvPr id="22" name="IM 6"/>
                    <pic:cNvPicPr/>
                  </pic:nvPicPr>
                  <pic:blipFill>
                    <a:blip r:embed="rId31"/>
                    <a:stretch>
                      <a:fillRect/>
                    </a:stretch>
                  </pic:blipFill>
                  <pic:spPr>
                    <a:xfrm>
                      <a:off x="0" y="0"/>
                      <a:ext cx="251352" cy="243840"/>
                    </a:xfrm>
                    <a:prstGeom prst="rect">
                      <a:avLst/>
                    </a:prstGeom>
                  </pic:spPr>
                </pic:pic>
              </a:graphicData>
            </a:graphic>
          </wp:inline>
        </w:drawing>
      </w:r>
      <w:r>
        <w:rPr>
          <w:b w:val="0"/>
          <w:bCs w:val="0"/>
          <w:spacing w:val="43"/>
          <w:position w:val="-4"/>
          <w:sz w:val="24"/>
          <w:szCs w:val="24"/>
        </w:rPr>
        <w:t xml:space="preserve"> </w:t>
      </w:r>
      <w:r>
        <w:rPr>
          <w:b w:val="0"/>
          <w:bCs w:val="0"/>
          <w:spacing w:val="-2"/>
          <w:position w:val="-4"/>
          <w:sz w:val="24"/>
          <w:szCs w:val="24"/>
        </w:rPr>
        <w:t>，选择单页签章，点击报价表右下角签章；</w:t>
      </w:r>
    </w:p>
    <w:p w14:paraId="0E010329">
      <w:pPr>
        <w:spacing w:line="313" w:lineRule="auto"/>
        <w:rPr>
          <w:rFonts w:ascii="Arial"/>
          <w:sz w:val="21"/>
        </w:rPr>
      </w:pPr>
    </w:p>
    <w:p w14:paraId="5F8A7657">
      <w:pPr>
        <w:pStyle w:val="17"/>
        <w:spacing w:before="72"/>
        <w:ind w:left="14"/>
        <w:rPr>
          <w:sz w:val="22"/>
          <w:szCs w:val="22"/>
        </w:rPr>
      </w:pPr>
      <w:r>
        <w:rPr>
          <w:spacing w:val="-2"/>
          <w:sz w:val="24"/>
          <w:szCs w:val="24"/>
        </w:rPr>
        <w:t>确认无误如图：</w:t>
      </w:r>
      <w:r>
        <w:rPr>
          <w:spacing w:val="2"/>
          <w:sz w:val="22"/>
          <w:szCs w:val="22"/>
        </w:rPr>
        <w:t xml:space="preserve">    </w:t>
      </w:r>
      <w:r>
        <w:rPr>
          <w:position w:val="-57"/>
          <w:sz w:val="22"/>
          <w:szCs w:val="22"/>
        </w:rPr>
        <w:drawing>
          <wp:inline distT="0" distB="0" distL="0" distR="0">
            <wp:extent cx="4067175" cy="685800"/>
            <wp:effectExtent l="0" t="0" r="9525" b="0"/>
            <wp:docPr id="23" name="IM 8"/>
            <wp:cNvGraphicFramePr/>
            <a:graphic xmlns:a="http://schemas.openxmlformats.org/drawingml/2006/main">
              <a:graphicData uri="http://schemas.openxmlformats.org/drawingml/2006/picture">
                <pic:pic xmlns:pic="http://schemas.openxmlformats.org/drawingml/2006/picture">
                  <pic:nvPicPr>
                    <pic:cNvPr id="23" name="IM 8"/>
                    <pic:cNvPicPr/>
                  </pic:nvPicPr>
                  <pic:blipFill>
                    <a:blip r:embed="rId32"/>
                    <a:stretch>
                      <a:fillRect/>
                    </a:stretch>
                  </pic:blipFill>
                  <pic:spPr>
                    <a:xfrm>
                      <a:off x="0" y="0"/>
                      <a:ext cx="4067556" cy="685800"/>
                    </a:xfrm>
                    <a:prstGeom prst="rect">
                      <a:avLst/>
                    </a:prstGeom>
                  </pic:spPr>
                </pic:pic>
              </a:graphicData>
            </a:graphic>
          </wp:inline>
        </w:drawing>
      </w:r>
    </w:p>
    <w:p w14:paraId="3BC131BF">
      <w:pPr>
        <w:pStyle w:val="17"/>
        <w:spacing w:before="193" w:line="221" w:lineRule="auto"/>
        <w:ind w:left="457"/>
        <w:rPr>
          <w:sz w:val="24"/>
          <w:szCs w:val="24"/>
        </w:rPr>
      </w:pPr>
      <w:r>
        <w:rPr>
          <w:spacing w:val="-2"/>
          <w:sz w:val="24"/>
          <w:szCs w:val="24"/>
        </w:rPr>
        <w:t>f.提交。</w:t>
      </w:r>
    </w:p>
    <w:p w14:paraId="4BF36B4B">
      <w:pPr>
        <w:pStyle w:val="17"/>
        <w:spacing w:before="202" w:line="342" w:lineRule="auto"/>
        <w:ind w:left="1" w:right="55" w:firstLine="446"/>
        <w:rPr>
          <w:sz w:val="24"/>
          <w:szCs w:val="24"/>
        </w:rPr>
      </w:pPr>
      <w:r>
        <w:rPr>
          <w:rFonts w:hint="eastAsia"/>
          <w:spacing w:val="-1"/>
          <w:sz w:val="24"/>
          <w:szCs w:val="24"/>
          <w:lang w:val="en-US" w:eastAsia="zh-CN"/>
        </w:rPr>
        <w:t>备注：</w:t>
      </w:r>
      <w:r>
        <w:rPr>
          <w:spacing w:val="-1"/>
          <w:sz w:val="24"/>
          <w:szCs w:val="24"/>
        </w:rPr>
        <w:t>相关操作培训请关注《陕西省公共资源交易中心》通知公告</w:t>
      </w:r>
      <w:r>
        <w:rPr>
          <w:spacing w:val="-2"/>
          <w:sz w:val="24"/>
          <w:szCs w:val="24"/>
        </w:rPr>
        <w:t>栏目。相关操作流程详见全国公</w:t>
      </w:r>
      <w:r>
        <w:rPr>
          <w:spacing w:val="-1"/>
          <w:sz w:val="24"/>
          <w:szCs w:val="24"/>
        </w:rPr>
        <w:t>共资源交易平台（陕西省）网站[服务指南</w:t>
      </w:r>
      <w:r>
        <w:rPr>
          <w:rFonts w:hint="eastAsia"/>
          <w:spacing w:val="-1"/>
          <w:sz w:val="24"/>
          <w:szCs w:val="24"/>
          <w:lang w:val="en-US" w:eastAsia="zh-CN"/>
        </w:rPr>
        <w:t>-</w:t>
      </w:r>
      <w:r>
        <w:rPr>
          <w:spacing w:val="-1"/>
          <w:sz w:val="24"/>
          <w:szCs w:val="24"/>
        </w:rPr>
        <w:t>下载专区]中的《陕西省公共资源交易中心政府采购项</w:t>
      </w:r>
      <w:r>
        <w:rPr>
          <w:spacing w:val="-2"/>
          <w:sz w:val="24"/>
          <w:szCs w:val="24"/>
        </w:rPr>
        <w:t>目远</w:t>
      </w:r>
      <w:r>
        <w:rPr>
          <w:sz w:val="24"/>
          <w:szCs w:val="24"/>
        </w:rPr>
        <w:t xml:space="preserve"> </w:t>
      </w:r>
      <w:r>
        <w:rPr>
          <w:spacing w:val="-5"/>
          <w:sz w:val="24"/>
          <w:szCs w:val="24"/>
        </w:rPr>
        <w:t>程不见面开标操作手册</w:t>
      </w:r>
      <w:r>
        <w:rPr>
          <w:rFonts w:hint="eastAsia"/>
          <w:spacing w:val="-5"/>
          <w:sz w:val="24"/>
          <w:szCs w:val="24"/>
          <w:lang w:eastAsia="zh-CN"/>
        </w:rPr>
        <w:t>（</w:t>
      </w:r>
      <w:r>
        <w:rPr>
          <w:spacing w:val="-5"/>
          <w:sz w:val="24"/>
          <w:szCs w:val="24"/>
        </w:rPr>
        <w:t>供应商版</w:t>
      </w:r>
      <w:r>
        <w:rPr>
          <w:rFonts w:hint="eastAsia"/>
          <w:spacing w:val="-5"/>
          <w:sz w:val="24"/>
          <w:szCs w:val="24"/>
          <w:lang w:eastAsia="zh-CN"/>
        </w:rPr>
        <w:t>）</w:t>
      </w:r>
      <w:r>
        <w:rPr>
          <w:spacing w:val="-5"/>
          <w:sz w:val="24"/>
          <w:szCs w:val="24"/>
        </w:rPr>
        <w:t>》。</w:t>
      </w:r>
    </w:p>
    <w:p w14:paraId="42D18989">
      <w:pPr>
        <w:pStyle w:val="4"/>
        <w:keepNext w:val="0"/>
        <w:keepLines w:val="0"/>
        <w:pageBreakBefore w:val="0"/>
        <w:wordWrap/>
        <w:topLinePunct w:val="0"/>
        <w:autoSpaceDE/>
        <w:autoSpaceDN/>
        <w:bidi w:val="0"/>
        <w:spacing w:line="336" w:lineRule="auto"/>
        <w:ind w:firstLine="602" w:firstLineChars="25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cs="宋体"/>
          <w:sz w:val="24"/>
          <w:szCs w:val="24"/>
          <w:lang w:val="en-US" w:eastAsia="zh-CN"/>
        </w:rPr>
        <w:t>.</w:t>
      </w:r>
      <w:r>
        <w:rPr>
          <w:rFonts w:hint="eastAsia" w:ascii="宋体" w:hAnsi="宋体" w:eastAsia="宋体" w:cs="宋体"/>
          <w:sz w:val="24"/>
          <w:szCs w:val="24"/>
        </w:rPr>
        <w:t>评审方法及内容</w:t>
      </w:r>
      <w:r>
        <w:rPr>
          <w:rFonts w:hint="eastAsia" w:ascii="宋体" w:hAnsi="宋体" w:eastAsia="宋体" w:cs="宋体"/>
          <w:sz w:val="24"/>
          <w:szCs w:val="24"/>
        </w:rPr>
        <w:tab/>
      </w:r>
    </w:p>
    <w:p w14:paraId="1FE65193">
      <w:pPr>
        <w:pageBreakBefore w:val="0"/>
        <w:wordWrap/>
        <w:topLinePunct w:val="0"/>
        <w:autoSpaceDE/>
        <w:autoSpaceDN/>
        <w:bidi w:val="0"/>
        <w:spacing w:line="336"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（1）按照磋商文件规定的评审方法和标准，对资格性审查和符合性审查合格的响应文件进行商务和技术评审，综合比较和评价。</w:t>
      </w:r>
    </w:p>
    <w:p w14:paraId="452D5785">
      <w:pPr>
        <w:pageBreakBefore w:val="0"/>
        <w:wordWrap/>
        <w:topLinePunct w:val="0"/>
        <w:autoSpaceDE/>
        <w:autoSpaceDN/>
        <w:bidi w:val="0"/>
        <w:spacing w:line="336"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（2）采用综合评分法：在满足磋商文件所有实质性要求前提下，提交最终报价。如采购需求没有实质性变化</w:t>
      </w:r>
      <w:r>
        <w:rPr>
          <w:rFonts w:hint="eastAsia" w:ascii="宋体" w:hAnsi="宋体" w:eastAsia="宋体" w:cs="宋体"/>
          <w:color w:val="auto"/>
          <w:sz w:val="24"/>
          <w:szCs w:val="24"/>
        </w:rPr>
        <w:t>，各供应商的报价应逐次降低，</w:t>
      </w:r>
      <w:r>
        <w:rPr>
          <w:rFonts w:hint="eastAsia" w:ascii="宋体" w:hAnsi="宋体" w:cs="宋体"/>
          <w:color w:val="auto"/>
          <w:sz w:val="24"/>
          <w:szCs w:val="24"/>
          <w:lang w:val="en-US" w:eastAsia="zh-CN"/>
        </w:rPr>
        <w:t>后一</w:t>
      </w:r>
      <w:r>
        <w:rPr>
          <w:rFonts w:hint="eastAsia" w:ascii="宋体" w:hAnsi="宋体" w:eastAsia="宋体" w:cs="宋体"/>
          <w:color w:val="auto"/>
          <w:sz w:val="24"/>
          <w:szCs w:val="24"/>
        </w:rPr>
        <w:t>次报价高于</w:t>
      </w:r>
      <w:r>
        <w:rPr>
          <w:rFonts w:hint="eastAsia" w:ascii="宋体" w:hAnsi="宋体" w:cs="宋体"/>
          <w:color w:val="auto"/>
          <w:sz w:val="24"/>
          <w:szCs w:val="24"/>
          <w:lang w:val="en-US" w:eastAsia="zh-CN"/>
        </w:rPr>
        <w:t>前</w:t>
      </w:r>
      <w:r>
        <w:rPr>
          <w:rFonts w:hint="eastAsia" w:ascii="宋体" w:hAnsi="宋体" w:eastAsia="宋体" w:cs="宋体"/>
          <w:color w:val="auto"/>
          <w:sz w:val="24"/>
          <w:szCs w:val="24"/>
        </w:rPr>
        <w:t>一次报价的，为无效报价，按无效文件处理。最终报价后按照磋商文件中规定的各项因素进行综合评审，以磋商总得分最高的供应商作</w:t>
      </w:r>
      <w:r>
        <w:rPr>
          <w:rFonts w:hint="eastAsia" w:ascii="宋体" w:hAnsi="宋体" w:eastAsia="宋体" w:cs="宋体"/>
          <w:sz w:val="24"/>
          <w:szCs w:val="24"/>
        </w:rPr>
        <w:t>为成交供应商的磋商方法。若有两个或两个以上最高得分相同，推荐其中报价最低的供应商为成交候选供应商。磋商总得分</w:t>
      </w:r>
      <w:r>
        <w:rPr>
          <w:rFonts w:hint="eastAsia" w:ascii="宋体" w:hAnsi="宋体" w:eastAsia="宋体" w:cs="宋体"/>
          <w:sz w:val="24"/>
          <w:szCs w:val="24"/>
          <w:lang w:eastAsia="zh-CN"/>
        </w:rPr>
        <w:t>和</w:t>
      </w:r>
      <w:r>
        <w:rPr>
          <w:rFonts w:hint="eastAsia" w:ascii="宋体" w:hAnsi="宋体" w:eastAsia="宋体" w:cs="宋体"/>
          <w:sz w:val="24"/>
          <w:szCs w:val="24"/>
        </w:rPr>
        <w:t>最后报价</w:t>
      </w:r>
      <w:r>
        <w:rPr>
          <w:rFonts w:hint="eastAsia" w:ascii="宋体" w:hAnsi="宋体" w:eastAsia="宋体" w:cs="宋体"/>
          <w:sz w:val="24"/>
          <w:szCs w:val="24"/>
          <w:lang w:eastAsia="zh-CN"/>
        </w:rPr>
        <w:t>都</w:t>
      </w:r>
      <w:r>
        <w:rPr>
          <w:rFonts w:hint="eastAsia" w:ascii="宋体" w:hAnsi="宋体" w:eastAsia="宋体" w:cs="宋体"/>
          <w:sz w:val="24"/>
          <w:szCs w:val="24"/>
        </w:rPr>
        <w:t>相同的，按照技术指标优劣顺序推荐。</w:t>
      </w:r>
    </w:p>
    <w:p w14:paraId="02741B7F">
      <w:pPr>
        <w:pageBreakBefore w:val="0"/>
        <w:wordWrap/>
        <w:topLinePunct w:val="0"/>
        <w:autoSpaceDE/>
        <w:autoSpaceDN/>
        <w:bidi w:val="0"/>
        <w:spacing w:line="336"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4C243B75">
      <w:pPr>
        <w:pStyle w:val="97"/>
        <w:pageBreakBefore w:val="0"/>
        <w:numPr>
          <w:ilvl w:val="0"/>
          <w:numId w:val="0"/>
        </w:numPr>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4</w:t>
      </w:r>
      <w:r>
        <w:rPr>
          <w:rFonts w:hint="eastAsia" w:ascii="宋体" w:hAnsi="宋体" w:eastAsia="宋体" w:cs="宋体"/>
          <w:sz w:val="24"/>
          <w:szCs w:val="24"/>
        </w:rPr>
        <w:t>）磋商小组须对畸高、畸低的重大差异评分进行复核或书面说明理由。</w:t>
      </w:r>
    </w:p>
    <w:p w14:paraId="3B8A7E85">
      <w:pPr>
        <w:pStyle w:val="4"/>
        <w:pageBreakBefore w:val="0"/>
        <w:wordWrap/>
        <w:topLinePunct w:val="0"/>
        <w:autoSpaceDE/>
        <w:autoSpaceDN/>
        <w:bidi w:val="0"/>
        <w:spacing w:line="336" w:lineRule="auto"/>
        <w:ind w:firstLine="482" w:firstLineChars="200"/>
        <w:textAlignment w:val="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cs="宋体"/>
          <w:sz w:val="24"/>
          <w:szCs w:val="24"/>
          <w:lang w:val="en-US" w:eastAsia="zh-CN"/>
        </w:rPr>
        <w:t>.</w:t>
      </w:r>
      <w:r>
        <w:rPr>
          <w:rFonts w:hint="eastAsia" w:ascii="宋体" w:hAnsi="宋体" w:eastAsia="宋体" w:cs="宋体"/>
          <w:sz w:val="24"/>
          <w:szCs w:val="24"/>
        </w:rPr>
        <w:t>定标</w:t>
      </w:r>
      <w:bookmarkEnd w:id="92"/>
      <w:bookmarkEnd w:id="93"/>
    </w:p>
    <w:p w14:paraId="7E0F73DD">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8.1代理机构在评审结束后2个工作日内将评审报告送达采购单位，采购单位在收到评审报告后5个工作日内，按照评审报告中推荐的成交候选人顺序确认第一成交候选人为成交单位，同时书面复函代理机构；</w:t>
      </w:r>
    </w:p>
    <w:p w14:paraId="0E62FFD1">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8.2代理机构收到采购单位“定标复函”后2日内，在财政部门指定的政府采购信息媒体上发布公告，并向成交供应商发出“成交通知书”。</w:t>
      </w:r>
    </w:p>
    <w:p w14:paraId="72D6CDC7">
      <w:pPr>
        <w:pageBreakBefore w:val="0"/>
        <w:widowControl/>
        <w:numPr>
          <w:ilvl w:val="0"/>
          <w:numId w:val="4"/>
        </w:numPr>
        <w:wordWrap/>
        <w:topLinePunct w:val="0"/>
        <w:autoSpaceDE/>
        <w:autoSpaceDN/>
        <w:bidi w:val="0"/>
        <w:spacing w:line="336" w:lineRule="auto"/>
        <w:ind w:left="420" w:leftChars="0" w:firstLine="482" w:firstLineChars="0"/>
        <w:jc w:val="center"/>
        <w:textAlignment w:val="auto"/>
        <w:outlineLvl w:val="1"/>
        <w:rPr>
          <w:rFonts w:hint="eastAsia" w:ascii="宋体" w:hAnsi="宋体" w:eastAsia="宋体" w:cs="宋体"/>
          <w:b/>
          <w:bCs/>
          <w:kern w:val="0"/>
          <w:sz w:val="24"/>
          <w:szCs w:val="24"/>
        </w:rPr>
      </w:pPr>
      <w:bookmarkStart w:id="94" w:name="_Toc19972"/>
      <w:bookmarkStart w:id="95" w:name="_Toc536429377"/>
      <w:bookmarkStart w:id="96" w:name="_Toc536202384"/>
      <w:bookmarkStart w:id="97" w:name="_Toc25308"/>
      <w:bookmarkStart w:id="98" w:name="_Toc19543341"/>
      <w:bookmarkStart w:id="99" w:name="_Toc536429324"/>
      <w:bookmarkStart w:id="100" w:name="_Toc536202315"/>
      <w:bookmarkStart w:id="101" w:name="_Toc11870"/>
      <w:r>
        <w:rPr>
          <w:rFonts w:hint="eastAsia" w:ascii="宋体" w:hAnsi="宋体" w:eastAsia="宋体" w:cs="宋体"/>
          <w:b/>
          <w:bCs/>
          <w:kern w:val="0"/>
          <w:sz w:val="24"/>
          <w:szCs w:val="24"/>
        </w:rPr>
        <w:t>签订合同</w:t>
      </w:r>
      <w:bookmarkEnd w:id="94"/>
      <w:bookmarkEnd w:id="95"/>
      <w:bookmarkEnd w:id="96"/>
      <w:bookmarkEnd w:id="97"/>
      <w:bookmarkEnd w:id="98"/>
      <w:bookmarkEnd w:id="99"/>
      <w:bookmarkEnd w:id="100"/>
      <w:bookmarkEnd w:id="101"/>
    </w:p>
    <w:p w14:paraId="05392A1D">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成交后，成交供应商在收到成交通知书后</w:t>
      </w:r>
      <w:r>
        <w:rPr>
          <w:rFonts w:hint="eastAsia" w:ascii="宋体" w:hAnsi="宋体" w:cs="宋体"/>
          <w:sz w:val="24"/>
          <w:szCs w:val="24"/>
          <w:lang w:val="en-US" w:eastAsia="zh-CN"/>
        </w:rPr>
        <w:t>二十五</w:t>
      </w:r>
      <w:r>
        <w:rPr>
          <w:rFonts w:hint="eastAsia" w:ascii="宋体" w:hAnsi="宋体" w:eastAsia="宋体" w:cs="宋体"/>
          <w:sz w:val="24"/>
          <w:szCs w:val="24"/>
        </w:rPr>
        <w:t>（</w:t>
      </w:r>
      <w:r>
        <w:rPr>
          <w:rFonts w:hint="eastAsia" w:ascii="宋体" w:hAnsi="宋体" w:cs="宋体"/>
          <w:sz w:val="24"/>
          <w:szCs w:val="24"/>
          <w:lang w:val="en-US" w:eastAsia="zh-CN"/>
        </w:rPr>
        <w:t>25</w:t>
      </w:r>
      <w:r>
        <w:rPr>
          <w:rFonts w:hint="eastAsia" w:ascii="宋体" w:hAnsi="宋体" w:eastAsia="宋体" w:cs="宋体"/>
          <w:sz w:val="24"/>
          <w:szCs w:val="24"/>
        </w:rPr>
        <w:t>）个日历日内，应按磋商文件的要求与采购人洽谈合同条款，并签订供货合同，同时送监督机构备案，磋商文件及成交供应商的响应文件均作为合同的组成部分；</w:t>
      </w:r>
    </w:p>
    <w:p w14:paraId="5C8D1932">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采购人不得向成交供应商提出超出磋商文件以外的任何要求作为签订合同的条件，不得与成交供应商订立背离磋商文件确定的合同文本以及采购服务要求实质性内容的协议。</w:t>
      </w:r>
    </w:p>
    <w:p w14:paraId="537094CE">
      <w:pPr>
        <w:pStyle w:val="97"/>
        <w:pageBreakBefore w:val="0"/>
        <w:numPr>
          <w:ilvl w:val="0"/>
          <w:numId w:val="0"/>
        </w:numPr>
        <w:wordWrap/>
        <w:topLinePunct w:val="0"/>
        <w:autoSpaceDE/>
        <w:autoSpaceDN/>
        <w:bidi w:val="0"/>
        <w:spacing w:line="336" w:lineRule="auto"/>
        <w:ind w:firstLine="420" w:firstLineChars="0"/>
        <w:textAlignment w:val="auto"/>
        <w:rPr>
          <w:rFonts w:hint="eastAsia" w:ascii="宋体" w:hAnsi="宋体" w:eastAsia="宋体" w:cs="宋体"/>
          <w:sz w:val="24"/>
          <w:szCs w:val="24"/>
        </w:rPr>
      </w:pPr>
      <w:r>
        <w:rPr>
          <w:rFonts w:hint="default" w:ascii="宋体" w:hAnsi="宋体" w:eastAsia="宋体" w:cs="宋体"/>
          <w:kern w:val="2"/>
          <w:sz w:val="24"/>
          <w:szCs w:val="24"/>
          <w:lang w:val="en-US" w:eastAsia="zh-CN" w:bidi="ar-SA"/>
        </w:rPr>
        <w:t>3</w:t>
      </w:r>
      <w:r>
        <w:rPr>
          <w:rFonts w:hint="eastAsia" w:ascii="宋体" w:hAnsi="宋体" w:cs="宋体"/>
          <w:kern w:val="2"/>
          <w:sz w:val="24"/>
          <w:szCs w:val="24"/>
          <w:lang w:val="en-US" w:eastAsia="zh-CN" w:bidi="ar-SA"/>
        </w:rPr>
        <w:t>.</w:t>
      </w:r>
      <w:r>
        <w:rPr>
          <w:rFonts w:hint="eastAsia" w:ascii="宋体" w:hAnsi="宋体" w:eastAsia="宋体" w:cs="宋体"/>
          <w:sz w:val="24"/>
          <w:szCs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0A54C933">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政府采购合同在执行过程中，确需修改、变更时，应当按照相应的审核批准程序办理。</w:t>
      </w:r>
    </w:p>
    <w:p w14:paraId="646078C0">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w:t>
      </w:r>
      <w:r>
        <w:rPr>
          <w:rFonts w:hint="eastAsia" w:ascii="宋体" w:hAnsi="宋体" w:eastAsia="宋体" w:cs="宋体"/>
          <w:sz w:val="24"/>
          <w:szCs w:val="24"/>
        </w:rPr>
        <w:t>磋商文件、响应文件、澄清等为政府采购合同的组成部分，具有同等法律效力。</w:t>
      </w:r>
    </w:p>
    <w:p w14:paraId="6017FC27">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sz w:val="24"/>
          <w:szCs w:val="24"/>
        </w:rPr>
      </w:pPr>
      <w:bookmarkStart w:id="102" w:name="_Toc536202316"/>
      <w:bookmarkStart w:id="103" w:name="_Toc536429378"/>
      <w:bookmarkStart w:id="104" w:name="_Toc32237"/>
      <w:bookmarkStart w:id="105" w:name="_Toc536429325"/>
      <w:bookmarkStart w:id="106" w:name="_Toc28110"/>
      <w:bookmarkStart w:id="107" w:name="_Toc26132"/>
      <w:bookmarkStart w:id="108" w:name="_Toc536202385"/>
      <w:r>
        <w:rPr>
          <w:rFonts w:hint="eastAsia" w:ascii="宋体" w:hAnsi="宋体" w:eastAsia="宋体" w:cs="宋体"/>
          <w:sz w:val="24"/>
          <w:szCs w:val="24"/>
        </w:rPr>
        <w:t>6</w:t>
      </w:r>
      <w:r>
        <w:rPr>
          <w:rFonts w:hint="eastAsia" w:ascii="宋体" w:hAnsi="宋体" w:cs="宋体"/>
          <w:sz w:val="24"/>
          <w:szCs w:val="24"/>
          <w:lang w:val="en-US" w:eastAsia="zh-CN"/>
        </w:rPr>
        <w:t>.</w:t>
      </w:r>
      <w:r>
        <w:rPr>
          <w:rFonts w:hint="eastAsia" w:ascii="宋体" w:hAnsi="宋体" w:eastAsia="宋体" w:cs="宋体"/>
          <w:sz w:val="24"/>
          <w:szCs w:val="24"/>
        </w:rPr>
        <w:t>政府采购管理部门在合同履行期间以及履行期后，可以随时检查项目的执行情况，对采购标准、采购内容进行调查核实，并对发现的问题进行处理。</w:t>
      </w:r>
    </w:p>
    <w:p w14:paraId="15485D57">
      <w:pPr>
        <w:pageBreakBefore w:val="0"/>
        <w:widowControl/>
        <w:numPr>
          <w:ilvl w:val="0"/>
          <w:numId w:val="4"/>
        </w:numPr>
        <w:wordWrap/>
        <w:topLinePunct w:val="0"/>
        <w:autoSpaceDE/>
        <w:autoSpaceDN/>
        <w:bidi w:val="0"/>
        <w:spacing w:line="336" w:lineRule="auto"/>
        <w:ind w:left="420" w:leftChars="0" w:firstLine="482" w:firstLineChars="0"/>
        <w:jc w:val="center"/>
        <w:textAlignment w:val="auto"/>
        <w:outlineLvl w:val="1"/>
        <w:rPr>
          <w:rFonts w:hint="eastAsia" w:ascii="宋体" w:hAnsi="宋体" w:eastAsia="宋体" w:cs="宋体"/>
          <w:b/>
          <w:bCs/>
          <w:kern w:val="0"/>
          <w:sz w:val="24"/>
          <w:szCs w:val="24"/>
        </w:rPr>
      </w:pPr>
      <w:bookmarkStart w:id="109" w:name="_Toc19543342"/>
      <w:r>
        <w:rPr>
          <w:rFonts w:hint="eastAsia" w:ascii="宋体" w:hAnsi="宋体" w:eastAsia="宋体" w:cs="宋体"/>
          <w:b/>
          <w:bCs/>
          <w:kern w:val="0"/>
          <w:sz w:val="24"/>
          <w:szCs w:val="24"/>
        </w:rPr>
        <w:t>代理服务费</w:t>
      </w:r>
      <w:bookmarkEnd w:id="102"/>
      <w:bookmarkEnd w:id="103"/>
      <w:bookmarkEnd w:id="104"/>
      <w:bookmarkEnd w:id="105"/>
      <w:bookmarkEnd w:id="106"/>
      <w:bookmarkEnd w:id="107"/>
      <w:bookmarkEnd w:id="108"/>
      <w:bookmarkEnd w:id="109"/>
    </w:p>
    <w:p w14:paraId="133BEE10">
      <w:pPr>
        <w:pageBreakBefore w:val="0"/>
        <w:widowControl/>
        <w:numPr>
          <w:ilvl w:val="0"/>
          <w:numId w:val="0"/>
        </w:numPr>
        <w:wordWrap/>
        <w:topLinePunct w:val="0"/>
        <w:autoSpaceDE/>
        <w:autoSpaceDN/>
        <w:bidi w:val="0"/>
        <w:spacing w:line="336" w:lineRule="auto"/>
        <w:ind w:firstLine="480" w:firstLineChars="200"/>
        <w:jc w:val="both"/>
        <w:textAlignment w:val="auto"/>
        <w:outlineLvl w:val="1"/>
        <w:rPr>
          <w:rFonts w:hint="eastAsia" w:ascii="宋体" w:hAnsi="宋体" w:cs="宋体"/>
          <w:sz w:val="24"/>
          <w:szCs w:val="24"/>
          <w:lang w:val="en-US" w:eastAsia="zh-CN"/>
        </w:rPr>
      </w:pPr>
      <w:r>
        <w:rPr>
          <w:rFonts w:hint="eastAsia" w:ascii="宋体" w:hAnsi="宋体" w:cs="宋体"/>
          <w:sz w:val="24"/>
          <w:szCs w:val="24"/>
          <w:lang w:val="en-US" w:eastAsia="zh-CN"/>
        </w:rPr>
        <w:t>1.</w:t>
      </w:r>
      <w:r>
        <w:rPr>
          <w:rFonts w:hint="eastAsia" w:ascii="宋体" w:hAnsi="宋体"/>
          <w:color w:val="auto"/>
          <w:sz w:val="24"/>
          <w:szCs w:val="24"/>
          <w:lang w:val="en-US" w:eastAsia="zh-CN"/>
        </w:rPr>
        <w:t>成交供应商</w:t>
      </w:r>
      <w:r>
        <w:rPr>
          <w:rFonts w:hint="eastAsia" w:ascii="宋体" w:hAnsi="宋体"/>
          <w:color w:val="auto"/>
          <w:sz w:val="24"/>
          <w:szCs w:val="24"/>
        </w:rPr>
        <w:t>：需先缴纳足额服务费，凭借转账凭证前来领取</w:t>
      </w:r>
      <w:r>
        <w:rPr>
          <w:rFonts w:hint="eastAsia" w:ascii="宋体" w:hAnsi="宋体"/>
          <w:color w:val="auto"/>
          <w:sz w:val="24"/>
          <w:szCs w:val="24"/>
          <w:lang w:val="en-US" w:eastAsia="zh-CN"/>
        </w:rPr>
        <w:t>成交</w:t>
      </w:r>
      <w:r>
        <w:rPr>
          <w:rFonts w:hint="eastAsia" w:ascii="宋体" w:hAnsi="宋体"/>
          <w:color w:val="auto"/>
          <w:sz w:val="24"/>
          <w:szCs w:val="24"/>
        </w:rPr>
        <w:t>通知书。</w:t>
      </w:r>
    </w:p>
    <w:p w14:paraId="43F8ED74">
      <w:pPr>
        <w:pageBreakBefore w:val="0"/>
        <w:widowControl/>
        <w:numPr>
          <w:ilvl w:val="0"/>
          <w:numId w:val="0"/>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参照国家计委颁发的《招标代理服务收费管理暂行办法》（计价格</w:t>
      </w:r>
      <w:r>
        <w:rPr>
          <w:rFonts w:hint="eastAsia" w:ascii="宋体" w:hAnsi="宋体" w:cs="宋体"/>
          <w:sz w:val="24"/>
          <w:szCs w:val="24"/>
          <w:lang w:eastAsia="zh-CN"/>
        </w:rPr>
        <w:t>〔2002〕1980号</w:t>
      </w:r>
      <w:r>
        <w:rPr>
          <w:rFonts w:hint="eastAsia" w:ascii="宋体" w:hAnsi="宋体" w:eastAsia="宋体" w:cs="宋体"/>
          <w:sz w:val="24"/>
          <w:szCs w:val="24"/>
        </w:rPr>
        <w:t>）和国家发展</w:t>
      </w:r>
      <w:r>
        <w:rPr>
          <w:rFonts w:hint="eastAsia" w:ascii="宋体" w:hAnsi="宋体" w:cs="宋体"/>
          <w:sz w:val="24"/>
          <w:szCs w:val="24"/>
          <w:lang w:val="en-US" w:eastAsia="zh-CN"/>
        </w:rPr>
        <w:t>和</w:t>
      </w:r>
      <w:r>
        <w:rPr>
          <w:rFonts w:hint="eastAsia" w:ascii="宋体" w:hAnsi="宋体" w:eastAsia="宋体" w:cs="宋体"/>
          <w:sz w:val="24"/>
          <w:szCs w:val="24"/>
        </w:rPr>
        <w:t>改革委员会办公厅颁发的《关于招标代理服务收费有关问题的通知》（发改办价格</w:t>
      </w:r>
      <w:r>
        <w:rPr>
          <w:rFonts w:hint="eastAsia" w:ascii="宋体" w:hAnsi="宋体" w:cs="宋体"/>
          <w:sz w:val="24"/>
          <w:szCs w:val="24"/>
          <w:lang w:eastAsia="zh-CN"/>
        </w:rPr>
        <w:t>〔2003〕857号</w:t>
      </w:r>
      <w:r>
        <w:rPr>
          <w:rFonts w:hint="eastAsia" w:ascii="宋体" w:hAnsi="宋体" w:eastAsia="宋体" w:cs="宋体"/>
          <w:sz w:val="24"/>
          <w:szCs w:val="24"/>
        </w:rPr>
        <w:t xml:space="preserve">）的标准收取。（采购代理机构开户名称：安康尚昊招标代理有限公司  开户行名称：中国建设银行股份有限公司安康分行营业部  </w:t>
      </w:r>
      <w:r>
        <w:rPr>
          <w:rFonts w:hint="eastAsia" w:ascii="宋体" w:hAnsi="宋体" w:cs="宋体"/>
          <w:sz w:val="24"/>
          <w:szCs w:val="24"/>
          <w:lang w:eastAsia="zh-CN"/>
        </w:rPr>
        <w:t>账号</w:t>
      </w:r>
      <w:r>
        <w:rPr>
          <w:rFonts w:hint="eastAsia" w:ascii="宋体" w:hAnsi="宋体" w:eastAsia="宋体" w:cs="宋体"/>
          <w:sz w:val="24"/>
          <w:szCs w:val="24"/>
        </w:rPr>
        <w:t>：61050166371100000492）</w:t>
      </w:r>
    </w:p>
    <w:p w14:paraId="6BB79842">
      <w:pPr>
        <w:pageBreakBefore w:val="0"/>
        <w:widowControl/>
        <w:numPr>
          <w:ilvl w:val="0"/>
          <w:numId w:val="4"/>
        </w:numPr>
        <w:wordWrap/>
        <w:topLinePunct w:val="0"/>
        <w:autoSpaceDE/>
        <w:autoSpaceDN/>
        <w:bidi w:val="0"/>
        <w:spacing w:line="336" w:lineRule="auto"/>
        <w:ind w:left="420" w:leftChars="0" w:firstLine="0" w:firstLineChars="0"/>
        <w:jc w:val="center"/>
        <w:textAlignment w:val="auto"/>
        <w:outlineLvl w:val="1"/>
        <w:rPr>
          <w:rFonts w:hint="eastAsia" w:ascii="宋体" w:hAnsi="宋体" w:eastAsia="宋体" w:cs="宋体"/>
          <w:b/>
          <w:bCs/>
          <w:kern w:val="0"/>
          <w:sz w:val="24"/>
          <w:szCs w:val="24"/>
        </w:rPr>
      </w:pPr>
      <w:bookmarkStart w:id="110" w:name="_Toc19543343"/>
      <w:bookmarkStart w:id="111" w:name="_Toc11491"/>
      <w:bookmarkStart w:id="112" w:name="_Toc536202386"/>
      <w:bookmarkStart w:id="113" w:name="_Toc536429326"/>
      <w:bookmarkStart w:id="114" w:name="_Toc536429379"/>
      <w:bookmarkStart w:id="115" w:name="_Toc664"/>
      <w:bookmarkStart w:id="116" w:name="_Toc536202317"/>
      <w:r>
        <w:rPr>
          <w:rFonts w:hint="eastAsia" w:ascii="宋体" w:hAnsi="宋体" w:eastAsia="宋体" w:cs="宋体"/>
          <w:b/>
          <w:bCs/>
          <w:kern w:val="0"/>
          <w:sz w:val="24"/>
          <w:szCs w:val="24"/>
        </w:rPr>
        <w:t>质疑和投诉</w:t>
      </w:r>
      <w:bookmarkEnd w:id="110"/>
      <w:bookmarkEnd w:id="111"/>
      <w:bookmarkEnd w:id="112"/>
      <w:bookmarkEnd w:id="113"/>
      <w:bookmarkEnd w:id="114"/>
      <w:bookmarkEnd w:id="115"/>
      <w:bookmarkEnd w:id="116"/>
    </w:p>
    <w:p w14:paraId="5ACB44FC">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质疑或投诉的接收和处理应当按照《中华人民共和国政府采购法》及其实施条例、《政府采购质疑和投诉办法</w:t>
      </w:r>
      <w:r>
        <w:rPr>
          <w:rFonts w:hint="eastAsia" w:ascii="宋体" w:hAnsi="宋体" w:cs="宋体"/>
          <w:sz w:val="24"/>
          <w:szCs w:val="24"/>
          <w:lang w:eastAsia="zh-CN"/>
        </w:rPr>
        <w:t>》《</w:t>
      </w:r>
      <w:r>
        <w:rPr>
          <w:rFonts w:hint="eastAsia" w:ascii="宋体" w:hAnsi="宋体" w:eastAsia="宋体" w:cs="宋体"/>
          <w:sz w:val="24"/>
          <w:szCs w:val="24"/>
        </w:rPr>
        <w:t>财政部关于加强政府采购供应商投诉受理审查工作的通知》等的相关规定办理。</w:t>
      </w:r>
    </w:p>
    <w:p w14:paraId="153D4796">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08FA44F8">
      <w:pPr>
        <w:pageBreakBefore w:val="0"/>
        <w:wordWrap/>
        <w:topLinePunct w:val="0"/>
        <w:autoSpaceDE/>
        <w:autoSpaceDN/>
        <w:bidi w:val="0"/>
        <w:spacing w:line="336"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（1）对采购文件提出质疑的，为收到采购文件之日或者采购文件公告期限届满之日；</w:t>
      </w:r>
    </w:p>
    <w:p w14:paraId="20B5353A">
      <w:pPr>
        <w:pageBreakBefore w:val="0"/>
        <w:wordWrap/>
        <w:topLinePunct w:val="0"/>
        <w:autoSpaceDE/>
        <w:autoSpaceDN/>
        <w:bidi w:val="0"/>
        <w:spacing w:line="336"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（2）对采购过程提出质疑的，为各采购程序环节结束之日；</w:t>
      </w:r>
    </w:p>
    <w:p w14:paraId="43728644">
      <w:pPr>
        <w:pageBreakBefore w:val="0"/>
        <w:wordWrap/>
        <w:topLinePunct w:val="0"/>
        <w:autoSpaceDE/>
        <w:autoSpaceDN/>
        <w:bidi w:val="0"/>
        <w:spacing w:line="336"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（3）对中标或者成交结果提出质疑的，为中标或者成交结果公告期限届满之日。</w:t>
      </w:r>
    </w:p>
    <w:p w14:paraId="3EE9EB34">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供应商应当在法定质疑期内一次性提出针对同一采购程序环节的质疑。</w:t>
      </w:r>
    </w:p>
    <w:p w14:paraId="6ED55C1B">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w:t>
      </w:r>
      <w:r>
        <w:rPr>
          <w:rFonts w:hint="eastAsia" w:ascii="宋体" w:hAnsi="宋体" w:eastAsia="宋体" w:cs="宋体"/>
          <w:sz w:val="24"/>
          <w:szCs w:val="24"/>
        </w:rPr>
        <w:t>质疑函应当包括下列主要内容：</w:t>
      </w:r>
    </w:p>
    <w:p w14:paraId="384F4337">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4F6FE4B0">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sz w:val="24"/>
          <w:szCs w:val="24"/>
        </w:rPr>
      </w:pPr>
      <w:r>
        <w:rPr>
          <w:rFonts w:hint="eastAsia" w:ascii="宋体" w:hAnsi="宋体" w:eastAsia="宋体" w:cs="宋体"/>
          <w:sz w:val="24"/>
          <w:szCs w:val="24"/>
        </w:rPr>
        <w:t>（2）质疑项目的名称、编号；</w:t>
      </w:r>
    </w:p>
    <w:p w14:paraId="00F7CB5D">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56BFCBC9">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sz w:val="24"/>
          <w:szCs w:val="24"/>
        </w:rPr>
      </w:pPr>
      <w:r>
        <w:rPr>
          <w:rFonts w:hint="eastAsia" w:ascii="宋体" w:hAnsi="宋体" w:eastAsia="宋体" w:cs="宋体"/>
          <w:sz w:val="24"/>
          <w:szCs w:val="24"/>
        </w:rPr>
        <w:t>（4）事实依据；</w:t>
      </w:r>
    </w:p>
    <w:p w14:paraId="15EB1C67">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sz w:val="24"/>
          <w:szCs w:val="24"/>
        </w:rPr>
      </w:pPr>
      <w:r>
        <w:rPr>
          <w:rFonts w:hint="eastAsia" w:ascii="宋体" w:hAnsi="宋体" w:eastAsia="宋体" w:cs="宋体"/>
          <w:sz w:val="24"/>
          <w:szCs w:val="24"/>
        </w:rPr>
        <w:t>（5）必要的法律依据；</w:t>
      </w:r>
    </w:p>
    <w:p w14:paraId="1AD2446C">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sz w:val="24"/>
          <w:szCs w:val="24"/>
        </w:rPr>
      </w:pPr>
      <w:r>
        <w:rPr>
          <w:rFonts w:hint="eastAsia" w:ascii="宋体" w:hAnsi="宋体" w:eastAsia="宋体" w:cs="宋体"/>
          <w:sz w:val="24"/>
          <w:szCs w:val="24"/>
        </w:rPr>
        <w:t>（6）提出质疑的日期。</w:t>
      </w:r>
    </w:p>
    <w:p w14:paraId="7B33D84E">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cs="宋体"/>
          <w:sz w:val="24"/>
          <w:szCs w:val="24"/>
          <w:lang w:val="en-US" w:eastAsia="zh-CN"/>
        </w:rPr>
        <w:t>.</w:t>
      </w:r>
      <w:r>
        <w:rPr>
          <w:rFonts w:hint="eastAsia" w:ascii="宋体" w:hAnsi="宋体" w:eastAsia="宋体" w:cs="宋体"/>
          <w:sz w:val="24"/>
          <w:szCs w:val="24"/>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4706494F">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w:t>
      </w:r>
      <w:r>
        <w:rPr>
          <w:rFonts w:hint="eastAsia" w:ascii="宋体" w:hAnsi="宋体" w:eastAsia="宋体" w:cs="宋体"/>
          <w:sz w:val="24"/>
          <w:szCs w:val="24"/>
        </w:rPr>
        <w:t>质疑函内容不得含有虚假、恶意</w:t>
      </w:r>
      <w:r>
        <w:rPr>
          <w:rFonts w:hint="eastAsia" w:ascii="宋体" w:hAnsi="宋体" w:cs="宋体"/>
          <w:sz w:val="24"/>
          <w:szCs w:val="24"/>
          <w:lang w:eastAsia="zh-CN"/>
        </w:rPr>
        <w:t>成分</w:t>
      </w:r>
      <w:r>
        <w:rPr>
          <w:rFonts w:hint="eastAsia" w:ascii="宋体" w:hAnsi="宋体" w:eastAsia="宋体" w:cs="宋体"/>
          <w:sz w:val="24"/>
          <w:szCs w:val="24"/>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w:t>
      </w:r>
      <w:r>
        <w:rPr>
          <w:rFonts w:hint="eastAsia" w:ascii="宋体" w:hAnsi="宋体" w:cs="宋体"/>
          <w:sz w:val="24"/>
          <w:szCs w:val="24"/>
          <w:lang w:eastAsia="zh-CN"/>
        </w:rPr>
        <w:t>滥用职权</w:t>
      </w:r>
      <w:r>
        <w:rPr>
          <w:rFonts w:hint="eastAsia" w:ascii="宋体" w:hAnsi="宋体" w:eastAsia="宋体" w:cs="宋体"/>
          <w:sz w:val="24"/>
          <w:szCs w:val="24"/>
        </w:rPr>
        <w:t>扰乱采购秩序的恶意质疑者，采购人、采购代理机构应当依法驳回。</w:t>
      </w:r>
    </w:p>
    <w:p w14:paraId="49F3D121">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cs="宋体"/>
          <w:sz w:val="24"/>
          <w:szCs w:val="24"/>
          <w:lang w:val="en-US" w:eastAsia="zh-CN"/>
        </w:rPr>
        <w:t>.</w:t>
      </w:r>
      <w:r>
        <w:rPr>
          <w:rFonts w:hint="eastAsia" w:ascii="宋体" w:hAnsi="宋体" w:eastAsia="宋体" w:cs="宋体"/>
          <w:sz w:val="24"/>
          <w:szCs w:val="24"/>
        </w:rPr>
        <w:t xml:space="preserve">质疑函接收方式：由自然人本人或法定代表人或者其授权代表携带书面原件及身份证明原件到现场递交，否则不予受理 。 </w:t>
      </w:r>
    </w:p>
    <w:p w14:paraId="4356AB40">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cs="宋体"/>
          <w:sz w:val="24"/>
          <w:szCs w:val="24"/>
          <w:lang w:val="en-US" w:eastAsia="zh-CN"/>
        </w:rPr>
        <w:t>.</w:t>
      </w:r>
      <w:r>
        <w:rPr>
          <w:rFonts w:hint="eastAsia" w:ascii="宋体" w:hAnsi="宋体" w:eastAsia="宋体" w:cs="宋体"/>
          <w:sz w:val="24"/>
          <w:szCs w:val="24"/>
        </w:rPr>
        <w:t>质疑受理部门：安康尚昊招标代理有限公司</w:t>
      </w:r>
    </w:p>
    <w:p w14:paraId="6241B399">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质疑受理电话：15991480332</w:t>
      </w:r>
    </w:p>
    <w:p w14:paraId="385F2896">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FF"/>
          <w:sz w:val="24"/>
          <w:szCs w:val="24"/>
          <w:lang w:eastAsia="zh-CN"/>
        </w:rPr>
      </w:pPr>
      <w:r>
        <w:rPr>
          <w:rFonts w:hint="eastAsia" w:ascii="宋体" w:hAnsi="宋体" w:eastAsia="宋体" w:cs="宋体"/>
          <w:sz w:val="24"/>
          <w:szCs w:val="24"/>
        </w:rPr>
        <w:t>8</w:t>
      </w:r>
      <w:r>
        <w:rPr>
          <w:rFonts w:hint="eastAsia" w:ascii="宋体" w:hAnsi="宋体" w:cs="宋体"/>
          <w:sz w:val="24"/>
          <w:szCs w:val="24"/>
          <w:lang w:val="en-US" w:eastAsia="zh-CN"/>
        </w:rPr>
        <w:t>.</w:t>
      </w:r>
      <w:r>
        <w:rPr>
          <w:rFonts w:hint="eastAsia" w:ascii="宋体" w:hAnsi="宋体" w:eastAsia="宋体" w:cs="宋体"/>
          <w:sz w:val="24"/>
          <w:szCs w:val="24"/>
        </w:rPr>
        <w:t>提交质疑函地点：</w:t>
      </w:r>
      <w:r>
        <w:rPr>
          <w:rFonts w:hint="eastAsia" w:ascii="宋体" w:hAnsi="宋体" w:cs="宋体"/>
          <w:color w:val="000000" w:themeColor="text1"/>
          <w:kern w:val="0"/>
          <w:sz w:val="24"/>
          <w:szCs w:val="24"/>
          <w:lang w:eastAsia="zh-CN"/>
          <w14:textFill>
            <w14:solidFill>
              <w14:schemeClr w14:val="tx1"/>
            </w14:solidFill>
          </w14:textFill>
        </w:rPr>
        <w:t>安康市高新区高新观澜8幢2单元801室</w:t>
      </w:r>
    </w:p>
    <w:p w14:paraId="23F392E9">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cs="宋体"/>
          <w:sz w:val="24"/>
          <w:szCs w:val="24"/>
          <w:lang w:val="en-US" w:eastAsia="zh-CN"/>
        </w:rPr>
        <w:t>.</w:t>
      </w:r>
      <w:r>
        <w:rPr>
          <w:rFonts w:hint="eastAsia" w:ascii="宋体" w:hAnsi="宋体" w:eastAsia="宋体" w:cs="宋体"/>
          <w:sz w:val="24"/>
          <w:szCs w:val="24"/>
        </w:rPr>
        <w:t>本次采购活动中，采购代理机构对质疑函回复的书面文件的送达方式为现场取件。</w:t>
      </w:r>
    </w:p>
    <w:p w14:paraId="041EAC28">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如所质疑的问题比较复杂，采购人或者采购代理机构在规定的答复时间内无法回复，应事先告知提出质疑的供应商，同时向同级政府采购监督管理部门报告。</w:t>
      </w:r>
    </w:p>
    <w:p w14:paraId="18BFC15D">
      <w:pPr>
        <w:keepNext w:val="0"/>
        <w:keepLines w:val="0"/>
        <w:pageBreakBefore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cs="宋体"/>
          <w:sz w:val="24"/>
          <w:szCs w:val="24"/>
          <w:lang w:val="en-US" w:eastAsia="zh-CN"/>
        </w:rPr>
        <w:t>.</w:t>
      </w:r>
      <w:r>
        <w:rPr>
          <w:rFonts w:hint="eastAsia" w:ascii="宋体" w:hAnsi="宋体" w:eastAsia="宋体" w:cs="宋体"/>
          <w:sz w:val="24"/>
          <w:szCs w:val="24"/>
        </w:rPr>
        <w:t>质疑供应商对采购人、采购代理机构的答复不满意，或者采购人、采购代理机构未在规定的时间内作出答复的，可以在答复期满后15个工作日内向采购人的同级政府采购监督管理部门投诉。</w:t>
      </w:r>
    </w:p>
    <w:p w14:paraId="6ACC3C06">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cs="宋体"/>
          <w:sz w:val="24"/>
          <w:szCs w:val="24"/>
          <w:lang w:val="en-US" w:eastAsia="zh-CN"/>
        </w:rPr>
        <w:t>.</w:t>
      </w:r>
      <w:r>
        <w:rPr>
          <w:rFonts w:hint="eastAsia" w:ascii="宋体" w:hAnsi="宋体" w:eastAsia="宋体" w:cs="宋体"/>
          <w:sz w:val="24"/>
          <w:szCs w:val="24"/>
        </w:rPr>
        <w:t>质疑函应当使用中文。</w:t>
      </w:r>
    </w:p>
    <w:p w14:paraId="7B005BBE">
      <w:pPr>
        <w:keepNext w:val="0"/>
        <w:keepLines w:val="0"/>
        <w:pageBreakBefore w:val="0"/>
        <w:widowControl/>
        <w:numPr>
          <w:ilvl w:val="0"/>
          <w:numId w:val="4"/>
        </w:numPr>
        <w:kinsoku/>
        <w:wordWrap/>
        <w:overflowPunct/>
        <w:topLinePunct w:val="0"/>
        <w:autoSpaceDE/>
        <w:autoSpaceDN/>
        <w:bidi w:val="0"/>
        <w:adjustRightInd/>
        <w:snapToGrid/>
        <w:spacing w:line="336" w:lineRule="auto"/>
        <w:ind w:left="420" w:leftChars="0" w:firstLine="0" w:firstLineChars="0"/>
        <w:jc w:val="center"/>
        <w:textAlignment w:val="auto"/>
        <w:outlineLvl w:val="1"/>
        <w:rPr>
          <w:rFonts w:hint="eastAsia" w:ascii="宋体" w:hAnsi="宋体" w:eastAsia="宋体" w:cs="宋体"/>
          <w:b/>
          <w:bCs/>
          <w:kern w:val="0"/>
          <w:sz w:val="24"/>
          <w:szCs w:val="24"/>
        </w:rPr>
      </w:pPr>
      <w:bookmarkStart w:id="117" w:name="_Toc536429380"/>
      <w:bookmarkStart w:id="118" w:name="_Toc19543344"/>
      <w:bookmarkStart w:id="119" w:name="_Toc536202318"/>
      <w:bookmarkStart w:id="120" w:name="_Toc536202387"/>
      <w:bookmarkStart w:id="121" w:name="_Toc536429327"/>
      <w:r>
        <w:rPr>
          <w:rFonts w:hint="eastAsia" w:ascii="宋体" w:hAnsi="宋体" w:eastAsia="宋体" w:cs="宋体"/>
          <w:b/>
          <w:bCs/>
          <w:kern w:val="0"/>
          <w:sz w:val="24"/>
          <w:szCs w:val="24"/>
        </w:rPr>
        <w:t>其他</w:t>
      </w:r>
      <w:bookmarkEnd w:id="117"/>
      <w:bookmarkEnd w:id="118"/>
      <w:bookmarkEnd w:id="119"/>
      <w:bookmarkEnd w:id="120"/>
      <w:bookmarkEnd w:id="121"/>
    </w:p>
    <w:p w14:paraId="6319ED67">
      <w:pPr>
        <w:keepNext w:val="0"/>
        <w:keepLines w:val="0"/>
        <w:pageBreakBefore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sz w:val="24"/>
          <w:szCs w:val="24"/>
        </w:rPr>
      </w:pPr>
      <w:bookmarkStart w:id="122" w:name="_Toc3298"/>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2AEA7CA4">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（1）因情况变化，不再符合规定的竞争性磋商采购方式适用情形的；</w:t>
      </w:r>
    </w:p>
    <w:p w14:paraId="518B126F">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（2）出现影响采购公正的违法、违规行为的；</w:t>
      </w:r>
    </w:p>
    <w:p w14:paraId="4A1BF494">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476DA607">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（4）因重大变故，采购任务取消的。</w:t>
      </w:r>
    </w:p>
    <w:p w14:paraId="1F83CABF">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磋商失败后，除采购任务取消外，将重新组织采购</w:t>
      </w:r>
      <w:bookmarkEnd w:id="122"/>
      <w:bookmarkStart w:id="123" w:name="_Toc25345"/>
      <w:bookmarkStart w:id="124" w:name="_Toc536429328"/>
      <w:bookmarkStart w:id="125" w:name="_Toc536202388"/>
      <w:bookmarkStart w:id="126" w:name="_Toc536202319"/>
      <w:bookmarkStart w:id="127" w:name="_Toc536429381"/>
      <w:r>
        <w:rPr>
          <w:rFonts w:hint="eastAsia" w:ascii="宋体" w:hAnsi="宋体" w:eastAsia="宋体" w:cs="宋体"/>
          <w:sz w:val="24"/>
          <w:szCs w:val="24"/>
        </w:rPr>
        <w:t>。</w:t>
      </w:r>
      <w:bookmarkEnd w:id="123"/>
      <w:bookmarkEnd w:id="124"/>
      <w:bookmarkEnd w:id="125"/>
      <w:bookmarkEnd w:id="126"/>
      <w:bookmarkEnd w:id="127"/>
    </w:p>
    <w:p w14:paraId="57D729B7">
      <w:pPr>
        <w:widowControl/>
        <w:jc w:val="left"/>
        <w:rPr>
          <w:rFonts w:asciiTheme="minorHAnsi" w:hAnsiTheme="minorHAnsi"/>
          <w:b/>
          <w:bCs/>
          <w:caps/>
          <w:color w:val="000000" w:themeColor="text1"/>
          <w:sz w:val="36"/>
          <w:szCs w:val="20"/>
          <w14:textFill>
            <w14:solidFill>
              <w14:schemeClr w14:val="tx1"/>
            </w14:solidFill>
          </w14:textFill>
        </w:rPr>
      </w:pPr>
      <w:bookmarkStart w:id="128" w:name="_Toc19543345"/>
      <w:r>
        <w:rPr>
          <w:color w:val="000000" w:themeColor="text1"/>
          <w:sz w:val="36"/>
          <w14:textFill>
            <w14:solidFill>
              <w14:schemeClr w14:val="tx1"/>
            </w14:solidFill>
          </w14:textFill>
        </w:rPr>
        <w:br w:type="page"/>
      </w:r>
    </w:p>
    <w:p w14:paraId="7AD82BBA">
      <w:pPr>
        <w:pStyle w:val="29"/>
        <w:numPr>
          <w:ilvl w:val="0"/>
          <w:numId w:val="0"/>
        </w:numPr>
        <w:spacing w:before="0" w:after="0" w:line="420" w:lineRule="exact"/>
        <w:jc w:val="center"/>
        <w:outlineLvl w:val="0"/>
        <w:rPr>
          <w:color w:val="auto"/>
          <w:sz w:val="36"/>
        </w:rPr>
      </w:pPr>
      <w:bookmarkStart w:id="129" w:name="_Toc12955"/>
      <w:r>
        <w:rPr>
          <w:rFonts w:hint="eastAsia" w:eastAsia="宋体" w:cs="Calibri" w:asciiTheme="minorHAnsi" w:hAnsiTheme="minorHAnsi"/>
          <w:b/>
          <w:bCs/>
          <w:caps/>
          <w:color w:val="auto"/>
          <w:kern w:val="2"/>
          <w:sz w:val="36"/>
          <w:szCs w:val="20"/>
          <w:lang w:val="en-US" w:eastAsia="zh-CN" w:bidi="ar-SA"/>
        </w:rPr>
        <w:t>第</w:t>
      </w:r>
      <w:r>
        <w:rPr>
          <w:rFonts w:hint="eastAsia" w:cs="Calibri"/>
          <w:b/>
          <w:bCs/>
          <w:caps/>
          <w:color w:val="auto"/>
          <w:kern w:val="2"/>
          <w:sz w:val="36"/>
          <w:szCs w:val="20"/>
          <w:lang w:val="en-US" w:eastAsia="zh-CN" w:bidi="ar-SA"/>
        </w:rPr>
        <w:t>四</w:t>
      </w:r>
      <w:r>
        <w:rPr>
          <w:rFonts w:hint="eastAsia" w:eastAsia="宋体" w:cs="Calibri" w:asciiTheme="minorHAnsi" w:hAnsiTheme="minorHAnsi"/>
          <w:b/>
          <w:bCs/>
          <w:caps/>
          <w:color w:val="auto"/>
          <w:kern w:val="2"/>
          <w:sz w:val="36"/>
          <w:szCs w:val="20"/>
          <w:lang w:val="en-US" w:eastAsia="zh-CN" w:bidi="ar-SA"/>
        </w:rPr>
        <w:t>部分</w:t>
      </w:r>
      <w:r>
        <w:rPr>
          <w:rFonts w:hint="eastAsia"/>
          <w:color w:val="auto"/>
          <w:sz w:val="36"/>
        </w:rPr>
        <w:t xml:space="preserve"> 评分</w:t>
      </w:r>
      <w:r>
        <w:rPr>
          <w:color w:val="auto"/>
          <w:sz w:val="36"/>
        </w:rPr>
        <w:t>标准</w:t>
      </w:r>
      <w:bookmarkEnd w:id="128"/>
      <w:bookmarkEnd w:id="129"/>
      <w:bookmarkStart w:id="130" w:name="_Toc262"/>
    </w:p>
    <w:tbl>
      <w:tblPr>
        <w:tblStyle w:val="44"/>
        <w:tblW w:w="10265"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2"/>
        <w:gridCol w:w="733"/>
        <w:gridCol w:w="7850"/>
        <w:gridCol w:w="800"/>
      </w:tblGrid>
      <w:tr w14:paraId="614CC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882" w:type="dxa"/>
            <w:tcBorders>
              <w:tl2br w:val="nil"/>
              <w:tr2bl w:val="nil"/>
            </w:tcBorders>
            <w:noWrap w:val="0"/>
            <w:vAlign w:val="center"/>
          </w:tcPr>
          <w:p w14:paraId="5952DC8C">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评标</w:t>
            </w:r>
          </w:p>
          <w:p w14:paraId="268D4A52">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因素</w:t>
            </w:r>
          </w:p>
        </w:tc>
        <w:tc>
          <w:tcPr>
            <w:tcW w:w="733" w:type="dxa"/>
            <w:tcBorders>
              <w:tl2br w:val="nil"/>
              <w:tr2bl w:val="nil"/>
            </w:tcBorders>
            <w:noWrap w:val="0"/>
            <w:vAlign w:val="center"/>
          </w:tcPr>
          <w:p w14:paraId="5DCEDCA1">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权值</w:t>
            </w:r>
          </w:p>
          <w:p w14:paraId="461F548E">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w:t>
            </w:r>
          </w:p>
        </w:tc>
        <w:tc>
          <w:tcPr>
            <w:tcW w:w="7850" w:type="dxa"/>
            <w:tcBorders>
              <w:tl2br w:val="nil"/>
              <w:tr2bl w:val="nil"/>
            </w:tcBorders>
            <w:noWrap w:val="0"/>
            <w:vAlign w:val="center"/>
          </w:tcPr>
          <w:p w14:paraId="614B2ABF">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评价要素</w:t>
            </w:r>
          </w:p>
        </w:tc>
        <w:tc>
          <w:tcPr>
            <w:tcW w:w="800" w:type="dxa"/>
            <w:tcBorders>
              <w:tl2br w:val="nil"/>
              <w:tr2bl w:val="nil"/>
            </w:tcBorders>
            <w:noWrap w:val="0"/>
            <w:vAlign w:val="center"/>
          </w:tcPr>
          <w:p w14:paraId="031A44DD">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备注</w:t>
            </w:r>
          </w:p>
        </w:tc>
      </w:tr>
      <w:tr w14:paraId="4D131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882" w:type="dxa"/>
            <w:tcBorders>
              <w:tl2br w:val="nil"/>
              <w:tr2bl w:val="nil"/>
            </w:tcBorders>
            <w:noWrap w:val="0"/>
            <w:vAlign w:val="center"/>
          </w:tcPr>
          <w:p w14:paraId="673ABFE3">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价格</w:t>
            </w:r>
          </w:p>
        </w:tc>
        <w:tc>
          <w:tcPr>
            <w:tcW w:w="733" w:type="dxa"/>
            <w:tcBorders>
              <w:tl2br w:val="nil"/>
              <w:tr2bl w:val="nil"/>
            </w:tcBorders>
            <w:noWrap w:val="0"/>
            <w:vAlign w:val="center"/>
          </w:tcPr>
          <w:p w14:paraId="35B36AC6">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30</w:t>
            </w:r>
          </w:p>
        </w:tc>
        <w:tc>
          <w:tcPr>
            <w:tcW w:w="7850" w:type="dxa"/>
            <w:tcBorders>
              <w:tl2br w:val="nil"/>
              <w:tr2bl w:val="nil"/>
            </w:tcBorders>
            <w:noWrap w:val="0"/>
            <w:vAlign w:val="center"/>
          </w:tcPr>
          <w:p w14:paraId="521180B8">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满足磋商文件要求且最后报价最低的供应商的价格为磋商基准价得30分，其他各供应商的最后报价得分按下列公式计算:(磋商基准价/最后磋商报价)x30%x100。</w:t>
            </w:r>
          </w:p>
        </w:tc>
        <w:tc>
          <w:tcPr>
            <w:tcW w:w="800" w:type="dxa"/>
            <w:tcBorders>
              <w:tl2br w:val="nil"/>
              <w:tr2bl w:val="nil"/>
            </w:tcBorders>
            <w:noWrap w:val="0"/>
            <w:vAlign w:val="center"/>
          </w:tcPr>
          <w:p w14:paraId="010850AC">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center"/>
              <w:textAlignment w:val="auto"/>
              <w:outlineLvl w:val="9"/>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客观分</w:t>
            </w:r>
          </w:p>
        </w:tc>
      </w:tr>
      <w:tr w14:paraId="61CDC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2" w:hRule="atLeast"/>
        </w:trPr>
        <w:tc>
          <w:tcPr>
            <w:tcW w:w="882" w:type="dxa"/>
            <w:vMerge w:val="restart"/>
            <w:tcBorders>
              <w:tl2br w:val="nil"/>
              <w:tr2bl w:val="nil"/>
            </w:tcBorders>
            <w:noWrap w:val="0"/>
            <w:vAlign w:val="center"/>
          </w:tcPr>
          <w:p w14:paraId="42192AF0">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lang w:val="en-US" w:eastAsia="zh-CN"/>
              </w:rPr>
            </w:pPr>
          </w:p>
          <w:p w14:paraId="537DF2DB">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lang w:val="en-US" w:eastAsia="zh-CN"/>
              </w:rPr>
            </w:pPr>
          </w:p>
          <w:p w14:paraId="55816F74">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lang w:val="en-US" w:eastAsia="zh-CN"/>
              </w:rPr>
            </w:pPr>
          </w:p>
          <w:p w14:paraId="6A8157C0">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lang w:val="en-US" w:eastAsia="zh-CN"/>
              </w:rPr>
            </w:pPr>
          </w:p>
          <w:p w14:paraId="7126D396">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lang w:val="en-US" w:eastAsia="zh-CN"/>
              </w:rPr>
            </w:pPr>
          </w:p>
          <w:p w14:paraId="14DC4CC7">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lang w:val="en-US" w:eastAsia="zh-CN"/>
              </w:rPr>
            </w:pPr>
          </w:p>
          <w:p w14:paraId="067A2DC3">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lang w:val="en-US" w:eastAsia="zh-CN"/>
              </w:rPr>
            </w:pPr>
          </w:p>
          <w:p w14:paraId="107817FE">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lang w:val="en-US" w:eastAsia="zh-CN"/>
              </w:rPr>
            </w:pPr>
          </w:p>
          <w:p w14:paraId="3B6BCADD">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lang w:val="en-US" w:eastAsia="zh-CN"/>
              </w:rPr>
            </w:pPr>
          </w:p>
          <w:p w14:paraId="3F6A3241">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both"/>
              <w:rPr>
                <w:rFonts w:hint="eastAsia" w:asciiTheme="minorEastAsia" w:hAnsiTheme="minorEastAsia" w:eastAsiaTheme="minorEastAsia" w:cstheme="minorEastAsia"/>
                <w:snapToGrid w:val="0"/>
                <w:color w:val="auto"/>
                <w:spacing w:val="-6"/>
                <w:kern w:val="0"/>
                <w:sz w:val="24"/>
                <w:szCs w:val="24"/>
                <w:highlight w:val="none"/>
                <w:lang w:val="en-US" w:eastAsia="zh-CN"/>
              </w:rPr>
            </w:pPr>
          </w:p>
          <w:p w14:paraId="3576C141">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lang w:val="en-US" w:eastAsia="zh-CN"/>
              </w:rPr>
            </w:pPr>
          </w:p>
          <w:p w14:paraId="45CCE017">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lang w:val="en-US" w:eastAsia="zh-CN"/>
              </w:rPr>
            </w:pPr>
            <w:r>
              <w:rPr>
                <w:rFonts w:hint="eastAsia" w:asciiTheme="minorEastAsia" w:hAnsiTheme="minorEastAsia" w:eastAsiaTheme="minorEastAsia" w:cstheme="minorEastAsia"/>
                <w:snapToGrid w:val="0"/>
                <w:color w:val="auto"/>
                <w:spacing w:val="-6"/>
                <w:kern w:val="0"/>
                <w:sz w:val="24"/>
                <w:szCs w:val="24"/>
                <w:highlight w:val="none"/>
                <w:lang w:val="en-US" w:eastAsia="zh-CN"/>
              </w:rPr>
              <w:t>施工组织设计</w:t>
            </w:r>
          </w:p>
          <w:p w14:paraId="4C45762A">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both"/>
              <w:rPr>
                <w:rFonts w:hint="eastAsia" w:asciiTheme="minorEastAsia" w:hAnsiTheme="minorEastAsia" w:eastAsiaTheme="minorEastAsia" w:cstheme="minorEastAsia"/>
                <w:color w:val="auto"/>
                <w:sz w:val="24"/>
                <w:szCs w:val="24"/>
                <w:highlight w:val="none"/>
              </w:rPr>
            </w:pPr>
          </w:p>
        </w:tc>
        <w:tc>
          <w:tcPr>
            <w:tcW w:w="733" w:type="dxa"/>
            <w:vMerge w:val="restart"/>
            <w:tcBorders>
              <w:tl2br w:val="nil"/>
              <w:tr2bl w:val="nil"/>
            </w:tcBorders>
            <w:noWrap/>
            <w:vAlign w:val="center"/>
          </w:tcPr>
          <w:p w14:paraId="7F0E254A">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p w14:paraId="5C87E31A">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p w14:paraId="72225E6C">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p w14:paraId="5D58E12E">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p w14:paraId="2F9012EA">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p w14:paraId="60814F1A">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p w14:paraId="11EF3F7A">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p w14:paraId="53A13D6F">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p w14:paraId="1BFAA56E">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both"/>
              <w:rPr>
                <w:rFonts w:hint="eastAsia" w:asciiTheme="minorEastAsia" w:hAnsiTheme="minorEastAsia" w:eastAsiaTheme="minorEastAsia" w:cstheme="minorEastAsia"/>
                <w:color w:val="auto"/>
                <w:sz w:val="24"/>
                <w:szCs w:val="24"/>
                <w:highlight w:val="none"/>
                <w:lang w:val="en-US" w:eastAsia="zh-CN"/>
              </w:rPr>
            </w:pPr>
          </w:p>
          <w:p w14:paraId="3A6CE085">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p w14:paraId="743C1A2F">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50</w:t>
            </w:r>
          </w:p>
        </w:tc>
        <w:tc>
          <w:tcPr>
            <w:tcW w:w="7850" w:type="dxa"/>
            <w:tcBorders>
              <w:tl2br w:val="nil"/>
              <w:tr2bl w:val="nil"/>
            </w:tcBorders>
            <w:noWrap w:val="0"/>
            <w:vAlign w:val="center"/>
          </w:tcPr>
          <w:p w14:paraId="46CEBD69">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textAlignment w:val="auto"/>
              <w:outlineLvl w:val="9"/>
              <w:rPr>
                <w:rFonts w:hint="eastAsia" w:asciiTheme="minorEastAsia" w:hAnsiTheme="minorEastAsia" w:eastAsiaTheme="minorEastAsia" w:cstheme="minorEastAsia"/>
                <w:b/>
                <w:bCs/>
                <w:color w:val="000000"/>
                <w:sz w:val="24"/>
                <w:szCs w:val="24"/>
                <w:highlight w:val="none"/>
                <w:lang w:val="zh-CN" w:eastAsia="zh-CN" w:bidi="ar-SA"/>
              </w:rPr>
            </w:pPr>
            <w:r>
              <w:rPr>
                <w:rFonts w:hint="eastAsia" w:asciiTheme="minorEastAsia" w:hAnsiTheme="minorEastAsia" w:eastAsiaTheme="minorEastAsia" w:cstheme="minorEastAsia"/>
                <w:b/>
                <w:bCs/>
                <w:color w:val="000000"/>
                <w:sz w:val="24"/>
                <w:szCs w:val="24"/>
                <w:highlight w:val="none"/>
                <w:lang w:val="en-US" w:eastAsia="zh-CN" w:bidi="ar-SA"/>
              </w:rPr>
              <w:t>1.</w:t>
            </w:r>
            <w:r>
              <w:rPr>
                <w:rFonts w:hint="eastAsia" w:asciiTheme="minorEastAsia" w:hAnsiTheme="minorEastAsia" w:eastAsiaTheme="minorEastAsia" w:cstheme="minorEastAsia"/>
                <w:b/>
                <w:bCs/>
                <w:color w:val="000000"/>
                <w:sz w:val="24"/>
                <w:szCs w:val="24"/>
                <w:highlight w:val="none"/>
                <w:lang w:val="zh-CN" w:eastAsia="zh-CN" w:bidi="ar-SA"/>
              </w:rPr>
              <w:t>确保工程质量的技术组织措施（</w:t>
            </w:r>
            <w:r>
              <w:rPr>
                <w:rFonts w:hint="eastAsia" w:asciiTheme="minorEastAsia" w:hAnsiTheme="minorEastAsia" w:eastAsiaTheme="minorEastAsia" w:cstheme="minorEastAsia"/>
                <w:b/>
                <w:bCs/>
                <w:color w:val="000000"/>
                <w:sz w:val="24"/>
                <w:szCs w:val="24"/>
                <w:highlight w:val="none"/>
                <w:lang w:val="en-US" w:eastAsia="zh-CN" w:bidi="ar-SA"/>
              </w:rPr>
              <w:t>6分</w:t>
            </w:r>
            <w:r>
              <w:rPr>
                <w:rFonts w:hint="eastAsia" w:asciiTheme="minorEastAsia" w:hAnsiTheme="minorEastAsia" w:eastAsiaTheme="minorEastAsia" w:cstheme="minorEastAsia"/>
                <w:b/>
                <w:bCs/>
                <w:color w:val="000000"/>
                <w:sz w:val="24"/>
                <w:szCs w:val="24"/>
                <w:highlight w:val="none"/>
                <w:lang w:val="zh-CN" w:eastAsia="zh-CN" w:bidi="ar-SA"/>
              </w:rPr>
              <w:t>）</w:t>
            </w:r>
          </w:p>
          <w:p w14:paraId="18A1ECF9">
            <w:pPr>
              <w:pStyle w:val="13"/>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en-US" w:eastAsia="zh-CN"/>
              </w:rPr>
              <w:t>供应商</w:t>
            </w:r>
            <w:r>
              <w:rPr>
                <w:rFonts w:hint="eastAsia" w:asciiTheme="minorEastAsia" w:hAnsiTheme="minorEastAsia" w:eastAsiaTheme="minorEastAsia" w:cstheme="minorEastAsia"/>
                <w:b/>
                <w:bCs/>
                <w:color w:val="000000"/>
                <w:sz w:val="24"/>
                <w:szCs w:val="24"/>
                <w:highlight w:val="none"/>
              </w:rPr>
              <w:t>针对本项目编制</w:t>
            </w:r>
            <w:r>
              <w:rPr>
                <w:rFonts w:hint="eastAsia" w:asciiTheme="minorEastAsia" w:hAnsiTheme="minorEastAsia" w:eastAsiaTheme="minorEastAsia" w:cstheme="minorEastAsia"/>
                <w:b/>
                <w:bCs/>
                <w:color w:val="000000"/>
                <w:sz w:val="24"/>
                <w:szCs w:val="24"/>
                <w:highlight w:val="none"/>
                <w:lang w:val="en-US" w:eastAsia="zh-CN"/>
              </w:rPr>
              <w:t>保证工</w:t>
            </w:r>
            <w:r>
              <w:rPr>
                <w:rFonts w:hint="eastAsia" w:asciiTheme="minorEastAsia" w:hAnsiTheme="minorEastAsia" w:eastAsiaTheme="minorEastAsia" w:cstheme="minorEastAsia"/>
                <w:b/>
                <w:bCs/>
                <w:color w:val="000000"/>
                <w:sz w:val="24"/>
                <w:szCs w:val="24"/>
                <w:highlight w:val="none"/>
                <w:lang w:val="zh-CN" w:eastAsia="zh-CN"/>
              </w:rPr>
              <w:t>程质量</w:t>
            </w:r>
            <w:r>
              <w:rPr>
                <w:rFonts w:hint="eastAsia" w:asciiTheme="minorEastAsia" w:hAnsiTheme="minorEastAsia" w:eastAsiaTheme="minorEastAsia" w:cstheme="minorEastAsia"/>
                <w:b/>
                <w:bCs/>
                <w:color w:val="000000"/>
                <w:sz w:val="24"/>
                <w:szCs w:val="24"/>
                <w:highlight w:val="none"/>
                <w:lang w:val="en-US" w:eastAsia="zh-CN"/>
              </w:rPr>
              <w:t>的</w:t>
            </w:r>
            <w:r>
              <w:rPr>
                <w:rFonts w:hint="eastAsia" w:asciiTheme="minorEastAsia" w:hAnsiTheme="minorEastAsia" w:eastAsiaTheme="minorEastAsia" w:cstheme="minorEastAsia"/>
                <w:b/>
                <w:bCs/>
                <w:color w:val="000000"/>
                <w:sz w:val="24"/>
                <w:szCs w:val="24"/>
                <w:highlight w:val="none"/>
                <w:lang w:val="zh-CN" w:eastAsia="zh-CN"/>
              </w:rPr>
              <w:t>技术组织措施。</w:t>
            </w:r>
          </w:p>
          <w:p w14:paraId="10C790AF">
            <w:pPr>
              <w:pStyle w:val="13"/>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lang w:val="en-US" w:eastAsia="zh-CN"/>
              </w:rPr>
              <w:t>赋分依据</w:t>
            </w:r>
            <w:r>
              <w:rPr>
                <w:rFonts w:hint="eastAsia" w:asciiTheme="minorEastAsia" w:hAnsiTheme="minorEastAsia" w:eastAsiaTheme="minorEastAsia" w:cstheme="minorEastAsia"/>
                <w:b/>
                <w:bCs/>
                <w:color w:val="000000"/>
                <w:sz w:val="24"/>
                <w:szCs w:val="24"/>
                <w:highlight w:val="none"/>
              </w:rPr>
              <w:t>：</w:t>
            </w:r>
          </w:p>
          <w:p w14:paraId="72CCC8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textAlignment w:val="auto"/>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lang w:val="en-US" w:eastAsia="zh-CN"/>
              </w:rPr>
              <w:t>①</w:t>
            </w:r>
            <w:r>
              <w:rPr>
                <w:rFonts w:hint="eastAsia" w:asciiTheme="minorEastAsia" w:hAnsiTheme="minorEastAsia" w:eastAsiaTheme="minorEastAsia" w:cstheme="minorEastAsia"/>
                <w:b/>
                <w:bCs/>
                <w:color w:val="000000"/>
                <w:sz w:val="24"/>
                <w:szCs w:val="24"/>
                <w:highlight w:val="none"/>
              </w:rPr>
              <w:t>质量目标</w:t>
            </w:r>
            <w:r>
              <w:rPr>
                <w:rFonts w:hint="eastAsia" w:asciiTheme="minorEastAsia" w:hAnsiTheme="minorEastAsia" w:eastAsiaTheme="minorEastAsia" w:cstheme="minorEastAsia"/>
                <w:b/>
                <w:bCs/>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lang w:val="en-US" w:eastAsia="zh-CN"/>
              </w:rPr>
              <w:t>目标制定</w:t>
            </w:r>
            <w:r>
              <w:rPr>
                <w:rFonts w:hint="eastAsia" w:asciiTheme="minorEastAsia" w:hAnsiTheme="minorEastAsia" w:eastAsiaTheme="minorEastAsia" w:cstheme="minorEastAsia"/>
                <w:b w:val="0"/>
                <w:bCs w:val="0"/>
                <w:color w:val="000000"/>
                <w:sz w:val="24"/>
                <w:szCs w:val="24"/>
                <w:highlight w:val="none"/>
                <w:lang w:val="en-US" w:eastAsia="zh-CN"/>
              </w:rPr>
              <w:t>科学详细、</w:t>
            </w:r>
            <w:r>
              <w:rPr>
                <w:rFonts w:hint="eastAsia" w:asciiTheme="minorEastAsia" w:hAnsiTheme="minorEastAsia" w:eastAsiaTheme="minorEastAsia" w:cstheme="minorEastAsia"/>
                <w:color w:val="000000"/>
                <w:sz w:val="24"/>
                <w:szCs w:val="24"/>
                <w:highlight w:val="none"/>
                <w:lang w:val="en-US" w:eastAsia="zh-CN"/>
              </w:rPr>
              <w:t>切实可行，完全满足项目需求，得2.0分；目标制定较为详细、可以满足项目需求，得1.0-1.9分；目标制定内容简单，但基本满足项目需求，得0.1-0.9分；不符合项目实际情况或未提供得0分。</w:t>
            </w:r>
          </w:p>
          <w:p w14:paraId="5DE88FE5">
            <w:pPr>
              <w:pStyle w:val="13"/>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lang w:val="en-US" w:eastAsia="zh-CN"/>
              </w:rPr>
              <w:t>②</w:t>
            </w:r>
            <w:r>
              <w:rPr>
                <w:rFonts w:hint="eastAsia" w:asciiTheme="minorEastAsia" w:hAnsiTheme="minorEastAsia" w:eastAsiaTheme="minorEastAsia" w:cstheme="minorEastAsia"/>
                <w:b/>
                <w:bCs/>
                <w:color w:val="000000"/>
                <w:sz w:val="24"/>
                <w:szCs w:val="24"/>
                <w:highlight w:val="none"/>
              </w:rPr>
              <w:t>质量保证措施</w:t>
            </w:r>
            <w:r>
              <w:rPr>
                <w:rFonts w:hint="eastAsia" w:asciiTheme="minorEastAsia" w:hAnsiTheme="minorEastAsia" w:eastAsiaTheme="minorEastAsia" w:cstheme="minorEastAsia"/>
                <w:b/>
                <w:bCs/>
                <w:color w:val="000000"/>
                <w:sz w:val="24"/>
                <w:szCs w:val="24"/>
                <w:highlight w:val="none"/>
                <w:lang w:eastAsia="zh-CN"/>
              </w:rPr>
              <w:t>：</w:t>
            </w:r>
            <w:r>
              <w:rPr>
                <w:rFonts w:hint="eastAsia" w:asciiTheme="minorEastAsia" w:hAnsiTheme="minorEastAsia" w:eastAsiaTheme="minorEastAsia" w:cstheme="minorEastAsia"/>
                <w:color w:val="000000"/>
                <w:kern w:val="2"/>
                <w:sz w:val="24"/>
                <w:szCs w:val="24"/>
                <w:highlight w:val="none"/>
                <w:lang w:val="en-US" w:eastAsia="zh-CN" w:bidi="ar-SA"/>
              </w:rPr>
              <w:t>具有切实可行的质量保证措施，操作性强、完全满足本项目需求，得2.0分；措施较为合理、可以满足项目需求，得1.0-1.9分；措施内容简单，但基本满足项目需求，得0.1-0.9分；不符合项目实际情况或未提供得0分。</w:t>
            </w:r>
          </w:p>
          <w:p w14:paraId="487A506D">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left"/>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b/>
                <w:bCs/>
                <w:color w:val="000000"/>
                <w:sz w:val="24"/>
                <w:szCs w:val="24"/>
                <w:highlight w:val="none"/>
                <w:lang w:val="en-US" w:eastAsia="zh-CN"/>
              </w:rPr>
              <w:t>③</w:t>
            </w:r>
            <w:r>
              <w:rPr>
                <w:rFonts w:hint="eastAsia" w:asciiTheme="minorEastAsia" w:hAnsiTheme="minorEastAsia" w:eastAsiaTheme="minorEastAsia" w:cstheme="minorEastAsia"/>
                <w:b/>
                <w:bCs/>
                <w:color w:val="000000"/>
                <w:sz w:val="24"/>
                <w:szCs w:val="24"/>
                <w:highlight w:val="none"/>
              </w:rPr>
              <w:t>质量管理措施</w:t>
            </w:r>
            <w:r>
              <w:rPr>
                <w:rFonts w:hint="eastAsia" w:asciiTheme="minorEastAsia" w:hAnsiTheme="minorEastAsia" w:eastAsiaTheme="minorEastAsia" w:cstheme="minorEastAsia"/>
                <w:b/>
                <w:bCs/>
                <w:color w:val="000000"/>
                <w:sz w:val="24"/>
                <w:szCs w:val="24"/>
                <w:highlight w:val="none"/>
                <w:lang w:eastAsia="zh-CN"/>
              </w:rPr>
              <w:t>：</w:t>
            </w:r>
            <w:r>
              <w:rPr>
                <w:rFonts w:hint="eastAsia" w:asciiTheme="minorEastAsia" w:hAnsiTheme="minorEastAsia" w:eastAsiaTheme="minorEastAsia" w:cstheme="minorEastAsia"/>
                <w:b w:val="0"/>
                <w:bCs w:val="0"/>
                <w:color w:val="000000"/>
                <w:sz w:val="24"/>
                <w:szCs w:val="24"/>
                <w:highlight w:val="none"/>
                <w:lang w:val="en-US" w:eastAsia="zh-CN"/>
              </w:rPr>
              <w:t>具有切实可行的质量管理措施</w:t>
            </w:r>
            <w:r>
              <w:rPr>
                <w:rFonts w:hint="eastAsia" w:asciiTheme="minorEastAsia" w:hAnsiTheme="minorEastAsia" w:eastAsiaTheme="minorEastAsia" w:cstheme="minorEastAsia"/>
                <w:b w:val="0"/>
                <w:bCs w:val="0"/>
                <w:color w:val="000000"/>
                <w:kern w:val="2"/>
                <w:sz w:val="24"/>
                <w:szCs w:val="24"/>
                <w:highlight w:val="none"/>
                <w:lang w:val="en-US" w:eastAsia="zh-CN" w:bidi="ar-SA"/>
              </w:rPr>
              <w:t>，操作性</w:t>
            </w:r>
            <w:r>
              <w:rPr>
                <w:rFonts w:hint="eastAsia" w:asciiTheme="minorEastAsia" w:hAnsiTheme="minorEastAsia" w:eastAsiaTheme="minorEastAsia" w:cstheme="minorEastAsia"/>
                <w:color w:val="000000"/>
                <w:kern w:val="2"/>
                <w:sz w:val="24"/>
                <w:szCs w:val="24"/>
                <w:highlight w:val="none"/>
                <w:lang w:val="en-US" w:eastAsia="zh-CN" w:bidi="ar-SA"/>
              </w:rPr>
              <w:t>强、完全满足本项目需求，得2.0分；</w:t>
            </w:r>
            <w:r>
              <w:rPr>
                <w:rFonts w:hint="eastAsia" w:asciiTheme="minorEastAsia" w:hAnsiTheme="minorEastAsia" w:eastAsiaTheme="minorEastAsia" w:cstheme="minorEastAsia"/>
                <w:b w:val="0"/>
                <w:bCs w:val="0"/>
                <w:color w:val="000000"/>
                <w:sz w:val="24"/>
                <w:szCs w:val="24"/>
                <w:highlight w:val="none"/>
                <w:lang w:val="en-US" w:eastAsia="zh-CN"/>
              </w:rPr>
              <w:t>措施</w:t>
            </w:r>
            <w:r>
              <w:rPr>
                <w:rFonts w:hint="eastAsia" w:asciiTheme="minorEastAsia" w:hAnsiTheme="minorEastAsia" w:eastAsiaTheme="minorEastAsia" w:cstheme="minorEastAsia"/>
                <w:color w:val="000000"/>
                <w:kern w:val="2"/>
                <w:sz w:val="24"/>
                <w:szCs w:val="24"/>
                <w:highlight w:val="none"/>
                <w:lang w:val="en-US" w:eastAsia="zh-CN" w:bidi="ar-SA"/>
              </w:rPr>
              <w:t>较为合理、可以满足项目需求，得1.0-1.9分；措施内容简单，但基本满足项目需求，得0.1-0.9分；不符合项目实际情况或未提供得0分。</w:t>
            </w:r>
          </w:p>
        </w:tc>
        <w:tc>
          <w:tcPr>
            <w:tcW w:w="800" w:type="dxa"/>
            <w:tcBorders>
              <w:tl2br w:val="nil"/>
              <w:tr2bl w:val="nil"/>
            </w:tcBorders>
            <w:noWrap w:val="0"/>
            <w:vAlign w:val="center"/>
          </w:tcPr>
          <w:p w14:paraId="0613E1C6">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主观</w:t>
            </w:r>
            <w:r>
              <w:rPr>
                <w:rFonts w:hint="eastAsia" w:asciiTheme="minorEastAsia" w:hAnsiTheme="minorEastAsia" w:eastAsiaTheme="minorEastAsia" w:cstheme="minorEastAsia"/>
                <w:b w:val="0"/>
                <w:bCs w:val="0"/>
                <w:color w:val="auto"/>
                <w:sz w:val="24"/>
                <w:szCs w:val="24"/>
                <w:highlight w:val="none"/>
                <w:lang w:val="en-US" w:eastAsia="zh-CN"/>
              </w:rPr>
              <w:t>分</w:t>
            </w:r>
          </w:p>
        </w:tc>
      </w:tr>
      <w:tr w14:paraId="6C502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6" w:hRule="atLeast"/>
        </w:trPr>
        <w:tc>
          <w:tcPr>
            <w:tcW w:w="882" w:type="dxa"/>
            <w:vMerge w:val="continue"/>
            <w:tcBorders>
              <w:tl2br w:val="nil"/>
              <w:tr2bl w:val="nil"/>
            </w:tcBorders>
            <w:noWrap w:val="0"/>
            <w:vAlign w:val="center"/>
          </w:tcPr>
          <w:p w14:paraId="1E9033F7">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rPr>
            </w:pPr>
          </w:p>
        </w:tc>
        <w:tc>
          <w:tcPr>
            <w:tcW w:w="733" w:type="dxa"/>
            <w:vMerge w:val="continue"/>
            <w:tcBorders>
              <w:tl2br w:val="nil"/>
              <w:tr2bl w:val="nil"/>
            </w:tcBorders>
            <w:noWrap/>
            <w:vAlign w:val="center"/>
          </w:tcPr>
          <w:p w14:paraId="11C6620F">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pacing w:val="-20"/>
                <w:w w:val="100"/>
                <w:sz w:val="24"/>
                <w:szCs w:val="24"/>
                <w:highlight w:val="none"/>
                <w:lang w:val="en-US" w:eastAsia="zh-CN"/>
              </w:rPr>
            </w:pPr>
          </w:p>
        </w:tc>
        <w:tc>
          <w:tcPr>
            <w:tcW w:w="7850" w:type="dxa"/>
            <w:tcBorders>
              <w:tl2br w:val="nil"/>
              <w:tr2bl w:val="nil"/>
            </w:tcBorders>
            <w:noWrap w:val="0"/>
            <w:vAlign w:val="center"/>
          </w:tcPr>
          <w:p w14:paraId="6473D005">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textAlignment w:val="auto"/>
              <w:outlineLvl w:val="9"/>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en-US" w:eastAsia="zh-CN"/>
              </w:rPr>
              <w:t>2.</w:t>
            </w:r>
            <w:r>
              <w:rPr>
                <w:rFonts w:hint="eastAsia" w:asciiTheme="minorEastAsia" w:hAnsiTheme="minorEastAsia" w:eastAsiaTheme="minorEastAsia" w:cstheme="minorEastAsia"/>
                <w:b/>
                <w:bCs/>
                <w:color w:val="000000"/>
                <w:sz w:val="24"/>
                <w:szCs w:val="24"/>
                <w:highlight w:val="none"/>
                <w:lang w:val="zh-CN" w:eastAsia="zh-CN"/>
              </w:rPr>
              <w:t>确保安全生产的技术组织措施（</w:t>
            </w:r>
            <w:r>
              <w:rPr>
                <w:rFonts w:hint="eastAsia" w:asciiTheme="minorEastAsia" w:hAnsiTheme="minorEastAsia" w:eastAsiaTheme="minorEastAsia" w:cstheme="minorEastAsia"/>
                <w:b/>
                <w:bCs/>
                <w:color w:val="000000"/>
                <w:sz w:val="24"/>
                <w:szCs w:val="24"/>
                <w:highlight w:val="none"/>
                <w:lang w:val="en-US" w:eastAsia="zh-CN"/>
              </w:rPr>
              <w:t>6分</w:t>
            </w:r>
            <w:r>
              <w:rPr>
                <w:rFonts w:hint="eastAsia" w:asciiTheme="minorEastAsia" w:hAnsiTheme="minorEastAsia" w:eastAsiaTheme="minorEastAsia" w:cstheme="minorEastAsia"/>
                <w:b/>
                <w:bCs/>
                <w:color w:val="000000"/>
                <w:sz w:val="24"/>
                <w:szCs w:val="24"/>
                <w:highlight w:val="none"/>
                <w:lang w:val="zh-CN" w:eastAsia="zh-CN"/>
              </w:rPr>
              <w:t>）</w:t>
            </w:r>
          </w:p>
          <w:p w14:paraId="2B35B57D">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textAlignment w:val="auto"/>
              <w:outlineLvl w:val="9"/>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zh-CN" w:eastAsia="zh-CN"/>
              </w:rPr>
              <w:t>供应商针对本项目编制</w:t>
            </w:r>
            <w:r>
              <w:rPr>
                <w:rFonts w:hint="eastAsia" w:asciiTheme="minorEastAsia" w:hAnsiTheme="minorEastAsia" w:eastAsiaTheme="minorEastAsia" w:cstheme="minorEastAsia"/>
                <w:b/>
                <w:bCs/>
                <w:color w:val="000000"/>
                <w:sz w:val="24"/>
                <w:szCs w:val="24"/>
                <w:highlight w:val="none"/>
                <w:lang w:val="en-US" w:eastAsia="zh-CN"/>
              </w:rPr>
              <w:t>保证</w:t>
            </w:r>
            <w:r>
              <w:rPr>
                <w:rFonts w:hint="eastAsia" w:asciiTheme="minorEastAsia" w:hAnsiTheme="minorEastAsia" w:eastAsiaTheme="minorEastAsia" w:cstheme="minorEastAsia"/>
                <w:b/>
                <w:bCs/>
                <w:color w:val="000000"/>
                <w:sz w:val="24"/>
                <w:szCs w:val="24"/>
                <w:highlight w:val="none"/>
                <w:lang w:val="zh-CN" w:eastAsia="zh-CN"/>
              </w:rPr>
              <w:t>安全生产的技术组织措施。</w:t>
            </w:r>
          </w:p>
          <w:p w14:paraId="42BEFF43">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textAlignment w:val="auto"/>
              <w:outlineLvl w:val="9"/>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赋分依据：</w:t>
            </w:r>
          </w:p>
          <w:p w14:paraId="31BE1023">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textAlignment w:val="auto"/>
              <w:outlineLvl w:val="9"/>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①施工安全生产目标：</w:t>
            </w:r>
            <w:r>
              <w:rPr>
                <w:rFonts w:hint="eastAsia" w:asciiTheme="minorEastAsia" w:hAnsiTheme="minorEastAsia" w:eastAsiaTheme="minorEastAsia" w:cstheme="minorEastAsia"/>
                <w:color w:val="000000"/>
                <w:sz w:val="24"/>
                <w:szCs w:val="24"/>
                <w:highlight w:val="none"/>
                <w:lang w:val="en-US" w:eastAsia="zh-CN"/>
              </w:rPr>
              <w:t>目标制定</w:t>
            </w:r>
            <w:r>
              <w:rPr>
                <w:rFonts w:hint="eastAsia" w:asciiTheme="minorEastAsia" w:hAnsiTheme="minorEastAsia" w:eastAsiaTheme="minorEastAsia" w:cstheme="minorEastAsia"/>
                <w:b w:val="0"/>
                <w:bCs w:val="0"/>
                <w:color w:val="000000"/>
                <w:sz w:val="24"/>
                <w:szCs w:val="24"/>
                <w:highlight w:val="none"/>
                <w:lang w:val="en-US" w:eastAsia="zh-CN"/>
              </w:rPr>
              <w:t>科学合理、</w:t>
            </w:r>
            <w:r>
              <w:rPr>
                <w:rFonts w:hint="eastAsia" w:asciiTheme="minorEastAsia" w:hAnsiTheme="minorEastAsia" w:eastAsiaTheme="minorEastAsia" w:cstheme="minorEastAsia"/>
                <w:color w:val="000000"/>
                <w:sz w:val="24"/>
                <w:szCs w:val="24"/>
                <w:highlight w:val="none"/>
                <w:lang w:val="en-US" w:eastAsia="zh-CN"/>
              </w:rPr>
              <w:t>切实可行，完全满足项目需求，得2.0分；目标制定较为合理、可以满足项目需求，得1.0-1.9分；目标制定</w:t>
            </w:r>
            <w:r>
              <w:rPr>
                <w:rFonts w:hint="eastAsia" w:asciiTheme="minorEastAsia" w:hAnsiTheme="minorEastAsia" w:eastAsiaTheme="minorEastAsia" w:cstheme="minorEastAsia"/>
                <w:color w:val="000000"/>
                <w:kern w:val="2"/>
                <w:sz w:val="24"/>
                <w:szCs w:val="24"/>
                <w:highlight w:val="none"/>
                <w:lang w:val="en-US" w:eastAsia="zh-CN" w:bidi="ar-SA"/>
              </w:rPr>
              <w:t>内容简单，但基本满足项目需求，</w:t>
            </w:r>
            <w:r>
              <w:rPr>
                <w:rFonts w:hint="eastAsia" w:asciiTheme="minorEastAsia" w:hAnsiTheme="minorEastAsia" w:eastAsiaTheme="minorEastAsia" w:cstheme="minorEastAsia"/>
                <w:color w:val="000000"/>
                <w:sz w:val="24"/>
                <w:szCs w:val="24"/>
                <w:highlight w:val="none"/>
                <w:lang w:val="en-US" w:eastAsia="zh-CN"/>
              </w:rPr>
              <w:t>得0.1-0.9分；不符合项目实际情况或未提供得0分。</w:t>
            </w:r>
          </w:p>
          <w:p w14:paraId="54F3AFBA">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textAlignment w:val="auto"/>
              <w:outlineLvl w:val="9"/>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②安全生产保证体系：</w:t>
            </w:r>
            <w:r>
              <w:rPr>
                <w:rFonts w:hint="eastAsia" w:asciiTheme="minorEastAsia" w:hAnsiTheme="minorEastAsia" w:eastAsiaTheme="minorEastAsia" w:cstheme="minorEastAsia"/>
                <w:b w:val="0"/>
                <w:bCs w:val="0"/>
                <w:color w:val="000000"/>
                <w:sz w:val="24"/>
                <w:szCs w:val="24"/>
                <w:highlight w:val="none"/>
                <w:lang w:val="en-US" w:eastAsia="zh-CN"/>
              </w:rPr>
              <w:t>安全生产保证体系方案制定科学详细、</w:t>
            </w:r>
            <w:r>
              <w:rPr>
                <w:rFonts w:hint="eastAsia" w:asciiTheme="minorEastAsia" w:hAnsiTheme="minorEastAsia" w:eastAsiaTheme="minorEastAsia" w:cstheme="minorEastAsia"/>
                <w:color w:val="000000"/>
                <w:sz w:val="24"/>
                <w:szCs w:val="24"/>
                <w:highlight w:val="none"/>
                <w:lang w:val="en-US" w:eastAsia="zh-CN"/>
              </w:rPr>
              <w:t>切实可行，完全满足项目需求，得2.0分；</w:t>
            </w:r>
            <w:r>
              <w:rPr>
                <w:rFonts w:hint="eastAsia" w:asciiTheme="minorEastAsia" w:hAnsiTheme="minorEastAsia" w:eastAsiaTheme="minorEastAsia" w:cstheme="minorEastAsia"/>
                <w:b w:val="0"/>
                <w:bCs w:val="0"/>
                <w:color w:val="000000"/>
                <w:sz w:val="24"/>
                <w:szCs w:val="24"/>
                <w:highlight w:val="none"/>
                <w:lang w:val="en-US" w:eastAsia="zh-CN"/>
              </w:rPr>
              <w:t>方案</w:t>
            </w:r>
            <w:r>
              <w:rPr>
                <w:rFonts w:hint="eastAsia" w:asciiTheme="minorEastAsia" w:hAnsiTheme="minorEastAsia" w:eastAsiaTheme="minorEastAsia" w:cstheme="minorEastAsia"/>
                <w:color w:val="000000"/>
                <w:sz w:val="24"/>
                <w:szCs w:val="24"/>
                <w:highlight w:val="none"/>
                <w:lang w:val="en-US" w:eastAsia="zh-CN"/>
              </w:rPr>
              <w:t>较为详细、可以满足项目需求，得1.0-1.9分；</w:t>
            </w:r>
            <w:r>
              <w:rPr>
                <w:rFonts w:hint="eastAsia" w:asciiTheme="minorEastAsia" w:hAnsiTheme="minorEastAsia" w:eastAsiaTheme="minorEastAsia" w:cstheme="minorEastAsia"/>
                <w:b w:val="0"/>
                <w:bCs w:val="0"/>
                <w:color w:val="000000"/>
                <w:sz w:val="24"/>
                <w:szCs w:val="24"/>
                <w:highlight w:val="none"/>
                <w:lang w:val="en-US" w:eastAsia="zh-CN"/>
              </w:rPr>
              <w:t>方案</w:t>
            </w:r>
            <w:r>
              <w:rPr>
                <w:rFonts w:hint="eastAsia" w:asciiTheme="minorEastAsia" w:hAnsiTheme="minorEastAsia" w:eastAsiaTheme="minorEastAsia" w:cstheme="minorEastAsia"/>
                <w:color w:val="000000"/>
                <w:kern w:val="2"/>
                <w:sz w:val="24"/>
                <w:szCs w:val="24"/>
                <w:highlight w:val="none"/>
                <w:lang w:val="en-US" w:eastAsia="zh-CN" w:bidi="ar-SA"/>
              </w:rPr>
              <w:t>内容简单，但基本满足项目需求，</w:t>
            </w:r>
            <w:r>
              <w:rPr>
                <w:rFonts w:hint="eastAsia" w:asciiTheme="minorEastAsia" w:hAnsiTheme="minorEastAsia" w:eastAsiaTheme="minorEastAsia" w:cstheme="minorEastAsia"/>
                <w:color w:val="000000"/>
                <w:sz w:val="24"/>
                <w:szCs w:val="24"/>
                <w:highlight w:val="none"/>
                <w:lang w:val="en-US" w:eastAsia="zh-CN"/>
              </w:rPr>
              <w:t>得0.1-0.9分；不符合项目实际情况或未提供得0分。</w:t>
            </w:r>
          </w:p>
          <w:p w14:paraId="5395E913">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textAlignment w:val="auto"/>
              <w:outlineLvl w:val="9"/>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③安全生产技术措施：</w:t>
            </w:r>
          </w:p>
          <w:p w14:paraId="76A7C6E0">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000000"/>
                <w:sz w:val="24"/>
                <w:szCs w:val="24"/>
                <w:highlight w:val="none"/>
                <w:lang w:val="en-US" w:eastAsia="zh-CN"/>
              </w:rPr>
              <w:t>安全生产技术措施全</w:t>
            </w:r>
            <w:r>
              <w:rPr>
                <w:rFonts w:hint="eastAsia" w:asciiTheme="minorEastAsia" w:hAnsiTheme="minorEastAsia" w:eastAsiaTheme="minorEastAsia" w:cstheme="minorEastAsia"/>
                <w:color w:val="000000"/>
                <w:sz w:val="24"/>
                <w:szCs w:val="24"/>
                <w:highlight w:val="none"/>
                <w:lang w:val="en-US" w:eastAsia="zh-CN"/>
              </w:rPr>
              <w:t>面详细、贴合实际、完全满足项目需求，得2.0分；措施较为详细、可以满足项目需求，得1.0-1.9分；</w:t>
            </w:r>
            <w:r>
              <w:rPr>
                <w:rFonts w:hint="eastAsia" w:asciiTheme="minorEastAsia" w:hAnsiTheme="minorEastAsia" w:eastAsiaTheme="minorEastAsia" w:cstheme="minorEastAsia"/>
                <w:color w:val="000000"/>
                <w:kern w:val="2"/>
                <w:sz w:val="24"/>
                <w:szCs w:val="24"/>
                <w:highlight w:val="none"/>
                <w:lang w:val="en-US" w:eastAsia="zh-CN" w:bidi="ar-SA"/>
              </w:rPr>
              <w:t>措施内容简单，但基本满足项目需求，</w:t>
            </w:r>
            <w:r>
              <w:rPr>
                <w:rFonts w:hint="eastAsia" w:asciiTheme="minorEastAsia" w:hAnsiTheme="minorEastAsia" w:eastAsiaTheme="minorEastAsia" w:cstheme="minorEastAsia"/>
                <w:color w:val="000000"/>
                <w:sz w:val="24"/>
                <w:szCs w:val="24"/>
                <w:highlight w:val="none"/>
                <w:lang w:val="en-US" w:eastAsia="zh-CN"/>
              </w:rPr>
              <w:t>得0.1-0.9分；不符合项目实际情况或未提供得0分。</w:t>
            </w:r>
          </w:p>
        </w:tc>
        <w:tc>
          <w:tcPr>
            <w:tcW w:w="800" w:type="dxa"/>
            <w:tcBorders>
              <w:tl2br w:val="nil"/>
              <w:tr2bl w:val="nil"/>
            </w:tcBorders>
            <w:noWrap w:val="0"/>
            <w:vAlign w:val="center"/>
          </w:tcPr>
          <w:p w14:paraId="40FF469A">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主观</w:t>
            </w:r>
            <w:r>
              <w:rPr>
                <w:rFonts w:hint="eastAsia" w:asciiTheme="minorEastAsia" w:hAnsiTheme="minorEastAsia" w:eastAsiaTheme="minorEastAsia" w:cstheme="minorEastAsia"/>
                <w:b w:val="0"/>
                <w:bCs w:val="0"/>
                <w:color w:val="auto"/>
                <w:sz w:val="24"/>
                <w:szCs w:val="24"/>
                <w:highlight w:val="none"/>
                <w:lang w:val="en-US" w:eastAsia="zh-CN"/>
              </w:rPr>
              <w:t>分</w:t>
            </w:r>
          </w:p>
        </w:tc>
      </w:tr>
      <w:tr w14:paraId="53BD7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 w:hRule="atLeast"/>
        </w:trPr>
        <w:tc>
          <w:tcPr>
            <w:tcW w:w="882" w:type="dxa"/>
            <w:vMerge w:val="continue"/>
            <w:tcBorders>
              <w:tl2br w:val="nil"/>
              <w:tr2bl w:val="nil"/>
            </w:tcBorders>
            <w:noWrap w:val="0"/>
            <w:vAlign w:val="center"/>
          </w:tcPr>
          <w:p w14:paraId="45CC0F79">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rPr>
            </w:pPr>
          </w:p>
        </w:tc>
        <w:tc>
          <w:tcPr>
            <w:tcW w:w="733" w:type="dxa"/>
            <w:vMerge w:val="continue"/>
            <w:tcBorders>
              <w:tl2br w:val="nil"/>
              <w:tr2bl w:val="nil"/>
            </w:tcBorders>
            <w:noWrap/>
            <w:vAlign w:val="center"/>
          </w:tcPr>
          <w:p w14:paraId="777A564F">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rPr>
            </w:pPr>
          </w:p>
        </w:tc>
        <w:tc>
          <w:tcPr>
            <w:tcW w:w="7850" w:type="dxa"/>
            <w:tcBorders>
              <w:tl2br w:val="nil"/>
              <w:tr2bl w:val="nil"/>
            </w:tcBorders>
            <w:noWrap w:val="0"/>
            <w:vAlign w:val="center"/>
          </w:tcPr>
          <w:p w14:paraId="4F1E10B5">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textAlignment w:val="auto"/>
              <w:outlineLvl w:val="9"/>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en-US" w:eastAsia="zh-CN"/>
              </w:rPr>
              <w:t>3.</w:t>
            </w:r>
            <w:r>
              <w:rPr>
                <w:rFonts w:hint="eastAsia" w:asciiTheme="minorEastAsia" w:hAnsiTheme="minorEastAsia" w:eastAsiaTheme="minorEastAsia" w:cstheme="minorEastAsia"/>
                <w:b/>
                <w:bCs/>
                <w:color w:val="000000"/>
                <w:sz w:val="24"/>
                <w:szCs w:val="24"/>
                <w:highlight w:val="none"/>
                <w:lang w:val="zh-CN" w:eastAsia="zh-CN"/>
              </w:rPr>
              <w:t>确保文明施工的技术措施及环境保护措施（</w:t>
            </w:r>
            <w:r>
              <w:rPr>
                <w:rFonts w:hint="eastAsia" w:asciiTheme="minorEastAsia" w:hAnsiTheme="minorEastAsia" w:eastAsiaTheme="minorEastAsia" w:cstheme="minorEastAsia"/>
                <w:b/>
                <w:bCs/>
                <w:color w:val="000000"/>
                <w:sz w:val="24"/>
                <w:szCs w:val="24"/>
                <w:highlight w:val="none"/>
                <w:lang w:val="en-US" w:eastAsia="zh-CN"/>
              </w:rPr>
              <w:t>4分</w:t>
            </w:r>
            <w:r>
              <w:rPr>
                <w:rFonts w:hint="eastAsia" w:asciiTheme="minorEastAsia" w:hAnsiTheme="minorEastAsia" w:eastAsiaTheme="minorEastAsia" w:cstheme="minorEastAsia"/>
                <w:b/>
                <w:bCs/>
                <w:color w:val="000000"/>
                <w:sz w:val="24"/>
                <w:szCs w:val="24"/>
                <w:highlight w:val="none"/>
                <w:lang w:val="zh-CN" w:eastAsia="zh-CN"/>
              </w:rPr>
              <w:t>）</w:t>
            </w:r>
          </w:p>
          <w:p w14:paraId="57EB4802">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en-US" w:eastAsia="zh-CN"/>
              </w:rPr>
              <w:t>供应商</w:t>
            </w:r>
            <w:r>
              <w:rPr>
                <w:rFonts w:hint="eastAsia" w:asciiTheme="minorEastAsia" w:hAnsiTheme="minorEastAsia" w:eastAsiaTheme="minorEastAsia" w:cstheme="minorEastAsia"/>
                <w:b/>
                <w:bCs/>
                <w:color w:val="000000"/>
                <w:sz w:val="24"/>
                <w:szCs w:val="24"/>
                <w:highlight w:val="none"/>
                <w:lang w:val="zh-CN" w:eastAsia="zh-CN"/>
              </w:rPr>
              <w:t>针对本项目编制文明施工的技术措施及环境保护措施。</w:t>
            </w:r>
          </w:p>
          <w:p w14:paraId="193E6129">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赋分依据：</w:t>
            </w:r>
          </w:p>
          <w:p w14:paraId="16A99EE9">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en-US" w:eastAsia="zh-CN"/>
              </w:rPr>
              <w:t>①</w:t>
            </w:r>
            <w:r>
              <w:rPr>
                <w:rFonts w:hint="eastAsia" w:asciiTheme="minorEastAsia" w:hAnsiTheme="minorEastAsia" w:eastAsiaTheme="minorEastAsia" w:cstheme="minorEastAsia"/>
                <w:b/>
                <w:bCs/>
                <w:color w:val="000000"/>
                <w:sz w:val="24"/>
                <w:szCs w:val="24"/>
                <w:highlight w:val="none"/>
                <w:lang w:val="zh-CN" w:eastAsia="zh-CN"/>
              </w:rPr>
              <w:t>文明施工的技术措施：</w:t>
            </w:r>
            <w:r>
              <w:rPr>
                <w:rFonts w:hint="eastAsia" w:asciiTheme="minorEastAsia" w:hAnsiTheme="minorEastAsia" w:eastAsiaTheme="minorEastAsia" w:cstheme="minorEastAsia"/>
                <w:b w:val="0"/>
                <w:bCs w:val="0"/>
                <w:color w:val="000000"/>
                <w:sz w:val="24"/>
                <w:szCs w:val="24"/>
                <w:highlight w:val="none"/>
                <w:lang w:val="zh-CN" w:eastAsia="zh-CN"/>
              </w:rPr>
              <w:t>文明施工的技术措施</w:t>
            </w:r>
            <w:r>
              <w:rPr>
                <w:rFonts w:hint="eastAsia" w:asciiTheme="minorEastAsia" w:hAnsiTheme="minorEastAsia" w:eastAsiaTheme="minorEastAsia" w:cstheme="minorEastAsia"/>
                <w:b w:val="0"/>
                <w:bCs w:val="0"/>
                <w:color w:val="000000"/>
                <w:sz w:val="24"/>
                <w:szCs w:val="24"/>
                <w:highlight w:val="none"/>
                <w:lang w:val="en-US" w:eastAsia="zh-CN"/>
              </w:rPr>
              <w:t>制定全</w:t>
            </w:r>
            <w:r>
              <w:rPr>
                <w:rFonts w:hint="eastAsia" w:asciiTheme="minorEastAsia" w:hAnsiTheme="minorEastAsia" w:eastAsiaTheme="minorEastAsia" w:cstheme="minorEastAsia"/>
                <w:color w:val="000000"/>
                <w:sz w:val="24"/>
                <w:szCs w:val="24"/>
                <w:highlight w:val="none"/>
                <w:lang w:val="en-US" w:eastAsia="zh-CN"/>
              </w:rPr>
              <w:t>面详细、贴合实际、完全满足项目需求，得2.0分；措施较为详细、可以满足项目需求，得1.0-1.9分；措施内容简单，但基本满足项目需求，得0.1-0.9分；不符合项目实际情况或未提供得0分。</w:t>
            </w:r>
          </w:p>
          <w:p w14:paraId="0A50C6FF">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②</w:t>
            </w:r>
            <w:r>
              <w:rPr>
                <w:rFonts w:hint="eastAsia" w:asciiTheme="minorEastAsia" w:hAnsiTheme="minorEastAsia" w:eastAsiaTheme="minorEastAsia" w:cstheme="minorEastAsia"/>
                <w:b/>
                <w:bCs/>
                <w:color w:val="000000"/>
                <w:sz w:val="24"/>
                <w:szCs w:val="24"/>
                <w:highlight w:val="none"/>
                <w:lang w:val="zh-CN" w:eastAsia="zh-CN"/>
              </w:rPr>
              <w:t>环境保护措施：</w:t>
            </w:r>
          </w:p>
          <w:p w14:paraId="044C17FF">
            <w:pPr>
              <w:keepNext w:val="0"/>
              <w:keepLines w:val="0"/>
              <w:pageBreakBefore w:val="0"/>
              <w:widowControl/>
              <w:suppressLineNumbers w:val="0"/>
              <w:kinsoku/>
              <w:wordWrap/>
              <w:overflowPunct/>
              <w:topLinePunct w:val="0"/>
              <w:bidi w:val="0"/>
              <w:adjustRightInd w:val="0"/>
              <w:snapToGrid w:val="0"/>
              <w:spacing w:line="440" w:lineRule="exact"/>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 w:val="0"/>
                <w:bCs w:val="0"/>
                <w:color w:val="000000"/>
                <w:sz w:val="24"/>
                <w:szCs w:val="24"/>
                <w:highlight w:val="none"/>
                <w:lang w:val="zh-CN" w:eastAsia="zh-CN"/>
              </w:rPr>
              <w:t>环</w:t>
            </w:r>
            <w:r>
              <w:rPr>
                <w:rFonts w:hint="eastAsia" w:asciiTheme="minorEastAsia" w:hAnsiTheme="minorEastAsia" w:eastAsiaTheme="minorEastAsia" w:cstheme="minorEastAsia"/>
                <w:color w:val="000000"/>
                <w:kern w:val="2"/>
                <w:sz w:val="24"/>
                <w:szCs w:val="24"/>
                <w:highlight w:val="none"/>
                <w:lang w:val="zh-CN" w:eastAsia="zh-CN" w:bidi="ar-SA"/>
              </w:rPr>
              <w:t>境保护措施</w:t>
            </w:r>
            <w:r>
              <w:rPr>
                <w:rFonts w:hint="eastAsia" w:asciiTheme="minorEastAsia" w:hAnsiTheme="minorEastAsia" w:eastAsiaTheme="minorEastAsia" w:cstheme="minorEastAsia"/>
                <w:color w:val="000000"/>
                <w:kern w:val="2"/>
                <w:sz w:val="24"/>
                <w:szCs w:val="24"/>
                <w:highlight w:val="none"/>
                <w:lang w:val="en-US" w:eastAsia="zh-CN" w:bidi="ar-SA"/>
              </w:rPr>
              <w:t>制定全面详细、贴合实际、完全满足项目需求，得2.0分；措施较为详细、可以满足项目需求，得1.0-1.9分；措施内容简单，但基本满足项目需求，得0.1-0.9分；不符合</w:t>
            </w:r>
            <w:r>
              <w:rPr>
                <w:rFonts w:hint="eastAsia" w:asciiTheme="minorEastAsia" w:hAnsiTheme="minorEastAsia" w:eastAsiaTheme="minorEastAsia" w:cstheme="minorEastAsia"/>
                <w:b w:val="0"/>
                <w:bCs w:val="0"/>
                <w:color w:val="000000"/>
                <w:kern w:val="2"/>
                <w:sz w:val="24"/>
                <w:szCs w:val="24"/>
                <w:highlight w:val="none"/>
                <w:lang w:val="en-US" w:eastAsia="zh-CN" w:bidi="ar-SA"/>
              </w:rPr>
              <w:t>项目实际情况或未提供得0分。</w:t>
            </w:r>
          </w:p>
        </w:tc>
        <w:tc>
          <w:tcPr>
            <w:tcW w:w="800" w:type="dxa"/>
            <w:tcBorders>
              <w:tl2br w:val="nil"/>
              <w:tr2bl w:val="nil"/>
            </w:tcBorders>
            <w:noWrap w:val="0"/>
            <w:vAlign w:val="center"/>
          </w:tcPr>
          <w:p w14:paraId="1C072D66">
            <w:pPr>
              <w:keepNext w:val="0"/>
              <w:keepLines w:val="0"/>
              <w:pageBreakBefore w:val="0"/>
              <w:widowControl/>
              <w:suppressLineNumbers w:val="0"/>
              <w:kinsoku/>
              <w:wordWrap/>
              <w:overflowPunct/>
              <w:topLinePunct w:val="0"/>
              <w:bidi w:val="0"/>
              <w:adjustRightInd w:val="0"/>
              <w:snapToGrid w:val="0"/>
              <w:spacing w:line="440" w:lineRule="exact"/>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主观</w:t>
            </w:r>
            <w:r>
              <w:rPr>
                <w:rFonts w:hint="eastAsia" w:asciiTheme="minorEastAsia" w:hAnsiTheme="minorEastAsia" w:eastAsiaTheme="minorEastAsia" w:cstheme="minorEastAsia"/>
                <w:b w:val="0"/>
                <w:bCs w:val="0"/>
                <w:color w:val="auto"/>
                <w:sz w:val="24"/>
                <w:szCs w:val="24"/>
                <w:highlight w:val="none"/>
                <w:lang w:val="en-US" w:eastAsia="zh-CN"/>
              </w:rPr>
              <w:t>分</w:t>
            </w:r>
          </w:p>
        </w:tc>
      </w:tr>
      <w:tr w14:paraId="7C8D7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82" w:type="dxa"/>
            <w:vMerge w:val="continue"/>
            <w:tcBorders>
              <w:tl2br w:val="nil"/>
              <w:tr2bl w:val="nil"/>
            </w:tcBorders>
            <w:noWrap w:val="0"/>
            <w:vAlign w:val="center"/>
          </w:tcPr>
          <w:p w14:paraId="202E6A5D">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rPr>
            </w:pPr>
          </w:p>
        </w:tc>
        <w:tc>
          <w:tcPr>
            <w:tcW w:w="733" w:type="dxa"/>
            <w:vMerge w:val="continue"/>
            <w:tcBorders>
              <w:tl2br w:val="nil"/>
              <w:tr2bl w:val="nil"/>
            </w:tcBorders>
            <w:noWrap/>
            <w:vAlign w:val="center"/>
          </w:tcPr>
          <w:p w14:paraId="38A2D33B">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tc>
        <w:tc>
          <w:tcPr>
            <w:tcW w:w="7850" w:type="dxa"/>
            <w:tcBorders>
              <w:tl2br w:val="nil"/>
              <w:tr2bl w:val="nil"/>
            </w:tcBorders>
            <w:noWrap w:val="0"/>
            <w:vAlign w:val="center"/>
          </w:tcPr>
          <w:p w14:paraId="26C25B19">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textAlignment w:val="auto"/>
              <w:outlineLvl w:val="9"/>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en-US" w:eastAsia="zh-CN"/>
              </w:rPr>
              <w:t>4.</w:t>
            </w:r>
            <w:r>
              <w:rPr>
                <w:rFonts w:hint="eastAsia" w:asciiTheme="minorEastAsia" w:hAnsiTheme="minorEastAsia" w:eastAsiaTheme="minorEastAsia" w:cstheme="minorEastAsia"/>
                <w:b/>
                <w:bCs/>
                <w:color w:val="000000"/>
                <w:sz w:val="24"/>
                <w:szCs w:val="24"/>
                <w:highlight w:val="none"/>
                <w:lang w:val="zh-CN" w:eastAsia="zh-CN"/>
              </w:rPr>
              <w:t>确保工期的技术组织措施（</w:t>
            </w:r>
            <w:r>
              <w:rPr>
                <w:rFonts w:hint="eastAsia" w:asciiTheme="minorEastAsia" w:hAnsiTheme="minorEastAsia" w:eastAsiaTheme="minorEastAsia" w:cstheme="minorEastAsia"/>
                <w:b/>
                <w:bCs/>
                <w:color w:val="000000"/>
                <w:sz w:val="24"/>
                <w:szCs w:val="24"/>
                <w:highlight w:val="none"/>
                <w:lang w:val="en-US" w:eastAsia="zh-CN"/>
              </w:rPr>
              <w:t>4分</w:t>
            </w:r>
            <w:r>
              <w:rPr>
                <w:rFonts w:hint="eastAsia" w:asciiTheme="minorEastAsia" w:hAnsiTheme="minorEastAsia" w:eastAsiaTheme="minorEastAsia" w:cstheme="minorEastAsia"/>
                <w:b/>
                <w:bCs/>
                <w:color w:val="000000"/>
                <w:sz w:val="24"/>
                <w:szCs w:val="24"/>
                <w:highlight w:val="none"/>
                <w:lang w:val="zh-CN" w:eastAsia="zh-CN"/>
              </w:rPr>
              <w:t>）</w:t>
            </w:r>
          </w:p>
          <w:p w14:paraId="45FC860F">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en-US" w:eastAsia="zh-CN"/>
              </w:rPr>
              <w:t>供应商</w:t>
            </w:r>
            <w:r>
              <w:rPr>
                <w:rFonts w:hint="eastAsia" w:asciiTheme="minorEastAsia" w:hAnsiTheme="minorEastAsia" w:eastAsiaTheme="minorEastAsia" w:cstheme="minorEastAsia"/>
                <w:b/>
                <w:bCs/>
                <w:color w:val="000000"/>
                <w:sz w:val="24"/>
                <w:szCs w:val="24"/>
                <w:highlight w:val="none"/>
                <w:lang w:val="zh-CN" w:eastAsia="zh-CN"/>
              </w:rPr>
              <w:t>针对本项目编制工期的技术组织措施。</w:t>
            </w:r>
          </w:p>
          <w:p w14:paraId="68514E4D">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赋分依据：</w:t>
            </w:r>
          </w:p>
          <w:p w14:paraId="0E356026">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heme="minorEastAsia" w:hAnsiTheme="minorEastAsia" w:eastAsiaTheme="minorEastAsia" w:cstheme="minorEastAsia"/>
                <w:b/>
                <w:bCs/>
                <w:color w:val="000000"/>
                <w:sz w:val="24"/>
                <w:szCs w:val="24"/>
                <w:highlight w:val="none"/>
                <w:lang w:val="zh-CN" w:eastAsia="zh-CN"/>
              </w:rPr>
              <w:t>①施工进度表或施工网络图</w:t>
            </w:r>
            <w:r>
              <w:rPr>
                <w:rFonts w:hint="eastAsia" w:asciiTheme="minorEastAsia" w:hAnsiTheme="minorEastAsia" w:eastAsiaTheme="minorEastAsia" w:cstheme="minorEastAsia"/>
                <w:b w:val="0"/>
                <w:bCs w:val="0"/>
                <w:color w:val="000000"/>
                <w:kern w:val="2"/>
                <w:sz w:val="24"/>
                <w:szCs w:val="24"/>
                <w:highlight w:val="none"/>
                <w:lang w:val="en-US" w:eastAsia="zh-CN" w:bidi="ar-SA"/>
              </w:rPr>
              <w:t>贴合项目实际、切实可行，完全满足项目需求，得2.0分；较为合理、可以满足项目需求，得1.0-1.9分；存在欠缺得0.1-0.9分；不符合项目实际情况或未提供得0分。</w:t>
            </w:r>
          </w:p>
          <w:p w14:paraId="13AD515C">
            <w:pPr>
              <w:keepNext w:val="0"/>
              <w:keepLines w:val="0"/>
              <w:pageBreakBefore w:val="0"/>
              <w:widowControl/>
              <w:suppressLineNumbers w:val="0"/>
              <w:kinsoku/>
              <w:wordWrap/>
              <w:overflowPunct/>
              <w:topLinePunct w:val="0"/>
              <w:bidi w:val="0"/>
              <w:adjustRightInd w:val="0"/>
              <w:snapToGrid w:val="0"/>
              <w:spacing w:line="440" w:lineRule="exact"/>
              <w:jc w:val="left"/>
              <w:rPr>
                <w:rFonts w:hint="eastAsia" w:asciiTheme="minorEastAsia" w:hAnsiTheme="minorEastAsia" w:eastAsiaTheme="minorEastAsia" w:cstheme="minorEastAsia"/>
                <w:color w:val="auto"/>
                <w:kern w:val="0"/>
                <w:sz w:val="24"/>
                <w:szCs w:val="24"/>
                <w:highlight w:val="none"/>
                <w:lang w:bidi="ar"/>
              </w:rPr>
            </w:pPr>
            <w:r>
              <w:rPr>
                <w:rFonts w:hint="eastAsia" w:asciiTheme="minorEastAsia" w:hAnsiTheme="minorEastAsia" w:eastAsiaTheme="minorEastAsia" w:cstheme="minorEastAsia"/>
                <w:b/>
                <w:bCs/>
                <w:color w:val="000000"/>
                <w:sz w:val="24"/>
                <w:szCs w:val="24"/>
                <w:highlight w:val="none"/>
                <w:lang w:val="zh-CN" w:eastAsia="zh-CN"/>
              </w:rPr>
              <w:t>②进度计划保证措施：</w:t>
            </w:r>
            <w:r>
              <w:rPr>
                <w:rFonts w:hint="eastAsia" w:asciiTheme="minorEastAsia" w:hAnsiTheme="minorEastAsia" w:eastAsiaTheme="minorEastAsia" w:cstheme="minorEastAsia"/>
                <w:b w:val="0"/>
                <w:bCs w:val="0"/>
                <w:color w:val="000000"/>
                <w:sz w:val="24"/>
                <w:szCs w:val="24"/>
                <w:highlight w:val="none"/>
                <w:lang w:val="zh-CN" w:eastAsia="zh-CN"/>
              </w:rPr>
              <w:t>进度计划保证措施</w:t>
            </w:r>
            <w:r>
              <w:rPr>
                <w:rFonts w:hint="eastAsia" w:asciiTheme="minorEastAsia" w:hAnsiTheme="minorEastAsia" w:eastAsiaTheme="minorEastAsia" w:cstheme="minorEastAsia"/>
                <w:b w:val="0"/>
                <w:bCs w:val="0"/>
                <w:color w:val="000000"/>
                <w:kern w:val="2"/>
                <w:sz w:val="24"/>
                <w:szCs w:val="24"/>
                <w:highlight w:val="none"/>
                <w:lang w:val="en-US" w:eastAsia="zh-CN" w:bidi="ar-SA"/>
              </w:rPr>
              <w:t>制定全面详细、贴合实际、完全满足项目需求，得2.0分；措施制定较为详细、可以满足项目需求，得1.0-1.9分；</w:t>
            </w:r>
            <w:r>
              <w:rPr>
                <w:rFonts w:hint="eastAsia" w:asciiTheme="minorEastAsia" w:hAnsiTheme="minorEastAsia" w:eastAsiaTheme="minorEastAsia" w:cstheme="minorEastAsia"/>
                <w:color w:val="000000"/>
                <w:kern w:val="2"/>
                <w:sz w:val="24"/>
                <w:szCs w:val="24"/>
                <w:highlight w:val="none"/>
                <w:lang w:val="en-US" w:eastAsia="zh-CN" w:bidi="ar-SA"/>
              </w:rPr>
              <w:t>措施内容简单，但基本满足项目需求，</w:t>
            </w:r>
            <w:r>
              <w:rPr>
                <w:rFonts w:hint="eastAsia" w:asciiTheme="minorEastAsia" w:hAnsiTheme="minorEastAsia" w:eastAsiaTheme="minorEastAsia" w:cstheme="minorEastAsia"/>
                <w:b w:val="0"/>
                <w:bCs w:val="0"/>
                <w:color w:val="000000"/>
                <w:kern w:val="2"/>
                <w:sz w:val="24"/>
                <w:szCs w:val="24"/>
                <w:highlight w:val="none"/>
                <w:lang w:val="en-US" w:eastAsia="zh-CN" w:bidi="ar-SA"/>
              </w:rPr>
              <w:t>得0.1-0.9分；不符合项目实际情况或未提供得0分。</w:t>
            </w:r>
          </w:p>
        </w:tc>
        <w:tc>
          <w:tcPr>
            <w:tcW w:w="800" w:type="dxa"/>
            <w:tcBorders>
              <w:tl2br w:val="nil"/>
              <w:tr2bl w:val="nil"/>
            </w:tcBorders>
            <w:noWrap w:val="0"/>
            <w:vAlign w:val="center"/>
          </w:tcPr>
          <w:p w14:paraId="5435D50E">
            <w:pPr>
              <w:keepNext w:val="0"/>
              <w:keepLines w:val="0"/>
              <w:pageBreakBefore w:val="0"/>
              <w:widowControl/>
              <w:suppressLineNumbers w:val="0"/>
              <w:kinsoku/>
              <w:wordWrap/>
              <w:overflowPunct/>
              <w:topLinePunct w:val="0"/>
              <w:bidi w:val="0"/>
              <w:adjustRightInd w:val="0"/>
              <w:snapToGrid w:val="0"/>
              <w:spacing w:line="440" w:lineRule="exact"/>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主观</w:t>
            </w:r>
            <w:r>
              <w:rPr>
                <w:rFonts w:hint="eastAsia" w:asciiTheme="minorEastAsia" w:hAnsiTheme="minorEastAsia" w:eastAsiaTheme="minorEastAsia" w:cstheme="minorEastAsia"/>
                <w:b w:val="0"/>
                <w:bCs w:val="0"/>
                <w:color w:val="auto"/>
                <w:sz w:val="24"/>
                <w:szCs w:val="24"/>
                <w:highlight w:val="none"/>
                <w:lang w:val="en-US" w:eastAsia="zh-CN"/>
              </w:rPr>
              <w:t>分</w:t>
            </w:r>
          </w:p>
        </w:tc>
      </w:tr>
      <w:tr w14:paraId="287A3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82" w:type="dxa"/>
            <w:vMerge w:val="continue"/>
            <w:tcBorders>
              <w:tl2br w:val="nil"/>
              <w:tr2bl w:val="nil"/>
            </w:tcBorders>
            <w:noWrap w:val="0"/>
            <w:vAlign w:val="center"/>
          </w:tcPr>
          <w:p w14:paraId="1974F738">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rPr>
            </w:pPr>
          </w:p>
        </w:tc>
        <w:tc>
          <w:tcPr>
            <w:tcW w:w="733" w:type="dxa"/>
            <w:vMerge w:val="continue"/>
            <w:tcBorders>
              <w:tl2br w:val="nil"/>
              <w:tr2bl w:val="nil"/>
            </w:tcBorders>
            <w:noWrap/>
            <w:vAlign w:val="center"/>
          </w:tcPr>
          <w:p w14:paraId="045650B8">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tc>
        <w:tc>
          <w:tcPr>
            <w:tcW w:w="7850" w:type="dxa"/>
            <w:tcBorders>
              <w:tl2br w:val="nil"/>
              <w:tr2bl w:val="nil"/>
            </w:tcBorders>
            <w:noWrap w:val="0"/>
            <w:vAlign w:val="center"/>
          </w:tcPr>
          <w:p w14:paraId="7CE8D386">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textAlignment w:val="auto"/>
              <w:outlineLvl w:val="9"/>
              <w:rPr>
                <w:rFonts w:hint="eastAsia" w:asciiTheme="minorEastAsia" w:hAnsiTheme="minorEastAsia" w:eastAsiaTheme="minorEastAsia" w:cstheme="minorEastAsia"/>
                <w:b/>
                <w:bCs/>
                <w:color w:val="000000"/>
                <w:sz w:val="24"/>
                <w:szCs w:val="24"/>
                <w:highlight w:val="none"/>
                <w:lang w:val="zh-CN" w:eastAsia="zh-CN"/>
              </w:rPr>
            </w:pPr>
            <w:r>
              <w:rPr>
                <w:rFonts w:hint="eastAsia" w:asciiTheme="minorEastAsia" w:hAnsiTheme="minorEastAsia" w:eastAsiaTheme="minorEastAsia" w:cstheme="minorEastAsia"/>
                <w:b/>
                <w:bCs/>
                <w:color w:val="000000"/>
                <w:sz w:val="24"/>
                <w:szCs w:val="24"/>
                <w:highlight w:val="none"/>
                <w:lang w:val="en-US" w:eastAsia="zh-CN"/>
              </w:rPr>
              <w:t>5.</w:t>
            </w:r>
            <w:r>
              <w:rPr>
                <w:rFonts w:hint="eastAsia" w:asciiTheme="minorEastAsia" w:hAnsiTheme="minorEastAsia" w:eastAsiaTheme="minorEastAsia" w:cstheme="minorEastAsia"/>
                <w:b/>
                <w:bCs/>
                <w:color w:val="000000"/>
                <w:sz w:val="24"/>
                <w:szCs w:val="24"/>
                <w:highlight w:val="none"/>
                <w:lang w:val="zh-CN" w:eastAsia="zh-CN"/>
              </w:rPr>
              <w:t>施工方案（</w:t>
            </w:r>
            <w:r>
              <w:rPr>
                <w:rFonts w:hint="eastAsia" w:asciiTheme="minorEastAsia" w:hAnsiTheme="minorEastAsia" w:eastAsiaTheme="minorEastAsia" w:cstheme="minorEastAsia"/>
                <w:b/>
                <w:bCs/>
                <w:color w:val="000000"/>
                <w:sz w:val="24"/>
                <w:szCs w:val="24"/>
                <w:highlight w:val="none"/>
                <w:lang w:val="en-US" w:eastAsia="zh-CN"/>
              </w:rPr>
              <w:t>6分</w:t>
            </w:r>
            <w:r>
              <w:rPr>
                <w:rFonts w:hint="eastAsia" w:asciiTheme="minorEastAsia" w:hAnsiTheme="minorEastAsia" w:eastAsiaTheme="minorEastAsia" w:cstheme="minorEastAsia"/>
                <w:b/>
                <w:bCs/>
                <w:color w:val="000000"/>
                <w:sz w:val="24"/>
                <w:szCs w:val="24"/>
                <w:highlight w:val="none"/>
                <w:lang w:val="zh-CN" w:eastAsia="zh-CN"/>
              </w:rPr>
              <w:t>）</w:t>
            </w:r>
          </w:p>
          <w:p w14:paraId="08BCFCE6">
            <w:pPr>
              <w:keepNext w:val="0"/>
              <w:keepLines w:val="0"/>
              <w:pageBreakBefore w:val="0"/>
              <w:widowControl w:val="0"/>
              <w:suppressLineNumbers w:val="0"/>
              <w:tabs>
                <w:tab w:val="left" w:pos="547"/>
              </w:tabs>
              <w:kinsoku/>
              <w:wordWrap/>
              <w:overflowPunct/>
              <w:topLinePunct w:val="0"/>
              <w:autoSpaceDE w:val="0"/>
              <w:autoSpaceDN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val="en-US" w:eastAsia="zh-CN"/>
              </w:rPr>
              <w:t>供应商</w:t>
            </w:r>
            <w:r>
              <w:rPr>
                <w:rFonts w:hint="eastAsia" w:asciiTheme="minorEastAsia" w:hAnsiTheme="minorEastAsia" w:eastAsiaTheme="minorEastAsia" w:cstheme="minorEastAsia"/>
                <w:b/>
                <w:bCs/>
                <w:color w:val="000000"/>
                <w:sz w:val="24"/>
                <w:szCs w:val="24"/>
                <w:highlight w:val="none"/>
              </w:rPr>
              <w:t>针对本项目编制完善的工程施工方案，内容包含：</w:t>
            </w:r>
          </w:p>
          <w:p w14:paraId="573639B5">
            <w:pPr>
              <w:keepNext w:val="0"/>
              <w:keepLines w:val="0"/>
              <w:pageBreakBefore w:val="0"/>
              <w:widowControl w:val="0"/>
              <w:suppressLineNumbers w:val="0"/>
              <w:shd w:val="clear"/>
              <w:tabs>
                <w:tab w:val="left" w:pos="547"/>
              </w:tabs>
              <w:kinsoku/>
              <w:wordWrap/>
              <w:overflowPunct/>
              <w:topLinePunct w:val="0"/>
              <w:autoSpaceDE w:val="0"/>
              <w:autoSpaceDN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①工程重难点及解决措施</w:t>
            </w:r>
            <w:r>
              <w:rPr>
                <w:rFonts w:hint="eastAsia" w:asciiTheme="minorEastAsia" w:hAnsiTheme="minorEastAsia" w:eastAsiaTheme="minorEastAsia" w:cstheme="minorEastAsia"/>
                <w:b/>
                <w:bCs/>
                <w:color w:val="000000"/>
                <w:sz w:val="24"/>
                <w:szCs w:val="24"/>
                <w:highlight w:val="none"/>
                <w:lang w:eastAsia="zh-CN"/>
              </w:rPr>
              <w:t>：</w:t>
            </w:r>
            <w:r>
              <w:rPr>
                <w:rFonts w:hint="eastAsia" w:asciiTheme="minorEastAsia" w:hAnsiTheme="minorEastAsia" w:eastAsiaTheme="minorEastAsia" w:cstheme="minorEastAsia"/>
                <w:b w:val="0"/>
                <w:bCs w:val="0"/>
                <w:color w:val="000000"/>
                <w:sz w:val="24"/>
                <w:szCs w:val="24"/>
                <w:highlight w:val="none"/>
              </w:rPr>
              <w:t>工程重难点及解决措施</w:t>
            </w:r>
            <w:r>
              <w:rPr>
                <w:rFonts w:hint="eastAsia" w:asciiTheme="minorEastAsia" w:hAnsiTheme="minorEastAsia" w:eastAsiaTheme="minorEastAsia" w:cstheme="minorEastAsia"/>
                <w:b w:val="0"/>
                <w:bCs w:val="0"/>
                <w:color w:val="000000"/>
                <w:kern w:val="2"/>
                <w:sz w:val="24"/>
                <w:szCs w:val="24"/>
                <w:highlight w:val="none"/>
                <w:lang w:val="en-US" w:eastAsia="zh-CN" w:bidi="ar-SA"/>
              </w:rPr>
              <w:t>科学合理、贴合实际、完全满足项目需求，得2.0分；措施较为合理、可以满足项目需求，得1.0-1.9分；</w:t>
            </w:r>
            <w:r>
              <w:rPr>
                <w:rFonts w:hint="eastAsia" w:asciiTheme="minorEastAsia" w:hAnsiTheme="minorEastAsia" w:eastAsiaTheme="minorEastAsia" w:cstheme="minorEastAsia"/>
                <w:color w:val="000000"/>
                <w:kern w:val="2"/>
                <w:sz w:val="24"/>
                <w:szCs w:val="24"/>
                <w:highlight w:val="none"/>
                <w:lang w:val="en-US" w:eastAsia="zh-CN" w:bidi="ar-SA"/>
              </w:rPr>
              <w:t>措施内容简单，但基本满足项目需求，</w:t>
            </w:r>
            <w:r>
              <w:rPr>
                <w:rFonts w:hint="eastAsia" w:asciiTheme="minorEastAsia" w:hAnsiTheme="minorEastAsia" w:eastAsiaTheme="minorEastAsia" w:cstheme="minorEastAsia"/>
                <w:b w:val="0"/>
                <w:bCs w:val="0"/>
                <w:color w:val="000000"/>
                <w:kern w:val="2"/>
                <w:sz w:val="24"/>
                <w:szCs w:val="24"/>
                <w:highlight w:val="none"/>
                <w:lang w:val="en-US" w:eastAsia="zh-CN" w:bidi="ar-SA"/>
              </w:rPr>
              <w:t>得0.1-0.9分；不符合项目实际情况或未提供得0分。</w:t>
            </w:r>
          </w:p>
          <w:p w14:paraId="464946A8">
            <w:pPr>
              <w:keepNext w:val="0"/>
              <w:keepLines w:val="0"/>
              <w:pageBreakBefore w:val="0"/>
              <w:widowControl w:val="0"/>
              <w:suppressLineNumbers w:val="0"/>
              <w:shd w:val="clear"/>
              <w:tabs>
                <w:tab w:val="left" w:pos="547"/>
              </w:tabs>
              <w:kinsoku/>
              <w:wordWrap/>
              <w:overflowPunct/>
              <w:topLinePunct w:val="0"/>
              <w:autoSpaceDE w:val="0"/>
              <w:autoSpaceDN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②分部分项工程施工</w:t>
            </w:r>
            <w:r>
              <w:rPr>
                <w:rFonts w:hint="eastAsia" w:asciiTheme="minorEastAsia" w:hAnsiTheme="minorEastAsia" w:eastAsiaTheme="minorEastAsia" w:cstheme="minorEastAsia"/>
                <w:b/>
                <w:bCs/>
                <w:color w:val="000000"/>
                <w:sz w:val="24"/>
                <w:szCs w:val="24"/>
                <w:highlight w:val="none"/>
                <w:lang w:val="en-US" w:eastAsia="zh-CN"/>
              </w:rPr>
              <w:t>方案</w:t>
            </w:r>
            <w:r>
              <w:rPr>
                <w:rFonts w:hint="eastAsia" w:asciiTheme="minorEastAsia" w:hAnsiTheme="minorEastAsia" w:eastAsiaTheme="minorEastAsia" w:cstheme="minorEastAsia"/>
                <w:b/>
                <w:bCs/>
                <w:color w:val="000000"/>
                <w:sz w:val="24"/>
                <w:szCs w:val="24"/>
                <w:highlight w:val="none"/>
                <w:lang w:eastAsia="zh-CN"/>
              </w:rPr>
              <w:t>：</w:t>
            </w:r>
            <w:r>
              <w:rPr>
                <w:rFonts w:hint="eastAsia" w:asciiTheme="minorEastAsia" w:hAnsiTheme="minorEastAsia" w:eastAsiaTheme="minorEastAsia" w:cstheme="minorEastAsia"/>
                <w:b w:val="0"/>
                <w:bCs w:val="0"/>
                <w:color w:val="000000"/>
                <w:sz w:val="24"/>
                <w:szCs w:val="24"/>
                <w:highlight w:val="none"/>
              </w:rPr>
              <w:t>分部分项工程施工</w:t>
            </w:r>
            <w:r>
              <w:rPr>
                <w:rFonts w:hint="eastAsia" w:asciiTheme="minorEastAsia" w:hAnsiTheme="minorEastAsia" w:eastAsiaTheme="minorEastAsia" w:cstheme="minorEastAsia"/>
                <w:b w:val="0"/>
                <w:bCs w:val="0"/>
                <w:color w:val="000000"/>
                <w:sz w:val="24"/>
                <w:szCs w:val="24"/>
                <w:highlight w:val="none"/>
                <w:lang w:val="en-US" w:eastAsia="zh-CN"/>
              </w:rPr>
              <w:t>方案内容详尽</w:t>
            </w:r>
            <w:r>
              <w:rPr>
                <w:rFonts w:hint="eastAsia" w:asciiTheme="minorEastAsia" w:hAnsiTheme="minorEastAsia" w:eastAsiaTheme="minorEastAsia" w:cstheme="minorEastAsia"/>
                <w:b w:val="0"/>
                <w:bCs w:val="0"/>
                <w:color w:val="000000"/>
                <w:kern w:val="2"/>
                <w:sz w:val="24"/>
                <w:szCs w:val="24"/>
                <w:highlight w:val="none"/>
                <w:lang w:val="en-US" w:eastAsia="zh-CN" w:bidi="ar-SA"/>
              </w:rPr>
              <w:t>、科学合理、能有效指导施工、完全满足项目需求，得2.0分；施工方案</w:t>
            </w:r>
            <w:r>
              <w:rPr>
                <w:rFonts w:hint="eastAsia" w:asciiTheme="minorEastAsia" w:hAnsiTheme="minorEastAsia" w:eastAsiaTheme="minorEastAsia" w:cstheme="minorEastAsia"/>
                <w:b w:val="0"/>
                <w:bCs w:val="0"/>
                <w:color w:val="000000"/>
                <w:sz w:val="24"/>
                <w:szCs w:val="24"/>
                <w:highlight w:val="none"/>
                <w:lang w:val="en-US" w:eastAsia="zh-CN"/>
              </w:rPr>
              <w:t>内容较为详细、</w:t>
            </w:r>
            <w:r>
              <w:rPr>
                <w:rFonts w:hint="eastAsia" w:asciiTheme="minorEastAsia" w:hAnsiTheme="minorEastAsia" w:eastAsiaTheme="minorEastAsia" w:cstheme="minorEastAsia"/>
                <w:b w:val="0"/>
                <w:bCs w:val="0"/>
                <w:color w:val="000000"/>
                <w:kern w:val="2"/>
                <w:sz w:val="24"/>
                <w:szCs w:val="24"/>
                <w:highlight w:val="none"/>
                <w:lang w:val="en-US" w:eastAsia="zh-CN" w:bidi="ar-SA"/>
              </w:rPr>
              <w:t>合理、可以满足项目需求，得1.0-1.9分；施工方案</w:t>
            </w:r>
            <w:r>
              <w:rPr>
                <w:rFonts w:hint="eastAsia" w:asciiTheme="minorEastAsia" w:hAnsiTheme="minorEastAsia" w:eastAsiaTheme="minorEastAsia" w:cstheme="minorEastAsia"/>
                <w:color w:val="000000"/>
                <w:kern w:val="2"/>
                <w:sz w:val="24"/>
                <w:szCs w:val="24"/>
                <w:highlight w:val="none"/>
                <w:lang w:val="en-US" w:eastAsia="zh-CN" w:bidi="ar-SA"/>
              </w:rPr>
              <w:t>内容简单，但基本满足项目需求，</w:t>
            </w:r>
            <w:r>
              <w:rPr>
                <w:rFonts w:hint="eastAsia" w:asciiTheme="minorEastAsia" w:hAnsiTheme="minorEastAsia" w:eastAsiaTheme="minorEastAsia" w:cstheme="minorEastAsia"/>
                <w:b w:val="0"/>
                <w:bCs w:val="0"/>
                <w:color w:val="000000"/>
                <w:kern w:val="2"/>
                <w:sz w:val="24"/>
                <w:szCs w:val="24"/>
                <w:highlight w:val="none"/>
                <w:lang w:val="en-US" w:eastAsia="zh-CN" w:bidi="ar-SA"/>
              </w:rPr>
              <w:t>得0.1-0.9分；不符合项目实际情况或未提供得0分。</w:t>
            </w:r>
          </w:p>
          <w:p w14:paraId="64CEFF3E">
            <w:pPr>
              <w:keepNext w:val="0"/>
              <w:keepLines w:val="0"/>
              <w:pageBreakBefore w:val="0"/>
              <w:widowControl w:val="0"/>
              <w:suppressLineNumbers w:val="0"/>
              <w:shd w:val="clear"/>
              <w:tabs>
                <w:tab w:val="left" w:pos="547"/>
              </w:tabs>
              <w:kinsoku/>
              <w:wordWrap/>
              <w:overflowPunct/>
              <w:topLinePunct w:val="0"/>
              <w:autoSpaceDE w:val="0"/>
              <w:autoSpaceDN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③施工质量通病防治措施</w:t>
            </w:r>
            <w:r>
              <w:rPr>
                <w:rFonts w:hint="eastAsia" w:asciiTheme="minorEastAsia" w:hAnsiTheme="minorEastAsia" w:eastAsiaTheme="minorEastAsia" w:cstheme="minorEastAsia"/>
                <w:b/>
                <w:bCs/>
                <w:color w:val="000000"/>
                <w:sz w:val="24"/>
                <w:szCs w:val="24"/>
                <w:highlight w:val="none"/>
                <w:lang w:eastAsia="zh-CN"/>
              </w:rPr>
              <w:t>：</w:t>
            </w:r>
          </w:p>
          <w:p w14:paraId="5BF4073B">
            <w:pPr>
              <w:keepNext w:val="0"/>
              <w:keepLines w:val="0"/>
              <w:pageBreakBefore w:val="0"/>
              <w:widowControl/>
              <w:suppressLineNumbers w:val="0"/>
              <w:kinsoku/>
              <w:wordWrap/>
              <w:overflowPunct/>
              <w:topLinePunct w:val="0"/>
              <w:bidi w:val="0"/>
              <w:adjustRightInd w:val="0"/>
              <w:snapToGrid w:val="0"/>
              <w:spacing w:line="440" w:lineRule="exact"/>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rPr>
              <w:t>施工质量通病防治措施</w:t>
            </w:r>
            <w:r>
              <w:rPr>
                <w:rFonts w:hint="eastAsia" w:asciiTheme="minorEastAsia" w:hAnsiTheme="minorEastAsia" w:eastAsiaTheme="minorEastAsia" w:cstheme="minorEastAsia"/>
                <w:b w:val="0"/>
                <w:bCs w:val="0"/>
                <w:color w:val="000000"/>
                <w:kern w:val="2"/>
                <w:sz w:val="24"/>
                <w:szCs w:val="24"/>
                <w:highlight w:val="none"/>
                <w:lang w:val="en-US" w:eastAsia="zh-CN" w:bidi="ar-SA"/>
              </w:rPr>
              <w:t>科学合理、贴合实际、完全满足项目需求，得2.0分；措施制定较为合理、可以满足项目需求，得1.0-1.9分；</w:t>
            </w:r>
            <w:r>
              <w:rPr>
                <w:rFonts w:hint="eastAsia" w:asciiTheme="minorEastAsia" w:hAnsiTheme="minorEastAsia" w:eastAsiaTheme="minorEastAsia" w:cstheme="minorEastAsia"/>
                <w:color w:val="000000"/>
                <w:kern w:val="2"/>
                <w:sz w:val="24"/>
                <w:szCs w:val="24"/>
                <w:highlight w:val="none"/>
                <w:lang w:val="en-US" w:eastAsia="zh-CN" w:bidi="ar-SA"/>
              </w:rPr>
              <w:t>措施内容简单，但基本满足项目需求，</w:t>
            </w:r>
            <w:r>
              <w:rPr>
                <w:rFonts w:hint="eastAsia" w:asciiTheme="minorEastAsia" w:hAnsiTheme="minorEastAsia" w:eastAsiaTheme="minorEastAsia" w:cstheme="minorEastAsia"/>
                <w:b w:val="0"/>
                <w:bCs w:val="0"/>
                <w:color w:val="000000"/>
                <w:kern w:val="2"/>
                <w:sz w:val="24"/>
                <w:szCs w:val="24"/>
                <w:highlight w:val="none"/>
                <w:lang w:val="en-US" w:eastAsia="zh-CN" w:bidi="ar-SA"/>
              </w:rPr>
              <w:t>得0.1-0.9分；不符合项目实际情况或未提供得0分。</w:t>
            </w:r>
          </w:p>
        </w:tc>
        <w:tc>
          <w:tcPr>
            <w:tcW w:w="800" w:type="dxa"/>
            <w:tcBorders>
              <w:tl2br w:val="nil"/>
              <w:tr2bl w:val="nil"/>
            </w:tcBorders>
            <w:noWrap w:val="0"/>
            <w:vAlign w:val="center"/>
          </w:tcPr>
          <w:p w14:paraId="0794AC33">
            <w:pPr>
              <w:keepNext w:val="0"/>
              <w:keepLines w:val="0"/>
              <w:pageBreakBefore w:val="0"/>
              <w:widowControl/>
              <w:suppressLineNumbers w:val="0"/>
              <w:kinsoku/>
              <w:wordWrap/>
              <w:overflowPunct/>
              <w:topLinePunct w:val="0"/>
              <w:bidi w:val="0"/>
              <w:adjustRightInd w:val="0"/>
              <w:snapToGrid w:val="0"/>
              <w:spacing w:line="440" w:lineRule="exact"/>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主观</w:t>
            </w:r>
            <w:r>
              <w:rPr>
                <w:rFonts w:hint="eastAsia" w:asciiTheme="minorEastAsia" w:hAnsiTheme="minorEastAsia" w:eastAsiaTheme="minorEastAsia" w:cstheme="minorEastAsia"/>
                <w:b w:val="0"/>
                <w:bCs w:val="0"/>
                <w:color w:val="auto"/>
                <w:sz w:val="24"/>
                <w:szCs w:val="24"/>
                <w:highlight w:val="none"/>
                <w:lang w:val="en-US" w:eastAsia="zh-CN"/>
              </w:rPr>
              <w:t>分</w:t>
            </w:r>
          </w:p>
        </w:tc>
      </w:tr>
      <w:tr w14:paraId="4F163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8" w:hRule="atLeast"/>
        </w:trPr>
        <w:tc>
          <w:tcPr>
            <w:tcW w:w="882" w:type="dxa"/>
            <w:vMerge w:val="continue"/>
            <w:tcBorders>
              <w:tl2br w:val="nil"/>
              <w:tr2bl w:val="nil"/>
            </w:tcBorders>
            <w:noWrap w:val="0"/>
            <w:vAlign w:val="center"/>
          </w:tcPr>
          <w:p w14:paraId="5E4A3158">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snapToGrid w:val="0"/>
                <w:color w:val="auto"/>
                <w:spacing w:val="-6"/>
                <w:kern w:val="0"/>
                <w:sz w:val="24"/>
                <w:szCs w:val="24"/>
                <w:highlight w:val="none"/>
              </w:rPr>
            </w:pPr>
          </w:p>
        </w:tc>
        <w:tc>
          <w:tcPr>
            <w:tcW w:w="733" w:type="dxa"/>
            <w:vMerge w:val="continue"/>
            <w:tcBorders>
              <w:tl2br w:val="nil"/>
              <w:tr2bl w:val="nil"/>
            </w:tcBorders>
            <w:noWrap/>
            <w:vAlign w:val="center"/>
          </w:tcPr>
          <w:p w14:paraId="4C9B0D4A">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tc>
        <w:tc>
          <w:tcPr>
            <w:tcW w:w="7850" w:type="dxa"/>
            <w:tcBorders>
              <w:tl2br w:val="nil"/>
              <w:tr2bl w:val="nil"/>
            </w:tcBorders>
            <w:noWrap w:val="0"/>
            <w:vAlign w:val="center"/>
          </w:tcPr>
          <w:p w14:paraId="2165BB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rightChars="0"/>
              <w:textAlignment w:val="auto"/>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val="en-US" w:eastAsia="zh-CN"/>
              </w:rPr>
              <w:t>6.</w:t>
            </w:r>
            <w:r>
              <w:rPr>
                <w:rFonts w:hint="eastAsia" w:asciiTheme="minorEastAsia" w:hAnsiTheme="minorEastAsia" w:eastAsiaTheme="minorEastAsia" w:cstheme="minorEastAsia"/>
                <w:b/>
                <w:bCs/>
                <w:color w:val="000000"/>
                <w:sz w:val="24"/>
                <w:szCs w:val="24"/>
                <w:highlight w:val="none"/>
                <w:lang w:val="zh-CN" w:eastAsia="zh-CN"/>
              </w:rPr>
              <w:t>施工机械设备配备计划和劳动力安排计划（</w:t>
            </w:r>
            <w:r>
              <w:rPr>
                <w:rFonts w:hint="eastAsia" w:asciiTheme="minorEastAsia" w:hAnsiTheme="minorEastAsia" w:eastAsiaTheme="minorEastAsia" w:cstheme="minorEastAsia"/>
                <w:b/>
                <w:bCs/>
                <w:color w:val="000000"/>
                <w:sz w:val="24"/>
                <w:szCs w:val="24"/>
                <w:highlight w:val="none"/>
                <w:lang w:val="en-US" w:eastAsia="zh-CN"/>
              </w:rPr>
              <w:t>4分</w:t>
            </w:r>
            <w:r>
              <w:rPr>
                <w:rFonts w:hint="eastAsia" w:asciiTheme="minorEastAsia" w:hAnsiTheme="minorEastAsia" w:eastAsiaTheme="minorEastAsia" w:cstheme="minorEastAsia"/>
                <w:b/>
                <w:bCs/>
                <w:color w:val="000000"/>
                <w:sz w:val="24"/>
                <w:szCs w:val="24"/>
                <w:highlight w:val="none"/>
                <w:lang w:val="zh-CN" w:eastAsia="zh-CN"/>
              </w:rPr>
              <w:t>）</w:t>
            </w:r>
          </w:p>
          <w:p w14:paraId="68D2ACD8">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zh-CN" w:eastAsia="zh-CN"/>
              </w:rPr>
              <w:t>供应商针对本项目编制施工机械设备配备计划和劳动力安排计划。</w:t>
            </w:r>
          </w:p>
          <w:p w14:paraId="14D45C94">
            <w:pPr>
              <w:keepNext w:val="0"/>
              <w:keepLines w:val="0"/>
              <w:pageBreakBefore w:val="0"/>
              <w:widowControl w:val="0"/>
              <w:suppressLineNumbers w:val="0"/>
              <w:tabs>
                <w:tab w:val="left" w:pos="547"/>
              </w:tabs>
              <w:kinsoku/>
              <w:wordWrap/>
              <w:overflowPunct/>
              <w:topLinePunct w:val="0"/>
              <w:autoSpaceDE w:val="0"/>
              <w:autoSpaceDN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①</w:t>
            </w:r>
            <w:r>
              <w:rPr>
                <w:rFonts w:hint="eastAsia" w:asciiTheme="minorEastAsia" w:hAnsiTheme="minorEastAsia" w:eastAsiaTheme="minorEastAsia" w:cstheme="minorEastAsia"/>
                <w:b/>
                <w:bCs/>
                <w:color w:val="000000"/>
                <w:sz w:val="24"/>
                <w:szCs w:val="24"/>
                <w:highlight w:val="none"/>
                <w:lang w:val="zh-CN" w:eastAsia="zh-CN"/>
              </w:rPr>
              <w:t>施工机械设备配备计划</w:t>
            </w:r>
            <w:r>
              <w:rPr>
                <w:rFonts w:hint="eastAsia" w:asciiTheme="minorEastAsia" w:hAnsiTheme="minorEastAsia" w:eastAsiaTheme="minorEastAsia" w:cstheme="minorEastAsia"/>
                <w:b/>
                <w:bCs/>
                <w:color w:val="000000"/>
                <w:sz w:val="24"/>
                <w:szCs w:val="24"/>
                <w:highlight w:val="none"/>
                <w:lang w:val="en-US" w:eastAsia="zh-CN"/>
              </w:rPr>
              <w:t>:</w:t>
            </w:r>
            <w:r>
              <w:rPr>
                <w:rFonts w:hint="eastAsia" w:asciiTheme="minorEastAsia" w:hAnsiTheme="minorEastAsia" w:eastAsiaTheme="minorEastAsia" w:cstheme="minorEastAsia"/>
                <w:b w:val="0"/>
                <w:bCs w:val="0"/>
                <w:color w:val="000000"/>
                <w:sz w:val="24"/>
                <w:szCs w:val="24"/>
                <w:highlight w:val="none"/>
                <w:lang w:val="en-US" w:eastAsia="zh-CN"/>
              </w:rPr>
              <w:t>计划科学合理，切实可行、</w:t>
            </w:r>
            <w:r>
              <w:rPr>
                <w:rFonts w:hint="eastAsia" w:asciiTheme="minorEastAsia" w:hAnsiTheme="minorEastAsia" w:eastAsiaTheme="minorEastAsia" w:cstheme="minorEastAsia"/>
                <w:b w:val="0"/>
                <w:bCs w:val="0"/>
                <w:color w:val="000000"/>
                <w:kern w:val="2"/>
                <w:sz w:val="24"/>
                <w:szCs w:val="24"/>
                <w:highlight w:val="none"/>
                <w:lang w:val="en-US" w:eastAsia="zh-CN" w:bidi="ar-SA"/>
              </w:rPr>
              <w:t>完全满足项目需求，得2.0分；计划较为合理、可以满足项目需求，得1.0-1.9分；计划</w:t>
            </w:r>
            <w:r>
              <w:rPr>
                <w:rFonts w:hint="eastAsia" w:asciiTheme="minorEastAsia" w:hAnsiTheme="minorEastAsia" w:eastAsiaTheme="minorEastAsia" w:cstheme="minorEastAsia"/>
                <w:color w:val="000000"/>
                <w:kern w:val="2"/>
                <w:sz w:val="24"/>
                <w:szCs w:val="24"/>
                <w:highlight w:val="none"/>
                <w:lang w:val="en-US" w:eastAsia="zh-CN" w:bidi="ar-SA"/>
              </w:rPr>
              <w:t>内容简单，但基本满足项目需求，得0.1-0.9分</w:t>
            </w:r>
            <w:r>
              <w:rPr>
                <w:rFonts w:hint="eastAsia" w:asciiTheme="minorEastAsia" w:hAnsiTheme="minorEastAsia" w:eastAsiaTheme="minorEastAsia" w:cstheme="minorEastAsia"/>
                <w:b w:val="0"/>
                <w:bCs w:val="0"/>
                <w:color w:val="000000"/>
                <w:kern w:val="2"/>
                <w:sz w:val="24"/>
                <w:szCs w:val="24"/>
                <w:highlight w:val="none"/>
                <w:lang w:val="en-US" w:eastAsia="zh-CN" w:bidi="ar-SA"/>
              </w:rPr>
              <w:t>；不符合项目实际情况或未提供得0分。</w:t>
            </w:r>
            <w:r>
              <w:rPr>
                <w:rFonts w:hint="eastAsia" w:asciiTheme="minorEastAsia" w:hAnsiTheme="minorEastAsia" w:eastAsiaTheme="minorEastAsia" w:cstheme="minorEastAsia"/>
                <w:b w:val="0"/>
                <w:bCs w:val="0"/>
                <w:color w:val="000000"/>
                <w:sz w:val="24"/>
                <w:szCs w:val="24"/>
                <w:highlight w:val="none"/>
                <w:lang w:val="zh-CN" w:eastAsia="zh-CN"/>
              </w:rPr>
              <w:br w:type="textWrapping"/>
            </w:r>
            <w:r>
              <w:rPr>
                <w:rFonts w:hint="eastAsia" w:asciiTheme="minorEastAsia" w:hAnsiTheme="minorEastAsia" w:eastAsiaTheme="minorEastAsia" w:cstheme="minorEastAsia"/>
                <w:b/>
                <w:bCs/>
                <w:color w:val="000000"/>
                <w:sz w:val="24"/>
                <w:szCs w:val="24"/>
                <w:highlight w:val="none"/>
                <w:lang w:val="en-US" w:eastAsia="zh-CN"/>
              </w:rPr>
              <w:t>②</w:t>
            </w:r>
            <w:r>
              <w:rPr>
                <w:rFonts w:hint="eastAsia" w:asciiTheme="minorEastAsia" w:hAnsiTheme="minorEastAsia" w:eastAsiaTheme="minorEastAsia" w:cstheme="minorEastAsia"/>
                <w:b/>
                <w:bCs/>
                <w:color w:val="000000"/>
                <w:sz w:val="24"/>
                <w:szCs w:val="24"/>
                <w:highlight w:val="none"/>
                <w:lang w:val="zh-CN" w:eastAsia="zh-CN"/>
              </w:rPr>
              <w:t>劳动力安排计划</w:t>
            </w:r>
            <w:r>
              <w:rPr>
                <w:rFonts w:hint="eastAsia" w:asciiTheme="minorEastAsia" w:hAnsiTheme="minorEastAsia" w:eastAsiaTheme="minorEastAsia" w:cstheme="minorEastAsia"/>
                <w:b/>
                <w:bCs/>
                <w:color w:val="000000"/>
                <w:sz w:val="24"/>
                <w:szCs w:val="24"/>
                <w:highlight w:val="none"/>
                <w:lang w:val="en-US" w:eastAsia="zh-CN"/>
              </w:rPr>
              <w:t>:</w:t>
            </w:r>
          </w:p>
          <w:p w14:paraId="56C6C828">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劳动力安排计划科学合理，切实可行、</w:t>
            </w:r>
            <w:r>
              <w:rPr>
                <w:rFonts w:hint="eastAsia" w:asciiTheme="minorEastAsia" w:hAnsiTheme="minorEastAsia" w:eastAsiaTheme="minorEastAsia" w:cstheme="minorEastAsia"/>
                <w:b w:val="0"/>
                <w:bCs w:val="0"/>
                <w:color w:val="000000"/>
                <w:kern w:val="2"/>
                <w:sz w:val="24"/>
                <w:szCs w:val="24"/>
                <w:highlight w:val="none"/>
                <w:lang w:val="en-US" w:eastAsia="zh-CN" w:bidi="ar-SA"/>
              </w:rPr>
              <w:t>完全满足项目需求，得2.0分；计划较为合理、可以满足项目需求，得1.0-1.9分；计划内</w:t>
            </w:r>
            <w:r>
              <w:rPr>
                <w:rFonts w:hint="eastAsia" w:asciiTheme="minorEastAsia" w:hAnsiTheme="minorEastAsia" w:eastAsiaTheme="minorEastAsia" w:cstheme="minorEastAsia"/>
                <w:color w:val="000000"/>
                <w:kern w:val="2"/>
                <w:sz w:val="24"/>
                <w:szCs w:val="24"/>
                <w:highlight w:val="none"/>
                <w:lang w:val="en-US" w:eastAsia="zh-CN" w:bidi="ar-SA"/>
              </w:rPr>
              <w:t>容简单，但基本满足项目需求，得0.1-0.9分</w:t>
            </w:r>
            <w:r>
              <w:rPr>
                <w:rFonts w:hint="eastAsia" w:asciiTheme="minorEastAsia" w:hAnsiTheme="minorEastAsia" w:eastAsiaTheme="minorEastAsia" w:cstheme="minorEastAsia"/>
                <w:b w:val="0"/>
                <w:bCs w:val="0"/>
                <w:color w:val="000000"/>
                <w:kern w:val="2"/>
                <w:sz w:val="24"/>
                <w:szCs w:val="24"/>
                <w:highlight w:val="none"/>
                <w:lang w:val="en-US" w:eastAsia="zh-CN" w:bidi="ar-SA"/>
              </w:rPr>
              <w:t>；不符合项目实际情况或未提供得0分。</w:t>
            </w:r>
          </w:p>
        </w:tc>
        <w:tc>
          <w:tcPr>
            <w:tcW w:w="800" w:type="dxa"/>
            <w:tcBorders>
              <w:tl2br w:val="nil"/>
              <w:tr2bl w:val="nil"/>
            </w:tcBorders>
            <w:noWrap w:val="0"/>
            <w:vAlign w:val="center"/>
          </w:tcPr>
          <w:p w14:paraId="52735D08">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主观</w:t>
            </w:r>
            <w:r>
              <w:rPr>
                <w:rFonts w:hint="eastAsia" w:asciiTheme="minorEastAsia" w:hAnsiTheme="minorEastAsia" w:eastAsiaTheme="minorEastAsia" w:cstheme="minorEastAsia"/>
                <w:b w:val="0"/>
                <w:bCs w:val="0"/>
                <w:color w:val="auto"/>
                <w:sz w:val="24"/>
                <w:szCs w:val="24"/>
                <w:highlight w:val="none"/>
                <w:lang w:val="en-US" w:eastAsia="zh-CN"/>
              </w:rPr>
              <w:t>分</w:t>
            </w:r>
          </w:p>
        </w:tc>
      </w:tr>
      <w:tr w14:paraId="1EB6B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8" w:hRule="atLeast"/>
        </w:trPr>
        <w:tc>
          <w:tcPr>
            <w:tcW w:w="882" w:type="dxa"/>
            <w:vMerge w:val="continue"/>
            <w:tcBorders>
              <w:tl2br w:val="nil"/>
              <w:tr2bl w:val="nil"/>
            </w:tcBorders>
            <w:noWrap w:val="0"/>
            <w:vAlign w:val="center"/>
          </w:tcPr>
          <w:p w14:paraId="74924C38">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rPr>
            </w:pPr>
          </w:p>
        </w:tc>
        <w:tc>
          <w:tcPr>
            <w:tcW w:w="733" w:type="dxa"/>
            <w:vMerge w:val="continue"/>
            <w:tcBorders>
              <w:tl2br w:val="nil"/>
              <w:tr2bl w:val="nil"/>
            </w:tcBorders>
            <w:noWrap/>
            <w:vAlign w:val="center"/>
          </w:tcPr>
          <w:p w14:paraId="04A51100">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rPr>
            </w:pPr>
          </w:p>
        </w:tc>
        <w:tc>
          <w:tcPr>
            <w:tcW w:w="7850" w:type="dxa"/>
            <w:tcBorders>
              <w:tl2br w:val="nil"/>
              <w:tr2bl w:val="nil"/>
            </w:tcBorders>
            <w:noWrap w:val="0"/>
            <w:vAlign w:val="top"/>
          </w:tcPr>
          <w:p w14:paraId="0575FEBE">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440" w:lineRule="exact"/>
              <w:ind w:left="0" w:leftChars="0" w:right="0" w:rightChars="0"/>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7.项目组人员配备（12分）</w:t>
            </w:r>
          </w:p>
          <w:p w14:paraId="06B5A723">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both"/>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7.1技术负责人（5分） </w:t>
            </w:r>
          </w:p>
          <w:p w14:paraId="41D20F03">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both"/>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技术负责人具有建筑工程类中级及以上技术职称得5分，其余不得分；</w:t>
            </w:r>
          </w:p>
          <w:p w14:paraId="15B4967B">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both"/>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（提供有效的技术职称复印件并加盖供应商公章，未提供者不得分）</w:t>
            </w:r>
            <w:r>
              <w:rPr>
                <w:rFonts w:hint="eastAsia" w:asciiTheme="minorEastAsia" w:hAnsiTheme="minorEastAsia" w:eastAsiaTheme="minorEastAsia" w:cstheme="minorEastAsia"/>
                <w:b w:val="0"/>
                <w:bCs w:val="0"/>
                <w:color w:val="auto"/>
                <w:sz w:val="24"/>
                <w:szCs w:val="24"/>
                <w:highlight w:val="none"/>
                <w:lang w:eastAsia="zh-CN"/>
              </w:rPr>
              <w:t>。</w:t>
            </w:r>
          </w:p>
          <w:p w14:paraId="2429C2C0">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both"/>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7.2项目部组成（5分）</w:t>
            </w:r>
          </w:p>
          <w:p w14:paraId="70AFE9C4">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both"/>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人员配备齐全，除项目经理及技术负责人外，提供</w:t>
            </w:r>
            <w:r>
              <w:rPr>
                <w:rFonts w:hint="eastAsia" w:asciiTheme="minorEastAsia" w:hAnsiTheme="minorEastAsia" w:eastAsiaTheme="minorEastAsia" w:cstheme="minorEastAsia"/>
                <w:b w:val="0"/>
                <w:bCs w:val="0"/>
                <w:color w:val="auto"/>
                <w:sz w:val="24"/>
                <w:szCs w:val="24"/>
                <w:highlight w:val="none"/>
              </w:rPr>
              <w:t>施工员、</w:t>
            </w:r>
            <w:r>
              <w:rPr>
                <w:rFonts w:hint="eastAsia" w:asciiTheme="minorEastAsia" w:hAnsiTheme="minorEastAsia" w:eastAsiaTheme="minorEastAsia" w:cstheme="minorEastAsia"/>
                <w:b w:val="0"/>
                <w:bCs w:val="0"/>
                <w:color w:val="auto"/>
                <w:sz w:val="24"/>
                <w:szCs w:val="24"/>
                <w:highlight w:val="none"/>
                <w:lang w:eastAsia="zh-CN"/>
              </w:rPr>
              <w:t>质量</w:t>
            </w:r>
            <w:r>
              <w:rPr>
                <w:rFonts w:hint="eastAsia" w:asciiTheme="minorEastAsia" w:hAnsiTheme="minorEastAsia" w:eastAsiaTheme="minorEastAsia" w:cstheme="minorEastAsia"/>
                <w:b w:val="0"/>
                <w:bCs w:val="0"/>
                <w:color w:val="auto"/>
                <w:sz w:val="24"/>
                <w:szCs w:val="24"/>
                <w:highlight w:val="none"/>
              </w:rPr>
              <w:t>员、安全员、材料员、资料员</w:t>
            </w:r>
            <w:r>
              <w:rPr>
                <w:rFonts w:hint="eastAsia" w:asciiTheme="minorEastAsia" w:hAnsiTheme="minorEastAsia" w:eastAsiaTheme="minorEastAsia" w:cstheme="minorEastAsia"/>
                <w:b w:val="0"/>
                <w:bCs w:val="0"/>
                <w:color w:val="auto"/>
                <w:sz w:val="24"/>
                <w:szCs w:val="24"/>
                <w:highlight w:val="none"/>
                <w:lang w:eastAsia="zh-CN"/>
              </w:rPr>
              <w:t>的执业培训合格证</w:t>
            </w:r>
            <w:r>
              <w:rPr>
                <w:rFonts w:hint="eastAsia" w:asciiTheme="minorEastAsia" w:hAnsiTheme="minorEastAsia" w:eastAsiaTheme="minorEastAsia" w:cstheme="minorEastAsia"/>
                <w:b w:val="0"/>
                <w:bCs w:val="0"/>
                <w:color w:val="auto"/>
                <w:sz w:val="24"/>
                <w:szCs w:val="24"/>
                <w:highlight w:val="none"/>
                <w:lang w:val="en-US" w:eastAsia="zh-CN"/>
              </w:rPr>
              <w:t>；（安全员提供安全生产考核C3证）</w:t>
            </w:r>
          </w:p>
          <w:p w14:paraId="7B99C1F1">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both"/>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需提供相应执业培训合格证，每提供1份得1分，</w:t>
            </w:r>
            <w:r>
              <w:rPr>
                <w:rFonts w:hint="eastAsia" w:asciiTheme="minorEastAsia" w:hAnsiTheme="minorEastAsia" w:eastAsiaTheme="minorEastAsia" w:cstheme="minorEastAsia"/>
                <w:color w:val="000000"/>
                <w:kern w:val="0"/>
                <w:sz w:val="24"/>
                <w:szCs w:val="24"/>
                <w:lang w:val="en-US" w:eastAsia="zh-CN" w:bidi="ar"/>
              </w:rPr>
              <w:t>此项满分5分</w:t>
            </w:r>
            <w:r>
              <w:rPr>
                <w:rFonts w:hint="eastAsia" w:asciiTheme="minorEastAsia" w:hAnsiTheme="minorEastAsia" w:eastAsiaTheme="minorEastAsia" w:cstheme="minorEastAsia"/>
                <w:b w:val="0"/>
                <w:bCs w:val="0"/>
                <w:color w:val="auto"/>
                <w:sz w:val="24"/>
                <w:szCs w:val="24"/>
                <w:highlight w:val="none"/>
                <w:lang w:val="en-US" w:eastAsia="zh-CN"/>
              </w:rPr>
              <w:t>。</w:t>
            </w:r>
          </w:p>
          <w:p w14:paraId="6388B410">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rightChars="0"/>
              <w:jc w:val="both"/>
              <w:textAlignment w:val="auto"/>
              <w:outlineLvl w:val="9"/>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（提供有效</w:t>
            </w:r>
            <w:r>
              <w:rPr>
                <w:rFonts w:hint="eastAsia" w:asciiTheme="minorEastAsia" w:hAnsiTheme="minorEastAsia" w:eastAsiaTheme="minorEastAsia" w:cstheme="minorEastAsia"/>
                <w:b w:val="0"/>
                <w:bCs w:val="0"/>
                <w:color w:val="auto"/>
                <w:sz w:val="24"/>
                <w:szCs w:val="24"/>
                <w:highlight w:val="none"/>
                <w:lang w:val="en-US" w:eastAsia="zh-CN"/>
              </w:rPr>
              <w:t>证书</w:t>
            </w:r>
            <w:r>
              <w:rPr>
                <w:rFonts w:hint="eastAsia" w:asciiTheme="minorEastAsia" w:hAnsiTheme="minorEastAsia" w:eastAsiaTheme="minorEastAsia" w:cstheme="minorEastAsia"/>
                <w:b w:val="0"/>
                <w:bCs w:val="0"/>
                <w:color w:val="auto"/>
                <w:sz w:val="24"/>
                <w:szCs w:val="24"/>
                <w:highlight w:val="none"/>
              </w:rPr>
              <w:t>复印件并加盖供应商公章，未提供者不得分）；</w:t>
            </w:r>
          </w:p>
          <w:p w14:paraId="0B709C89">
            <w:pPr>
              <w:keepNext w:val="0"/>
              <w:keepLines w:val="0"/>
              <w:pageBreakBefore w:val="0"/>
              <w:widowControl/>
              <w:suppressLineNumbers w:val="0"/>
              <w:kinsoku/>
              <w:wordWrap/>
              <w:overflowPunct/>
              <w:topLinePunct w:val="0"/>
              <w:bidi w:val="0"/>
              <w:adjustRightInd w:val="0"/>
              <w:snapToGrid w:val="0"/>
              <w:spacing w:line="440" w:lineRule="exact"/>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7</w:t>
            </w:r>
            <w:r>
              <w:rPr>
                <w:rFonts w:hint="eastAsia" w:asciiTheme="minorEastAsia" w:hAnsiTheme="minorEastAsia" w:eastAsiaTheme="minorEastAsia" w:cstheme="minorEastAsia"/>
                <w:b/>
                <w:bCs/>
                <w:color w:val="000000"/>
                <w:kern w:val="0"/>
                <w:sz w:val="24"/>
                <w:szCs w:val="24"/>
                <w:lang w:val="en-US" w:eastAsia="zh-CN" w:bidi="ar"/>
              </w:rPr>
              <w:t>.3项目经理业绩（2分）</w:t>
            </w:r>
          </w:p>
          <w:p w14:paraId="0B83FA90">
            <w:pPr>
              <w:keepNext w:val="0"/>
              <w:keepLines w:val="0"/>
              <w:pageBreakBefore w:val="0"/>
              <w:widowControl/>
              <w:suppressLineNumbers w:val="0"/>
              <w:kinsoku/>
              <w:wordWrap/>
              <w:overflowPunct/>
              <w:topLinePunct w:val="0"/>
              <w:bidi w:val="0"/>
              <w:adjustRightInd w:val="0"/>
              <w:snapToGrid w:val="0"/>
              <w:spacing w:line="440" w:lineRule="exact"/>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000000"/>
                <w:kern w:val="0"/>
                <w:sz w:val="24"/>
                <w:szCs w:val="24"/>
                <w:lang w:val="en-US" w:eastAsia="zh-CN" w:bidi="ar"/>
              </w:rPr>
              <w:t>项目经理自2023 年9月 1 日至今（时间以合同签订时间为准）的同类业绩合同，每提供 1 项得1分，最多得2分。（合同须体现项目经理姓名，项目经理业绩可与企业业绩可重复计分）。</w:t>
            </w:r>
          </w:p>
        </w:tc>
        <w:tc>
          <w:tcPr>
            <w:tcW w:w="800" w:type="dxa"/>
            <w:tcBorders>
              <w:tl2br w:val="nil"/>
              <w:tr2bl w:val="nil"/>
            </w:tcBorders>
            <w:noWrap w:val="0"/>
            <w:vAlign w:val="top"/>
          </w:tcPr>
          <w:p w14:paraId="4A40D7A0">
            <w:pPr>
              <w:keepNext w:val="0"/>
              <w:keepLines w:val="0"/>
              <w:pageBreakBefore w:val="0"/>
              <w:widowControl/>
              <w:suppressLineNumbers w:val="0"/>
              <w:kinsoku/>
              <w:wordWrap/>
              <w:overflowPunct/>
              <w:topLinePunct w:val="0"/>
              <w:bidi w:val="0"/>
              <w:adjustRightInd w:val="0"/>
              <w:snapToGrid w:val="0"/>
              <w:spacing w:line="440" w:lineRule="exact"/>
              <w:jc w:val="center"/>
              <w:rPr>
                <w:rFonts w:hint="eastAsia" w:asciiTheme="minorEastAsia" w:hAnsiTheme="minorEastAsia" w:eastAsiaTheme="minorEastAsia" w:cstheme="minorEastAsia"/>
                <w:b w:val="0"/>
                <w:bCs w:val="0"/>
                <w:color w:val="000000"/>
                <w:kern w:val="0"/>
                <w:sz w:val="24"/>
                <w:szCs w:val="24"/>
                <w:lang w:val="en-US" w:eastAsia="zh-CN" w:bidi="ar"/>
              </w:rPr>
            </w:pPr>
            <w:r>
              <w:rPr>
                <w:rFonts w:hint="eastAsia" w:asciiTheme="minorEastAsia" w:hAnsiTheme="minorEastAsia" w:eastAsiaTheme="minorEastAsia" w:cstheme="minorEastAsia"/>
                <w:b w:val="0"/>
                <w:bCs w:val="0"/>
                <w:color w:val="000000"/>
                <w:kern w:val="0"/>
                <w:sz w:val="24"/>
                <w:szCs w:val="24"/>
                <w:lang w:val="en-US" w:eastAsia="zh-CN" w:bidi="ar"/>
              </w:rPr>
              <w:t>客观</w:t>
            </w:r>
            <w:r>
              <w:rPr>
                <w:rFonts w:hint="eastAsia" w:asciiTheme="minorEastAsia" w:hAnsiTheme="minorEastAsia" w:eastAsiaTheme="minorEastAsia" w:cstheme="minorEastAsia"/>
                <w:b w:val="0"/>
                <w:bCs w:val="0"/>
                <w:color w:val="auto"/>
                <w:sz w:val="24"/>
                <w:szCs w:val="24"/>
                <w:highlight w:val="none"/>
                <w:lang w:val="en-US" w:eastAsia="zh-CN"/>
              </w:rPr>
              <w:t>分</w:t>
            </w:r>
          </w:p>
        </w:tc>
      </w:tr>
      <w:tr w14:paraId="18BF0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2" w:hRule="atLeast"/>
        </w:trPr>
        <w:tc>
          <w:tcPr>
            <w:tcW w:w="882" w:type="dxa"/>
            <w:vMerge w:val="continue"/>
            <w:tcBorders>
              <w:tl2br w:val="nil"/>
              <w:tr2bl w:val="nil"/>
            </w:tcBorders>
            <w:noWrap w:val="0"/>
            <w:vAlign w:val="center"/>
          </w:tcPr>
          <w:p w14:paraId="79149C10">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rPr>
            </w:pPr>
          </w:p>
        </w:tc>
        <w:tc>
          <w:tcPr>
            <w:tcW w:w="733" w:type="dxa"/>
            <w:vMerge w:val="continue"/>
            <w:tcBorders>
              <w:tl2br w:val="nil"/>
              <w:tr2bl w:val="nil"/>
            </w:tcBorders>
            <w:noWrap/>
            <w:vAlign w:val="center"/>
          </w:tcPr>
          <w:p w14:paraId="6ABD4302">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tc>
        <w:tc>
          <w:tcPr>
            <w:tcW w:w="7850" w:type="dxa"/>
            <w:tcBorders>
              <w:tl2br w:val="nil"/>
              <w:tr2bl w:val="nil"/>
            </w:tcBorders>
            <w:noWrap w:val="0"/>
            <w:vAlign w:val="top"/>
          </w:tcPr>
          <w:p w14:paraId="393F8EF1">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8.</w:t>
            </w:r>
            <w:r>
              <w:rPr>
                <w:rFonts w:hint="eastAsia" w:asciiTheme="minorEastAsia" w:hAnsiTheme="minorEastAsia" w:eastAsiaTheme="minorEastAsia" w:cstheme="minorEastAsia"/>
                <w:b/>
                <w:bCs/>
                <w:color w:val="auto"/>
                <w:kern w:val="0"/>
                <w:sz w:val="24"/>
                <w:szCs w:val="24"/>
                <w:highlight w:val="none"/>
                <w:lang w:val="en-US" w:eastAsia="zh-CN" w:bidi="ar"/>
              </w:rPr>
              <w:t xml:space="preserve">施工现场总平面布置图（2 分） </w:t>
            </w:r>
          </w:p>
          <w:p w14:paraId="36C4AACA">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bidi="ar"/>
              </w:rPr>
              <w:t xml:space="preserve">针对本项目提供施工现场总平面布置图。 </w:t>
            </w:r>
          </w:p>
          <w:p w14:paraId="2267E1B4">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440" w:lineRule="exact"/>
              <w:ind w:left="0" w:leftChars="0" w:right="0" w:rightChars="0" w:firstLine="0" w:firstLineChars="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bidi="ar"/>
              </w:rPr>
              <w:t>赋分依据：施工现场总平面布置图贴合项目实际、切实可行，完全满足项目需求，得2.0分；较为合理、可以满足项目需求，得1.0-1.9分；内容简单，但基本满足项目需求得 0.1-0.9 分；不符合项目实际情况或未提供得0分。</w:t>
            </w:r>
          </w:p>
        </w:tc>
        <w:tc>
          <w:tcPr>
            <w:tcW w:w="800" w:type="dxa"/>
            <w:tcBorders>
              <w:tl2br w:val="nil"/>
              <w:tr2bl w:val="nil"/>
            </w:tcBorders>
            <w:noWrap w:val="0"/>
            <w:vAlign w:val="top"/>
          </w:tcPr>
          <w:p w14:paraId="5C65AC31">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4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主观</w:t>
            </w:r>
            <w:r>
              <w:rPr>
                <w:rFonts w:hint="eastAsia" w:asciiTheme="minorEastAsia" w:hAnsiTheme="minorEastAsia" w:eastAsiaTheme="minorEastAsia" w:cstheme="minorEastAsia"/>
                <w:b w:val="0"/>
                <w:bCs w:val="0"/>
                <w:color w:val="auto"/>
                <w:sz w:val="24"/>
                <w:szCs w:val="24"/>
                <w:highlight w:val="none"/>
                <w:lang w:val="en-US" w:eastAsia="zh-CN"/>
              </w:rPr>
              <w:t>分</w:t>
            </w:r>
          </w:p>
        </w:tc>
      </w:tr>
      <w:tr w14:paraId="4EF2D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4" w:hRule="atLeast"/>
        </w:trPr>
        <w:tc>
          <w:tcPr>
            <w:tcW w:w="882" w:type="dxa"/>
            <w:vMerge w:val="continue"/>
            <w:tcBorders>
              <w:tl2br w:val="nil"/>
              <w:tr2bl w:val="nil"/>
            </w:tcBorders>
            <w:noWrap w:val="0"/>
            <w:vAlign w:val="center"/>
          </w:tcPr>
          <w:p w14:paraId="1DC916C4">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tc>
        <w:tc>
          <w:tcPr>
            <w:tcW w:w="733" w:type="dxa"/>
            <w:vMerge w:val="continue"/>
            <w:tcBorders>
              <w:tl2br w:val="nil"/>
              <w:tr2bl w:val="nil"/>
            </w:tcBorders>
            <w:noWrap/>
            <w:vAlign w:val="center"/>
          </w:tcPr>
          <w:p w14:paraId="0094EA30">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rPr>
            </w:pPr>
          </w:p>
        </w:tc>
        <w:tc>
          <w:tcPr>
            <w:tcW w:w="7850" w:type="dxa"/>
            <w:tcBorders>
              <w:tl2br w:val="nil"/>
              <w:tr2bl w:val="nil"/>
            </w:tcBorders>
            <w:noWrap w:val="0"/>
            <w:vAlign w:val="top"/>
          </w:tcPr>
          <w:p w14:paraId="1371F5B5">
            <w:pPr>
              <w:keepNext w:val="0"/>
              <w:keepLines w:val="0"/>
              <w:pageBreakBefore w:val="0"/>
              <w:widowControl w:val="0"/>
              <w:numPr>
                <w:ilvl w:val="0"/>
                <w:numId w:val="0"/>
              </w:numPr>
              <w:suppressLineNumbers w:val="0"/>
              <w:shd w:val="clear"/>
              <w:kinsoku/>
              <w:wordWrap/>
              <w:overflowPunct/>
              <w:topLinePunct w:val="0"/>
              <w:autoSpaceDE/>
              <w:autoSpaceDN/>
              <w:bidi w:val="0"/>
              <w:adjustRightInd w:val="0"/>
              <w:snapToGrid w:val="0"/>
              <w:spacing w:before="0" w:beforeAutospacing="0" w:after="0" w:afterAutospacing="0" w:line="440" w:lineRule="exact"/>
              <w:ind w:left="0" w:leftChars="0" w:right="0" w:rightChars="0"/>
              <w:textAlignment w:val="auto"/>
              <w:outlineLvl w:val="9"/>
              <w:rPr>
                <w:rFonts w:hint="eastAsia" w:asciiTheme="minorEastAsia" w:hAnsiTheme="minorEastAsia" w:eastAsiaTheme="minorEastAsia" w:cstheme="minorEastAsia"/>
                <w:b/>
                <w:bCs/>
                <w:color w:val="auto"/>
                <w:sz w:val="24"/>
                <w:szCs w:val="24"/>
                <w:highlight w:val="none"/>
                <w:lang w:val="zh-CN" w:eastAsia="zh-CN"/>
              </w:rPr>
            </w:pPr>
            <w:r>
              <w:rPr>
                <w:rFonts w:hint="eastAsia" w:asciiTheme="minorEastAsia" w:hAnsiTheme="minorEastAsia" w:eastAsiaTheme="minorEastAsia" w:cstheme="minorEastAsia"/>
                <w:b/>
                <w:bCs/>
                <w:color w:val="auto"/>
                <w:sz w:val="24"/>
                <w:szCs w:val="24"/>
                <w:highlight w:val="none"/>
                <w:lang w:val="en-US" w:eastAsia="zh-CN"/>
              </w:rPr>
              <w:t>9.</w:t>
            </w:r>
            <w:r>
              <w:rPr>
                <w:rFonts w:hint="eastAsia" w:asciiTheme="minorEastAsia" w:hAnsiTheme="minorEastAsia" w:eastAsiaTheme="minorEastAsia" w:cstheme="minorEastAsia"/>
                <w:b/>
                <w:bCs/>
                <w:color w:val="auto"/>
                <w:sz w:val="24"/>
                <w:szCs w:val="24"/>
                <w:highlight w:val="none"/>
                <w:lang w:val="zh-CN" w:eastAsia="zh-CN"/>
              </w:rPr>
              <w:t>新技术、新产品、新工艺、新材料应用</w:t>
            </w:r>
            <w:r>
              <w:rPr>
                <w:rFonts w:hint="eastAsia" w:asciiTheme="minorEastAsia" w:hAnsiTheme="minorEastAsia" w:eastAsiaTheme="minorEastAsia" w:cstheme="minorEastAsia"/>
                <w:b/>
                <w:bCs/>
                <w:color w:val="auto"/>
                <w:sz w:val="24"/>
                <w:szCs w:val="24"/>
                <w:highlight w:val="none"/>
                <w:lang w:val="en-US" w:eastAsia="zh-CN"/>
              </w:rPr>
              <w:t>情况</w:t>
            </w:r>
            <w:r>
              <w:rPr>
                <w:rFonts w:hint="eastAsia" w:asciiTheme="minorEastAsia" w:hAnsiTheme="minorEastAsia" w:eastAsiaTheme="minorEastAsia" w:cstheme="minorEastAsia"/>
                <w:b/>
                <w:bCs/>
                <w:color w:val="auto"/>
                <w:sz w:val="24"/>
                <w:szCs w:val="24"/>
                <w:highlight w:val="none"/>
                <w:lang w:val="zh-CN" w:eastAsia="zh-CN"/>
              </w:rPr>
              <w:t>（</w:t>
            </w:r>
            <w:r>
              <w:rPr>
                <w:rFonts w:hint="eastAsia" w:asciiTheme="minorEastAsia" w:hAnsiTheme="minorEastAsia" w:eastAsiaTheme="minorEastAsia" w:cstheme="minorEastAsia"/>
                <w:b/>
                <w:bCs/>
                <w:color w:val="auto"/>
                <w:sz w:val="24"/>
                <w:szCs w:val="24"/>
                <w:highlight w:val="none"/>
                <w:lang w:val="en-US" w:eastAsia="zh-CN"/>
              </w:rPr>
              <w:t>2分</w:t>
            </w:r>
            <w:r>
              <w:rPr>
                <w:rFonts w:hint="eastAsia" w:asciiTheme="minorEastAsia" w:hAnsiTheme="minorEastAsia" w:eastAsiaTheme="minorEastAsia" w:cstheme="minorEastAsia"/>
                <w:b/>
                <w:bCs/>
                <w:color w:val="auto"/>
                <w:sz w:val="24"/>
                <w:szCs w:val="24"/>
                <w:highlight w:val="none"/>
                <w:lang w:val="zh-CN" w:eastAsia="zh-CN"/>
              </w:rPr>
              <w:t>）</w:t>
            </w:r>
          </w:p>
          <w:p w14:paraId="4A09C7AE">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left"/>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szCs w:val="24"/>
                <w:highlight w:val="none"/>
                <w:lang w:val="en-US" w:eastAsia="zh-CN" w:bidi="ar"/>
              </w:rPr>
              <w:t>针对本项目编制新技术、新产品、新工艺、新材料应用情况。</w:t>
            </w:r>
          </w:p>
          <w:p w14:paraId="2B38C528">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left"/>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①新产品和新材料的应用情况：科学合理、完全满足项目需求，得1.0分；不符合项目实际情况或未提供得0分。</w:t>
            </w:r>
          </w:p>
          <w:p w14:paraId="6E4266C6">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left"/>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②新技术和新工艺的应用情况：科学合理、完全满足项目需求，得1.0分；不符合项目实际情况或未提供得0分。</w:t>
            </w:r>
          </w:p>
        </w:tc>
        <w:tc>
          <w:tcPr>
            <w:tcW w:w="800" w:type="dxa"/>
            <w:tcBorders>
              <w:tl2br w:val="nil"/>
              <w:tr2bl w:val="nil"/>
            </w:tcBorders>
            <w:noWrap w:val="0"/>
            <w:vAlign w:val="top"/>
          </w:tcPr>
          <w:p w14:paraId="7FB0CA27">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主观</w:t>
            </w:r>
            <w:r>
              <w:rPr>
                <w:rFonts w:hint="eastAsia" w:asciiTheme="minorEastAsia" w:hAnsiTheme="minorEastAsia" w:eastAsiaTheme="minorEastAsia" w:cstheme="minorEastAsia"/>
                <w:b w:val="0"/>
                <w:bCs w:val="0"/>
                <w:color w:val="auto"/>
                <w:sz w:val="24"/>
                <w:szCs w:val="24"/>
                <w:highlight w:val="none"/>
                <w:lang w:val="en-US" w:eastAsia="zh-CN"/>
              </w:rPr>
              <w:t>分</w:t>
            </w:r>
          </w:p>
        </w:tc>
      </w:tr>
      <w:tr w14:paraId="2A312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4" w:hRule="atLeast"/>
        </w:trPr>
        <w:tc>
          <w:tcPr>
            <w:tcW w:w="882" w:type="dxa"/>
            <w:vMerge w:val="continue"/>
            <w:tcBorders>
              <w:tl2br w:val="nil"/>
              <w:tr2bl w:val="nil"/>
            </w:tcBorders>
            <w:noWrap w:val="0"/>
            <w:vAlign w:val="center"/>
          </w:tcPr>
          <w:p w14:paraId="26BDAFA3">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tc>
        <w:tc>
          <w:tcPr>
            <w:tcW w:w="733" w:type="dxa"/>
            <w:vMerge w:val="continue"/>
            <w:tcBorders>
              <w:tl2br w:val="nil"/>
              <w:tr2bl w:val="nil"/>
            </w:tcBorders>
            <w:noWrap/>
            <w:vAlign w:val="center"/>
          </w:tcPr>
          <w:p w14:paraId="777FEFAC">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rPr>
            </w:pPr>
          </w:p>
        </w:tc>
        <w:tc>
          <w:tcPr>
            <w:tcW w:w="7850" w:type="dxa"/>
            <w:tcBorders>
              <w:tl2br w:val="nil"/>
              <w:tr2bl w:val="nil"/>
            </w:tcBorders>
            <w:noWrap w:val="0"/>
            <w:vAlign w:val="top"/>
          </w:tcPr>
          <w:p w14:paraId="0CDD4327">
            <w:pPr>
              <w:keepNext w:val="0"/>
              <w:keepLines w:val="0"/>
              <w:pageBreakBefore w:val="0"/>
              <w:numPr>
                <w:ilvl w:val="0"/>
                <w:numId w:val="0"/>
              </w:numPr>
              <w:suppressLineNumbers w:val="0"/>
              <w:shd w:val="clear"/>
              <w:tabs>
                <w:tab w:val="left" w:pos="547"/>
              </w:tabs>
              <w:kinsoku/>
              <w:wordWrap/>
              <w:overflowPunct/>
              <w:topLinePunct w:val="0"/>
              <w:autoSpaceDE w:val="0"/>
              <w:autoSpaceDN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10.保修承诺</w:t>
            </w:r>
            <w:r>
              <w:rPr>
                <w:rFonts w:hint="eastAsia" w:asciiTheme="minorEastAsia" w:hAnsiTheme="minorEastAsia" w:eastAsiaTheme="minorEastAsia" w:cstheme="minorEastAsia"/>
                <w:b/>
                <w:bCs/>
                <w:color w:val="auto"/>
                <w:sz w:val="24"/>
                <w:szCs w:val="24"/>
                <w:highlight w:val="none"/>
                <w:lang w:val="zh-CN" w:eastAsia="zh-CN"/>
              </w:rPr>
              <w:t>（</w:t>
            </w:r>
            <w:r>
              <w:rPr>
                <w:rFonts w:hint="eastAsia" w:asciiTheme="minorEastAsia" w:hAnsiTheme="minorEastAsia" w:eastAsiaTheme="minorEastAsia" w:cstheme="minorEastAsia"/>
                <w:b/>
                <w:bCs/>
                <w:color w:val="auto"/>
                <w:sz w:val="24"/>
                <w:szCs w:val="24"/>
                <w:highlight w:val="none"/>
                <w:lang w:val="en-US" w:eastAsia="zh-CN"/>
              </w:rPr>
              <w:t>4分</w:t>
            </w:r>
            <w:r>
              <w:rPr>
                <w:rFonts w:hint="eastAsia" w:asciiTheme="minorEastAsia" w:hAnsiTheme="minorEastAsia" w:eastAsiaTheme="minorEastAsia" w:cstheme="minorEastAsia"/>
                <w:b/>
                <w:bCs/>
                <w:color w:val="auto"/>
                <w:sz w:val="24"/>
                <w:szCs w:val="24"/>
                <w:highlight w:val="none"/>
                <w:lang w:val="zh-CN" w:eastAsia="zh-CN"/>
              </w:rPr>
              <w:t>）</w:t>
            </w:r>
          </w:p>
          <w:p w14:paraId="241288AA">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bidi="ar"/>
              </w:rPr>
              <w:t xml:space="preserve">提供对本项目的保修承诺。 </w:t>
            </w:r>
          </w:p>
          <w:p w14:paraId="7EB3927B">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bidi="ar"/>
              </w:rPr>
              <w:t>①工程质保期内的保修服务承诺：</w:t>
            </w:r>
            <w:r>
              <w:rPr>
                <w:rFonts w:hint="eastAsia" w:asciiTheme="minorEastAsia" w:hAnsiTheme="minorEastAsia" w:eastAsiaTheme="minorEastAsia" w:cstheme="minorEastAsia"/>
                <w:color w:val="auto"/>
                <w:kern w:val="0"/>
                <w:sz w:val="24"/>
                <w:szCs w:val="24"/>
                <w:highlight w:val="none"/>
                <w:lang w:val="en-US" w:eastAsia="zh-CN" w:bidi="ar"/>
              </w:rPr>
              <w:t xml:space="preserve">服务承诺完整详尽、可行性强，完全符合项目实际情况得2.0分；措施较为详细、可以满足项目需求，得1.0-1.9分；措施制定内容简单，但基本满足项目需求得0.1-0.9分；不符合项目实际情况或未提供得0分。 </w:t>
            </w:r>
          </w:p>
          <w:p w14:paraId="33F20495">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bidi="ar"/>
              </w:rPr>
              <w:t xml:space="preserve">②工程竣工验收合格后使用过程中因质量问题而产生的补救措施，响应时 </w:t>
            </w:r>
          </w:p>
          <w:p w14:paraId="3E70B3B8">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lang w:val="en-US" w:eastAsia="zh-CN" w:bidi="ar"/>
              </w:rPr>
              <w:t>间：</w:t>
            </w:r>
            <w:r>
              <w:rPr>
                <w:rFonts w:hint="eastAsia" w:asciiTheme="minorEastAsia" w:hAnsiTheme="minorEastAsia" w:eastAsiaTheme="minorEastAsia" w:cstheme="minorEastAsia"/>
                <w:b w:val="0"/>
                <w:bCs w:val="0"/>
                <w:color w:val="auto"/>
                <w:kern w:val="0"/>
                <w:sz w:val="24"/>
                <w:szCs w:val="24"/>
                <w:highlight w:val="none"/>
                <w:lang w:val="en-US" w:eastAsia="zh-CN" w:bidi="ar"/>
              </w:rPr>
              <w:t>措施完</w:t>
            </w:r>
            <w:r>
              <w:rPr>
                <w:rFonts w:hint="eastAsia" w:asciiTheme="minorEastAsia" w:hAnsiTheme="minorEastAsia" w:eastAsiaTheme="minorEastAsia" w:cstheme="minorEastAsia"/>
                <w:color w:val="auto"/>
                <w:kern w:val="0"/>
                <w:sz w:val="24"/>
                <w:szCs w:val="24"/>
                <w:highlight w:val="none"/>
                <w:lang w:val="en-US" w:eastAsia="zh-CN" w:bidi="ar"/>
              </w:rPr>
              <w:t>整详尽、可行性强，能及时响应承诺、完全符合项目实际情况得2.0分；措施较为详细、可以满足项目需求，得1.0-1.9分；措施制定内容简单，但基本满足项目需求得0.1-0.9分；不符合项目实际情况或未提供得0分。</w:t>
            </w:r>
          </w:p>
        </w:tc>
        <w:tc>
          <w:tcPr>
            <w:tcW w:w="800" w:type="dxa"/>
            <w:tcBorders>
              <w:tl2br w:val="nil"/>
              <w:tr2bl w:val="nil"/>
            </w:tcBorders>
            <w:noWrap w:val="0"/>
            <w:vAlign w:val="top"/>
          </w:tcPr>
          <w:p w14:paraId="751958A2">
            <w:pPr>
              <w:keepNext w:val="0"/>
              <w:keepLines w:val="0"/>
              <w:pageBreakBefore w:val="0"/>
              <w:widowControl/>
              <w:suppressLineNumbers w:val="0"/>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主观</w:t>
            </w:r>
            <w:r>
              <w:rPr>
                <w:rFonts w:hint="eastAsia" w:asciiTheme="minorEastAsia" w:hAnsiTheme="minorEastAsia" w:eastAsiaTheme="minorEastAsia" w:cstheme="minorEastAsia"/>
                <w:b w:val="0"/>
                <w:bCs w:val="0"/>
                <w:color w:val="auto"/>
                <w:sz w:val="24"/>
                <w:szCs w:val="24"/>
                <w:highlight w:val="none"/>
                <w:lang w:val="en-US" w:eastAsia="zh-CN"/>
              </w:rPr>
              <w:t>分</w:t>
            </w:r>
          </w:p>
        </w:tc>
      </w:tr>
      <w:tr w14:paraId="77311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0" w:hRule="atLeast"/>
        </w:trPr>
        <w:tc>
          <w:tcPr>
            <w:tcW w:w="882" w:type="dxa"/>
            <w:tcBorders>
              <w:tl2br w:val="nil"/>
              <w:tr2bl w:val="nil"/>
            </w:tcBorders>
            <w:noWrap w:val="0"/>
            <w:vAlign w:val="center"/>
          </w:tcPr>
          <w:p w14:paraId="2815DEAA">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12" w:lineRule="auto"/>
              <w:ind w:left="0" w:right="0"/>
              <w:jc w:val="left"/>
              <w:rPr>
                <w:rFonts w:hint="eastAsia" w:asciiTheme="minorEastAsia" w:hAnsiTheme="minorEastAsia" w:eastAsiaTheme="minorEastAsia" w:cstheme="minorEastAsia"/>
                <w:bCs/>
                <w:color w:val="auto"/>
                <w:sz w:val="24"/>
                <w:szCs w:val="24"/>
                <w:highlight w:val="none"/>
              </w:rPr>
            </w:pPr>
            <w:r>
              <w:rPr>
                <w:rFonts w:hint="eastAsia" w:ascii="宋体" w:hAnsi="宋体" w:eastAsia="宋体" w:cs="宋体"/>
                <w:color w:val="auto"/>
                <w:kern w:val="0"/>
                <w:sz w:val="24"/>
                <w:szCs w:val="24"/>
                <w:lang w:val="en-US" w:eastAsia="zh-CN" w:bidi="ar"/>
              </w:rPr>
              <w:t>所投产品</w:t>
            </w:r>
            <w:r>
              <w:rPr>
                <w:rFonts w:hint="eastAsia" w:ascii="宋体" w:hAnsi="宋体" w:cs="宋体"/>
                <w:color w:val="auto"/>
                <w:kern w:val="0"/>
                <w:sz w:val="24"/>
                <w:szCs w:val="24"/>
                <w:lang w:val="en-US" w:eastAsia="zh-CN" w:bidi="ar"/>
              </w:rPr>
              <w:t>/材料</w:t>
            </w:r>
            <w:r>
              <w:rPr>
                <w:rFonts w:hint="eastAsia" w:ascii="宋体" w:hAnsi="宋体" w:eastAsia="宋体" w:cs="宋体"/>
                <w:color w:val="auto"/>
                <w:kern w:val="0"/>
                <w:sz w:val="24"/>
                <w:szCs w:val="24"/>
                <w:lang w:val="en-US" w:eastAsia="zh-CN" w:bidi="ar"/>
              </w:rPr>
              <w:t>来源证明</w:t>
            </w:r>
            <w:r>
              <w:rPr>
                <w:rFonts w:hint="eastAsia" w:ascii="宋体" w:hAnsi="宋体" w:cs="宋体"/>
                <w:color w:val="auto"/>
                <w:kern w:val="0"/>
                <w:sz w:val="24"/>
                <w:szCs w:val="24"/>
                <w:lang w:val="en-US" w:eastAsia="zh-CN" w:bidi="ar"/>
              </w:rPr>
              <w:t>资料</w:t>
            </w:r>
          </w:p>
        </w:tc>
        <w:tc>
          <w:tcPr>
            <w:tcW w:w="733" w:type="dxa"/>
            <w:tcBorders>
              <w:tl2br w:val="nil"/>
              <w:tr2bl w:val="nil"/>
            </w:tcBorders>
            <w:noWrap/>
            <w:vAlign w:val="center"/>
          </w:tcPr>
          <w:p w14:paraId="74F0CD55">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c>
          <w:tcPr>
            <w:tcW w:w="7850" w:type="dxa"/>
            <w:tcBorders>
              <w:tl2br w:val="nil"/>
              <w:tr2bl w:val="nil"/>
            </w:tcBorders>
            <w:noWrap w:val="0"/>
            <w:vAlign w:val="center"/>
          </w:tcPr>
          <w:p w14:paraId="709C2D9B">
            <w:pPr>
              <w:keepNext w:val="0"/>
              <w:keepLines w:val="0"/>
              <w:pageBreakBefore w:val="0"/>
              <w:widowControl/>
              <w:suppressLineNumbers w:val="0"/>
              <w:kinsoku/>
              <w:wordWrap/>
              <w:overflowPunct/>
              <w:topLinePunct w:val="0"/>
              <w:bidi w:val="0"/>
              <w:adjustRightInd w:val="0"/>
              <w:snapToGrid w:val="0"/>
              <w:spacing w:line="440" w:lineRule="exact"/>
              <w:jc w:val="left"/>
              <w:rPr>
                <w:rFonts w:hint="default" w:eastAsia="宋体" w:asciiTheme="minorEastAsia" w:hAnsi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投标人提供本项目施工所需主要材料/产品的品牌、规格型号详细清单，并提供对应材料合法来源证明文件（包括但不限于原厂授权书、代理协议、供货承诺函等，复印件须加盖供应商公章）。每提供1项主要材料且配套有有效证明文件计 1 分，满分6分；无材料清单或未提供证明文件不计分</w:t>
            </w:r>
          </w:p>
        </w:tc>
        <w:tc>
          <w:tcPr>
            <w:tcW w:w="800" w:type="dxa"/>
            <w:tcBorders>
              <w:tl2br w:val="nil"/>
              <w:tr2bl w:val="nil"/>
            </w:tcBorders>
            <w:noWrap w:val="0"/>
            <w:vAlign w:val="center"/>
          </w:tcPr>
          <w:p w14:paraId="36EC4394">
            <w:pPr>
              <w:keepNext w:val="0"/>
              <w:keepLines w:val="0"/>
              <w:pageBreakBefore w:val="0"/>
              <w:widowControl/>
              <w:suppressLineNumbers w:val="0"/>
              <w:kinsoku/>
              <w:wordWrap/>
              <w:overflowPunct/>
              <w:topLinePunct w:val="0"/>
              <w:bidi w:val="0"/>
              <w:adjustRightInd w:val="0"/>
              <w:snapToGrid w:val="0"/>
              <w:spacing w:line="440" w:lineRule="exact"/>
              <w:jc w:val="center"/>
              <w:rPr>
                <w:rFonts w:hint="eastAsia" w:asciiTheme="minorEastAsia" w:hAnsiTheme="minorEastAsia" w:eastAsiaTheme="minorEastAsia" w:cstheme="minorEastAsia"/>
                <w:b w:val="0"/>
                <w:bCs w:val="0"/>
                <w:color w:val="auto"/>
                <w:kern w:val="0"/>
                <w:sz w:val="24"/>
                <w:szCs w:val="24"/>
                <w:lang w:val="en-US" w:eastAsia="zh-CN" w:bidi="ar"/>
              </w:rPr>
            </w:pPr>
            <w:r>
              <w:rPr>
                <w:rFonts w:hint="eastAsia" w:asciiTheme="minorEastAsia" w:hAnsiTheme="minorEastAsia" w:eastAsiaTheme="minorEastAsia" w:cstheme="minorEastAsia"/>
                <w:b w:val="0"/>
                <w:bCs w:val="0"/>
                <w:color w:val="auto"/>
                <w:kern w:val="0"/>
                <w:sz w:val="24"/>
                <w:szCs w:val="24"/>
                <w:lang w:val="en-US" w:eastAsia="zh-CN" w:bidi="ar"/>
              </w:rPr>
              <w:t>客观</w:t>
            </w:r>
            <w:r>
              <w:rPr>
                <w:rFonts w:hint="eastAsia" w:asciiTheme="minorEastAsia" w:hAnsiTheme="minorEastAsia" w:eastAsiaTheme="minorEastAsia" w:cstheme="minorEastAsia"/>
                <w:b w:val="0"/>
                <w:bCs w:val="0"/>
                <w:color w:val="auto"/>
                <w:sz w:val="24"/>
                <w:szCs w:val="24"/>
                <w:highlight w:val="none"/>
                <w:lang w:val="en-US" w:eastAsia="zh-CN"/>
              </w:rPr>
              <w:t>分</w:t>
            </w:r>
          </w:p>
        </w:tc>
      </w:tr>
      <w:tr w14:paraId="31FC3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3" w:hRule="atLeast"/>
        </w:trPr>
        <w:tc>
          <w:tcPr>
            <w:tcW w:w="882" w:type="dxa"/>
            <w:tcBorders>
              <w:tl2br w:val="nil"/>
              <w:tr2bl w:val="nil"/>
            </w:tcBorders>
            <w:noWrap w:val="0"/>
            <w:vAlign w:val="center"/>
          </w:tcPr>
          <w:p w14:paraId="581DC266">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color w:val="auto"/>
                <w:sz w:val="24"/>
                <w:szCs w:val="24"/>
              </w:rPr>
              <w:t>环境</w:t>
            </w:r>
            <w:r>
              <w:rPr>
                <w:rFonts w:hint="eastAsia" w:asciiTheme="minorEastAsia" w:hAnsiTheme="minorEastAsia" w:eastAsiaTheme="minorEastAsia" w:cstheme="minorEastAsia"/>
                <w:color w:val="auto"/>
                <w:sz w:val="24"/>
                <w:szCs w:val="24"/>
                <w:lang w:val="en-US" w:eastAsia="zh-CN"/>
              </w:rPr>
              <w:t>标志、</w:t>
            </w:r>
            <w:r>
              <w:rPr>
                <w:rFonts w:hint="eastAsia" w:asciiTheme="minorEastAsia" w:hAnsiTheme="minorEastAsia" w:eastAsiaTheme="minorEastAsia" w:cstheme="minorEastAsia"/>
                <w:color w:val="auto"/>
                <w:sz w:val="24"/>
                <w:szCs w:val="24"/>
              </w:rPr>
              <w:t>节能产品</w:t>
            </w:r>
          </w:p>
        </w:tc>
        <w:tc>
          <w:tcPr>
            <w:tcW w:w="733" w:type="dxa"/>
            <w:tcBorders>
              <w:tl2br w:val="nil"/>
              <w:tr2bl w:val="nil"/>
            </w:tcBorders>
            <w:noWrap/>
            <w:vAlign w:val="center"/>
          </w:tcPr>
          <w:p w14:paraId="22653A2F">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p>
          <w:p w14:paraId="2715D5C3">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p>
        </w:tc>
        <w:tc>
          <w:tcPr>
            <w:tcW w:w="7850" w:type="dxa"/>
            <w:tcBorders>
              <w:tl2br w:val="nil"/>
              <w:tr2bl w:val="nil"/>
            </w:tcBorders>
            <w:noWrap w:val="0"/>
            <w:vAlign w:val="center"/>
          </w:tcPr>
          <w:p w14:paraId="2ABAE7E5">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所投主要材料/产品属于财政部节能、环境标志产品品目清单内产品的，每1种有效产品得 1 分，最高4分。须提供有效期内证书复印件，型号与投标清单一致；证书无效或未提供的，该产品不计分。</w:t>
            </w:r>
          </w:p>
          <w:p w14:paraId="54C47A50">
            <w:pPr>
              <w:pStyle w:val="6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color w:val="auto"/>
                <w:kern w:val="2"/>
                <w:sz w:val="24"/>
                <w:szCs w:val="24"/>
                <w:lang w:val="en-US" w:eastAsia="zh-CN" w:bidi="ar-SA"/>
              </w:rPr>
              <w:t>备注：“1 种产品” 指不同材料品类；同一品类下多个型号仅计 1 次；证书须在有效期内，产品列入财政部现行节能产品品目清单或环境标志产品品目清单方可计分。</w:t>
            </w:r>
          </w:p>
        </w:tc>
        <w:tc>
          <w:tcPr>
            <w:tcW w:w="800" w:type="dxa"/>
            <w:tcBorders>
              <w:tl2br w:val="nil"/>
              <w:tr2bl w:val="nil"/>
            </w:tcBorders>
            <w:noWrap w:val="0"/>
            <w:vAlign w:val="center"/>
          </w:tcPr>
          <w:p w14:paraId="6C16CBFF">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客观</w:t>
            </w:r>
            <w:r>
              <w:rPr>
                <w:rFonts w:hint="eastAsia" w:asciiTheme="minorEastAsia" w:hAnsiTheme="minorEastAsia" w:eastAsiaTheme="minorEastAsia" w:cstheme="minorEastAsia"/>
                <w:color w:val="auto"/>
                <w:sz w:val="24"/>
                <w:szCs w:val="24"/>
                <w:highlight w:val="none"/>
                <w:lang w:val="en-US" w:eastAsia="zh-CN"/>
              </w:rPr>
              <w:t>分</w:t>
            </w:r>
          </w:p>
        </w:tc>
      </w:tr>
      <w:tr w14:paraId="25D8C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trPr>
        <w:tc>
          <w:tcPr>
            <w:tcW w:w="882" w:type="dxa"/>
            <w:tcBorders>
              <w:tl2br w:val="nil"/>
              <w:tr2bl w:val="nil"/>
            </w:tcBorders>
            <w:noWrap w:val="0"/>
            <w:vAlign w:val="center"/>
          </w:tcPr>
          <w:p w14:paraId="7C8D29A0">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业绩</w:t>
            </w:r>
          </w:p>
        </w:tc>
        <w:tc>
          <w:tcPr>
            <w:tcW w:w="733" w:type="dxa"/>
            <w:tcBorders>
              <w:tl2br w:val="nil"/>
              <w:tr2bl w:val="nil"/>
            </w:tcBorders>
            <w:noWrap/>
            <w:vAlign w:val="center"/>
          </w:tcPr>
          <w:p w14:paraId="59442607">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c>
          <w:tcPr>
            <w:tcW w:w="7850" w:type="dxa"/>
            <w:tcBorders>
              <w:tl2br w:val="nil"/>
              <w:tr2bl w:val="nil"/>
            </w:tcBorders>
            <w:noWrap w:val="0"/>
            <w:vAlign w:val="center"/>
          </w:tcPr>
          <w:p w14:paraId="19984E0A">
            <w:pPr>
              <w:keepNext w:val="0"/>
              <w:keepLines w:val="0"/>
              <w:pageBreakBefore w:val="0"/>
              <w:widowControl/>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jc w:val="both"/>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供应商须提供2023年9月1日至今类似项目业绩证明文件（以合同签订时间为准），每提供1份得2.5分，最高得10.0分，不提供不得分。</w:t>
            </w:r>
          </w:p>
          <w:p w14:paraId="4A010F45">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注：业绩证明文件应为投标人与用户签订的合同复印件并加盖投标人公章。</w:t>
            </w:r>
          </w:p>
        </w:tc>
        <w:tc>
          <w:tcPr>
            <w:tcW w:w="800" w:type="dxa"/>
            <w:tcBorders>
              <w:tl2br w:val="nil"/>
              <w:tr2bl w:val="nil"/>
            </w:tcBorders>
            <w:noWrap w:val="0"/>
            <w:vAlign w:val="center"/>
          </w:tcPr>
          <w:p w14:paraId="32DD0E95">
            <w:pPr>
              <w:keepNext w:val="0"/>
              <w:keepLines w:val="0"/>
              <w:pageBreakBefore w:val="0"/>
              <w:suppressLineNumbers w:val="0"/>
              <w:shd w:val="clear"/>
              <w:kinsoku/>
              <w:wordWrap/>
              <w:overflowPunct/>
              <w:topLinePunct w:val="0"/>
              <w:bidi w:val="0"/>
              <w:adjustRightInd w:val="0"/>
              <w:snapToGrid w:val="0"/>
              <w:spacing w:before="0" w:beforeAutospacing="0" w:after="0" w:afterAutospacing="0" w:line="440" w:lineRule="exact"/>
              <w:ind w:left="0" w:right="0"/>
              <w:jc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客观</w:t>
            </w:r>
            <w:r>
              <w:rPr>
                <w:rFonts w:hint="eastAsia" w:asciiTheme="minorEastAsia" w:hAnsiTheme="minorEastAsia" w:eastAsiaTheme="minorEastAsia" w:cstheme="minorEastAsia"/>
                <w:color w:val="auto"/>
                <w:sz w:val="24"/>
                <w:szCs w:val="24"/>
                <w:highlight w:val="none"/>
                <w:lang w:val="en-US" w:eastAsia="zh-CN"/>
              </w:rPr>
              <w:t>分</w:t>
            </w:r>
          </w:p>
        </w:tc>
      </w:tr>
      <w:tr w14:paraId="2F66A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9465" w:type="dxa"/>
            <w:gridSpan w:val="3"/>
            <w:tcBorders>
              <w:tl2br w:val="nil"/>
              <w:tr2bl w:val="nil"/>
            </w:tcBorders>
            <w:noWrap w:val="0"/>
            <w:vAlign w:val="center"/>
          </w:tcPr>
          <w:p w14:paraId="635CAA1B">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firstLine="482" w:firstLineChars="200"/>
              <w:jc w:val="lef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备注:1、</w:t>
            </w:r>
            <w:r>
              <w:rPr>
                <w:rFonts w:hint="eastAsia" w:asciiTheme="minorEastAsia" w:hAnsiTheme="minorEastAsia" w:eastAsiaTheme="minorEastAsia" w:cstheme="minorEastAsia"/>
                <w:b/>
                <w:bCs/>
                <w:color w:val="auto"/>
                <w:sz w:val="24"/>
                <w:szCs w:val="24"/>
                <w:highlight w:val="none"/>
              </w:rPr>
              <w:t>开标后，对投标单位进行资格评审，资格评审合格的响应文件再进行符合性评审。不合格的单位，不再对其进行后续评审与分值评定。</w:t>
            </w:r>
          </w:p>
        </w:tc>
        <w:tc>
          <w:tcPr>
            <w:tcW w:w="800" w:type="dxa"/>
            <w:tcBorders>
              <w:tl2br w:val="nil"/>
              <w:tr2bl w:val="nil"/>
            </w:tcBorders>
            <w:noWrap w:val="0"/>
            <w:vAlign w:val="center"/>
          </w:tcPr>
          <w:p w14:paraId="3602AC63">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440" w:lineRule="exact"/>
              <w:ind w:left="0" w:right="0" w:firstLine="482" w:firstLineChars="200"/>
              <w:jc w:val="center"/>
              <w:textAlignment w:val="auto"/>
              <w:rPr>
                <w:rFonts w:hint="eastAsia" w:asciiTheme="minorEastAsia" w:hAnsiTheme="minorEastAsia" w:eastAsiaTheme="minorEastAsia" w:cstheme="minorEastAsia"/>
                <w:b/>
                <w:bCs/>
                <w:color w:val="auto"/>
                <w:sz w:val="24"/>
                <w:szCs w:val="24"/>
                <w:highlight w:val="none"/>
                <w:lang w:val="en-US" w:eastAsia="zh-CN"/>
              </w:rPr>
            </w:pPr>
          </w:p>
        </w:tc>
      </w:tr>
    </w:tbl>
    <w:p w14:paraId="4CD8BDDF">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cs="宋体" w:asciiTheme="minorEastAsia" w:hAnsiTheme="minorEastAsia" w:eastAsiaTheme="minorEastAsia"/>
          <w:b/>
          <w:bCs/>
          <w:sz w:val="24"/>
          <w:szCs w:val="24"/>
        </w:rPr>
      </w:pPr>
    </w:p>
    <w:p w14:paraId="20B8971A">
      <w:pPr>
        <w:keepNext w:val="0"/>
        <w:keepLines w:val="0"/>
        <w:pageBreakBefore w:val="0"/>
        <w:widowControl w:val="0"/>
        <w:kinsoku/>
        <w:wordWrap/>
        <w:overflowPunct/>
        <w:topLinePunct w:val="0"/>
        <w:autoSpaceDE/>
        <w:autoSpaceDN/>
        <w:bidi w:val="0"/>
        <w:adjustRightInd/>
        <w:snapToGrid/>
        <w:spacing w:line="336" w:lineRule="auto"/>
        <w:textAlignment w:val="auto"/>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备注</w:t>
      </w:r>
      <w:r>
        <w:rPr>
          <w:rFonts w:hint="eastAsia" w:cs="宋体" w:asciiTheme="minorEastAsia" w:hAnsiTheme="minorEastAsia" w:eastAsiaTheme="minorEastAsia"/>
          <w:bCs/>
          <w:sz w:val="24"/>
          <w:szCs w:val="24"/>
        </w:rPr>
        <w:t>：</w:t>
      </w:r>
    </w:p>
    <w:bookmarkEnd w:id="130"/>
    <w:p w14:paraId="145F508D">
      <w:pPr>
        <w:pageBreakBefore w:val="0"/>
        <w:wordWrap/>
        <w:topLinePunct w:val="0"/>
        <w:bidi w:val="0"/>
        <w:spacing w:line="460" w:lineRule="exact"/>
        <w:ind w:firstLine="600" w:firstLineChars="250"/>
        <w:textAlignment w:val="auto"/>
        <w:rPr>
          <w:rFonts w:cs="宋体" w:asciiTheme="minorEastAsia" w:hAnsiTheme="minorEastAsia" w:eastAsiaTheme="minorEastAsia"/>
          <w:bCs/>
          <w:sz w:val="24"/>
          <w:szCs w:val="24"/>
        </w:rPr>
      </w:pPr>
      <w:bookmarkStart w:id="131" w:name="_Toc17885"/>
      <w:bookmarkStart w:id="132" w:name="_Toc15647"/>
      <w:bookmarkStart w:id="133" w:name="_Toc6835"/>
      <w:r>
        <w:rPr>
          <w:rFonts w:cs="宋体" w:asciiTheme="minorEastAsia" w:hAnsiTheme="minorEastAsia" w:eastAsiaTheme="minorEastAsia"/>
          <w:bCs/>
          <w:sz w:val="24"/>
          <w:szCs w:val="24"/>
        </w:rPr>
        <w:t>1</w:t>
      </w:r>
      <w:r>
        <w:rPr>
          <w:rFonts w:hint="eastAsia" w:cs="宋体" w:asciiTheme="minorEastAsia" w:hAnsiTheme="minorEastAsia" w:eastAsiaTheme="minorEastAsia"/>
          <w:bCs/>
          <w:sz w:val="24"/>
          <w:szCs w:val="24"/>
          <w:lang w:val="en-US" w:eastAsia="zh-CN"/>
        </w:rPr>
        <w:t>.</w:t>
      </w:r>
      <w:r>
        <w:rPr>
          <w:rFonts w:hint="eastAsia" w:cs="宋体" w:asciiTheme="minorEastAsia" w:hAnsiTheme="minorEastAsia" w:eastAsiaTheme="minorEastAsia"/>
          <w:bCs/>
          <w:sz w:val="24"/>
          <w:szCs w:val="24"/>
        </w:rPr>
        <w:t>以上各项打分均由</w:t>
      </w:r>
      <w:r>
        <w:rPr>
          <w:rFonts w:hint="eastAsia" w:cs="宋体" w:asciiTheme="minorEastAsia" w:hAnsiTheme="minorEastAsia" w:eastAsiaTheme="minorEastAsia"/>
          <w:bCs/>
          <w:sz w:val="24"/>
          <w:szCs w:val="24"/>
          <w:lang w:val="en-US" w:eastAsia="zh-CN"/>
        </w:rPr>
        <w:t>磋商小组</w:t>
      </w:r>
      <w:r>
        <w:rPr>
          <w:rFonts w:hint="eastAsia" w:cs="宋体" w:asciiTheme="minorEastAsia" w:hAnsiTheme="minorEastAsia" w:eastAsiaTheme="minorEastAsia"/>
          <w:bCs/>
          <w:sz w:val="24"/>
          <w:szCs w:val="24"/>
        </w:rPr>
        <w:t>独立评分，评分相邻</w:t>
      </w:r>
      <w:r>
        <w:rPr>
          <w:rFonts w:hint="eastAsia" w:cs="宋体" w:asciiTheme="minorEastAsia" w:hAnsiTheme="minorEastAsia" w:eastAsiaTheme="minorEastAsia"/>
          <w:bCs/>
          <w:sz w:val="24"/>
          <w:szCs w:val="24"/>
          <w:lang w:eastAsia="zh-CN"/>
        </w:rPr>
        <w:t>两档之间的</w:t>
      </w:r>
      <w:r>
        <w:rPr>
          <w:rFonts w:hint="eastAsia" w:cs="宋体" w:asciiTheme="minorEastAsia" w:hAnsiTheme="minorEastAsia" w:eastAsiaTheme="minorEastAsia"/>
          <w:bCs/>
          <w:sz w:val="24"/>
          <w:szCs w:val="24"/>
        </w:rPr>
        <w:t>得分，归属于较低一档</w:t>
      </w:r>
      <w:r>
        <w:rPr>
          <w:rFonts w:hint="eastAsia" w:cs="宋体" w:asciiTheme="minorEastAsia" w:hAnsiTheme="minorEastAsia" w:eastAsiaTheme="minorEastAsia"/>
          <w:bCs/>
          <w:sz w:val="24"/>
          <w:szCs w:val="24"/>
          <w:lang w:eastAsia="zh-CN"/>
        </w:rPr>
        <w:t>，</w:t>
      </w:r>
      <w:r>
        <w:rPr>
          <w:rFonts w:hint="eastAsia" w:cs="宋体" w:asciiTheme="minorEastAsia" w:hAnsiTheme="minorEastAsia" w:eastAsiaTheme="minorEastAsia"/>
          <w:bCs/>
          <w:sz w:val="24"/>
          <w:szCs w:val="24"/>
        </w:rPr>
        <w:t>两档之间可取小数点进行打分，按评审后综合得分由高到低推荐一至三名中标候选人。</w:t>
      </w:r>
    </w:p>
    <w:p w14:paraId="2B0EB16B">
      <w:pPr>
        <w:pageBreakBefore w:val="0"/>
        <w:wordWrap/>
        <w:topLinePunct w:val="0"/>
        <w:bidi w:val="0"/>
        <w:spacing w:line="460" w:lineRule="exact"/>
        <w:ind w:firstLine="600" w:firstLineChars="250"/>
        <w:textAlignment w:val="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2</w:t>
      </w:r>
      <w:r>
        <w:rPr>
          <w:rFonts w:hint="eastAsia" w:cs="宋体" w:asciiTheme="minorEastAsia" w:hAnsiTheme="minorEastAsia" w:eastAsiaTheme="minorEastAsia"/>
          <w:bCs/>
          <w:sz w:val="24"/>
          <w:szCs w:val="24"/>
          <w:lang w:val="en-US" w:eastAsia="zh-CN"/>
        </w:rPr>
        <w:t>.</w:t>
      </w:r>
      <w:r>
        <w:rPr>
          <w:rFonts w:hint="eastAsia" w:cs="宋体" w:asciiTheme="minorEastAsia" w:hAnsiTheme="minorEastAsia" w:eastAsiaTheme="minorEastAsia"/>
          <w:bCs/>
          <w:sz w:val="24"/>
          <w:szCs w:val="24"/>
        </w:rPr>
        <w:t>对于非专门面向中小企业的项目，对小型和微型企业产品的价格给予</w:t>
      </w:r>
      <w:r>
        <w:rPr>
          <w:rFonts w:hint="eastAsia" w:cs="宋体" w:asciiTheme="minorEastAsia" w:hAnsiTheme="minorEastAsia" w:eastAsiaTheme="minorEastAsia"/>
          <w:bCs/>
          <w:sz w:val="24"/>
          <w:szCs w:val="24"/>
          <w:lang w:val="en-US" w:eastAsia="zh-CN"/>
        </w:rPr>
        <w:t>10</w:t>
      </w:r>
      <w:r>
        <w:rPr>
          <w:rFonts w:hint="eastAsia" w:cs="宋体" w:asciiTheme="minorEastAsia" w:hAnsiTheme="minorEastAsia" w:eastAsiaTheme="minorEastAsia"/>
          <w:bCs/>
          <w:sz w:val="24"/>
          <w:szCs w:val="24"/>
        </w:rPr>
        <w:t>%的扣除，用扣除后的价格参与评审；</w:t>
      </w:r>
    </w:p>
    <w:p w14:paraId="39884C7D">
      <w:pPr>
        <w:pageBreakBefore w:val="0"/>
        <w:wordWrap/>
        <w:topLinePunct w:val="0"/>
        <w:bidi w:val="0"/>
        <w:spacing w:line="460" w:lineRule="exact"/>
        <w:ind w:firstLine="600" w:firstLineChars="250"/>
        <w:textAlignment w:val="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3</w:t>
      </w:r>
      <w:r>
        <w:rPr>
          <w:rFonts w:hint="eastAsia" w:cs="宋体" w:asciiTheme="minorEastAsia" w:hAnsiTheme="minorEastAsia" w:eastAsiaTheme="minorEastAsia"/>
          <w:bCs/>
          <w:sz w:val="24"/>
          <w:szCs w:val="24"/>
          <w:lang w:val="en-US" w:eastAsia="zh-CN"/>
        </w:rPr>
        <w:t>.</w:t>
      </w:r>
      <w:r>
        <w:rPr>
          <w:rFonts w:hint="eastAsia" w:cs="宋体" w:asciiTheme="minorEastAsia" w:hAnsiTheme="minorEastAsia" w:eastAsiaTheme="minorEastAsia"/>
          <w:bCs/>
          <w:sz w:val="24"/>
          <w:szCs w:val="24"/>
        </w:rPr>
        <w:t>对于非专门面向残疾人福利性单位的项目，对残疾人福利性单位产品的价格给予</w:t>
      </w:r>
      <w:r>
        <w:rPr>
          <w:rFonts w:hint="eastAsia" w:cs="宋体" w:asciiTheme="minorEastAsia" w:hAnsiTheme="minorEastAsia" w:eastAsiaTheme="minorEastAsia"/>
          <w:bCs/>
          <w:sz w:val="24"/>
          <w:szCs w:val="24"/>
          <w:lang w:val="en-US" w:eastAsia="zh-CN"/>
        </w:rPr>
        <w:t>10</w:t>
      </w:r>
      <w:r>
        <w:rPr>
          <w:rFonts w:hint="eastAsia" w:cs="宋体" w:asciiTheme="minorEastAsia" w:hAnsiTheme="minorEastAsia" w:eastAsiaTheme="minorEastAsia"/>
          <w:bCs/>
          <w:sz w:val="24"/>
          <w:szCs w:val="24"/>
        </w:rPr>
        <w:t>%的扣除，用扣除后的价格参与评审，残疾人福利性单位属于小型、微型企业的，不重复享受政策；</w:t>
      </w:r>
    </w:p>
    <w:p w14:paraId="4099BFB5">
      <w:pPr>
        <w:pageBreakBefore w:val="0"/>
        <w:wordWrap/>
        <w:topLinePunct w:val="0"/>
        <w:bidi w:val="0"/>
        <w:spacing w:line="460" w:lineRule="exact"/>
        <w:ind w:firstLine="600" w:firstLineChars="250"/>
        <w:textAlignment w:val="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4</w:t>
      </w:r>
      <w:r>
        <w:rPr>
          <w:rFonts w:hint="eastAsia" w:cs="宋体" w:asciiTheme="minorEastAsia" w:hAnsiTheme="minorEastAsia" w:eastAsiaTheme="minorEastAsia"/>
          <w:bCs/>
          <w:sz w:val="24"/>
          <w:szCs w:val="24"/>
          <w:lang w:val="en-US" w:eastAsia="zh-CN"/>
        </w:rPr>
        <w:t>.</w:t>
      </w:r>
      <w:r>
        <w:rPr>
          <w:rFonts w:hint="eastAsia" w:cs="宋体" w:asciiTheme="minorEastAsia" w:hAnsiTheme="minorEastAsia" w:eastAsiaTheme="minorEastAsia"/>
          <w:bCs/>
          <w:sz w:val="24"/>
          <w:szCs w:val="24"/>
        </w:rPr>
        <w:t>《关于政府采购支持监狱企业发展有关问题的通知》（财库</w:t>
      </w:r>
      <w:r>
        <w:rPr>
          <w:rFonts w:hint="eastAsia" w:cs="宋体" w:asciiTheme="minorEastAsia" w:hAnsiTheme="minorEastAsia" w:eastAsiaTheme="minorEastAsia"/>
          <w:bCs/>
          <w:sz w:val="24"/>
          <w:szCs w:val="24"/>
          <w:lang w:eastAsia="zh-CN"/>
        </w:rPr>
        <w:t>〔2014〕68号</w:t>
      </w:r>
      <w:r>
        <w:rPr>
          <w:rFonts w:hint="eastAsia" w:cs="宋体" w:asciiTheme="minorEastAsia" w:hAnsiTheme="minorEastAsia" w:eastAsiaTheme="minorEastAsia"/>
          <w:bCs/>
          <w:sz w:val="24"/>
          <w:szCs w:val="24"/>
        </w:rPr>
        <w:t>）的规定，对监狱企业给予</w:t>
      </w:r>
      <w:r>
        <w:rPr>
          <w:rFonts w:hint="eastAsia" w:cs="宋体" w:asciiTheme="minorEastAsia" w:hAnsiTheme="minorEastAsia" w:eastAsiaTheme="minorEastAsia"/>
          <w:bCs/>
          <w:sz w:val="24"/>
          <w:szCs w:val="24"/>
          <w:lang w:val="en-US" w:eastAsia="zh-CN"/>
        </w:rPr>
        <w:t>10</w:t>
      </w:r>
      <w:r>
        <w:rPr>
          <w:rFonts w:hint="eastAsia" w:cs="宋体" w:asciiTheme="minorEastAsia" w:hAnsiTheme="minorEastAsia" w:eastAsiaTheme="minorEastAsia"/>
          <w:bCs/>
          <w:sz w:val="24"/>
          <w:szCs w:val="24"/>
        </w:rPr>
        <w:t>%的价格扣除，用扣除后的价格参与评审。（提供由省级以上监狱管理局、戒毒管理局（含新疆生产建设兵团）出具的属于监狱企业的证明文件）</w:t>
      </w:r>
    </w:p>
    <w:p w14:paraId="1653A196">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cs="宋体" w:asciiTheme="minorEastAsia" w:hAnsiTheme="minorEastAsia" w:eastAsiaTheme="minorEastAsia"/>
          <w:bCs/>
          <w:sz w:val="24"/>
          <w:szCs w:val="24"/>
          <w:highlight w:val="none"/>
        </w:rPr>
        <w:t>5</w:t>
      </w:r>
      <w:r>
        <w:rPr>
          <w:rFonts w:hint="eastAsia" w:cs="宋体" w:asciiTheme="minorEastAsia" w:hAnsiTheme="minorEastAsia" w:eastAsiaTheme="minorEastAsia"/>
          <w:bCs/>
          <w:sz w:val="24"/>
          <w:szCs w:val="24"/>
          <w:highlight w:val="none"/>
          <w:lang w:val="en-US" w:eastAsia="zh-CN"/>
        </w:rPr>
        <w:t>.</w:t>
      </w:r>
      <w:r>
        <w:rPr>
          <w:rFonts w:hint="eastAsia" w:ascii="宋体" w:hAnsi="宋体" w:cs="宋体"/>
          <w:sz w:val="24"/>
          <w:szCs w:val="24"/>
          <w:highlight w:val="none"/>
          <w:lang w:val="en-US" w:eastAsia="zh-CN"/>
        </w:rPr>
        <w:t>在评审中出现下列情形之一的，磋商小组将启动异常低价响应审查程序：</w:t>
      </w:r>
    </w:p>
    <w:p w14:paraId="18B6BAD0">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（1）响应报价低于全部通过符合性审查供应商响应报价平均值50%的，即响应报价＜全部通过符合性审查供应商响应报价平均值×50%；</w:t>
      </w:r>
    </w:p>
    <w:p w14:paraId="3025634A">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（2）响应报价低于通过符合性审查的次低报价供应商响应报价50%的，即响应报价＜通过符合性审查的次低报价供应商响应报价×50%；</w:t>
      </w:r>
    </w:p>
    <w:p w14:paraId="6F579BFC">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（3）响应报价低于采购项目最高限价45%的，即响应报价＜采购项目最高限价×45%；</w:t>
      </w:r>
    </w:p>
    <w:p w14:paraId="07D33F0B">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（4）磋商小组基于专业判断，认为供应商报价过低，有可能影响产品质量或者不能诚信履约的其他情形。</w:t>
      </w:r>
    </w:p>
    <w:p w14:paraId="45520FD3">
      <w:pPr>
        <w:keepNext/>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cs="宋体"/>
          <w:bCs/>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fill="FFFFFF"/>
          <w:lang w:val="en-US" w:eastAsia="zh-CN"/>
        </w:rPr>
        <w:t>磋商小组</w:t>
      </w:r>
      <w:r>
        <w:rPr>
          <w:rFonts w:hint="eastAsia" w:ascii="宋体" w:hAnsi="宋体" w:eastAsia="宋体" w:cs="宋体"/>
          <w:i w:val="0"/>
          <w:iCs w:val="0"/>
          <w:caps w:val="0"/>
          <w:color w:val="000000"/>
          <w:spacing w:val="0"/>
          <w:sz w:val="24"/>
          <w:szCs w:val="24"/>
          <w:highlight w:val="none"/>
          <w:shd w:val="clear" w:fill="FFFFFF"/>
        </w:rPr>
        <w:t>启动异常低价响应审查后，属于前述第1项至第4项情形的，相关供应商在评审现场30分钟</w:t>
      </w:r>
      <w:r>
        <w:rPr>
          <w:rFonts w:hint="eastAsia" w:ascii="宋体" w:hAnsi="宋体" w:eastAsia="宋体" w:cs="宋体"/>
          <w:i w:val="0"/>
          <w:iCs w:val="0"/>
          <w:caps w:val="0"/>
          <w:color w:val="000000"/>
          <w:spacing w:val="0"/>
          <w:sz w:val="24"/>
          <w:szCs w:val="24"/>
          <w:highlight w:val="none"/>
          <w:shd w:val="clear" w:fill="FFFFFF"/>
          <w:lang w:val="en-US" w:eastAsia="zh-CN"/>
        </w:rPr>
        <w:t>以</w:t>
      </w:r>
      <w:r>
        <w:rPr>
          <w:rFonts w:hint="eastAsia" w:ascii="宋体" w:hAnsi="宋体" w:eastAsia="宋体" w:cs="宋体"/>
          <w:i w:val="0"/>
          <w:iCs w:val="0"/>
          <w:caps w:val="0"/>
          <w:color w:val="000000"/>
          <w:spacing w:val="0"/>
          <w:sz w:val="24"/>
          <w:szCs w:val="24"/>
          <w:highlight w:val="none"/>
          <w:shd w:val="clear" w:fill="FFFFFF"/>
        </w:rPr>
        <w:t>内对响应价格作出解释，提供项目具体成本测算等与报价合理性相关的书面说明及必要的证明材料，包括但不限于原材料成本、人工成本、制造费用等</w:t>
      </w:r>
      <w:r>
        <w:rPr>
          <w:rFonts w:hint="eastAsia" w:ascii="宋体" w:hAnsi="宋体" w:cs="宋体"/>
          <w:i w:val="0"/>
          <w:iCs w:val="0"/>
          <w:caps w:val="0"/>
          <w:color w:val="000000"/>
          <w:spacing w:val="0"/>
          <w:sz w:val="24"/>
          <w:szCs w:val="24"/>
          <w:highlight w:val="none"/>
          <w:shd w:val="clear" w:fill="FFFFFF"/>
          <w:lang w:eastAsia="zh-CN"/>
        </w:rPr>
        <w:t>，</w:t>
      </w:r>
      <w:r>
        <w:rPr>
          <w:rFonts w:hint="eastAsia" w:ascii="宋体" w:hAnsi="宋体" w:cs="宋体"/>
          <w:i w:val="0"/>
          <w:iCs w:val="0"/>
          <w:caps w:val="0"/>
          <w:color w:val="000000"/>
          <w:spacing w:val="0"/>
          <w:sz w:val="24"/>
          <w:szCs w:val="24"/>
          <w:highlight w:val="none"/>
          <w:shd w:val="clear" w:fill="FFFFFF"/>
          <w:lang w:val="en-US" w:eastAsia="zh-CN"/>
        </w:rPr>
        <w:t>如不能在规定时间内提供证明其报价合理的说明，磋商小组将其作为无效投标处理。</w:t>
      </w:r>
      <w:r>
        <w:rPr>
          <w:rFonts w:hint="eastAsia" w:ascii="宋体" w:hAnsi="宋体" w:eastAsia="宋体" w:cs="宋体"/>
          <w:i w:val="0"/>
          <w:iCs w:val="0"/>
          <w:caps w:val="0"/>
          <w:color w:val="000000"/>
          <w:spacing w:val="0"/>
          <w:sz w:val="24"/>
          <w:szCs w:val="24"/>
          <w:highlight w:val="none"/>
          <w:shd w:val="clear" w:fill="FFFFFF"/>
        </w:rPr>
        <w:t>其中，属于第3项情形，供应商已随响应文件一并提交相关书面说明及必要的证明材料的，在评审现场可不再重复提交。</w:t>
      </w:r>
    </w:p>
    <w:p w14:paraId="578834D7">
      <w:pPr>
        <w:pStyle w:val="2"/>
        <w:pageBreakBefore/>
        <w:numPr>
          <w:ilvl w:val="0"/>
          <w:numId w:val="0"/>
        </w:numPr>
        <w:ind w:left="0" w:leftChars="0" w:firstLine="0" w:firstLineChars="0"/>
        <w:rPr>
          <w:color w:val="auto"/>
          <w:highlight w:val="none"/>
        </w:rPr>
      </w:pPr>
      <w:r>
        <w:rPr>
          <w:rFonts w:hint="eastAsia" w:ascii="Times New Roman" w:hAnsi="Times New Roman" w:eastAsia="宋体" w:cs="Times New Roman"/>
          <w:b/>
          <w:bCs/>
          <w:color w:val="auto"/>
          <w:kern w:val="44"/>
          <w:sz w:val="32"/>
          <w:szCs w:val="32"/>
          <w:lang w:val="en-US" w:eastAsia="zh-CN" w:bidi="ar-SA"/>
        </w:rPr>
        <w:t>第</w:t>
      </w:r>
      <w:r>
        <w:rPr>
          <w:rFonts w:hint="eastAsia" w:cs="Times New Roman"/>
          <w:b/>
          <w:bCs/>
          <w:color w:val="auto"/>
          <w:kern w:val="44"/>
          <w:sz w:val="32"/>
          <w:szCs w:val="32"/>
          <w:lang w:val="en-US" w:eastAsia="zh-CN" w:bidi="ar-SA"/>
        </w:rPr>
        <w:t>五</w:t>
      </w:r>
      <w:r>
        <w:rPr>
          <w:rFonts w:hint="eastAsia" w:ascii="Times New Roman" w:hAnsi="Times New Roman" w:eastAsia="宋体" w:cs="Times New Roman"/>
          <w:b/>
          <w:bCs/>
          <w:color w:val="auto"/>
          <w:kern w:val="44"/>
          <w:sz w:val="32"/>
          <w:szCs w:val="32"/>
          <w:lang w:val="en-US" w:eastAsia="zh-CN" w:bidi="ar-SA"/>
        </w:rPr>
        <w:t>部分</w:t>
      </w:r>
      <w:r>
        <w:rPr>
          <w:rFonts w:ascii="宋体" w:hAnsi="宋体" w:cs="宋体"/>
          <w:color w:val="auto"/>
          <w:highlight w:val="none"/>
        </w:rPr>
        <w:t xml:space="preserve"> </w:t>
      </w:r>
      <w:r>
        <w:rPr>
          <w:rFonts w:hint="eastAsia" w:ascii="宋体" w:hAnsi="宋体" w:cs="宋体"/>
          <w:color w:val="auto"/>
          <w:highlight w:val="none"/>
        </w:rPr>
        <w:t>采购内容及要求</w:t>
      </w:r>
      <w:bookmarkEnd w:id="131"/>
    </w:p>
    <w:p w14:paraId="48D2FF21">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rPr>
          <w:rFonts w:hint="default" w:ascii="宋体" w:hAnsi="宋体" w:eastAsia="宋体" w:cs="宋体"/>
          <w:b/>
          <w:sz w:val="24"/>
          <w:szCs w:val="24"/>
          <w:lang w:val="en-US" w:eastAsia="zh-CN"/>
        </w:rPr>
      </w:pPr>
      <w:bookmarkStart w:id="134" w:name="OLE_LINK13"/>
      <w:r>
        <w:rPr>
          <w:rFonts w:hint="eastAsia" w:ascii="宋体" w:hAnsi="宋体" w:cs="宋体"/>
          <w:b/>
          <w:sz w:val="24"/>
          <w:szCs w:val="24"/>
          <w:lang w:val="en-US" w:eastAsia="zh-CN"/>
        </w:rPr>
        <w:t>一、工程概况</w:t>
      </w:r>
    </w:p>
    <w:p w14:paraId="2C3E73E5">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default" w:ascii="宋体" w:hAnsi="宋体" w:cs="宋体"/>
          <w:b w:val="0"/>
          <w:bCs/>
          <w:sz w:val="24"/>
          <w:szCs w:val="24"/>
          <w:lang w:val="en-US" w:eastAsia="zh-CN"/>
        </w:rPr>
      </w:pPr>
      <w:r>
        <w:rPr>
          <w:rFonts w:hint="eastAsia" w:ascii="宋体" w:hAnsi="宋体" w:cs="宋体"/>
          <w:b w:val="0"/>
          <w:bCs/>
          <w:sz w:val="24"/>
          <w:szCs w:val="24"/>
          <w:lang w:val="en-US" w:eastAsia="zh-CN"/>
        </w:rPr>
        <w:t>1.采购单位：安康市工人文化宫</w:t>
      </w:r>
    </w:p>
    <w:p w14:paraId="71BF1BAE">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b w:val="0"/>
          <w:bCs/>
          <w:sz w:val="24"/>
          <w:szCs w:val="24"/>
        </w:rPr>
      </w:pPr>
      <w:r>
        <w:rPr>
          <w:rFonts w:hint="eastAsia" w:ascii="宋体" w:hAnsi="宋体" w:cs="宋体"/>
          <w:b w:val="0"/>
          <w:bCs/>
          <w:sz w:val="24"/>
          <w:szCs w:val="24"/>
          <w:lang w:val="en-US" w:eastAsia="zh-CN"/>
        </w:rPr>
        <w:t>2.</w:t>
      </w:r>
      <w:r>
        <w:rPr>
          <w:rFonts w:hint="eastAsia" w:ascii="宋体" w:hAnsi="宋体" w:eastAsia="宋体" w:cs="宋体"/>
          <w:b w:val="0"/>
          <w:bCs/>
          <w:sz w:val="24"/>
          <w:szCs w:val="24"/>
        </w:rPr>
        <w:t>施工地点：采购人指定地点</w:t>
      </w:r>
    </w:p>
    <w:p w14:paraId="45D767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rPr>
      </w:pPr>
      <w:r>
        <w:rPr>
          <w:rFonts w:hint="eastAsia" w:ascii="宋体" w:hAnsi="宋体" w:cs="宋体"/>
          <w:b w:val="0"/>
          <w:bCs/>
          <w:sz w:val="24"/>
          <w:szCs w:val="24"/>
          <w:lang w:val="en-US" w:eastAsia="zh-CN"/>
        </w:rPr>
        <w:t>3.</w:t>
      </w:r>
      <w:r>
        <w:rPr>
          <w:rFonts w:hint="eastAsia" w:ascii="宋体" w:hAnsi="宋体" w:eastAsia="宋体" w:cs="宋体"/>
          <w:b w:val="0"/>
          <w:bCs/>
          <w:sz w:val="24"/>
          <w:szCs w:val="24"/>
        </w:rPr>
        <w:t>工程</w:t>
      </w:r>
      <w:r>
        <w:rPr>
          <w:rFonts w:hint="eastAsia" w:ascii="宋体" w:hAnsi="宋体" w:cs="宋体"/>
          <w:b w:val="0"/>
          <w:bCs/>
          <w:sz w:val="24"/>
          <w:szCs w:val="24"/>
          <w:lang w:val="en-US" w:eastAsia="zh-CN"/>
        </w:rPr>
        <w:t>概况</w:t>
      </w:r>
      <w:r>
        <w:rPr>
          <w:rFonts w:hint="eastAsia" w:ascii="宋体" w:hAnsi="宋体" w:eastAsia="宋体" w:cs="宋体"/>
          <w:b w:val="0"/>
          <w:bCs/>
          <w:sz w:val="24"/>
          <w:szCs w:val="24"/>
        </w:rPr>
        <w:t>：</w:t>
      </w:r>
      <w:bookmarkEnd w:id="134"/>
      <w:r>
        <w:rPr>
          <w:rFonts w:hint="eastAsia" w:ascii="宋体" w:hAnsi="宋体" w:eastAsia="宋体" w:cs="宋体"/>
          <w:b w:val="0"/>
          <w:bCs/>
          <w:sz w:val="24"/>
          <w:szCs w:val="24"/>
        </w:rPr>
        <w:t>本工程内容包括室内精装修工程，强电工程，弱电工程，给排水工程，消防工程，暖通工程的施工，均以设计图纸为准。其中软装，电视设备，展陈布展等工程按暂估价计入；其中暖通部分，由于部分风阀，防火阀等无相关图例，无法确定风阀具体</w:t>
      </w:r>
      <w:r>
        <w:rPr>
          <w:rFonts w:hint="eastAsia" w:ascii="宋体" w:hAnsi="宋体" w:eastAsia="宋体" w:cs="宋体"/>
          <w:b w:val="0"/>
          <w:bCs/>
          <w:color w:val="auto"/>
          <w:sz w:val="24"/>
          <w:szCs w:val="24"/>
        </w:rPr>
        <w:t>名称，以暂估价计入。</w:t>
      </w:r>
    </w:p>
    <w:p w14:paraId="42DB3A1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质量要求</w:t>
      </w:r>
    </w:p>
    <w:p w14:paraId="0103AE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工程质量符合国家、行业及地方现行相关标准、规范要求，确保验收合格。</w:t>
      </w:r>
    </w:p>
    <w:p w14:paraId="18145D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工程所用原材料、构配件、设备等须符合采购文件、投标文件、合同约定及国家现行质量标准，进场前须提供产品合格证明、检测报告等资料，经采购人验收合格后方可使用，严禁使用不合格材料。</w:t>
      </w:r>
    </w:p>
    <w:p w14:paraId="5EDC90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承包人须严格按照施工图纸、规范标准及采购人要求组织施工，确保施工质量满足使用功能及安全要求。</w:t>
      </w:r>
    </w:p>
    <w:p w14:paraId="2F39C3E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三</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安全文明施工与环境保护要求</w:t>
      </w:r>
    </w:p>
    <w:p w14:paraId="3F699B52">
      <w:pPr>
        <w:pStyle w:val="43"/>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1.承包人须严格遵守安全生产相关法律法规，落实安全生产责任制，编制专项安全施工方案，配备专职安全管理人员，全面负责施工现场安全生产管理，承担施工期间全部安全责任。</w:t>
      </w:r>
    </w:p>
    <w:p w14:paraId="71938593">
      <w:pPr>
        <w:pStyle w:val="43"/>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承包人须依法为施工现场作业人员办理工伤保险，鼓励购买意外伤害保险，保障作业人员人身安全。</w:t>
      </w:r>
    </w:p>
    <w:p w14:paraId="149E11B7">
      <w:pPr>
        <w:pStyle w:val="43"/>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承包人须按规定落实安全防护、文明施工措施，设置安全警示标志，做好围挡封闭</w:t>
      </w:r>
      <w:r>
        <w:rPr>
          <w:rFonts w:hint="eastAsia" w:ascii="宋体" w:hAnsi="宋体" w:cs="宋体"/>
          <w:sz w:val="24"/>
          <w:szCs w:val="24"/>
          <w:lang w:val="en-US" w:eastAsia="zh-CN"/>
        </w:rPr>
        <w:t>、</w:t>
      </w:r>
      <w:r>
        <w:rPr>
          <w:rFonts w:ascii="宋体" w:hAnsi="宋体" w:eastAsia="宋体" w:cs="宋体"/>
          <w:sz w:val="24"/>
          <w:szCs w:val="24"/>
        </w:rPr>
        <w:t>错峰施工、成品保护、安全隔离</w:t>
      </w:r>
      <w:r>
        <w:rPr>
          <w:rFonts w:hint="eastAsia" w:ascii="宋体" w:hAnsi="宋体" w:eastAsia="宋体" w:cs="宋体"/>
          <w:sz w:val="24"/>
          <w:szCs w:val="24"/>
          <w:lang w:val="en-US" w:eastAsia="zh-CN"/>
        </w:rPr>
        <w:t>等工作。</w:t>
      </w:r>
    </w:p>
    <w:p w14:paraId="76DFA330">
      <w:pPr>
        <w:pStyle w:val="43"/>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承包人须编制专项环境保护措施，施工过程中采取有效措施控制扬尘、噪声、污水、固体废物等污染，做到文明施工、工完场清。</w:t>
      </w:r>
    </w:p>
    <w:p w14:paraId="11C6A4E1">
      <w:pPr>
        <w:pStyle w:val="43"/>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2" w:firstLineChars="200"/>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四</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验收程序</w:t>
      </w:r>
    </w:p>
    <w:p w14:paraId="1FD1DF31">
      <w:pPr>
        <w:pStyle w:val="43"/>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工程完工后，承包人向发包人提交书面竣工验收申请及完整的竣工验收资料（含竣工图、质量检测报告、隐蔽工程验收记录等）。</w:t>
      </w:r>
    </w:p>
    <w:p w14:paraId="19867405">
      <w:pPr>
        <w:pStyle w:val="43"/>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发包人收到验收申请及资料后，在7个工作日内完成资料审核，审核合格的组织相关单位进行竣工验收，并出具书面验收意见。</w:t>
      </w:r>
    </w:p>
    <w:p w14:paraId="4FDBF1BF">
      <w:pPr>
        <w:pStyle w:val="43"/>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若首次验收不合格，承包人须按发包人整改意见在15日历天内完成整改，整改完毕后重新提交验收申请，发包人组织复验。</w:t>
      </w:r>
    </w:p>
    <w:p w14:paraId="0BC19139">
      <w:pPr>
        <w:pStyle w:val="43"/>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若承包人未在规定时限内完成整改，或复验仍不合格的，视为承包人违约，发包人有权解除合同，追究承包人违约责任，由此造成的一切损失由承包人承担。</w:t>
      </w:r>
    </w:p>
    <w:p w14:paraId="588E7C82">
      <w:pPr>
        <w:pStyle w:val="43"/>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2" w:firstLineChars="200"/>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五</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其他要求</w:t>
      </w:r>
    </w:p>
    <w:p w14:paraId="6AFCB622">
      <w:pPr>
        <w:pStyle w:val="43"/>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1.承包人须在开工前编制详细的施工组织设计、施工进度计划，报采购人审核批准后方可实施。</w:t>
      </w:r>
    </w:p>
    <w:p w14:paraId="4F794BDE">
      <w:pPr>
        <w:pStyle w:val="43"/>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2.施工期间承包人须服从采购人及监理单位的现场管理，及时报送施工进度、安全、质量等相关资料。</w:t>
      </w:r>
    </w:p>
    <w:p w14:paraId="092A42B3">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rPr>
          <w:rFonts w:hint="eastAsia" w:ascii="宋体" w:hAnsi="宋体" w:cs="宋体"/>
          <w:b/>
          <w:sz w:val="24"/>
          <w:szCs w:val="24"/>
          <w:lang w:val="en-US" w:eastAsia="zh-CN"/>
        </w:rPr>
      </w:pPr>
      <w:r>
        <w:rPr>
          <w:rFonts w:hint="eastAsia" w:ascii="宋体" w:hAnsi="宋体" w:cs="宋体"/>
          <w:b/>
          <w:sz w:val="24"/>
          <w:szCs w:val="24"/>
          <w:lang w:val="en-US" w:eastAsia="zh-CN"/>
        </w:rPr>
        <w:t>六、商务要求</w:t>
      </w:r>
    </w:p>
    <w:p w14:paraId="293FD7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计划工期</w:t>
      </w:r>
    </w:p>
    <w:p w14:paraId="1261D5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工期：自合同签订生效之日起60日历天。</w:t>
      </w:r>
    </w:p>
    <w:p w14:paraId="7376AE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合同价款与支付方式</w:t>
      </w:r>
    </w:p>
    <w:p w14:paraId="7B8FFF4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2.1</w:t>
      </w:r>
      <w:r>
        <w:rPr>
          <w:rFonts w:hint="eastAsia" w:ascii="宋体" w:hAnsi="宋体" w:eastAsia="宋体" w:cs="宋体"/>
          <w:sz w:val="24"/>
          <w:szCs w:val="24"/>
          <w:lang w:val="en-US" w:eastAsia="zh-CN"/>
        </w:rPr>
        <w:t>合同价格形式：本项目采用固定总价合同。合同总价包含完成本项目全部工作内容所需的人工费、材料费、机械使用费、管理费、利润、规费、税金、安全文明施工费及合同约定范围内的风险费用等全部费用。</w:t>
      </w:r>
    </w:p>
    <w:p w14:paraId="6415307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合同范围内工作按固定总价执行；发生合同约定变更时，已有的综合单价不作调整，作为变更计价依据。除合同约定变更情形外，合同总价不予调整。</w:t>
      </w:r>
    </w:p>
    <w:p w14:paraId="55C5AF7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2.2</w:t>
      </w:r>
      <w:r>
        <w:rPr>
          <w:rFonts w:hint="eastAsia" w:ascii="宋体" w:hAnsi="宋体" w:eastAsia="宋体" w:cs="宋体"/>
          <w:sz w:val="24"/>
          <w:szCs w:val="24"/>
          <w:lang w:val="en-US" w:eastAsia="zh-CN"/>
        </w:rPr>
        <w:t>支付方式：发包人以银行转账方式支付合同价款。</w:t>
      </w:r>
    </w:p>
    <w:p w14:paraId="58F72C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2.3</w:t>
      </w:r>
      <w:r>
        <w:rPr>
          <w:rFonts w:hint="eastAsia" w:ascii="宋体" w:hAnsi="宋体" w:eastAsia="宋体" w:cs="宋体"/>
          <w:sz w:val="24"/>
          <w:szCs w:val="24"/>
          <w:lang w:val="en-US" w:eastAsia="zh-CN"/>
        </w:rPr>
        <w:t>结算方式</w:t>
      </w:r>
      <w:r>
        <w:rPr>
          <w:rFonts w:hint="eastAsia" w:ascii="宋体" w:hAnsi="宋体" w:cs="宋体"/>
          <w:sz w:val="24"/>
          <w:szCs w:val="24"/>
          <w:lang w:val="en-US" w:eastAsia="zh-CN"/>
        </w:rPr>
        <w:t>：</w:t>
      </w:r>
    </w:p>
    <w:p w14:paraId="36B867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合同签订生效支付合同总额的40%作为工程预付款；工程完工并通过竣工验收，且完成结算审计后，付清余款。</w:t>
      </w:r>
    </w:p>
    <w:p w14:paraId="2DDABF7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lang w:val="en-US" w:eastAsia="zh-CN"/>
        </w:rPr>
        <w:t>质保要求：参照国家及行业标准，具体情况双方协商。</w:t>
      </w:r>
    </w:p>
    <w:p w14:paraId="566C596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4.质量验收标准：按国家及相关地方政策规范执行。</w:t>
      </w:r>
    </w:p>
    <w:p w14:paraId="7808C2C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5.质量等级：符合国家现行施工及验收规范的合格标准。</w:t>
      </w:r>
    </w:p>
    <w:p w14:paraId="2F21E477">
      <w:pPr>
        <w:keepNext w:val="0"/>
        <w:keepLines w:val="0"/>
        <w:pageBreakBefore w:val="0"/>
        <w:widowControl w:val="0"/>
        <w:kinsoku/>
        <w:wordWrap/>
        <w:overflowPunct/>
        <w:topLinePunct w:val="0"/>
        <w:autoSpaceDE/>
        <w:autoSpaceDN/>
        <w:bidi w:val="0"/>
        <w:spacing w:line="460" w:lineRule="exact"/>
        <w:ind w:firstLine="482" w:firstLineChars="200"/>
        <w:textAlignment w:val="auto"/>
        <w:rPr>
          <w:rFonts w:hint="default" w:ascii="宋体" w:hAnsi="宋体" w:cs="宋体"/>
          <w:b/>
          <w:color w:val="auto"/>
          <w:kern w:val="2"/>
          <w:sz w:val="24"/>
          <w:szCs w:val="24"/>
          <w:lang w:val="en-US" w:eastAsia="zh-CN" w:bidi="ar-SA"/>
        </w:rPr>
      </w:pPr>
      <w:r>
        <w:rPr>
          <w:rFonts w:hint="eastAsia" w:ascii="宋体" w:hAnsi="宋体" w:cs="宋体"/>
          <w:b/>
          <w:color w:val="auto"/>
          <w:kern w:val="2"/>
          <w:sz w:val="24"/>
          <w:szCs w:val="24"/>
          <w:lang w:val="en-US" w:eastAsia="zh-CN" w:bidi="ar-SA"/>
        </w:rPr>
        <w:t>七．图纸（另附）</w:t>
      </w:r>
    </w:p>
    <w:p w14:paraId="54D70D6D">
      <w:pPr>
        <w:keepNext w:val="0"/>
        <w:keepLines w:val="0"/>
        <w:pageBreakBefore w:val="0"/>
        <w:widowControl w:val="0"/>
        <w:kinsoku/>
        <w:wordWrap/>
        <w:overflowPunct/>
        <w:topLinePunct w:val="0"/>
        <w:autoSpaceDE/>
        <w:autoSpaceDN/>
        <w:bidi w:val="0"/>
        <w:spacing w:line="460" w:lineRule="exact"/>
        <w:ind w:firstLine="482" w:firstLineChars="200"/>
        <w:textAlignment w:val="auto"/>
        <w:rPr>
          <w:rFonts w:hint="eastAsia" w:ascii="宋体" w:hAnsi="宋体" w:eastAsia="宋体" w:cs="宋体"/>
          <w:color w:val="auto"/>
          <w:sz w:val="24"/>
          <w:szCs w:val="24"/>
          <w:lang w:val="en-US" w:eastAsia="zh-CN"/>
        </w:rPr>
      </w:pPr>
      <w:r>
        <w:rPr>
          <w:rFonts w:hint="eastAsia" w:ascii="宋体" w:hAnsi="宋体" w:cs="宋体"/>
          <w:b/>
          <w:color w:val="auto"/>
          <w:kern w:val="2"/>
          <w:sz w:val="24"/>
          <w:szCs w:val="24"/>
          <w:lang w:val="en-US" w:eastAsia="zh-CN" w:bidi="ar-SA"/>
        </w:rPr>
        <w:t>八</w:t>
      </w:r>
      <w:r>
        <w:rPr>
          <w:rFonts w:hint="eastAsia" w:ascii="宋体" w:hAnsi="宋体" w:eastAsia="宋体" w:cs="宋体"/>
          <w:b/>
          <w:color w:val="auto"/>
          <w:kern w:val="2"/>
          <w:sz w:val="24"/>
          <w:szCs w:val="24"/>
          <w:lang w:val="en-US" w:eastAsia="zh-CN" w:bidi="ar-SA"/>
        </w:rPr>
        <w:t>、</w:t>
      </w:r>
      <w:r>
        <w:rPr>
          <w:rFonts w:hint="eastAsia" w:ascii="Times New Roman" w:hAnsi="宋体" w:eastAsia="宋体" w:cs="Times New Roman"/>
          <w:b/>
          <w:color w:val="auto"/>
          <w:sz w:val="24"/>
          <w:szCs w:val="24"/>
          <w:lang w:val="en-US" w:eastAsia="zh-CN"/>
        </w:rPr>
        <w:t>编制说明及工程量清单</w:t>
      </w:r>
    </w:p>
    <w:p w14:paraId="2F845789">
      <w:pPr>
        <w:autoSpaceDE w:val="0"/>
        <w:autoSpaceDN w:val="0"/>
        <w:adjustRightInd w:val="0"/>
        <w:jc w:val="center"/>
        <w:rPr>
          <w:rFonts w:hint="eastAsia" w:eastAsia="宋体" w:cs="Calibri" w:asciiTheme="minorHAnsi" w:hAnsiTheme="minorHAnsi"/>
          <w:b/>
          <w:bCs/>
          <w:caps/>
          <w:color w:val="000000" w:themeColor="text1"/>
          <w:kern w:val="2"/>
          <w:sz w:val="36"/>
          <w:szCs w:val="20"/>
          <w:lang w:val="en-US" w:eastAsia="zh-CN" w:bidi="ar-SA"/>
          <w14:textFill>
            <w14:solidFill>
              <w14:schemeClr w14:val="tx1"/>
            </w14:solidFill>
          </w14:textFill>
        </w:rPr>
        <w:sectPr>
          <w:headerReference r:id="rId17" w:type="default"/>
          <w:footerReference r:id="rId18" w:type="default"/>
          <w:pgSz w:w="11905" w:h="16838"/>
          <w:pgMar w:top="1304" w:right="1304" w:bottom="1304" w:left="1304" w:header="907" w:footer="879" w:gutter="0"/>
          <w:pgNumType w:fmt="decimal"/>
          <w:cols w:space="0" w:num="1"/>
          <w:titlePg/>
          <w:rtlGutter w:val="0"/>
          <w:docGrid w:type="lines" w:linePitch="323" w:charSpace="0"/>
        </w:sectPr>
      </w:pPr>
      <w:bookmarkStart w:id="135" w:name="_Toc536202391"/>
      <w:bookmarkStart w:id="136" w:name="_Toc536429384"/>
      <w:bookmarkStart w:id="137" w:name="_Toc536429331"/>
      <w:bookmarkStart w:id="138" w:name="_Toc536202322"/>
      <w:bookmarkStart w:id="139" w:name="_Toc10286"/>
      <w:bookmarkStart w:id="140" w:name="_Toc19543347"/>
      <w:bookmarkStart w:id="141" w:name="_Toc30668"/>
    </w:p>
    <w:p w14:paraId="4099AB67">
      <w:pPr>
        <w:autoSpaceDE w:val="0"/>
        <w:autoSpaceDN w:val="0"/>
        <w:adjustRightInd w:val="0"/>
        <w:jc w:val="center"/>
        <w:rPr>
          <w:rFonts w:hint="eastAsia" w:eastAsia="宋体" w:cs="Calibri" w:asciiTheme="minorHAnsi" w:hAnsiTheme="minorHAnsi"/>
          <w:b/>
          <w:bCs/>
          <w:caps/>
          <w:color w:val="000000" w:themeColor="text1"/>
          <w:kern w:val="2"/>
          <w:sz w:val="36"/>
          <w:szCs w:val="20"/>
          <w:lang w:val="en-US" w:eastAsia="zh-CN" w:bidi="ar-SA"/>
          <w14:textFill>
            <w14:solidFill>
              <w14:schemeClr w14:val="tx1"/>
            </w14:solidFill>
          </w14:textFill>
        </w:rPr>
      </w:pPr>
      <w:r>
        <w:rPr>
          <w:rFonts w:hint="eastAsia" w:eastAsia="宋体" w:cs="Calibri" w:asciiTheme="minorHAnsi" w:hAnsiTheme="minorHAnsi"/>
          <w:b/>
          <w:bCs/>
          <w:caps/>
          <w:color w:val="000000" w:themeColor="text1"/>
          <w:kern w:val="2"/>
          <w:sz w:val="36"/>
          <w:szCs w:val="20"/>
          <w:lang w:val="en-US" w:eastAsia="zh-CN" w:bidi="ar-SA"/>
          <w14:textFill>
            <w14:solidFill>
              <w14:schemeClr w14:val="tx1"/>
            </w14:solidFill>
          </w14:textFill>
        </w:rPr>
        <w:t>编 制 说 明</w:t>
      </w:r>
    </w:p>
    <w:p w14:paraId="73A416A6">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一、项目概况</w:t>
      </w:r>
    </w:p>
    <w:p w14:paraId="1C1B347A">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1.工程名称：安康市工人文化宫一楼装修施工项目</w:t>
      </w:r>
    </w:p>
    <w:p w14:paraId="77204A17">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2.工程地址：陕西省安康市工人文化宫</w:t>
      </w:r>
    </w:p>
    <w:p w14:paraId="53767249">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3.编制范围：本工程内容包括室内精装修工程，强电工程，弱电工程，给排水工程，消防工程，暖通工程的施工，均以设计图纸为准。</w:t>
      </w:r>
    </w:p>
    <w:p w14:paraId="3B3914BF">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4.展陈布展（包括广告展板、地台造型、展柜造型、场景模型、显示屏、软装、电视设备，以及其他需要但图纸未显示项目）暂估545000.00元/项计入装饰工程。</w:t>
      </w:r>
    </w:p>
    <w:p w14:paraId="4AD06F05">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5.设计图示定制迷你发光字综合单价暂按1000.00元/项计入。</w:t>
      </w:r>
    </w:p>
    <w:p w14:paraId="6FCA3994">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6.暖通部分，各类阀门无相关图例，无法确定阀门类型及名称，综合单价暂按5000.00元/项计入。</w:t>
      </w:r>
    </w:p>
    <w:p w14:paraId="7D213FD1">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二、编制依据</w:t>
      </w:r>
    </w:p>
    <w:p w14:paraId="4568074D">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1.本工程依据甲方提供的工程量清单，结合相关文件进行编制；</w:t>
      </w:r>
    </w:p>
    <w:p w14:paraId="4F353647">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2.陕西省工程建设标准《建设工程工程量清单计价标准》DB61/T 5126-2025、陕西省工程建设标准《房屋建筑与装饰工程工程量计算标准》DB61/T 5129-2025、陕西省工程建设标准《通用安装工程工程量计算标准》DB61/T5130-2025、陕西省工程建设标准《市政工程工程量计算标准》DB61/T 5128-2025、陕西省工程建设标准《园林绿化工程工程量计算标准》DB61/T 5131-2025。</w:t>
      </w:r>
    </w:p>
    <w:p w14:paraId="379732FF">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3.《陕西省建设工程费用规则》(2025)。</w:t>
      </w:r>
    </w:p>
    <w:p w14:paraId="2BC23CBD">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4.《陕西省房屋建筑与装饰工程消耗量定额》(2025)、《陕西省通用安装工程消耗量定额》(2025)、《陕西省市政工程消耗量定额》(2025)、《陕西省园林绿化工程消耗量定额》(2025)、《陕西省绿色建筑工程消耗量定额》(2025)。</w:t>
      </w:r>
    </w:p>
    <w:p w14:paraId="6B1E8AE7">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5.《陕西省房屋建筑与装饰工程基价表》(2025)、《陕西省通用安装工程基价表》(2025)、《陕西省市政工程基价表》(2025)、《陕西省园林绿化工程基价表》(2025)、《陕西省绿色建筑工程基价表</w:t>
      </w:r>
      <w:bookmarkStart w:id="259" w:name="_GoBack"/>
      <w:bookmarkEnd w:id="259"/>
      <w:r>
        <w:rPr>
          <w:rFonts w:hint="eastAsia" w:asciiTheme="minorEastAsia" w:hAnsiTheme="minorEastAsia" w:eastAsiaTheme="minorEastAsia" w:cstheme="minorEastAsia"/>
          <w:b w:val="0"/>
          <w:bCs w:val="0"/>
          <w:color w:val="auto"/>
          <w:sz w:val="24"/>
          <w:szCs w:val="24"/>
          <w:lang w:val="en-US" w:eastAsia="zh-CN"/>
        </w:rPr>
        <w:t>》(2025)。</w:t>
      </w:r>
    </w:p>
    <w:p w14:paraId="19CA6480">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6.材料价参考《安康建设工程造价信息》2026年第6期信息价、陕西工程造价信息2026年6月信息价及相关市场价。</w:t>
      </w:r>
    </w:p>
    <w:p w14:paraId="0DB1D18B">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7.本工程编制软件采用广联达计价软件GCCP7.0版本。</w:t>
      </w:r>
    </w:p>
    <w:p w14:paraId="20B2FA14">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三、投标人计价要求</w:t>
      </w:r>
    </w:p>
    <w:p w14:paraId="1D72821C">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1.投标人应依据《计价规则》规定和招标文件要求进行自主计价。工程量清单计价内容包括分部分项工程费、措施项目费、其它项目费和税金。工程量清单计价以综合单价计价，综合单价应根据《计价规则》的程序组价；</w:t>
      </w:r>
    </w:p>
    <w:p w14:paraId="5C85A922">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2.工程量清单中的每一个项目都需填入单价 ，对于没有填入单价或总额价的项目，其费用应视为已包括在工程量的其它单价或总额中，承包人必须按设计文件完成工程量清单中未填入单价或总额价的工程项目；</w:t>
      </w:r>
    </w:p>
    <w:p w14:paraId="16CCDF30">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3.本工程量清单所提供的工程项目其工程内容仅表达了主要工程做法，报价时各投标单位应依据图纸用料说明、相关图集，结合招标文件、技术规范、图纸等文件来进行组价；</w:t>
      </w:r>
    </w:p>
    <w:p w14:paraId="03B9B76C">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4.投标人根据《计价规则》规定和投标文件要求格式计价，其中人工费、材料费、机械费，投标人应根据施工组织设计、企业实际情况、市场信息价自主报价。组价时应充分考虑以下因素：人工费、材料费、机械费社会价格浮动因素，自然灾害及停水、停电、停窝工损失等风险费用。</w:t>
      </w:r>
    </w:p>
    <w:p w14:paraId="0336A9D9">
      <w:pPr>
        <w:pStyle w:val="19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四、其他说明</w:t>
      </w:r>
    </w:p>
    <w:p w14:paraId="74C915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1.本工程编制软件采用广联达计价软件GCCP7.0版本。</w:t>
      </w:r>
    </w:p>
    <w:p w14:paraId="75E57D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2.工程量清单（详见附件）</w:t>
      </w:r>
    </w:p>
    <w:p w14:paraId="7320FC80">
      <w:pPr>
        <w:tabs>
          <w:tab w:val="left" w:pos="5520"/>
        </w:tabs>
        <w:bidi w:val="0"/>
        <w:jc w:val="center"/>
        <w:rPr>
          <w:rFonts w:hint="eastAsia" w:ascii="宋体" w:hAnsi="宋体" w:eastAsia="宋体" w:cs="宋体"/>
          <w:b/>
          <w:bCs/>
          <w:kern w:val="44"/>
          <w:sz w:val="32"/>
          <w:szCs w:val="32"/>
          <w:highlight w:val="none"/>
          <w:lang w:val="en-US" w:eastAsia="zh-CN" w:bidi="ar-SA"/>
        </w:rPr>
      </w:pPr>
    </w:p>
    <w:bookmarkEnd w:id="132"/>
    <w:bookmarkEnd w:id="133"/>
    <w:bookmarkEnd w:id="135"/>
    <w:bookmarkEnd w:id="136"/>
    <w:bookmarkEnd w:id="137"/>
    <w:bookmarkEnd w:id="138"/>
    <w:bookmarkEnd w:id="139"/>
    <w:p w14:paraId="095D04C3">
      <w:pPr>
        <w:pStyle w:val="2"/>
        <w:keepNext w:val="0"/>
        <w:keepLines/>
        <w:pageBreakBefore/>
        <w:widowControl w:val="0"/>
        <w:kinsoku/>
        <w:wordWrap/>
        <w:overflowPunct/>
        <w:topLinePunct w:val="0"/>
        <w:autoSpaceDE/>
        <w:autoSpaceDN/>
        <w:bidi w:val="0"/>
        <w:adjustRightInd/>
        <w:snapToGrid/>
        <w:textAlignment w:val="auto"/>
        <w:rPr>
          <w:rFonts w:hint="eastAsia" w:ascii="宋体" w:hAnsi="宋体" w:cs="宋体"/>
          <w:color w:val="auto"/>
          <w:lang w:val="en-US" w:eastAsia="zh-CN"/>
        </w:rPr>
      </w:pPr>
      <w:bookmarkStart w:id="142" w:name="_Toc29683"/>
      <w:bookmarkStart w:id="143" w:name="_Toc3837039"/>
      <w:r>
        <w:rPr>
          <w:rFonts w:hint="eastAsia" w:ascii="宋体" w:hAnsi="宋体" w:cs="宋体"/>
          <w:color w:val="auto"/>
          <w:lang w:val="en-US" w:eastAsia="zh-CN"/>
        </w:rPr>
        <w:t>第六部分  合同主要条款</w:t>
      </w:r>
      <w:bookmarkEnd w:id="140"/>
      <w:bookmarkEnd w:id="141"/>
      <w:bookmarkEnd w:id="142"/>
      <w:bookmarkEnd w:id="143"/>
    </w:p>
    <w:p w14:paraId="6977B0F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（说明：本合同作为合同的基本格式，不作为最终合同，甲方有权在签订合同时对合同的相关条款及内容</w:t>
      </w:r>
      <w:r>
        <w:rPr>
          <w:rFonts w:hint="eastAsia" w:ascii="宋体" w:hAnsi="宋体" w:cs="宋体"/>
          <w:b/>
          <w:bCs/>
          <w:sz w:val="24"/>
          <w:szCs w:val="24"/>
          <w:lang w:eastAsia="zh-CN"/>
        </w:rPr>
        <w:t>做</w:t>
      </w:r>
      <w:r>
        <w:rPr>
          <w:rFonts w:hint="eastAsia" w:ascii="宋体" w:hAnsi="宋体" w:cs="宋体"/>
          <w:b/>
          <w:bCs/>
          <w:sz w:val="24"/>
          <w:szCs w:val="24"/>
        </w:rPr>
        <w:t>进一步的细化和修改）</w:t>
      </w:r>
    </w:p>
    <w:p w14:paraId="24E8AE35">
      <w:pPr>
        <w:rPr>
          <w:rFonts w:hint="eastAsia" w:ascii="仿宋" w:hAnsi="仿宋" w:eastAsia="仿宋" w:cs="仿宋"/>
          <w:b/>
          <w:bCs/>
          <w:sz w:val="32"/>
          <w:szCs w:val="32"/>
        </w:rPr>
      </w:pPr>
      <w:r>
        <w:rPr>
          <w:rFonts w:hint="eastAsia" w:ascii="仿宋" w:hAnsi="仿宋" w:eastAsia="仿宋" w:cs="仿宋"/>
          <w:b/>
          <w:bCs/>
          <w:sz w:val="32"/>
          <w:szCs w:val="32"/>
        </w:rPr>
        <w:t>工程类</w:t>
      </w:r>
    </w:p>
    <w:p w14:paraId="6E915687">
      <w:pPr>
        <w:rPr>
          <w:rFonts w:ascii="宋体" w:hAnsi="宋体"/>
          <w:sz w:val="28"/>
          <w:szCs w:val="28"/>
        </w:rPr>
      </w:pPr>
    </w:p>
    <w:p w14:paraId="137B90D3">
      <w:pPr>
        <w:jc w:val="center"/>
        <w:rPr>
          <w:rFonts w:ascii="宋体" w:hAnsi="宋体"/>
          <w:b/>
          <w:sz w:val="72"/>
          <w:szCs w:val="72"/>
        </w:rPr>
      </w:pPr>
    </w:p>
    <w:p w14:paraId="321F412A">
      <w:pPr>
        <w:jc w:val="center"/>
        <w:rPr>
          <w:rFonts w:ascii="宋体" w:hAnsi="宋体"/>
          <w:b/>
          <w:sz w:val="72"/>
          <w:szCs w:val="72"/>
        </w:rPr>
      </w:pPr>
      <w:r>
        <w:rPr>
          <w:rFonts w:hint="eastAsia" w:ascii="宋体" w:hAnsi="宋体"/>
          <w:b/>
          <w:sz w:val="72"/>
          <w:szCs w:val="72"/>
        </w:rPr>
        <w:t>安康市政府采购合同范本</w:t>
      </w:r>
    </w:p>
    <w:p w14:paraId="63853129">
      <w:pPr>
        <w:jc w:val="center"/>
        <w:rPr>
          <w:rFonts w:ascii="宋体" w:hAnsi="宋体"/>
          <w:b/>
          <w:sz w:val="96"/>
          <w:szCs w:val="96"/>
        </w:rPr>
      </w:pPr>
    </w:p>
    <w:p w14:paraId="1142403A">
      <w:pPr>
        <w:jc w:val="center"/>
        <w:rPr>
          <w:rFonts w:ascii="宋体" w:hAnsi="宋体"/>
          <w:b/>
          <w:sz w:val="96"/>
          <w:szCs w:val="96"/>
        </w:rPr>
      </w:pPr>
    </w:p>
    <w:p w14:paraId="722A2948">
      <w:pPr>
        <w:spacing w:line="800" w:lineRule="exact"/>
        <w:ind w:firstLine="640" w:firstLineChars="200"/>
        <w:rPr>
          <w:rFonts w:hint="eastAsia" w:asciiTheme="minorEastAsia" w:hAnsiTheme="minorEastAsia" w:eastAsiaTheme="minorEastAsia" w:cstheme="minorEastAsia"/>
          <w:sz w:val="32"/>
          <w:szCs w:val="32"/>
        </w:rPr>
      </w:pPr>
      <w:bookmarkStart w:id="144" w:name="tip_risk_bookmark_1"/>
      <w:commentRangeStart w:id="0"/>
      <w:r>
        <w:rPr>
          <w:rFonts w:hint="eastAsia" w:asciiTheme="minorEastAsia" w:hAnsiTheme="minorEastAsia" w:eastAsiaTheme="minorEastAsia" w:cstheme="minorEastAsia"/>
          <w:sz w:val="32"/>
          <w:szCs w:val="32"/>
        </w:rPr>
        <w:t>项目名称：</w:t>
      </w:r>
      <w:r>
        <w:rPr>
          <w:rFonts w:hint="eastAsia" w:asciiTheme="minorEastAsia" w:hAnsiTheme="minorEastAsia" w:eastAsiaTheme="minorEastAsia" w:cstheme="minorEastAsia"/>
          <w:sz w:val="32"/>
          <w:szCs w:val="32"/>
          <w:u w:val="single"/>
        </w:rPr>
        <w:t xml:space="preserve">                                   </w:t>
      </w:r>
    </w:p>
    <w:p w14:paraId="41AB673E">
      <w:pPr>
        <w:spacing w:line="800" w:lineRule="exact"/>
        <w:ind w:firstLine="640" w:firstLineChars="2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招标采购文件编号：</w:t>
      </w:r>
      <w:r>
        <w:rPr>
          <w:rFonts w:hint="eastAsia" w:asciiTheme="minorEastAsia" w:hAnsiTheme="minorEastAsia" w:eastAsiaTheme="minorEastAsia" w:cstheme="minorEastAsia"/>
          <w:sz w:val="32"/>
          <w:szCs w:val="32"/>
          <w:u w:val="single"/>
        </w:rPr>
        <w:t xml:space="preserve">                           </w:t>
      </w:r>
    </w:p>
    <w:p w14:paraId="536920BD">
      <w:pPr>
        <w:spacing w:line="800" w:lineRule="exact"/>
        <w:ind w:firstLine="640" w:firstLineChars="200"/>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甲方：</w:t>
      </w:r>
      <w:r>
        <w:rPr>
          <w:rFonts w:hint="eastAsia" w:asciiTheme="minorEastAsia" w:hAnsiTheme="minorEastAsia" w:eastAsiaTheme="minorEastAsia" w:cstheme="minorEastAsia"/>
          <w:sz w:val="32"/>
          <w:szCs w:val="32"/>
          <w:u w:val="single"/>
        </w:rPr>
        <w:t xml:space="preserve">                                       </w:t>
      </w:r>
    </w:p>
    <w:p w14:paraId="509F5115">
      <w:pPr>
        <w:spacing w:line="800" w:lineRule="exact"/>
        <w:ind w:firstLine="640" w:firstLineChars="200"/>
        <w:rPr>
          <w:rFonts w:hint="eastAsia" w:asciiTheme="minorEastAsia" w:hAnsiTheme="minorEastAsia" w:eastAsiaTheme="minorEastAsia" w:cstheme="minorEastAsia"/>
          <w:sz w:val="32"/>
          <w:szCs w:val="32"/>
        </w:rPr>
      </w:pPr>
      <w:bookmarkStart w:id="145" w:name="tip_risk_bookmark_2"/>
      <w:commentRangeStart w:id="1"/>
      <w:r>
        <w:rPr>
          <w:rFonts w:hint="eastAsia" w:asciiTheme="minorEastAsia" w:hAnsiTheme="minorEastAsia" w:eastAsiaTheme="minorEastAsia" w:cstheme="minorEastAsia"/>
          <w:sz w:val="32"/>
          <w:szCs w:val="32"/>
        </w:rPr>
        <w:t>乙方：</w:t>
      </w:r>
      <w:commentRangeEnd w:id="0"/>
      <w:r>
        <w:rPr>
          <w:rStyle w:val="57"/>
          <w:rFonts w:hint="eastAsia" w:asciiTheme="minorEastAsia" w:hAnsiTheme="minorEastAsia" w:eastAsiaTheme="minorEastAsia" w:cstheme="minorEastAsia"/>
        </w:rPr>
        <w:commentReference w:id="0"/>
      </w:r>
      <w:commentRangeEnd w:id="1"/>
      <w:r>
        <w:rPr>
          <w:rStyle w:val="57"/>
          <w:rFonts w:hint="eastAsia" w:asciiTheme="minorEastAsia" w:hAnsiTheme="minorEastAsia" w:eastAsiaTheme="minorEastAsia" w:cstheme="minorEastAsia"/>
        </w:rPr>
        <w:commentReference w:id="1"/>
      </w:r>
      <w:bookmarkEnd w:id="144"/>
      <w:bookmarkEnd w:id="145"/>
      <w:r>
        <w:rPr>
          <w:rFonts w:hint="eastAsia" w:asciiTheme="minorEastAsia" w:hAnsiTheme="minorEastAsia" w:eastAsiaTheme="minorEastAsia" w:cstheme="minorEastAsia"/>
          <w:sz w:val="32"/>
          <w:szCs w:val="32"/>
          <w:u w:val="single"/>
        </w:rPr>
        <w:t xml:space="preserve">                                       </w:t>
      </w:r>
    </w:p>
    <w:p w14:paraId="58C98726">
      <w:pPr>
        <w:rPr>
          <w:rFonts w:ascii="宋体" w:hAnsi="宋体"/>
          <w:sz w:val="28"/>
          <w:szCs w:val="28"/>
          <w:u w:val="single"/>
        </w:rPr>
      </w:pPr>
    </w:p>
    <w:p w14:paraId="5DBFC27C">
      <w:pPr>
        <w:rPr>
          <w:rFonts w:ascii="宋体" w:hAnsi="宋体"/>
          <w:sz w:val="28"/>
          <w:szCs w:val="28"/>
          <w:u w:val="single"/>
        </w:rPr>
      </w:pPr>
    </w:p>
    <w:p w14:paraId="6F128F3D">
      <w:pPr>
        <w:rPr>
          <w:rFonts w:ascii="宋体" w:hAnsi="宋体"/>
          <w:sz w:val="28"/>
          <w:szCs w:val="28"/>
          <w:u w:val="single"/>
        </w:rPr>
      </w:pPr>
    </w:p>
    <w:p w14:paraId="227DBAFE">
      <w:pPr>
        <w:rPr>
          <w:rFonts w:ascii="宋体" w:hAnsi="宋体"/>
          <w:sz w:val="28"/>
          <w:szCs w:val="28"/>
          <w:u w:val="single"/>
        </w:rPr>
      </w:pPr>
    </w:p>
    <w:p w14:paraId="5F7C5C8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sz w:val="24"/>
          <w:szCs w:val="24"/>
        </w:rPr>
      </w:pPr>
      <w:r>
        <w:rPr>
          <w:rFonts w:ascii="宋体" w:hAnsi="宋体"/>
          <w:szCs w:val="21"/>
        </w:rPr>
        <w:br w:type="page"/>
      </w:r>
      <w:bookmarkStart w:id="146" w:name="tip_risk_bookmark_3"/>
      <w:r>
        <w:rPr>
          <w:rFonts w:hint="eastAsia" w:ascii="宋体" w:hAnsi="宋体"/>
          <w:szCs w:val="21"/>
          <w:lang w:val="en-US" w:eastAsia="zh-CN"/>
        </w:rPr>
        <w:t xml:space="preserve">  </w:t>
      </w:r>
      <w:commentRangeStart w:id="2"/>
      <w:r>
        <w:rPr>
          <w:rFonts w:hint="eastAsia" w:asciiTheme="minorEastAsia" w:hAnsiTheme="minorEastAsia" w:eastAsiaTheme="minorEastAsia" w:cstheme="minorEastAsia"/>
          <w:sz w:val="24"/>
          <w:szCs w:val="24"/>
        </w:rPr>
        <w:t>依照</w:t>
      </w:r>
      <w:bookmarkStart w:id="147" w:name="auto_fouce_4"/>
      <w:commentRangeStart w:id="3"/>
      <w:r>
        <w:rPr>
          <w:rFonts w:hint="eastAsia" w:asciiTheme="minorEastAsia" w:hAnsiTheme="minorEastAsia" w:eastAsiaTheme="minorEastAsia" w:cstheme="minorEastAsia"/>
          <w:sz w:val="24"/>
          <w:szCs w:val="24"/>
        </w:rPr>
        <w:t>《中华人民共和国</w:t>
      </w:r>
      <w:r>
        <w:rPr>
          <w:rFonts w:hint="eastAsia" w:asciiTheme="minorEastAsia" w:hAnsiTheme="minorEastAsia" w:eastAsiaTheme="minorEastAsia" w:cstheme="minorEastAsia"/>
          <w:sz w:val="24"/>
          <w:szCs w:val="24"/>
          <w:lang w:eastAsia="zh-CN"/>
        </w:rPr>
        <w:t>民</w:t>
      </w:r>
      <w:r>
        <w:rPr>
          <w:rFonts w:hint="eastAsia" w:asciiTheme="minorEastAsia" w:hAnsiTheme="minorEastAsia" w:eastAsiaTheme="minorEastAsia" w:cstheme="minorEastAsia"/>
          <w:sz w:val="24"/>
          <w:szCs w:val="24"/>
        </w:rPr>
        <w:t>法</w:t>
      </w:r>
      <w:r>
        <w:rPr>
          <w:rFonts w:hint="eastAsia" w:asciiTheme="minorEastAsia" w:hAnsiTheme="minorEastAsia" w:eastAsiaTheme="minorEastAsia" w:cstheme="minorEastAsia"/>
          <w:sz w:val="24"/>
          <w:szCs w:val="24"/>
          <w:lang w:eastAsia="zh-CN"/>
        </w:rPr>
        <w:t>典</w:t>
      </w:r>
      <w:r>
        <w:rPr>
          <w:rFonts w:hint="eastAsia" w:asciiTheme="minorEastAsia" w:hAnsiTheme="minorEastAsia" w:eastAsiaTheme="minorEastAsia" w:cstheme="minorEastAsia"/>
          <w:sz w:val="24"/>
          <w:szCs w:val="24"/>
        </w:rPr>
        <w:t>》</w:t>
      </w:r>
      <w:commentRangeEnd w:id="3"/>
      <w:r>
        <w:rPr>
          <w:rStyle w:val="57"/>
          <w:rFonts w:hint="eastAsia" w:asciiTheme="minorEastAsia" w:hAnsiTheme="minorEastAsia" w:eastAsiaTheme="minorEastAsia" w:cstheme="minorEastAsia"/>
          <w:sz w:val="24"/>
          <w:szCs w:val="24"/>
        </w:rPr>
        <w:commentReference w:id="3"/>
      </w:r>
      <w:bookmarkEnd w:id="147"/>
      <w:r>
        <w:rPr>
          <w:rFonts w:hint="eastAsia" w:asciiTheme="minorEastAsia" w:hAnsiTheme="minorEastAsia" w:eastAsiaTheme="minorEastAsia" w:cstheme="minorEastAsia"/>
          <w:sz w:val="24"/>
          <w:szCs w:val="24"/>
        </w:rPr>
        <w:t>、《中华人民共和国建筑法》、《建设工程质量管理条例》及其他有关法律、行政法规，遵循平等、自愿、公平和诚实信用的原则，双方就本房屋建筑修缮及装修工程施工事项协商一致，订立本合同。</w:t>
      </w:r>
      <w:commentRangeEnd w:id="2"/>
      <w:r>
        <w:rPr>
          <w:rStyle w:val="57"/>
          <w:rFonts w:hint="eastAsia" w:asciiTheme="minorEastAsia" w:hAnsiTheme="minorEastAsia" w:eastAsiaTheme="minorEastAsia" w:cstheme="minorEastAsia"/>
          <w:sz w:val="24"/>
          <w:szCs w:val="24"/>
        </w:rPr>
        <w:commentReference w:id="2"/>
      </w:r>
      <w:bookmarkEnd w:id="146"/>
    </w:p>
    <w:p w14:paraId="385ACC3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一、工程概况</w:t>
      </w:r>
    </w:p>
    <w:p w14:paraId="3758D6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u w:val="single"/>
        </w:rPr>
      </w:pPr>
      <w:commentRangeStart w:id="4"/>
      <w:bookmarkStart w:id="148" w:name="tip_risk_bookmark_5"/>
      <w:r>
        <w:rPr>
          <w:rFonts w:hint="eastAsia" w:asciiTheme="minorEastAsia" w:hAnsiTheme="minorEastAsia" w:eastAsiaTheme="minorEastAsia" w:cstheme="minorEastAsia"/>
          <w:sz w:val="24"/>
          <w:szCs w:val="24"/>
        </w:rPr>
        <w:t>工程名称：</w:t>
      </w:r>
      <w:r>
        <w:rPr>
          <w:rFonts w:hint="eastAsia" w:asciiTheme="minorEastAsia" w:hAnsiTheme="minorEastAsia" w:eastAsiaTheme="minorEastAsia" w:cstheme="minorEastAsia"/>
          <w:sz w:val="24"/>
          <w:szCs w:val="24"/>
          <w:u w:val="single"/>
        </w:rPr>
        <w:t xml:space="preserve">                                           </w:t>
      </w:r>
    </w:p>
    <w:p w14:paraId="07ED7F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工程地点：</w:t>
      </w:r>
      <w:r>
        <w:rPr>
          <w:rFonts w:hint="eastAsia" w:asciiTheme="minorEastAsia" w:hAnsiTheme="minorEastAsia" w:eastAsiaTheme="minorEastAsia" w:cstheme="minorEastAsia"/>
          <w:sz w:val="24"/>
          <w:szCs w:val="24"/>
          <w:u w:val="single"/>
        </w:rPr>
        <w:t xml:space="preserve">                                           </w:t>
      </w:r>
    </w:p>
    <w:p w14:paraId="716A2C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资金来源：</w:t>
      </w:r>
      <w:r>
        <w:rPr>
          <w:rFonts w:hint="eastAsia" w:asciiTheme="minorEastAsia" w:hAnsiTheme="minorEastAsia" w:eastAsiaTheme="minorEastAsia" w:cstheme="minorEastAsia"/>
          <w:sz w:val="24"/>
          <w:szCs w:val="24"/>
          <w:u w:val="single"/>
        </w:rPr>
        <w:t xml:space="preserve">                                           </w:t>
      </w:r>
    </w:p>
    <w:p w14:paraId="1FE2AB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工程内容及性质：</w:t>
      </w:r>
      <w:r>
        <w:rPr>
          <w:rFonts w:hint="eastAsia" w:asciiTheme="minorEastAsia" w:hAnsiTheme="minorEastAsia" w:eastAsiaTheme="minorEastAsia" w:cstheme="minorEastAsia"/>
          <w:sz w:val="24"/>
          <w:szCs w:val="24"/>
          <w:u w:val="single"/>
        </w:rPr>
        <w:t xml:space="preserve">                                    </w:t>
      </w:r>
    </w:p>
    <w:p w14:paraId="7AE673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工程立项批准文号：</w:t>
      </w:r>
      <w:commentRangeEnd w:id="4"/>
      <w:r>
        <w:rPr>
          <w:rStyle w:val="57"/>
          <w:rFonts w:hint="eastAsia" w:asciiTheme="minorEastAsia" w:hAnsiTheme="minorEastAsia" w:eastAsiaTheme="minorEastAsia" w:cstheme="minorEastAsia"/>
          <w:sz w:val="24"/>
          <w:szCs w:val="24"/>
        </w:rPr>
        <w:commentReference w:id="4"/>
      </w:r>
      <w:bookmarkEnd w:id="148"/>
      <w:r>
        <w:rPr>
          <w:rFonts w:hint="eastAsia" w:asciiTheme="minorEastAsia" w:hAnsiTheme="minorEastAsia" w:eastAsiaTheme="minorEastAsia" w:cstheme="minorEastAsia"/>
          <w:sz w:val="24"/>
          <w:szCs w:val="24"/>
          <w:u w:val="single"/>
        </w:rPr>
        <w:t xml:space="preserve">                                   </w:t>
      </w:r>
    </w:p>
    <w:p w14:paraId="3FB93F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群体工程应附承包人承揽工程项目一览表(附件一)</w:t>
      </w:r>
    </w:p>
    <w:p w14:paraId="26271AD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二、工程承包范围及方式</w:t>
      </w:r>
    </w:p>
    <w:p w14:paraId="0CACA6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u w:val="single"/>
        </w:rPr>
      </w:pPr>
      <w:commentRangeStart w:id="5"/>
      <w:bookmarkStart w:id="149" w:name="tip_risk_bookmark_6"/>
      <w:r>
        <w:rPr>
          <w:rFonts w:hint="eastAsia" w:asciiTheme="minorEastAsia" w:hAnsiTheme="minorEastAsia" w:eastAsiaTheme="minorEastAsia" w:cstheme="minorEastAsia"/>
          <w:sz w:val="24"/>
          <w:szCs w:val="24"/>
        </w:rPr>
        <w:t>承包范围：</w:t>
      </w:r>
      <w:r>
        <w:rPr>
          <w:rFonts w:hint="eastAsia" w:asciiTheme="minorEastAsia" w:hAnsiTheme="minorEastAsia" w:eastAsiaTheme="minorEastAsia" w:cstheme="minorEastAsia"/>
          <w:sz w:val="24"/>
          <w:szCs w:val="24"/>
          <w:u w:val="single"/>
        </w:rPr>
        <w:t xml:space="preserve">                                           </w:t>
      </w:r>
    </w:p>
    <w:p w14:paraId="7B34672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承包方式：</w:t>
      </w:r>
      <w:commentRangeEnd w:id="5"/>
      <w:r>
        <w:rPr>
          <w:rStyle w:val="57"/>
          <w:rFonts w:hint="eastAsia" w:asciiTheme="minorEastAsia" w:hAnsiTheme="minorEastAsia" w:eastAsiaTheme="minorEastAsia" w:cstheme="minorEastAsia"/>
          <w:sz w:val="24"/>
          <w:szCs w:val="24"/>
        </w:rPr>
        <w:commentReference w:id="5"/>
      </w:r>
      <w:bookmarkEnd w:id="149"/>
      <w:r>
        <w:rPr>
          <w:rFonts w:hint="eastAsia" w:asciiTheme="minorEastAsia" w:hAnsiTheme="minorEastAsia" w:eastAsiaTheme="minorEastAsia" w:cstheme="minorEastAsia"/>
          <w:sz w:val="24"/>
          <w:szCs w:val="24"/>
          <w:u w:val="single"/>
        </w:rPr>
        <w:t xml:space="preserve">                                           </w:t>
      </w:r>
    </w:p>
    <w:p w14:paraId="60099DB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三、合同工期</w:t>
      </w:r>
    </w:p>
    <w:p w14:paraId="460A6B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bookmarkStart w:id="150" w:name="tip_risk_bookmark_7"/>
      <w:commentRangeStart w:id="6"/>
      <w:r>
        <w:rPr>
          <w:rFonts w:hint="eastAsia" w:asciiTheme="minorEastAsia" w:hAnsiTheme="minorEastAsia" w:eastAsiaTheme="minorEastAsia" w:cstheme="minorEastAsia"/>
          <w:sz w:val="24"/>
          <w:szCs w:val="24"/>
        </w:rPr>
        <w:t>开工日期：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竣工日期：</w:t>
      </w:r>
      <w:r>
        <w:rPr>
          <w:rFonts w:hint="eastAsia" w:asciiTheme="minorEastAsia" w:hAnsiTheme="minorEastAsia" w:eastAsiaTheme="minorEastAsia" w:cstheme="minorEastAsia"/>
          <w:sz w:val="24"/>
          <w:szCs w:val="24"/>
          <w:u w:val="single"/>
        </w:rPr>
        <w:t xml:space="preserve">         </w:t>
      </w:r>
    </w:p>
    <w:p w14:paraId="3A7B19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合同工期总日历天数：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天。</w:t>
      </w:r>
      <w:commentRangeEnd w:id="6"/>
      <w:r>
        <w:rPr>
          <w:rStyle w:val="57"/>
          <w:rFonts w:hint="eastAsia" w:asciiTheme="minorEastAsia" w:hAnsiTheme="minorEastAsia" w:eastAsiaTheme="minorEastAsia" w:cstheme="minorEastAsia"/>
          <w:sz w:val="24"/>
          <w:szCs w:val="24"/>
        </w:rPr>
        <w:commentReference w:id="6"/>
      </w:r>
      <w:bookmarkEnd w:id="150"/>
    </w:p>
    <w:p w14:paraId="416EE3E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四、质量标准</w:t>
      </w:r>
    </w:p>
    <w:p w14:paraId="65687E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u w:val="single"/>
        </w:rPr>
      </w:pPr>
      <w:bookmarkStart w:id="151" w:name="tip_risk_bookmark_8"/>
      <w:commentRangeStart w:id="7"/>
      <w:r>
        <w:rPr>
          <w:rFonts w:hint="eastAsia" w:asciiTheme="minorEastAsia" w:hAnsiTheme="minorEastAsia" w:eastAsiaTheme="minorEastAsia" w:cstheme="minorEastAsia"/>
          <w:sz w:val="24"/>
          <w:szCs w:val="24"/>
        </w:rPr>
        <w:t>工程质量标准：</w:t>
      </w:r>
      <w:commentRangeEnd w:id="7"/>
      <w:r>
        <w:rPr>
          <w:rStyle w:val="57"/>
          <w:rFonts w:hint="eastAsia" w:asciiTheme="minorEastAsia" w:hAnsiTheme="minorEastAsia" w:eastAsiaTheme="minorEastAsia" w:cstheme="minorEastAsia"/>
          <w:sz w:val="24"/>
          <w:szCs w:val="24"/>
        </w:rPr>
        <w:commentReference w:id="7"/>
      </w:r>
      <w:bookmarkEnd w:id="151"/>
      <w:r>
        <w:rPr>
          <w:rFonts w:hint="eastAsia" w:asciiTheme="minorEastAsia" w:hAnsiTheme="minorEastAsia" w:eastAsiaTheme="minorEastAsia" w:cstheme="minorEastAsia"/>
          <w:sz w:val="24"/>
          <w:szCs w:val="24"/>
          <w:u w:val="single"/>
        </w:rPr>
        <w:t xml:space="preserve">                           </w:t>
      </w:r>
    </w:p>
    <w:p w14:paraId="252B6622">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196"/>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五、合同价款</w:t>
      </w:r>
    </w:p>
    <w:p w14:paraId="3F21D0D2">
      <w:pPr>
        <w:keepNext w:val="0"/>
        <w:keepLines w:val="0"/>
        <w:pageBreakBefore w:val="0"/>
        <w:widowControl w:val="0"/>
        <w:kinsoku/>
        <w:wordWrap/>
        <w:overflowPunct/>
        <w:topLinePunct w:val="0"/>
        <w:autoSpaceDE/>
        <w:autoSpaceDN/>
        <w:bidi w:val="0"/>
        <w:adjustRightInd w:val="0"/>
        <w:snapToGrid w:val="0"/>
        <w:spacing w:line="360" w:lineRule="auto"/>
        <w:ind w:left="560" w:hanging="480" w:hangingChars="200"/>
        <w:textAlignment w:val="auto"/>
        <w:rPr>
          <w:rFonts w:hint="eastAsia" w:asciiTheme="minorEastAsia" w:hAnsiTheme="minorEastAsia" w:eastAsiaTheme="minorEastAsia" w:cstheme="minorEastAsia"/>
          <w:sz w:val="24"/>
          <w:szCs w:val="24"/>
        </w:rPr>
      </w:pPr>
      <w:commentRangeStart w:id="8"/>
      <w:bookmarkStart w:id="152" w:name="tip_risk_bookmark_9"/>
      <w:r>
        <w:rPr>
          <w:rFonts w:hint="eastAsia" w:asciiTheme="minorEastAsia" w:hAnsiTheme="minorEastAsia" w:eastAsiaTheme="minorEastAsia" w:cstheme="minorEastAsia"/>
          <w:sz w:val="24"/>
          <w:szCs w:val="24"/>
        </w:rPr>
        <w:t>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金额大写：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元（人民币）</w:t>
      </w:r>
      <w:commentRangeEnd w:id="8"/>
      <w:r>
        <w:rPr>
          <w:rStyle w:val="57"/>
          <w:rFonts w:hint="eastAsia" w:asciiTheme="minorEastAsia" w:hAnsiTheme="minorEastAsia" w:eastAsiaTheme="minorEastAsia" w:cstheme="minorEastAsia"/>
          <w:sz w:val="24"/>
          <w:szCs w:val="24"/>
        </w:rPr>
        <w:commentReference w:id="8"/>
      </w:r>
      <w:bookmarkEnd w:id="152"/>
    </w:p>
    <w:p w14:paraId="6DFDD8B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六、合同文件的组成</w:t>
      </w:r>
    </w:p>
    <w:p w14:paraId="2348A4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本合同组成文件包括：</w:t>
      </w:r>
    </w:p>
    <w:p w14:paraId="6A13B3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bookmarkStart w:id="153" w:name="tip_risk_bookmark_10"/>
      <w:commentRangeStart w:id="9"/>
      <w:r>
        <w:rPr>
          <w:rFonts w:hint="eastAsia" w:asciiTheme="minorEastAsia" w:hAnsiTheme="minorEastAsia" w:eastAsiaTheme="minorEastAsia" w:cstheme="minorEastAsia"/>
          <w:sz w:val="24"/>
          <w:szCs w:val="24"/>
        </w:rPr>
        <w:t>(  )本合同协议书</w:t>
      </w:r>
    </w:p>
    <w:p w14:paraId="5793C2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)中标通知书</w:t>
      </w:r>
    </w:p>
    <w:p w14:paraId="2F75AE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)投标书及其附件</w:t>
      </w:r>
    </w:p>
    <w:p w14:paraId="2467C914">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)本合同合同条款</w:t>
      </w:r>
    </w:p>
    <w:p w14:paraId="76E90244">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)标准、规范及有关技术文件</w:t>
      </w:r>
      <w:commentRangeEnd w:id="9"/>
      <w:r>
        <w:rPr>
          <w:rStyle w:val="57"/>
          <w:rFonts w:hint="eastAsia" w:asciiTheme="minorEastAsia" w:hAnsiTheme="minorEastAsia" w:eastAsiaTheme="minorEastAsia" w:cstheme="minorEastAsia"/>
          <w:sz w:val="24"/>
          <w:szCs w:val="24"/>
        </w:rPr>
        <w:commentReference w:id="9"/>
      </w:r>
      <w:bookmarkEnd w:id="153"/>
    </w:p>
    <w:p w14:paraId="53CC896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bookmarkStart w:id="154" w:name="tip_risk_bookmark_11"/>
      <w:commentRangeStart w:id="10"/>
      <w:r>
        <w:rPr>
          <w:rFonts w:hint="eastAsia" w:asciiTheme="minorEastAsia" w:hAnsiTheme="minorEastAsia" w:eastAsiaTheme="minorEastAsia" w:cstheme="minorEastAsia"/>
          <w:sz w:val="24"/>
          <w:szCs w:val="24"/>
        </w:rPr>
        <w:t>  (  )图纸及作法说明</w:t>
      </w:r>
    </w:p>
    <w:p w14:paraId="613992D5">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)工程量清单</w:t>
      </w:r>
    </w:p>
    <w:p w14:paraId="68BA7EB4">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)工程报价单或预算书</w:t>
      </w:r>
      <w:commentRangeEnd w:id="10"/>
      <w:r>
        <w:rPr>
          <w:rStyle w:val="57"/>
          <w:rFonts w:hint="eastAsia" w:asciiTheme="minorEastAsia" w:hAnsiTheme="minorEastAsia" w:eastAsiaTheme="minorEastAsia" w:cstheme="minorEastAsia"/>
          <w:sz w:val="24"/>
          <w:szCs w:val="24"/>
        </w:rPr>
        <w:commentReference w:id="10"/>
      </w:r>
      <w:bookmarkEnd w:id="154"/>
    </w:p>
    <w:p w14:paraId="55D6E1C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双方就本工程签订的洽商、变更等书面协议或文件视为本合同的组成部分。</w:t>
      </w:r>
    </w:p>
    <w:p w14:paraId="5B54BE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七、本协议书中有关词语含义与本合同第二部分《合同条款》分别赋予它们的定义相同。</w:t>
      </w:r>
    </w:p>
    <w:p w14:paraId="511C16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八、承包人向发包人承诺按照合同约定进行施工、竣工并在质量保修期内承担工程质量保修责任。</w:t>
      </w:r>
    </w:p>
    <w:p w14:paraId="5C3D05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九、发包人向承包人承诺按照合同约定的期限和方式支付合同价款及其他应支付的款项。</w:t>
      </w:r>
    </w:p>
    <w:p w14:paraId="4997F6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十、合同生效</w:t>
      </w:r>
    </w:p>
    <w:p w14:paraId="53C4D14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p>
    <w:p w14:paraId="4EF5402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11"/>
      <w:bookmarkStart w:id="155" w:name="tip_risk_bookmark_12"/>
      <w:r>
        <w:rPr>
          <w:rFonts w:hint="eastAsia" w:asciiTheme="minorEastAsia" w:hAnsiTheme="minorEastAsia" w:eastAsiaTheme="minorEastAsia" w:cstheme="minorEastAsia"/>
          <w:sz w:val="24"/>
          <w:szCs w:val="24"/>
        </w:rPr>
        <w:t xml:space="preserve">甲方名称：（盖章）            乙方名称：（盖章）                        </w:t>
      </w:r>
    </w:p>
    <w:p w14:paraId="312482C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                        地址：</w:t>
      </w:r>
    </w:p>
    <w:p w14:paraId="19ABCA9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法定代表人或授权代表（签字）： 法定代表人或授权代表（签字）    </w:t>
      </w:r>
    </w:p>
    <w:p w14:paraId="0E4B7DF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开户银行：                    开户银行：</w:t>
      </w:r>
    </w:p>
    <w:p w14:paraId="5C1D05A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银行帐号：                    银行帐号：</w:t>
      </w:r>
    </w:p>
    <w:p w14:paraId="122D6E4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年     月     日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     月     日</w:t>
      </w:r>
      <w:commentRangeEnd w:id="11"/>
      <w:r>
        <w:rPr>
          <w:rStyle w:val="57"/>
          <w:rFonts w:hint="eastAsia" w:asciiTheme="minorEastAsia" w:hAnsiTheme="minorEastAsia" w:eastAsiaTheme="minorEastAsia" w:cstheme="minorEastAsia"/>
          <w:sz w:val="24"/>
          <w:szCs w:val="24"/>
        </w:rPr>
        <w:commentReference w:id="11"/>
      </w:r>
      <w:bookmarkEnd w:id="155"/>
    </w:p>
    <w:p w14:paraId="0C5113C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sz w:val="24"/>
          <w:szCs w:val="24"/>
        </w:rPr>
      </w:pPr>
      <w:r>
        <w:rPr>
          <w:rFonts w:hint="eastAsia" w:ascii="仿宋" w:hAnsi="仿宋" w:eastAsia="仿宋" w:cs="仿宋"/>
          <w:sz w:val="32"/>
          <w:szCs w:val="32"/>
        </w:rPr>
        <w:br w:type="page"/>
      </w:r>
      <w:r>
        <w:rPr>
          <w:rFonts w:hint="eastAsia" w:asciiTheme="minorEastAsia" w:hAnsiTheme="minorEastAsia" w:eastAsiaTheme="minorEastAsia" w:cstheme="minorEastAsia"/>
          <w:b/>
          <w:sz w:val="24"/>
          <w:szCs w:val="24"/>
        </w:rPr>
        <w:t>第二部分    合同条款</w:t>
      </w:r>
    </w:p>
    <w:p w14:paraId="24A7BAE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一、词语定义及合同文件</w:t>
      </w:r>
    </w:p>
    <w:p w14:paraId="0B16B78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第1条  词语定义</w:t>
      </w:r>
    </w:p>
    <w:p w14:paraId="0FC301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下列词语除双方另有约定、补充、修改外，应具有本条所赋予的定义：</w:t>
      </w:r>
    </w:p>
    <w:p w14:paraId="679498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  合同条款：指发包人与承包人根据法律、行政法规规定，结合具体工程实际，经协商达成一致意见的条款。</w:t>
      </w:r>
    </w:p>
    <w:p w14:paraId="320FE69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1．2  发包人：指在协议书中约定，具有工程发包主体资格和支付工程价款能力的当事人以及取得该当事人资格的合法继承人。</w:t>
      </w:r>
    </w:p>
    <w:p w14:paraId="578A182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1．3  承包人：指在协议书中约定，被发包人接受的具有工程施工承包主体资格的当事人以及取得该当事人资格的合法继承人。</w:t>
      </w:r>
    </w:p>
    <w:p w14:paraId="14777E6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1．4  项目经理：指承包人在合同条款中指定的负责施工管理和合同履行的代表。</w:t>
      </w:r>
    </w:p>
    <w:p w14:paraId="044E669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1．5  设计单位：指发包人委托的负责本工程设计并取得相应工程设计资质等级证书的单位。</w:t>
      </w:r>
    </w:p>
    <w:p w14:paraId="2D691D9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1．6  监理单位：指发包人委托的负责本工程监理并取得相应工程监理资质等级证书的单位。</w:t>
      </w:r>
    </w:p>
    <w:p w14:paraId="3066514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1．7  工程师：指本工程监理单位委派的总监理工程师或发包人指定的履行本合同的代表，其具体身份和职权由发包人承包人在合同条款中约定。</w:t>
      </w:r>
    </w:p>
    <w:p w14:paraId="56CF68C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1．8  工程：指发包人承包人在协议书中约定的承包范围内的工程。</w:t>
      </w:r>
    </w:p>
    <w:p w14:paraId="7144CD0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1．9  合同价款：指发包人承包人在协议书中约定，发包人用以支付承包人按照合同约定完成承包范围内全部工程并承担质量保修责任的款项。</w:t>
      </w:r>
    </w:p>
    <w:p w14:paraId="14F397D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1．10  追加合同价款：指在合同履行中发生需要增加合同价款的情况，经发包人确认后按计算合同价款的方法增加的合同价款。</w:t>
      </w:r>
    </w:p>
    <w:p w14:paraId="2C61717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1．11  费用：指不包含在合同价款之内的应当由发包人或承包人承担的经济支出。</w:t>
      </w:r>
    </w:p>
    <w:p w14:paraId="1D29341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1．12  工期：指发包人承包人在协议书中约定，按总日历天数(包括法定节假日)计算的承包天数。</w:t>
      </w:r>
    </w:p>
    <w:p w14:paraId="45BA687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1．13  开工日期：指发包人承包人在协议书中约定，承包人开始施工的绝对或相对的日期。</w:t>
      </w:r>
    </w:p>
    <w:p w14:paraId="5679FCF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1．14  竣工日期：指发包人承包人在协议书中约定，承包人完成承包范围内工程的绝对或相对的日期。</w:t>
      </w:r>
    </w:p>
    <w:p w14:paraId="7531FDD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1．15  图纸及作法说明：指由发包人提供或由承包人提供并经发包人批准，用以满足承包人施工需要的所有图纸及作法说明(包括原工程竣工图及供本工程使用的施工图及相应文字说明)。</w:t>
      </w:r>
    </w:p>
    <w:p w14:paraId="354240D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1．16  施工场地：指由发包人提供的用于工程施工的场所以及发包人在图纸中具体指定的供施工使用的任何其他场所。</w:t>
      </w:r>
    </w:p>
    <w:p w14:paraId="2A120FF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1．17  书面形式；指合同书、信件和数据电文(包括电报、电传、传真、电子数据交换和电子邮件)等可以有形地表现所载内容的形式。</w:t>
      </w:r>
    </w:p>
    <w:p w14:paraId="2C8CE08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1．18  违约责任：指合同一方不履行合同义务或履行合同义务不符合约定所应承担的责任。</w:t>
      </w:r>
    </w:p>
    <w:p w14:paraId="10ABBC0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1．19  索赔：指在合同履行过程中，对于并非自己的过错，而应由对方承担责任的情况造成的实际损失，向对方提出经济补偿和(或)工期顺延的要求。</w:t>
      </w:r>
    </w:p>
    <w:p w14:paraId="1918673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1．20  不可抗力：指不能预见，不能避免并不能克服的影响本合同履行的客观情况。</w:t>
      </w:r>
    </w:p>
    <w:p w14:paraId="066802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  小时或天：本合同中规定按小时计算时间的，从事件有效开始时计算(不扣除休息时间)；规定按天计算时间的，开始当天不计入，从次日开始计算。时限的最后一天是休息日或其他法定节假日的，以节假日次日为时限的最后一天，但竣工日期除外。时限的最后一天的截止时间为当日24时。</w:t>
      </w:r>
    </w:p>
    <w:p w14:paraId="2DBE782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第2条  合同文件及解释顺序</w:t>
      </w:r>
    </w:p>
    <w:p w14:paraId="329A6A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  本合同文件相互解释、互为说明。双方约定组成本合同的文件及优先解释顺序如下：</w:t>
      </w:r>
    </w:p>
    <w:p w14:paraId="352D68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)本合同协议书</w:t>
      </w:r>
    </w:p>
    <w:p w14:paraId="0A29452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)中标通知书</w:t>
      </w:r>
    </w:p>
    <w:p w14:paraId="027B927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  )投标书及其附件</w:t>
      </w:r>
    </w:p>
    <w:p w14:paraId="5D60C2D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  )本合同合同条款</w:t>
      </w:r>
    </w:p>
    <w:p w14:paraId="189A77E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  )标准、规范及有关技术文件</w:t>
      </w:r>
    </w:p>
    <w:p w14:paraId="2D90C60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  )图纸及作法说明</w:t>
      </w:r>
    </w:p>
    <w:p w14:paraId="078CB4F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  )工程量清单</w:t>
      </w:r>
    </w:p>
    <w:p w14:paraId="484918F7">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)工程报价单或预算书</w:t>
      </w:r>
    </w:p>
    <w:p w14:paraId="17A5827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第3条  语言文字及运用的法律、法规、标准和规范</w:t>
      </w:r>
    </w:p>
    <w:p w14:paraId="4BD9C6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  本合同文件使用汉语语言文字书写、解释和说明。</w:t>
      </w:r>
    </w:p>
    <w:p w14:paraId="08FD373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bookmarkStart w:id="156" w:name="tip_risk_bookmark_13"/>
      <w:r>
        <w:rPr>
          <w:rFonts w:hint="eastAsia" w:asciiTheme="minorEastAsia" w:hAnsiTheme="minorEastAsia" w:eastAsiaTheme="minorEastAsia" w:cstheme="minorEastAsia"/>
          <w:sz w:val="24"/>
          <w:szCs w:val="24"/>
        </w:rPr>
        <w:t>3．2  国家法律、法规、部门规章及本市地方性法规和相关规定对本合同具有约束力；国家标准、规范和本市有关部门颁发的标准和规范适用于本工程。结合本工程特点，需进一步明示的法律、法规、标准、规范及相关规定的有：</w:t>
      </w:r>
      <w:bookmarkEnd w:id="156"/>
      <w:r>
        <w:rPr>
          <w:rFonts w:hint="eastAsia" w:asciiTheme="minorEastAsia" w:hAnsiTheme="minorEastAsia" w:eastAsiaTheme="minorEastAsia" w:cstheme="minorEastAsia"/>
          <w:sz w:val="24"/>
          <w:szCs w:val="24"/>
          <w:u w:val="single"/>
        </w:rPr>
        <w:t xml:space="preserve">                        </w:t>
      </w:r>
    </w:p>
    <w:p w14:paraId="538E98A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059E451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3E8655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u w:val="single"/>
        </w:rPr>
      </w:pPr>
      <w:bookmarkStart w:id="157" w:name="tip_risk_bookmark_14"/>
      <w:commentRangeStart w:id="12"/>
      <w:r>
        <w:rPr>
          <w:rFonts w:hint="eastAsia" w:asciiTheme="minorEastAsia" w:hAnsiTheme="minorEastAsia" w:eastAsiaTheme="minorEastAsia" w:cstheme="minorEastAsia"/>
          <w:sz w:val="24"/>
          <w:szCs w:val="24"/>
        </w:rPr>
        <w:t>3．3  国内没有相关标准、规范的部分：</w:t>
      </w:r>
      <w:r>
        <w:rPr>
          <w:rFonts w:hint="eastAsia" w:asciiTheme="minorEastAsia" w:hAnsiTheme="minorEastAsia" w:eastAsiaTheme="minorEastAsia" w:cstheme="minorEastAsia"/>
          <w:sz w:val="24"/>
          <w:szCs w:val="24"/>
          <w:u w:val="single"/>
        </w:rPr>
        <w:t xml:space="preserve">               </w:t>
      </w:r>
    </w:p>
    <w:p w14:paraId="4CB25AE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应由发包人在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日内，提出技术要求；承包人在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日内按发包人要求提出施工工艺，经发包人认可后执行。发包人要求使用国外标准、规范的，应负责提供中文译本。购买、翻译标准、规范或制定施工工艺的费用，由发包人承担。</w:t>
      </w:r>
      <w:commentRangeEnd w:id="12"/>
      <w:r>
        <w:rPr>
          <w:rStyle w:val="57"/>
          <w:rFonts w:hint="eastAsia" w:asciiTheme="minorEastAsia" w:hAnsiTheme="minorEastAsia" w:eastAsiaTheme="minorEastAsia" w:cstheme="minorEastAsia"/>
          <w:sz w:val="24"/>
          <w:szCs w:val="24"/>
        </w:rPr>
        <w:commentReference w:id="12"/>
      </w:r>
      <w:bookmarkEnd w:id="157"/>
    </w:p>
    <w:p w14:paraId="7D5A6BA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第4条  工程师及项目经理</w:t>
      </w:r>
    </w:p>
    <w:p w14:paraId="2F287E9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13"/>
      <w:bookmarkStart w:id="158" w:name="tip_risk_bookmark_15"/>
      <w:r>
        <w:rPr>
          <w:rFonts w:hint="eastAsia" w:asciiTheme="minorEastAsia" w:hAnsiTheme="minorEastAsia" w:eastAsiaTheme="minorEastAsia" w:cstheme="minorEastAsia"/>
          <w:sz w:val="24"/>
          <w:szCs w:val="24"/>
        </w:rPr>
        <w:t>4．1  发包人委托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对本工程进行工程监理，监理工程师姓名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职务</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，其职权主要内容：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发包人应在实施监理前将受委托的监理单位及监理工程师等详细内容和权限以书面形式通知承包人。</w:t>
      </w:r>
      <w:commentRangeEnd w:id="13"/>
      <w:r>
        <w:rPr>
          <w:rStyle w:val="57"/>
          <w:rFonts w:hint="eastAsia" w:asciiTheme="minorEastAsia" w:hAnsiTheme="minorEastAsia" w:eastAsiaTheme="minorEastAsia" w:cstheme="minorEastAsia"/>
          <w:sz w:val="24"/>
          <w:szCs w:val="24"/>
        </w:rPr>
        <w:commentReference w:id="13"/>
      </w:r>
      <w:bookmarkEnd w:id="158"/>
    </w:p>
    <w:p w14:paraId="59F3D4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u w:val="single"/>
        </w:rPr>
      </w:pPr>
      <w:bookmarkStart w:id="159" w:name="tip_risk_bookmark_16"/>
      <w:r>
        <w:rPr>
          <w:rFonts w:hint="eastAsia" w:asciiTheme="minorEastAsia" w:hAnsiTheme="minorEastAsia" w:eastAsiaTheme="minorEastAsia" w:cstheme="minorEastAsia"/>
          <w:sz w:val="24"/>
          <w:szCs w:val="24"/>
        </w:rPr>
        <w:t>4．2  发包人派驻施工场地的工程师姓名：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职务：</w:t>
      </w:r>
      <w:r>
        <w:rPr>
          <w:rFonts w:hint="eastAsia" w:asciiTheme="minorEastAsia" w:hAnsiTheme="minorEastAsia" w:eastAsiaTheme="minorEastAsia" w:cstheme="minorEastAsia"/>
          <w:sz w:val="24"/>
          <w:szCs w:val="24"/>
          <w:u w:val="single"/>
        </w:rPr>
        <w:t xml:space="preserve">  </w:t>
      </w:r>
    </w:p>
    <w:p w14:paraId="1A705A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(1)本工程如实行监理，发包人派驻工程师的职权不得与监理工程师交叉，其具体职权：</w:t>
      </w:r>
      <w:r>
        <w:rPr>
          <w:rFonts w:hint="eastAsia" w:asciiTheme="minorEastAsia" w:hAnsiTheme="minorEastAsia" w:eastAsiaTheme="minorEastAsia" w:cstheme="minorEastAsia"/>
          <w:sz w:val="24"/>
          <w:szCs w:val="24"/>
          <w:u w:val="single"/>
        </w:rPr>
        <w:t xml:space="preserve">                                  </w:t>
      </w:r>
      <w:bookmarkEnd w:id="159"/>
      <w:r>
        <w:rPr>
          <w:rFonts w:hint="eastAsia" w:asciiTheme="minorEastAsia" w:hAnsiTheme="minorEastAsia" w:eastAsiaTheme="minorEastAsia" w:cstheme="minorEastAsia"/>
          <w:sz w:val="24"/>
          <w:szCs w:val="24"/>
          <w:u w:val="single"/>
        </w:rPr>
        <w:t xml:space="preserve">   </w:t>
      </w:r>
    </w:p>
    <w:p w14:paraId="6D4EEE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(2)本工程如不实行监理，发包人派驻的工程师应负责本合同全面履行。</w:t>
      </w:r>
    </w:p>
    <w:p w14:paraId="3A7C9D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commentRangeStart w:id="14"/>
      <w:bookmarkStart w:id="160" w:name="tip_risk_bookmark_17"/>
      <w:r>
        <w:rPr>
          <w:rFonts w:hint="eastAsia" w:asciiTheme="minorEastAsia" w:hAnsiTheme="minorEastAsia" w:eastAsiaTheme="minorEastAsia" w:cstheme="minorEastAsia"/>
          <w:sz w:val="24"/>
          <w:szCs w:val="24"/>
        </w:rPr>
        <w:t>4．3  承包人委派施工场地的项目经理姓名：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职务：</w:t>
      </w:r>
      <w:r>
        <w:rPr>
          <w:rFonts w:hint="eastAsia" w:asciiTheme="minorEastAsia" w:hAnsiTheme="minorEastAsia" w:eastAsiaTheme="minorEastAsia" w:cstheme="minorEastAsia"/>
          <w:sz w:val="24"/>
          <w:szCs w:val="24"/>
          <w:u w:val="single"/>
        </w:rPr>
        <w:t xml:space="preserve">              </w:t>
      </w:r>
    </w:p>
    <w:p w14:paraId="1283128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4．4  项目经理具体职权：</w:t>
      </w:r>
      <w:commentRangeEnd w:id="14"/>
      <w:r>
        <w:rPr>
          <w:rStyle w:val="57"/>
          <w:rFonts w:hint="eastAsia" w:asciiTheme="minorEastAsia" w:hAnsiTheme="minorEastAsia" w:eastAsiaTheme="minorEastAsia" w:cstheme="minorEastAsia"/>
          <w:sz w:val="24"/>
          <w:szCs w:val="24"/>
        </w:rPr>
        <w:commentReference w:id="14"/>
      </w:r>
      <w:bookmarkEnd w:id="160"/>
      <w:r>
        <w:rPr>
          <w:rFonts w:hint="eastAsia" w:asciiTheme="minorEastAsia" w:hAnsiTheme="minorEastAsia" w:eastAsiaTheme="minorEastAsia" w:cstheme="minorEastAsia"/>
          <w:sz w:val="24"/>
          <w:szCs w:val="24"/>
          <w:u w:val="single"/>
        </w:rPr>
        <w:t xml:space="preserve">                             </w:t>
      </w:r>
    </w:p>
    <w:p w14:paraId="3CDFC36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第5条  发包人工作</w:t>
      </w:r>
    </w:p>
    <w:p w14:paraId="53FBBAA7">
      <w:pPr>
        <w:keepNext w:val="0"/>
        <w:keepLines w:val="0"/>
        <w:pageBreakBefore w:val="0"/>
        <w:widowControl w:val="0"/>
        <w:kinsoku/>
        <w:wordWrap/>
        <w:overflowPunct/>
        <w:topLinePunct w:val="0"/>
        <w:autoSpaceDE/>
        <w:autoSpaceDN/>
        <w:bidi w:val="0"/>
        <w:adjustRightInd w:val="0"/>
        <w:snapToGrid w:val="0"/>
        <w:spacing w:line="360" w:lineRule="auto"/>
        <w:ind w:left="559" w:leftChars="266"/>
        <w:textAlignment w:val="auto"/>
        <w:rPr>
          <w:rFonts w:hint="eastAsia" w:asciiTheme="minorEastAsia" w:hAnsiTheme="minorEastAsia" w:eastAsiaTheme="minorEastAsia" w:cstheme="minorEastAsia"/>
          <w:sz w:val="24"/>
          <w:szCs w:val="24"/>
        </w:rPr>
      </w:pPr>
      <w:commentRangeStart w:id="15"/>
      <w:bookmarkStart w:id="161" w:name="tip_risk_bookmark_18"/>
      <w:r>
        <w:rPr>
          <w:rFonts w:hint="eastAsia" w:asciiTheme="minorEastAsia" w:hAnsiTheme="minorEastAsia" w:eastAsiaTheme="minorEastAsia" w:cstheme="minorEastAsia"/>
          <w:sz w:val="24"/>
          <w:szCs w:val="24"/>
        </w:rPr>
        <w:t>5．1  在开工前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天，向承包人提供图纸及作法说明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份，</w:t>
      </w:r>
    </w:p>
    <w:p w14:paraId="07135A9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组织设计单位和承包人对图纸及作法说明进行技术交底。如使用国外图纸的，其翻译等费用由发包人承担。</w:t>
      </w:r>
      <w:commentRangeEnd w:id="15"/>
      <w:r>
        <w:rPr>
          <w:rStyle w:val="57"/>
          <w:rFonts w:hint="eastAsia" w:asciiTheme="minorEastAsia" w:hAnsiTheme="minorEastAsia" w:eastAsiaTheme="minorEastAsia" w:cstheme="minorEastAsia"/>
          <w:sz w:val="24"/>
          <w:szCs w:val="24"/>
        </w:rPr>
        <w:commentReference w:id="15"/>
      </w:r>
      <w:bookmarkEnd w:id="161"/>
    </w:p>
    <w:p w14:paraId="2C0689D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bookmarkStart w:id="162" w:name="tip_risk_bookmark_19"/>
      <w:commentRangeStart w:id="16"/>
      <w:r>
        <w:rPr>
          <w:rFonts w:hint="eastAsia" w:asciiTheme="minorEastAsia" w:hAnsiTheme="minorEastAsia" w:eastAsiaTheme="minorEastAsia" w:cstheme="minorEastAsia"/>
          <w:sz w:val="24"/>
          <w:szCs w:val="24"/>
        </w:rPr>
        <w:t>  5．2  在开工前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天，全部腾空或部分腾空被修缮或装修的房屋，清除施工场地内各种障碍物，对只能部分腾空的房屋或施工场地滞留的家具、设备、陈设及其他物品采取保护措施。提供施工场地及施工通道的范围：</w:t>
      </w:r>
      <w:commentRangeEnd w:id="16"/>
      <w:r>
        <w:rPr>
          <w:rStyle w:val="57"/>
          <w:rFonts w:hint="eastAsia" w:asciiTheme="minorEastAsia" w:hAnsiTheme="minorEastAsia" w:eastAsiaTheme="minorEastAsia" w:cstheme="minorEastAsia"/>
          <w:sz w:val="24"/>
          <w:szCs w:val="24"/>
        </w:rPr>
        <w:commentReference w:id="16"/>
      </w:r>
      <w:bookmarkEnd w:id="162"/>
      <w:r>
        <w:rPr>
          <w:rFonts w:hint="eastAsia" w:asciiTheme="minorEastAsia" w:hAnsiTheme="minorEastAsia" w:eastAsiaTheme="minorEastAsia" w:cstheme="minorEastAsia"/>
          <w:sz w:val="24"/>
          <w:szCs w:val="24"/>
          <w:u w:val="single"/>
        </w:rPr>
        <w:t xml:space="preserve">                       </w:t>
      </w:r>
    </w:p>
    <w:p w14:paraId="05734C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5．3 向承包人提供地质和各种管线资料，并保证其真实性。</w:t>
      </w:r>
    </w:p>
    <w:p w14:paraId="1D23221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5．4 协调处理保护周围建筑物及装修、设备及设备管线、古树名木、绿地等不受损坏，并承担相应费用。</w:t>
      </w:r>
    </w:p>
    <w:p w14:paraId="1AC674E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5．5 负责办理施工所涉及的各种申请、批件手续，向承包方提供施工所需水、电、气、电讯设备等，并说明使用注意事项及其他要求。</w:t>
      </w:r>
    </w:p>
    <w:p w14:paraId="2E2A565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5．6 协调做好施工场地保卫、消防、垃圾处理工作，协调好周围邻里关系，并承担相应费用。</w:t>
      </w:r>
    </w:p>
    <w:p w14:paraId="5736AEA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5．7 结构修缮或设备及设备管线更新改造工程应有相应的图纸及作法说明，并报有关部门审批。非结构修缮或设备及设备管线更新改造工程，如需拆改原建筑结构、设备及设备管线，应向有关部门办理审批手续。</w:t>
      </w:r>
    </w:p>
    <w:p w14:paraId="655ACF7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FF0000"/>
          <w:sz w:val="24"/>
          <w:szCs w:val="24"/>
          <w:lang w:eastAsia="zh-CN"/>
        </w:rPr>
      </w:pPr>
      <w:bookmarkStart w:id="163" w:name="tip_risk_bookmark_21"/>
      <w:commentRangeStart w:id="17"/>
      <w:r>
        <w:rPr>
          <w:rFonts w:hint="eastAsia" w:asciiTheme="minorEastAsia" w:hAnsiTheme="minorEastAsia" w:eastAsiaTheme="minorEastAsia" w:cstheme="minorEastAsia"/>
          <w:sz w:val="24"/>
          <w:szCs w:val="24"/>
        </w:rPr>
        <w:t>  5．8  发包人应完成5．2、5．3、5．4、5．5、5．6、5．7各项工作或其他工作，发包人可将其部分工作委托承包人办理，其具体内容：</w:t>
      </w:r>
      <w:bookmarkStart w:id="164" w:name="auto_fouce_20"/>
      <w:commentRangeStart w:id="18"/>
    </w:p>
    <w:p w14:paraId="46E5D09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lang w:eastAsia="zh-CN"/>
        </w:rPr>
        <w:t>发包人将部分工作委托承包人办理的，需另行签订书面委托协议后方可生效，未签订书面协议的，乙方不得擅自实施相关工作，否则产生的费用甲方不予承担。</w:t>
      </w:r>
      <w:commentRangeEnd w:id="18"/>
      <w:r>
        <w:rPr>
          <w:rStyle w:val="57"/>
          <w:rFonts w:hint="eastAsia" w:asciiTheme="minorEastAsia" w:hAnsiTheme="minorEastAsia" w:eastAsiaTheme="minorEastAsia" w:cstheme="minorEastAsia"/>
          <w:sz w:val="24"/>
          <w:szCs w:val="24"/>
        </w:rPr>
        <w:commentReference w:id="18"/>
      </w:r>
      <w:bookmarkEnd w:id="164"/>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并承担相应费用。</w:t>
      </w:r>
      <w:commentRangeEnd w:id="17"/>
      <w:r>
        <w:rPr>
          <w:rStyle w:val="57"/>
          <w:rFonts w:hint="eastAsia" w:asciiTheme="minorEastAsia" w:hAnsiTheme="minorEastAsia" w:eastAsiaTheme="minorEastAsia" w:cstheme="minorEastAsia"/>
          <w:sz w:val="24"/>
          <w:szCs w:val="24"/>
        </w:rPr>
        <w:commentReference w:id="17"/>
      </w:r>
      <w:bookmarkEnd w:id="163"/>
    </w:p>
    <w:p w14:paraId="3C2DE26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5．9 发包人对工程质量、进度进行验收和检查，按约定拨付工程款，办理竣工验收结算和其他各项事宜。</w:t>
      </w:r>
    </w:p>
    <w:p w14:paraId="60D20A5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第6条  承包人工作</w:t>
      </w:r>
    </w:p>
    <w:p w14:paraId="290E02D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6．1  承包人按双方约定的时间参加图纸及作法说明交底，拟定施工组织设计和进度计划，交工程师审定。</w:t>
      </w:r>
    </w:p>
    <w:p w14:paraId="0A70CE4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6．2  严格按照标准、规范、图纸及作法说明、安全操作规程、消防安全规定、环保规定认真组织施工，做好施工场地安全、保卫、消防、清洁工作；做好质量验收记录；参加竣工验收；编制工程结算。</w:t>
      </w:r>
    </w:p>
    <w:p w14:paraId="1DCFFE0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19"/>
      <w:bookmarkStart w:id="165" w:name="auto_fouce_22"/>
      <w:r>
        <w:rPr>
          <w:rFonts w:hint="eastAsia" w:asciiTheme="minorEastAsia" w:hAnsiTheme="minorEastAsia" w:eastAsiaTheme="minorEastAsia" w:cstheme="minorEastAsia"/>
          <w:sz w:val="24"/>
          <w:szCs w:val="24"/>
        </w:rPr>
        <w:t>  6．3  按照有关规定，妥善保护好周围建筑物、设备及设备管线、古树名木及施工场地内不易移动的家具、设备、陈设不受损坏</w:t>
      </w:r>
      <w:r>
        <w:rPr>
          <w:rFonts w:hint="eastAsia" w:asciiTheme="minorEastAsia" w:hAnsiTheme="minorEastAsia" w:eastAsiaTheme="minorEastAsia" w:cstheme="minorEastAsia"/>
          <w:sz w:val="24"/>
          <w:szCs w:val="24"/>
          <w:lang w:eastAsia="zh-CN"/>
        </w:rPr>
        <w:t>；因承包人未尽到保护义务造成损坏的，由承包人承担相应赔偿责任</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承包人应配合发包人</w:t>
      </w:r>
      <w:r>
        <w:rPr>
          <w:rFonts w:hint="eastAsia" w:asciiTheme="minorEastAsia" w:hAnsiTheme="minorEastAsia" w:eastAsiaTheme="minorEastAsia" w:cstheme="minorEastAsia"/>
          <w:sz w:val="24"/>
          <w:szCs w:val="24"/>
        </w:rPr>
        <w:t>处理因施工带来的扰民问题及</w:t>
      </w:r>
      <w:r>
        <w:rPr>
          <w:rFonts w:hint="eastAsia" w:asciiTheme="minorEastAsia" w:hAnsiTheme="minorEastAsia" w:eastAsiaTheme="minorEastAsia" w:cstheme="minorEastAsia"/>
          <w:sz w:val="24"/>
          <w:szCs w:val="24"/>
          <w:lang w:eastAsia="zh-CN"/>
        </w:rPr>
        <w:t>与</w:t>
      </w:r>
      <w:r>
        <w:rPr>
          <w:rFonts w:hint="eastAsia" w:asciiTheme="minorEastAsia" w:hAnsiTheme="minorEastAsia" w:eastAsiaTheme="minorEastAsia" w:cstheme="minorEastAsia"/>
          <w:sz w:val="24"/>
          <w:szCs w:val="24"/>
        </w:rPr>
        <w:t>周围单位、住户</w:t>
      </w:r>
      <w:r>
        <w:rPr>
          <w:rFonts w:hint="eastAsia" w:asciiTheme="minorEastAsia" w:hAnsiTheme="minorEastAsia" w:eastAsiaTheme="minorEastAsia" w:cstheme="minorEastAsia"/>
          <w:sz w:val="24"/>
          <w:szCs w:val="24"/>
          <w:lang w:eastAsia="zh-CN"/>
        </w:rPr>
        <w:t>的</w:t>
      </w:r>
      <w:r>
        <w:rPr>
          <w:rFonts w:hint="eastAsia" w:asciiTheme="minorEastAsia" w:hAnsiTheme="minorEastAsia" w:eastAsiaTheme="minorEastAsia" w:cstheme="minorEastAsia"/>
          <w:sz w:val="24"/>
          <w:szCs w:val="24"/>
        </w:rPr>
        <w:t>关系</w:t>
      </w:r>
      <w:r>
        <w:rPr>
          <w:rFonts w:hint="eastAsia" w:asciiTheme="minorEastAsia" w:hAnsiTheme="minorEastAsia" w:eastAsiaTheme="minorEastAsia" w:cstheme="minorEastAsia"/>
          <w:sz w:val="24"/>
          <w:szCs w:val="24"/>
          <w:lang w:eastAsia="zh-CN"/>
        </w:rPr>
        <w:t>协调工作，相关责任及费用按照本合同约定承担</w:t>
      </w:r>
      <w:r>
        <w:rPr>
          <w:rFonts w:hint="eastAsia" w:asciiTheme="minorEastAsia" w:hAnsiTheme="minorEastAsia" w:eastAsiaTheme="minorEastAsia" w:cstheme="minorEastAsia"/>
          <w:sz w:val="24"/>
          <w:szCs w:val="24"/>
        </w:rPr>
        <w:t>。</w:t>
      </w:r>
      <w:commentRangeEnd w:id="19"/>
      <w:r>
        <w:rPr>
          <w:rStyle w:val="57"/>
          <w:rFonts w:hint="eastAsia" w:asciiTheme="minorEastAsia" w:hAnsiTheme="minorEastAsia" w:eastAsiaTheme="minorEastAsia" w:cstheme="minorEastAsia"/>
          <w:sz w:val="24"/>
          <w:szCs w:val="24"/>
        </w:rPr>
        <w:commentReference w:id="19"/>
      </w:r>
      <w:bookmarkEnd w:id="165"/>
    </w:p>
    <w:p w14:paraId="268F2AD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6．4  不得超出图纸及作法说明的规定，随意拆改原建筑结构或设备及设备管线。</w:t>
      </w:r>
    </w:p>
    <w:p w14:paraId="369F618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6．5  工程竣工未交付发包人之前，负责对施工场地原有建筑物及家具、设备、陈设和成品的保护工作。</w:t>
      </w:r>
    </w:p>
    <w:p w14:paraId="5E0DDC2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6．6  凡因承包人原因，违反6．2、6．3、6．4、6．5款的规定，造成损坏和罚款等费用，均由承包人承担。</w:t>
      </w:r>
    </w:p>
    <w:p w14:paraId="2A37AFF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6．7  协助发包人完成5．8款约定的其他各项工作。</w:t>
      </w:r>
    </w:p>
    <w:p w14:paraId="0A53EBD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第7条  施工进度与工期</w:t>
      </w:r>
    </w:p>
    <w:p w14:paraId="000219E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bookmarkStart w:id="166" w:name="tip_risk_bookmark_23"/>
      <w:commentRangeStart w:id="20"/>
      <w:r>
        <w:rPr>
          <w:rFonts w:hint="eastAsia" w:asciiTheme="minorEastAsia" w:hAnsiTheme="minorEastAsia" w:eastAsiaTheme="minorEastAsia" w:cstheme="minorEastAsia"/>
          <w:sz w:val="24"/>
          <w:szCs w:val="24"/>
        </w:rPr>
        <w:t>  7．1  承包人向工程师提供施工组织设计和工程进度计划内容和时间：</w:t>
      </w:r>
      <w:r>
        <w:rPr>
          <w:rFonts w:hint="eastAsia" w:asciiTheme="minorEastAsia" w:hAnsiTheme="minorEastAsia" w:eastAsiaTheme="minorEastAsia" w:cstheme="minorEastAsia"/>
          <w:sz w:val="24"/>
          <w:szCs w:val="24"/>
          <w:u w:val="single"/>
        </w:rPr>
        <w:t xml:space="preserve">                          </w:t>
      </w:r>
      <w:commentRangeStart w:id="21"/>
      <w:bookmarkStart w:id="167" w:name="auto_fouce_24"/>
      <w:r>
        <w:rPr>
          <w:rFonts w:hint="eastAsia" w:asciiTheme="minorEastAsia" w:hAnsiTheme="minorEastAsia" w:eastAsiaTheme="minorEastAsia" w:cstheme="minorEastAsia"/>
          <w:sz w:val="24"/>
          <w:szCs w:val="24"/>
        </w:rPr>
        <w:t>，工程师在收到后</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天内予以确认或提出修改意见。逾期不能确认或提出修改意见视为同意。承包人按照经确认的施工组织设计和工程进度计划组织施工。因发包人原因导致工程不能按期开工，工期顺延，给承包人造成损失的，由发包人承担承包人的损失。因承包人原因，不能按期开工，应以书面形式向工程师提出延期开工的理由和申请，工程师应在48小时以内给予答复，在规定时间内未作答复视为同意延期开工申请，工程师不同意的，工期不予顺延。</w:t>
      </w:r>
      <w:commentRangeEnd w:id="20"/>
      <w:r>
        <w:rPr>
          <w:rStyle w:val="57"/>
          <w:rFonts w:hint="eastAsia" w:asciiTheme="minorEastAsia" w:hAnsiTheme="minorEastAsia" w:eastAsiaTheme="minorEastAsia" w:cstheme="minorEastAsia"/>
          <w:sz w:val="24"/>
          <w:szCs w:val="24"/>
        </w:rPr>
        <w:commentReference w:id="20"/>
      </w:r>
      <w:commentRangeEnd w:id="21"/>
      <w:r>
        <w:rPr>
          <w:rStyle w:val="57"/>
          <w:rFonts w:hint="eastAsia" w:asciiTheme="minorEastAsia" w:hAnsiTheme="minorEastAsia" w:eastAsiaTheme="minorEastAsia" w:cstheme="minorEastAsia"/>
          <w:sz w:val="24"/>
          <w:szCs w:val="24"/>
        </w:rPr>
        <w:commentReference w:id="21"/>
      </w:r>
      <w:bookmarkEnd w:id="166"/>
      <w:bookmarkEnd w:id="167"/>
    </w:p>
    <w:p w14:paraId="54DDD4F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7．2  工程师认为确有必要暂停施工时，应当以书面形式要求承包人暂停施工，并在提出要求后48小时内提出处理意见，承包人应按照工程师要求停止施工，并妥善保护已完工程。在实施工程师的处理意见后，可以书面形式提出复工要求。工程师应在48小时以内给予答复。在规定的时间内未作出答复，承包人可以自行复工，因发包人原因造成停工的，由发包人承担所发生的追加合同价款，赔偿承包人由此造成的损失，工期顺延；因承包人原因造成停工，由承包人承担发生的费用，工期不予顺延。</w:t>
      </w:r>
    </w:p>
    <w:p w14:paraId="0B815BD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7．3  因发包人未按合同约定履行义务或因设计变更增加工程量，非承包人原因停水、停电、停气7天内累计超过8小时，以及不可抗力等致使工程不能正常进行造成停工，工期延误的，经工程师认定，工期顺延。</w:t>
      </w:r>
    </w:p>
    <w:p w14:paraId="1DF19B5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7．4  承包人应按协议书约定的竣工日期或工程师同意顺延的工期竣工。因承包人原因不能按时竣工的，应承担违约责任。发包人要求提前竣工的，双方另行签订提前竣工协议，支付承包人提前竣工的合同价款并为提前竣工创造条件。</w:t>
      </w:r>
    </w:p>
    <w:p w14:paraId="765AA6F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第8条  质量检验与隐蔽工程验收</w:t>
      </w:r>
    </w:p>
    <w:p w14:paraId="15E063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8．1  工程质量应达到协议书约定的标准，质量评定标准以国家或行业质量评定标准为依据。因承包人原因工程质量达不到协议书的质量标准，承包人承担违约责任。</w:t>
      </w:r>
    </w:p>
    <w:p w14:paraId="7B70783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commentRangeStart w:id="22"/>
      <w:bookmarkStart w:id="168" w:name="tip_risk_bookmark_25"/>
      <w:r>
        <w:rPr>
          <w:rFonts w:hint="eastAsia" w:asciiTheme="minorEastAsia" w:hAnsiTheme="minorEastAsia" w:eastAsiaTheme="minorEastAsia" w:cstheme="minorEastAsia"/>
          <w:sz w:val="24"/>
          <w:szCs w:val="24"/>
        </w:rPr>
        <w:t>双方约定在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制作样板及样板间，作为质量评定验收实物依据。样板及样板间应按图纸及作法说明要求制作，经工程师验收合格后双方共同封存，其制作费用由发包人承担。</w:t>
      </w:r>
      <w:commentRangeEnd w:id="22"/>
      <w:r>
        <w:rPr>
          <w:rStyle w:val="57"/>
          <w:rFonts w:hint="eastAsia" w:asciiTheme="minorEastAsia" w:hAnsiTheme="minorEastAsia" w:eastAsiaTheme="minorEastAsia" w:cstheme="minorEastAsia"/>
          <w:sz w:val="24"/>
          <w:szCs w:val="24"/>
        </w:rPr>
        <w:commentReference w:id="22"/>
      </w:r>
      <w:bookmarkEnd w:id="168"/>
    </w:p>
    <w:p w14:paraId="1AF6553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23"/>
      <w:bookmarkStart w:id="169" w:name="tip_risk_bookmark_26"/>
      <w:r>
        <w:rPr>
          <w:rFonts w:hint="eastAsia" w:asciiTheme="minorEastAsia" w:hAnsiTheme="minorEastAsia" w:eastAsiaTheme="minorEastAsia" w:cstheme="minorEastAsia"/>
          <w:sz w:val="24"/>
          <w:szCs w:val="24"/>
        </w:rPr>
        <w:t>  8．2  双方约定该隐蔽工程或中间验收部位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对隐蔽工程和中间验收部位达到验收条件时，承包人在自检之后的48小时内通知工程师组织验收。承包人准备验收记录，验收合格并由工程师在验收记录上签字后，承包人可以隐蔽和继续施工。工程师未提出延期要求不按时验收，承包人可以自行组织验收，工程师应承认验收记录。</w:t>
      </w:r>
      <w:commentRangeEnd w:id="23"/>
      <w:r>
        <w:rPr>
          <w:rStyle w:val="57"/>
          <w:rFonts w:hint="eastAsia" w:asciiTheme="minorEastAsia" w:hAnsiTheme="minorEastAsia" w:eastAsiaTheme="minorEastAsia" w:cstheme="minorEastAsia"/>
          <w:sz w:val="24"/>
          <w:szCs w:val="24"/>
        </w:rPr>
        <w:commentReference w:id="23"/>
      </w:r>
      <w:bookmarkEnd w:id="169"/>
    </w:p>
    <w:p w14:paraId="216DD1A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8．3  承包人应按照标准、规范、图纸及作法说明，样板间以及工程师依据合同发出的指令，随时接受工程师检查，并为检查提供便利条件。</w:t>
      </w:r>
    </w:p>
    <w:p w14:paraId="2060DA3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8．4  凡工程质量达不到协议书标准的部分，工程师一经发现，应要求承包人拆除或重新施工，承包人应按工程师要求拆除或重新施工，直到符合约定的标准。因承包人原因造成质量达不到约定的标准(含隐蔽工程复检部分)，承包人应承担因此而发生的拆除、剥离、开孔、返修、重做的费用，工期不予顺延。</w:t>
      </w:r>
    </w:p>
    <w:p w14:paraId="62CE79A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8．5  凡因发包人提供的材料不合格、工程师指令失误，而造成工程质量达不到约定标准，或隐蔽工程要求复检仍为合格的，所发生的费用由发包人承担，并赔偿承包人损失，工期顺延。</w:t>
      </w:r>
    </w:p>
    <w:p w14:paraId="7ECADFA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8．6  双方对工程质量有争议，由双方同意的工程质量检测机构鉴定，所需费用及由此造成的损失，由责任方承担。双方均有责任的，由双方根据其责任分别承担。</w:t>
      </w:r>
    </w:p>
    <w:p w14:paraId="3AD108E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第9条  安全生产</w:t>
      </w:r>
    </w:p>
    <w:p w14:paraId="5ABA4C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9．1  发包人提供的图纸及作法说明应符合国家有关安全和防火规范要求，并对其在施工场地的相关人员进行安全教育。凡因发包人原因违反安全及防火规范，导致发生安全或火灾事故的；发包人应承担责任及发生的费用。并赔偿承包人的损失。</w:t>
      </w:r>
    </w:p>
    <w:p w14:paraId="7ED09B6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9．2  承包人应当严格遵守安全生产的有关管理规定，严格按照安全生产及防火规范组织施工，做好现场设备管线、通道等防护围栏，在危险地段安装警示牌或警示灯，随时接受行业安全检查人员依法实施的监督检查。在动力设备、输电线路、地下管道、密封防震车间、易燃易爆地段、有放射毒害环境、不停止使用建筑以及在临街交通要道附近施工的，施工前应向工程师提出安全防护措施，经工程师认可后实施，防护措施费用由发包人承担。凡因承包人原因导致发生安全或火灾事故的，承包人应承担责任及所发生的费用，并赔偿发包人的损失。</w:t>
      </w:r>
    </w:p>
    <w:p w14:paraId="0A29504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9．3  发生重大伤亡事故及其他安全事故，承包人应按有关规定立即上报有关部门并通知工程师，同时按政府有关部门要求处理，由事故责任方承担费用。双方对事故责任有争议时，应按政府有关部门的认定处理。</w:t>
      </w:r>
    </w:p>
    <w:p w14:paraId="259E79F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第10条  材料设备供应</w:t>
      </w:r>
    </w:p>
    <w:p w14:paraId="5AA876F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commentRangeStart w:id="24"/>
      <w:bookmarkStart w:id="170" w:name="tip_risk_bookmark_27"/>
      <w:r>
        <w:rPr>
          <w:rFonts w:hint="eastAsia" w:asciiTheme="minorEastAsia" w:hAnsiTheme="minorEastAsia" w:eastAsiaTheme="minorEastAsia" w:cstheme="minorEastAsia"/>
          <w:sz w:val="24"/>
          <w:szCs w:val="24"/>
        </w:rPr>
        <w:t>  10．1  双方约定本工程由发包人供应的材料、设备(见附件二)，凡由发包人供应的材料、设备，应按附件二规定的材料名称、规格型号、单位、数量、单价、供应时间、送达地点的要求进行，并提供产品合格证书。承包人应积极配合发包人做好材料的验收、试验和保管工作，发包人支付保管和试验费用，费用的计算：</w:t>
      </w:r>
      <w:r>
        <w:rPr>
          <w:rFonts w:hint="eastAsia" w:asciiTheme="minorEastAsia" w:hAnsiTheme="minorEastAsia" w:eastAsiaTheme="minorEastAsia" w:cstheme="minorEastAsia"/>
          <w:sz w:val="24"/>
          <w:szCs w:val="24"/>
          <w:u w:val="single"/>
        </w:rPr>
        <w:t xml:space="preserve">    </w:t>
      </w:r>
    </w:p>
    <w:p w14:paraId="62533EA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凡因发包人提供的材料不符合附件二规定或质量不合格所造成的各种损失和费用由发包人承担。</w:t>
      </w:r>
      <w:commentRangeEnd w:id="24"/>
      <w:r>
        <w:rPr>
          <w:rStyle w:val="57"/>
          <w:rFonts w:hint="eastAsia" w:asciiTheme="minorEastAsia" w:hAnsiTheme="minorEastAsia" w:eastAsiaTheme="minorEastAsia" w:cstheme="minorEastAsia"/>
          <w:sz w:val="24"/>
          <w:szCs w:val="24"/>
        </w:rPr>
        <w:commentReference w:id="24"/>
      </w:r>
      <w:bookmarkEnd w:id="170"/>
    </w:p>
    <w:p w14:paraId="3FE4A6B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10．2  凡由承包人负责采购和供应的材料、设备，应符合质量和设计要求，并提供产品合格证书。因承包人供应的材料、设备质量不合格或不符合设计要求，给工程造成损失的，承包人应承担责任。</w:t>
      </w:r>
    </w:p>
    <w:p w14:paraId="551DF64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25"/>
      <w:bookmarkStart w:id="171" w:name="tip_risk_bookmark_28"/>
      <w:r>
        <w:rPr>
          <w:rFonts w:hint="eastAsia" w:asciiTheme="minorEastAsia" w:hAnsiTheme="minorEastAsia" w:eastAsiaTheme="minorEastAsia" w:cstheme="minorEastAsia"/>
          <w:sz w:val="24"/>
          <w:szCs w:val="24"/>
        </w:rPr>
        <w:t>  10．3  双方约定，任何一方提供下列材料</w:t>
      </w:r>
      <w:r>
        <w:rPr>
          <w:rFonts w:hint="eastAsia" w:asciiTheme="minorEastAsia" w:hAnsiTheme="minorEastAsia" w:eastAsiaTheme="minorEastAsia" w:cstheme="minorEastAsia"/>
          <w:sz w:val="24"/>
          <w:szCs w:val="24"/>
          <w:u w:val="single"/>
        </w:rPr>
        <w:t xml:space="preserve">              </w:t>
      </w:r>
      <w:bookmarkStart w:id="172" w:name="auto_fouce_29"/>
      <w:commentRangeStart w:id="26"/>
      <w:r>
        <w:rPr>
          <w:rFonts w:hint="eastAsia" w:asciiTheme="minorEastAsia" w:hAnsiTheme="minorEastAsia" w:eastAsiaTheme="minorEastAsia" w:cstheme="minorEastAsia"/>
          <w:sz w:val="24"/>
          <w:szCs w:val="24"/>
        </w:rPr>
        <w:t>应提供材料的样品或样本，经双方验收后共同封存，做为材料供应和竣工验收的实物标准。凡材料不符合样品或样本的，由供货方承担</w:t>
      </w:r>
      <w:r>
        <w:rPr>
          <w:rFonts w:hint="eastAsia" w:asciiTheme="minorEastAsia" w:hAnsiTheme="minorEastAsia" w:eastAsiaTheme="minorEastAsia" w:cstheme="minorEastAsia"/>
          <w:sz w:val="24"/>
          <w:szCs w:val="24"/>
          <w:lang w:eastAsia="zh-CN"/>
        </w:rPr>
        <w:t>责</w:t>
      </w:r>
      <w:r>
        <w:rPr>
          <w:rFonts w:hint="eastAsia" w:asciiTheme="minorEastAsia" w:hAnsiTheme="minorEastAsia" w:eastAsiaTheme="minorEastAsia" w:cstheme="minorEastAsia"/>
          <w:sz w:val="24"/>
          <w:szCs w:val="24"/>
        </w:rPr>
        <w:t>任。</w:t>
      </w:r>
      <w:commentRangeEnd w:id="25"/>
      <w:r>
        <w:rPr>
          <w:rStyle w:val="57"/>
          <w:rFonts w:hint="eastAsia" w:asciiTheme="minorEastAsia" w:hAnsiTheme="minorEastAsia" w:eastAsiaTheme="minorEastAsia" w:cstheme="minorEastAsia"/>
          <w:sz w:val="24"/>
          <w:szCs w:val="24"/>
        </w:rPr>
        <w:commentReference w:id="25"/>
      </w:r>
      <w:commentRangeEnd w:id="26"/>
      <w:r>
        <w:rPr>
          <w:rStyle w:val="57"/>
          <w:rFonts w:hint="eastAsia" w:asciiTheme="minorEastAsia" w:hAnsiTheme="minorEastAsia" w:eastAsiaTheme="minorEastAsia" w:cstheme="minorEastAsia"/>
          <w:sz w:val="24"/>
          <w:szCs w:val="24"/>
        </w:rPr>
        <w:commentReference w:id="26"/>
      </w:r>
      <w:bookmarkEnd w:id="171"/>
      <w:bookmarkEnd w:id="172"/>
    </w:p>
    <w:p w14:paraId="0683871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27"/>
      <w:bookmarkStart w:id="173" w:name="auto_fouce_30"/>
      <w:r>
        <w:rPr>
          <w:rFonts w:hint="eastAsia" w:asciiTheme="minorEastAsia" w:hAnsiTheme="minorEastAsia" w:eastAsiaTheme="minorEastAsia" w:cstheme="minorEastAsia"/>
          <w:sz w:val="24"/>
          <w:szCs w:val="24"/>
        </w:rPr>
        <w:t>  10．4  由承包人负责采购的材料设备，发包人不得指定生产厂或供应商</w:t>
      </w:r>
      <w:r>
        <w:rPr>
          <w:rFonts w:hint="eastAsia" w:asciiTheme="minorEastAsia" w:hAnsiTheme="minorEastAsia" w:eastAsiaTheme="minorEastAsia" w:cstheme="minorEastAsia"/>
          <w:sz w:val="24"/>
          <w:szCs w:val="24"/>
          <w:lang w:eastAsia="zh-CN"/>
        </w:rPr>
        <w:t>，但发包人有权对乙方选定的生产厂或供应商资质、产品质量进行审核，对不符合合同约定质量标准的，有权要求乙方更换，由此产生的费用及工期延误责任由乙方承担</w:t>
      </w:r>
      <w:r>
        <w:rPr>
          <w:rFonts w:hint="eastAsia" w:asciiTheme="minorEastAsia" w:hAnsiTheme="minorEastAsia" w:eastAsiaTheme="minorEastAsia" w:cstheme="minorEastAsia"/>
          <w:sz w:val="24"/>
          <w:szCs w:val="24"/>
        </w:rPr>
        <w:t>。</w:t>
      </w:r>
      <w:commentRangeEnd w:id="27"/>
      <w:r>
        <w:rPr>
          <w:rStyle w:val="57"/>
          <w:rFonts w:hint="eastAsia" w:asciiTheme="minorEastAsia" w:hAnsiTheme="minorEastAsia" w:eastAsiaTheme="minorEastAsia" w:cstheme="minorEastAsia"/>
          <w:sz w:val="24"/>
          <w:szCs w:val="24"/>
        </w:rPr>
        <w:commentReference w:id="27"/>
      </w:r>
      <w:bookmarkEnd w:id="173"/>
    </w:p>
    <w:p w14:paraId="318D894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第11条  合同价款与交付</w:t>
      </w:r>
    </w:p>
    <w:p w14:paraId="18773CD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11．1  实行招标的工程合同价款由发包人依据中标通知书中的中标价格在协议书内约定，非招标工程的合同价款由发包人承包人依据工程预算书在协议书内约定。</w:t>
      </w:r>
    </w:p>
    <w:p w14:paraId="5B291B8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bookmarkStart w:id="174" w:name="tip_risk_bookmark_31"/>
      <w:bookmarkStart w:id="175" w:name="tip_risk_bookmark_32"/>
      <w:commentRangeStart w:id="28"/>
      <w:commentRangeStart w:id="29"/>
      <w:r>
        <w:rPr>
          <w:rFonts w:hint="eastAsia" w:asciiTheme="minorEastAsia" w:hAnsiTheme="minorEastAsia" w:eastAsiaTheme="minorEastAsia" w:cstheme="minorEastAsia"/>
          <w:sz w:val="24"/>
          <w:szCs w:val="24"/>
        </w:rPr>
        <w:t>  11．2  双方约定，本合同价款采用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方式确定。</w:t>
      </w:r>
      <w:commentRangeEnd w:id="28"/>
      <w:r>
        <w:rPr>
          <w:rStyle w:val="57"/>
          <w:rFonts w:hint="eastAsia" w:asciiTheme="minorEastAsia" w:hAnsiTheme="minorEastAsia" w:eastAsiaTheme="minorEastAsia" w:cstheme="minorEastAsia"/>
          <w:sz w:val="24"/>
          <w:szCs w:val="24"/>
        </w:rPr>
        <w:commentReference w:id="28"/>
      </w:r>
      <w:bookmarkEnd w:id="174"/>
    </w:p>
    <w:p w14:paraId="42D9C83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(1)固定价格合同。合同价款中包括风险范围及计算方法：</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在约定的风险范围内，合同价款不再调整。风险范围以外的合同价款调整方法：</w:t>
      </w:r>
      <w:r>
        <w:rPr>
          <w:rFonts w:hint="eastAsia" w:asciiTheme="minorEastAsia" w:hAnsiTheme="minorEastAsia" w:eastAsiaTheme="minorEastAsia" w:cstheme="minorEastAsia"/>
          <w:sz w:val="24"/>
          <w:szCs w:val="24"/>
          <w:u w:val="single"/>
        </w:rPr>
        <w:t xml:space="preserve">                                      </w:t>
      </w:r>
    </w:p>
    <w:p w14:paraId="12F3C2E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(2)可调价合同。合同价款调整原因包括有法律、法规和国家有关政策变化的影响；安康市房屋修缮工程定额管理处公布的价格调整；7天内非承包人原因停水、停电、停气造成停工累计超过8小时；双方约定的其他调整原因等。双方约定具体调整因素及调整方法：</w:t>
      </w:r>
      <w:r>
        <w:rPr>
          <w:rFonts w:hint="eastAsia" w:asciiTheme="minorEastAsia" w:hAnsiTheme="minorEastAsia" w:eastAsiaTheme="minorEastAsia" w:cstheme="minorEastAsia"/>
          <w:sz w:val="24"/>
          <w:szCs w:val="24"/>
          <w:u w:val="single"/>
        </w:rPr>
        <w:t xml:space="preserve">                          </w:t>
      </w:r>
    </w:p>
    <w:p w14:paraId="404662E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(3)成本加酬金合同。成本加酬金合同计算方法：</w:t>
      </w:r>
      <w:commentRangeEnd w:id="29"/>
      <w:r>
        <w:rPr>
          <w:rStyle w:val="57"/>
          <w:rFonts w:hint="eastAsia" w:asciiTheme="minorEastAsia" w:hAnsiTheme="minorEastAsia" w:eastAsiaTheme="minorEastAsia" w:cstheme="minorEastAsia"/>
          <w:sz w:val="24"/>
          <w:szCs w:val="24"/>
        </w:rPr>
        <w:commentReference w:id="29"/>
      </w:r>
      <w:bookmarkEnd w:id="175"/>
      <w:r>
        <w:rPr>
          <w:rFonts w:hint="eastAsia" w:asciiTheme="minorEastAsia" w:hAnsiTheme="minorEastAsia" w:eastAsiaTheme="minorEastAsia" w:cstheme="minorEastAsia"/>
          <w:sz w:val="24"/>
          <w:szCs w:val="24"/>
          <w:u w:val="single"/>
        </w:rPr>
        <w:t xml:space="preserve">                     </w:t>
      </w:r>
    </w:p>
    <w:p w14:paraId="105DBB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bookmarkStart w:id="176" w:name="tip_risk_bookmark_33"/>
      <w:commentRangeStart w:id="30"/>
      <w:r>
        <w:rPr>
          <w:rFonts w:hint="eastAsia" w:asciiTheme="minorEastAsia" w:hAnsiTheme="minorEastAsia" w:eastAsiaTheme="minorEastAsia" w:cstheme="minorEastAsia"/>
          <w:sz w:val="24"/>
          <w:szCs w:val="24"/>
        </w:rPr>
        <w:t>11．3  本合同生效后，发包人分</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次按下表支付工程价款，尾款待工程结算时一次支付。</w:t>
      </w:r>
    </w:p>
    <w:tbl>
      <w:tblPr>
        <w:tblStyle w:val="4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14:paraId="7D90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77B2C3C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付款时间及次数</w:t>
            </w:r>
          </w:p>
        </w:tc>
        <w:tc>
          <w:tcPr>
            <w:tcW w:w="2841" w:type="dxa"/>
            <w:noWrap w:val="0"/>
            <w:vAlign w:val="center"/>
          </w:tcPr>
          <w:p w14:paraId="610E5C8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付款比例％</w:t>
            </w:r>
          </w:p>
        </w:tc>
        <w:tc>
          <w:tcPr>
            <w:tcW w:w="2841" w:type="dxa"/>
            <w:noWrap w:val="0"/>
            <w:vAlign w:val="center"/>
          </w:tcPr>
          <w:p w14:paraId="16C98D8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付款金额</w:t>
            </w:r>
          </w:p>
        </w:tc>
      </w:tr>
      <w:bookmarkEnd w:id="176"/>
      <w:commentRangeEnd w:id="30"/>
      <w:tr w14:paraId="3213F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1160D82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r>
              <w:rPr>
                <w:rStyle w:val="57"/>
                <w:rFonts w:hint="eastAsia" w:asciiTheme="minorEastAsia" w:hAnsiTheme="minorEastAsia" w:eastAsiaTheme="minorEastAsia" w:cstheme="minorEastAsia"/>
                <w:sz w:val="24"/>
                <w:szCs w:val="24"/>
              </w:rPr>
              <w:commentReference w:id="30"/>
            </w:r>
          </w:p>
        </w:tc>
        <w:tc>
          <w:tcPr>
            <w:tcW w:w="2841" w:type="dxa"/>
            <w:noWrap w:val="0"/>
            <w:vAlign w:val="center"/>
          </w:tcPr>
          <w:p w14:paraId="2DB4DEA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2841" w:type="dxa"/>
            <w:noWrap w:val="0"/>
            <w:vAlign w:val="center"/>
          </w:tcPr>
          <w:p w14:paraId="7F162C6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r>
      <w:tr w14:paraId="17D67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199CB47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2841" w:type="dxa"/>
            <w:noWrap w:val="0"/>
            <w:vAlign w:val="center"/>
          </w:tcPr>
          <w:p w14:paraId="56950CF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2841" w:type="dxa"/>
            <w:noWrap w:val="0"/>
            <w:vAlign w:val="center"/>
          </w:tcPr>
          <w:p w14:paraId="17316CD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r>
      <w:tr w14:paraId="23E5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1541B35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2841" w:type="dxa"/>
            <w:noWrap w:val="0"/>
            <w:vAlign w:val="center"/>
          </w:tcPr>
          <w:p w14:paraId="4F989A7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2841" w:type="dxa"/>
            <w:noWrap w:val="0"/>
            <w:vAlign w:val="center"/>
          </w:tcPr>
          <w:p w14:paraId="1691C9E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r>
      <w:tr w14:paraId="35209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1F5ABFB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2841" w:type="dxa"/>
            <w:noWrap w:val="0"/>
            <w:vAlign w:val="center"/>
          </w:tcPr>
          <w:p w14:paraId="143DFEE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2841" w:type="dxa"/>
            <w:noWrap w:val="0"/>
            <w:vAlign w:val="center"/>
          </w:tcPr>
          <w:p w14:paraId="5C352CA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r>
      <w:tr w14:paraId="02853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3363516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2841" w:type="dxa"/>
            <w:noWrap w:val="0"/>
            <w:vAlign w:val="center"/>
          </w:tcPr>
          <w:p w14:paraId="027B08B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c>
          <w:tcPr>
            <w:tcW w:w="2841" w:type="dxa"/>
            <w:noWrap w:val="0"/>
            <w:vAlign w:val="center"/>
          </w:tcPr>
          <w:p w14:paraId="5524D59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4"/>
                <w:szCs w:val="24"/>
              </w:rPr>
            </w:pPr>
          </w:p>
        </w:tc>
      </w:tr>
    </w:tbl>
    <w:p w14:paraId="28A023F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p>
    <w:p w14:paraId="7C14509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第12条  工程变更</w:t>
      </w:r>
    </w:p>
    <w:p w14:paraId="33B0542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12．1  因发包人原因，需要对图纸及作法说明，工程量进行变更的，工程师应以书面形式通知承包人。承包人应按照工程师的通知及要求进行相应变更。因变更导致合同价款增减及给承包人造成的损失，由发包人承担，工期顺延。</w:t>
      </w:r>
    </w:p>
    <w:p w14:paraId="65D7BFE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12．2  承包人不得对图纸及作法说明进行变更，因承包人擅自变更所发生的费用和由此导致发包人直接损失，由承包人承担。工期不予顺延。承包人提出合理化建议涉及的设计、材料作法和设备变更，须经工程师同意。未经工程师同意而擅自变更的，应承担相应费用，并赔偿发包人损失。</w:t>
      </w:r>
    </w:p>
    <w:p w14:paraId="6ABC878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12．3  工程发生设计变更，双方均应积极办理变更洽商手续，并应按变更洽商履行合同。</w:t>
      </w:r>
    </w:p>
    <w:p w14:paraId="759845F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12．4  承包人在设计变更确认后14天内，对涉及合同价款变更内容提出工程价款变更报告，报经工程师确认，工程师在收到变更合同价款报告后14天内给予确认或提出处理意见，在规定时间内无正当理由不确认或没提出处理意见，视为同意变更价款。</w:t>
      </w:r>
    </w:p>
    <w:p w14:paraId="4FC4FBD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2"/>
          <w:sz w:val="24"/>
          <w:szCs w:val="24"/>
          <w:lang w:val="en-US" w:eastAsia="zh-CN" w:bidi="ar-SA"/>
        </w:rPr>
        <w:t>第13条</w:t>
      </w:r>
      <w:r>
        <w:rPr>
          <w:rFonts w:hint="eastAsia" w:asciiTheme="minorEastAsia" w:hAnsiTheme="minorEastAsia" w:eastAsiaTheme="minorEastAsia" w:cstheme="minorEastAsia"/>
          <w:b/>
          <w:sz w:val="24"/>
          <w:szCs w:val="24"/>
        </w:rPr>
        <w:t xml:space="preserve"> 工程验收与结算</w:t>
      </w:r>
      <w:bookmarkStart w:id="177" w:name="tip_risk_bookmark_34"/>
    </w:p>
    <w:p w14:paraId="77887B9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u w:val="single"/>
        </w:rPr>
      </w:pPr>
      <w:commentRangeStart w:id="31"/>
      <w:r>
        <w:rPr>
          <w:rFonts w:hint="eastAsia" w:asciiTheme="minorEastAsia" w:hAnsiTheme="minorEastAsia" w:eastAsiaTheme="minorEastAsia" w:cstheme="minorEastAsia"/>
          <w:sz w:val="24"/>
          <w:szCs w:val="24"/>
        </w:rPr>
        <w:t>13．1  工程具备验收条件，承包人按国家和本市有关竣工验收规定，向发包人提供完整的竣工资料的内容及时间</w:t>
      </w:r>
      <w:commentRangeEnd w:id="31"/>
      <w:r>
        <w:rPr>
          <w:rStyle w:val="57"/>
          <w:rFonts w:hint="eastAsia" w:asciiTheme="minorEastAsia" w:hAnsiTheme="minorEastAsia" w:eastAsiaTheme="minorEastAsia" w:cstheme="minorEastAsia"/>
          <w:sz w:val="24"/>
          <w:szCs w:val="24"/>
        </w:rPr>
        <w:commentReference w:id="31"/>
      </w:r>
      <w:bookmarkEnd w:id="177"/>
      <w:r>
        <w:rPr>
          <w:rFonts w:hint="eastAsia" w:asciiTheme="minorEastAsia" w:hAnsiTheme="minorEastAsia" w:eastAsiaTheme="minorEastAsia" w:cstheme="minorEastAsia"/>
          <w:sz w:val="24"/>
          <w:szCs w:val="24"/>
          <w:u w:val="single"/>
        </w:rPr>
        <w:t xml:space="preserve">                 </w:t>
      </w:r>
    </w:p>
    <w:p w14:paraId="68AFE33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bookmarkStart w:id="178" w:name="auto_fouce_35"/>
      <w:commentRangeStart w:id="32"/>
      <w:r>
        <w:rPr>
          <w:rFonts w:hint="eastAsia" w:asciiTheme="minorEastAsia" w:hAnsiTheme="minorEastAsia" w:eastAsiaTheme="minorEastAsia" w:cstheme="minorEastAsia"/>
          <w:sz w:val="24"/>
          <w:szCs w:val="24"/>
        </w:rPr>
        <w:t>  13．2  发包人在收到竣工验收报告后14天内组织验收，并在验收后7天内给予确认或提出修改意见，承包人按要求修改，并承担因自身原因造成的修改费用。发包人未在规定的时间内组织验收或验收后7天内未提出修改意见，视为竣工验收</w:t>
      </w:r>
      <w:r>
        <w:rPr>
          <w:rFonts w:hint="eastAsia" w:asciiTheme="minorEastAsia" w:hAnsiTheme="minorEastAsia" w:eastAsiaTheme="minorEastAsia" w:cstheme="minorEastAsia"/>
          <w:sz w:val="24"/>
          <w:szCs w:val="24"/>
          <w:lang w:eastAsia="zh-CN"/>
        </w:rPr>
        <w:t>合格</w:t>
      </w:r>
      <w:r>
        <w:rPr>
          <w:rFonts w:hint="eastAsia" w:asciiTheme="minorEastAsia" w:hAnsiTheme="minorEastAsia" w:eastAsiaTheme="minorEastAsia" w:cstheme="minorEastAsia"/>
          <w:sz w:val="24"/>
          <w:szCs w:val="24"/>
        </w:rPr>
        <w:t>，承</w:t>
      </w:r>
      <w:r>
        <w:rPr>
          <w:rFonts w:hint="eastAsia" w:asciiTheme="minorEastAsia" w:hAnsiTheme="minorEastAsia" w:eastAsiaTheme="minorEastAsia" w:cstheme="minorEastAsia"/>
          <w:sz w:val="24"/>
          <w:szCs w:val="24"/>
          <w:lang w:eastAsia="zh-CN"/>
        </w:rPr>
        <w:t>包人仍应配合发包人就验收中发现的细微瑕疵完成整改；</w:t>
      </w:r>
      <w:r>
        <w:rPr>
          <w:rFonts w:hint="eastAsia" w:asciiTheme="minorEastAsia" w:hAnsiTheme="minorEastAsia" w:eastAsiaTheme="minorEastAsia" w:cstheme="minorEastAsia"/>
          <w:sz w:val="24"/>
          <w:szCs w:val="24"/>
        </w:rPr>
        <w:t>工程保管</w:t>
      </w:r>
      <w:r>
        <w:rPr>
          <w:rFonts w:hint="eastAsia" w:asciiTheme="minorEastAsia" w:hAnsiTheme="minorEastAsia" w:eastAsiaTheme="minorEastAsia" w:cstheme="minorEastAsia"/>
          <w:sz w:val="24"/>
          <w:szCs w:val="24"/>
          <w:lang w:eastAsia="zh-CN"/>
        </w:rPr>
        <w:t>责任</w:t>
      </w:r>
      <w:r>
        <w:rPr>
          <w:rFonts w:hint="eastAsia" w:asciiTheme="minorEastAsia" w:hAnsiTheme="minorEastAsia" w:eastAsiaTheme="minorEastAsia" w:cstheme="minorEastAsia"/>
          <w:sz w:val="24"/>
          <w:szCs w:val="24"/>
        </w:rPr>
        <w:t>及意外损失</w:t>
      </w:r>
      <w:r>
        <w:rPr>
          <w:rFonts w:hint="eastAsia" w:asciiTheme="minorEastAsia" w:hAnsiTheme="minorEastAsia" w:eastAsiaTheme="minorEastAsia" w:cstheme="minorEastAsia"/>
          <w:sz w:val="24"/>
          <w:szCs w:val="24"/>
          <w:lang w:eastAsia="zh-CN"/>
        </w:rPr>
        <w:t>风险自发包人实际接收工程之日起转移至发包人</w:t>
      </w:r>
      <w:r>
        <w:rPr>
          <w:rFonts w:hint="eastAsia" w:asciiTheme="minorEastAsia" w:hAnsiTheme="minorEastAsia" w:eastAsiaTheme="minorEastAsia" w:cstheme="minorEastAsia"/>
          <w:sz w:val="24"/>
          <w:szCs w:val="24"/>
        </w:rPr>
        <w:t>。</w:t>
      </w:r>
      <w:commentRangeEnd w:id="32"/>
      <w:r>
        <w:rPr>
          <w:rStyle w:val="57"/>
          <w:rFonts w:hint="eastAsia" w:asciiTheme="minorEastAsia" w:hAnsiTheme="minorEastAsia" w:eastAsiaTheme="minorEastAsia" w:cstheme="minorEastAsia"/>
          <w:sz w:val="24"/>
          <w:szCs w:val="24"/>
        </w:rPr>
        <w:commentReference w:id="32"/>
      </w:r>
      <w:bookmarkEnd w:id="178"/>
    </w:p>
    <w:p w14:paraId="72FDC5C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13．3  竣工验收日期以验收通过的日期或承包人按发包人要求修改后通过竣工验收日期为准。因特殊原因，双方约定或发包人要求部分单位工程或工程部位甩项竣工的，双方另行签订甩项协议。</w:t>
      </w:r>
    </w:p>
    <w:p w14:paraId="6CB3F40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bookmarkStart w:id="179" w:name="auto_fouce_36"/>
      <w:commentRangeStart w:id="33"/>
      <w:r>
        <w:rPr>
          <w:rFonts w:hint="eastAsia" w:asciiTheme="minorEastAsia" w:hAnsiTheme="minorEastAsia" w:eastAsiaTheme="minorEastAsia" w:cstheme="minorEastAsia"/>
          <w:sz w:val="24"/>
          <w:szCs w:val="24"/>
        </w:rPr>
        <w:t>  13．4  工程未经验收或竣工验收未通过的，承包人不得交工，发包人不得使用。因发包人强行使用致使工程发生</w:t>
      </w:r>
      <w:r>
        <w:rPr>
          <w:rFonts w:hint="eastAsia" w:asciiTheme="minorEastAsia" w:hAnsiTheme="minorEastAsia" w:eastAsiaTheme="minorEastAsia" w:cstheme="minorEastAsia"/>
          <w:sz w:val="24"/>
          <w:szCs w:val="24"/>
          <w:lang w:eastAsia="zh-CN"/>
        </w:rPr>
        <w:t>的</w:t>
      </w:r>
      <w:r>
        <w:rPr>
          <w:rFonts w:hint="eastAsia" w:asciiTheme="minorEastAsia" w:hAnsiTheme="minorEastAsia" w:eastAsiaTheme="minorEastAsia" w:cstheme="minorEastAsia"/>
          <w:sz w:val="24"/>
          <w:szCs w:val="24"/>
        </w:rPr>
        <w:t>质量问题</w:t>
      </w:r>
      <w:r>
        <w:rPr>
          <w:rFonts w:hint="eastAsia" w:asciiTheme="minorEastAsia" w:hAnsiTheme="minorEastAsia" w:eastAsiaTheme="minorEastAsia" w:cstheme="minorEastAsia"/>
          <w:sz w:val="24"/>
          <w:szCs w:val="24"/>
          <w:lang w:eastAsia="zh-CN"/>
        </w:rPr>
        <w:t>，如能够证明系承包人施工原因导致的，相应责任仍由承包人承担；发包人强行使用造成的</w:t>
      </w:r>
      <w:r>
        <w:rPr>
          <w:rFonts w:hint="eastAsia" w:asciiTheme="minorEastAsia" w:hAnsiTheme="minorEastAsia" w:eastAsiaTheme="minorEastAsia" w:cstheme="minorEastAsia"/>
          <w:sz w:val="24"/>
          <w:szCs w:val="24"/>
        </w:rPr>
        <w:t>建筑物损坏及其他问题由发包人承担。</w:t>
      </w:r>
      <w:commentRangeEnd w:id="33"/>
      <w:r>
        <w:rPr>
          <w:rStyle w:val="57"/>
          <w:rFonts w:hint="eastAsia" w:asciiTheme="minorEastAsia" w:hAnsiTheme="minorEastAsia" w:eastAsiaTheme="minorEastAsia" w:cstheme="minorEastAsia"/>
          <w:sz w:val="24"/>
          <w:szCs w:val="24"/>
        </w:rPr>
        <w:commentReference w:id="33"/>
      </w:r>
      <w:bookmarkEnd w:id="179"/>
    </w:p>
    <w:p w14:paraId="5293628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13．5  工程竣工验收报告经发包人认可后14天内，承包人向发包人递交竣工结算报告及结算资料。双方按照协议书约定的合同价款及在合同条款中约定的合同价款调整内容进行竣工结算。</w:t>
      </w:r>
    </w:p>
    <w:p w14:paraId="1B6A3FD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34"/>
      <w:bookmarkStart w:id="180" w:name="auto_fouce_37"/>
      <w:r>
        <w:rPr>
          <w:rFonts w:hint="eastAsia" w:asciiTheme="minorEastAsia" w:hAnsiTheme="minorEastAsia" w:eastAsiaTheme="minorEastAsia" w:cstheme="minorEastAsia"/>
          <w:sz w:val="24"/>
          <w:szCs w:val="24"/>
        </w:rPr>
        <w:t>  13．6  发包人在收到竣工结算报告</w:t>
      </w:r>
      <w:r>
        <w:rPr>
          <w:rFonts w:hint="eastAsia" w:asciiTheme="minorEastAsia" w:hAnsiTheme="minorEastAsia" w:eastAsiaTheme="minorEastAsia" w:cstheme="minorEastAsia"/>
          <w:sz w:val="24"/>
          <w:szCs w:val="24"/>
          <w:lang w:eastAsia="zh-CN"/>
        </w:rPr>
        <w:t>及完整的结算资料</w:t>
      </w:r>
      <w:r>
        <w:rPr>
          <w:rFonts w:hint="eastAsia" w:asciiTheme="minorEastAsia" w:hAnsiTheme="minorEastAsia" w:eastAsiaTheme="minorEastAsia" w:cstheme="minorEastAsia"/>
          <w:sz w:val="24"/>
          <w:szCs w:val="24"/>
        </w:rPr>
        <w:t>后</w:t>
      </w:r>
      <w:r>
        <w:rPr>
          <w:rFonts w:hint="eastAsia" w:asciiTheme="minorEastAsia" w:hAnsiTheme="minorEastAsia" w:eastAsiaTheme="minorEastAsia" w:cstheme="minorEastAsia"/>
          <w:sz w:val="24"/>
          <w:szCs w:val="24"/>
          <w:lang w:eastAsia="zh-CN"/>
        </w:rPr>
        <w:t>28</w:t>
      </w:r>
      <w:r>
        <w:rPr>
          <w:rFonts w:hint="eastAsia" w:asciiTheme="minorEastAsia" w:hAnsiTheme="minorEastAsia" w:eastAsiaTheme="minorEastAsia" w:cstheme="minorEastAsia"/>
          <w:sz w:val="24"/>
          <w:szCs w:val="24"/>
        </w:rPr>
        <w:t>天内进行核实或提出修改意见</w:t>
      </w:r>
      <w:r>
        <w:rPr>
          <w:rFonts w:hint="eastAsia" w:asciiTheme="minorEastAsia" w:hAnsiTheme="minorEastAsia" w:eastAsiaTheme="minorEastAsia" w:cstheme="minorEastAsia"/>
          <w:sz w:val="24"/>
          <w:szCs w:val="24"/>
          <w:lang w:eastAsia="zh-CN"/>
        </w:rPr>
        <w:t>，双方就结算金额达成一致后，</w:t>
      </w:r>
      <w:r>
        <w:rPr>
          <w:rFonts w:hint="eastAsia" w:asciiTheme="minorEastAsia" w:hAnsiTheme="minorEastAsia" w:eastAsiaTheme="minorEastAsia" w:cstheme="minorEastAsia"/>
          <w:sz w:val="24"/>
          <w:szCs w:val="24"/>
        </w:rPr>
        <w:t>发包人通知经办银行向承包人支付竣工结算款。承包人在收到竣工结算款后7天内将竣工工程交付发包人。发包人在规定时间内无正当理由不支付工程竣工结算款的，从第15天起按承包人同期向银行贷款利率支付拖欠工程款利息，并承担违约责任。</w:t>
      </w:r>
      <w:commentRangeEnd w:id="34"/>
      <w:r>
        <w:rPr>
          <w:rStyle w:val="57"/>
          <w:rFonts w:hint="eastAsia" w:asciiTheme="minorEastAsia" w:hAnsiTheme="minorEastAsia" w:eastAsiaTheme="minorEastAsia" w:cstheme="minorEastAsia"/>
          <w:sz w:val="24"/>
          <w:szCs w:val="24"/>
        </w:rPr>
        <w:commentReference w:id="34"/>
      </w:r>
      <w:bookmarkEnd w:id="180"/>
    </w:p>
    <w:p w14:paraId="51398B5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13．7  工程竣工验收报告经发包人认可后14天内，承包人未能向发包人递交竣工结算报告及资料，造成工程竣工结算不能正常进行或不能支付竣工结算款，发包人要求交付工程的，承包人应当交付，没有要求交付的，承包人应当承担保管费用。</w:t>
      </w:r>
    </w:p>
    <w:p w14:paraId="496CBF2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bookmarkStart w:id="181" w:name="auto_fouce_38"/>
      <w:commentRangeStart w:id="35"/>
      <w:r>
        <w:rPr>
          <w:rFonts w:hint="eastAsia" w:asciiTheme="minorEastAsia" w:hAnsiTheme="minorEastAsia" w:eastAsiaTheme="minorEastAsia" w:cstheme="minorEastAsia"/>
          <w:sz w:val="24"/>
          <w:szCs w:val="24"/>
        </w:rPr>
        <w:t>  13．8  双方对竣工结算有争议的，按本合同条款第1</w:t>
      </w:r>
      <w:r>
        <w:rPr>
          <w:rFonts w:hint="eastAsia" w:asciiTheme="minorEastAsia" w:hAnsiTheme="minorEastAsia" w:eastAsiaTheme="minorEastAsia" w:cstheme="minorEastAsia"/>
          <w:sz w:val="24"/>
          <w:szCs w:val="24"/>
          <w:lang w:eastAsia="zh-CN"/>
        </w:rPr>
        <w:t>5</w:t>
      </w:r>
      <w:r>
        <w:rPr>
          <w:rFonts w:hint="eastAsia" w:asciiTheme="minorEastAsia" w:hAnsiTheme="minorEastAsia" w:eastAsiaTheme="minorEastAsia" w:cstheme="minorEastAsia"/>
          <w:sz w:val="24"/>
          <w:szCs w:val="24"/>
        </w:rPr>
        <w:t>．6款的约定处理。</w:t>
      </w:r>
      <w:commentRangeEnd w:id="35"/>
      <w:r>
        <w:rPr>
          <w:rStyle w:val="57"/>
          <w:rFonts w:hint="eastAsia" w:asciiTheme="minorEastAsia" w:hAnsiTheme="minorEastAsia" w:eastAsiaTheme="minorEastAsia" w:cstheme="minorEastAsia"/>
          <w:sz w:val="24"/>
          <w:szCs w:val="24"/>
        </w:rPr>
        <w:commentReference w:id="35"/>
      </w:r>
      <w:bookmarkEnd w:id="181"/>
    </w:p>
    <w:p w14:paraId="1C885F5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第14条  质量保修</w:t>
      </w:r>
    </w:p>
    <w:p w14:paraId="3A97743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14．1  承包人按照法律、法规、部门规章和本市关于质量保修的规定；对已交付工程在质量保修期内承担质量保修责任。</w:t>
      </w:r>
    </w:p>
    <w:p w14:paraId="22B7E02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FF0000"/>
          <w:sz w:val="24"/>
          <w:szCs w:val="24"/>
          <w:lang w:eastAsia="zh-CN"/>
        </w:rPr>
      </w:pPr>
      <w:commentRangeStart w:id="36"/>
      <w:commentRangeStart w:id="37"/>
      <w:bookmarkStart w:id="182" w:name="auto_fouce_39"/>
      <w:bookmarkStart w:id="183" w:name="tip_risk_bookmark_40"/>
      <w:r>
        <w:rPr>
          <w:rFonts w:hint="eastAsia" w:asciiTheme="minorEastAsia" w:hAnsiTheme="minorEastAsia" w:eastAsiaTheme="minorEastAsia" w:cstheme="minorEastAsia"/>
          <w:sz w:val="24"/>
          <w:szCs w:val="24"/>
        </w:rPr>
        <w:t>  14．2  双方约定在竣工验收前签订工程保修书的时间和要求：</w:t>
      </w:r>
      <w:r>
        <w:rPr>
          <w:rFonts w:hint="eastAsia" w:asciiTheme="minorEastAsia" w:hAnsiTheme="minorEastAsia" w:eastAsiaTheme="minorEastAsia" w:cstheme="minorEastAsia"/>
          <w:sz w:val="24"/>
          <w:szCs w:val="24"/>
          <w:lang w:eastAsia="zh-CN"/>
        </w:rPr>
        <w:t>承包人应在竣工验收前7日内向发包人提交并完成工程保修书的签署。承包人逾期提交或签署的，每逾期一日按合同价款的万分之五向发包人支付违约金；逾期超过7日的，发包人有权暂缓办理竣工结算及支付相应款项，但不影响承包人的保修责任。工程保修书(附件三)作为本合同附件。</w:t>
      </w:r>
      <w:commentRangeEnd w:id="36"/>
      <w:r>
        <w:rPr>
          <w:rStyle w:val="57"/>
          <w:rFonts w:hint="eastAsia" w:asciiTheme="minorEastAsia" w:hAnsiTheme="minorEastAsia" w:eastAsiaTheme="minorEastAsia" w:cstheme="minorEastAsia"/>
          <w:sz w:val="24"/>
          <w:szCs w:val="24"/>
        </w:rPr>
        <w:commentReference w:id="36"/>
      </w:r>
      <w:bookmarkEnd w:id="182"/>
      <w:bookmarkStart w:id="184" w:name="auto_fouce_41"/>
      <w:commentRangeStart w:id="38"/>
    </w:p>
    <w:p w14:paraId="19A7014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color w:val="auto"/>
          <w:sz w:val="24"/>
          <w:szCs w:val="24"/>
          <w:lang w:eastAsia="zh-CN"/>
        </w:rPr>
        <w:t>质量保证金专项条款：双方一致同意，工程结算价款的3%作为质量保证金，自工程竣工验收合格之日起算，质量保修期满且承包人完成全部保修义务后14日内，甲方将剩余质量保证金无息退还乙方；保修期内发生保修费用的，甲方有权直接从质量保证金中扣除。</w:t>
      </w:r>
      <w:commentRangeEnd w:id="38"/>
      <w:r>
        <w:rPr>
          <w:rStyle w:val="57"/>
          <w:rFonts w:hint="eastAsia" w:asciiTheme="minorEastAsia" w:hAnsiTheme="minorEastAsia" w:eastAsiaTheme="minorEastAsia" w:cstheme="minorEastAsia"/>
          <w:color w:val="auto"/>
          <w:sz w:val="24"/>
          <w:szCs w:val="24"/>
        </w:rPr>
        <w:commentReference w:id="38"/>
      </w:r>
      <w:bookmarkEnd w:id="184"/>
      <w:r>
        <w:rPr>
          <w:rFonts w:hint="eastAsia" w:asciiTheme="minorEastAsia" w:hAnsiTheme="minorEastAsia" w:eastAsiaTheme="minorEastAsia" w:cstheme="minorEastAsia"/>
          <w:color w:val="FF0000"/>
          <w:sz w:val="24"/>
          <w:szCs w:val="24"/>
          <w:lang w:eastAsia="zh-CN"/>
        </w:rPr>
        <w:t xml:space="preserve"> </w:t>
      </w:r>
    </w:p>
    <w:p w14:paraId="3A31A8B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01A7F27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工程保修书(附件三)作为本合同附件。</w:t>
      </w:r>
      <w:commentRangeEnd w:id="37"/>
      <w:r>
        <w:rPr>
          <w:rStyle w:val="57"/>
          <w:rFonts w:hint="eastAsia" w:asciiTheme="minorEastAsia" w:hAnsiTheme="minorEastAsia" w:eastAsiaTheme="minorEastAsia" w:cstheme="minorEastAsia"/>
          <w:sz w:val="24"/>
          <w:szCs w:val="24"/>
        </w:rPr>
        <w:commentReference w:id="37"/>
      </w:r>
      <w:bookmarkEnd w:id="183"/>
    </w:p>
    <w:p w14:paraId="0297EFC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第15条  违约责任、索赔和争议解决方式</w:t>
      </w:r>
    </w:p>
    <w:p w14:paraId="70458C3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bookmarkStart w:id="185" w:name="auto_fouce_42"/>
      <w:commentRangeStart w:id="39"/>
      <w:r>
        <w:rPr>
          <w:rFonts w:hint="eastAsia" w:asciiTheme="minorEastAsia" w:hAnsiTheme="minorEastAsia" w:eastAsiaTheme="minorEastAsia" w:cstheme="minorEastAsia"/>
          <w:sz w:val="24"/>
          <w:szCs w:val="24"/>
        </w:rPr>
        <w:t>  15．1  发包人未按约定拨付工程款和工程结算款，应承担的违约责任：</w:t>
      </w:r>
      <w:r>
        <w:rPr>
          <w:rFonts w:hint="eastAsia" w:asciiTheme="minorEastAsia" w:hAnsiTheme="minorEastAsia" w:eastAsiaTheme="minorEastAsia" w:cstheme="minorEastAsia"/>
          <w:sz w:val="24"/>
          <w:szCs w:val="24"/>
          <w:lang w:eastAsia="zh-CN"/>
        </w:rPr>
        <w:t>除因不可抗力、财政拨款或审批流程延迟，以及其他非因发包人原因导致的付款迟延外，发包人不承担逾期付款违约责任；因上述免责情形导致付款迟延的，付款期限相应顺延，承包人不得据此主张违约金、损失赔偿或解除合同。</w:t>
      </w:r>
      <w:commentRangeEnd w:id="39"/>
      <w:r>
        <w:rPr>
          <w:rStyle w:val="57"/>
          <w:rFonts w:hint="eastAsia" w:asciiTheme="minorEastAsia" w:hAnsiTheme="minorEastAsia" w:eastAsiaTheme="minorEastAsia" w:cstheme="minorEastAsia"/>
          <w:sz w:val="24"/>
          <w:szCs w:val="24"/>
        </w:rPr>
        <w:commentReference w:id="39"/>
      </w:r>
      <w:bookmarkEnd w:id="185"/>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双方还约定发包人应承担的其他违约责任：</w:t>
      </w:r>
      <w:r>
        <w:rPr>
          <w:rFonts w:hint="eastAsia" w:asciiTheme="minorEastAsia" w:hAnsiTheme="minorEastAsia" w:eastAsiaTheme="minorEastAsia" w:cstheme="minorEastAsia"/>
          <w:sz w:val="24"/>
          <w:szCs w:val="24"/>
          <w:u w:val="single"/>
        </w:rPr>
        <w:t xml:space="preserve">                     </w:t>
      </w:r>
    </w:p>
    <w:p w14:paraId="08032A0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40"/>
      <w:bookmarkStart w:id="186" w:name="auto_fouce_43"/>
      <w:r>
        <w:rPr>
          <w:rFonts w:hint="eastAsia" w:asciiTheme="minorEastAsia" w:hAnsiTheme="minorEastAsia" w:eastAsiaTheme="minorEastAsia" w:cstheme="minorEastAsia"/>
          <w:sz w:val="24"/>
          <w:szCs w:val="24"/>
        </w:rPr>
        <w:t>  15．2  承包人未按本合同约定按时竣工或未达到质量标准，应承担的违约责任：</w:t>
      </w:r>
      <w:r>
        <w:rPr>
          <w:rFonts w:hint="eastAsia" w:asciiTheme="minorEastAsia" w:hAnsiTheme="minorEastAsia" w:eastAsiaTheme="minorEastAsia" w:cstheme="minorEastAsia"/>
          <w:sz w:val="24"/>
          <w:szCs w:val="24"/>
          <w:lang w:eastAsia="zh-CN"/>
        </w:rPr>
        <w:t>因承包人原因逾期竣工的，每逾期一日，按合同价款的万分之五向发包人支付违约金；逾期竣工超过30日的，发包人有权解除合同。工程质量未达到约定标准的，承包人应无偿返修、重做并承担由此产生的全部费用，另按不合格部分合同价款的10%向发包人支付违约金；造成发包人损失的，还应赔偿全部损失。上述违约金不足以弥补发包人损失的，承包人仍应补足差额。</w:t>
      </w:r>
      <w:commentRangeEnd w:id="40"/>
      <w:r>
        <w:rPr>
          <w:rStyle w:val="57"/>
          <w:rFonts w:hint="eastAsia" w:asciiTheme="minorEastAsia" w:hAnsiTheme="minorEastAsia" w:eastAsiaTheme="minorEastAsia" w:cstheme="minorEastAsia"/>
          <w:sz w:val="24"/>
          <w:szCs w:val="24"/>
        </w:rPr>
        <w:commentReference w:id="40"/>
      </w:r>
      <w:bookmarkEnd w:id="186"/>
      <w:r>
        <w:rPr>
          <w:rFonts w:hint="eastAsia" w:asciiTheme="minorEastAsia" w:hAnsiTheme="minorEastAsia" w:eastAsiaTheme="minorEastAsia" w:cstheme="minorEastAsia"/>
          <w:sz w:val="24"/>
          <w:szCs w:val="24"/>
          <w:u w:val="single"/>
        </w:rPr>
        <w:t xml:space="preserve">                                             </w:t>
      </w:r>
      <w:commentRangeStart w:id="41"/>
      <w:bookmarkStart w:id="187" w:name="auto_fouce_45"/>
      <w:r>
        <w:rPr>
          <w:rFonts w:hint="eastAsia" w:asciiTheme="minorEastAsia" w:hAnsiTheme="minorEastAsia" w:eastAsiaTheme="minorEastAsia" w:cstheme="minorEastAsia"/>
          <w:sz w:val="24"/>
          <w:szCs w:val="24"/>
        </w:rPr>
        <w:t>双方还约定承包人应承担的其他违约责任：</w:t>
      </w:r>
      <w:r>
        <w:rPr>
          <w:rFonts w:hint="eastAsia" w:asciiTheme="minorEastAsia" w:hAnsiTheme="minorEastAsia" w:eastAsiaTheme="minorEastAsia" w:cstheme="minorEastAsia"/>
          <w:sz w:val="24"/>
          <w:szCs w:val="24"/>
          <w:lang w:eastAsia="zh-CN"/>
        </w:rPr>
        <w:t>承包人擅自转包、违法分包，使用不合格或不符合设计要求的材料、设备，擅自变更设计、减省工序，违反安全生产或消防规定，未履行成品保护义务，或因其原因造成第三方人身、财产损害的，均构成违约。承包人应立即改正、返工或恢复原状，承担全部返修、检测、处理、赔偿及其他费用，并按合同价款的10%向发包人支付违约金；其中造成安全事故或第三方损害的，承包人应承担全部赔偿责任，并赔偿发包人因此遭受的全部损失。违约金不足以弥补损失的，承包人仍应补足差额。</w:t>
      </w:r>
      <w:commentRangeEnd w:id="41"/>
      <w:r>
        <w:rPr>
          <w:rStyle w:val="57"/>
          <w:rFonts w:hint="eastAsia" w:asciiTheme="minorEastAsia" w:hAnsiTheme="minorEastAsia" w:eastAsiaTheme="minorEastAsia" w:cstheme="minorEastAsia"/>
          <w:sz w:val="24"/>
          <w:szCs w:val="24"/>
        </w:rPr>
        <w:commentReference w:id="41"/>
      </w:r>
      <w:bookmarkEnd w:id="187"/>
      <w:r>
        <w:rPr>
          <w:rFonts w:hint="eastAsia" w:asciiTheme="minorEastAsia" w:hAnsiTheme="minorEastAsia" w:eastAsiaTheme="minorEastAsia" w:cstheme="minorEastAsia"/>
          <w:sz w:val="24"/>
          <w:szCs w:val="24"/>
          <w:u w:val="single"/>
        </w:rPr>
        <w:t xml:space="preserve">                             </w:t>
      </w:r>
    </w:p>
    <w:p w14:paraId="1B88FBC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15．3  一方违约后，另一方要求违约方继续履行合同时，违约方除承担违约责任外仍应继续履行合同。</w:t>
      </w:r>
    </w:p>
    <w:p w14:paraId="7C1A7D4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15．4  当一方向另一方提出索赔时，要有正当的理由和索赔证据。</w:t>
      </w:r>
    </w:p>
    <w:p w14:paraId="25FD288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bookmarkStart w:id="188" w:name="tip_risk_bookmark_46"/>
      <w:commentRangeStart w:id="42"/>
      <w:r>
        <w:rPr>
          <w:rFonts w:hint="eastAsia" w:asciiTheme="minorEastAsia" w:hAnsiTheme="minorEastAsia" w:eastAsiaTheme="minorEastAsia" w:cstheme="minorEastAsia"/>
          <w:sz w:val="24"/>
          <w:szCs w:val="24"/>
        </w:rPr>
        <w:t>  15．5  当索赔事件发生后14天内，提出索赔一方向对方提出索赔意见及要求延长工期或经济损失赔偿报告及相关资料。对方在收到索赔报告后14天内给予答复或要求进一步补充证据，在规定时向内未作答复或进一步提出要求，视为索赔已经认可。</w:t>
      </w:r>
      <w:commentRangeEnd w:id="42"/>
      <w:r>
        <w:rPr>
          <w:rStyle w:val="57"/>
          <w:rFonts w:hint="eastAsia" w:asciiTheme="minorEastAsia" w:hAnsiTheme="minorEastAsia" w:eastAsiaTheme="minorEastAsia" w:cstheme="minorEastAsia"/>
          <w:sz w:val="24"/>
          <w:szCs w:val="24"/>
        </w:rPr>
        <w:commentReference w:id="42"/>
      </w:r>
      <w:bookmarkEnd w:id="188"/>
    </w:p>
    <w:p w14:paraId="0B0366D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15．6  发包人承包人在履行合同时发生争议，可以和解或者要求有关主管部门调解。当事人不愿和解、调解或和解、调解不成的，双方约定同意采用以下其中第</w:t>
      </w:r>
    </w:p>
    <w:p w14:paraId="00694F1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种方式解决争议。</w:t>
      </w:r>
    </w:p>
    <w:p w14:paraId="1C29A7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(1)提请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仲裁委员会仲裁。</w:t>
      </w:r>
    </w:p>
    <w:p w14:paraId="48DFECA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43"/>
      <w:bookmarkStart w:id="189" w:name="tip_risk_bookmark_47"/>
      <w:r>
        <w:rPr>
          <w:rFonts w:hint="eastAsia" w:asciiTheme="minorEastAsia" w:hAnsiTheme="minorEastAsia" w:eastAsiaTheme="minorEastAsia" w:cstheme="minorEastAsia"/>
          <w:sz w:val="24"/>
          <w:szCs w:val="24"/>
        </w:rPr>
        <w:t>  (2)提请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eastAsia="zh-CN"/>
        </w:rPr>
        <w:t>安康仲裁委</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仲裁。</w:t>
      </w:r>
      <w:commentRangeEnd w:id="43"/>
      <w:r>
        <w:rPr>
          <w:rStyle w:val="57"/>
          <w:rFonts w:hint="eastAsia" w:asciiTheme="minorEastAsia" w:hAnsiTheme="minorEastAsia" w:eastAsiaTheme="minorEastAsia" w:cstheme="minorEastAsia"/>
          <w:sz w:val="24"/>
          <w:szCs w:val="24"/>
        </w:rPr>
        <w:commentReference w:id="43"/>
      </w:r>
      <w:bookmarkEnd w:id="189"/>
    </w:p>
    <w:p w14:paraId="2167051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44"/>
      <w:bookmarkStart w:id="190" w:name="auto_fouce_48"/>
      <w:r>
        <w:rPr>
          <w:rFonts w:hint="eastAsia" w:asciiTheme="minorEastAsia" w:hAnsiTheme="minorEastAsia" w:eastAsiaTheme="minorEastAsia" w:cstheme="minorEastAsia"/>
          <w:sz w:val="24"/>
          <w:szCs w:val="24"/>
        </w:rPr>
        <w:t>  (3)向</w:t>
      </w:r>
      <w:r>
        <w:rPr>
          <w:rFonts w:hint="eastAsia" w:asciiTheme="minorEastAsia" w:hAnsiTheme="minorEastAsia" w:eastAsiaTheme="minorEastAsia" w:cstheme="minorEastAsia"/>
          <w:sz w:val="24"/>
          <w:szCs w:val="24"/>
          <w:u w:val="single"/>
          <w:lang w:eastAsia="zh-CN"/>
        </w:rPr>
        <w:t>甲方所在地有管辖权的</w:t>
      </w:r>
      <w:r>
        <w:rPr>
          <w:rFonts w:hint="eastAsia" w:asciiTheme="minorEastAsia" w:hAnsiTheme="minorEastAsia" w:eastAsiaTheme="minorEastAsia" w:cstheme="minorEastAsia"/>
          <w:sz w:val="24"/>
          <w:szCs w:val="24"/>
        </w:rPr>
        <w:t>人民法院提起诉讼。</w:t>
      </w:r>
      <w:commentRangeEnd w:id="44"/>
      <w:r>
        <w:rPr>
          <w:rStyle w:val="57"/>
          <w:rFonts w:hint="eastAsia" w:asciiTheme="minorEastAsia" w:hAnsiTheme="minorEastAsia" w:eastAsiaTheme="minorEastAsia" w:cstheme="minorEastAsia"/>
          <w:sz w:val="24"/>
          <w:szCs w:val="24"/>
        </w:rPr>
        <w:commentReference w:id="44"/>
      </w:r>
      <w:bookmarkEnd w:id="190"/>
    </w:p>
    <w:p w14:paraId="1F18387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15．7  发生争议后，除非出现单方违约导致合同无法履行、双方协议停止施工、调解要求停止施工且双方接受、仲裁机构或法院要求停止施工的情况外，双方都应继续履行合同。</w:t>
      </w:r>
    </w:p>
    <w:p w14:paraId="0A0C941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第16条  合同解除</w:t>
      </w:r>
    </w:p>
    <w:p w14:paraId="6FFEE7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16．1  发包人承包人协商一致，可以解除合同。</w:t>
      </w:r>
    </w:p>
    <w:p w14:paraId="159FDD7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45"/>
      <w:bookmarkStart w:id="191" w:name="auto_fouce_49"/>
      <w:r>
        <w:rPr>
          <w:rFonts w:hint="eastAsia" w:asciiTheme="minorEastAsia" w:hAnsiTheme="minorEastAsia" w:eastAsiaTheme="minorEastAsia" w:cstheme="minorEastAsia"/>
          <w:sz w:val="24"/>
          <w:szCs w:val="24"/>
        </w:rPr>
        <w:t>  16．2  发包人未按约定支付工程款，</w:t>
      </w:r>
      <w:r>
        <w:rPr>
          <w:rFonts w:hint="eastAsia" w:asciiTheme="minorEastAsia" w:hAnsiTheme="minorEastAsia" w:eastAsiaTheme="minorEastAsia" w:cstheme="minorEastAsia"/>
          <w:sz w:val="24"/>
          <w:szCs w:val="24"/>
          <w:lang w:eastAsia="zh-CN"/>
        </w:rPr>
        <w:t>承包人催告后28天内发包人仍未支付，且</w:t>
      </w:r>
      <w:r>
        <w:rPr>
          <w:rFonts w:hint="eastAsia" w:asciiTheme="minorEastAsia" w:hAnsiTheme="minorEastAsia" w:eastAsiaTheme="minorEastAsia" w:cstheme="minorEastAsia"/>
          <w:sz w:val="24"/>
          <w:szCs w:val="24"/>
        </w:rPr>
        <w:t>停止施工超过56天</w:t>
      </w:r>
      <w:r>
        <w:rPr>
          <w:rFonts w:hint="eastAsia" w:asciiTheme="minorEastAsia" w:hAnsiTheme="minorEastAsia" w:eastAsiaTheme="minorEastAsia" w:cstheme="minorEastAsia"/>
          <w:sz w:val="24"/>
          <w:szCs w:val="24"/>
          <w:lang w:eastAsia="zh-CN"/>
        </w:rPr>
        <w:t>的</w:t>
      </w:r>
      <w:r>
        <w:rPr>
          <w:rFonts w:hint="eastAsia" w:asciiTheme="minorEastAsia" w:hAnsiTheme="minorEastAsia" w:eastAsiaTheme="minorEastAsia" w:cstheme="minorEastAsia"/>
          <w:sz w:val="24"/>
          <w:szCs w:val="24"/>
        </w:rPr>
        <w:t>，承包人有权解除合同。</w:t>
      </w:r>
      <w:commentRangeEnd w:id="45"/>
      <w:r>
        <w:rPr>
          <w:rStyle w:val="57"/>
          <w:rFonts w:hint="eastAsia" w:asciiTheme="minorEastAsia" w:hAnsiTheme="minorEastAsia" w:eastAsiaTheme="minorEastAsia" w:cstheme="minorEastAsia"/>
          <w:sz w:val="24"/>
          <w:szCs w:val="24"/>
        </w:rPr>
        <w:commentReference w:id="45"/>
      </w:r>
      <w:bookmarkEnd w:id="191"/>
    </w:p>
    <w:p w14:paraId="77457F8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lang w:eastAsia="zh-CN"/>
        </w:rPr>
      </w:pPr>
      <w:commentRangeStart w:id="46"/>
      <w:bookmarkStart w:id="192" w:name="auto_fouce_50"/>
      <w:r>
        <w:rPr>
          <w:rFonts w:hint="eastAsia"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rPr>
        <w:t>16．3  承包人将工程全部转包给他人或肢解以后以分包名义转包给他人，</w:t>
      </w:r>
      <w:r>
        <w:rPr>
          <w:rFonts w:hint="eastAsia" w:asciiTheme="minorEastAsia" w:hAnsiTheme="minorEastAsia" w:eastAsiaTheme="minorEastAsia" w:cstheme="minorEastAsia"/>
          <w:sz w:val="24"/>
          <w:szCs w:val="24"/>
          <w:lang w:eastAsia="zh-CN"/>
        </w:rPr>
        <w:t>或实施其他违法分包行为的，</w:t>
      </w:r>
      <w:r>
        <w:rPr>
          <w:rFonts w:hint="eastAsia" w:asciiTheme="minorEastAsia" w:hAnsiTheme="minorEastAsia" w:eastAsiaTheme="minorEastAsia" w:cstheme="minorEastAsia"/>
          <w:sz w:val="24"/>
          <w:szCs w:val="24"/>
        </w:rPr>
        <w:t>发包人有权解除合同。</w:t>
      </w:r>
      <w:r>
        <w:rPr>
          <w:rFonts w:hint="eastAsia" w:asciiTheme="minorEastAsia" w:hAnsiTheme="minorEastAsia" w:eastAsiaTheme="minorEastAsia" w:cstheme="minorEastAsia"/>
          <w:sz w:val="24"/>
          <w:szCs w:val="24"/>
          <w:lang w:eastAsia="zh-CN"/>
        </w:rPr>
        <w:t>承包人还应按合同价款的20%向发包人支付违约金，并赔偿发包人因此遭受的全部损失。</w:t>
      </w:r>
      <w:commentRangeEnd w:id="46"/>
      <w:r>
        <w:rPr>
          <w:rStyle w:val="57"/>
          <w:rFonts w:hint="eastAsia" w:asciiTheme="minorEastAsia" w:hAnsiTheme="minorEastAsia" w:eastAsiaTheme="minorEastAsia" w:cstheme="minorEastAsia"/>
          <w:sz w:val="24"/>
          <w:szCs w:val="24"/>
        </w:rPr>
        <w:commentReference w:id="46"/>
      </w:r>
      <w:bookmarkEnd w:id="192"/>
    </w:p>
    <w:p w14:paraId="611571F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47"/>
      <w:bookmarkStart w:id="193" w:name="tip_risk_bookmark_51"/>
      <w:r>
        <w:rPr>
          <w:rFonts w:hint="eastAsia" w:asciiTheme="minorEastAsia" w:hAnsiTheme="minorEastAsia" w:eastAsiaTheme="minorEastAsia" w:cstheme="minorEastAsia"/>
          <w:sz w:val="24"/>
          <w:szCs w:val="24"/>
        </w:rPr>
        <w:t>  16．4  有下列情形之一的，发包人承包人可以解除合同。</w:t>
      </w:r>
    </w:p>
    <w:p w14:paraId="6EB7C9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(1)双方约定，结合本工程特点，发生不可抗力致使合同无法履行；</w:t>
      </w:r>
    </w:p>
    <w:p w14:paraId="530711D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(2)因一方违约致使合同无法履行；</w:t>
      </w:r>
    </w:p>
    <w:p w14:paraId="24EF468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48"/>
      <w:bookmarkStart w:id="194" w:name="auto_fouce_52"/>
      <w:r>
        <w:rPr>
          <w:rFonts w:hint="eastAsia" w:asciiTheme="minorEastAsia" w:hAnsiTheme="minorEastAsia" w:eastAsiaTheme="minorEastAsia" w:cstheme="minorEastAsia"/>
          <w:sz w:val="24"/>
          <w:szCs w:val="24"/>
        </w:rPr>
        <w:t>  (3)双方约定，其他导致合同解除的原因</w:t>
      </w:r>
      <w:commentRangeEnd w:id="47"/>
      <w:r>
        <w:rPr>
          <w:rStyle w:val="57"/>
          <w:rFonts w:hint="eastAsia" w:asciiTheme="minorEastAsia" w:hAnsiTheme="minorEastAsia" w:eastAsiaTheme="minorEastAsia" w:cstheme="minorEastAsia"/>
          <w:sz w:val="24"/>
          <w:szCs w:val="24"/>
        </w:rPr>
        <w:commentReference w:id="47"/>
      </w:r>
      <w:bookmarkEnd w:id="193"/>
      <w:r>
        <w:rPr>
          <w:rFonts w:hint="eastAsia" w:asciiTheme="minorEastAsia" w:hAnsiTheme="minorEastAsia" w:eastAsiaTheme="minorEastAsia" w:cstheme="minorEastAsia"/>
          <w:sz w:val="24"/>
          <w:szCs w:val="24"/>
          <w:lang w:eastAsia="zh-CN"/>
        </w:rPr>
        <w:t>：因承包人原因导致实际进度较计划进度延误超过30日或预计无法按合同约定竣工；工程存在重大质量瑕疵、经返修或重做仍不符合约定质量标准，或者承包人拒不返修、重做；承包人被依法吊销、责令停业，丧失相应施工资质或履约能力，进入破产、清算程序，或者出现其他足以影响合同正常履行的情形；承包人有转包、违法分包、擅自变更设计或减省工序等重大违约行为的，发包人有权解除合同，并要求承包人承担违约责任及赔偿损失。</w:t>
      </w:r>
      <w:commentRangeEnd w:id="48"/>
      <w:r>
        <w:rPr>
          <w:rStyle w:val="57"/>
          <w:rFonts w:hint="eastAsia" w:asciiTheme="minorEastAsia" w:hAnsiTheme="minorEastAsia" w:eastAsiaTheme="minorEastAsia" w:cstheme="minorEastAsia"/>
          <w:sz w:val="24"/>
          <w:szCs w:val="24"/>
        </w:rPr>
        <w:commentReference w:id="48"/>
      </w:r>
      <w:bookmarkEnd w:id="194"/>
      <w:r>
        <w:rPr>
          <w:rFonts w:hint="eastAsia" w:asciiTheme="minorEastAsia" w:hAnsiTheme="minorEastAsia" w:eastAsiaTheme="minorEastAsia" w:cstheme="minorEastAsia"/>
          <w:sz w:val="24"/>
          <w:szCs w:val="24"/>
          <w:u w:val="single"/>
        </w:rPr>
        <w:t xml:space="preserve">                </w:t>
      </w:r>
    </w:p>
    <w:p w14:paraId="50C900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bookmarkStart w:id="195" w:name="auto_fouce_53"/>
      <w:commentRangeStart w:id="49"/>
      <w:r>
        <w:rPr>
          <w:rFonts w:hint="eastAsia" w:asciiTheme="minorEastAsia" w:hAnsiTheme="minorEastAsia" w:eastAsiaTheme="minorEastAsia" w:cstheme="minorEastAsia"/>
          <w:sz w:val="24"/>
          <w:szCs w:val="24"/>
        </w:rPr>
        <w:t>16．5  一方依据合同约定要求解除合同，应以书面形式向对方发出解除合同通知，并在发出通知前7天告知对方，通知到达时合同解除。对解除合同有争议的，按本合同条款第1</w:t>
      </w:r>
      <w:r>
        <w:rPr>
          <w:rFonts w:hint="eastAsia" w:asciiTheme="minorEastAsia" w:hAnsiTheme="minorEastAsia" w:eastAsiaTheme="minorEastAsia" w:cstheme="minorEastAsia"/>
          <w:sz w:val="24"/>
          <w:szCs w:val="24"/>
          <w:lang w:eastAsia="zh-CN"/>
        </w:rPr>
        <w:t>5</w:t>
      </w:r>
      <w:r>
        <w:rPr>
          <w:rFonts w:hint="eastAsia" w:asciiTheme="minorEastAsia" w:hAnsiTheme="minorEastAsia" w:eastAsiaTheme="minorEastAsia" w:cstheme="minorEastAsia"/>
          <w:sz w:val="24"/>
          <w:szCs w:val="24"/>
        </w:rPr>
        <w:t>．6款的约定处理。</w:t>
      </w:r>
      <w:commentRangeEnd w:id="49"/>
      <w:r>
        <w:rPr>
          <w:rStyle w:val="57"/>
          <w:rFonts w:hint="eastAsia" w:asciiTheme="minorEastAsia" w:hAnsiTheme="minorEastAsia" w:eastAsiaTheme="minorEastAsia" w:cstheme="minorEastAsia"/>
          <w:sz w:val="24"/>
          <w:szCs w:val="24"/>
        </w:rPr>
        <w:commentReference w:id="49"/>
      </w:r>
      <w:bookmarkEnd w:id="195"/>
    </w:p>
    <w:p w14:paraId="5F95241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16．6  合同解除后，承包人应妥善做好已完工程和已购材料、设备的保护和移交工作；按发包人要求将自有机械和人员撤出施工场地，发包人应为撤出提供便利条件，支付以上费用，并按合同约定支付已完工程款。已经订货的材料、设备由订货方负责退货或解除订货合同。不能退还的货款和因退货、解除订货合同发生的费用，由发包人承担，因未及时退货造成损失由责任方承担。除此之外，有过错的一方应当赔偿因合同解除给对方造成的损失。</w:t>
      </w:r>
    </w:p>
    <w:p w14:paraId="7AEA6CC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16．7  合同解除后，不影响双方在合同中约定的结算和清理条款的效力。</w:t>
      </w:r>
    </w:p>
    <w:p w14:paraId="56EB549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第17条  不可抗力</w:t>
      </w:r>
    </w:p>
    <w:p w14:paraId="3AEF029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commentRangeStart w:id="50"/>
      <w:bookmarkStart w:id="196" w:name="tip_risk_bookmark_54"/>
      <w:r>
        <w:rPr>
          <w:rFonts w:hint="eastAsia" w:asciiTheme="minorEastAsia" w:hAnsiTheme="minorEastAsia" w:eastAsiaTheme="minorEastAsia" w:cstheme="minorEastAsia"/>
          <w:sz w:val="24"/>
          <w:szCs w:val="24"/>
        </w:rPr>
        <w:t>  17．1  双方结合本工程对于不可抗力的约定：</w:t>
      </w:r>
      <w:commentRangeEnd w:id="50"/>
      <w:r>
        <w:rPr>
          <w:rStyle w:val="57"/>
          <w:rFonts w:hint="eastAsia" w:asciiTheme="minorEastAsia" w:hAnsiTheme="minorEastAsia" w:eastAsiaTheme="minorEastAsia" w:cstheme="minorEastAsia"/>
          <w:sz w:val="24"/>
          <w:szCs w:val="24"/>
        </w:rPr>
        <w:commentReference w:id="50"/>
      </w:r>
      <w:bookmarkEnd w:id="196"/>
      <w:r>
        <w:rPr>
          <w:rFonts w:hint="eastAsia" w:asciiTheme="minorEastAsia" w:hAnsiTheme="minorEastAsia" w:eastAsiaTheme="minorEastAsia" w:cstheme="minorEastAsia"/>
          <w:sz w:val="24"/>
          <w:szCs w:val="24"/>
          <w:u w:val="single"/>
        </w:rPr>
        <w:t xml:space="preserve">                  </w:t>
      </w:r>
    </w:p>
    <w:p w14:paraId="36FE9AA9">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17．2  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灾情况和损失情况，及预计清理和修复的费用。不可抗力事件持续发生，承包人应当每隔7天向工程师报告一次受灾情况。不可抗力事件结束后14天内，承包人向工程师提交情理和修复费用的正式报告及有关资料。</w:t>
      </w:r>
    </w:p>
    <w:p w14:paraId="3105CF3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17．3  因不可抗力事件导致的费用及延误的工期由双方按以下方法分别承担：</w:t>
      </w:r>
    </w:p>
    <w:p w14:paraId="2F73E7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(1)工程本身的损害、因工程损害导致第三人人员伤亡和财产损失以及运至施工场地用于施工的材料和待安装的设备损害，由发包人承担；</w:t>
      </w:r>
    </w:p>
    <w:p w14:paraId="235FBE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(2)发包人承包人人员伤亡由其所在单位负责，并承担相应费用；</w:t>
      </w:r>
    </w:p>
    <w:p w14:paraId="073D72A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(3)承包人机械设备损坏及停工损失，由承包人承担；</w:t>
      </w:r>
    </w:p>
    <w:p w14:paraId="34D8A18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(4)停工期间，承包人应工程师要求留在施工场地的必要管理人员及保卫人员的费用由发包人承担；</w:t>
      </w:r>
    </w:p>
    <w:p w14:paraId="28BD161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(5)工程所需清理、修复费用，由发包人承担；</w:t>
      </w:r>
    </w:p>
    <w:p w14:paraId="07E467C8">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(6)延误的工期相应顺延。</w:t>
      </w:r>
    </w:p>
    <w:p w14:paraId="3827774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17．4  因合同一方迟延履行合同后发生的不可抗力的，不能免除迟延履行方的相应责任。</w:t>
      </w:r>
    </w:p>
    <w:p w14:paraId="2122A93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commentRangeStart w:id="51"/>
      <w:bookmarkStart w:id="197" w:name="tip_risk_bookmark_55"/>
      <w:r>
        <w:rPr>
          <w:rFonts w:hint="eastAsia" w:asciiTheme="minorEastAsia" w:hAnsiTheme="minorEastAsia" w:eastAsiaTheme="minorEastAsia" w:cstheme="minorEastAsia"/>
          <w:b/>
          <w:sz w:val="24"/>
          <w:szCs w:val="24"/>
        </w:rPr>
        <w:t>第18条  补充条款</w:t>
      </w:r>
    </w:p>
    <w:p w14:paraId="66F8B10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FF0000"/>
          <w:sz w:val="24"/>
          <w:szCs w:val="24"/>
          <w:lang w:eastAsia="zh-CN"/>
        </w:rPr>
      </w:pPr>
      <w:r>
        <w:rPr>
          <w:rFonts w:hint="eastAsia" w:asciiTheme="minorEastAsia" w:hAnsiTheme="minorEastAsia" w:eastAsiaTheme="minorEastAsia" w:cstheme="minorEastAsia"/>
          <w:sz w:val="24"/>
          <w:szCs w:val="24"/>
        </w:rPr>
        <w:t>  双方根据有关法律、行政法规规定，结合本工程实际，经协商一致后，对本合同条款内容做进一步具体化约定，并修改、完善、补充条款如下：</w:t>
      </w:r>
      <w:commentRangeEnd w:id="51"/>
      <w:r>
        <w:rPr>
          <w:rStyle w:val="57"/>
          <w:rFonts w:hint="eastAsia" w:asciiTheme="minorEastAsia" w:hAnsiTheme="minorEastAsia" w:eastAsiaTheme="minorEastAsia" w:cstheme="minorEastAsia"/>
          <w:sz w:val="24"/>
          <w:szCs w:val="24"/>
        </w:rPr>
        <w:commentReference w:id="51"/>
      </w:r>
      <w:bookmarkEnd w:id="197"/>
      <w:commentRangeStart w:id="52"/>
      <w:bookmarkStart w:id="198" w:name="auto_fouce_56"/>
    </w:p>
    <w:p w14:paraId="6CF165D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因承包人原因逾期竣工的，每逾期一日，按合同价款的万分之五向发包人支付违约金；逾期竣工超过30日的，发包人有权解除合同。工程质量不合格的，承包人应无偿返修、重做并承担全部费用，另按不合格部分合同价款的10%支付违约金；因质量问题造成发包人或第三方损失的，承包人应承担全部赔偿责任。承包人未经发包人书面同意擅自变更设计、减省工序或降低材料、设备标准的，应恢复至合同约定状态，承担全部费用，并按合同价款的10%支付违约金；给发包人造成损失的，承包人应一并赔偿。违约金不足以弥补损失的，承包人应补足差额。</w:t>
      </w:r>
      <w:commentRangeEnd w:id="52"/>
      <w:r>
        <w:rPr>
          <w:rStyle w:val="57"/>
          <w:rFonts w:hint="eastAsia" w:asciiTheme="minorEastAsia" w:hAnsiTheme="minorEastAsia" w:eastAsiaTheme="minorEastAsia" w:cstheme="minorEastAsia"/>
          <w:sz w:val="24"/>
          <w:szCs w:val="24"/>
        </w:rPr>
        <w:commentReference w:id="52"/>
      </w:r>
      <w:bookmarkEnd w:id="198"/>
    </w:p>
    <w:p w14:paraId="51EF783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20783B0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2376B8A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76F14FC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1C3EE0C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5E4F824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第19条  合同终止</w:t>
      </w:r>
    </w:p>
    <w:p w14:paraId="3E10A1B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53"/>
      <w:bookmarkStart w:id="199" w:name="auto_fouce_57"/>
      <w:r>
        <w:rPr>
          <w:rFonts w:hint="eastAsia" w:asciiTheme="minorEastAsia" w:hAnsiTheme="minorEastAsia" w:eastAsiaTheme="minorEastAsia" w:cstheme="minorEastAsia"/>
          <w:sz w:val="24"/>
          <w:szCs w:val="24"/>
        </w:rPr>
        <w:t>  19．1  除本合同条款第1</w:t>
      </w:r>
      <w:r>
        <w:rPr>
          <w:rFonts w:hint="eastAsia" w:asciiTheme="minorEastAsia" w:hAnsiTheme="minorEastAsia" w:eastAsiaTheme="minorEastAsia" w:cstheme="minorEastAsia"/>
          <w:sz w:val="24"/>
          <w:szCs w:val="24"/>
          <w:lang w:eastAsia="zh-CN"/>
        </w:rPr>
        <w:t>6</w:t>
      </w:r>
      <w:r>
        <w:rPr>
          <w:rFonts w:hint="eastAsia" w:asciiTheme="minorEastAsia" w:hAnsiTheme="minorEastAsia" w:eastAsiaTheme="minorEastAsia" w:cstheme="minorEastAsia"/>
          <w:sz w:val="24"/>
          <w:szCs w:val="24"/>
        </w:rPr>
        <w:t>条以外，双方履行合同全部义务，竣工结算价款支付完毕，承包人向发包人交付竣工工程后，本合同即告终止。</w:t>
      </w:r>
      <w:commentRangeEnd w:id="53"/>
      <w:r>
        <w:rPr>
          <w:rStyle w:val="57"/>
          <w:rFonts w:hint="eastAsia" w:asciiTheme="minorEastAsia" w:hAnsiTheme="minorEastAsia" w:eastAsiaTheme="minorEastAsia" w:cstheme="minorEastAsia"/>
          <w:sz w:val="24"/>
          <w:szCs w:val="24"/>
        </w:rPr>
        <w:commentReference w:id="53"/>
      </w:r>
      <w:bookmarkEnd w:id="199"/>
    </w:p>
    <w:p w14:paraId="3DAE442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19．2  合同权利义务终止后，双方应当遵循诚实信用的原则、履行通知、协助、保密等义务。</w:t>
      </w:r>
    </w:p>
    <w:p w14:paraId="5619B6C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第20条  合同份数</w:t>
      </w:r>
    </w:p>
    <w:p w14:paraId="1861D5C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20．1  本合同正本两份，具有同等效力，由双方分别保存一份。</w:t>
      </w:r>
    </w:p>
    <w:p w14:paraId="41FB6FE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54"/>
      <w:bookmarkStart w:id="200" w:name="tip_risk_bookmark_58"/>
      <w:r>
        <w:rPr>
          <w:rFonts w:hint="eastAsia" w:asciiTheme="minorEastAsia" w:hAnsiTheme="minorEastAsia" w:eastAsiaTheme="minorEastAsia" w:cstheme="minorEastAsia"/>
          <w:sz w:val="24"/>
          <w:szCs w:val="24"/>
        </w:rPr>
        <w:t>  20．2  本合同副本共</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份，发包人保存副本</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份，承包人保存副本</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份。</w:t>
      </w:r>
      <w:commentRangeEnd w:id="54"/>
      <w:r>
        <w:rPr>
          <w:rStyle w:val="57"/>
          <w:rFonts w:hint="eastAsia" w:asciiTheme="minorEastAsia" w:hAnsiTheme="minorEastAsia" w:eastAsiaTheme="minorEastAsia" w:cstheme="minorEastAsia"/>
          <w:sz w:val="24"/>
          <w:szCs w:val="24"/>
        </w:rPr>
        <w:commentReference w:id="54"/>
      </w:r>
      <w:bookmarkEnd w:id="200"/>
    </w:p>
    <w:p w14:paraId="5C33B7C8">
      <w:pPr>
        <w:spacing w:line="560" w:lineRule="exact"/>
        <w:rPr>
          <w:rFonts w:hint="eastAsia" w:asciiTheme="minorEastAsia" w:hAnsiTheme="minorEastAsia" w:eastAsiaTheme="minorEastAsia" w:cstheme="minorEastAsia"/>
          <w:b/>
          <w:sz w:val="32"/>
          <w:szCs w:val="32"/>
        </w:rPr>
      </w:pPr>
      <w:r>
        <w:rPr>
          <w:rFonts w:hint="eastAsia" w:ascii="仿宋" w:hAnsi="仿宋" w:eastAsia="仿宋" w:cs="仿宋"/>
          <w:sz w:val="32"/>
          <w:szCs w:val="32"/>
        </w:rPr>
        <w:br w:type="page"/>
      </w:r>
      <w:r>
        <w:rPr>
          <w:rFonts w:hint="eastAsia" w:asciiTheme="minorEastAsia" w:hAnsiTheme="minorEastAsia" w:eastAsiaTheme="minorEastAsia" w:cstheme="minorEastAsia"/>
          <w:b/>
          <w:sz w:val="32"/>
          <w:szCs w:val="32"/>
        </w:rPr>
        <w:t>附件一：</w:t>
      </w:r>
    </w:p>
    <w:p w14:paraId="7FEE2142">
      <w:pPr>
        <w:jc w:val="center"/>
        <w:rPr>
          <w:rFonts w:hint="eastAsia" w:asciiTheme="minorEastAsia" w:hAnsiTheme="minorEastAsia" w:eastAsiaTheme="minorEastAsia" w:cstheme="minorEastAsia"/>
          <w:b/>
          <w:sz w:val="32"/>
          <w:szCs w:val="32"/>
        </w:rPr>
      </w:pPr>
      <w:commentRangeStart w:id="55"/>
      <w:commentRangeStart w:id="56"/>
      <w:bookmarkStart w:id="201" w:name="auto_fouce_59"/>
      <w:bookmarkStart w:id="202" w:name="tip_risk_bookmark_60"/>
      <w:r>
        <w:rPr>
          <w:rFonts w:hint="eastAsia" w:asciiTheme="minorEastAsia" w:hAnsiTheme="minorEastAsia" w:eastAsiaTheme="minorEastAsia" w:cstheme="minorEastAsia"/>
          <w:b/>
          <w:sz w:val="32"/>
          <w:szCs w:val="32"/>
        </w:rPr>
        <w:t>承</w:t>
      </w:r>
      <w:r>
        <w:rPr>
          <w:rFonts w:hint="eastAsia" w:asciiTheme="minorEastAsia" w:hAnsiTheme="minorEastAsia" w:eastAsiaTheme="minorEastAsia" w:cstheme="minorEastAsia"/>
          <w:b/>
          <w:sz w:val="32"/>
          <w:szCs w:val="32"/>
          <w:lang w:eastAsia="zh-CN"/>
        </w:rPr>
        <w:t>包</w:t>
      </w:r>
      <w:r>
        <w:rPr>
          <w:rFonts w:hint="eastAsia" w:asciiTheme="minorEastAsia" w:hAnsiTheme="minorEastAsia" w:eastAsiaTheme="minorEastAsia" w:cstheme="minorEastAsia"/>
          <w:b/>
          <w:sz w:val="32"/>
          <w:szCs w:val="32"/>
        </w:rPr>
        <w:t>人承揽</w:t>
      </w:r>
      <w:r>
        <w:rPr>
          <w:rFonts w:hint="eastAsia" w:asciiTheme="minorEastAsia" w:hAnsiTheme="minorEastAsia" w:eastAsiaTheme="minorEastAsia" w:cstheme="minorEastAsia"/>
          <w:b/>
          <w:sz w:val="32"/>
          <w:szCs w:val="32"/>
          <w:lang w:eastAsia="zh-CN"/>
        </w:rPr>
        <w:t>工程</w:t>
      </w:r>
      <w:r>
        <w:rPr>
          <w:rFonts w:hint="eastAsia" w:asciiTheme="minorEastAsia" w:hAnsiTheme="minorEastAsia" w:eastAsiaTheme="minorEastAsia" w:cstheme="minorEastAsia"/>
          <w:b/>
          <w:sz w:val="32"/>
          <w:szCs w:val="32"/>
        </w:rPr>
        <w:t>项目一览表</w:t>
      </w:r>
      <w:commentRangeEnd w:id="55"/>
      <w:r>
        <w:rPr>
          <w:rStyle w:val="57"/>
          <w:rFonts w:hint="eastAsia" w:asciiTheme="minorEastAsia" w:hAnsiTheme="minorEastAsia" w:eastAsiaTheme="minorEastAsia" w:cstheme="minorEastAsia"/>
          <w:sz w:val="32"/>
          <w:szCs w:val="32"/>
        </w:rPr>
        <w:commentReference w:id="55"/>
      </w:r>
      <w:bookmarkEnd w:id="201"/>
    </w:p>
    <w:tbl>
      <w:tblPr>
        <w:tblStyle w:val="45"/>
        <w:tblW w:w="9684" w:type="dxa"/>
        <w:tblInd w:w="-6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825"/>
        <w:gridCol w:w="1594"/>
        <w:gridCol w:w="653"/>
        <w:gridCol w:w="626"/>
        <w:gridCol w:w="936"/>
        <w:gridCol w:w="1189"/>
        <w:gridCol w:w="1177"/>
        <w:gridCol w:w="787"/>
        <w:gridCol w:w="787"/>
      </w:tblGrid>
      <w:tr w14:paraId="2BCBD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noWrap w:val="0"/>
            <w:vAlign w:val="center"/>
          </w:tcPr>
          <w:p w14:paraId="07C2A32A">
            <w:pPr>
              <w:jc w:val="center"/>
              <w:rPr>
                <w:rFonts w:hint="eastAsia" w:asciiTheme="minorEastAsia" w:hAnsiTheme="minorEastAsia" w:eastAsiaTheme="minorEastAsia" w:cstheme="minorEastAsia"/>
                <w:sz w:val="28"/>
                <w:szCs w:val="28"/>
              </w:rPr>
            </w:pPr>
            <w:commentRangeStart w:id="57"/>
            <w:r>
              <w:rPr>
                <w:rFonts w:hint="eastAsia" w:asciiTheme="minorEastAsia" w:hAnsiTheme="minorEastAsia" w:eastAsiaTheme="minorEastAsia" w:cstheme="minorEastAsia"/>
                <w:sz w:val="28"/>
                <w:szCs w:val="28"/>
              </w:rPr>
              <w:t>单位工程名称</w:t>
            </w:r>
          </w:p>
        </w:tc>
        <w:tc>
          <w:tcPr>
            <w:tcW w:w="825" w:type="dxa"/>
            <w:noWrap w:val="0"/>
            <w:vAlign w:val="center"/>
          </w:tcPr>
          <w:p w14:paraId="0A7B4BB3">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建设规模</w:t>
            </w:r>
          </w:p>
        </w:tc>
        <w:tc>
          <w:tcPr>
            <w:tcW w:w="1594" w:type="dxa"/>
            <w:noWrap w:val="0"/>
            <w:vAlign w:val="center"/>
          </w:tcPr>
          <w:p w14:paraId="4F9C2BD3">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建筑面积（平方米）</w:t>
            </w:r>
          </w:p>
        </w:tc>
        <w:tc>
          <w:tcPr>
            <w:tcW w:w="653" w:type="dxa"/>
            <w:noWrap w:val="0"/>
            <w:vAlign w:val="center"/>
          </w:tcPr>
          <w:p w14:paraId="646ECE91">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结构</w:t>
            </w:r>
          </w:p>
        </w:tc>
        <w:tc>
          <w:tcPr>
            <w:tcW w:w="626" w:type="dxa"/>
            <w:noWrap w:val="0"/>
            <w:vAlign w:val="center"/>
          </w:tcPr>
          <w:p w14:paraId="303CF5CB">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层数</w:t>
            </w:r>
          </w:p>
        </w:tc>
        <w:tc>
          <w:tcPr>
            <w:tcW w:w="936" w:type="dxa"/>
            <w:noWrap w:val="0"/>
            <w:vAlign w:val="center"/>
          </w:tcPr>
          <w:p w14:paraId="2FCB667E">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跨度（米）</w:t>
            </w:r>
          </w:p>
        </w:tc>
        <w:tc>
          <w:tcPr>
            <w:tcW w:w="1189" w:type="dxa"/>
            <w:noWrap w:val="0"/>
            <w:vAlign w:val="center"/>
          </w:tcPr>
          <w:p w14:paraId="0ECF2E40">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设备安装内容</w:t>
            </w:r>
          </w:p>
        </w:tc>
        <w:tc>
          <w:tcPr>
            <w:tcW w:w="1177" w:type="dxa"/>
            <w:noWrap w:val="0"/>
            <w:vAlign w:val="center"/>
          </w:tcPr>
          <w:p w14:paraId="29780B88">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工程造价（元）</w:t>
            </w:r>
          </w:p>
        </w:tc>
        <w:tc>
          <w:tcPr>
            <w:tcW w:w="787" w:type="dxa"/>
            <w:noWrap w:val="0"/>
            <w:vAlign w:val="center"/>
          </w:tcPr>
          <w:p w14:paraId="3E22D854">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开工日期</w:t>
            </w:r>
          </w:p>
        </w:tc>
        <w:tc>
          <w:tcPr>
            <w:tcW w:w="787" w:type="dxa"/>
            <w:noWrap w:val="0"/>
            <w:vAlign w:val="center"/>
          </w:tcPr>
          <w:p w14:paraId="11FF9F23">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竣工日期</w:t>
            </w:r>
          </w:p>
        </w:tc>
      </w:tr>
      <w:bookmarkEnd w:id="202"/>
      <w:commentRangeEnd w:id="56"/>
      <w:tr w14:paraId="2062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110" w:type="dxa"/>
            <w:noWrap w:val="0"/>
            <w:vAlign w:val="center"/>
          </w:tcPr>
          <w:p w14:paraId="39311FEB">
            <w:pPr>
              <w:jc w:val="center"/>
              <w:rPr>
                <w:rFonts w:hint="eastAsia" w:asciiTheme="minorEastAsia" w:hAnsiTheme="minorEastAsia" w:eastAsiaTheme="minorEastAsia" w:cstheme="minorEastAsia"/>
                <w:sz w:val="28"/>
                <w:szCs w:val="28"/>
              </w:rPr>
            </w:pPr>
            <w:r>
              <w:rPr>
                <w:rStyle w:val="57"/>
                <w:rFonts w:hint="eastAsia" w:asciiTheme="minorEastAsia" w:hAnsiTheme="minorEastAsia" w:eastAsiaTheme="minorEastAsia" w:cstheme="minorEastAsia"/>
                <w:sz w:val="28"/>
                <w:szCs w:val="28"/>
              </w:rPr>
              <w:commentReference w:id="56"/>
            </w:r>
            <w:commentRangeEnd w:id="57"/>
            <w:r>
              <w:rPr>
                <w:rStyle w:val="57"/>
                <w:rFonts w:hint="eastAsia" w:asciiTheme="minorEastAsia" w:hAnsiTheme="minorEastAsia" w:eastAsiaTheme="minorEastAsia" w:cstheme="minorEastAsia"/>
                <w:sz w:val="28"/>
                <w:szCs w:val="28"/>
              </w:rPr>
              <w:commentReference w:id="57"/>
            </w:r>
          </w:p>
        </w:tc>
        <w:tc>
          <w:tcPr>
            <w:tcW w:w="825" w:type="dxa"/>
            <w:noWrap w:val="0"/>
            <w:vAlign w:val="center"/>
          </w:tcPr>
          <w:p w14:paraId="1BBDAA06">
            <w:pPr>
              <w:jc w:val="center"/>
              <w:rPr>
                <w:rFonts w:hint="eastAsia" w:asciiTheme="minorEastAsia" w:hAnsiTheme="minorEastAsia" w:eastAsiaTheme="minorEastAsia" w:cstheme="minorEastAsia"/>
                <w:sz w:val="28"/>
                <w:szCs w:val="28"/>
              </w:rPr>
            </w:pPr>
          </w:p>
        </w:tc>
        <w:tc>
          <w:tcPr>
            <w:tcW w:w="1594" w:type="dxa"/>
            <w:noWrap w:val="0"/>
            <w:vAlign w:val="center"/>
          </w:tcPr>
          <w:p w14:paraId="7D0ACDBF">
            <w:pPr>
              <w:jc w:val="center"/>
              <w:rPr>
                <w:rFonts w:hint="eastAsia" w:asciiTheme="minorEastAsia" w:hAnsiTheme="minorEastAsia" w:eastAsiaTheme="minorEastAsia" w:cstheme="minorEastAsia"/>
                <w:sz w:val="28"/>
                <w:szCs w:val="28"/>
              </w:rPr>
            </w:pPr>
          </w:p>
        </w:tc>
        <w:tc>
          <w:tcPr>
            <w:tcW w:w="653" w:type="dxa"/>
            <w:noWrap w:val="0"/>
            <w:vAlign w:val="center"/>
          </w:tcPr>
          <w:p w14:paraId="17029234">
            <w:pPr>
              <w:jc w:val="center"/>
              <w:rPr>
                <w:rFonts w:hint="eastAsia" w:asciiTheme="minorEastAsia" w:hAnsiTheme="minorEastAsia" w:eastAsiaTheme="minorEastAsia" w:cstheme="minorEastAsia"/>
                <w:sz w:val="28"/>
                <w:szCs w:val="28"/>
              </w:rPr>
            </w:pPr>
          </w:p>
        </w:tc>
        <w:tc>
          <w:tcPr>
            <w:tcW w:w="626" w:type="dxa"/>
            <w:noWrap w:val="0"/>
            <w:vAlign w:val="center"/>
          </w:tcPr>
          <w:p w14:paraId="4A2022E3">
            <w:pPr>
              <w:jc w:val="center"/>
              <w:rPr>
                <w:rFonts w:hint="eastAsia" w:asciiTheme="minorEastAsia" w:hAnsiTheme="minorEastAsia" w:eastAsiaTheme="minorEastAsia" w:cstheme="minorEastAsia"/>
                <w:sz w:val="28"/>
                <w:szCs w:val="28"/>
              </w:rPr>
            </w:pPr>
          </w:p>
        </w:tc>
        <w:tc>
          <w:tcPr>
            <w:tcW w:w="936" w:type="dxa"/>
            <w:noWrap w:val="0"/>
            <w:vAlign w:val="center"/>
          </w:tcPr>
          <w:p w14:paraId="53929BAF">
            <w:pPr>
              <w:jc w:val="center"/>
              <w:rPr>
                <w:rFonts w:hint="eastAsia" w:asciiTheme="minorEastAsia" w:hAnsiTheme="minorEastAsia" w:eastAsiaTheme="minorEastAsia" w:cstheme="minorEastAsia"/>
                <w:sz w:val="28"/>
                <w:szCs w:val="28"/>
              </w:rPr>
            </w:pPr>
          </w:p>
        </w:tc>
        <w:tc>
          <w:tcPr>
            <w:tcW w:w="1189" w:type="dxa"/>
            <w:noWrap w:val="0"/>
            <w:vAlign w:val="center"/>
          </w:tcPr>
          <w:p w14:paraId="3BA0059E">
            <w:pPr>
              <w:jc w:val="center"/>
              <w:rPr>
                <w:rFonts w:hint="eastAsia" w:asciiTheme="minorEastAsia" w:hAnsiTheme="minorEastAsia" w:eastAsiaTheme="minorEastAsia" w:cstheme="minorEastAsia"/>
                <w:sz w:val="28"/>
                <w:szCs w:val="28"/>
              </w:rPr>
            </w:pPr>
          </w:p>
        </w:tc>
        <w:tc>
          <w:tcPr>
            <w:tcW w:w="1177" w:type="dxa"/>
            <w:noWrap w:val="0"/>
            <w:vAlign w:val="center"/>
          </w:tcPr>
          <w:p w14:paraId="753E5062">
            <w:pPr>
              <w:jc w:val="center"/>
              <w:rPr>
                <w:rFonts w:hint="eastAsia" w:asciiTheme="minorEastAsia" w:hAnsiTheme="minorEastAsia" w:eastAsiaTheme="minorEastAsia" w:cstheme="minorEastAsia"/>
                <w:sz w:val="28"/>
                <w:szCs w:val="28"/>
              </w:rPr>
            </w:pPr>
          </w:p>
        </w:tc>
        <w:tc>
          <w:tcPr>
            <w:tcW w:w="787" w:type="dxa"/>
            <w:noWrap w:val="0"/>
            <w:vAlign w:val="center"/>
          </w:tcPr>
          <w:p w14:paraId="2EBC268A">
            <w:pPr>
              <w:jc w:val="center"/>
              <w:rPr>
                <w:rFonts w:hint="eastAsia" w:asciiTheme="minorEastAsia" w:hAnsiTheme="minorEastAsia" w:eastAsiaTheme="minorEastAsia" w:cstheme="minorEastAsia"/>
                <w:sz w:val="28"/>
                <w:szCs w:val="28"/>
              </w:rPr>
            </w:pPr>
          </w:p>
        </w:tc>
        <w:tc>
          <w:tcPr>
            <w:tcW w:w="787" w:type="dxa"/>
            <w:noWrap w:val="0"/>
            <w:vAlign w:val="center"/>
          </w:tcPr>
          <w:p w14:paraId="7F1CAAB1">
            <w:pPr>
              <w:jc w:val="center"/>
              <w:rPr>
                <w:rFonts w:hint="eastAsia" w:asciiTheme="minorEastAsia" w:hAnsiTheme="minorEastAsia" w:eastAsiaTheme="minorEastAsia" w:cstheme="minorEastAsia"/>
                <w:sz w:val="28"/>
                <w:szCs w:val="28"/>
              </w:rPr>
            </w:pPr>
          </w:p>
        </w:tc>
      </w:tr>
      <w:tr w14:paraId="5B0A8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110" w:type="dxa"/>
            <w:noWrap w:val="0"/>
            <w:vAlign w:val="center"/>
          </w:tcPr>
          <w:p w14:paraId="52F5D1C7">
            <w:pPr>
              <w:jc w:val="center"/>
              <w:rPr>
                <w:rFonts w:hint="eastAsia" w:asciiTheme="minorEastAsia" w:hAnsiTheme="minorEastAsia" w:eastAsiaTheme="minorEastAsia" w:cstheme="minorEastAsia"/>
                <w:sz w:val="28"/>
                <w:szCs w:val="28"/>
              </w:rPr>
            </w:pPr>
          </w:p>
        </w:tc>
        <w:tc>
          <w:tcPr>
            <w:tcW w:w="825" w:type="dxa"/>
            <w:noWrap w:val="0"/>
            <w:vAlign w:val="center"/>
          </w:tcPr>
          <w:p w14:paraId="28F0D529">
            <w:pPr>
              <w:jc w:val="center"/>
              <w:rPr>
                <w:rFonts w:hint="eastAsia" w:asciiTheme="minorEastAsia" w:hAnsiTheme="minorEastAsia" w:eastAsiaTheme="minorEastAsia" w:cstheme="minorEastAsia"/>
                <w:sz w:val="28"/>
                <w:szCs w:val="28"/>
              </w:rPr>
            </w:pPr>
          </w:p>
        </w:tc>
        <w:tc>
          <w:tcPr>
            <w:tcW w:w="1594" w:type="dxa"/>
            <w:noWrap w:val="0"/>
            <w:vAlign w:val="center"/>
          </w:tcPr>
          <w:p w14:paraId="2B105A84">
            <w:pPr>
              <w:jc w:val="center"/>
              <w:rPr>
                <w:rFonts w:hint="eastAsia" w:asciiTheme="minorEastAsia" w:hAnsiTheme="minorEastAsia" w:eastAsiaTheme="minorEastAsia" w:cstheme="minorEastAsia"/>
                <w:sz w:val="28"/>
                <w:szCs w:val="28"/>
              </w:rPr>
            </w:pPr>
          </w:p>
        </w:tc>
        <w:tc>
          <w:tcPr>
            <w:tcW w:w="653" w:type="dxa"/>
            <w:noWrap w:val="0"/>
            <w:vAlign w:val="center"/>
          </w:tcPr>
          <w:p w14:paraId="21F957EE">
            <w:pPr>
              <w:jc w:val="center"/>
              <w:rPr>
                <w:rFonts w:hint="eastAsia" w:asciiTheme="minorEastAsia" w:hAnsiTheme="minorEastAsia" w:eastAsiaTheme="minorEastAsia" w:cstheme="minorEastAsia"/>
                <w:sz w:val="28"/>
                <w:szCs w:val="28"/>
              </w:rPr>
            </w:pPr>
          </w:p>
        </w:tc>
        <w:tc>
          <w:tcPr>
            <w:tcW w:w="626" w:type="dxa"/>
            <w:noWrap w:val="0"/>
            <w:vAlign w:val="center"/>
          </w:tcPr>
          <w:p w14:paraId="139CE37E">
            <w:pPr>
              <w:jc w:val="center"/>
              <w:rPr>
                <w:rFonts w:hint="eastAsia" w:asciiTheme="minorEastAsia" w:hAnsiTheme="minorEastAsia" w:eastAsiaTheme="minorEastAsia" w:cstheme="minorEastAsia"/>
                <w:sz w:val="28"/>
                <w:szCs w:val="28"/>
              </w:rPr>
            </w:pPr>
          </w:p>
        </w:tc>
        <w:tc>
          <w:tcPr>
            <w:tcW w:w="936" w:type="dxa"/>
            <w:noWrap w:val="0"/>
            <w:vAlign w:val="center"/>
          </w:tcPr>
          <w:p w14:paraId="5B3F4F17">
            <w:pPr>
              <w:jc w:val="center"/>
              <w:rPr>
                <w:rFonts w:hint="eastAsia" w:asciiTheme="minorEastAsia" w:hAnsiTheme="minorEastAsia" w:eastAsiaTheme="minorEastAsia" w:cstheme="minorEastAsia"/>
                <w:sz w:val="28"/>
                <w:szCs w:val="28"/>
              </w:rPr>
            </w:pPr>
          </w:p>
        </w:tc>
        <w:tc>
          <w:tcPr>
            <w:tcW w:w="1189" w:type="dxa"/>
            <w:noWrap w:val="0"/>
            <w:vAlign w:val="center"/>
          </w:tcPr>
          <w:p w14:paraId="6146FD0D">
            <w:pPr>
              <w:jc w:val="center"/>
              <w:rPr>
                <w:rFonts w:hint="eastAsia" w:asciiTheme="minorEastAsia" w:hAnsiTheme="minorEastAsia" w:eastAsiaTheme="minorEastAsia" w:cstheme="minorEastAsia"/>
                <w:sz w:val="28"/>
                <w:szCs w:val="28"/>
              </w:rPr>
            </w:pPr>
          </w:p>
        </w:tc>
        <w:tc>
          <w:tcPr>
            <w:tcW w:w="1177" w:type="dxa"/>
            <w:noWrap w:val="0"/>
            <w:vAlign w:val="center"/>
          </w:tcPr>
          <w:p w14:paraId="11540FE2">
            <w:pPr>
              <w:jc w:val="center"/>
              <w:rPr>
                <w:rFonts w:hint="eastAsia" w:asciiTheme="minorEastAsia" w:hAnsiTheme="minorEastAsia" w:eastAsiaTheme="minorEastAsia" w:cstheme="minorEastAsia"/>
                <w:sz w:val="28"/>
                <w:szCs w:val="28"/>
              </w:rPr>
            </w:pPr>
          </w:p>
        </w:tc>
        <w:tc>
          <w:tcPr>
            <w:tcW w:w="787" w:type="dxa"/>
            <w:noWrap w:val="0"/>
            <w:vAlign w:val="center"/>
          </w:tcPr>
          <w:p w14:paraId="1B75CD1E">
            <w:pPr>
              <w:jc w:val="center"/>
              <w:rPr>
                <w:rFonts w:hint="eastAsia" w:asciiTheme="minorEastAsia" w:hAnsiTheme="minorEastAsia" w:eastAsiaTheme="minorEastAsia" w:cstheme="minorEastAsia"/>
                <w:sz w:val="28"/>
                <w:szCs w:val="28"/>
              </w:rPr>
            </w:pPr>
          </w:p>
        </w:tc>
        <w:tc>
          <w:tcPr>
            <w:tcW w:w="787" w:type="dxa"/>
            <w:noWrap w:val="0"/>
            <w:vAlign w:val="center"/>
          </w:tcPr>
          <w:p w14:paraId="4D6977E1">
            <w:pPr>
              <w:jc w:val="center"/>
              <w:rPr>
                <w:rFonts w:hint="eastAsia" w:asciiTheme="minorEastAsia" w:hAnsiTheme="minorEastAsia" w:eastAsiaTheme="minorEastAsia" w:cstheme="minorEastAsia"/>
                <w:sz w:val="28"/>
                <w:szCs w:val="28"/>
              </w:rPr>
            </w:pPr>
          </w:p>
        </w:tc>
      </w:tr>
      <w:tr w14:paraId="2E8B3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110" w:type="dxa"/>
            <w:noWrap w:val="0"/>
            <w:vAlign w:val="center"/>
          </w:tcPr>
          <w:p w14:paraId="5A740DC9">
            <w:pPr>
              <w:jc w:val="center"/>
              <w:rPr>
                <w:rFonts w:hint="eastAsia" w:asciiTheme="minorEastAsia" w:hAnsiTheme="minorEastAsia" w:eastAsiaTheme="minorEastAsia" w:cstheme="minorEastAsia"/>
                <w:sz w:val="28"/>
                <w:szCs w:val="28"/>
              </w:rPr>
            </w:pPr>
          </w:p>
        </w:tc>
        <w:tc>
          <w:tcPr>
            <w:tcW w:w="825" w:type="dxa"/>
            <w:noWrap w:val="0"/>
            <w:vAlign w:val="center"/>
          </w:tcPr>
          <w:p w14:paraId="0607C398">
            <w:pPr>
              <w:jc w:val="center"/>
              <w:rPr>
                <w:rFonts w:hint="eastAsia" w:asciiTheme="minorEastAsia" w:hAnsiTheme="minorEastAsia" w:eastAsiaTheme="minorEastAsia" w:cstheme="minorEastAsia"/>
                <w:sz w:val="28"/>
                <w:szCs w:val="28"/>
              </w:rPr>
            </w:pPr>
          </w:p>
        </w:tc>
        <w:tc>
          <w:tcPr>
            <w:tcW w:w="1594" w:type="dxa"/>
            <w:noWrap w:val="0"/>
            <w:vAlign w:val="center"/>
          </w:tcPr>
          <w:p w14:paraId="3798ADAB">
            <w:pPr>
              <w:jc w:val="center"/>
              <w:rPr>
                <w:rFonts w:hint="eastAsia" w:asciiTheme="minorEastAsia" w:hAnsiTheme="minorEastAsia" w:eastAsiaTheme="minorEastAsia" w:cstheme="minorEastAsia"/>
                <w:sz w:val="28"/>
                <w:szCs w:val="28"/>
              </w:rPr>
            </w:pPr>
          </w:p>
        </w:tc>
        <w:tc>
          <w:tcPr>
            <w:tcW w:w="653" w:type="dxa"/>
            <w:noWrap w:val="0"/>
            <w:vAlign w:val="center"/>
          </w:tcPr>
          <w:p w14:paraId="4981F305">
            <w:pPr>
              <w:jc w:val="center"/>
              <w:rPr>
                <w:rFonts w:hint="eastAsia" w:asciiTheme="minorEastAsia" w:hAnsiTheme="minorEastAsia" w:eastAsiaTheme="minorEastAsia" w:cstheme="minorEastAsia"/>
                <w:sz w:val="28"/>
                <w:szCs w:val="28"/>
              </w:rPr>
            </w:pPr>
          </w:p>
        </w:tc>
        <w:tc>
          <w:tcPr>
            <w:tcW w:w="626" w:type="dxa"/>
            <w:noWrap w:val="0"/>
            <w:vAlign w:val="center"/>
          </w:tcPr>
          <w:p w14:paraId="652BB0AD">
            <w:pPr>
              <w:jc w:val="center"/>
              <w:rPr>
                <w:rFonts w:hint="eastAsia" w:asciiTheme="minorEastAsia" w:hAnsiTheme="minorEastAsia" w:eastAsiaTheme="minorEastAsia" w:cstheme="minorEastAsia"/>
                <w:sz w:val="28"/>
                <w:szCs w:val="28"/>
              </w:rPr>
            </w:pPr>
          </w:p>
        </w:tc>
        <w:tc>
          <w:tcPr>
            <w:tcW w:w="936" w:type="dxa"/>
            <w:noWrap w:val="0"/>
            <w:vAlign w:val="center"/>
          </w:tcPr>
          <w:p w14:paraId="4D7AEF38">
            <w:pPr>
              <w:jc w:val="center"/>
              <w:rPr>
                <w:rFonts w:hint="eastAsia" w:asciiTheme="minorEastAsia" w:hAnsiTheme="minorEastAsia" w:eastAsiaTheme="minorEastAsia" w:cstheme="minorEastAsia"/>
                <w:sz w:val="28"/>
                <w:szCs w:val="28"/>
              </w:rPr>
            </w:pPr>
          </w:p>
        </w:tc>
        <w:tc>
          <w:tcPr>
            <w:tcW w:w="1189" w:type="dxa"/>
            <w:noWrap w:val="0"/>
            <w:vAlign w:val="center"/>
          </w:tcPr>
          <w:p w14:paraId="08F6C6E7">
            <w:pPr>
              <w:jc w:val="center"/>
              <w:rPr>
                <w:rFonts w:hint="eastAsia" w:asciiTheme="minorEastAsia" w:hAnsiTheme="minorEastAsia" w:eastAsiaTheme="minorEastAsia" w:cstheme="minorEastAsia"/>
                <w:sz w:val="28"/>
                <w:szCs w:val="28"/>
              </w:rPr>
            </w:pPr>
          </w:p>
        </w:tc>
        <w:tc>
          <w:tcPr>
            <w:tcW w:w="1177" w:type="dxa"/>
            <w:noWrap w:val="0"/>
            <w:vAlign w:val="center"/>
          </w:tcPr>
          <w:p w14:paraId="1D5C8648">
            <w:pPr>
              <w:jc w:val="center"/>
              <w:rPr>
                <w:rFonts w:hint="eastAsia" w:asciiTheme="minorEastAsia" w:hAnsiTheme="minorEastAsia" w:eastAsiaTheme="minorEastAsia" w:cstheme="minorEastAsia"/>
                <w:sz w:val="28"/>
                <w:szCs w:val="28"/>
              </w:rPr>
            </w:pPr>
          </w:p>
        </w:tc>
        <w:tc>
          <w:tcPr>
            <w:tcW w:w="787" w:type="dxa"/>
            <w:noWrap w:val="0"/>
            <w:vAlign w:val="center"/>
          </w:tcPr>
          <w:p w14:paraId="58C5A0DC">
            <w:pPr>
              <w:jc w:val="center"/>
              <w:rPr>
                <w:rFonts w:hint="eastAsia" w:asciiTheme="minorEastAsia" w:hAnsiTheme="minorEastAsia" w:eastAsiaTheme="minorEastAsia" w:cstheme="minorEastAsia"/>
                <w:sz w:val="28"/>
                <w:szCs w:val="28"/>
              </w:rPr>
            </w:pPr>
          </w:p>
        </w:tc>
        <w:tc>
          <w:tcPr>
            <w:tcW w:w="787" w:type="dxa"/>
            <w:noWrap w:val="0"/>
            <w:vAlign w:val="center"/>
          </w:tcPr>
          <w:p w14:paraId="5D56CC53">
            <w:pPr>
              <w:jc w:val="center"/>
              <w:rPr>
                <w:rFonts w:hint="eastAsia" w:asciiTheme="minorEastAsia" w:hAnsiTheme="minorEastAsia" w:eastAsiaTheme="minorEastAsia" w:cstheme="minorEastAsia"/>
                <w:sz w:val="28"/>
                <w:szCs w:val="28"/>
              </w:rPr>
            </w:pPr>
          </w:p>
        </w:tc>
      </w:tr>
      <w:tr w14:paraId="2BF9D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110" w:type="dxa"/>
            <w:noWrap w:val="0"/>
            <w:vAlign w:val="center"/>
          </w:tcPr>
          <w:p w14:paraId="41AAFDEE">
            <w:pPr>
              <w:jc w:val="center"/>
              <w:rPr>
                <w:rFonts w:hint="eastAsia" w:asciiTheme="minorEastAsia" w:hAnsiTheme="minorEastAsia" w:eastAsiaTheme="minorEastAsia" w:cstheme="minorEastAsia"/>
                <w:sz w:val="28"/>
                <w:szCs w:val="28"/>
              </w:rPr>
            </w:pPr>
          </w:p>
        </w:tc>
        <w:tc>
          <w:tcPr>
            <w:tcW w:w="825" w:type="dxa"/>
            <w:noWrap w:val="0"/>
            <w:vAlign w:val="center"/>
          </w:tcPr>
          <w:p w14:paraId="33F2AFAF">
            <w:pPr>
              <w:jc w:val="center"/>
              <w:rPr>
                <w:rFonts w:hint="eastAsia" w:asciiTheme="minorEastAsia" w:hAnsiTheme="minorEastAsia" w:eastAsiaTheme="minorEastAsia" w:cstheme="minorEastAsia"/>
                <w:sz w:val="28"/>
                <w:szCs w:val="28"/>
              </w:rPr>
            </w:pPr>
          </w:p>
        </w:tc>
        <w:tc>
          <w:tcPr>
            <w:tcW w:w="1594" w:type="dxa"/>
            <w:noWrap w:val="0"/>
            <w:vAlign w:val="center"/>
          </w:tcPr>
          <w:p w14:paraId="3C0493DD">
            <w:pPr>
              <w:jc w:val="center"/>
              <w:rPr>
                <w:rFonts w:hint="eastAsia" w:asciiTheme="minorEastAsia" w:hAnsiTheme="minorEastAsia" w:eastAsiaTheme="minorEastAsia" w:cstheme="minorEastAsia"/>
                <w:sz w:val="28"/>
                <w:szCs w:val="28"/>
              </w:rPr>
            </w:pPr>
          </w:p>
        </w:tc>
        <w:tc>
          <w:tcPr>
            <w:tcW w:w="653" w:type="dxa"/>
            <w:noWrap w:val="0"/>
            <w:vAlign w:val="center"/>
          </w:tcPr>
          <w:p w14:paraId="74CBBDBE">
            <w:pPr>
              <w:jc w:val="center"/>
              <w:rPr>
                <w:rFonts w:hint="eastAsia" w:asciiTheme="minorEastAsia" w:hAnsiTheme="minorEastAsia" w:eastAsiaTheme="minorEastAsia" w:cstheme="minorEastAsia"/>
                <w:sz w:val="28"/>
                <w:szCs w:val="28"/>
              </w:rPr>
            </w:pPr>
          </w:p>
        </w:tc>
        <w:tc>
          <w:tcPr>
            <w:tcW w:w="626" w:type="dxa"/>
            <w:noWrap w:val="0"/>
            <w:vAlign w:val="center"/>
          </w:tcPr>
          <w:p w14:paraId="2D9877EA">
            <w:pPr>
              <w:jc w:val="center"/>
              <w:rPr>
                <w:rFonts w:hint="eastAsia" w:asciiTheme="minorEastAsia" w:hAnsiTheme="minorEastAsia" w:eastAsiaTheme="minorEastAsia" w:cstheme="minorEastAsia"/>
                <w:sz w:val="28"/>
                <w:szCs w:val="28"/>
              </w:rPr>
            </w:pPr>
          </w:p>
        </w:tc>
        <w:tc>
          <w:tcPr>
            <w:tcW w:w="936" w:type="dxa"/>
            <w:noWrap w:val="0"/>
            <w:vAlign w:val="center"/>
          </w:tcPr>
          <w:p w14:paraId="46C2D297">
            <w:pPr>
              <w:jc w:val="center"/>
              <w:rPr>
                <w:rFonts w:hint="eastAsia" w:asciiTheme="minorEastAsia" w:hAnsiTheme="minorEastAsia" w:eastAsiaTheme="minorEastAsia" w:cstheme="minorEastAsia"/>
                <w:sz w:val="28"/>
                <w:szCs w:val="28"/>
              </w:rPr>
            </w:pPr>
          </w:p>
        </w:tc>
        <w:tc>
          <w:tcPr>
            <w:tcW w:w="1189" w:type="dxa"/>
            <w:noWrap w:val="0"/>
            <w:vAlign w:val="center"/>
          </w:tcPr>
          <w:p w14:paraId="1A496382">
            <w:pPr>
              <w:jc w:val="center"/>
              <w:rPr>
                <w:rFonts w:hint="eastAsia" w:asciiTheme="minorEastAsia" w:hAnsiTheme="minorEastAsia" w:eastAsiaTheme="minorEastAsia" w:cstheme="minorEastAsia"/>
                <w:sz w:val="28"/>
                <w:szCs w:val="28"/>
              </w:rPr>
            </w:pPr>
          </w:p>
        </w:tc>
        <w:tc>
          <w:tcPr>
            <w:tcW w:w="1177" w:type="dxa"/>
            <w:noWrap w:val="0"/>
            <w:vAlign w:val="center"/>
          </w:tcPr>
          <w:p w14:paraId="47E166B1">
            <w:pPr>
              <w:jc w:val="center"/>
              <w:rPr>
                <w:rFonts w:hint="eastAsia" w:asciiTheme="minorEastAsia" w:hAnsiTheme="minorEastAsia" w:eastAsiaTheme="minorEastAsia" w:cstheme="minorEastAsia"/>
                <w:sz w:val="28"/>
                <w:szCs w:val="28"/>
              </w:rPr>
            </w:pPr>
          </w:p>
        </w:tc>
        <w:tc>
          <w:tcPr>
            <w:tcW w:w="787" w:type="dxa"/>
            <w:noWrap w:val="0"/>
            <w:vAlign w:val="center"/>
          </w:tcPr>
          <w:p w14:paraId="15C701B0">
            <w:pPr>
              <w:jc w:val="center"/>
              <w:rPr>
                <w:rFonts w:hint="eastAsia" w:asciiTheme="minorEastAsia" w:hAnsiTheme="minorEastAsia" w:eastAsiaTheme="minorEastAsia" w:cstheme="minorEastAsia"/>
                <w:sz w:val="28"/>
                <w:szCs w:val="28"/>
              </w:rPr>
            </w:pPr>
          </w:p>
        </w:tc>
        <w:tc>
          <w:tcPr>
            <w:tcW w:w="787" w:type="dxa"/>
            <w:noWrap w:val="0"/>
            <w:vAlign w:val="center"/>
          </w:tcPr>
          <w:p w14:paraId="635418A8">
            <w:pPr>
              <w:jc w:val="center"/>
              <w:rPr>
                <w:rFonts w:hint="eastAsia" w:asciiTheme="minorEastAsia" w:hAnsiTheme="minorEastAsia" w:eastAsiaTheme="minorEastAsia" w:cstheme="minorEastAsia"/>
                <w:sz w:val="28"/>
                <w:szCs w:val="28"/>
              </w:rPr>
            </w:pPr>
          </w:p>
        </w:tc>
      </w:tr>
      <w:tr w14:paraId="72705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110" w:type="dxa"/>
            <w:noWrap w:val="0"/>
            <w:vAlign w:val="center"/>
          </w:tcPr>
          <w:p w14:paraId="6748FDB7">
            <w:pPr>
              <w:jc w:val="center"/>
              <w:rPr>
                <w:rFonts w:hint="eastAsia" w:asciiTheme="minorEastAsia" w:hAnsiTheme="minorEastAsia" w:eastAsiaTheme="minorEastAsia" w:cstheme="minorEastAsia"/>
                <w:sz w:val="28"/>
                <w:szCs w:val="28"/>
              </w:rPr>
            </w:pPr>
          </w:p>
        </w:tc>
        <w:tc>
          <w:tcPr>
            <w:tcW w:w="825" w:type="dxa"/>
            <w:noWrap w:val="0"/>
            <w:vAlign w:val="center"/>
          </w:tcPr>
          <w:p w14:paraId="7939DA13">
            <w:pPr>
              <w:jc w:val="center"/>
              <w:rPr>
                <w:rFonts w:hint="eastAsia" w:asciiTheme="minorEastAsia" w:hAnsiTheme="minorEastAsia" w:eastAsiaTheme="minorEastAsia" w:cstheme="minorEastAsia"/>
                <w:sz w:val="28"/>
                <w:szCs w:val="28"/>
              </w:rPr>
            </w:pPr>
          </w:p>
        </w:tc>
        <w:tc>
          <w:tcPr>
            <w:tcW w:w="1594" w:type="dxa"/>
            <w:noWrap w:val="0"/>
            <w:vAlign w:val="center"/>
          </w:tcPr>
          <w:p w14:paraId="27AB657E">
            <w:pPr>
              <w:jc w:val="center"/>
              <w:rPr>
                <w:rFonts w:hint="eastAsia" w:asciiTheme="minorEastAsia" w:hAnsiTheme="minorEastAsia" w:eastAsiaTheme="minorEastAsia" w:cstheme="minorEastAsia"/>
                <w:sz w:val="28"/>
                <w:szCs w:val="28"/>
              </w:rPr>
            </w:pPr>
          </w:p>
        </w:tc>
        <w:tc>
          <w:tcPr>
            <w:tcW w:w="653" w:type="dxa"/>
            <w:noWrap w:val="0"/>
            <w:vAlign w:val="center"/>
          </w:tcPr>
          <w:p w14:paraId="312457A6">
            <w:pPr>
              <w:jc w:val="center"/>
              <w:rPr>
                <w:rFonts w:hint="eastAsia" w:asciiTheme="minorEastAsia" w:hAnsiTheme="minorEastAsia" w:eastAsiaTheme="minorEastAsia" w:cstheme="minorEastAsia"/>
                <w:sz w:val="28"/>
                <w:szCs w:val="28"/>
              </w:rPr>
            </w:pPr>
          </w:p>
        </w:tc>
        <w:tc>
          <w:tcPr>
            <w:tcW w:w="626" w:type="dxa"/>
            <w:noWrap w:val="0"/>
            <w:vAlign w:val="center"/>
          </w:tcPr>
          <w:p w14:paraId="58EAC700">
            <w:pPr>
              <w:jc w:val="center"/>
              <w:rPr>
                <w:rFonts w:hint="eastAsia" w:asciiTheme="minorEastAsia" w:hAnsiTheme="minorEastAsia" w:eastAsiaTheme="minorEastAsia" w:cstheme="minorEastAsia"/>
                <w:sz w:val="28"/>
                <w:szCs w:val="28"/>
              </w:rPr>
            </w:pPr>
          </w:p>
        </w:tc>
        <w:tc>
          <w:tcPr>
            <w:tcW w:w="936" w:type="dxa"/>
            <w:noWrap w:val="0"/>
            <w:vAlign w:val="center"/>
          </w:tcPr>
          <w:p w14:paraId="67C92736">
            <w:pPr>
              <w:jc w:val="center"/>
              <w:rPr>
                <w:rFonts w:hint="eastAsia" w:asciiTheme="minorEastAsia" w:hAnsiTheme="minorEastAsia" w:eastAsiaTheme="minorEastAsia" w:cstheme="minorEastAsia"/>
                <w:sz w:val="28"/>
                <w:szCs w:val="28"/>
              </w:rPr>
            </w:pPr>
          </w:p>
        </w:tc>
        <w:tc>
          <w:tcPr>
            <w:tcW w:w="1189" w:type="dxa"/>
            <w:noWrap w:val="0"/>
            <w:vAlign w:val="center"/>
          </w:tcPr>
          <w:p w14:paraId="424507D3">
            <w:pPr>
              <w:jc w:val="center"/>
              <w:rPr>
                <w:rFonts w:hint="eastAsia" w:asciiTheme="minorEastAsia" w:hAnsiTheme="minorEastAsia" w:eastAsiaTheme="minorEastAsia" w:cstheme="minorEastAsia"/>
                <w:sz w:val="28"/>
                <w:szCs w:val="28"/>
              </w:rPr>
            </w:pPr>
          </w:p>
        </w:tc>
        <w:tc>
          <w:tcPr>
            <w:tcW w:w="1177" w:type="dxa"/>
            <w:noWrap w:val="0"/>
            <w:vAlign w:val="center"/>
          </w:tcPr>
          <w:p w14:paraId="55DFC9A6">
            <w:pPr>
              <w:jc w:val="center"/>
              <w:rPr>
                <w:rFonts w:hint="eastAsia" w:asciiTheme="minorEastAsia" w:hAnsiTheme="minorEastAsia" w:eastAsiaTheme="minorEastAsia" w:cstheme="minorEastAsia"/>
                <w:sz w:val="28"/>
                <w:szCs w:val="28"/>
              </w:rPr>
            </w:pPr>
          </w:p>
        </w:tc>
        <w:tc>
          <w:tcPr>
            <w:tcW w:w="787" w:type="dxa"/>
            <w:noWrap w:val="0"/>
            <w:vAlign w:val="center"/>
          </w:tcPr>
          <w:p w14:paraId="1FCA0504">
            <w:pPr>
              <w:jc w:val="center"/>
              <w:rPr>
                <w:rFonts w:hint="eastAsia" w:asciiTheme="minorEastAsia" w:hAnsiTheme="minorEastAsia" w:eastAsiaTheme="minorEastAsia" w:cstheme="minorEastAsia"/>
                <w:sz w:val="28"/>
                <w:szCs w:val="28"/>
              </w:rPr>
            </w:pPr>
          </w:p>
        </w:tc>
        <w:tc>
          <w:tcPr>
            <w:tcW w:w="787" w:type="dxa"/>
            <w:noWrap w:val="0"/>
            <w:vAlign w:val="center"/>
          </w:tcPr>
          <w:p w14:paraId="7EACA616">
            <w:pPr>
              <w:jc w:val="center"/>
              <w:rPr>
                <w:rFonts w:hint="eastAsia" w:asciiTheme="minorEastAsia" w:hAnsiTheme="minorEastAsia" w:eastAsiaTheme="minorEastAsia" w:cstheme="minorEastAsia"/>
                <w:sz w:val="28"/>
                <w:szCs w:val="28"/>
              </w:rPr>
            </w:pPr>
          </w:p>
        </w:tc>
      </w:tr>
      <w:tr w14:paraId="288D4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0" w:type="dxa"/>
            <w:noWrap w:val="0"/>
            <w:vAlign w:val="center"/>
          </w:tcPr>
          <w:p w14:paraId="07A92AA8">
            <w:pPr>
              <w:jc w:val="center"/>
              <w:rPr>
                <w:rFonts w:hint="eastAsia" w:asciiTheme="minorEastAsia" w:hAnsiTheme="minorEastAsia" w:eastAsiaTheme="minorEastAsia" w:cstheme="minorEastAsia"/>
                <w:sz w:val="28"/>
                <w:szCs w:val="28"/>
              </w:rPr>
            </w:pPr>
          </w:p>
        </w:tc>
        <w:tc>
          <w:tcPr>
            <w:tcW w:w="825" w:type="dxa"/>
            <w:noWrap w:val="0"/>
            <w:vAlign w:val="center"/>
          </w:tcPr>
          <w:p w14:paraId="530DBF3A">
            <w:pPr>
              <w:jc w:val="center"/>
              <w:rPr>
                <w:rFonts w:hint="eastAsia" w:asciiTheme="minorEastAsia" w:hAnsiTheme="minorEastAsia" w:eastAsiaTheme="minorEastAsia" w:cstheme="minorEastAsia"/>
                <w:sz w:val="28"/>
                <w:szCs w:val="28"/>
              </w:rPr>
            </w:pPr>
          </w:p>
        </w:tc>
        <w:tc>
          <w:tcPr>
            <w:tcW w:w="1594" w:type="dxa"/>
            <w:noWrap w:val="0"/>
            <w:vAlign w:val="center"/>
          </w:tcPr>
          <w:p w14:paraId="314B4D2C">
            <w:pPr>
              <w:jc w:val="center"/>
              <w:rPr>
                <w:rFonts w:hint="eastAsia" w:asciiTheme="minorEastAsia" w:hAnsiTheme="minorEastAsia" w:eastAsiaTheme="minorEastAsia" w:cstheme="minorEastAsia"/>
                <w:sz w:val="28"/>
                <w:szCs w:val="28"/>
              </w:rPr>
            </w:pPr>
          </w:p>
        </w:tc>
        <w:tc>
          <w:tcPr>
            <w:tcW w:w="653" w:type="dxa"/>
            <w:noWrap w:val="0"/>
            <w:vAlign w:val="center"/>
          </w:tcPr>
          <w:p w14:paraId="4D91AAC8">
            <w:pPr>
              <w:jc w:val="center"/>
              <w:rPr>
                <w:rFonts w:hint="eastAsia" w:asciiTheme="minorEastAsia" w:hAnsiTheme="minorEastAsia" w:eastAsiaTheme="minorEastAsia" w:cstheme="minorEastAsia"/>
                <w:sz w:val="28"/>
                <w:szCs w:val="28"/>
              </w:rPr>
            </w:pPr>
          </w:p>
        </w:tc>
        <w:tc>
          <w:tcPr>
            <w:tcW w:w="626" w:type="dxa"/>
            <w:noWrap w:val="0"/>
            <w:vAlign w:val="center"/>
          </w:tcPr>
          <w:p w14:paraId="4AF9340F">
            <w:pPr>
              <w:jc w:val="center"/>
              <w:rPr>
                <w:rFonts w:hint="eastAsia" w:asciiTheme="minorEastAsia" w:hAnsiTheme="minorEastAsia" w:eastAsiaTheme="minorEastAsia" w:cstheme="minorEastAsia"/>
                <w:sz w:val="28"/>
                <w:szCs w:val="28"/>
              </w:rPr>
            </w:pPr>
          </w:p>
        </w:tc>
        <w:tc>
          <w:tcPr>
            <w:tcW w:w="936" w:type="dxa"/>
            <w:noWrap w:val="0"/>
            <w:vAlign w:val="center"/>
          </w:tcPr>
          <w:p w14:paraId="711E5069">
            <w:pPr>
              <w:jc w:val="center"/>
              <w:rPr>
                <w:rFonts w:hint="eastAsia" w:asciiTheme="minorEastAsia" w:hAnsiTheme="minorEastAsia" w:eastAsiaTheme="minorEastAsia" w:cstheme="minorEastAsia"/>
                <w:sz w:val="28"/>
                <w:szCs w:val="28"/>
              </w:rPr>
            </w:pPr>
          </w:p>
        </w:tc>
        <w:tc>
          <w:tcPr>
            <w:tcW w:w="1189" w:type="dxa"/>
            <w:noWrap w:val="0"/>
            <w:vAlign w:val="center"/>
          </w:tcPr>
          <w:p w14:paraId="6BE7CBE2">
            <w:pPr>
              <w:jc w:val="center"/>
              <w:rPr>
                <w:rFonts w:hint="eastAsia" w:asciiTheme="minorEastAsia" w:hAnsiTheme="minorEastAsia" w:eastAsiaTheme="minorEastAsia" w:cstheme="minorEastAsia"/>
                <w:sz w:val="28"/>
                <w:szCs w:val="28"/>
              </w:rPr>
            </w:pPr>
          </w:p>
        </w:tc>
        <w:tc>
          <w:tcPr>
            <w:tcW w:w="1177" w:type="dxa"/>
            <w:noWrap w:val="0"/>
            <w:vAlign w:val="center"/>
          </w:tcPr>
          <w:p w14:paraId="60D93C57">
            <w:pPr>
              <w:jc w:val="center"/>
              <w:rPr>
                <w:rFonts w:hint="eastAsia" w:asciiTheme="minorEastAsia" w:hAnsiTheme="minorEastAsia" w:eastAsiaTheme="minorEastAsia" w:cstheme="minorEastAsia"/>
                <w:sz w:val="28"/>
                <w:szCs w:val="28"/>
              </w:rPr>
            </w:pPr>
          </w:p>
        </w:tc>
        <w:tc>
          <w:tcPr>
            <w:tcW w:w="787" w:type="dxa"/>
            <w:noWrap w:val="0"/>
            <w:vAlign w:val="center"/>
          </w:tcPr>
          <w:p w14:paraId="7A1F8C29">
            <w:pPr>
              <w:jc w:val="center"/>
              <w:rPr>
                <w:rFonts w:hint="eastAsia" w:asciiTheme="minorEastAsia" w:hAnsiTheme="minorEastAsia" w:eastAsiaTheme="minorEastAsia" w:cstheme="minorEastAsia"/>
                <w:sz w:val="28"/>
                <w:szCs w:val="28"/>
              </w:rPr>
            </w:pPr>
          </w:p>
        </w:tc>
        <w:tc>
          <w:tcPr>
            <w:tcW w:w="787" w:type="dxa"/>
            <w:noWrap w:val="0"/>
            <w:vAlign w:val="center"/>
          </w:tcPr>
          <w:p w14:paraId="05F13202">
            <w:pPr>
              <w:jc w:val="center"/>
              <w:rPr>
                <w:rFonts w:hint="eastAsia" w:asciiTheme="minorEastAsia" w:hAnsiTheme="minorEastAsia" w:eastAsiaTheme="minorEastAsia" w:cstheme="minorEastAsia"/>
                <w:sz w:val="28"/>
                <w:szCs w:val="28"/>
              </w:rPr>
            </w:pPr>
          </w:p>
        </w:tc>
      </w:tr>
      <w:tr w14:paraId="2E7C8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0" w:type="dxa"/>
            <w:noWrap w:val="0"/>
            <w:vAlign w:val="center"/>
          </w:tcPr>
          <w:p w14:paraId="02CA1EA9">
            <w:pPr>
              <w:jc w:val="center"/>
              <w:rPr>
                <w:rFonts w:hint="eastAsia" w:asciiTheme="minorEastAsia" w:hAnsiTheme="minorEastAsia" w:eastAsiaTheme="minorEastAsia" w:cstheme="minorEastAsia"/>
                <w:sz w:val="28"/>
                <w:szCs w:val="28"/>
              </w:rPr>
            </w:pPr>
          </w:p>
        </w:tc>
        <w:tc>
          <w:tcPr>
            <w:tcW w:w="825" w:type="dxa"/>
            <w:noWrap w:val="0"/>
            <w:vAlign w:val="center"/>
          </w:tcPr>
          <w:p w14:paraId="5341BA52">
            <w:pPr>
              <w:jc w:val="center"/>
              <w:rPr>
                <w:rFonts w:hint="eastAsia" w:asciiTheme="minorEastAsia" w:hAnsiTheme="minorEastAsia" w:eastAsiaTheme="minorEastAsia" w:cstheme="minorEastAsia"/>
                <w:sz w:val="28"/>
                <w:szCs w:val="28"/>
              </w:rPr>
            </w:pPr>
          </w:p>
        </w:tc>
        <w:tc>
          <w:tcPr>
            <w:tcW w:w="1594" w:type="dxa"/>
            <w:noWrap w:val="0"/>
            <w:vAlign w:val="center"/>
          </w:tcPr>
          <w:p w14:paraId="5070C8DA">
            <w:pPr>
              <w:jc w:val="center"/>
              <w:rPr>
                <w:rFonts w:hint="eastAsia" w:asciiTheme="minorEastAsia" w:hAnsiTheme="minorEastAsia" w:eastAsiaTheme="minorEastAsia" w:cstheme="minorEastAsia"/>
                <w:sz w:val="28"/>
                <w:szCs w:val="28"/>
              </w:rPr>
            </w:pPr>
          </w:p>
        </w:tc>
        <w:tc>
          <w:tcPr>
            <w:tcW w:w="653" w:type="dxa"/>
            <w:noWrap w:val="0"/>
            <w:vAlign w:val="center"/>
          </w:tcPr>
          <w:p w14:paraId="5F595D17">
            <w:pPr>
              <w:jc w:val="center"/>
              <w:rPr>
                <w:rFonts w:hint="eastAsia" w:asciiTheme="minorEastAsia" w:hAnsiTheme="minorEastAsia" w:eastAsiaTheme="minorEastAsia" w:cstheme="minorEastAsia"/>
                <w:sz w:val="28"/>
                <w:szCs w:val="28"/>
              </w:rPr>
            </w:pPr>
          </w:p>
        </w:tc>
        <w:tc>
          <w:tcPr>
            <w:tcW w:w="626" w:type="dxa"/>
            <w:noWrap w:val="0"/>
            <w:vAlign w:val="center"/>
          </w:tcPr>
          <w:p w14:paraId="1FC9EAF2">
            <w:pPr>
              <w:jc w:val="center"/>
              <w:rPr>
                <w:rFonts w:hint="eastAsia" w:asciiTheme="minorEastAsia" w:hAnsiTheme="minorEastAsia" w:eastAsiaTheme="minorEastAsia" w:cstheme="minorEastAsia"/>
                <w:sz w:val="28"/>
                <w:szCs w:val="28"/>
              </w:rPr>
            </w:pPr>
          </w:p>
        </w:tc>
        <w:tc>
          <w:tcPr>
            <w:tcW w:w="936" w:type="dxa"/>
            <w:noWrap w:val="0"/>
            <w:vAlign w:val="center"/>
          </w:tcPr>
          <w:p w14:paraId="27862622">
            <w:pPr>
              <w:jc w:val="center"/>
              <w:rPr>
                <w:rFonts w:hint="eastAsia" w:asciiTheme="minorEastAsia" w:hAnsiTheme="minorEastAsia" w:eastAsiaTheme="minorEastAsia" w:cstheme="minorEastAsia"/>
                <w:sz w:val="28"/>
                <w:szCs w:val="28"/>
              </w:rPr>
            </w:pPr>
          </w:p>
        </w:tc>
        <w:tc>
          <w:tcPr>
            <w:tcW w:w="1189" w:type="dxa"/>
            <w:noWrap w:val="0"/>
            <w:vAlign w:val="center"/>
          </w:tcPr>
          <w:p w14:paraId="328712D0">
            <w:pPr>
              <w:jc w:val="center"/>
              <w:rPr>
                <w:rFonts w:hint="eastAsia" w:asciiTheme="minorEastAsia" w:hAnsiTheme="minorEastAsia" w:eastAsiaTheme="minorEastAsia" w:cstheme="minorEastAsia"/>
                <w:sz w:val="28"/>
                <w:szCs w:val="28"/>
              </w:rPr>
            </w:pPr>
          </w:p>
        </w:tc>
        <w:tc>
          <w:tcPr>
            <w:tcW w:w="1177" w:type="dxa"/>
            <w:noWrap w:val="0"/>
            <w:vAlign w:val="center"/>
          </w:tcPr>
          <w:p w14:paraId="29867107">
            <w:pPr>
              <w:jc w:val="center"/>
              <w:rPr>
                <w:rFonts w:hint="eastAsia" w:asciiTheme="minorEastAsia" w:hAnsiTheme="minorEastAsia" w:eastAsiaTheme="minorEastAsia" w:cstheme="minorEastAsia"/>
                <w:sz w:val="28"/>
                <w:szCs w:val="28"/>
              </w:rPr>
            </w:pPr>
          </w:p>
        </w:tc>
        <w:tc>
          <w:tcPr>
            <w:tcW w:w="787" w:type="dxa"/>
            <w:noWrap w:val="0"/>
            <w:vAlign w:val="center"/>
          </w:tcPr>
          <w:p w14:paraId="19606B94">
            <w:pPr>
              <w:jc w:val="center"/>
              <w:rPr>
                <w:rFonts w:hint="eastAsia" w:asciiTheme="minorEastAsia" w:hAnsiTheme="minorEastAsia" w:eastAsiaTheme="minorEastAsia" w:cstheme="minorEastAsia"/>
                <w:sz w:val="28"/>
                <w:szCs w:val="28"/>
              </w:rPr>
            </w:pPr>
          </w:p>
        </w:tc>
        <w:tc>
          <w:tcPr>
            <w:tcW w:w="787" w:type="dxa"/>
            <w:noWrap w:val="0"/>
            <w:vAlign w:val="center"/>
          </w:tcPr>
          <w:p w14:paraId="361C73FC">
            <w:pPr>
              <w:jc w:val="center"/>
              <w:rPr>
                <w:rFonts w:hint="eastAsia" w:asciiTheme="minorEastAsia" w:hAnsiTheme="minorEastAsia" w:eastAsiaTheme="minorEastAsia" w:cstheme="minorEastAsia"/>
                <w:sz w:val="28"/>
                <w:szCs w:val="28"/>
              </w:rPr>
            </w:pPr>
          </w:p>
        </w:tc>
      </w:tr>
      <w:tr w14:paraId="2DF34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10" w:type="dxa"/>
            <w:noWrap w:val="0"/>
            <w:vAlign w:val="center"/>
          </w:tcPr>
          <w:p w14:paraId="0A3677DB">
            <w:pPr>
              <w:jc w:val="center"/>
              <w:rPr>
                <w:rFonts w:hint="eastAsia" w:asciiTheme="minorEastAsia" w:hAnsiTheme="minorEastAsia" w:eastAsiaTheme="minorEastAsia" w:cstheme="minorEastAsia"/>
                <w:sz w:val="28"/>
                <w:szCs w:val="28"/>
              </w:rPr>
            </w:pPr>
          </w:p>
        </w:tc>
        <w:tc>
          <w:tcPr>
            <w:tcW w:w="825" w:type="dxa"/>
            <w:noWrap w:val="0"/>
            <w:vAlign w:val="center"/>
          </w:tcPr>
          <w:p w14:paraId="7AD6B347">
            <w:pPr>
              <w:jc w:val="center"/>
              <w:rPr>
                <w:rFonts w:hint="eastAsia" w:asciiTheme="minorEastAsia" w:hAnsiTheme="minorEastAsia" w:eastAsiaTheme="minorEastAsia" w:cstheme="minorEastAsia"/>
                <w:sz w:val="28"/>
                <w:szCs w:val="28"/>
              </w:rPr>
            </w:pPr>
          </w:p>
        </w:tc>
        <w:tc>
          <w:tcPr>
            <w:tcW w:w="1594" w:type="dxa"/>
            <w:noWrap w:val="0"/>
            <w:vAlign w:val="center"/>
          </w:tcPr>
          <w:p w14:paraId="20633CA6">
            <w:pPr>
              <w:jc w:val="center"/>
              <w:rPr>
                <w:rFonts w:hint="eastAsia" w:asciiTheme="minorEastAsia" w:hAnsiTheme="minorEastAsia" w:eastAsiaTheme="minorEastAsia" w:cstheme="minorEastAsia"/>
                <w:sz w:val="28"/>
                <w:szCs w:val="28"/>
              </w:rPr>
            </w:pPr>
          </w:p>
        </w:tc>
        <w:tc>
          <w:tcPr>
            <w:tcW w:w="653" w:type="dxa"/>
            <w:noWrap w:val="0"/>
            <w:vAlign w:val="center"/>
          </w:tcPr>
          <w:p w14:paraId="5CABA158">
            <w:pPr>
              <w:jc w:val="center"/>
              <w:rPr>
                <w:rFonts w:hint="eastAsia" w:asciiTheme="minorEastAsia" w:hAnsiTheme="minorEastAsia" w:eastAsiaTheme="minorEastAsia" w:cstheme="minorEastAsia"/>
                <w:sz w:val="28"/>
                <w:szCs w:val="28"/>
              </w:rPr>
            </w:pPr>
          </w:p>
        </w:tc>
        <w:tc>
          <w:tcPr>
            <w:tcW w:w="626" w:type="dxa"/>
            <w:noWrap w:val="0"/>
            <w:vAlign w:val="center"/>
          </w:tcPr>
          <w:p w14:paraId="26BBB845">
            <w:pPr>
              <w:jc w:val="center"/>
              <w:rPr>
                <w:rFonts w:hint="eastAsia" w:asciiTheme="minorEastAsia" w:hAnsiTheme="minorEastAsia" w:eastAsiaTheme="minorEastAsia" w:cstheme="minorEastAsia"/>
                <w:sz w:val="28"/>
                <w:szCs w:val="28"/>
              </w:rPr>
            </w:pPr>
          </w:p>
        </w:tc>
        <w:tc>
          <w:tcPr>
            <w:tcW w:w="936" w:type="dxa"/>
            <w:noWrap w:val="0"/>
            <w:vAlign w:val="center"/>
          </w:tcPr>
          <w:p w14:paraId="4BE8CBF3">
            <w:pPr>
              <w:jc w:val="center"/>
              <w:rPr>
                <w:rFonts w:hint="eastAsia" w:asciiTheme="minorEastAsia" w:hAnsiTheme="minorEastAsia" w:eastAsiaTheme="minorEastAsia" w:cstheme="minorEastAsia"/>
                <w:sz w:val="28"/>
                <w:szCs w:val="28"/>
              </w:rPr>
            </w:pPr>
          </w:p>
        </w:tc>
        <w:tc>
          <w:tcPr>
            <w:tcW w:w="1189" w:type="dxa"/>
            <w:noWrap w:val="0"/>
            <w:vAlign w:val="center"/>
          </w:tcPr>
          <w:p w14:paraId="0E172460">
            <w:pPr>
              <w:jc w:val="center"/>
              <w:rPr>
                <w:rFonts w:hint="eastAsia" w:asciiTheme="minorEastAsia" w:hAnsiTheme="minorEastAsia" w:eastAsiaTheme="minorEastAsia" w:cstheme="minorEastAsia"/>
                <w:sz w:val="28"/>
                <w:szCs w:val="28"/>
              </w:rPr>
            </w:pPr>
          </w:p>
        </w:tc>
        <w:tc>
          <w:tcPr>
            <w:tcW w:w="1177" w:type="dxa"/>
            <w:noWrap w:val="0"/>
            <w:vAlign w:val="center"/>
          </w:tcPr>
          <w:p w14:paraId="4CE52361">
            <w:pPr>
              <w:jc w:val="center"/>
              <w:rPr>
                <w:rFonts w:hint="eastAsia" w:asciiTheme="minorEastAsia" w:hAnsiTheme="minorEastAsia" w:eastAsiaTheme="minorEastAsia" w:cstheme="minorEastAsia"/>
                <w:sz w:val="28"/>
                <w:szCs w:val="28"/>
              </w:rPr>
            </w:pPr>
          </w:p>
        </w:tc>
        <w:tc>
          <w:tcPr>
            <w:tcW w:w="787" w:type="dxa"/>
            <w:noWrap w:val="0"/>
            <w:vAlign w:val="center"/>
          </w:tcPr>
          <w:p w14:paraId="5E5F522D">
            <w:pPr>
              <w:jc w:val="center"/>
              <w:rPr>
                <w:rFonts w:hint="eastAsia" w:asciiTheme="minorEastAsia" w:hAnsiTheme="minorEastAsia" w:eastAsiaTheme="minorEastAsia" w:cstheme="minorEastAsia"/>
                <w:sz w:val="28"/>
                <w:szCs w:val="28"/>
              </w:rPr>
            </w:pPr>
          </w:p>
        </w:tc>
        <w:tc>
          <w:tcPr>
            <w:tcW w:w="787" w:type="dxa"/>
            <w:noWrap w:val="0"/>
            <w:vAlign w:val="center"/>
          </w:tcPr>
          <w:p w14:paraId="19BFBB41">
            <w:pPr>
              <w:jc w:val="center"/>
              <w:rPr>
                <w:rFonts w:hint="eastAsia" w:asciiTheme="minorEastAsia" w:hAnsiTheme="minorEastAsia" w:eastAsiaTheme="minorEastAsia" w:cstheme="minorEastAsia"/>
                <w:sz w:val="28"/>
                <w:szCs w:val="28"/>
              </w:rPr>
            </w:pPr>
          </w:p>
        </w:tc>
      </w:tr>
      <w:tr w14:paraId="595D9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10" w:type="dxa"/>
            <w:noWrap w:val="0"/>
            <w:vAlign w:val="center"/>
          </w:tcPr>
          <w:p w14:paraId="72A98C43">
            <w:pPr>
              <w:jc w:val="center"/>
              <w:rPr>
                <w:rFonts w:hint="eastAsia" w:asciiTheme="minorEastAsia" w:hAnsiTheme="minorEastAsia" w:eastAsiaTheme="minorEastAsia" w:cstheme="minorEastAsia"/>
                <w:sz w:val="28"/>
                <w:szCs w:val="28"/>
              </w:rPr>
            </w:pPr>
          </w:p>
        </w:tc>
        <w:tc>
          <w:tcPr>
            <w:tcW w:w="825" w:type="dxa"/>
            <w:noWrap w:val="0"/>
            <w:vAlign w:val="center"/>
          </w:tcPr>
          <w:p w14:paraId="490C205A">
            <w:pPr>
              <w:jc w:val="center"/>
              <w:rPr>
                <w:rFonts w:hint="eastAsia" w:asciiTheme="minorEastAsia" w:hAnsiTheme="minorEastAsia" w:eastAsiaTheme="minorEastAsia" w:cstheme="minorEastAsia"/>
                <w:sz w:val="28"/>
                <w:szCs w:val="28"/>
              </w:rPr>
            </w:pPr>
          </w:p>
        </w:tc>
        <w:tc>
          <w:tcPr>
            <w:tcW w:w="1594" w:type="dxa"/>
            <w:noWrap w:val="0"/>
            <w:vAlign w:val="center"/>
          </w:tcPr>
          <w:p w14:paraId="40AA18AB">
            <w:pPr>
              <w:jc w:val="center"/>
              <w:rPr>
                <w:rFonts w:hint="eastAsia" w:asciiTheme="minorEastAsia" w:hAnsiTheme="minorEastAsia" w:eastAsiaTheme="minorEastAsia" w:cstheme="minorEastAsia"/>
                <w:sz w:val="28"/>
                <w:szCs w:val="28"/>
              </w:rPr>
            </w:pPr>
          </w:p>
        </w:tc>
        <w:tc>
          <w:tcPr>
            <w:tcW w:w="653" w:type="dxa"/>
            <w:noWrap w:val="0"/>
            <w:vAlign w:val="center"/>
          </w:tcPr>
          <w:p w14:paraId="4178EA3E">
            <w:pPr>
              <w:jc w:val="center"/>
              <w:rPr>
                <w:rFonts w:hint="eastAsia" w:asciiTheme="minorEastAsia" w:hAnsiTheme="minorEastAsia" w:eastAsiaTheme="minorEastAsia" w:cstheme="minorEastAsia"/>
                <w:sz w:val="28"/>
                <w:szCs w:val="28"/>
              </w:rPr>
            </w:pPr>
          </w:p>
        </w:tc>
        <w:tc>
          <w:tcPr>
            <w:tcW w:w="626" w:type="dxa"/>
            <w:noWrap w:val="0"/>
            <w:vAlign w:val="center"/>
          </w:tcPr>
          <w:p w14:paraId="293C1FD3">
            <w:pPr>
              <w:jc w:val="center"/>
              <w:rPr>
                <w:rFonts w:hint="eastAsia" w:asciiTheme="minorEastAsia" w:hAnsiTheme="minorEastAsia" w:eastAsiaTheme="minorEastAsia" w:cstheme="minorEastAsia"/>
                <w:sz w:val="28"/>
                <w:szCs w:val="28"/>
              </w:rPr>
            </w:pPr>
          </w:p>
        </w:tc>
        <w:tc>
          <w:tcPr>
            <w:tcW w:w="936" w:type="dxa"/>
            <w:noWrap w:val="0"/>
            <w:vAlign w:val="center"/>
          </w:tcPr>
          <w:p w14:paraId="7D9142A8">
            <w:pPr>
              <w:jc w:val="center"/>
              <w:rPr>
                <w:rFonts w:hint="eastAsia" w:asciiTheme="minorEastAsia" w:hAnsiTheme="minorEastAsia" w:eastAsiaTheme="minorEastAsia" w:cstheme="minorEastAsia"/>
                <w:sz w:val="28"/>
                <w:szCs w:val="28"/>
              </w:rPr>
            </w:pPr>
          </w:p>
        </w:tc>
        <w:tc>
          <w:tcPr>
            <w:tcW w:w="1189" w:type="dxa"/>
            <w:noWrap w:val="0"/>
            <w:vAlign w:val="center"/>
          </w:tcPr>
          <w:p w14:paraId="0BB4D933">
            <w:pPr>
              <w:jc w:val="center"/>
              <w:rPr>
                <w:rFonts w:hint="eastAsia" w:asciiTheme="minorEastAsia" w:hAnsiTheme="minorEastAsia" w:eastAsiaTheme="minorEastAsia" w:cstheme="minorEastAsia"/>
                <w:sz w:val="28"/>
                <w:szCs w:val="28"/>
              </w:rPr>
            </w:pPr>
          </w:p>
        </w:tc>
        <w:tc>
          <w:tcPr>
            <w:tcW w:w="1177" w:type="dxa"/>
            <w:noWrap w:val="0"/>
            <w:vAlign w:val="center"/>
          </w:tcPr>
          <w:p w14:paraId="1BAD1517">
            <w:pPr>
              <w:jc w:val="center"/>
              <w:rPr>
                <w:rFonts w:hint="eastAsia" w:asciiTheme="minorEastAsia" w:hAnsiTheme="minorEastAsia" w:eastAsiaTheme="minorEastAsia" w:cstheme="minorEastAsia"/>
                <w:sz w:val="28"/>
                <w:szCs w:val="28"/>
              </w:rPr>
            </w:pPr>
          </w:p>
        </w:tc>
        <w:tc>
          <w:tcPr>
            <w:tcW w:w="787" w:type="dxa"/>
            <w:noWrap w:val="0"/>
            <w:vAlign w:val="center"/>
          </w:tcPr>
          <w:p w14:paraId="33E96FBB">
            <w:pPr>
              <w:jc w:val="center"/>
              <w:rPr>
                <w:rFonts w:hint="eastAsia" w:asciiTheme="minorEastAsia" w:hAnsiTheme="minorEastAsia" w:eastAsiaTheme="minorEastAsia" w:cstheme="minorEastAsia"/>
                <w:sz w:val="28"/>
                <w:szCs w:val="28"/>
              </w:rPr>
            </w:pPr>
          </w:p>
        </w:tc>
        <w:tc>
          <w:tcPr>
            <w:tcW w:w="787" w:type="dxa"/>
            <w:noWrap w:val="0"/>
            <w:vAlign w:val="center"/>
          </w:tcPr>
          <w:p w14:paraId="0C945F32">
            <w:pPr>
              <w:jc w:val="center"/>
              <w:rPr>
                <w:rFonts w:hint="eastAsia" w:asciiTheme="minorEastAsia" w:hAnsiTheme="minorEastAsia" w:eastAsiaTheme="minorEastAsia" w:cstheme="minorEastAsia"/>
                <w:sz w:val="28"/>
                <w:szCs w:val="28"/>
              </w:rPr>
            </w:pPr>
          </w:p>
        </w:tc>
      </w:tr>
      <w:tr w14:paraId="1E2C4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110" w:type="dxa"/>
            <w:noWrap w:val="0"/>
            <w:vAlign w:val="center"/>
          </w:tcPr>
          <w:p w14:paraId="1257112D">
            <w:pPr>
              <w:jc w:val="center"/>
              <w:rPr>
                <w:rFonts w:hint="eastAsia" w:asciiTheme="minorEastAsia" w:hAnsiTheme="minorEastAsia" w:eastAsiaTheme="minorEastAsia" w:cstheme="minorEastAsia"/>
                <w:sz w:val="28"/>
                <w:szCs w:val="28"/>
              </w:rPr>
            </w:pPr>
          </w:p>
        </w:tc>
        <w:tc>
          <w:tcPr>
            <w:tcW w:w="825" w:type="dxa"/>
            <w:noWrap w:val="0"/>
            <w:vAlign w:val="center"/>
          </w:tcPr>
          <w:p w14:paraId="2A9C614F">
            <w:pPr>
              <w:jc w:val="center"/>
              <w:rPr>
                <w:rFonts w:hint="eastAsia" w:asciiTheme="minorEastAsia" w:hAnsiTheme="minorEastAsia" w:eastAsiaTheme="minorEastAsia" w:cstheme="minorEastAsia"/>
                <w:sz w:val="28"/>
                <w:szCs w:val="28"/>
              </w:rPr>
            </w:pPr>
          </w:p>
        </w:tc>
        <w:tc>
          <w:tcPr>
            <w:tcW w:w="1594" w:type="dxa"/>
            <w:noWrap w:val="0"/>
            <w:vAlign w:val="center"/>
          </w:tcPr>
          <w:p w14:paraId="546A95DE">
            <w:pPr>
              <w:jc w:val="center"/>
              <w:rPr>
                <w:rFonts w:hint="eastAsia" w:asciiTheme="minorEastAsia" w:hAnsiTheme="minorEastAsia" w:eastAsiaTheme="minorEastAsia" w:cstheme="minorEastAsia"/>
                <w:sz w:val="28"/>
                <w:szCs w:val="28"/>
              </w:rPr>
            </w:pPr>
          </w:p>
        </w:tc>
        <w:tc>
          <w:tcPr>
            <w:tcW w:w="653" w:type="dxa"/>
            <w:noWrap w:val="0"/>
            <w:vAlign w:val="center"/>
          </w:tcPr>
          <w:p w14:paraId="4A004962">
            <w:pPr>
              <w:jc w:val="center"/>
              <w:rPr>
                <w:rFonts w:hint="eastAsia" w:asciiTheme="minorEastAsia" w:hAnsiTheme="minorEastAsia" w:eastAsiaTheme="minorEastAsia" w:cstheme="minorEastAsia"/>
                <w:sz w:val="28"/>
                <w:szCs w:val="28"/>
              </w:rPr>
            </w:pPr>
          </w:p>
        </w:tc>
        <w:tc>
          <w:tcPr>
            <w:tcW w:w="626" w:type="dxa"/>
            <w:noWrap w:val="0"/>
            <w:vAlign w:val="center"/>
          </w:tcPr>
          <w:p w14:paraId="0EDA2D98">
            <w:pPr>
              <w:jc w:val="center"/>
              <w:rPr>
                <w:rFonts w:hint="eastAsia" w:asciiTheme="minorEastAsia" w:hAnsiTheme="minorEastAsia" w:eastAsiaTheme="minorEastAsia" w:cstheme="minorEastAsia"/>
                <w:sz w:val="28"/>
                <w:szCs w:val="28"/>
              </w:rPr>
            </w:pPr>
          </w:p>
        </w:tc>
        <w:tc>
          <w:tcPr>
            <w:tcW w:w="936" w:type="dxa"/>
            <w:noWrap w:val="0"/>
            <w:vAlign w:val="center"/>
          </w:tcPr>
          <w:p w14:paraId="44BEE4BA">
            <w:pPr>
              <w:jc w:val="center"/>
              <w:rPr>
                <w:rFonts w:hint="eastAsia" w:asciiTheme="minorEastAsia" w:hAnsiTheme="minorEastAsia" w:eastAsiaTheme="minorEastAsia" w:cstheme="minorEastAsia"/>
                <w:sz w:val="28"/>
                <w:szCs w:val="28"/>
              </w:rPr>
            </w:pPr>
          </w:p>
        </w:tc>
        <w:tc>
          <w:tcPr>
            <w:tcW w:w="1189" w:type="dxa"/>
            <w:noWrap w:val="0"/>
            <w:vAlign w:val="center"/>
          </w:tcPr>
          <w:p w14:paraId="12D77DFD">
            <w:pPr>
              <w:jc w:val="center"/>
              <w:rPr>
                <w:rFonts w:hint="eastAsia" w:asciiTheme="minorEastAsia" w:hAnsiTheme="minorEastAsia" w:eastAsiaTheme="minorEastAsia" w:cstheme="minorEastAsia"/>
                <w:sz w:val="28"/>
                <w:szCs w:val="28"/>
              </w:rPr>
            </w:pPr>
          </w:p>
        </w:tc>
        <w:tc>
          <w:tcPr>
            <w:tcW w:w="1177" w:type="dxa"/>
            <w:noWrap w:val="0"/>
            <w:vAlign w:val="center"/>
          </w:tcPr>
          <w:p w14:paraId="6AF03253">
            <w:pPr>
              <w:jc w:val="center"/>
              <w:rPr>
                <w:rFonts w:hint="eastAsia" w:asciiTheme="minorEastAsia" w:hAnsiTheme="minorEastAsia" w:eastAsiaTheme="minorEastAsia" w:cstheme="minorEastAsia"/>
                <w:sz w:val="28"/>
                <w:szCs w:val="28"/>
              </w:rPr>
            </w:pPr>
          </w:p>
        </w:tc>
        <w:tc>
          <w:tcPr>
            <w:tcW w:w="787" w:type="dxa"/>
            <w:noWrap w:val="0"/>
            <w:vAlign w:val="center"/>
          </w:tcPr>
          <w:p w14:paraId="39F18FCF">
            <w:pPr>
              <w:jc w:val="center"/>
              <w:rPr>
                <w:rFonts w:hint="eastAsia" w:asciiTheme="minorEastAsia" w:hAnsiTheme="minorEastAsia" w:eastAsiaTheme="minorEastAsia" w:cstheme="minorEastAsia"/>
                <w:sz w:val="28"/>
                <w:szCs w:val="28"/>
              </w:rPr>
            </w:pPr>
          </w:p>
        </w:tc>
        <w:tc>
          <w:tcPr>
            <w:tcW w:w="787" w:type="dxa"/>
            <w:noWrap w:val="0"/>
            <w:vAlign w:val="center"/>
          </w:tcPr>
          <w:p w14:paraId="3C6BEF21">
            <w:pPr>
              <w:jc w:val="center"/>
              <w:rPr>
                <w:rFonts w:hint="eastAsia" w:asciiTheme="minorEastAsia" w:hAnsiTheme="minorEastAsia" w:eastAsiaTheme="minorEastAsia" w:cstheme="minorEastAsia"/>
                <w:sz w:val="28"/>
                <w:szCs w:val="28"/>
              </w:rPr>
            </w:pPr>
          </w:p>
        </w:tc>
      </w:tr>
      <w:tr w14:paraId="1D595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110" w:type="dxa"/>
            <w:noWrap w:val="0"/>
            <w:vAlign w:val="center"/>
          </w:tcPr>
          <w:p w14:paraId="070C40C7">
            <w:pPr>
              <w:jc w:val="center"/>
              <w:rPr>
                <w:rFonts w:hint="eastAsia" w:asciiTheme="minorEastAsia" w:hAnsiTheme="minorEastAsia" w:eastAsiaTheme="minorEastAsia" w:cstheme="minorEastAsia"/>
                <w:sz w:val="28"/>
                <w:szCs w:val="28"/>
              </w:rPr>
            </w:pPr>
          </w:p>
        </w:tc>
        <w:tc>
          <w:tcPr>
            <w:tcW w:w="825" w:type="dxa"/>
            <w:noWrap w:val="0"/>
            <w:vAlign w:val="center"/>
          </w:tcPr>
          <w:p w14:paraId="22EE08FE">
            <w:pPr>
              <w:jc w:val="center"/>
              <w:rPr>
                <w:rFonts w:hint="eastAsia" w:asciiTheme="minorEastAsia" w:hAnsiTheme="minorEastAsia" w:eastAsiaTheme="minorEastAsia" w:cstheme="minorEastAsia"/>
                <w:sz w:val="28"/>
                <w:szCs w:val="28"/>
              </w:rPr>
            </w:pPr>
          </w:p>
        </w:tc>
        <w:tc>
          <w:tcPr>
            <w:tcW w:w="1594" w:type="dxa"/>
            <w:noWrap w:val="0"/>
            <w:vAlign w:val="center"/>
          </w:tcPr>
          <w:p w14:paraId="7B42513B">
            <w:pPr>
              <w:jc w:val="center"/>
              <w:rPr>
                <w:rFonts w:hint="eastAsia" w:asciiTheme="minorEastAsia" w:hAnsiTheme="minorEastAsia" w:eastAsiaTheme="minorEastAsia" w:cstheme="minorEastAsia"/>
                <w:sz w:val="28"/>
                <w:szCs w:val="28"/>
              </w:rPr>
            </w:pPr>
          </w:p>
        </w:tc>
        <w:tc>
          <w:tcPr>
            <w:tcW w:w="653" w:type="dxa"/>
            <w:noWrap w:val="0"/>
            <w:vAlign w:val="center"/>
          </w:tcPr>
          <w:p w14:paraId="51810C24">
            <w:pPr>
              <w:jc w:val="center"/>
              <w:rPr>
                <w:rFonts w:hint="eastAsia" w:asciiTheme="minorEastAsia" w:hAnsiTheme="minorEastAsia" w:eastAsiaTheme="minorEastAsia" w:cstheme="minorEastAsia"/>
                <w:sz w:val="28"/>
                <w:szCs w:val="28"/>
              </w:rPr>
            </w:pPr>
          </w:p>
        </w:tc>
        <w:tc>
          <w:tcPr>
            <w:tcW w:w="626" w:type="dxa"/>
            <w:noWrap w:val="0"/>
            <w:vAlign w:val="center"/>
          </w:tcPr>
          <w:p w14:paraId="0E1A771A">
            <w:pPr>
              <w:jc w:val="center"/>
              <w:rPr>
                <w:rFonts w:hint="eastAsia" w:asciiTheme="minorEastAsia" w:hAnsiTheme="minorEastAsia" w:eastAsiaTheme="minorEastAsia" w:cstheme="minorEastAsia"/>
                <w:sz w:val="28"/>
                <w:szCs w:val="28"/>
              </w:rPr>
            </w:pPr>
          </w:p>
        </w:tc>
        <w:tc>
          <w:tcPr>
            <w:tcW w:w="936" w:type="dxa"/>
            <w:noWrap w:val="0"/>
            <w:vAlign w:val="center"/>
          </w:tcPr>
          <w:p w14:paraId="710296B7">
            <w:pPr>
              <w:jc w:val="center"/>
              <w:rPr>
                <w:rFonts w:hint="eastAsia" w:asciiTheme="minorEastAsia" w:hAnsiTheme="minorEastAsia" w:eastAsiaTheme="minorEastAsia" w:cstheme="minorEastAsia"/>
                <w:sz w:val="28"/>
                <w:szCs w:val="28"/>
              </w:rPr>
            </w:pPr>
          </w:p>
        </w:tc>
        <w:tc>
          <w:tcPr>
            <w:tcW w:w="1189" w:type="dxa"/>
            <w:noWrap w:val="0"/>
            <w:vAlign w:val="center"/>
          </w:tcPr>
          <w:p w14:paraId="6AFA9B65">
            <w:pPr>
              <w:jc w:val="center"/>
              <w:rPr>
                <w:rFonts w:hint="eastAsia" w:asciiTheme="minorEastAsia" w:hAnsiTheme="minorEastAsia" w:eastAsiaTheme="minorEastAsia" w:cstheme="minorEastAsia"/>
                <w:sz w:val="28"/>
                <w:szCs w:val="28"/>
              </w:rPr>
            </w:pPr>
          </w:p>
        </w:tc>
        <w:tc>
          <w:tcPr>
            <w:tcW w:w="1177" w:type="dxa"/>
            <w:noWrap w:val="0"/>
            <w:vAlign w:val="center"/>
          </w:tcPr>
          <w:p w14:paraId="081087D6">
            <w:pPr>
              <w:jc w:val="center"/>
              <w:rPr>
                <w:rFonts w:hint="eastAsia" w:asciiTheme="minorEastAsia" w:hAnsiTheme="minorEastAsia" w:eastAsiaTheme="minorEastAsia" w:cstheme="minorEastAsia"/>
                <w:sz w:val="28"/>
                <w:szCs w:val="28"/>
              </w:rPr>
            </w:pPr>
          </w:p>
        </w:tc>
        <w:tc>
          <w:tcPr>
            <w:tcW w:w="787" w:type="dxa"/>
            <w:noWrap w:val="0"/>
            <w:vAlign w:val="center"/>
          </w:tcPr>
          <w:p w14:paraId="3644C5EE">
            <w:pPr>
              <w:jc w:val="center"/>
              <w:rPr>
                <w:rFonts w:hint="eastAsia" w:asciiTheme="minorEastAsia" w:hAnsiTheme="minorEastAsia" w:eastAsiaTheme="minorEastAsia" w:cstheme="minorEastAsia"/>
                <w:sz w:val="28"/>
                <w:szCs w:val="28"/>
              </w:rPr>
            </w:pPr>
          </w:p>
        </w:tc>
        <w:tc>
          <w:tcPr>
            <w:tcW w:w="787" w:type="dxa"/>
            <w:noWrap w:val="0"/>
            <w:vAlign w:val="center"/>
          </w:tcPr>
          <w:p w14:paraId="1CB40A6E">
            <w:pPr>
              <w:jc w:val="center"/>
              <w:rPr>
                <w:rFonts w:hint="eastAsia" w:asciiTheme="minorEastAsia" w:hAnsiTheme="minorEastAsia" w:eastAsiaTheme="minorEastAsia" w:cstheme="minorEastAsia"/>
                <w:sz w:val="28"/>
                <w:szCs w:val="28"/>
              </w:rPr>
            </w:pPr>
          </w:p>
        </w:tc>
      </w:tr>
      <w:tr w14:paraId="6EF06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10" w:type="dxa"/>
            <w:noWrap w:val="0"/>
            <w:vAlign w:val="center"/>
          </w:tcPr>
          <w:p w14:paraId="32E08BA6">
            <w:pPr>
              <w:jc w:val="center"/>
              <w:rPr>
                <w:rFonts w:hint="eastAsia" w:asciiTheme="minorEastAsia" w:hAnsiTheme="minorEastAsia" w:eastAsiaTheme="minorEastAsia" w:cstheme="minorEastAsia"/>
                <w:sz w:val="28"/>
                <w:szCs w:val="28"/>
              </w:rPr>
            </w:pPr>
          </w:p>
        </w:tc>
        <w:tc>
          <w:tcPr>
            <w:tcW w:w="825" w:type="dxa"/>
            <w:noWrap w:val="0"/>
            <w:vAlign w:val="center"/>
          </w:tcPr>
          <w:p w14:paraId="29CD0E2A">
            <w:pPr>
              <w:jc w:val="center"/>
              <w:rPr>
                <w:rFonts w:hint="eastAsia" w:asciiTheme="minorEastAsia" w:hAnsiTheme="minorEastAsia" w:eastAsiaTheme="minorEastAsia" w:cstheme="minorEastAsia"/>
                <w:sz w:val="28"/>
                <w:szCs w:val="28"/>
              </w:rPr>
            </w:pPr>
          </w:p>
        </w:tc>
        <w:tc>
          <w:tcPr>
            <w:tcW w:w="1594" w:type="dxa"/>
            <w:noWrap w:val="0"/>
            <w:vAlign w:val="center"/>
          </w:tcPr>
          <w:p w14:paraId="262C0DE1">
            <w:pPr>
              <w:jc w:val="center"/>
              <w:rPr>
                <w:rFonts w:hint="eastAsia" w:asciiTheme="minorEastAsia" w:hAnsiTheme="minorEastAsia" w:eastAsiaTheme="minorEastAsia" w:cstheme="minorEastAsia"/>
                <w:sz w:val="28"/>
                <w:szCs w:val="28"/>
              </w:rPr>
            </w:pPr>
          </w:p>
        </w:tc>
        <w:tc>
          <w:tcPr>
            <w:tcW w:w="653" w:type="dxa"/>
            <w:noWrap w:val="0"/>
            <w:vAlign w:val="center"/>
          </w:tcPr>
          <w:p w14:paraId="786D8306">
            <w:pPr>
              <w:jc w:val="center"/>
              <w:rPr>
                <w:rFonts w:hint="eastAsia" w:asciiTheme="minorEastAsia" w:hAnsiTheme="minorEastAsia" w:eastAsiaTheme="minorEastAsia" w:cstheme="minorEastAsia"/>
                <w:sz w:val="28"/>
                <w:szCs w:val="28"/>
              </w:rPr>
            </w:pPr>
          </w:p>
        </w:tc>
        <w:tc>
          <w:tcPr>
            <w:tcW w:w="626" w:type="dxa"/>
            <w:noWrap w:val="0"/>
            <w:vAlign w:val="center"/>
          </w:tcPr>
          <w:p w14:paraId="1FD6D924">
            <w:pPr>
              <w:jc w:val="center"/>
              <w:rPr>
                <w:rFonts w:hint="eastAsia" w:asciiTheme="minorEastAsia" w:hAnsiTheme="minorEastAsia" w:eastAsiaTheme="minorEastAsia" w:cstheme="minorEastAsia"/>
                <w:sz w:val="28"/>
                <w:szCs w:val="28"/>
              </w:rPr>
            </w:pPr>
          </w:p>
        </w:tc>
        <w:tc>
          <w:tcPr>
            <w:tcW w:w="936" w:type="dxa"/>
            <w:noWrap w:val="0"/>
            <w:vAlign w:val="center"/>
          </w:tcPr>
          <w:p w14:paraId="53AB1AB3">
            <w:pPr>
              <w:jc w:val="center"/>
              <w:rPr>
                <w:rFonts w:hint="eastAsia" w:asciiTheme="minorEastAsia" w:hAnsiTheme="minorEastAsia" w:eastAsiaTheme="minorEastAsia" w:cstheme="minorEastAsia"/>
                <w:sz w:val="28"/>
                <w:szCs w:val="28"/>
              </w:rPr>
            </w:pPr>
          </w:p>
        </w:tc>
        <w:tc>
          <w:tcPr>
            <w:tcW w:w="1189" w:type="dxa"/>
            <w:noWrap w:val="0"/>
            <w:vAlign w:val="center"/>
          </w:tcPr>
          <w:p w14:paraId="6CE92B66">
            <w:pPr>
              <w:jc w:val="center"/>
              <w:rPr>
                <w:rFonts w:hint="eastAsia" w:asciiTheme="minorEastAsia" w:hAnsiTheme="minorEastAsia" w:eastAsiaTheme="minorEastAsia" w:cstheme="minorEastAsia"/>
                <w:sz w:val="28"/>
                <w:szCs w:val="28"/>
              </w:rPr>
            </w:pPr>
          </w:p>
        </w:tc>
        <w:tc>
          <w:tcPr>
            <w:tcW w:w="1177" w:type="dxa"/>
            <w:noWrap w:val="0"/>
            <w:vAlign w:val="center"/>
          </w:tcPr>
          <w:p w14:paraId="29436B3B">
            <w:pPr>
              <w:jc w:val="center"/>
              <w:rPr>
                <w:rFonts w:hint="eastAsia" w:asciiTheme="minorEastAsia" w:hAnsiTheme="minorEastAsia" w:eastAsiaTheme="minorEastAsia" w:cstheme="minorEastAsia"/>
                <w:sz w:val="28"/>
                <w:szCs w:val="28"/>
              </w:rPr>
            </w:pPr>
          </w:p>
        </w:tc>
        <w:tc>
          <w:tcPr>
            <w:tcW w:w="787" w:type="dxa"/>
            <w:noWrap w:val="0"/>
            <w:vAlign w:val="center"/>
          </w:tcPr>
          <w:p w14:paraId="6CF828B1">
            <w:pPr>
              <w:jc w:val="center"/>
              <w:rPr>
                <w:rFonts w:hint="eastAsia" w:asciiTheme="minorEastAsia" w:hAnsiTheme="minorEastAsia" w:eastAsiaTheme="minorEastAsia" w:cstheme="minorEastAsia"/>
                <w:sz w:val="28"/>
                <w:szCs w:val="28"/>
              </w:rPr>
            </w:pPr>
          </w:p>
        </w:tc>
        <w:tc>
          <w:tcPr>
            <w:tcW w:w="787" w:type="dxa"/>
            <w:noWrap w:val="0"/>
            <w:vAlign w:val="center"/>
          </w:tcPr>
          <w:p w14:paraId="3AF3051B">
            <w:pPr>
              <w:jc w:val="center"/>
              <w:rPr>
                <w:rFonts w:hint="eastAsia" w:asciiTheme="minorEastAsia" w:hAnsiTheme="minorEastAsia" w:eastAsiaTheme="minorEastAsia" w:cstheme="minorEastAsia"/>
                <w:sz w:val="28"/>
                <w:szCs w:val="28"/>
              </w:rPr>
            </w:pPr>
          </w:p>
        </w:tc>
      </w:tr>
      <w:tr w14:paraId="5572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10" w:type="dxa"/>
            <w:noWrap w:val="0"/>
            <w:vAlign w:val="center"/>
          </w:tcPr>
          <w:p w14:paraId="5FDDBBAE">
            <w:pPr>
              <w:jc w:val="center"/>
              <w:rPr>
                <w:rFonts w:hint="eastAsia" w:asciiTheme="minorEastAsia" w:hAnsiTheme="minorEastAsia" w:eastAsiaTheme="minorEastAsia" w:cstheme="minorEastAsia"/>
                <w:sz w:val="28"/>
                <w:szCs w:val="28"/>
              </w:rPr>
            </w:pPr>
          </w:p>
        </w:tc>
        <w:tc>
          <w:tcPr>
            <w:tcW w:w="825" w:type="dxa"/>
            <w:noWrap w:val="0"/>
            <w:vAlign w:val="center"/>
          </w:tcPr>
          <w:p w14:paraId="7F8974AC">
            <w:pPr>
              <w:jc w:val="center"/>
              <w:rPr>
                <w:rFonts w:hint="eastAsia" w:asciiTheme="minorEastAsia" w:hAnsiTheme="minorEastAsia" w:eastAsiaTheme="minorEastAsia" w:cstheme="minorEastAsia"/>
                <w:sz w:val="28"/>
                <w:szCs w:val="28"/>
              </w:rPr>
            </w:pPr>
          </w:p>
        </w:tc>
        <w:tc>
          <w:tcPr>
            <w:tcW w:w="1594" w:type="dxa"/>
            <w:noWrap w:val="0"/>
            <w:vAlign w:val="center"/>
          </w:tcPr>
          <w:p w14:paraId="3A052023">
            <w:pPr>
              <w:jc w:val="center"/>
              <w:rPr>
                <w:rFonts w:hint="eastAsia" w:asciiTheme="minorEastAsia" w:hAnsiTheme="minorEastAsia" w:eastAsiaTheme="minorEastAsia" w:cstheme="minorEastAsia"/>
                <w:sz w:val="28"/>
                <w:szCs w:val="28"/>
              </w:rPr>
            </w:pPr>
          </w:p>
        </w:tc>
        <w:tc>
          <w:tcPr>
            <w:tcW w:w="653" w:type="dxa"/>
            <w:noWrap w:val="0"/>
            <w:vAlign w:val="center"/>
          </w:tcPr>
          <w:p w14:paraId="5E534456">
            <w:pPr>
              <w:jc w:val="center"/>
              <w:rPr>
                <w:rFonts w:hint="eastAsia" w:asciiTheme="minorEastAsia" w:hAnsiTheme="minorEastAsia" w:eastAsiaTheme="minorEastAsia" w:cstheme="minorEastAsia"/>
                <w:sz w:val="28"/>
                <w:szCs w:val="28"/>
              </w:rPr>
            </w:pPr>
          </w:p>
        </w:tc>
        <w:tc>
          <w:tcPr>
            <w:tcW w:w="626" w:type="dxa"/>
            <w:noWrap w:val="0"/>
            <w:vAlign w:val="center"/>
          </w:tcPr>
          <w:p w14:paraId="5675A69B">
            <w:pPr>
              <w:jc w:val="center"/>
              <w:rPr>
                <w:rFonts w:hint="eastAsia" w:asciiTheme="minorEastAsia" w:hAnsiTheme="minorEastAsia" w:eastAsiaTheme="minorEastAsia" w:cstheme="minorEastAsia"/>
                <w:sz w:val="28"/>
                <w:szCs w:val="28"/>
              </w:rPr>
            </w:pPr>
          </w:p>
        </w:tc>
        <w:tc>
          <w:tcPr>
            <w:tcW w:w="936" w:type="dxa"/>
            <w:noWrap w:val="0"/>
            <w:vAlign w:val="center"/>
          </w:tcPr>
          <w:p w14:paraId="45F04894">
            <w:pPr>
              <w:jc w:val="center"/>
              <w:rPr>
                <w:rFonts w:hint="eastAsia" w:asciiTheme="minorEastAsia" w:hAnsiTheme="minorEastAsia" w:eastAsiaTheme="minorEastAsia" w:cstheme="minorEastAsia"/>
                <w:sz w:val="28"/>
                <w:szCs w:val="28"/>
              </w:rPr>
            </w:pPr>
          </w:p>
        </w:tc>
        <w:tc>
          <w:tcPr>
            <w:tcW w:w="1189" w:type="dxa"/>
            <w:noWrap w:val="0"/>
            <w:vAlign w:val="center"/>
          </w:tcPr>
          <w:p w14:paraId="241CBC76">
            <w:pPr>
              <w:jc w:val="center"/>
              <w:rPr>
                <w:rFonts w:hint="eastAsia" w:asciiTheme="minorEastAsia" w:hAnsiTheme="minorEastAsia" w:eastAsiaTheme="minorEastAsia" w:cstheme="minorEastAsia"/>
                <w:sz w:val="28"/>
                <w:szCs w:val="28"/>
              </w:rPr>
            </w:pPr>
          </w:p>
        </w:tc>
        <w:tc>
          <w:tcPr>
            <w:tcW w:w="1177" w:type="dxa"/>
            <w:noWrap w:val="0"/>
            <w:vAlign w:val="center"/>
          </w:tcPr>
          <w:p w14:paraId="40B0FD68">
            <w:pPr>
              <w:jc w:val="center"/>
              <w:rPr>
                <w:rFonts w:hint="eastAsia" w:asciiTheme="minorEastAsia" w:hAnsiTheme="minorEastAsia" w:eastAsiaTheme="minorEastAsia" w:cstheme="minorEastAsia"/>
                <w:sz w:val="28"/>
                <w:szCs w:val="28"/>
              </w:rPr>
            </w:pPr>
          </w:p>
        </w:tc>
        <w:tc>
          <w:tcPr>
            <w:tcW w:w="787" w:type="dxa"/>
            <w:noWrap w:val="0"/>
            <w:vAlign w:val="center"/>
          </w:tcPr>
          <w:p w14:paraId="6615CE57">
            <w:pPr>
              <w:jc w:val="center"/>
              <w:rPr>
                <w:rFonts w:hint="eastAsia" w:asciiTheme="minorEastAsia" w:hAnsiTheme="minorEastAsia" w:eastAsiaTheme="minorEastAsia" w:cstheme="minorEastAsia"/>
                <w:sz w:val="28"/>
                <w:szCs w:val="28"/>
              </w:rPr>
            </w:pPr>
          </w:p>
        </w:tc>
        <w:tc>
          <w:tcPr>
            <w:tcW w:w="787" w:type="dxa"/>
            <w:noWrap w:val="0"/>
            <w:vAlign w:val="center"/>
          </w:tcPr>
          <w:p w14:paraId="001BE945">
            <w:pPr>
              <w:jc w:val="center"/>
              <w:rPr>
                <w:rFonts w:hint="eastAsia" w:asciiTheme="minorEastAsia" w:hAnsiTheme="minorEastAsia" w:eastAsiaTheme="minorEastAsia" w:cstheme="minorEastAsia"/>
                <w:sz w:val="28"/>
                <w:szCs w:val="28"/>
              </w:rPr>
            </w:pPr>
          </w:p>
        </w:tc>
      </w:tr>
    </w:tbl>
    <w:p w14:paraId="47D4DB04">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r>
      <w:bookmarkStart w:id="203" w:name="tip_risk_bookmark_62"/>
      <w:commentRangeStart w:id="58"/>
      <w:r>
        <w:rPr>
          <w:rFonts w:hint="eastAsia" w:asciiTheme="minorEastAsia" w:hAnsiTheme="minorEastAsia" w:eastAsiaTheme="minorEastAsia" w:cstheme="minorEastAsia"/>
          <w:b/>
          <w:sz w:val="32"/>
          <w:szCs w:val="32"/>
        </w:rPr>
        <w:t>附件二：</w:t>
      </w:r>
    </w:p>
    <w:p w14:paraId="593FEDB2">
      <w:pPr>
        <w:jc w:val="center"/>
        <w:rPr>
          <w:rFonts w:hint="eastAsia" w:asciiTheme="minorEastAsia" w:hAnsiTheme="minorEastAsia" w:eastAsiaTheme="minorEastAsia" w:cstheme="minorEastAsia"/>
          <w:b/>
          <w:sz w:val="32"/>
          <w:szCs w:val="32"/>
        </w:rPr>
      </w:pPr>
      <w:bookmarkStart w:id="204" w:name="tip_risk_bookmark_63"/>
      <w:commentRangeStart w:id="59"/>
      <w:r>
        <w:rPr>
          <w:rFonts w:hint="eastAsia" w:asciiTheme="minorEastAsia" w:hAnsiTheme="minorEastAsia" w:eastAsiaTheme="minorEastAsia" w:cstheme="minorEastAsia"/>
          <w:b/>
          <w:sz w:val="32"/>
          <w:szCs w:val="32"/>
        </w:rPr>
        <w:t>发包人供应材料设备一览表</w:t>
      </w:r>
    </w:p>
    <w:tbl>
      <w:tblPr>
        <w:tblStyle w:val="45"/>
        <w:tblW w:w="990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521"/>
        <w:gridCol w:w="1275"/>
        <w:gridCol w:w="975"/>
        <w:gridCol w:w="1011"/>
        <w:gridCol w:w="900"/>
        <w:gridCol w:w="900"/>
        <w:gridCol w:w="900"/>
        <w:gridCol w:w="900"/>
        <w:gridCol w:w="900"/>
      </w:tblGrid>
      <w:tr w14:paraId="0EC94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18" w:type="dxa"/>
            <w:noWrap w:val="0"/>
            <w:vAlign w:val="top"/>
          </w:tcPr>
          <w:p w14:paraId="31B79355">
            <w:pPr>
              <w:jc w:val="center"/>
              <w:rPr>
                <w:rFonts w:hint="eastAsia" w:asciiTheme="minorEastAsia" w:hAnsiTheme="minorEastAsia" w:eastAsiaTheme="minorEastAsia" w:cstheme="minorEastAsia"/>
                <w:sz w:val="28"/>
                <w:szCs w:val="28"/>
              </w:rPr>
            </w:pPr>
            <w:commentRangeStart w:id="60"/>
            <w:r>
              <w:rPr>
                <w:rFonts w:hint="eastAsia" w:asciiTheme="minorEastAsia" w:hAnsiTheme="minorEastAsia" w:eastAsiaTheme="minorEastAsia" w:cstheme="minorEastAsia"/>
                <w:sz w:val="28"/>
                <w:szCs w:val="28"/>
              </w:rPr>
              <w:t>序号</w:t>
            </w:r>
          </w:p>
        </w:tc>
        <w:tc>
          <w:tcPr>
            <w:tcW w:w="1521" w:type="dxa"/>
            <w:noWrap w:val="0"/>
            <w:vAlign w:val="top"/>
          </w:tcPr>
          <w:p w14:paraId="74830A5D">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材料设备品种</w:t>
            </w:r>
          </w:p>
        </w:tc>
        <w:tc>
          <w:tcPr>
            <w:tcW w:w="1275" w:type="dxa"/>
            <w:noWrap w:val="0"/>
            <w:vAlign w:val="top"/>
          </w:tcPr>
          <w:p w14:paraId="0C952257">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规格</w:t>
            </w:r>
          </w:p>
          <w:p w14:paraId="7B70DB6A">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型号</w:t>
            </w:r>
          </w:p>
        </w:tc>
        <w:tc>
          <w:tcPr>
            <w:tcW w:w="975" w:type="dxa"/>
            <w:noWrap w:val="0"/>
            <w:vAlign w:val="top"/>
          </w:tcPr>
          <w:p w14:paraId="1FA6E0BD">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w:t>
            </w:r>
          </w:p>
        </w:tc>
        <w:tc>
          <w:tcPr>
            <w:tcW w:w="1011" w:type="dxa"/>
            <w:noWrap w:val="0"/>
            <w:vAlign w:val="top"/>
          </w:tcPr>
          <w:p w14:paraId="75AB3F4E">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数量</w:t>
            </w:r>
          </w:p>
        </w:tc>
        <w:tc>
          <w:tcPr>
            <w:tcW w:w="900" w:type="dxa"/>
            <w:noWrap w:val="0"/>
            <w:vAlign w:val="top"/>
          </w:tcPr>
          <w:p w14:paraId="3B6CA75A">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单价</w:t>
            </w:r>
          </w:p>
        </w:tc>
        <w:tc>
          <w:tcPr>
            <w:tcW w:w="900" w:type="dxa"/>
            <w:noWrap w:val="0"/>
            <w:vAlign w:val="top"/>
          </w:tcPr>
          <w:p w14:paraId="0A196179">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质量等级</w:t>
            </w:r>
          </w:p>
        </w:tc>
        <w:tc>
          <w:tcPr>
            <w:tcW w:w="900" w:type="dxa"/>
            <w:noWrap w:val="0"/>
            <w:vAlign w:val="top"/>
          </w:tcPr>
          <w:p w14:paraId="1A00EF45">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供应时间</w:t>
            </w:r>
          </w:p>
        </w:tc>
        <w:tc>
          <w:tcPr>
            <w:tcW w:w="900" w:type="dxa"/>
            <w:noWrap w:val="0"/>
            <w:vAlign w:val="top"/>
          </w:tcPr>
          <w:p w14:paraId="6FAABD2F">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送达地点</w:t>
            </w:r>
          </w:p>
        </w:tc>
        <w:tc>
          <w:tcPr>
            <w:tcW w:w="900" w:type="dxa"/>
            <w:noWrap w:val="0"/>
            <w:vAlign w:val="top"/>
          </w:tcPr>
          <w:p w14:paraId="70DBF6EC">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备注</w:t>
            </w:r>
          </w:p>
        </w:tc>
      </w:tr>
      <w:bookmarkEnd w:id="203"/>
      <w:bookmarkEnd w:id="204"/>
      <w:commentRangeEnd w:id="58"/>
      <w:tr w14:paraId="340C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38C78C8">
            <w:pPr>
              <w:rPr>
                <w:rFonts w:hint="eastAsia" w:asciiTheme="minorEastAsia" w:hAnsiTheme="minorEastAsia" w:eastAsiaTheme="minorEastAsia" w:cstheme="minorEastAsia"/>
                <w:sz w:val="28"/>
                <w:szCs w:val="28"/>
              </w:rPr>
            </w:pPr>
            <w:r>
              <w:rPr>
                <w:rStyle w:val="57"/>
                <w:rFonts w:hint="eastAsia" w:asciiTheme="minorEastAsia" w:hAnsiTheme="minorEastAsia" w:eastAsiaTheme="minorEastAsia" w:cstheme="minorEastAsia"/>
                <w:sz w:val="28"/>
                <w:szCs w:val="28"/>
              </w:rPr>
              <w:commentReference w:id="58"/>
            </w:r>
            <w:commentRangeEnd w:id="59"/>
            <w:r>
              <w:rPr>
                <w:rStyle w:val="57"/>
                <w:rFonts w:hint="eastAsia" w:asciiTheme="minorEastAsia" w:hAnsiTheme="minorEastAsia" w:eastAsiaTheme="minorEastAsia" w:cstheme="minorEastAsia"/>
                <w:sz w:val="28"/>
                <w:szCs w:val="28"/>
              </w:rPr>
              <w:commentReference w:id="59"/>
            </w:r>
            <w:commentRangeEnd w:id="60"/>
            <w:r>
              <w:rPr>
                <w:rStyle w:val="57"/>
                <w:rFonts w:hint="eastAsia" w:asciiTheme="minorEastAsia" w:hAnsiTheme="minorEastAsia" w:eastAsiaTheme="minorEastAsia" w:cstheme="minorEastAsia"/>
                <w:sz w:val="28"/>
                <w:szCs w:val="28"/>
              </w:rPr>
              <w:commentReference w:id="60"/>
            </w:r>
          </w:p>
        </w:tc>
        <w:tc>
          <w:tcPr>
            <w:tcW w:w="1521" w:type="dxa"/>
            <w:noWrap w:val="0"/>
            <w:vAlign w:val="top"/>
          </w:tcPr>
          <w:p w14:paraId="0B1FDE20">
            <w:pPr>
              <w:rPr>
                <w:rFonts w:hint="eastAsia" w:asciiTheme="minorEastAsia" w:hAnsiTheme="minorEastAsia" w:eastAsiaTheme="minorEastAsia" w:cstheme="minorEastAsia"/>
                <w:sz w:val="28"/>
                <w:szCs w:val="28"/>
              </w:rPr>
            </w:pPr>
          </w:p>
        </w:tc>
        <w:tc>
          <w:tcPr>
            <w:tcW w:w="1275" w:type="dxa"/>
            <w:noWrap w:val="0"/>
            <w:vAlign w:val="top"/>
          </w:tcPr>
          <w:p w14:paraId="5EDFB2C9">
            <w:pPr>
              <w:rPr>
                <w:rFonts w:hint="eastAsia" w:asciiTheme="minorEastAsia" w:hAnsiTheme="minorEastAsia" w:eastAsiaTheme="minorEastAsia" w:cstheme="minorEastAsia"/>
                <w:sz w:val="28"/>
                <w:szCs w:val="28"/>
              </w:rPr>
            </w:pPr>
          </w:p>
        </w:tc>
        <w:tc>
          <w:tcPr>
            <w:tcW w:w="975" w:type="dxa"/>
            <w:noWrap w:val="0"/>
            <w:vAlign w:val="top"/>
          </w:tcPr>
          <w:p w14:paraId="044F5B89">
            <w:pPr>
              <w:rPr>
                <w:rFonts w:hint="eastAsia" w:asciiTheme="minorEastAsia" w:hAnsiTheme="minorEastAsia" w:eastAsiaTheme="minorEastAsia" w:cstheme="minorEastAsia"/>
                <w:sz w:val="28"/>
                <w:szCs w:val="28"/>
              </w:rPr>
            </w:pPr>
          </w:p>
        </w:tc>
        <w:tc>
          <w:tcPr>
            <w:tcW w:w="1011" w:type="dxa"/>
            <w:noWrap w:val="0"/>
            <w:vAlign w:val="top"/>
          </w:tcPr>
          <w:p w14:paraId="681AE44B">
            <w:pPr>
              <w:rPr>
                <w:rFonts w:hint="eastAsia" w:asciiTheme="minorEastAsia" w:hAnsiTheme="minorEastAsia" w:eastAsiaTheme="minorEastAsia" w:cstheme="minorEastAsia"/>
                <w:sz w:val="28"/>
                <w:szCs w:val="28"/>
              </w:rPr>
            </w:pPr>
          </w:p>
        </w:tc>
        <w:tc>
          <w:tcPr>
            <w:tcW w:w="900" w:type="dxa"/>
            <w:noWrap w:val="0"/>
            <w:vAlign w:val="top"/>
          </w:tcPr>
          <w:p w14:paraId="09EA865A">
            <w:pPr>
              <w:rPr>
                <w:rFonts w:hint="eastAsia" w:asciiTheme="minorEastAsia" w:hAnsiTheme="minorEastAsia" w:eastAsiaTheme="minorEastAsia" w:cstheme="minorEastAsia"/>
                <w:sz w:val="28"/>
                <w:szCs w:val="28"/>
              </w:rPr>
            </w:pPr>
          </w:p>
        </w:tc>
        <w:tc>
          <w:tcPr>
            <w:tcW w:w="900" w:type="dxa"/>
            <w:noWrap w:val="0"/>
            <w:vAlign w:val="top"/>
          </w:tcPr>
          <w:p w14:paraId="45775767">
            <w:pPr>
              <w:rPr>
                <w:rFonts w:hint="eastAsia" w:asciiTheme="minorEastAsia" w:hAnsiTheme="minorEastAsia" w:eastAsiaTheme="minorEastAsia" w:cstheme="minorEastAsia"/>
                <w:sz w:val="28"/>
                <w:szCs w:val="28"/>
              </w:rPr>
            </w:pPr>
          </w:p>
        </w:tc>
        <w:tc>
          <w:tcPr>
            <w:tcW w:w="900" w:type="dxa"/>
            <w:noWrap w:val="0"/>
            <w:vAlign w:val="top"/>
          </w:tcPr>
          <w:p w14:paraId="468849C7">
            <w:pPr>
              <w:rPr>
                <w:rFonts w:hint="eastAsia" w:asciiTheme="minorEastAsia" w:hAnsiTheme="minorEastAsia" w:eastAsiaTheme="minorEastAsia" w:cstheme="minorEastAsia"/>
                <w:sz w:val="28"/>
                <w:szCs w:val="28"/>
              </w:rPr>
            </w:pPr>
          </w:p>
        </w:tc>
        <w:tc>
          <w:tcPr>
            <w:tcW w:w="900" w:type="dxa"/>
            <w:noWrap w:val="0"/>
            <w:vAlign w:val="top"/>
          </w:tcPr>
          <w:p w14:paraId="10FD1E18">
            <w:pPr>
              <w:rPr>
                <w:rFonts w:hint="eastAsia" w:asciiTheme="minorEastAsia" w:hAnsiTheme="minorEastAsia" w:eastAsiaTheme="minorEastAsia" w:cstheme="minorEastAsia"/>
                <w:sz w:val="28"/>
                <w:szCs w:val="28"/>
              </w:rPr>
            </w:pPr>
          </w:p>
        </w:tc>
        <w:tc>
          <w:tcPr>
            <w:tcW w:w="900" w:type="dxa"/>
            <w:noWrap w:val="0"/>
            <w:vAlign w:val="top"/>
          </w:tcPr>
          <w:p w14:paraId="4C9F023A">
            <w:pPr>
              <w:rPr>
                <w:rFonts w:hint="eastAsia" w:asciiTheme="minorEastAsia" w:hAnsiTheme="minorEastAsia" w:eastAsiaTheme="minorEastAsia" w:cstheme="minorEastAsia"/>
                <w:sz w:val="28"/>
                <w:szCs w:val="28"/>
              </w:rPr>
            </w:pPr>
          </w:p>
        </w:tc>
      </w:tr>
      <w:tr w14:paraId="5BCCA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1A822C82">
            <w:pPr>
              <w:rPr>
                <w:rFonts w:hint="eastAsia" w:asciiTheme="minorEastAsia" w:hAnsiTheme="minorEastAsia" w:eastAsiaTheme="minorEastAsia" w:cstheme="minorEastAsia"/>
                <w:sz w:val="28"/>
                <w:szCs w:val="28"/>
              </w:rPr>
            </w:pPr>
          </w:p>
        </w:tc>
        <w:tc>
          <w:tcPr>
            <w:tcW w:w="1521" w:type="dxa"/>
            <w:noWrap w:val="0"/>
            <w:vAlign w:val="top"/>
          </w:tcPr>
          <w:p w14:paraId="15EA4D74">
            <w:pPr>
              <w:rPr>
                <w:rFonts w:hint="eastAsia" w:asciiTheme="minorEastAsia" w:hAnsiTheme="minorEastAsia" w:eastAsiaTheme="minorEastAsia" w:cstheme="minorEastAsia"/>
                <w:sz w:val="28"/>
                <w:szCs w:val="28"/>
              </w:rPr>
            </w:pPr>
          </w:p>
        </w:tc>
        <w:tc>
          <w:tcPr>
            <w:tcW w:w="1275" w:type="dxa"/>
            <w:noWrap w:val="0"/>
            <w:vAlign w:val="top"/>
          </w:tcPr>
          <w:p w14:paraId="58FE3248">
            <w:pPr>
              <w:rPr>
                <w:rFonts w:hint="eastAsia" w:asciiTheme="minorEastAsia" w:hAnsiTheme="minorEastAsia" w:eastAsiaTheme="minorEastAsia" w:cstheme="minorEastAsia"/>
                <w:sz w:val="28"/>
                <w:szCs w:val="28"/>
              </w:rPr>
            </w:pPr>
          </w:p>
        </w:tc>
        <w:tc>
          <w:tcPr>
            <w:tcW w:w="975" w:type="dxa"/>
            <w:noWrap w:val="0"/>
            <w:vAlign w:val="top"/>
          </w:tcPr>
          <w:p w14:paraId="1F2FB7E8">
            <w:pPr>
              <w:rPr>
                <w:rFonts w:hint="eastAsia" w:asciiTheme="minorEastAsia" w:hAnsiTheme="minorEastAsia" w:eastAsiaTheme="minorEastAsia" w:cstheme="minorEastAsia"/>
                <w:sz w:val="28"/>
                <w:szCs w:val="28"/>
              </w:rPr>
            </w:pPr>
          </w:p>
        </w:tc>
        <w:tc>
          <w:tcPr>
            <w:tcW w:w="1011" w:type="dxa"/>
            <w:noWrap w:val="0"/>
            <w:vAlign w:val="top"/>
          </w:tcPr>
          <w:p w14:paraId="2ECCC428">
            <w:pPr>
              <w:rPr>
                <w:rFonts w:hint="eastAsia" w:asciiTheme="minorEastAsia" w:hAnsiTheme="minorEastAsia" w:eastAsiaTheme="minorEastAsia" w:cstheme="minorEastAsia"/>
                <w:sz w:val="28"/>
                <w:szCs w:val="28"/>
              </w:rPr>
            </w:pPr>
          </w:p>
        </w:tc>
        <w:tc>
          <w:tcPr>
            <w:tcW w:w="900" w:type="dxa"/>
            <w:noWrap w:val="0"/>
            <w:vAlign w:val="top"/>
          </w:tcPr>
          <w:p w14:paraId="70A64DBA">
            <w:pPr>
              <w:rPr>
                <w:rFonts w:hint="eastAsia" w:asciiTheme="minorEastAsia" w:hAnsiTheme="minorEastAsia" w:eastAsiaTheme="minorEastAsia" w:cstheme="minorEastAsia"/>
                <w:sz w:val="28"/>
                <w:szCs w:val="28"/>
              </w:rPr>
            </w:pPr>
          </w:p>
        </w:tc>
        <w:tc>
          <w:tcPr>
            <w:tcW w:w="900" w:type="dxa"/>
            <w:noWrap w:val="0"/>
            <w:vAlign w:val="top"/>
          </w:tcPr>
          <w:p w14:paraId="328414DC">
            <w:pPr>
              <w:rPr>
                <w:rFonts w:hint="eastAsia" w:asciiTheme="minorEastAsia" w:hAnsiTheme="minorEastAsia" w:eastAsiaTheme="minorEastAsia" w:cstheme="minorEastAsia"/>
                <w:sz w:val="28"/>
                <w:szCs w:val="28"/>
              </w:rPr>
            </w:pPr>
          </w:p>
        </w:tc>
        <w:tc>
          <w:tcPr>
            <w:tcW w:w="900" w:type="dxa"/>
            <w:noWrap w:val="0"/>
            <w:vAlign w:val="top"/>
          </w:tcPr>
          <w:p w14:paraId="35A22F2F">
            <w:pPr>
              <w:rPr>
                <w:rFonts w:hint="eastAsia" w:asciiTheme="minorEastAsia" w:hAnsiTheme="minorEastAsia" w:eastAsiaTheme="minorEastAsia" w:cstheme="minorEastAsia"/>
                <w:sz w:val="28"/>
                <w:szCs w:val="28"/>
              </w:rPr>
            </w:pPr>
          </w:p>
        </w:tc>
        <w:tc>
          <w:tcPr>
            <w:tcW w:w="900" w:type="dxa"/>
            <w:noWrap w:val="0"/>
            <w:vAlign w:val="top"/>
          </w:tcPr>
          <w:p w14:paraId="4AAC9B07">
            <w:pPr>
              <w:rPr>
                <w:rFonts w:hint="eastAsia" w:asciiTheme="minorEastAsia" w:hAnsiTheme="minorEastAsia" w:eastAsiaTheme="minorEastAsia" w:cstheme="minorEastAsia"/>
                <w:sz w:val="28"/>
                <w:szCs w:val="28"/>
              </w:rPr>
            </w:pPr>
          </w:p>
        </w:tc>
        <w:tc>
          <w:tcPr>
            <w:tcW w:w="900" w:type="dxa"/>
            <w:noWrap w:val="0"/>
            <w:vAlign w:val="top"/>
          </w:tcPr>
          <w:p w14:paraId="483AA2B5">
            <w:pPr>
              <w:rPr>
                <w:rFonts w:hint="eastAsia" w:asciiTheme="minorEastAsia" w:hAnsiTheme="minorEastAsia" w:eastAsiaTheme="minorEastAsia" w:cstheme="minorEastAsia"/>
                <w:sz w:val="28"/>
                <w:szCs w:val="28"/>
              </w:rPr>
            </w:pPr>
          </w:p>
        </w:tc>
      </w:tr>
      <w:tr w14:paraId="76932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2CF8E9A">
            <w:pPr>
              <w:rPr>
                <w:rFonts w:hint="eastAsia" w:asciiTheme="minorEastAsia" w:hAnsiTheme="minorEastAsia" w:eastAsiaTheme="minorEastAsia" w:cstheme="minorEastAsia"/>
                <w:sz w:val="28"/>
                <w:szCs w:val="28"/>
              </w:rPr>
            </w:pPr>
          </w:p>
        </w:tc>
        <w:tc>
          <w:tcPr>
            <w:tcW w:w="1521" w:type="dxa"/>
            <w:noWrap w:val="0"/>
            <w:vAlign w:val="top"/>
          </w:tcPr>
          <w:p w14:paraId="52CD17CD">
            <w:pPr>
              <w:rPr>
                <w:rFonts w:hint="eastAsia" w:asciiTheme="minorEastAsia" w:hAnsiTheme="minorEastAsia" w:eastAsiaTheme="minorEastAsia" w:cstheme="minorEastAsia"/>
                <w:sz w:val="28"/>
                <w:szCs w:val="28"/>
              </w:rPr>
            </w:pPr>
          </w:p>
        </w:tc>
        <w:tc>
          <w:tcPr>
            <w:tcW w:w="1275" w:type="dxa"/>
            <w:noWrap w:val="0"/>
            <w:vAlign w:val="top"/>
          </w:tcPr>
          <w:p w14:paraId="0667CC9F">
            <w:pPr>
              <w:rPr>
                <w:rFonts w:hint="eastAsia" w:asciiTheme="minorEastAsia" w:hAnsiTheme="minorEastAsia" w:eastAsiaTheme="minorEastAsia" w:cstheme="minorEastAsia"/>
                <w:sz w:val="28"/>
                <w:szCs w:val="28"/>
              </w:rPr>
            </w:pPr>
          </w:p>
        </w:tc>
        <w:tc>
          <w:tcPr>
            <w:tcW w:w="975" w:type="dxa"/>
            <w:noWrap w:val="0"/>
            <w:vAlign w:val="top"/>
          </w:tcPr>
          <w:p w14:paraId="224A1222">
            <w:pPr>
              <w:rPr>
                <w:rFonts w:hint="eastAsia" w:asciiTheme="minorEastAsia" w:hAnsiTheme="minorEastAsia" w:eastAsiaTheme="minorEastAsia" w:cstheme="minorEastAsia"/>
                <w:sz w:val="28"/>
                <w:szCs w:val="28"/>
              </w:rPr>
            </w:pPr>
          </w:p>
        </w:tc>
        <w:tc>
          <w:tcPr>
            <w:tcW w:w="1011" w:type="dxa"/>
            <w:noWrap w:val="0"/>
            <w:vAlign w:val="top"/>
          </w:tcPr>
          <w:p w14:paraId="2D7377BC">
            <w:pPr>
              <w:rPr>
                <w:rFonts w:hint="eastAsia" w:asciiTheme="minorEastAsia" w:hAnsiTheme="minorEastAsia" w:eastAsiaTheme="minorEastAsia" w:cstheme="minorEastAsia"/>
                <w:sz w:val="28"/>
                <w:szCs w:val="28"/>
              </w:rPr>
            </w:pPr>
          </w:p>
        </w:tc>
        <w:tc>
          <w:tcPr>
            <w:tcW w:w="900" w:type="dxa"/>
            <w:noWrap w:val="0"/>
            <w:vAlign w:val="top"/>
          </w:tcPr>
          <w:p w14:paraId="4BC7768A">
            <w:pPr>
              <w:rPr>
                <w:rFonts w:hint="eastAsia" w:asciiTheme="minorEastAsia" w:hAnsiTheme="minorEastAsia" w:eastAsiaTheme="minorEastAsia" w:cstheme="minorEastAsia"/>
                <w:sz w:val="28"/>
                <w:szCs w:val="28"/>
              </w:rPr>
            </w:pPr>
          </w:p>
        </w:tc>
        <w:tc>
          <w:tcPr>
            <w:tcW w:w="900" w:type="dxa"/>
            <w:noWrap w:val="0"/>
            <w:vAlign w:val="top"/>
          </w:tcPr>
          <w:p w14:paraId="788F24A4">
            <w:pPr>
              <w:rPr>
                <w:rFonts w:hint="eastAsia" w:asciiTheme="minorEastAsia" w:hAnsiTheme="minorEastAsia" w:eastAsiaTheme="minorEastAsia" w:cstheme="minorEastAsia"/>
                <w:sz w:val="28"/>
                <w:szCs w:val="28"/>
              </w:rPr>
            </w:pPr>
          </w:p>
        </w:tc>
        <w:tc>
          <w:tcPr>
            <w:tcW w:w="900" w:type="dxa"/>
            <w:noWrap w:val="0"/>
            <w:vAlign w:val="top"/>
          </w:tcPr>
          <w:p w14:paraId="21CD4818">
            <w:pPr>
              <w:rPr>
                <w:rFonts w:hint="eastAsia" w:asciiTheme="minorEastAsia" w:hAnsiTheme="minorEastAsia" w:eastAsiaTheme="minorEastAsia" w:cstheme="minorEastAsia"/>
                <w:sz w:val="28"/>
                <w:szCs w:val="28"/>
              </w:rPr>
            </w:pPr>
          </w:p>
        </w:tc>
        <w:tc>
          <w:tcPr>
            <w:tcW w:w="900" w:type="dxa"/>
            <w:noWrap w:val="0"/>
            <w:vAlign w:val="top"/>
          </w:tcPr>
          <w:p w14:paraId="2926AA90">
            <w:pPr>
              <w:rPr>
                <w:rFonts w:hint="eastAsia" w:asciiTheme="minorEastAsia" w:hAnsiTheme="minorEastAsia" w:eastAsiaTheme="minorEastAsia" w:cstheme="minorEastAsia"/>
                <w:sz w:val="28"/>
                <w:szCs w:val="28"/>
              </w:rPr>
            </w:pPr>
          </w:p>
        </w:tc>
        <w:tc>
          <w:tcPr>
            <w:tcW w:w="900" w:type="dxa"/>
            <w:noWrap w:val="0"/>
            <w:vAlign w:val="top"/>
          </w:tcPr>
          <w:p w14:paraId="5D573E69">
            <w:pPr>
              <w:rPr>
                <w:rFonts w:hint="eastAsia" w:asciiTheme="minorEastAsia" w:hAnsiTheme="minorEastAsia" w:eastAsiaTheme="minorEastAsia" w:cstheme="minorEastAsia"/>
                <w:sz w:val="28"/>
                <w:szCs w:val="28"/>
              </w:rPr>
            </w:pPr>
          </w:p>
        </w:tc>
      </w:tr>
      <w:tr w14:paraId="28C1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70133539">
            <w:pPr>
              <w:rPr>
                <w:rFonts w:hint="eastAsia" w:asciiTheme="minorEastAsia" w:hAnsiTheme="minorEastAsia" w:eastAsiaTheme="minorEastAsia" w:cstheme="minorEastAsia"/>
                <w:sz w:val="28"/>
                <w:szCs w:val="28"/>
              </w:rPr>
            </w:pPr>
          </w:p>
        </w:tc>
        <w:tc>
          <w:tcPr>
            <w:tcW w:w="1521" w:type="dxa"/>
            <w:noWrap w:val="0"/>
            <w:vAlign w:val="top"/>
          </w:tcPr>
          <w:p w14:paraId="60B070D7">
            <w:pPr>
              <w:rPr>
                <w:rFonts w:hint="eastAsia" w:asciiTheme="minorEastAsia" w:hAnsiTheme="minorEastAsia" w:eastAsiaTheme="minorEastAsia" w:cstheme="minorEastAsia"/>
                <w:sz w:val="28"/>
                <w:szCs w:val="28"/>
              </w:rPr>
            </w:pPr>
          </w:p>
        </w:tc>
        <w:tc>
          <w:tcPr>
            <w:tcW w:w="1275" w:type="dxa"/>
            <w:noWrap w:val="0"/>
            <w:vAlign w:val="top"/>
          </w:tcPr>
          <w:p w14:paraId="5604005D">
            <w:pPr>
              <w:rPr>
                <w:rFonts w:hint="eastAsia" w:asciiTheme="minorEastAsia" w:hAnsiTheme="minorEastAsia" w:eastAsiaTheme="minorEastAsia" w:cstheme="minorEastAsia"/>
                <w:sz w:val="28"/>
                <w:szCs w:val="28"/>
              </w:rPr>
            </w:pPr>
          </w:p>
        </w:tc>
        <w:tc>
          <w:tcPr>
            <w:tcW w:w="975" w:type="dxa"/>
            <w:noWrap w:val="0"/>
            <w:vAlign w:val="top"/>
          </w:tcPr>
          <w:p w14:paraId="719ED5E1">
            <w:pPr>
              <w:rPr>
                <w:rFonts w:hint="eastAsia" w:asciiTheme="minorEastAsia" w:hAnsiTheme="minorEastAsia" w:eastAsiaTheme="minorEastAsia" w:cstheme="minorEastAsia"/>
                <w:sz w:val="28"/>
                <w:szCs w:val="28"/>
              </w:rPr>
            </w:pPr>
          </w:p>
        </w:tc>
        <w:tc>
          <w:tcPr>
            <w:tcW w:w="1011" w:type="dxa"/>
            <w:noWrap w:val="0"/>
            <w:vAlign w:val="top"/>
          </w:tcPr>
          <w:p w14:paraId="13DF9181">
            <w:pPr>
              <w:rPr>
                <w:rFonts w:hint="eastAsia" w:asciiTheme="minorEastAsia" w:hAnsiTheme="minorEastAsia" w:eastAsiaTheme="minorEastAsia" w:cstheme="minorEastAsia"/>
                <w:sz w:val="28"/>
                <w:szCs w:val="28"/>
              </w:rPr>
            </w:pPr>
          </w:p>
        </w:tc>
        <w:tc>
          <w:tcPr>
            <w:tcW w:w="900" w:type="dxa"/>
            <w:noWrap w:val="0"/>
            <w:vAlign w:val="top"/>
          </w:tcPr>
          <w:p w14:paraId="7ACF34EB">
            <w:pPr>
              <w:rPr>
                <w:rFonts w:hint="eastAsia" w:asciiTheme="minorEastAsia" w:hAnsiTheme="minorEastAsia" w:eastAsiaTheme="minorEastAsia" w:cstheme="minorEastAsia"/>
                <w:sz w:val="28"/>
                <w:szCs w:val="28"/>
              </w:rPr>
            </w:pPr>
          </w:p>
        </w:tc>
        <w:tc>
          <w:tcPr>
            <w:tcW w:w="900" w:type="dxa"/>
            <w:noWrap w:val="0"/>
            <w:vAlign w:val="top"/>
          </w:tcPr>
          <w:p w14:paraId="54924638">
            <w:pPr>
              <w:rPr>
                <w:rFonts w:hint="eastAsia" w:asciiTheme="minorEastAsia" w:hAnsiTheme="minorEastAsia" w:eastAsiaTheme="minorEastAsia" w:cstheme="minorEastAsia"/>
                <w:sz w:val="28"/>
                <w:szCs w:val="28"/>
              </w:rPr>
            </w:pPr>
          </w:p>
        </w:tc>
        <w:tc>
          <w:tcPr>
            <w:tcW w:w="900" w:type="dxa"/>
            <w:noWrap w:val="0"/>
            <w:vAlign w:val="top"/>
          </w:tcPr>
          <w:p w14:paraId="40C6C5DE">
            <w:pPr>
              <w:rPr>
                <w:rFonts w:hint="eastAsia" w:asciiTheme="minorEastAsia" w:hAnsiTheme="minorEastAsia" w:eastAsiaTheme="minorEastAsia" w:cstheme="minorEastAsia"/>
                <w:sz w:val="28"/>
                <w:szCs w:val="28"/>
              </w:rPr>
            </w:pPr>
          </w:p>
        </w:tc>
        <w:tc>
          <w:tcPr>
            <w:tcW w:w="900" w:type="dxa"/>
            <w:noWrap w:val="0"/>
            <w:vAlign w:val="top"/>
          </w:tcPr>
          <w:p w14:paraId="26E22A4F">
            <w:pPr>
              <w:rPr>
                <w:rFonts w:hint="eastAsia" w:asciiTheme="minorEastAsia" w:hAnsiTheme="minorEastAsia" w:eastAsiaTheme="minorEastAsia" w:cstheme="minorEastAsia"/>
                <w:sz w:val="28"/>
                <w:szCs w:val="28"/>
              </w:rPr>
            </w:pPr>
          </w:p>
        </w:tc>
        <w:tc>
          <w:tcPr>
            <w:tcW w:w="900" w:type="dxa"/>
            <w:noWrap w:val="0"/>
            <w:vAlign w:val="top"/>
          </w:tcPr>
          <w:p w14:paraId="27348D46">
            <w:pPr>
              <w:rPr>
                <w:rFonts w:hint="eastAsia" w:asciiTheme="minorEastAsia" w:hAnsiTheme="minorEastAsia" w:eastAsiaTheme="minorEastAsia" w:cstheme="minorEastAsia"/>
                <w:sz w:val="28"/>
                <w:szCs w:val="28"/>
              </w:rPr>
            </w:pPr>
          </w:p>
        </w:tc>
      </w:tr>
      <w:tr w14:paraId="6E943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03304607">
            <w:pPr>
              <w:rPr>
                <w:rFonts w:hint="eastAsia" w:asciiTheme="minorEastAsia" w:hAnsiTheme="minorEastAsia" w:eastAsiaTheme="minorEastAsia" w:cstheme="minorEastAsia"/>
                <w:sz w:val="28"/>
                <w:szCs w:val="28"/>
              </w:rPr>
            </w:pPr>
          </w:p>
        </w:tc>
        <w:tc>
          <w:tcPr>
            <w:tcW w:w="1521" w:type="dxa"/>
            <w:noWrap w:val="0"/>
            <w:vAlign w:val="top"/>
          </w:tcPr>
          <w:p w14:paraId="115221D1">
            <w:pPr>
              <w:rPr>
                <w:rFonts w:hint="eastAsia" w:asciiTheme="minorEastAsia" w:hAnsiTheme="minorEastAsia" w:eastAsiaTheme="minorEastAsia" w:cstheme="minorEastAsia"/>
                <w:sz w:val="28"/>
                <w:szCs w:val="28"/>
              </w:rPr>
            </w:pPr>
          </w:p>
        </w:tc>
        <w:tc>
          <w:tcPr>
            <w:tcW w:w="1275" w:type="dxa"/>
            <w:noWrap w:val="0"/>
            <w:vAlign w:val="top"/>
          </w:tcPr>
          <w:p w14:paraId="6A8405AA">
            <w:pPr>
              <w:rPr>
                <w:rFonts w:hint="eastAsia" w:asciiTheme="minorEastAsia" w:hAnsiTheme="minorEastAsia" w:eastAsiaTheme="minorEastAsia" w:cstheme="minorEastAsia"/>
                <w:sz w:val="28"/>
                <w:szCs w:val="28"/>
              </w:rPr>
            </w:pPr>
          </w:p>
        </w:tc>
        <w:tc>
          <w:tcPr>
            <w:tcW w:w="975" w:type="dxa"/>
            <w:noWrap w:val="0"/>
            <w:vAlign w:val="top"/>
          </w:tcPr>
          <w:p w14:paraId="4B419696">
            <w:pPr>
              <w:rPr>
                <w:rFonts w:hint="eastAsia" w:asciiTheme="minorEastAsia" w:hAnsiTheme="minorEastAsia" w:eastAsiaTheme="minorEastAsia" w:cstheme="minorEastAsia"/>
                <w:sz w:val="28"/>
                <w:szCs w:val="28"/>
              </w:rPr>
            </w:pPr>
          </w:p>
        </w:tc>
        <w:tc>
          <w:tcPr>
            <w:tcW w:w="1011" w:type="dxa"/>
            <w:noWrap w:val="0"/>
            <w:vAlign w:val="top"/>
          </w:tcPr>
          <w:p w14:paraId="7B744F94">
            <w:pPr>
              <w:rPr>
                <w:rFonts w:hint="eastAsia" w:asciiTheme="minorEastAsia" w:hAnsiTheme="minorEastAsia" w:eastAsiaTheme="minorEastAsia" w:cstheme="minorEastAsia"/>
                <w:sz w:val="28"/>
                <w:szCs w:val="28"/>
              </w:rPr>
            </w:pPr>
          </w:p>
        </w:tc>
        <w:tc>
          <w:tcPr>
            <w:tcW w:w="900" w:type="dxa"/>
            <w:noWrap w:val="0"/>
            <w:vAlign w:val="top"/>
          </w:tcPr>
          <w:p w14:paraId="2EA0E793">
            <w:pPr>
              <w:rPr>
                <w:rFonts w:hint="eastAsia" w:asciiTheme="minorEastAsia" w:hAnsiTheme="minorEastAsia" w:eastAsiaTheme="minorEastAsia" w:cstheme="minorEastAsia"/>
                <w:sz w:val="28"/>
                <w:szCs w:val="28"/>
              </w:rPr>
            </w:pPr>
          </w:p>
        </w:tc>
        <w:tc>
          <w:tcPr>
            <w:tcW w:w="900" w:type="dxa"/>
            <w:noWrap w:val="0"/>
            <w:vAlign w:val="top"/>
          </w:tcPr>
          <w:p w14:paraId="260A5EB9">
            <w:pPr>
              <w:rPr>
                <w:rFonts w:hint="eastAsia" w:asciiTheme="minorEastAsia" w:hAnsiTheme="minorEastAsia" w:eastAsiaTheme="minorEastAsia" w:cstheme="minorEastAsia"/>
                <w:sz w:val="28"/>
                <w:szCs w:val="28"/>
              </w:rPr>
            </w:pPr>
          </w:p>
        </w:tc>
        <w:tc>
          <w:tcPr>
            <w:tcW w:w="900" w:type="dxa"/>
            <w:noWrap w:val="0"/>
            <w:vAlign w:val="top"/>
          </w:tcPr>
          <w:p w14:paraId="73CB68F8">
            <w:pPr>
              <w:rPr>
                <w:rFonts w:hint="eastAsia" w:asciiTheme="minorEastAsia" w:hAnsiTheme="minorEastAsia" w:eastAsiaTheme="minorEastAsia" w:cstheme="minorEastAsia"/>
                <w:sz w:val="28"/>
                <w:szCs w:val="28"/>
              </w:rPr>
            </w:pPr>
          </w:p>
        </w:tc>
        <w:tc>
          <w:tcPr>
            <w:tcW w:w="900" w:type="dxa"/>
            <w:noWrap w:val="0"/>
            <w:vAlign w:val="top"/>
          </w:tcPr>
          <w:p w14:paraId="7FD8C730">
            <w:pPr>
              <w:rPr>
                <w:rFonts w:hint="eastAsia" w:asciiTheme="minorEastAsia" w:hAnsiTheme="minorEastAsia" w:eastAsiaTheme="minorEastAsia" w:cstheme="minorEastAsia"/>
                <w:sz w:val="28"/>
                <w:szCs w:val="28"/>
              </w:rPr>
            </w:pPr>
          </w:p>
        </w:tc>
        <w:tc>
          <w:tcPr>
            <w:tcW w:w="900" w:type="dxa"/>
            <w:noWrap w:val="0"/>
            <w:vAlign w:val="top"/>
          </w:tcPr>
          <w:p w14:paraId="2B17E6AD">
            <w:pPr>
              <w:rPr>
                <w:rFonts w:hint="eastAsia" w:asciiTheme="minorEastAsia" w:hAnsiTheme="minorEastAsia" w:eastAsiaTheme="minorEastAsia" w:cstheme="minorEastAsia"/>
                <w:sz w:val="28"/>
                <w:szCs w:val="28"/>
              </w:rPr>
            </w:pPr>
          </w:p>
        </w:tc>
      </w:tr>
      <w:tr w14:paraId="5B854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6D05323">
            <w:pPr>
              <w:rPr>
                <w:rFonts w:hint="eastAsia" w:asciiTheme="minorEastAsia" w:hAnsiTheme="minorEastAsia" w:eastAsiaTheme="minorEastAsia" w:cstheme="minorEastAsia"/>
                <w:sz w:val="28"/>
                <w:szCs w:val="28"/>
              </w:rPr>
            </w:pPr>
          </w:p>
        </w:tc>
        <w:tc>
          <w:tcPr>
            <w:tcW w:w="1521" w:type="dxa"/>
            <w:noWrap w:val="0"/>
            <w:vAlign w:val="top"/>
          </w:tcPr>
          <w:p w14:paraId="7B8A7530">
            <w:pPr>
              <w:rPr>
                <w:rFonts w:hint="eastAsia" w:asciiTheme="minorEastAsia" w:hAnsiTheme="minorEastAsia" w:eastAsiaTheme="minorEastAsia" w:cstheme="minorEastAsia"/>
                <w:sz w:val="28"/>
                <w:szCs w:val="28"/>
              </w:rPr>
            </w:pPr>
          </w:p>
        </w:tc>
        <w:tc>
          <w:tcPr>
            <w:tcW w:w="1275" w:type="dxa"/>
            <w:noWrap w:val="0"/>
            <w:vAlign w:val="top"/>
          </w:tcPr>
          <w:p w14:paraId="57F06D9B">
            <w:pPr>
              <w:rPr>
                <w:rFonts w:hint="eastAsia" w:asciiTheme="minorEastAsia" w:hAnsiTheme="minorEastAsia" w:eastAsiaTheme="minorEastAsia" w:cstheme="minorEastAsia"/>
                <w:sz w:val="28"/>
                <w:szCs w:val="28"/>
              </w:rPr>
            </w:pPr>
          </w:p>
        </w:tc>
        <w:tc>
          <w:tcPr>
            <w:tcW w:w="975" w:type="dxa"/>
            <w:noWrap w:val="0"/>
            <w:vAlign w:val="top"/>
          </w:tcPr>
          <w:p w14:paraId="37C99555">
            <w:pPr>
              <w:rPr>
                <w:rFonts w:hint="eastAsia" w:asciiTheme="minorEastAsia" w:hAnsiTheme="minorEastAsia" w:eastAsiaTheme="minorEastAsia" w:cstheme="minorEastAsia"/>
                <w:sz w:val="28"/>
                <w:szCs w:val="28"/>
              </w:rPr>
            </w:pPr>
          </w:p>
        </w:tc>
        <w:tc>
          <w:tcPr>
            <w:tcW w:w="1011" w:type="dxa"/>
            <w:noWrap w:val="0"/>
            <w:vAlign w:val="top"/>
          </w:tcPr>
          <w:p w14:paraId="264DCB2E">
            <w:pPr>
              <w:rPr>
                <w:rFonts w:hint="eastAsia" w:asciiTheme="minorEastAsia" w:hAnsiTheme="minorEastAsia" w:eastAsiaTheme="minorEastAsia" w:cstheme="minorEastAsia"/>
                <w:sz w:val="28"/>
                <w:szCs w:val="28"/>
              </w:rPr>
            </w:pPr>
          </w:p>
        </w:tc>
        <w:tc>
          <w:tcPr>
            <w:tcW w:w="900" w:type="dxa"/>
            <w:noWrap w:val="0"/>
            <w:vAlign w:val="top"/>
          </w:tcPr>
          <w:p w14:paraId="51138CC2">
            <w:pPr>
              <w:rPr>
                <w:rFonts w:hint="eastAsia" w:asciiTheme="minorEastAsia" w:hAnsiTheme="minorEastAsia" w:eastAsiaTheme="minorEastAsia" w:cstheme="minorEastAsia"/>
                <w:sz w:val="28"/>
                <w:szCs w:val="28"/>
              </w:rPr>
            </w:pPr>
          </w:p>
        </w:tc>
        <w:tc>
          <w:tcPr>
            <w:tcW w:w="900" w:type="dxa"/>
            <w:noWrap w:val="0"/>
            <w:vAlign w:val="top"/>
          </w:tcPr>
          <w:p w14:paraId="778DFC63">
            <w:pPr>
              <w:rPr>
                <w:rFonts w:hint="eastAsia" w:asciiTheme="minorEastAsia" w:hAnsiTheme="minorEastAsia" w:eastAsiaTheme="minorEastAsia" w:cstheme="minorEastAsia"/>
                <w:sz w:val="28"/>
                <w:szCs w:val="28"/>
              </w:rPr>
            </w:pPr>
          </w:p>
        </w:tc>
        <w:tc>
          <w:tcPr>
            <w:tcW w:w="900" w:type="dxa"/>
            <w:noWrap w:val="0"/>
            <w:vAlign w:val="top"/>
          </w:tcPr>
          <w:p w14:paraId="70FD4374">
            <w:pPr>
              <w:rPr>
                <w:rFonts w:hint="eastAsia" w:asciiTheme="minorEastAsia" w:hAnsiTheme="minorEastAsia" w:eastAsiaTheme="minorEastAsia" w:cstheme="minorEastAsia"/>
                <w:sz w:val="28"/>
                <w:szCs w:val="28"/>
              </w:rPr>
            </w:pPr>
          </w:p>
        </w:tc>
        <w:tc>
          <w:tcPr>
            <w:tcW w:w="900" w:type="dxa"/>
            <w:noWrap w:val="0"/>
            <w:vAlign w:val="top"/>
          </w:tcPr>
          <w:p w14:paraId="439D7331">
            <w:pPr>
              <w:rPr>
                <w:rFonts w:hint="eastAsia" w:asciiTheme="minorEastAsia" w:hAnsiTheme="minorEastAsia" w:eastAsiaTheme="minorEastAsia" w:cstheme="minorEastAsia"/>
                <w:sz w:val="28"/>
                <w:szCs w:val="28"/>
              </w:rPr>
            </w:pPr>
          </w:p>
        </w:tc>
        <w:tc>
          <w:tcPr>
            <w:tcW w:w="900" w:type="dxa"/>
            <w:noWrap w:val="0"/>
            <w:vAlign w:val="top"/>
          </w:tcPr>
          <w:p w14:paraId="7DA53D16">
            <w:pPr>
              <w:rPr>
                <w:rFonts w:hint="eastAsia" w:asciiTheme="minorEastAsia" w:hAnsiTheme="minorEastAsia" w:eastAsiaTheme="minorEastAsia" w:cstheme="minorEastAsia"/>
                <w:sz w:val="28"/>
                <w:szCs w:val="28"/>
              </w:rPr>
            </w:pPr>
          </w:p>
        </w:tc>
      </w:tr>
      <w:tr w14:paraId="68A1D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346EF437">
            <w:pPr>
              <w:rPr>
                <w:rFonts w:hint="eastAsia" w:asciiTheme="minorEastAsia" w:hAnsiTheme="minorEastAsia" w:eastAsiaTheme="minorEastAsia" w:cstheme="minorEastAsia"/>
                <w:sz w:val="28"/>
                <w:szCs w:val="28"/>
              </w:rPr>
            </w:pPr>
          </w:p>
        </w:tc>
        <w:tc>
          <w:tcPr>
            <w:tcW w:w="1521" w:type="dxa"/>
            <w:noWrap w:val="0"/>
            <w:vAlign w:val="top"/>
          </w:tcPr>
          <w:p w14:paraId="42C4C70A">
            <w:pPr>
              <w:rPr>
                <w:rFonts w:hint="eastAsia" w:asciiTheme="minorEastAsia" w:hAnsiTheme="minorEastAsia" w:eastAsiaTheme="minorEastAsia" w:cstheme="minorEastAsia"/>
                <w:sz w:val="28"/>
                <w:szCs w:val="28"/>
              </w:rPr>
            </w:pPr>
          </w:p>
        </w:tc>
        <w:tc>
          <w:tcPr>
            <w:tcW w:w="1275" w:type="dxa"/>
            <w:noWrap w:val="0"/>
            <w:vAlign w:val="top"/>
          </w:tcPr>
          <w:p w14:paraId="518684AF">
            <w:pPr>
              <w:rPr>
                <w:rFonts w:hint="eastAsia" w:asciiTheme="minorEastAsia" w:hAnsiTheme="minorEastAsia" w:eastAsiaTheme="minorEastAsia" w:cstheme="minorEastAsia"/>
                <w:sz w:val="28"/>
                <w:szCs w:val="28"/>
              </w:rPr>
            </w:pPr>
          </w:p>
        </w:tc>
        <w:tc>
          <w:tcPr>
            <w:tcW w:w="975" w:type="dxa"/>
            <w:noWrap w:val="0"/>
            <w:vAlign w:val="top"/>
          </w:tcPr>
          <w:p w14:paraId="722A6369">
            <w:pPr>
              <w:rPr>
                <w:rFonts w:hint="eastAsia" w:asciiTheme="minorEastAsia" w:hAnsiTheme="minorEastAsia" w:eastAsiaTheme="minorEastAsia" w:cstheme="minorEastAsia"/>
                <w:sz w:val="28"/>
                <w:szCs w:val="28"/>
              </w:rPr>
            </w:pPr>
          </w:p>
        </w:tc>
        <w:tc>
          <w:tcPr>
            <w:tcW w:w="1011" w:type="dxa"/>
            <w:noWrap w:val="0"/>
            <w:vAlign w:val="top"/>
          </w:tcPr>
          <w:p w14:paraId="2C191110">
            <w:pPr>
              <w:rPr>
                <w:rFonts w:hint="eastAsia" w:asciiTheme="minorEastAsia" w:hAnsiTheme="minorEastAsia" w:eastAsiaTheme="minorEastAsia" w:cstheme="minorEastAsia"/>
                <w:sz w:val="28"/>
                <w:szCs w:val="28"/>
              </w:rPr>
            </w:pPr>
          </w:p>
        </w:tc>
        <w:tc>
          <w:tcPr>
            <w:tcW w:w="900" w:type="dxa"/>
            <w:noWrap w:val="0"/>
            <w:vAlign w:val="top"/>
          </w:tcPr>
          <w:p w14:paraId="3117D0D5">
            <w:pPr>
              <w:rPr>
                <w:rFonts w:hint="eastAsia" w:asciiTheme="minorEastAsia" w:hAnsiTheme="minorEastAsia" w:eastAsiaTheme="minorEastAsia" w:cstheme="minorEastAsia"/>
                <w:sz w:val="28"/>
                <w:szCs w:val="28"/>
              </w:rPr>
            </w:pPr>
          </w:p>
        </w:tc>
        <w:tc>
          <w:tcPr>
            <w:tcW w:w="900" w:type="dxa"/>
            <w:noWrap w:val="0"/>
            <w:vAlign w:val="top"/>
          </w:tcPr>
          <w:p w14:paraId="65533A1F">
            <w:pPr>
              <w:rPr>
                <w:rFonts w:hint="eastAsia" w:asciiTheme="minorEastAsia" w:hAnsiTheme="minorEastAsia" w:eastAsiaTheme="minorEastAsia" w:cstheme="minorEastAsia"/>
                <w:sz w:val="28"/>
                <w:szCs w:val="28"/>
              </w:rPr>
            </w:pPr>
          </w:p>
        </w:tc>
        <w:tc>
          <w:tcPr>
            <w:tcW w:w="900" w:type="dxa"/>
            <w:noWrap w:val="0"/>
            <w:vAlign w:val="top"/>
          </w:tcPr>
          <w:p w14:paraId="1096522D">
            <w:pPr>
              <w:rPr>
                <w:rFonts w:hint="eastAsia" w:asciiTheme="minorEastAsia" w:hAnsiTheme="minorEastAsia" w:eastAsiaTheme="minorEastAsia" w:cstheme="minorEastAsia"/>
                <w:sz w:val="28"/>
                <w:szCs w:val="28"/>
              </w:rPr>
            </w:pPr>
          </w:p>
        </w:tc>
        <w:tc>
          <w:tcPr>
            <w:tcW w:w="900" w:type="dxa"/>
            <w:noWrap w:val="0"/>
            <w:vAlign w:val="top"/>
          </w:tcPr>
          <w:p w14:paraId="47D06E4D">
            <w:pPr>
              <w:rPr>
                <w:rFonts w:hint="eastAsia" w:asciiTheme="minorEastAsia" w:hAnsiTheme="minorEastAsia" w:eastAsiaTheme="minorEastAsia" w:cstheme="minorEastAsia"/>
                <w:sz w:val="28"/>
                <w:szCs w:val="28"/>
              </w:rPr>
            </w:pPr>
          </w:p>
        </w:tc>
        <w:tc>
          <w:tcPr>
            <w:tcW w:w="900" w:type="dxa"/>
            <w:noWrap w:val="0"/>
            <w:vAlign w:val="top"/>
          </w:tcPr>
          <w:p w14:paraId="0277B8F7">
            <w:pPr>
              <w:rPr>
                <w:rFonts w:hint="eastAsia" w:asciiTheme="minorEastAsia" w:hAnsiTheme="minorEastAsia" w:eastAsiaTheme="minorEastAsia" w:cstheme="minorEastAsia"/>
                <w:sz w:val="28"/>
                <w:szCs w:val="28"/>
              </w:rPr>
            </w:pPr>
          </w:p>
        </w:tc>
      </w:tr>
      <w:tr w14:paraId="35D2A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7BFC2532">
            <w:pPr>
              <w:rPr>
                <w:rFonts w:hint="eastAsia" w:asciiTheme="minorEastAsia" w:hAnsiTheme="minorEastAsia" w:eastAsiaTheme="minorEastAsia" w:cstheme="minorEastAsia"/>
                <w:sz w:val="28"/>
                <w:szCs w:val="28"/>
              </w:rPr>
            </w:pPr>
          </w:p>
        </w:tc>
        <w:tc>
          <w:tcPr>
            <w:tcW w:w="1521" w:type="dxa"/>
            <w:noWrap w:val="0"/>
            <w:vAlign w:val="top"/>
          </w:tcPr>
          <w:p w14:paraId="3C7B69A9">
            <w:pPr>
              <w:rPr>
                <w:rFonts w:hint="eastAsia" w:asciiTheme="minorEastAsia" w:hAnsiTheme="minorEastAsia" w:eastAsiaTheme="minorEastAsia" w:cstheme="minorEastAsia"/>
                <w:sz w:val="28"/>
                <w:szCs w:val="28"/>
              </w:rPr>
            </w:pPr>
          </w:p>
        </w:tc>
        <w:tc>
          <w:tcPr>
            <w:tcW w:w="1275" w:type="dxa"/>
            <w:noWrap w:val="0"/>
            <w:vAlign w:val="top"/>
          </w:tcPr>
          <w:p w14:paraId="64986A3F">
            <w:pPr>
              <w:rPr>
                <w:rFonts w:hint="eastAsia" w:asciiTheme="minorEastAsia" w:hAnsiTheme="minorEastAsia" w:eastAsiaTheme="minorEastAsia" w:cstheme="minorEastAsia"/>
                <w:sz w:val="28"/>
                <w:szCs w:val="28"/>
              </w:rPr>
            </w:pPr>
          </w:p>
        </w:tc>
        <w:tc>
          <w:tcPr>
            <w:tcW w:w="975" w:type="dxa"/>
            <w:noWrap w:val="0"/>
            <w:vAlign w:val="top"/>
          </w:tcPr>
          <w:p w14:paraId="7EEF2B79">
            <w:pPr>
              <w:rPr>
                <w:rFonts w:hint="eastAsia" w:asciiTheme="minorEastAsia" w:hAnsiTheme="minorEastAsia" w:eastAsiaTheme="minorEastAsia" w:cstheme="minorEastAsia"/>
                <w:sz w:val="28"/>
                <w:szCs w:val="28"/>
              </w:rPr>
            </w:pPr>
          </w:p>
        </w:tc>
        <w:tc>
          <w:tcPr>
            <w:tcW w:w="1011" w:type="dxa"/>
            <w:noWrap w:val="0"/>
            <w:vAlign w:val="top"/>
          </w:tcPr>
          <w:p w14:paraId="4EEAFE2F">
            <w:pPr>
              <w:rPr>
                <w:rFonts w:hint="eastAsia" w:asciiTheme="minorEastAsia" w:hAnsiTheme="minorEastAsia" w:eastAsiaTheme="minorEastAsia" w:cstheme="minorEastAsia"/>
                <w:sz w:val="28"/>
                <w:szCs w:val="28"/>
              </w:rPr>
            </w:pPr>
          </w:p>
        </w:tc>
        <w:tc>
          <w:tcPr>
            <w:tcW w:w="900" w:type="dxa"/>
            <w:noWrap w:val="0"/>
            <w:vAlign w:val="top"/>
          </w:tcPr>
          <w:p w14:paraId="3ED88B6C">
            <w:pPr>
              <w:rPr>
                <w:rFonts w:hint="eastAsia" w:asciiTheme="minorEastAsia" w:hAnsiTheme="minorEastAsia" w:eastAsiaTheme="minorEastAsia" w:cstheme="minorEastAsia"/>
                <w:sz w:val="28"/>
                <w:szCs w:val="28"/>
              </w:rPr>
            </w:pPr>
          </w:p>
        </w:tc>
        <w:tc>
          <w:tcPr>
            <w:tcW w:w="900" w:type="dxa"/>
            <w:noWrap w:val="0"/>
            <w:vAlign w:val="top"/>
          </w:tcPr>
          <w:p w14:paraId="25DA8097">
            <w:pPr>
              <w:rPr>
                <w:rFonts w:hint="eastAsia" w:asciiTheme="minorEastAsia" w:hAnsiTheme="minorEastAsia" w:eastAsiaTheme="minorEastAsia" w:cstheme="minorEastAsia"/>
                <w:sz w:val="28"/>
                <w:szCs w:val="28"/>
              </w:rPr>
            </w:pPr>
          </w:p>
        </w:tc>
        <w:tc>
          <w:tcPr>
            <w:tcW w:w="900" w:type="dxa"/>
            <w:noWrap w:val="0"/>
            <w:vAlign w:val="top"/>
          </w:tcPr>
          <w:p w14:paraId="07FC5042">
            <w:pPr>
              <w:rPr>
                <w:rFonts w:hint="eastAsia" w:asciiTheme="minorEastAsia" w:hAnsiTheme="minorEastAsia" w:eastAsiaTheme="minorEastAsia" w:cstheme="minorEastAsia"/>
                <w:sz w:val="28"/>
                <w:szCs w:val="28"/>
              </w:rPr>
            </w:pPr>
          </w:p>
        </w:tc>
        <w:tc>
          <w:tcPr>
            <w:tcW w:w="900" w:type="dxa"/>
            <w:noWrap w:val="0"/>
            <w:vAlign w:val="top"/>
          </w:tcPr>
          <w:p w14:paraId="6B8AC2F1">
            <w:pPr>
              <w:rPr>
                <w:rFonts w:hint="eastAsia" w:asciiTheme="minorEastAsia" w:hAnsiTheme="minorEastAsia" w:eastAsiaTheme="minorEastAsia" w:cstheme="minorEastAsia"/>
                <w:sz w:val="28"/>
                <w:szCs w:val="28"/>
              </w:rPr>
            </w:pPr>
          </w:p>
        </w:tc>
        <w:tc>
          <w:tcPr>
            <w:tcW w:w="900" w:type="dxa"/>
            <w:noWrap w:val="0"/>
            <w:vAlign w:val="top"/>
          </w:tcPr>
          <w:p w14:paraId="0F41B337">
            <w:pPr>
              <w:rPr>
                <w:rFonts w:hint="eastAsia" w:asciiTheme="minorEastAsia" w:hAnsiTheme="minorEastAsia" w:eastAsiaTheme="minorEastAsia" w:cstheme="minorEastAsia"/>
                <w:sz w:val="28"/>
                <w:szCs w:val="28"/>
              </w:rPr>
            </w:pPr>
          </w:p>
        </w:tc>
      </w:tr>
      <w:tr w14:paraId="2B638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6AB79FCA">
            <w:pPr>
              <w:rPr>
                <w:rFonts w:hint="eastAsia" w:asciiTheme="minorEastAsia" w:hAnsiTheme="minorEastAsia" w:eastAsiaTheme="minorEastAsia" w:cstheme="minorEastAsia"/>
                <w:sz w:val="28"/>
                <w:szCs w:val="28"/>
              </w:rPr>
            </w:pPr>
          </w:p>
        </w:tc>
        <w:tc>
          <w:tcPr>
            <w:tcW w:w="1521" w:type="dxa"/>
            <w:noWrap w:val="0"/>
            <w:vAlign w:val="top"/>
          </w:tcPr>
          <w:p w14:paraId="566DF18E">
            <w:pPr>
              <w:rPr>
                <w:rFonts w:hint="eastAsia" w:asciiTheme="minorEastAsia" w:hAnsiTheme="minorEastAsia" w:eastAsiaTheme="minorEastAsia" w:cstheme="minorEastAsia"/>
                <w:sz w:val="28"/>
                <w:szCs w:val="28"/>
              </w:rPr>
            </w:pPr>
          </w:p>
        </w:tc>
        <w:tc>
          <w:tcPr>
            <w:tcW w:w="1275" w:type="dxa"/>
            <w:noWrap w:val="0"/>
            <w:vAlign w:val="top"/>
          </w:tcPr>
          <w:p w14:paraId="4A4971D8">
            <w:pPr>
              <w:rPr>
                <w:rFonts w:hint="eastAsia" w:asciiTheme="minorEastAsia" w:hAnsiTheme="minorEastAsia" w:eastAsiaTheme="minorEastAsia" w:cstheme="minorEastAsia"/>
                <w:sz w:val="28"/>
                <w:szCs w:val="28"/>
              </w:rPr>
            </w:pPr>
          </w:p>
        </w:tc>
        <w:tc>
          <w:tcPr>
            <w:tcW w:w="975" w:type="dxa"/>
            <w:noWrap w:val="0"/>
            <w:vAlign w:val="top"/>
          </w:tcPr>
          <w:p w14:paraId="1BB9F223">
            <w:pPr>
              <w:rPr>
                <w:rFonts w:hint="eastAsia" w:asciiTheme="minorEastAsia" w:hAnsiTheme="minorEastAsia" w:eastAsiaTheme="minorEastAsia" w:cstheme="minorEastAsia"/>
                <w:sz w:val="28"/>
                <w:szCs w:val="28"/>
              </w:rPr>
            </w:pPr>
          </w:p>
        </w:tc>
        <w:tc>
          <w:tcPr>
            <w:tcW w:w="1011" w:type="dxa"/>
            <w:noWrap w:val="0"/>
            <w:vAlign w:val="top"/>
          </w:tcPr>
          <w:p w14:paraId="2F0F40A8">
            <w:pPr>
              <w:rPr>
                <w:rFonts w:hint="eastAsia" w:asciiTheme="minorEastAsia" w:hAnsiTheme="minorEastAsia" w:eastAsiaTheme="minorEastAsia" w:cstheme="minorEastAsia"/>
                <w:sz w:val="28"/>
                <w:szCs w:val="28"/>
              </w:rPr>
            </w:pPr>
          </w:p>
        </w:tc>
        <w:tc>
          <w:tcPr>
            <w:tcW w:w="900" w:type="dxa"/>
            <w:noWrap w:val="0"/>
            <w:vAlign w:val="top"/>
          </w:tcPr>
          <w:p w14:paraId="2ADEE33B">
            <w:pPr>
              <w:rPr>
                <w:rFonts w:hint="eastAsia" w:asciiTheme="minorEastAsia" w:hAnsiTheme="minorEastAsia" w:eastAsiaTheme="minorEastAsia" w:cstheme="minorEastAsia"/>
                <w:sz w:val="28"/>
                <w:szCs w:val="28"/>
              </w:rPr>
            </w:pPr>
          </w:p>
        </w:tc>
        <w:tc>
          <w:tcPr>
            <w:tcW w:w="900" w:type="dxa"/>
            <w:noWrap w:val="0"/>
            <w:vAlign w:val="top"/>
          </w:tcPr>
          <w:p w14:paraId="243BEB8A">
            <w:pPr>
              <w:rPr>
                <w:rFonts w:hint="eastAsia" w:asciiTheme="minorEastAsia" w:hAnsiTheme="minorEastAsia" w:eastAsiaTheme="minorEastAsia" w:cstheme="minorEastAsia"/>
                <w:sz w:val="28"/>
                <w:szCs w:val="28"/>
              </w:rPr>
            </w:pPr>
          </w:p>
        </w:tc>
        <w:tc>
          <w:tcPr>
            <w:tcW w:w="900" w:type="dxa"/>
            <w:noWrap w:val="0"/>
            <w:vAlign w:val="top"/>
          </w:tcPr>
          <w:p w14:paraId="04FC27D7">
            <w:pPr>
              <w:rPr>
                <w:rFonts w:hint="eastAsia" w:asciiTheme="minorEastAsia" w:hAnsiTheme="minorEastAsia" w:eastAsiaTheme="minorEastAsia" w:cstheme="minorEastAsia"/>
                <w:sz w:val="28"/>
                <w:szCs w:val="28"/>
              </w:rPr>
            </w:pPr>
          </w:p>
        </w:tc>
        <w:tc>
          <w:tcPr>
            <w:tcW w:w="900" w:type="dxa"/>
            <w:noWrap w:val="0"/>
            <w:vAlign w:val="top"/>
          </w:tcPr>
          <w:p w14:paraId="0DBE0016">
            <w:pPr>
              <w:rPr>
                <w:rFonts w:hint="eastAsia" w:asciiTheme="minorEastAsia" w:hAnsiTheme="minorEastAsia" w:eastAsiaTheme="minorEastAsia" w:cstheme="minorEastAsia"/>
                <w:sz w:val="28"/>
                <w:szCs w:val="28"/>
              </w:rPr>
            </w:pPr>
          </w:p>
        </w:tc>
        <w:tc>
          <w:tcPr>
            <w:tcW w:w="900" w:type="dxa"/>
            <w:noWrap w:val="0"/>
            <w:vAlign w:val="top"/>
          </w:tcPr>
          <w:p w14:paraId="7CAD5F93">
            <w:pPr>
              <w:rPr>
                <w:rFonts w:hint="eastAsia" w:asciiTheme="minorEastAsia" w:hAnsiTheme="minorEastAsia" w:eastAsiaTheme="minorEastAsia" w:cstheme="minorEastAsia"/>
                <w:sz w:val="28"/>
                <w:szCs w:val="28"/>
              </w:rPr>
            </w:pPr>
          </w:p>
        </w:tc>
      </w:tr>
      <w:tr w14:paraId="69AD3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0288761">
            <w:pPr>
              <w:rPr>
                <w:rFonts w:hint="eastAsia" w:asciiTheme="minorEastAsia" w:hAnsiTheme="minorEastAsia" w:eastAsiaTheme="minorEastAsia" w:cstheme="minorEastAsia"/>
                <w:sz w:val="28"/>
                <w:szCs w:val="28"/>
              </w:rPr>
            </w:pPr>
          </w:p>
        </w:tc>
        <w:tc>
          <w:tcPr>
            <w:tcW w:w="1521" w:type="dxa"/>
            <w:noWrap w:val="0"/>
            <w:vAlign w:val="top"/>
          </w:tcPr>
          <w:p w14:paraId="1E1F9E4D">
            <w:pPr>
              <w:rPr>
                <w:rFonts w:hint="eastAsia" w:asciiTheme="minorEastAsia" w:hAnsiTheme="minorEastAsia" w:eastAsiaTheme="minorEastAsia" w:cstheme="minorEastAsia"/>
                <w:sz w:val="28"/>
                <w:szCs w:val="28"/>
              </w:rPr>
            </w:pPr>
          </w:p>
        </w:tc>
        <w:tc>
          <w:tcPr>
            <w:tcW w:w="1275" w:type="dxa"/>
            <w:noWrap w:val="0"/>
            <w:vAlign w:val="top"/>
          </w:tcPr>
          <w:p w14:paraId="384226D1">
            <w:pPr>
              <w:rPr>
                <w:rFonts w:hint="eastAsia" w:asciiTheme="minorEastAsia" w:hAnsiTheme="minorEastAsia" w:eastAsiaTheme="minorEastAsia" w:cstheme="minorEastAsia"/>
                <w:sz w:val="28"/>
                <w:szCs w:val="28"/>
              </w:rPr>
            </w:pPr>
          </w:p>
        </w:tc>
        <w:tc>
          <w:tcPr>
            <w:tcW w:w="975" w:type="dxa"/>
            <w:noWrap w:val="0"/>
            <w:vAlign w:val="top"/>
          </w:tcPr>
          <w:p w14:paraId="52BDE27C">
            <w:pPr>
              <w:rPr>
                <w:rFonts w:hint="eastAsia" w:asciiTheme="minorEastAsia" w:hAnsiTheme="minorEastAsia" w:eastAsiaTheme="minorEastAsia" w:cstheme="minorEastAsia"/>
                <w:sz w:val="28"/>
                <w:szCs w:val="28"/>
              </w:rPr>
            </w:pPr>
          </w:p>
        </w:tc>
        <w:tc>
          <w:tcPr>
            <w:tcW w:w="1011" w:type="dxa"/>
            <w:noWrap w:val="0"/>
            <w:vAlign w:val="top"/>
          </w:tcPr>
          <w:p w14:paraId="4DADF773">
            <w:pPr>
              <w:rPr>
                <w:rFonts w:hint="eastAsia" w:asciiTheme="minorEastAsia" w:hAnsiTheme="minorEastAsia" w:eastAsiaTheme="minorEastAsia" w:cstheme="minorEastAsia"/>
                <w:sz w:val="28"/>
                <w:szCs w:val="28"/>
              </w:rPr>
            </w:pPr>
          </w:p>
        </w:tc>
        <w:tc>
          <w:tcPr>
            <w:tcW w:w="900" w:type="dxa"/>
            <w:noWrap w:val="0"/>
            <w:vAlign w:val="top"/>
          </w:tcPr>
          <w:p w14:paraId="22FE46FE">
            <w:pPr>
              <w:rPr>
                <w:rFonts w:hint="eastAsia" w:asciiTheme="minorEastAsia" w:hAnsiTheme="minorEastAsia" w:eastAsiaTheme="minorEastAsia" w:cstheme="minorEastAsia"/>
                <w:sz w:val="28"/>
                <w:szCs w:val="28"/>
              </w:rPr>
            </w:pPr>
          </w:p>
        </w:tc>
        <w:tc>
          <w:tcPr>
            <w:tcW w:w="900" w:type="dxa"/>
            <w:noWrap w:val="0"/>
            <w:vAlign w:val="top"/>
          </w:tcPr>
          <w:p w14:paraId="0F0D90BD">
            <w:pPr>
              <w:rPr>
                <w:rFonts w:hint="eastAsia" w:asciiTheme="minorEastAsia" w:hAnsiTheme="minorEastAsia" w:eastAsiaTheme="minorEastAsia" w:cstheme="minorEastAsia"/>
                <w:sz w:val="28"/>
                <w:szCs w:val="28"/>
              </w:rPr>
            </w:pPr>
          </w:p>
        </w:tc>
        <w:tc>
          <w:tcPr>
            <w:tcW w:w="900" w:type="dxa"/>
            <w:noWrap w:val="0"/>
            <w:vAlign w:val="top"/>
          </w:tcPr>
          <w:p w14:paraId="4FF78115">
            <w:pPr>
              <w:rPr>
                <w:rFonts w:hint="eastAsia" w:asciiTheme="minorEastAsia" w:hAnsiTheme="minorEastAsia" w:eastAsiaTheme="minorEastAsia" w:cstheme="minorEastAsia"/>
                <w:sz w:val="28"/>
                <w:szCs w:val="28"/>
              </w:rPr>
            </w:pPr>
          </w:p>
        </w:tc>
        <w:tc>
          <w:tcPr>
            <w:tcW w:w="900" w:type="dxa"/>
            <w:noWrap w:val="0"/>
            <w:vAlign w:val="top"/>
          </w:tcPr>
          <w:p w14:paraId="4D766D28">
            <w:pPr>
              <w:rPr>
                <w:rFonts w:hint="eastAsia" w:asciiTheme="minorEastAsia" w:hAnsiTheme="minorEastAsia" w:eastAsiaTheme="minorEastAsia" w:cstheme="minorEastAsia"/>
                <w:sz w:val="28"/>
                <w:szCs w:val="28"/>
              </w:rPr>
            </w:pPr>
          </w:p>
        </w:tc>
        <w:tc>
          <w:tcPr>
            <w:tcW w:w="900" w:type="dxa"/>
            <w:noWrap w:val="0"/>
            <w:vAlign w:val="top"/>
          </w:tcPr>
          <w:p w14:paraId="015BB2DD">
            <w:pPr>
              <w:rPr>
                <w:rFonts w:hint="eastAsia" w:asciiTheme="minorEastAsia" w:hAnsiTheme="minorEastAsia" w:eastAsiaTheme="minorEastAsia" w:cstheme="minorEastAsia"/>
                <w:sz w:val="28"/>
                <w:szCs w:val="28"/>
              </w:rPr>
            </w:pPr>
          </w:p>
        </w:tc>
      </w:tr>
      <w:tr w14:paraId="7ADB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42585B4">
            <w:pPr>
              <w:rPr>
                <w:rFonts w:hint="eastAsia" w:asciiTheme="minorEastAsia" w:hAnsiTheme="minorEastAsia" w:eastAsiaTheme="minorEastAsia" w:cstheme="minorEastAsia"/>
                <w:sz w:val="28"/>
                <w:szCs w:val="28"/>
              </w:rPr>
            </w:pPr>
          </w:p>
        </w:tc>
        <w:tc>
          <w:tcPr>
            <w:tcW w:w="1521" w:type="dxa"/>
            <w:noWrap w:val="0"/>
            <w:vAlign w:val="top"/>
          </w:tcPr>
          <w:p w14:paraId="3105F768">
            <w:pPr>
              <w:rPr>
                <w:rFonts w:hint="eastAsia" w:asciiTheme="minorEastAsia" w:hAnsiTheme="minorEastAsia" w:eastAsiaTheme="minorEastAsia" w:cstheme="minorEastAsia"/>
                <w:sz w:val="28"/>
                <w:szCs w:val="28"/>
              </w:rPr>
            </w:pPr>
          </w:p>
        </w:tc>
        <w:tc>
          <w:tcPr>
            <w:tcW w:w="1275" w:type="dxa"/>
            <w:noWrap w:val="0"/>
            <w:vAlign w:val="top"/>
          </w:tcPr>
          <w:p w14:paraId="1551DB03">
            <w:pPr>
              <w:rPr>
                <w:rFonts w:hint="eastAsia" w:asciiTheme="minorEastAsia" w:hAnsiTheme="minorEastAsia" w:eastAsiaTheme="minorEastAsia" w:cstheme="minorEastAsia"/>
                <w:sz w:val="28"/>
                <w:szCs w:val="28"/>
              </w:rPr>
            </w:pPr>
          </w:p>
        </w:tc>
        <w:tc>
          <w:tcPr>
            <w:tcW w:w="975" w:type="dxa"/>
            <w:noWrap w:val="0"/>
            <w:vAlign w:val="top"/>
          </w:tcPr>
          <w:p w14:paraId="11E6BFE9">
            <w:pPr>
              <w:rPr>
                <w:rFonts w:hint="eastAsia" w:asciiTheme="minorEastAsia" w:hAnsiTheme="minorEastAsia" w:eastAsiaTheme="minorEastAsia" w:cstheme="minorEastAsia"/>
                <w:sz w:val="28"/>
                <w:szCs w:val="28"/>
              </w:rPr>
            </w:pPr>
          </w:p>
        </w:tc>
        <w:tc>
          <w:tcPr>
            <w:tcW w:w="1011" w:type="dxa"/>
            <w:noWrap w:val="0"/>
            <w:vAlign w:val="top"/>
          </w:tcPr>
          <w:p w14:paraId="3F7A2BC4">
            <w:pPr>
              <w:rPr>
                <w:rFonts w:hint="eastAsia" w:asciiTheme="minorEastAsia" w:hAnsiTheme="minorEastAsia" w:eastAsiaTheme="minorEastAsia" w:cstheme="minorEastAsia"/>
                <w:sz w:val="28"/>
                <w:szCs w:val="28"/>
              </w:rPr>
            </w:pPr>
          </w:p>
        </w:tc>
        <w:tc>
          <w:tcPr>
            <w:tcW w:w="900" w:type="dxa"/>
            <w:noWrap w:val="0"/>
            <w:vAlign w:val="top"/>
          </w:tcPr>
          <w:p w14:paraId="3FD17C6A">
            <w:pPr>
              <w:rPr>
                <w:rFonts w:hint="eastAsia" w:asciiTheme="minorEastAsia" w:hAnsiTheme="minorEastAsia" w:eastAsiaTheme="minorEastAsia" w:cstheme="minorEastAsia"/>
                <w:sz w:val="28"/>
                <w:szCs w:val="28"/>
              </w:rPr>
            </w:pPr>
          </w:p>
        </w:tc>
        <w:tc>
          <w:tcPr>
            <w:tcW w:w="900" w:type="dxa"/>
            <w:noWrap w:val="0"/>
            <w:vAlign w:val="top"/>
          </w:tcPr>
          <w:p w14:paraId="5D2C93A1">
            <w:pPr>
              <w:rPr>
                <w:rFonts w:hint="eastAsia" w:asciiTheme="minorEastAsia" w:hAnsiTheme="minorEastAsia" w:eastAsiaTheme="minorEastAsia" w:cstheme="minorEastAsia"/>
                <w:sz w:val="28"/>
                <w:szCs w:val="28"/>
              </w:rPr>
            </w:pPr>
          </w:p>
        </w:tc>
        <w:tc>
          <w:tcPr>
            <w:tcW w:w="900" w:type="dxa"/>
            <w:noWrap w:val="0"/>
            <w:vAlign w:val="top"/>
          </w:tcPr>
          <w:p w14:paraId="705739F9">
            <w:pPr>
              <w:rPr>
                <w:rFonts w:hint="eastAsia" w:asciiTheme="minorEastAsia" w:hAnsiTheme="minorEastAsia" w:eastAsiaTheme="minorEastAsia" w:cstheme="minorEastAsia"/>
                <w:sz w:val="28"/>
                <w:szCs w:val="28"/>
              </w:rPr>
            </w:pPr>
          </w:p>
        </w:tc>
        <w:tc>
          <w:tcPr>
            <w:tcW w:w="900" w:type="dxa"/>
            <w:noWrap w:val="0"/>
            <w:vAlign w:val="top"/>
          </w:tcPr>
          <w:p w14:paraId="4028FBCD">
            <w:pPr>
              <w:rPr>
                <w:rFonts w:hint="eastAsia" w:asciiTheme="minorEastAsia" w:hAnsiTheme="minorEastAsia" w:eastAsiaTheme="minorEastAsia" w:cstheme="minorEastAsia"/>
                <w:sz w:val="28"/>
                <w:szCs w:val="28"/>
              </w:rPr>
            </w:pPr>
          </w:p>
        </w:tc>
        <w:tc>
          <w:tcPr>
            <w:tcW w:w="900" w:type="dxa"/>
            <w:noWrap w:val="0"/>
            <w:vAlign w:val="top"/>
          </w:tcPr>
          <w:p w14:paraId="6D627469">
            <w:pPr>
              <w:rPr>
                <w:rFonts w:hint="eastAsia" w:asciiTheme="minorEastAsia" w:hAnsiTheme="minorEastAsia" w:eastAsiaTheme="minorEastAsia" w:cstheme="minorEastAsia"/>
                <w:sz w:val="28"/>
                <w:szCs w:val="28"/>
              </w:rPr>
            </w:pPr>
          </w:p>
        </w:tc>
      </w:tr>
      <w:tr w14:paraId="5ACE7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58D5D644">
            <w:pPr>
              <w:rPr>
                <w:rFonts w:hint="eastAsia" w:asciiTheme="minorEastAsia" w:hAnsiTheme="minorEastAsia" w:eastAsiaTheme="minorEastAsia" w:cstheme="minorEastAsia"/>
                <w:sz w:val="28"/>
                <w:szCs w:val="28"/>
              </w:rPr>
            </w:pPr>
          </w:p>
        </w:tc>
        <w:tc>
          <w:tcPr>
            <w:tcW w:w="1521" w:type="dxa"/>
            <w:noWrap w:val="0"/>
            <w:vAlign w:val="top"/>
          </w:tcPr>
          <w:p w14:paraId="4B0186C4">
            <w:pPr>
              <w:rPr>
                <w:rFonts w:hint="eastAsia" w:asciiTheme="minorEastAsia" w:hAnsiTheme="minorEastAsia" w:eastAsiaTheme="minorEastAsia" w:cstheme="minorEastAsia"/>
                <w:sz w:val="28"/>
                <w:szCs w:val="28"/>
              </w:rPr>
            </w:pPr>
          </w:p>
        </w:tc>
        <w:tc>
          <w:tcPr>
            <w:tcW w:w="1275" w:type="dxa"/>
            <w:noWrap w:val="0"/>
            <w:vAlign w:val="top"/>
          </w:tcPr>
          <w:p w14:paraId="39D30FF9">
            <w:pPr>
              <w:rPr>
                <w:rFonts w:hint="eastAsia" w:asciiTheme="minorEastAsia" w:hAnsiTheme="minorEastAsia" w:eastAsiaTheme="minorEastAsia" w:cstheme="minorEastAsia"/>
                <w:sz w:val="28"/>
                <w:szCs w:val="28"/>
              </w:rPr>
            </w:pPr>
          </w:p>
        </w:tc>
        <w:tc>
          <w:tcPr>
            <w:tcW w:w="975" w:type="dxa"/>
            <w:noWrap w:val="0"/>
            <w:vAlign w:val="top"/>
          </w:tcPr>
          <w:p w14:paraId="15C42FEB">
            <w:pPr>
              <w:rPr>
                <w:rFonts w:hint="eastAsia" w:asciiTheme="minorEastAsia" w:hAnsiTheme="minorEastAsia" w:eastAsiaTheme="minorEastAsia" w:cstheme="minorEastAsia"/>
                <w:sz w:val="28"/>
                <w:szCs w:val="28"/>
              </w:rPr>
            </w:pPr>
          </w:p>
        </w:tc>
        <w:tc>
          <w:tcPr>
            <w:tcW w:w="1011" w:type="dxa"/>
            <w:noWrap w:val="0"/>
            <w:vAlign w:val="top"/>
          </w:tcPr>
          <w:p w14:paraId="2151859B">
            <w:pPr>
              <w:rPr>
                <w:rFonts w:hint="eastAsia" w:asciiTheme="minorEastAsia" w:hAnsiTheme="minorEastAsia" w:eastAsiaTheme="minorEastAsia" w:cstheme="minorEastAsia"/>
                <w:sz w:val="28"/>
                <w:szCs w:val="28"/>
              </w:rPr>
            </w:pPr>
          </w:p>
        </w:tc>
        <w:tc>
          <w:tcPr>
            <w:tcW w:w="900" w:type="dxa"/>
            <w:noWrap w:val="0"/>
            <w:vAlign w:val="top"/>
          </w:tcPr>
          <w:p w14:paraId="5CC69522">
            <w:pPr>
              <w:rPr>
                <w:rFonts w:hint="eastAsia" w:asciiTheme="minorEastAsia" w:hAnsiTheme="minorEastAsia" w:eastAsiaTheme="minorEastAsia" w:cstheme="minorEastAsia"/>
                <w:sz w:val="28"/>
                <w:szCs w:val="28"/>
              </w:rPr>
            </w:pPr>
          </w:p>
        </w:tc>
        <w:tc>
          <w:tcPr>
            <w:tcW w:w="900" w:type="dxa"/>
            <w:noWrap w:val="0"/>
            <w:vAlign w:val="top"/>
          </w:tcPr>
          <w:p w14:paraId="2D3D2814">
            <w:pPr>
              <w:rPr>
                <w:rFonts w:hint="eastAsia" w:asciiTheme="minorEastAsia" w:hAnsiTheme="minorEastAsia" w:eastAsiaTheme="minorEastAsia" w:cstheme="minorEastAsia"/>
                <w:sz w:val="28"/>
                <w:szCs w:val="28"/>
              </w:rPr>
            </w:pPr>
          </w:p>
        </w:tc>
        <w:tc>
          <w:tcPr>
            <w:tcW w:w="900" w:type="dxa"/>
            <w:noWrap w:val="0"/>
            <w:vAlign w:val="top"/>
          </w:tcPr>
          <w:p w14:paraId="386CA14C">
            <w:pPr>
              <w:rPr>
                <w:rFonts w:hint="eastAsia" w:asciiTheme="minorEastAsia" w:hAnsiTheme="minorEastAsia" w:eastAsiaTheme="minorEastAsia" w:cstheme="minorEastAsia"/>
                <w:sz w:val="28"/>
                <w:szCs w:val="28"/>
              </w:rPr>
            </w:pPr>
          </w:p>
        </w:tc>
        <w:tc>
          <w:tcPr>
            <w:tcW w:w="900" w:type="dxa"/>
            <w:noWrap w:val="0"/>
            <w:vAlign w:val="top"/>
          </w:tcPr>
          <w:p w14:paraId="3D626933">
            <w:pPr>
              <w:rPr>
                <w:rFonts w:hint="eastAsia" w:asciiTheme="minorEastAsia" w:hAnsiTheme="minorEastAsia" w:eastAsiaTheme="minorEastAsia" w:cstheme="minorEastAsia"/>
                <w:sz w:val="28"/>
                <w:szCs w:val="28"/>
              </w:rPr>
            </w:pPr>
          </w:p>
        </w:tc>
        <w:tc>
          <w:tcPr>
            <w:tcW w:w="900" w:type="dxa"/>
            <w:noWrap w:val="0"/>
            <w:vAlign w:val="top"/>
          </w:tcPr>
          <w:p w14:paraId="29DADB75">
            <w:pPr>
              <w:rPr>
                <w:rFonts w:hint="eastAsia" w:asciiTheme="minorEastAsia" w:hAnsiTheme="minorEastAsia" w:eastAsiaTheme="minorEastAsia" w:cstheme="minorEastAsia"/>
                <w:sz w:val="28"/>
                <w:szCs w:val="28"/>
              </w:rPr>
            </w:pPr>
          </w:p>
        </w:tc>
      </w:tr>
    </w:tbl>
    <w:p w14:paraId="267632A5">
      <w:pPr>
        <w:spacing w:line="560" w:lineRule="exact"/>
        <w:rPr>
          <w:rFonts w:hint="eastAsia" w:asciiTheme="minorEastAsia" w:hAnsiTheme="minorEastAsia" w:eastAsiaTheme="minorEastAsia" w:cstheme="minorEastAsia"/>
          <w:b/>
          <w:sz w:val="32"/>
          <w:szCs w:val="32"/>
        </w:rPr>
        <w:sectPr>
          <w:pgSz w:w="11906" w:h="16838"/>
          <w:pgMar w:top="1417" w:right="1417" w:bottom="1417" w:left="1417" w:header="1134" w:footer="992" w:gutter="0"/>
          <w:pgBorders>
            <w:top w:val="none" w:sz="0" w:space="0"/>
            <w:left w:val="none" w:sz="0" w:space="0"/>
            <w:bottom w:val="none" w:sz="0" w:space="0"/>
            <w:right w:val="none" w:sz="0" w:space="0"/>
          </w:pgBorders>
          <w:pgNumType w:fmt="decimal"/>
          <w:cols w:space="720" w:num="1"/>
          <w:titlePg/>
          <w:rtlGutter w:val="0"/>
          <w:docGrid w:type="lines" w:linePitch="333" w:charSpace="0"/>
        </w:sectPr>
      </w:pPr>
    </w:p>
    <w:p w14:paraId="766DF4EB">
      <w:pPr>
        <w:spacing w:line="56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附件三：</w:t>
      </w:r>
    </w:p>
    <w:p w14:paraId="40A828A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工程质量保修书</w:t>
      </w:r>
    </w:p>
    <w:p w14:paraId="1540D8B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sz w:val="24"/>
          <w:szCs w:val="24"/>
        </w:rPr>
      </w:pPr>
      <w:bookmarkStart w:id="205" w:name="tip_risk_bookmark_65"/>
      <w:commentRangeStart w:id="61"/>
      <w:r>
        <w:rPr>
          <w:rFonts w:hint="eastAsia" w:asciiTheme="minorEastAsia" w:hAnsiTheme="minorEastAsia" w:eastAsiaTheme="minorEastAsia" w:cstheme="minorEastAsia"/>
          <w:b/>
          <w:sz w:val="24"/>
          <w:szCs w:val="24"/>
        </w:rPr>
        <w:t>发包人(全称)：</w:t>
      </w:r>
    </w:p>
    <w:p w14:paraId="7BFEF2A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承包人(全称)：</w:t>
      </w:r>
    </w:p>
    <w:p w14:paraId="4436E9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为保证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工程名称)在合理使用期限内正常使用，发包人承包人根据《中华人民共和国建筑法》、《建设工程质量管理条例》和《房屋建筑工程质量保修办法》，经协商一致签订工程质量保修书。承包人在质量保修期内按照有关管理规定及双方约定承担工程质量保修责任。</w:t>
      </w:r>
      <w:commentRangeEnd w:id="61"/>
      <w:r>
        <w:rPr>
          <w:rStyle w:val="57"/>
          <w:rFonts w:hint="eastAsia" w:asciiTheme="minorEastAsia" w:hAnsiTheme="minorEastAsia" w:eastAsiaTheme="minorEastAsia" w:cstheme="minorEastAsia"/>
          <w:sz w:val="24"/>
          <w:szCs w:val="24"/>
        </w:rPr>
        <w:commentReference w:id="61"/>
      </w:r>
      <w:bookmarkEnd w:id="205"/>
    </w:p>
    <w:p w14:paraId="0BCE0F6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commentRangeStart w:id="62"/>
      <w:bookmarkStart w:id="206" w:name="tip_risk_bookmark_66"/>
      <w:r>
        <w:rPr>
          <w:rFonts w:hint="eastAsia" w:asciiTheme="minorEastAsia" w:hAnsiTheme="minorEastAsia" w:eastAsiaTheme="minorEastAsia" w:cstheme="minorEastAsia"/>
          <w:b/>
          <w:sz w:val="24"/>
          <w:szCs w:val="24"/>
        </w:rPr>
        <w:t>一、工程质量保修范围和内容</w:t>
      </w:r>
    </w:p>
    <w:p w14:paraId="2F052E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根据本工程修缮和装修的项目，双方约定具体质量保修范围及内容如下：</w:t>
      </w:r>
      <w:commentRangeEnd w:id="62"/>
      <w:r>
        <w:rPr>
          <w:rStyle w:val="57"/>
          <w:rFonts w:hint="eastAsia" w:asciiTheme="minorEastAsia" w:hAnsiTheme="minorEastAsia" w:eastAsiaTheme="minorEastAsia" w:cstheme="minorEastAsia"/>
          <w:sz w:val="24"/>
          <w:szCs w:val="24"/>
        </w:rPr>
        <w:commentReference w:id="62"/>
      </w:r>
      <w:bookmarkEnd w:id="206"/>
      <w:r>
        <w:rPr>
          <w:rFonts w:hint="eastAsia" w:asciiTheme="minorEastAsia" w:hAnsiTheme="minorEastAsia" w:eastAsiaTheme="minorEastAsia" w:cstheme="minorEastAsia"/>
          <w:sz w:val="24"/>
          <w:szCs w:val="24"/>
          <w:u w:val="single"/>
        </w:rPr>
        <w:t xml:space="preserve">                                                                </w:t>
      </w:r>
    </w:p>
    <w:p w14:paraId="7983199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610ADB8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5124620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commentRangeStart w:id="63"/>
      <w:bookmarkStart w:id="207" w:name="tip_risk_bookmark_67"/>
      <w:r>
        <w:rPr>
          <w:rFonts w:hint="eastAsia" w:asciiTheme="minorEastAsia" w:hAnsiTheme="minorEastAsia" w:eastAsiaTheme="minorEastAsia" w:cstheme="minorEastAsia"/>
          <w:b/>
          <w:sz w:val="24"/>
          <w:szCs w:val="24"/>
        </w:rPr>
        <w:t>二、质量保修期</w:t>
      </w:r>
    </w:p>
    <w:p w14:paraId="4F6395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质量保修期从工程实际竣工验收合格之日算起，分单项竣工验收助工程，按单项工程分别计算质量保修期。</w:t>
      </w:r>
    </w:p>
    <w:p w14:paraId="4272AB6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双方根据《建设工程质量管理条例》 及有关规定，结合本修缮及装修工程约定质量保修期如下：</w:t>
      </w:r>
    </w:p>
    <w:p w14:paraId="38A4E2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1．土建结构修缮工程为：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p>
    <w:p w14:paraId="39AA9C9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2．房屋防水修缮工程为：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commentRangeEnd w:id="63"/>
      <w:r>
        <w:rPr>
          <w:rStyle w:val="57"/>
          <w:rFonts w:hint="eastAsia" w:asciiTheme="minorEastAsia" w:hAnsiTheme="minorEastAsia" w:eastAsiaTheme="minorEastAsia" w:cstheme="minorEastAsia"/>
          <w:sz w:val="24"/>
          <w:szCs w:val="24"/>
        </w:rPr>
        <w:commentReference w:id="63"/>
      </w:r>
      <w:bookmarkEnd w:id="207"/>
    </w:p>
    <w:p w14:paraId="150F48B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bookmarkStart w:id="208" w:name="tip_risk_bookmark_68"/>
      <w:commentRangeStart w:id="64"/>
      <w:r>
        <w:rPr>
          <w:rFonts w:hint="eastAsia" w:asciiTheme="minorEastAsia" w:hAnsiTheme="minorEastAsia" w:eastAsiaTheme="minorEastAsia" w:cstheme="minorEastAsia"/>
          <w:sz w:val="24"/>
          <w:szCs w:val="24"/>
        </w:rPr>
        <w:t>  3．装修工程为：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p>
    <w:p w14:paraId="467FD75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4．电气管线、上下水管线修缮工程为：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p>
    <w:p w14:paraId="6DC8DF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5．供热及供冷为：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个采暖期及供冷期；</w:t>
      </w:r>
    </w:p>
    <w:p w14:paraId="6FC290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6．室外的上下水和小区道路等市政公用工程为：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p>
    <w:p w14:paraId="2291AAF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7．其他约定：</w:t>
      </w:r>
      <w:commentRangeEnd w:id="64"/>
      <w:r>
        <w:rPr>
          <w:rStyle w:val="57"/>
          <w:rFonts w:hint="eastAsia" w:asciiTheme="minorEastAsia" w:hAnsiTheme="minorEastAsia" w:eastAsiaTheme="minorEastAsia" w:cstheme="minorEastAsia"/>
          <w:sz w:val="24"/>
          <w:szCs w:val="24"/>
        </w:rPr>
        <w:commentReference w:id="64"/>
      </w:r>
      <w:bookmarkEnd w:id="208"/>
      <w:r>
        <w:rPr>
          <w:rFonts w:hint="eastAsia" w:asciiTheme="minorEastAsia" w:hAnsiTheme="minorEastAsia" w:eastAsiaTheme="minorEastAsia" w:cstheme="minorEastAsia"/>
          <w:sz w:val="24"/>
          <w:szCs w:val="24"/>
          <w:u w:val="single"/>
        </w:rPr>
        <w:t xml:space="preserve">                                                     </w:t>
      </w:r>
    </w:p>
    <w:p w14:paraId="72E8182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3CD59DF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436C272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1DFEA63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三、质量保修责任</w:t>
      </w:r>
    </w:p>
    <w:p w14:paraId="1EBE25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1．承包人在质量保修期内，按照有关法律、法规、规章的管理规定和双方约定，承担本工程质量保修责任，但不负责原房屋建筑的保修责任。</w:t>
      </w:r>
    </w:p>
    <w:p w14:paraId="4744674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commentRangeStart w:id="65"/>
      <w:bookmarkStart w:id="209" w:name="auto_fouce_69"/>
      <w:r>
        <w:rPr>
          <w:rFonts w:hint="eastAsia" w:asciiTheme="minorEastAsia" w:hAnsiTheme="minorEastAsia" w:eastAsiaTheme="minorEastAsia" w:cstheme="minorEastAsia"/>
          <w:sz w:val="24"/>
          <w:szCs w:val="24"/>
        </w:rPr>
        <w:t>  2．属于保修范围和内容的项目，承包人应在接到修理通知之日后7天内派人修理。承包人</w:t>
      </w:r>
      <w:r>
        <w:rPr>
          <w:rFonts w:hint="eastAsia" w:asciiTheme="minorEastAsia" w:hAnsiTheme="minorEastAsia" w:eastAsiaTheme="minorEastAsia" w:cstheme="minorEastAsia"/>
          <w:sz w:val="24"/>
          <w:szCs w:val="24"/>
          <w:lang w:eastAsia="zh-CN"/>
        </w:rPr>
        <w:t>未</w:t>
      </w:r>
      <w:r>
        <w:rPr>
          <w:rFonts w:hint="eastAsia" w:asciiTheme="minorEastAsia" w:hAnsiTheme="minorEastAsia" w:eastAsiaTheme="minorEastAsia" w:cstheme="minorEastAsia"/>
          <w:sz w:val="24"/>
          <w:szCs w:val="24"/>
        </w:rPr>
        <w:t>在约定期限内派人修理</w:t>
      </w:r>
      <w:r>
        <w:rPr>
          <w:rFonts w:hint="eastAsia" w:asciiTheme="minorEastAsia" w:hAnsiTheme="minorEastAsia" w:eastAsiaTheme="minorEastAsia" w:cstheme="minorEastAsia"/>
          <w:sz w:val="24"/>
          <w:szCs w:val="24"/>
          <w:lang w:eastAsia="zh-CN"/>
        </w:rPr>
        <w:t>的</w:t>
      </w:r>
      <w:r>
        <w:rPr>
          <w:rFonts w:hint="eastAsia" w:asciiTheme="minorEastAsia" w:hAnsiTheme="minorEastAsia" w:eastAsiaTheme="minorEastAsia" w:cstheme="minorEastAsia"/>
          <w:sz w:val="24"/>
          <w:szCs w:val="24"/>
        </w:rPr>
        <w:t>，发包人可委托其他人员修理</w:t>
      </w:r>
      <w:r>
        <w:rPr>
          <w:rFonts w:hint="eastAsia" w:asciiTheme="minorEastAsia" w:hAnsiTheme="minorEastAsia" w:eastAsiaTheme="minorEastAsia" w:cstheme="minorEastAsia"/>
          <w:sz w:val="24"/>
          <w:szCs w:val="24"/>
          <w:lang w:eastAsia="zh-CN"/>
        </w:rPr>
        <w:t>，由此产生的全部费用从质量保证金中直接扣除；质量保证金不足以支付的，发包人有权向承包人追偿</w:t>
      </w:r>
      <w:r>
        <w:rPr>
          <w:rFonts w:hint="eastAsia" w:asciiTheme="minorEastAsia" w:hAnsiTheme="minorEastAsia" w:eastAsiaTheme="minorEastAsia" w:cstheme="minorEastAsia"/>
          <w:sz w:val="24"/>
          <w:szCs w:val="24"/>
        </w:rPr>
        <w:t>。</w:t>
      </w:r>
      <w:commentRangeEnd w:id="65"/>
      <w:r>
        <w:rPr>
          <w:rStyle w:val="57"/>
          <w:rFonts w:hint="eastAsia" w:asciiTheme="minorEastAsia" w:hAnsiTheme="minorEastAsia" w:eastAsiaTheme="minorEastAsia" w:cstheme="minorEastAsia"/>
          <w:sz w:val="24"/>
          <w:szCs w:val="24"/>
        </w:rPr>
        <w:commentReference w:id="65"/>
      </w:r>
      <w:bookmarkEnd w:id="209"/>
    </w:p>
    <w:p w14:paraId="7F67908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3．发生紧急抢修事故(如上水跑水、暖气漏水等)，承包人接到事故通知后，应立即到达事故现场检修。</w:t>
      </w:r>
    </w:p>
    <w:p w14:paraId="08967FA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4．对涉及结构安全的质量问题，应当参照《房屋建筑工程质量保修办法》及其他有关规定，立即向有关主管部门报告，采取安全防范措施；由原设计单位或者具有相应资质等级的设计单位提出保修方案，承包人实施保修。</w:t>
      </w:r>
    </w:p>
    <w:p w14:paraId="0D654FE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5．质量保修完成后，由发包人组织验收。</w:t>
      </w:r>
    </w:p>
    <w:p w14:paraId="6893906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bookmarkStart w:id="210" w:name="tip_risk_bookmark_70"/>
      <w:commentRangeStart w:id="66"/>
      <w:r>
        <w:rPr>
          <w:rFonts w:hint="eastAsia" w:asciiTheme="minorEastAsia" w:hAnsiTheme="minorEastAsia" w:eastAsiaTheme="minorEastAsia" w:cstheme="minorEastAsia"/>
          <w:b/>
          <w:sz w:val="24"/>
          <w:szCs w:val="24"/>
        </w:rPr>
        <w:t>四、保修费用</w:t>
      </w:r>
    </w:p>
    <w:p w14:paraId="01B494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保修费用由造成质量缺陷的责任方承担。</w:t>
      </w:r>
    </w:p>
    <w:p w14:paraId="6F50A61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五、其他</w:t>
      </w:r>
    </w:p>
    <w:p w14:paraId="5A9BAA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双方约定的其他工程质量保修事项：</w:t>
      </w:r>
      <w:commentRangeEnd w:id="66"/>
      <w:r>
        <w:rPr>
          <w:rStyle w:val="57"/>
          <w:rFonts w:hint="eastAsia" w:asciiTheme="minorEastAsia" w:hAnsiTheme="minorEastAsia" w:eastAsiaTheme="minorEastAsia" w:cstheme="minorEastAsia"/>
          <w:sz w:val="24"/>
          <w:szCs w:val="24"/>
        </w:rPr>
        <w:commentReference w:id="66"/>
      </w:r>
      <w:bookmarkEnd w:id="210"/>
      <w:r>
        <w:rPr>
          <w:rFonts w:hint="eastAsia" w:asciiTheme="minorEastAsia" w:hAnsiTheme="minorEastAsia" w:eastAsiaTheme="minorEastAsia" w:cstheme="minorEastAsia"/>
          <w:sz w:val="24"/>
          <w:szCs w:val="24"/>
          <w:u w:val="single"/>
        </w:rPr>
        <w:t xml:space="preserve">                                  </w:t>
      </w:r>
    </w:p>
    <w:p w14:paraId="351728D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5F32571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p>
    <w:p w14:paraId="21058D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本工程质量保修书作为施工合同附件，由施工合同发包人承包人在竣工验收前双方共同签署，其有效期限至保修期满。</w:t>
      </w:r>
    </w:p>
    <w:p w14:paraId="02A562C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p>
    <w:p w14:paraId="462A243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甲方名称：（盖章）              乙方名称：（盖章）                        </w:t>
      </w:r>
    </w:p>
    <w:p w14:paraId="6A7B6A7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                          地址：</w:t>
      </w:r>
    </w:p>
    <w:p w14:paraId="297AFAE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w w:val="90"/>
          <w:sz w:val="24"/>
          <w:szCs w:val="24"/>
        </w:rPr>
      </w:pPr>
      <w:r>
        <w:rPr>
          <w:rFonts w:hint="eastAsia" w:asciiTheme="minorEastAsia" w:hAnsiTheme="minorEastAsia" w:eastAsiaTheme="minorEastAsia" w:cstheme="minorEastAsia"/>
          <w:sz w:val="24"/>
          <w:szCs w:val="24"/>
        </w:rPr>
        <w:t xml:space="preserve">法定代表人或授权代表（签字）：  </w:t>
      </w:r>
      <w:r>
        <w:rPr>
          <w:rFonts w:hint="eastAsia" w:asciiTheme="minorEastAsia" w:hAnsiTheme="minorEastAsia" w:eastAsiaTheme="minorEastAsia" w:cstheme="minorEastAsia"/>
          <w:w w:val="90"/>
          <w:sz w:val="24"/>
          <w:szCs w:val="24"/>
        </w:rPr>
        <w:t xml:space="preserve">法定代表人或授权代表（签字）    </w:t>
      </w:r>
    </w:p>
    <w:p w14:paraId="7A964B4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开户银行：                      开户银行：</w:t>
      </w:r>
    </w:p>
    <w:p w14:paraId="64D0CBD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银行帐号：                      银行帐号：</w:t>
      </w:r>
    </w:p>
    <w:p w14:paraId="5827382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        年     月     日        年     月     日</w:t>
      </w:r>
    </w:p>
    <w:p w14:paraId="62F3AE2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日</w:t>
      </w:r>
    </w:p>
    <w:p w14:paraId="2CCC31AB">
      <w:pPr>
        <w:adjustRightInd w:val="0"/>
        <w:snapToGrid w:val="0"/>
        <w:spacing w:line="560" w:lineRule="exact"/>
        <w:rPr>
          <w:rFonts w:hint="eastAsia" w:ascii="宋体" w:hAnsi="宋体" w:eastAsia="宋体" w:cs="宋体"/>
          <w:b/>
          <w:sz w:val="24"/>
          <w:szCs w:val="24"/>
        </w:rPr>
      </w:pPr>
    </w:p>
    <w:p w14:paraId="432CE62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p>
    <w:p w14:paraId="0A464F33">
      <w:pPr>
        <w:pStyle w:val="17"/>
        <w:keepNext w:val="0"/>
        <w:keepLines w:val="0"/>
        <w:pageBreakBefore w:val="0"/>
        <w:widowControl w:val="0"/>
        <w:kinsoku w:val="0"/>
        <w:wordWrap/>
        <w:overflowPunct w:val="0"/>
        <w:topLinePunct w:val="0"/>
        <w:autoSpaceDE w:val="0"/>
        <w:autoSpaceDN w:val="0"/>
        <w:bidi w:val="0"/>
        <w:adjustRightInd w:val="0"/>
        <w:snapToGrid/>
        <w:spacing w:beforeLines="0" w:after="0" w:afterLines="0" w:line="240" w:lineRule="auto"/>
        <w:ind w:left="0" w:leftChars="0" w:right="0" w:firstLine="560" w:firstLineChars="200"/>
        <w:jc w:val="right"/>
        <w:textAlignment w:val="auto"/>
        <w:rPr>
          <w:rFonts w:hint="eastAsia" w:ascii="仿宋" w:hAnsi="仿宋" w:eastAsia="仿宋" w:cs="仿宋"/>
          <w:kern w:val="2"/>
          <w:sz w:val="28"/>
          <w:szCs w:val="28"/>
          <w:highlight w:val="none"/>
          <w:lang w:val="en-US" w:eastAsia="zh-CN" w:bidi="ar-SA"/>
        </w:rPr>
      </w:pPr>
    </w:p>
    <w:p w14:paraId="70B15512">
      <w:pPr>
        <w:pStyle w:val="17"/>
        <w:keepNext w:val="0"/>
        <w:keepLines w:val="0"/>
        <w:pageBreakBefore w:val="0"/>
        <w:widowControl w:val="0"/>
        <w:kinsoku w:val="0"/>
        <w:wordWrap/>
        <w:overflowPunct w:val="0"/>
        <w:topLinePunct w:val="0"/>
        <w:autoSpaceDE w:val="0"/>
        <w:autoSpaceDN w:val="0"/>
        <w:bidi w:val="0"/>
        <w:adjustRightInd w:val="0"/>
        <w:snapToGrid/>
        <w:spacing w:beforeLines="0" w:after="0" w:afterLines="0" w:line="240" w:lineRule="auto"/>
        <w:ind w:left="0" w:leftChars="0" w:right="0" w:firstLine="560" w:firstLineChars="200"/>
        <w:jc w:val="right"/>
        <w:textAlignment w:val="auto"/>
        <w:rPr>
          <w:rFonts w:hint="eastAsia" w:ascii="仿宋" w:hAnsi="仿宋" w:eastAsia="仿宋" w:cs="仿宋"/>
          <w:kern w:val="2"/>
          <w:sz w:val="28"/>
          <w:szCs w:val="28"/>
          <w:highlight w:val="none"/>
          <w:lang w:val="en-US" w:eastAsia="zh-CN" w:bidi="ar-SA"/>
        </w:rPr>
      </w:pPr>
    </w:p>
    <w:p w14:paraId="4FF59532">
      <w:pPr>
        <w:pStyle w:val="2"/>
        <w:keepNext w:val="0"/>
        <w:keepLines/>
        <w:pageBreakBefore/>
        <w:widowControl w:val="0"/>
        <w:kinsoku/>
        <w:wordWrap/>
        <w:overflowPunct/>
        <w:topLinePunct w:val="0"/>
        <w:autoSpaceDE/>
        <w:autoSpaceDN/>
        <w:bidi w:val="0"/>
        <w:adjustRightInd/>
        <w:snapToGrid/>
        <w:textAlignment w:val="auto"/>
        <w:rPr>
          <w:rFonts w:ascii="宋体"/>
        </w:rPr>
      </w:pPr>
      <w:bookmarkStart w:id="211" w:name="_Toc19543348"/>
      <w:bookmarkStart w:id="212" w:name="_Toc536202392"/>
      <w:bookmarkStart w:id="213" w:name="_Toc24082"/>
      <w:bookmarkStart w:id="214" w:name="_Toc536429332"/>
      <w:bookmarkStart w:id="215" w:name="_Toc536202323"/>
      <w:bookmarkStart w:id="216" w:name="_Toc13998"/>
      <w:bookmarkStart w:id="217" w:name="_Toc2234"/>
      <w:bookmarkStart w:id="218" w:name="_Toc32731"/>
      <w:bookmarkStart w:id="219" w:name="_Toc536429385"/>
      <w:r>
        <w:rPr>
          <w:rFonts w:hint="eastAsia" w:ascii="宋体" w:hAnsi="宋体" w:cs="宋体"/>
        </w:rPr>
        <w:t>第七部分</w:t>
      </w:r>
      <w:r>
        <w:rPr>
          <w:rFonts w:ascii="宋体" w:hAnsi="宋体" w:cs="宋体"/>
        </w:rPr>
        <w:t xml:space="preserve">  </w:t>
      </w:r>
      <w:r>
        <w:rPr>
          <w:rFonts w:hint="eastAsia" w:ascii="宋体" w:hAnsi="宋体" w:cs="宋体"/>
        </w:rPr>
        <w:t>响应文件格式</w:t>
      </w:r>
      <w:bookmarkEnd w:id="211"/>
      <w:bookmarkEnd w:id="212"/>
      <w:bookmarkEnd w:id="213"/>
      <w:bookmarkEnd w:id="214"/>
      <w:bookmarkEnd w:id="215"/>
      <w:bookmarkEnd w:id="216"/>
      <w:bookmarkEnd w:id="217"/>
      <w:bookmarkEnd w:id="218"/>
      <w:bookmarkEnd w:id="219"/>
    </w:p>
    <w:p w14:paraId="06ABD704">
      <w:pPr>
        <w:widowControl/>
        <w:spacing w:line="400" w:lineRule="exact"/>
        <w:jc w:val="right"/>
        <w:rPr>
          <w:rFonts w:cs="仿宋" w:asciiTheme="minorEastAsia" w:hAnsiTheme="minorEastAsia" w:eastAsiaTheme="minorEastAsia"/>
          <w:b/>
          <w:sz w:val="36"/>
          <w:szCs w:val="36"/>
          <w:bdr w:val="single" w:color="auto" w:sz="4" w:space="0"/>
          <w:shd w:val="pct10" w:color="auto" w:fill="FFFFFF"/>
        </w:rPr>
      </w:pPr>
      <w:r>
        <w:rPr>
          <w:rFonts w:hint="eastAsia" w:cs="仿宋" w:asciiTheme="minorEastAsia" w:hAnsiTheme="minorEastAsia" w:eastAsiaTheme="minorEastAsia"/>
          <w:b/>
          <w:sz w:val="36"/>
          <w:szCs w:val="36"/>
          <w:bdr w:val="single" w:color="auto" w:sz="4" w:space="0"/>
          <w:shd w:val="pct10" w:color="auto" w:fill="FFFFFF"/>
        </w:rPr>
        <w:t>政府采购项目</w:t>
      </w:r>
    </w:p>
    <w:p w14:paraId="14E91FD9">
      <w:pPr>
        <w:widowControl/>
        <w:spacing w:line="440" w:lineRule="exact"/>
        <w:rPr>
          <w:rFonts w:hint="eastAsia" w:cs="仿宋" w:asciiTheme="minorEastAsia" w:hAnsiTheme="minorEastAsia" w:eastAsiaTheme="minorEastAsia"/>
          <w:bCs/>
          <w:sz w:val="32"/>
          <w:szCs w:val="32"/>
          <w:lang w:val="en-US" w:eastAsia="zh-CN"/>
        </w:rPr>
      </w:pPr>
      <w:r>
        <w:rPr>
          <w:rFonts w:hint="eastAsia" w:ascii="宋体" w:hAnsi="宋体" w:cs="宋体"/>
          <w:b/>
          <w:bCs/>
          <w:kern w:val="44"/>
          <w:sz w:val="32"/>
          <w:szCs w:val="32"/>
          <w:lang w:eastAsia="zh-CN"/>
        </w:rPr>
        <w:t>项目</w:t>
      </w:r>
      <w:r>
        <w:rPr>
          <w:rFonts w:hint="eastAsia" w:ascii="宋体" w:hAnsi="宋体" w:cs="宋体"/>
          <w:b/>
          <w:bCs/>
          <w:kern w:val="44"/>
          <w:sz w:val="32"/>
          <w:szCs w:val="32"/>
        </w:rPr>
        <w:t>编号</w:t>
      </w:r>
      <w:r>
        <w:rPr>
          <w:rFonts w:hint="eastAsia" w:ascii="宋体" w:hAnsi="宋体" w:cs="宋体"/>
          <w:b/>
          <w:bCs/>
          <w:kern w:val="44"/>
          <w:sz w:val="32"/>
          <w:szCs w:val="32"/>
          <w:lang w:eastAsia="zh-CN"/>
        </w:rPr>
        <w:t>：</w:t>
      </w:r>
      <w:r>
        <w:rPr>
          <w:rFonts w:hint="eastAsia" w:cs="仿宋" w:asciiTheme="minorEastAsia" w:hAnsiTheme="minorEastAsia" w:eastAsiaTheme="minorEastAsia"/>
          <w:bCs/>
          <w:sz w:val="32"/>
          <w:szCs w:val="32"/>
        </w:rPr>
        <w:t xml:space="preserve"> </w:t>
      </w:r>
      <w:r>
        <w:rPr>
          <w:rFonts w:hint="eastAsia" w:cs="仿宋" w:asciiTheme="minorEastAsia" w:hAnsiTheme="minorEastAsia" w:eastAsiaTheme="minorEastAsia"/>
          <w:bCs/>
          <w:sz w:val="32"/>
          <w:szCs w:val="32"/>
          <w:lang w:eastAsia="zh-CN"/>
        </w:rPr>
        <w:t>AKSH2026-ZCS-113</w:t>
      </w:r>
    </w:p>
    <w:p w14:paraId="75C0A15E">
      <w:pPr>
        <w:widowControl/>
        <w:spacing w:line="600" w:lineRule="exact"/>
        <w:rPr>
          <w:rFonts w:cs="仿宋" w:asciiTheme="minorEastAsia" w:hAnsiTheme="minorEastAsia" w:eastAsiaTheme="minorEastAsia"/>
          <w:bCs/>
          <w:spacing w:val="20"/>
          <w:kern w:val="0"/>
          <w:sz w:val="84"/>
          <w:szCs w:val="84"/>
        </w:rPr>
      </w:pPr>
    </w:p>
    <w:p w14:paraId="2EE104C3">
      <w:pPr>
        <w:pStyle w:val="5"/>
      </w:pPr>
    </w:p>
    <w:p w14:paraId="7F41D7E5">
      <w:pPr>
        <w:widowControl/>
        <w:spacing w:before="158" w:beforeLines="50" w:line="800" w:lineRule="exact"/>
        <w:jc w:val="center"/>
        <w:rPr>
          <w:rFonts w:hint="eastAsia" w:cs="仿宋" w:asciiTheme="minorEastAsia" w:hAnsiTheme="minorEastAsia" w:eastAsiaTheme="minorEastAsia"/>
          <w:b/>
          <w:spacing w:val="20"/>
          <w:kern w:val="0"/>
          <w:sz w:val="84"/>
          <w:szCs w:val="84"/>
        </w:rPr>
      </w:pPr>
    </w:p>
    <w:p w14:paraId="528E3F97">
      <w:pPr>
        <w:widowControl/>
        <w:spacing w:before="158" w:beforeLines="50" w:line="800" w:lineRule="exact"/>
        <w:jc w:val="center"/>
        <w:rPr>
          <w:rFonts w:hint="eastAsia" w:cs="仿宋" w:asciiTheme="minorEastAsia" w:hAnsiTheme="minorEastAsia" w:eastAsiaTheme="minorEastAsia"/>
          <w:b/>
          <w:spacing w:val="20"/>
          <w:kern w:val="0"/>
          <w:sz w:val="84"/>
          <w:szCs w:val="84"/>
        </w:rPr>
      </w:pPr>
      <w:r>
        <w:rPr>
          <w:rFonts w:hint="eastAsia" w:cs="仿宋" w:asciiTheme="minorEastAsia" w:hAnsiTheme="minorEastAsia" w:eastAsiaTheme="minorEastAsia"/>
          <w:b/>
          <w:spacing w:val="20"/>
          <w:kern w:val="0"/>
          <w:sz w:val="48"/>
          <w:szCs w:val="48"/>
          <w:u w:val="single"/>
          <w:lang w:val="en-US" w:eastAsia="zh-CN"/>
        </w:rPr>
        <w:t xml:space="preserve">           </w:t>
      </w:r>
      <w:r>
        <w:rPr>
          <w:rFonts w:hint="eastAsia" w:cs="仿宋" w:asciiTheme="minorEastAsia" w:hAnsiTheme="minorEastAsia" w:eastAsiaTheme="minorEastAsia"/>
          <w:b/>
          <w:spacing w:val="20"/>
          <w:kern w:val="0"/>
          <w:sz w:val="48"/>
          <w:szCs w:val="48"/>
          <w:lang w:val="en-US" w:eastAsia="zh-CN"/>
        </w:rPr>
        <w:t>项目</w:t>
      </w:r>
    </w:p>
    <w:p w14:paraId="719B4F02">
      <w:pPr>
        <w:widowControl/>
        <w:spacing w:before="158" w:beforeLines="50" w:line="800" w:lineRule="exact"/>
        <w:jc w:val="center"/>
        <w:rPr>
          <w:rFonts w:hint="eastAsia" w:cs="仿宋" w:asciiTheme="minorEastAsia" w:hAnsiTheme="minorEastAsia" w:eastAsiaTheme="minorEastAsia"/>
          <w:b/>
          <w:spacing w:val="20"/>
          <w:kern w:val="0"/>
          <w:sz w:val="84"/>
          <w:szCs w:val="84"/>
        </w:rPr>
      </w:pPr>
    </w:p>
    <w:p w14:paraId="6873ACFC">
      <w:pPr>
        <w:pStyle w:val="43"/>
        <w:rPr>
          <w:rFonts w:hint="eastAsia"/>
        </w:rPr>
      </w:pPr>
    </w:p>
    <w:p w14:paraId="7544CD5E">
      <w:pPr>
        <w:pStyle w:val="27"/>
      </w:pPr>
    </w:p>
    <w:p w14:paraId="136484FD">
      <w:pPr>
        <w:pStyle w:val="27"/>
      </w:pPr>
    </w:p>
    <w:p w14:paraId="7A8CB986">
      <w:pPr>
        <w:widowControl/>
        <w:spacing w:before="158" w:beforeLines="50" w:line="800" w:lineRule="exact"/>
        <w:jc w:val="center"/>
        <w:rPr>
          <w:rFonts w:cs="仿宋" w:asciiTheme="minorEastAsia" w:hAnsiTheme="minorEastAsia" w:eastAsiaTheme="minorEastAsia"/>
          <w:b/>
          <w:spacing w:val="20"/>
          <w:kern w:val="0"/>
          <w:sz w:val="84"/>
          <w:szCs w:val="84"/>
        </w:rPr>
      </w:pPr>
      <w:r>
        <w:rPr>
          <w:rFonts w:hint="eastAsia" w:cs="仿宋" w:asciiTheme="minorEastAsia" w:hAnsiTheme="minorEastAsia" w:eastAsiaTheme="minorEastAsia"/>
          <w:b/>
          <w:spacing w:val="20"/>
          <w:kern w:val="0"/>
          <w:sz w:val="84"/>
          <w:szCs w:val="84"/>
        </w:rPr>
        <w:t>响应文件</w:t>
      </w:r>
    </w:p>
    <w:p w14:paraId="7C3DC8A1">
      <w:pPr>
        <w:pStyle w:val="27"/>
      </w:pPr>
    </w:p>
    <w:p w14:paraId="005BD29C">
      <w:pPr>
        <w:widowControl/>
        <w:spacing w:line="480" w:lineRule="exact"/>
        <w:rPr>
          <w:rFonts w:cs="仿宋" w:asciiTheme="minorEastAsia" w:hAnsiTheme="minorEastAsia" w:eastAsiaTheme="minorEastAsia"/>
          <w:bCs/>
          <w:sz w:val="44"/>
          <w:szCs w:val="44"/>
        </w:rPr>
      </w:pPr>
      <w:r>
        <w:rPr>
          <w:rFonts w:hint="eastAsia" w:cs="仿宋" w:asciiTheme="minorEastAsia" w:hAnsiTheme="minorEastAsia" w:eastAsiaTheme="minorEastAsia"/>
          <w:bCs/>
          <w:sz w:val="32"/>
          <w:szCs w:val="28"/>
        </w:rPr>
        <w:t xml:space="preserve">                     </w:t>
      </w:r>
    </w:p>
    <w:p w14:paraId="542ABF71">
      <w:pPr>
        <w:widowControl/>
        <w:spacing w:line="400" w:lineRule="exact"/>
        <w:rPr>
          <w:rFonts w:cs="仿宋" w:asciiTheme="minorEastAsia" w:hAnsiTheme="minorEastAsia" w:eastAsiaTheme="minorEastAsia"/>
          <w:bCs/>
          <w:sz w:val="18"/>
          <w:szCs w:val="18"/>
        </w:rPr>
      </w:pPr>
    </w:p>
    <w:p w14:paraId="7F6D13B7">
      <w:pPr>
        <w:widowControl/>
        <w:spacing w:line="400" w:lineRule="exact"/>
        <w:rPr>
          <w:rFonts w:cs="仿宋" w:asciiTheme="minorEastAsia" w:hAnsiTheme="minorEastAsia" w:eastAsiaTheme="minorEastAsia"/>
          <w:bCs/>
          <w:sz w:val="18"/>
          <w:szCs w:val="18"/>
        </w:rPr>
      </w:pPr>
    </w:p>
    <w:p w14:paraId="71FAA3C7">
      <w:pPr>
        <w:widowControl/>
        <w:spacing w:line="400" w:lineRule="exact"/>
        <w:rPr>
          <w:rFonts w:cs="仿宋" w:asciiTheme="minorEastAsia" w:hAnsiTheme="minorEastAsia" w:eastAsiaTheme="minorEastAsia"/>
          <w:bCs/>
          <w:sz w:val="18"/>
          <w:szCs w:val="18"/>
        </w:rPr>
      </w:pPr>
    </w:p>
    <w:p w14:paraId="3FEF5615">
      <w:pPr>
        <w:widowControl/>
        <w:spacing w:line="480" w:lineRule="auto"/>
        <w:rPr>
          <w:rFonts w:cs="仿宋" w:asciiTheme="minorEastAsia" w:hAnsiTheme="minorEastAsia" w:eastAsiaTheme="minorEastAsia"/>
          <w:bCs/>
          <w:sz w:val="36"/>
          <w:szCs w:val="36"/>
        </w:rPr>
      </w:pPr>
    </w:p>
    <w:p w14:paraId="30BEACD7">
      <w:pPr>
        <w:pStyle w:val="17"/>
      </w:pPr>
    </w:p>
    <w:p w14:paraId="62891D54">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ascii="宋体" w:cs="Times New Roman"/>
          <w:sz w:val="24"/>
          <w:szCs w:val="24"/>
          <w:u w:val="single"/>
        </w:rPr>
      </w:pPr>
      <w:r>
        <w:rPr>
          <w:rFonts w:hint="eastAsia" w:ascii="宋体" w:hAnsi="宋体" w:cs="宋体"/>
          <w:sz w:val="24"/>
          <w:szCs w:val="24"/>
          <w:lang w:val="zh-CN"/>
        </w:rPr>
        <w:t>供应商（单位名称及公章）：</w:t>
      </w:r>
      <w:r>
        <w:rPr>
          <w:rFonts w:hint="eastAsia" w:ascii="宋体" w:hAnsi="宋体" w:cs="宋体"/>
          <w:sz w:val="24"/>
          <w:szCs w:val="24"/>
        </w:rPr>
        <w:t>____________________________</w:t>
      </w:r>
    </w:p>
    <w:p w14:paraId="5EFCC8AB">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cs="Times New Roman"/>
          <w:sz w:val="24"/>
          <w:szCs w:val="24"/>
        </w:rPr>
      </w:pPr>
      <w:r>
        <w:rPr>
          <w:rFonts w:hint="eastAsia" w:ascii="宋体" w:hAnsi="宋体" w:cs="宋体"/>
          <w:sz w:val="24"/>
          <w:szCs w:val="24"/>
          <w:lang w:val="zh-CN"/>
        </w:rPr>
        <w:t>法定代表人</w:t>
      </w:r>
      <w:r>
        <w:rPr>
          <w:rFonts w:hint="eastAsia" w:ascii="宋体" w:hAnsi="宋体" w:cs="宋体"/>
          <w:sz w:val="24"/>
          <w:szCs w:val="24"/>
          <w:lang w:val="en-US" w:eastAsia="zh-CN"/>
        </w:rPr>
        <w:t>或</w:t>
      </w:r>
      <w:r>
        <w:rPr>
          <w:rFonts w:hint="eastAsia" w:ascii="宋体" w:hAnsi="宋体" w:cs="宋体"/>
          <w:sz w:val="24"/>
          <w:szCs w:val="24"/>
          <w:lang w:val="zh-CN"/>
        </w:rPr>
        <w:t>被授权人（</w:t>
      </w:r>
      <w:r>
        <w:rPr>
          <w:rFonts w:hint="eastAsia" w:ascii="宋体" w:hAnsi="宋体" w:eastAsia="宋体" w:cs="宋体"/>
          <w:spacing w:val="4"/>
          <w:sz w:val="24"/>
          <w:lang w:val="en-US" w:eastAsia="zh-CN"/>
        </w:rPr>
        <w:t>签字或盖章</w:t>
      </w:r>
      <w:r>
        <w:rPr>
          <w:rFonts w:hint="eastAsia" w:ascii="宋体" w:hAnsi="宋体" w:cs="宋体"/>
          <w:sz w:val="24"/>
          <w:szCs w:val="24"/>
          <w:lang w:val="zh-CN"/>
        </w:rPr>
        <w:t>）：</w:t>
      </w:r>
      <w:r>
        <w:rPr>
          <w:rFonts w:hint="eastAsia" w:ascii="宋体" w:hAnsi="宋体" w:cs="宋体"/>
          <w:sz w:val="24"/>
          <w:szCs w:val="24"/>
        </w:rPr>
        <w:t>________________________</w:t>
      </w:r>
    </w:p>
    <w:p w14:paraId="5D5263F7">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hint="eastAsia" w:ascii="宋体" w:hAnsi="宋体" w:cs="宋体"/>
          <w:sz w:val="24"/>
          <w:szCs w:val="24"/>
        </w:rPr>
      </w:pPr>
      <w:r>
        <w:rPr>
          <w:rFonts w:hint="eastAsia" w:ascii="宋体" w:hAnsi="宋体" w:cs="宋体"/>
          <w:sz w:val="24"/>
          <w:szCs w:val="24"/>
        </w:rPr>
        <w:t>日期</w:t>
      </w:r>
      <w:r>
        <w:rPr>
          <w:rFonts w:hint="eastAsia" w:ascii="宋体" w:hAnsi="宋体" w:cs="宋体"/>
          <w:sz w:val="24"/>
          <w:szCs w:val="24"/>
          <w:lang w:val="zh-CN"/>
        </w:rPr>
        <w:t>：</w:t>
      </w:r>
      <w:r>
        <w:rPr>
          <w:rFonts w:hint="eastAsia" w:ascii="宋体" w:hAnsi="宋体" w:cs="宋体"/>
          <w:sz w:val="24"/>
          <w:szCs w:val="24"/>
        </w:rPr>
        <w:t>________________________________________________</w:t>
      </w:r>
      <w:bookmarkEnd w:id="0"/>
    </w:p>
    <w:p w14:paraId="31397716">
      <w:pPr>
        <w:pStyle w:val="67"/>
        <w:rPr>
          <w:rFonts w:hint="eastAsia" w:ascii="宋体" w:hAnsi="宋体" w:cs="宋体"/>
          <w:sz w:val="24"/>
          <w:szCs w:val="24"/>
        </w:rPr>
      </w:pPr>
    </w:p>
    <w:p w14:paraId="6DE6A680">
      <w:pPr>
        <w:pStyle w:val="67"/>
        <w:rPr>
          <w:rFonts w:hint="eastAsia" w:ascii="宋体" w:hAnsi="宋体" w:cs="宋体"/>
          <w:sz w:val="24"/>
          <w:szCs w:val="24"/>
        </w:rPr>
      </w:pPr>
    </w:p>
    <w:p w14:paraId="5031BF36">
      <w:pPr>
        <w:pStyle w:val="67"/>
        <w:rPr>
          <w:rFonts w:hint="eastAsia" w:ascii="宋体" w:hAnsi="宋体" w:cs="宋体"/>
          <w:sz w:val="24"/>
          <w:szCs w:val="24"/>
        </w:rPr>
      </w:pPr>
    </w:p>
    <w:p w14:paraId="40D2F041">
      <w:pPr>
        <w:pStyle w:val="27"/>
        <w:keepNext w:val="0"/>
        <w:keepLines w:val="0"/>
        <w:widowControl w:val="0"/>
        <w:kinsoku/>
        <w:wordWrap/>
        <w:overflowPunct/>
        <w:topLinePunct w:val="0"/>
        <w:autoSpaceDE/>
        <w:autoSpaceDN/>
        <w:bidi w:val="0"/>
        <w:adjustRightInd/>
        <w:spacing w:line="360" w:lineRule="auto"/>
        <w:ind w:left="945" w:leftChars="450"/>
        <w:jc w:val="center"/>
        <w:textAlignment w:val="auto"/>
        <w:rPr>
          <w:rFonts w:hint="eastAsia" w:ascii="宋体" w:hAnsi="宋体" w:eastAsia="宋体"/>
          <w:sz w:val="44"/>
          <w:szCs w:val="40"/>
          <w:lang w:val="en-US" w:eastAsia="zh-CN"/>
        </w:rPr>
      </w:pPr>
      <w:r>
        <w:rPr>
          <w:rFonts w:hint="eastAsia" w:ascii="宋体" w:hAnsi="宋体"/>
          <w:sz w:val="44"/>
          <w:szCs w:val="40"/>
          <w:lang w:val="en-US" w:eastAsia="zh-CN"/>
        </w:rPr>
        <w:t>目   录</w:t>
      </w:r>
    </w:p>
    <w:p w14:paraId="0CACFC5A">
      <w:pPr>
        <w:pStyle w:val="27"/>
        <w:keepNext w:val="0"/>
        <w:keepLines w:val="0"/>
        <w:widowControl w:val="0"/>
        <w:kinsoku/>
        <w:wordWrap/>
        <w:overflowPunct/>
        <w:topLinePunct w:val="0"/>
        <w:autoSpaceDE/>
        <w:autoSpaceDN/>
        <w:bidi w:val="0"/>
        <w:adjustRightInd/>
        <w:spacing w:line="360" w:lineRule="auto"/>
        <w:ind w:left="945" w:leftChars="450"/>
        <w:textAlignment w:val="auto"/>
        <w:rPr>
          <w:rFonts w:hint="eastAsia" w:ascii="宋体" w:hAnsi="宋体"/>
          <w:sz w:val="32"/>
          <w:szCs w:val="28"/>
        </w:rPr>
      </w:pPr>
    </w:p>
    <w:p w14:paraId="0A17C15C">
      <w:pPr>
        <w:spacing w:line="600" w:lineRule="exact"/>
        <w:ind w:firstLine="2080" w:firstLineChars="740"/>
        <w:rPr>
          <w:rFonts w:hint="eastAsia" w:ascii="Times New Roman" w:hAnsi="宋体" w:eastAsia="宋体" w:cs="Times New Roman"/>
          <w:b/>
          <w:sz w:val="28"/>
          <w:szCs w:val="28"/>
        </w:rPr>
      </w:pPr>
      <w:r>
        <w:rPr>
          <w:rFonts w:hint="eastAsia" w:ascii="Times New Roman" w:hAnsi="宋体" w:eastAsia="宋体" w:cs="Times New Roman"/>
          <w:b/>
          <w:sz w:val="28"/>
          <w:szCs w:val="28"/>
        </w:rPr>
        <w:t>一、磋商响应函</w:t>
      </w:r>
    </w:p>
    <w:p w14:paraId="2C26E901">
      <w:pPr>
        <w:spacing w:line="600" w:lineRule="exact"/>
        <w:ind w:firstLine="2080" w:firstLineChars="740"/>
        <w:rPr>
          <w:rFonts w:hint="eastAsia" w:ascii="Times New Roman" w:hAnsi="宋体" w:eastAsia="宋体" w:cs="Times New Roman"/>
          <w:b/>
          <w:sz w:val="28"/>
          <w:szCs w:val="28"/>
        </w:rPr>
      </w:pPr>
      <w:r>
        <w:rPr>
          <w:rFonts w:hint="eastAsia" w:ascii="Times New Roman" w:hAnsi="宋体" w:eastAsia="宋体" w:cs="Times New Roman"/>
          <w:b/>
          <w:sz w:val="28"/>
          <w:szCs w:val="28"/>
        </w:rPr>
        <w:t>二、第一次磋商报价表</w:t>
      </w:r>
    </w:p>
    <w:p w14:paraId="10412D0B">
      <w:pPr>
        <w:spacing w:line="600" w:lineRule="exact"/>
        <w:ind w:firstLine="2080" w:firstLineChars="740"/>
        <w:rPr>
          <w:rFonts w:hint="default" w:ascii="Times New Roman" w:hAnsi="宋体" w:eastAsia="宋体" w:cs="Times New Roman"/>
          <w:b/>
          <w:sz w:val="28"/>
          <w:szCs w:val="28"/>
          <w:lang w:val="en-US" w:eastAsia="zh-CN"/>
        </w:rPr>
      </w:pPr>
      <w:r>
        <w:rPr>
          <w:rFonts w:hint="eastAsia" w:ascii="Times New Roman" w:hAnsi="宋体" w:eastAsia="宋体" w:cs="Times New Roman"/>
          <w:b/>
          <w:sz w:val="28"/>
          <w:szCs w:val="28"/>
        </w:rPr>
        <w:t>三、</w:t>
      </w:r>
      <w:r>
        <w:rPr>
          <w:rFonts w:hint="eastAsia" w:ascii="Times New Roman" w:hAnsi="宋体" w:eastAsia="宋体" w:cs="Times New Roman"/>
          <w:b/>
          <w:sz w:val="28"/>
          <w:szCs w:val="28"/>
          <w:lang w:val="en-US" w:eastAsia="zh-CN"/>
        </w:rPr>
        <w:t>已标</w:t>
      </w:r>
      <w:r>
        <w:rPr>
          <w:rFonts w:hint="eastAsia" w:ascii="Times New Roman" w:hAnsi="宋体" w:cs="Times New Roman"/>
          <w:b/>
          <w:sz w:val="28"/>
          <w:szCs w:val="28"/>
          <w:lang w:val="en-US" w:eastAsia="zh-CN"/>
        </w:rPr>
        <w:t>价</w:t>
      </w:r>
      <w:r>
        <w:rPr>
          <w:rFonts w:hint="eastAsia" w:ascii="Times New Roman" w:hAnsi="宋体" w:eastAsia="宋体" w:cs="Times New Roman"/>
          <w:b/>
          <w:sz w:val="28"/>
          <w:szCs w:val="28"/>
          <w:lang w:val="en-US" w:eastAsia="zh-CN"/>
        </w:rPr>
        <w:t>工</w:t>
      </w:r>
      <w:r>
        <w:rPr>
          <w:rFonts w:hint="eastAsia" w:ascii="Times New Roman" w:hAnsi="宋体" w:cs="Times New Roman"/>
          <w:b/>
          <w:sz w:val="28"/>
          <w:szCs w:val="28"/>
          <w:lang w:val="en-US" w:eastAsia="zh-CN"/>
        </w:rPr>
        <w:t>程</w:t>
      </w:r>
      <w:r>
        <w:rPr>
          <w:rFonts w:hint="eastAsia" w:ascii="Times New Roman" w:hAnsi="宋体" w:eastAsia="宋体" w:cs="Times New Roman"/>
          <w:b/>
          <w:sz w:val="28"/>
          <w:szCs w:val="28"/>
          <w:lang w:val="en-US" w:eastAsia="zh-CN"/>
        </w:rPr>
        <w:t>量清单</w:t>
      </w:r>
    </w:p>
    <w:p w14:paraId="18AAEBEA">
      <w:pPr>
        <w:spacing w:line="600" w:lineRule="exact"/>
        <w:ind w:firstLine="2080" w:firstLineChars="740"/>
        <w:rPr>
          <w:rFonts w:hint="eastAsia" w:ascii="Times New Roman" w:hAnsi="宋体" w:eastAsia="宋体" w:cs="Times New Roman"/>
          <w:b/>
          <w:sz w:val="28"/>
          <w:szCs w:val="28"/>
        </w:rPr>
      </w:pPr>
      <w:r>
        <w:rPr>
          <w:rFonts w:hint="eastAsia" w:ascii="Times New Roman" w:hAnsi="宋体" w:eastAsia="宋体" w:cs="Times New Roman"/>
          <w:b/>
          <w:sz w:val="28"/>
          <w:szCs w:val="28"/>
          <w:lang w:val="en-US" w:eastAsia="zh-CN"/>
        </w:rPr>
        <w:t>四、</w:t>
      </w:r>
      <w:r>
        <w:rPr>
          <w:rFonts w:hint="eastAsia" w:ascii="Times New Roman" w:hAnsi="宋体" w:eastAsia="宋体" w:cs="Times New Roman"/>
          <w:b/>
          <w:sz w:val="28"/>
          <w:szCs w:val="28"/>
        </w:rPr>
        <w:t>资格证明文件</w:t>
      </w:r>
    </w:p>
    <w:p w14:paraId="788F15D2">
      <w:pPr>
        <w:spacing w:line="600" w:lineRule="exact"/>
        <w:ind w:firstLine="2080" w:firstLineChars="740"/>
        <w:rPr>
          <w:rFonts w:hint="eastAsia" w:ascii="Times New Roman" w:hAnsi="宋体" w:eastAsia="宋体" w:cs="Times New Roman"/>
          <w:b/>
          <w:sz w:val="28"/>
          <w:szCs w:val="28"/>
          <w:lang w:val="en-US" w:eastAsia="zh-CN"/>
        </w:rPr>
      </w:pPr>
      <w:r>
        <w:rPr>
          <w:rFonts w:hint="eastAsia" w:ascii="Times New Roman" w:hAnsi="宋体" w:eastAsia="宋体" w:cs="Times New Roman"/>
          <w:b/>
          <w:sz w:val="28"/>
          <w:szCs w:val="28"/>
          <w:lang w:val="en-US" w:eastAsia="zh-CN"/>
        </w:rPr>
        <w:t>五、商务</w:t>
      </w:r>
      <w:r>
        <w:rPr>
          <w:rFonts w:hint="eastAsia" w:ascii="Times New Roman" w:hAnsi="宋体" w:cs="Times New Roman"/>
          <w:b/>
          <w:sz w:val="28"/>
          <w:szCs w:val="28"/>
          <w:lang w:val="en-US" w:eastAsia="zh-CN"/>
        </w:rPr>
        <w:t>响应</w:t>
      </w:r>
      <w:r>
        <w:rPr>
          <w:rFonts w:hint="eastAsia" w:ascii="Times New Roman" w:hAnsi="宋体" w:eastAsia="宋体" w:cs="Times New Roman"/>
          <w:b/>
          <w:sz w:val="28"/>
          <w:szCs w:val="28"/>
          <w:lang w:val="en-US" w:eastAsia="zh-CN"/>
        </w:rPr>
        <w:t>偏离表</w:t>
      </w:r>
    </w:p>
    <w:p w14:paraId="47CE9300">
      <w:pPr>
        <w:spacing w:line="600" w:lineRule="exact"/>
        <w:ind w:firstLine="2080" w:firstLineChars="740"/>
        <w:rPr>
          <w:rFonts w:hint="eastAsia" w:ascii="Times New Roman" w:hAnsi="宋体" w:eastAsia="宋体" w:cs="Times New Roman"/>
          <w:b/>
          <w:sz w:val="28"/>
          <w:szCs w:val="28"/>
          <w:lang w:eastAsia="zh-CN"/>
        </w:rPr>
      </w:pPr>
      <w:r>
        <w:rPr>
          <w:rFonts w:hint="eastAsia" w:ascii="Times New Roman" w:hAnsi="宋体" w:eastAsia="宋体" w:cs="Times New Roman"/>
          <w:b/>
          <w:sz w:val="28"/>
          <w:szCs w:val="28"/>
          <w:lang w:val="en-US" w:eastAsia="zh-CN"/>
        </w:rPr>
        <w:t>六</w:t>
      </w:r>
      <w:r>
        <w:rPr>
          <w:rFonts w:hint="eastAsia" w:ascii="Times New Roman" w:hAnsi="宋体" w:eastAsia="宋体" w:cs="Times New Roman"/>
          <w:b/>
          <w:sz w:val="28"/>
          <w:szCs w:val="28"/>
        </w:rPr>
        <w:t>、</w:t>
      </w:r>
      <w:r>
        <w:rPr>
          <w:rFonts w:hint="eastAsia" w:ascii="Times New Roman" w:hAnsi="宋体" w:cs="Times New Roman"/>
          <w:b/>
          <w:sz w:val="28"/>
          <w:szCs w:val="28"/>
          <w:lang w:val="en-US" w:eastAsia="zh-CN"/>
        </w:rPr>
        <w:t>响应</w:t>
      </w:r>
      <w:r>
        <w:rPr>
          <w:rFonts w:hint="eastAsia" w:ascii="Times New Roman" w:hAnsi="宋体" w:eastAsia="宋体" w:cs="Times New Roman"/>
          <w:b/>
          <w:sz w:val="28"/>
          <w:szCs w:val="28"/>
          <w:lang w:eastAsia="zh-CN"/>
        </w:rPr>
        <w:t>方案</w:t>
      </w:r>
    </w:p>
    <w:p w14:paraId="148C34ED">
      <w:pPr>
        <w:spacing w:line="600" w:lineRule="exact"/>
        <w:ind w:firstLine="2080" w:firstLineChars="740"/>
        <w:rPr>
          <w:rFonts w:hint="eastAsia" w:ascii="Times New Roman" w:hAnsi="宋体" w:eastAsia="宋体" w:cs="Times New Roman"/>
          <w:b/>
          <w:sz w:val="28"/>
          <w:szCs w:val="28"/>
        </w:rPr>
      </w:pPr>
      <w:r>
        <w:rPr>
          <w:rFonts w:hint="eastAsia" w:ascii="Times New Roman" w:hAnsi="宋体" w:eastAsia="宋体" w:cs="Times New Roman"/>
          <w:b/>
          <w:sz w:val="28"/>
          <w:szCs w:val="28"/>
          <w:lang w:val="en-US" w:eastAsia="zh-CN"/>
        </w:rPr>
        <w:t>七</w:t>
      </w:r>
      <w:r>
        <w:rPr>
          <w:rFonts w:hint="eastAsia" w:ascii="Times New Roman" w:hAnsi="宋体" w:eastAsia="宋体" w:cs="Times New Roman"/>
          <w:b/>
          <w:sz w:val="28"/>
          <w:szCs w:val="28"/>
        </w:rPr>
        <w:t>、投标人拒绝</w:t>
      </w:r>
      <w:r>
        <w:rPr>
          <w:rFonts w:hint="eastAsia" w:ascii="Times New Roman" w:hAnsi="宋体" w:eastAsia="宋体" w:cs="Times New Roman"/>
          <w:b/>
          <w:sz w:val="28"/>
          <w:szCs w:val="28"/>
          <w:lang w:eastAsia="zh-CN"/>
        </w:rPr>
        <w:t>招标投标</w:t>
      </w:r>
      <w:r>
        <w:rPr>
          <w:rFonts w:hint="eastAsia" w:ascii="Times New Roman" w:hAnsi="宋体" w:eastAsia="宋体" w:cs="Times New Roman"/>
          <w:b/>
          <w:sz w:val="28"/>
          <w:szCs w:val="28"/>
        </w:rPr>
        <w:t>领域商业贿赂承诺书</w:t>
      </w:r>
    </w:p>
    <w:p w14:paraId="658E6B0D">
      <w:pPr>
        <w:pStyle w:val="27"/>
        <w:spacing w:line="480" w:lineRule="auto"/>
        <w:ind w:left="945" w:leftChars="450"/>
      </w:pPr>
      <w:r>
        <w:rPr>
          <w:rFonts w:hint="eastAsia"/>
          <w:sz w:val="30"/>
          <w:szCs w:val="30"/>
        </w:rPr>
        <w:tab/>
      </w:r>
    </w:p>
    <w:p w14:paraId="3385B535">
      <w:pPr>
        <w:widowControl/>
        <w:jc w:val="left"/>
        <w:rPr>
          <w:rFonts w:hAnsi="宋体"/>
          <w:b/>
          <w:sz w:val="32"/>
          <w:szCs w:val="32"/>
        </w:rPr>
      </w:pPr>
      <w:bookmarkStart w:id="220" w:name="_Toc536429396"/>
      <w:bookmarkStart w:id="221" w:name="_Toc536202403"/>
      <w:bookmarkStart w:id="222" w:name="_Toc536429343"/>
      <w:bookmarkStart w:id="223" w:name="_Toc25514"/>
      <w:bookmarkStart w:id="224" w:name="_Toc536202334"/>
      <w:r>
        <w:rPr>
          <w:rFonts w:hAnsi="宋体"/>
          <w:b/>
          <w:sz w:val="32"/>
          <w:szCs w:val="32"/>
        </w:rPr>
        <w:br w:type="page"/>
      </w:r>
    </w:p>
    <w:p w14:paraId="6C53CE6B">
      <w:pPr>
        <w:autoSpaceDE w:val="0"/>
        <w:autoSpaceDN w:val="0"/>
        <w:adjustRightInd w:val="0"/>
        <w:snapToGrid w:val="0"/>
        <w:spacing w:line="600" w:lineRule="exact"/>
        <w:ind w:firstLine="3213" w:firstLineChars="1000"/>
        <w:rPr>
          <w:rFonts w:hAnsi="宋体"/>
          <w:b/>
          <w:sz w:val="32"/>
          <w:szCs w:val="32"/>
        </w:rPr>
      </w:pPr>
      <w:r>
        <w:rPr>
          <w:rFonts w:hint="eastAsia" w:hAnsi="宋体"/>
          <w:b/>
          <w:sz w:val="32"/>
          <w:szCs w:val="32"/>
        </w:rPr>
        <w:t>一、磋商响应函</w:t>
      </w:r>
    </w:p>
    <w:p w14:paraId="72F9F152">
      <w:pPr>
        <w:spacing w:line="400" w:lineRule="exact"/>
        <w:rPr>
          <w:rFonts w:hAnsi="宋体"/>
          <w:sz w:val="24"/>
        </w:rPr>
      </w:pPr>
      <w:r>
        <w:rPr>
          <w:rFonts w:hint="eastAsia" w:hAnsi="宋体"/>
          <w:sz w:val="24"/>
        </w:rPr>
        <w:t>安康尚昊</w:t>
      </w:r>
      <w:r>
        <w:rPr>
          <w:rFonts w:hAnsi="宋体"/>
          <w:sz w:val="24"/>
        </w:rPr>
        <w:t>招标代理有限公司</w:t>
      </w:r>
      <w:r>
        <w:rPr>
          <w:rFonts w:hint="eastAsia" w:hAnsi="宋体"/>
          <w:sz w:val="24"/>
        </w:rPr>
        <w:t>：</w:t>
      </w:r>
    </w:p>
    <w:p w14:paraId="58DF6973">
      <w:pPr>
        <w:spacing w:line="400" w:lineRule="exact"/>
        <w:ind w:firstLine="437"/>
        <w:rPr>
          <w:rFonts w:hAnsi="宋体"/>
          <w:sz w:val="24"/>
        </w:rPr>
      </w:pPr>
      <w:r>
        <w:rPr>
          <w:rFonts w:hint="eastAsia" w:hAnsi="宋体"/>
          <w:sz w:val="24"/>
        </w:rPr>
        <w:t>根据贵方为</w:t>
      </w:r>
      <w:r>
        <w:rPr>
          <w:rFonts w:hint="eastAsia" w:hAnsi="宋体"/>
          <w:sz w:val="24"/>
          <w:u w:val="single"/>
        </w:rPr>
        <w:t xml:space="preserve">  （采购项目名称）  </w:t>
      </w:r>
      <w:r>
        <w:rPr>
          <w:rFonts w:hint="eastAsia" w:hAnsi="宋体"/>
          <w:sz w:val="24"/>
        </w:rPr>
        <w:t>招标采购工程及服务的磋商邀请函</w:t>
      </w:r>
      <w:r>
        <w:rPr>
          <w:rFonts w:hint="eastAsia" w:hAnsi="宋体"/>
          <w:sz w:val="24"/>
          <w:u w:val="single"/>
        </w:rPr>
        <w:t xml:space="preserve"> （项目编号） </w:t>
      </w:r>
      <w:r>
        <w:rPr>
          <w:rFonts w:hint="eastAsia" w:hAnsi="宋体"/>
          <w:sz w:val="24"/>
        </w:rPr>
        <w:t>，签字代表</w:t>
      </w:r>
      <w:r>
        <w:rPr>
          <w:rFonts w:hint="eastAsia" w:hAnsi="宋体"/>
          <w:sz w:val="24"/>
          <w:u w:val="single"/>
        </w:rPr>
        <w:t xml:space="preserve"> （姓名、职务） </w:t>
      </w:r>
      <w:r>
        <w:rPr>
          <w:rFonts w:hint="eastAsia" w:hAnsi="宋体"/>
          <w:sz w:val="24"/>
        </w:rPr>
        <w:t>经正式授权并代表投标人</w:t>
      </w:r>
      <w:r>
        <w:rPr>
          <w:rFonts w:hint="eastAsia" w:hAnsi="宋体"/>
          <w:sz w:val="24"/>
          <w:u w:val="single"/>
        </w:rPr>
        <w:t xml:space="preserve">   （投标人名称、地址）   </w:t>
      </w:r>
      <w:r>
        <w:rPr>
          <w:rFonts w:hint="eastAsia" w:hAnsi="宋体"/>
          <w:sz w:val="24"/>
        </w:rPr>
        <w:t>，提交响应</w:t>
      </w:r>
      <w:r>
        <w:rPr>
          <w:rFonts w:hint="eastAsia" w:hAnsi="宋体"/>
          <w:sz w:val="24"/>
          <w:lang w:eastAsia="zh-CN"/>
        </w:rPr>
        <w:t>文件</w:t>
      </w:r>
      <w:r>
        <w:rPr>
          <w:rFonts w:hint="eastAsia" w:hAnsi="宋体"/>
          <w:sz w:val="24"/>
        </w:rPr>
        <w:t>。</w:t>
      </w:r>
    </w:p>
    <w:p w14:paraId="677F31BC">
      <w:pPr>
        <w:spacing w:line="400" w:lineRule="exact"/>
        <w:ind w:firstLine="482" w:firstLineChars="200"/>
        <w:rPr>
          <w:rFonts w:hAnsi="宋体"/>
          <w:b/>
          <w:sz w:val="24"/>
        </w:rPr>
      </w:pPr>
      <w:r>
        <w:rPr>
          <w:rFonts w:hint="eastAsia" w:hAnsi="宋体"/>
          <w:b/>
          <w:sz w:val="24"/>
        </w:rPr>
        <w:t>在此，签字代表宣布同意如下：</w:t>
      </w:r>
    </w:p>
    <w:p w14:paraId="7F98A50A">
      <w:pPr>
        <w:numPr>
          <w:ilvl w:val="0"/>
          <w:numId w:val="7"/>
        </w:numPr>
        <w:spacing w:line="400" w:lineRule="exact"/>
        <w:ind w:left="-60" w:leftChars="0" w:firstLine="480" w:firstLineChars="0"/>
        <w:rPr>
          <w:rFonts w:hint="eastAsia" w:ascii="宋体" w:hAnsi="宋体" w:eastAsia="宋体" w:cs="宋体"/>
          <w:sz w:val="24"/>
          <w:u w:val="single"/>
        </w:rPr>
      </w:pPr>
      <w:r>
        <w:rPr>
          <w:rFonts w:hint="eastAsia" w:ascii="宋体" w:hAnsi="宋体" w:eastAsia="宋体" w:cs="宋体"/>
          <w:sz w:val="24"/>
        </w:rPr>
        <w:t>所附报价表中规定的应提交和交付的工程总报价为</w:t>
      </w:r>
      <w:r>
        <w:rPr>
          <w:rFonts w:hint="eastAsia" w:ascii="宋体" w:hAnsi="宋体" w:eastAsia="宋体" w:cs="宋体"/>
          <w:sz w:val="24"/>
          <w:u w:val="single"/>
        </w:rPr>
        <w:t xml:space="preserve">  人民币金额数（同时用汉字大写和数字表示的总报价）</w:t>
      </w:r>
    </w:p>
    <w:p w14:paraId="7556E09F">
      <w:pPr>
        <w:numPr>
          <w:ilvl w:val="0"/>
          <w:numId w:val="7"/>
        </w:numPr>
        <w:spacing w:line="400" w:lineRule="exact"/>
        <w:ind w:left="-60" w:leftChars="0" w:firstLine="480" w:firstLineChars="0"/>
        <w:rPr>
          <w:rFonts w:hAnsi="宋体"/>
          <w:sz w:val="24"/>
        </w:rPr>
      </w:pPr>
      <w:r>
        <w:rPr>
          <w:rFonts w:hint="eastAsia" w:hAnsi="宋体"/>
          <w:sz w:val="24"/>
        </w:rPr>
        <w:t>我们将按</w:t>
      </w:r>
      <w:r>
        <w:rPr>
          <w:rFonts w:hint="eastAsia" w:hAnsi="宋体"/>
          <w:sz w:val="24"/>
          <w:lang w:eastAsia="zh-CN"/>
        </w:rPr>
        <w:t>磋商文件</w:t>
      </w:r>
      <w:r>
        <w:rPr>
          <w:rFonts w:hint="eastAsia" w:hAnsi="宋体"/>
          <w:sz w:val="24"/>
        </w:rPr>
        <w:t>的规定履行合同责任和义务。</w:t>
      </w:r>
    </w:p>
    <w:p w14:paraId="260B0EC7">
      <w:pPr>
        <w:numPr>
          <w:ilvl w:val="0"/>
          <w:numId w:val="7"/>
        </w:numPr>
        <w:spacing w:line="400" w:lineRule="exact"/>
        <w:ind w:left="-60" w:leftChars="0" w:firstLine="480" w:firstLineChars="0"/>
        <w:rPr>
          <w:rFonts w:hAnsi="宋体"/>
          <w:sz w:val="24"/>
        </w:rPr>
      </w:pPr>
      <w:r>
        <w:rPr>
          <w:rFonts w:hint="eastAsia" w:hAnsi="宋体"/>
          <w:sz w:val="24"/>
        </w:rPr>
        <w:t>我们已详细审查全部</w:t>
      </w:r>
      <w:r>
        <w:rPr>
          <w:rFonts w:hint="eastAsia" w:hAnsi="宋体"/>
          <w:sz w:val="24"/>
          <w:lang w:eastAsia="zh-CN"/>
        </w:rPr>
        <w:t>磋商文件</w:t>
      </w:r>
      <w:r>
        <w:rPr>
          <w:rFonts w:hint="eastAsia" w:hAnsi="宋体"/>
          <w:sz w:val="24"/>
        </w:rPr>
        <w:t>。我们完全理解并同意放弃对这方面有不明及误解的权力。</w:t>
      </w:r>
    </w:p>
    <w:p w14:paraId="79C7B160">
      <w:pPr>
        <w:spacing w:line="400" w:lineRule="exact"/>
        <w:ind w:firstLine="480" w:firstLineChars="200"/>
        <w:rPr>
          <w:rFonts w:hAnsi="宋体"/>
          <w:sz w:val="24"/>
        </w:rPr>
      </w:pPr>
      <w:r>
        <w:rPr>
          <w:rFonts w:hint="eastAsia" w:hAnsi="宋体"/>
          <w:sz w:val="24"/>
        </w:rPr>
        <w:t>4．本磋商有效期为自磋商之日起</w:t>
      </w:r>
      <w:r>
        <w:rPr>
          <w:rFonts w:hint="eastAsia" w:hAnsi="宋体"/>
          <w:sz w:val="24"/>
          <w:u w:val="single"/>
        </w:rPr>
        <w:t xml:space="preserve">      </w:t>
      </w:r>
      <w:r>
        <w:rPr>
          <w:rFonts w:hint="eastAsia" w:hAnsi="宋体"/>
          <w:sz w:val="24"/>
        </w:rPr>
        <w:t>个日历日（中标人的响应</w:t>
      </w:r>
      <w:r>
        <w:rPr>
          <w:rFonts w:hint="eastAsia" w:hAnsi="宋体"/>
          <w:sz w:val="24"/>
          <w:lang w:eastAsia="zh-CN"/>
        </w:rPr>
        <w:t>文件</w:t>
      </w:r>
      <w:r>
        <w:rPr>
          <w:rFonts w:hint="eastAsia" w:hAnsi="宋体"/>
          <w:sz w:val="24"/>
        </w:rPr>
        <w:t>有效期延长为与合同有效期一致）。</w:t>
      </w:r>
    </w:p>
    <w:p w14:paraId="2F9C7556">
      <w:pPr>
        <w:spacing w:line="400" w:lineRule="exact"/>
        <w:ind w:firstLine="480" w:firstLineChars="200"/>
        <w:rPr>
          <w:rFonts w:hAnsi="宋体"/>
          <w:sz w:val="24"/>
        </w:rPr>
      </w:pPr>
      <w:r>
        <w:rPr>
          <w:rFonts w:hint="eastAsia" w:hAnsi="宋体"/>
          <w:sz w:val="24"/>
        </w:rPr>
        <w:t>5．我们完全理解并同意贵方在</w:t>
      </w:r>
      <w:r>
        <w:rPr>
          <w:rFonts w:hint="eastAsia" w:hAnsi="宋体"/>
          <w:sz w:val="24"/>
          <w:lang w:eastAsia="zh-CN"/>
        </w:rPr>
        <w:t>磋商文件</w:t>
      </w:r>
      <w:r>
        <w:rPr>
          <w:rFonts w:hint="eastAsia" w:hAnsi="宋体"/>
          <w:sz w:val="24"/>
        </w:rPr>
        <w:t>中的有关拒绝磋商的条款。</w:t>
      </w:r>
    </w:p>
    <w:p w14:paraId="6524D37B">
      <w:pPr>
        <w:spacing w:line="400" w:lineRule="exact"/>
        <w:ind w:firstLine="480" w:firstLineChars="200"/>
        <w:rPr>
          <w:rFonts w:hAnsi="宋体"/>
          <w:sz w:val="24"/>
        </w:rPr>
      </w:pPr>
      <w:r>
        <w:rPr>
          <w:rFonts w:hint="eastAsia" w:hAnsi="宋体"/>
          <w:sz w:val="24"/>
        </w:rPr>
        <w:t>6．我们同意提供按照贵方可能要求的与其磋商有关的一切数据或资料，完全理解贵方不一定接受最低磋商报价的</w:t>
      </w:r>
      <w:r>
        <w:rPr>
          <w:rFonts w:hint="eastAsia" w:ascii="宋体" w:hAnsi="宋体"/>
          <w:sz w:val="24"/>
          <w:szCs w:val="24"/>
          <w:lang w:val="en-US" w:eastAsia="zh-CN"/>
        </w:rPr>
        <w:t>响应</w:t>
      </w:r>
      <w:r>
        <w:rPr>
          <w:rFonts w:hint="eastAsia" w:hAnsi="宋体"/>
          <w:sz w:val="24"/>
          <w:lang w:eastAsia="zh-CN"/>
        </w:rPr>
        <w:t>文件</w:t>
      </w:r>
      <w:r>
        <w:rPr>
          <w:rFonts w:hint="eastAsia" w:hAnsi="宋体"/>
          <w:sz w:val="24"/>
        </w:rPr>
        <w:t>或收到的任何</w:t>
      </w:r>
      <w:r>
        <w:rPr>
          <w:rFonts w:hint="eastAsia" w:ascii="宋体" w:hAnsi="宋体"/>
          <w:sz w:val="24"/>
          <w:szCs w:val="24"/>
          <w:lang w:val="en-US" w:eastAsia="zh-CN"/>
        </w:rPr>
        <w:t>响应</w:t>
      </w:r>
      <w:r>
        <w:rPr>
          <w:rFonts w:hint="eastAsia" w:hAnsi="宋体"/>
          <w:sz w:val="24"/>
          <w:lang w:eastAsia="zh-CN"/>
        </w:rPr>
        <w:t>文件</w:t>
      </w:r>
      <w:r>
        <w:rPr>
          <w:rFonts w:hint="eastAsia" w:hAnsi="宋体"/>
          <w:sz w:val="24"/>
        </w:rPr>
        <w:t>。</w:t>
      </w:r>
    </w:p>
    <w:p w14:paraId="1EDD18B3">
      <w:pPr>
        <w:spacing w:line="400" w:lineRule="exact"/>
        <w:ind w:firstLine="480" w:firstLineChars="200"/>
        <w:rPr>
          <w:rFonts w:hAnsi="宋体"/>
          <w:sz w:val="24"/>
        </w:rPr>
      </w:pPr>
      <w:r>
        <w:rPr>
          <w:rFonts w:hint="eastAsia" w:hAnsi="宋体"/>
          <w:sz w:val="24"/>
        </w:rPr>
        <w:t>7．若我方获得成交，我方保证按有关规定向贵方支付成交服务费。</w:t>
      </w:r>
    </w:p>
    <w:p w14:paraId="45ECEF17">
      <w:pPr>
        <w:spacing w:line="400" w:lineRule="exact"/>
        <w:ind w:firstLine="480" w:firstLineChars="200"/>
        <w:rPr>
          <w:rFonts w:hAnsi="宋体"/>
          <w:sz w:val="24"/>
        </w:rPr>
      </w:pPr>
      <w:r>
        <w:rPr>
          <w:rFonts w:hint="eastAsia" w:hAnsi="宋体"/>
          <w:sz w:val="24"/>
        </w:rPr>
        <w:t>8．与本磋商有关的一切正式往来信函请寄：</w:t>
      </w:r>
    </w:p>
    <w:p w14:paraId="28D6D125">
      <w:pPr>
        <w:spacing w:line="400" w:lineRule="exact"/>
        <w:ind w:firstLine="480" w:firstLineChars="200"/>
        <w:rPr>
          <w:rFonts w:hAnsi="宋体"/>
          <w:sz w:val="24"/>
        </w:rPr>
      </w:pPr>
    </w:p>
    <w:p w14:paraId="55918F9D">
      <w:pPr>
        <w:spacing w:line="400" w:lineRule="exact"/>
        <w:ind w:firstLine="480" w:firstLineChars="200"/>
        <w:rPr>
          <w:rFonts w:hAnsi="宋体"/>
          <w:sz w:val="24"/>
          <w:u w:val="single"/>
        </w:rPr>
      </w:pPr>
      <w:r>
        <w:rPr>
          <w:rFonts w:hint="eastAsia" w:hAnsi="宋体"/>
          <w:sz w:val="24"/>
        </w:rPr>
        <w:t>投标人名称（公章）：</w:t>
      </w:r>
      <w:r>
        <w:rPr>
          <w:rFonts w:hint="eastAsia" w:hAnsi="宋体"/>
          <w:sz w:val="24"/>
          <w:u w:val="single"/>
        </w:rPr>
        <w:t xml:space="preserve">                                </w:t>
      </w:r>
    </w:p>
    <w:p w14:paraId="411940C9">
      <w:pPr>
        <w:spacing w:line="400" w:lineRule="exact"/>
        <w:ind w:firstLine="480" w:firstLineChars="200"/>
        <w:rPr>
          <w:rFonts w:hAnsi="宋体"/>
          <w:sz w:val="24"/>
          <w:u w:val="single"/>
        </w:rPr>
      </w:pPr>
      <w:r>
        <w:rPr>
          <w:rFonts w:hint="eastAsia" w:hAnsi="宋体" w:eastAsia="宋体"/>
          <w:sz w:val="24"/>
        </w:rPr>
        <w:t>法定代表人</w:t>
      </w:r>
      <w:r>
        <w:rPr>
          <w:rFonts w:hint="eastAsia" w:hAnsi="宋体" w:eastAsia="宋体"/>
          <w:sz w:val="24"/>
          <w:lang w:val="en-US" w:eastAsia="zh-CN"/>
        </w:rPr>
        <w:t>或</w:t>
      </w:r>
      <w:r>
        <w:rPr>
          <w:rFonts w:hint="eastAsia" w:hAnsi="宋体" w:eastAsia="宋体"/>
          <w:sz w:val="24"/>
        </w:rPr>
        <w:t>被授权人（签字或盖章）</w:t>
      </w:r>
      <w:r>
        <w:rPr>
          <w:rFonts w:hAnsi="宋体" w:cs="宋体"/>
          <w:sz w:val="24"/>
        </w:rPr>
        <w:t>：</w:t>
      </w:r>
      <w:r>
        <w:rPr>
          <w:rFonts w:hAnsi="宋体" w:cs="宋体"/>
          <w:sz w:val="24"/>
          <w:u w:val="single"/>
        </w:rPr>
        <w:t>            </w:t>
      </w:r>
    </w:p>
    <w:p w14:paraId="62EEFFDB">
      <w:pPr>
        <w:spacing w:line="400" w:lineRule="exact"/>
        <w:ind w:firstLine="480" w:firstLineChars="200"/>
        <w:rPr>
          <w:rFonts w:hAnsi="宋体"/>
          <w:sz w:val="24"/>
          <w:u w:val="single"/>
        </w:rPr>
      </w:pPr>
      <w:r>
        <w:rPr>
          <w:rFonts w:hint="eastAsia" w:hAnsi="宋体"/>
          <w:sz w:val="24"/>
        </w:rPr>
        <w:t>详   细   地   址：</w:t>
      </w:r>
      <w:r>
        <w:rPr>
          <w:rFonts w:hint="eastAsia" w:hAnsi="宋体"/>
          <w:sz w:val="24"/>
          <w:u w:val="single"/>
        </w:rPr>
        <w:t xml:space="preserve">                                </w:t>
      </w:r>
    </w:p>
    <w:p w14:paraId="7EAF7FFD">
      <w:pPr>
        <w:tabs>
          <w:tab w:val="left" w:pos="360"/>
        </w:tabs>
        <w:spacing w:line="400" w:lineRule="exact"/>
        <w:ind w:firstLine="480" w:firstLineChars="200"/>
        <w:rPr>
          <w:rFonts w:hAnsi="宋体"/>
          <w:sz w:val="24"/>
          <w:u w:val="single"/>
        </w:rPr>
      </w:pPr>
      <w:r>
        <w:rPr>
          <w:rFonts w:hint="eastAsia" w:hAnsi="宋体"/>
          <w:sz w:val="24"/>
        </w:rPr>
        <w:t>邮   政   编   码：</w:t>
      </w:r>
      <w:r>
        <w:rPr>
          <w:rFonts w:hint="eastAsia" w:hAnsi="宋体"/>
          <w:sz w:val="24"/>
          <w:u w:val="single"/>
        </w:rPr>
        <w:t xml:space="preserve">                                </w:t>
      </w:r>
    </w:p>
    <w:p w14:paraId="330F6420">
      <w:pPr>
        <w:autoSpaceDE w:val="0"/>
        <w:autoSpaceDN w:val="0"/>
        <w:adjustRightInd w:val="0"/>
        <w:spacing w:line="400" w:lineRule="exact"/>
        <w:ind w:firstLine="480" w:firstLineChars="200"/>
        <w:rPr>
          <w:rFonts w:hAnsi="宋体" w:cs="仿宋_GB2312"/>
          <w:sz w:val="24"/>
          <w:u w:val="single"/>
          <w:lang w:val="zh-CN"/>
        </w:rPr>
      </w:pPr>
      <w:r>
        <w:rPr>
          <w:rFonts w:hint="eastAsia" w:hAnsi="宋体" w:cs="仿宋_GB2312"/>
          <w:sz w:val="24"/>
          <w:lang w:val="zh-CN"/>
        </w:rPr>
        <w:t>电             话：</w:t>
      </w:r>
      <w:r>
        <w:rPr>
          <w:rFonts w:hint="eastAsia" w:hAnsi="宋体" w:cs="仿宋_GB2312"/>
          <w:sz w:val="24"/>
          <w:u w:val="single"/>
          <w:lang w:val="zh-CN"/>
        </w:rPr>
        <w:t xml:space="preserve">                                </w:t>
      </w:r>
    </w:p>
    <w:p w14:paraId="4B6EA9D7">
      <w:pPr>
        <w:autoSpaceDE w:val="0"/>
        <w:autoSpaceDN w:val="0"/>
        <w:adjustRightInd w:val="0"/>
        <w:spacing w:line="400" w:lineRule="exact"/>
        <w:ind w:firstLine="480" w:firstLineChars="200"/>
        <w:rPr>
          <w:rFonts w:hAnsi="宋体" w:cs="仿宋_GB2312"/>
          <w:sz w:val="24"/>
          <w:lang w:val="zh-CN"/>
        </w:rPr>
      </w:pPr>
      <w:r>
        <w:rPr>
          <w:rFonts w:hint="eastAsia" w:hAnsi="宋体" w:cs="仿宋_GB2312"/>
          <w:sz w:val="24"/>
          <w:lang w:val="zh-CN"/>
        </w:rPr>
        <w:t>传             真：</w:t>
      </w:r>
      <w:r>
        <w:rPr>
          <w:rFonts w:hint="eastAsia" w:hAnsi="宋体" w:cs="仿宋_GB2312"/>
          <w:sz w:val="24"/>
          <w:u w:val="single"/>
          <w:lang w:val="zh-CN"/>
        </w:rPr>
        <w:t xml:space="preserve">                                </w:t>
      </w:r>
    </w:p>
    <w:p w14:paraId="1BD76731">
      <w:pPr>
        <w:tabs>
          <w:tab w:val="left" w:pos="360"/>
        </w:tabs>
        <w:spacing w:line="400" w:lineRule="exact"/>
        <w:ind w:firstLine="480" w:firstLineChars="200"/>
        <w:rPr>
          <w:rFonts w:hAnsi="宋体"/>
          <w:sz w:val="24"/>
        </w:rPr>
      </w:pPr>
      <w:r>
        <w:rPr>
          <w:rFonts w:hint="eastAsia" w:hAnsi="宋体"/>
          <w:sz w:val="24"/>
        </w:rPr>
        <w:t>电 子 邮 件 地 址：</w:t>
      </w:r>
      <w:r>
        <w:rPr>
          <w:rFonts w:hint="eastAsia" w:hAnsi="宋体"/>
          <w:sz w:val="24"/>
          <w:u w:val="single"/>
        </w:rPr>
        <w:t xml:space="preserve">                                </w:t>
      </w:r>
    </w:p>
    <w:p w14:paraId="4B08F025">
      <w:pPr>
        <w:autoSpaceDE w:val="0"/>
        <w:autoSpaceDN w:val="0"/>
        <w:adjustRightInd w:val="0"/>
        <w:spacing w:line="400" w:lineRule="exact"/>
        <w:ind w:firstLine="480" w:firstLineChars="200"/>
        <w:rPr>
          <w:rFonts w:hAnsi="宋体" w:cs="仿宋_GB2312"/>
          <w:sz w:val="24"/>
          <w:u w:val="single"/>
          <w:lang w:val="zh-CN"/>
        </w:rPr>
      </w:pPr>
      <w:r>
        <w:rPr>
          <w:rFonts w:hint="eastAsia" w:hAnsi="宋体" w:cs="仿宋_GB2312"/>
          <w:sz w:val="24"/>
          <w:lang w:val="zh-CN"/>
        </w:rPr>
        <w:t>开   户   银   行：</w:t>
      </w:r>
      <w:r>
        <w:rPr>
          <w:rFonts w:hint="eastAsia" w:hAnsi="宋体" w:cs="仿宋_GB2312"/>
          <w:sz w:val="24"/>
          <w:u w:val="single"/>
          <w:lang w:val="zh-CN"/>
        </w:rPr>
        <w:t xml:space="preserve">                                </w:t>
      </w:r>
    </w:p>
    <w:p w14:paraId="3FCFB634">
      <w:pPr>
        <w:autoSpaceDE w:val="0"/>
        <w:autoSpaceDN w:val="0"/>
        <w:adjustRightInd w:val="0"/>
        <w:spacing w:line="400" w:lineRule="exact"/>
        <w:ind w:firstLine="480" w:firstLineChars="200"/>
        <w:rPr>
          <w:rFonts w:hAnsi="宋体" w:cs="仿宋_GB2312"/>
          <w:sz w:val="24"/>
          <w:lang w:val="zh-CN"/>
        </w:rPr>
      </w:pPr>
      <w:r>
        <w:rPr>
          <w:rFonts w:hint="eastAsia" w:hAnsi="宋体" w:cs="仿宋_GB2312"/>
          <w:sz w:val="24"/>
          <w:lang w:val="zh-CN"/>
        </w:rPr>
        <w:t>帐             号：</w:t>
      </w:r>
      <w:r>
        <w:rPr>
          <w:rFonts w:hint="eastAsia" w:hAnsi="宋体" w:cs="仿宋_GB2312"/>
          <w:sz w:val="24"/>
          <w:u w:val="single"/>
          <w:lang w:val="zh-CN"/>
        </w:rPr>
        <w:t xml:space="preserve">                                </w:t>
      </w:r>
    </w:p>
    <w:p w14:paraId="3260D827">
      <w:pPr>
        <w:autoSpaceDE w:val="0"/>
        <w:autoSpaceDN w:val="0"/>
        <w:adjustRightInd w:val="0"/>
        <w:spacing w:line="400" w:lineRule="exact"/>
        <w:ind w:right="480" w:firstLine="480" w:firstLineChars="200"/>
        <w:jc w:val="right"/>
        <w:rPr>
          <w:rFonts w:hAnsi="宋体" w:cs="仿宋_GB2312"/>
          <w:sz w:val="24"/>
          <w:lang w:val="zh-CN"/>
        </w:rPr>
      </w:pPr>
    </w:p>
    <w:p w14:paraId="448D583A">
      <w:pPr>
        <w:autoSpaceDE w:val="0"/>
        <w:autoSpaceDN w:val="0"/>
        <w:adjustRightInd w:val="0"/>
        <w:spacing w:line="400" w:lineRule="exact"/>
        <w:ind w:right="480" w:firstLine="2640" w:firstLineChars="1100"/>
        <w:jc w:val="left"/>
        <w:rPr>
          <w:rFonts w:hAnsi="宋体"/>
          <w:sz w:val="24"/>
        </w:rPr>
      </w:pPr>
      <w:r>
        <w:rPr>
          <w:rFonts w:hint="eastAsia" w:hAnsi="宋体"/>
          <w:sz w:val="24"/>
        </w:rPr>
        <w:t>年    月    日</w:t>
      </w:r>
    </w:p>
    <w:p w14:paraId="5EC63BBF">
      <w:pPr>
        <w:autoSpaceDE w:val="0"/>
        <w:autoSpaceDN w:val="0"/>
        <w:adjustRightInd w:val="0"/>
        <w:spacing w:line="400" w:lineRule="exact"/>
        <w:ind w:right="480" w:firstLine="480" w:firstLineChars="200"/>
        <w:jc w:val="right"/>
        <w:rPr>
          <w:rFonts w:hAnsi="宋体"/>
          <w:sz w:val="24"/>
        </w:rPr>
      </w:pPr>
    </w:p>
    <w:p w14:paraId="7A2E5995">
      <w:pPr>
        <w:autoSpaceDE w:val="0"/>
        <w:autoSpaceDN w:val="0"/>
        <w:adjustRightInd w:val="0"/>
        <w:spacing w:line="400" w:lineRule="exact"/>
        <w:ind w:right="480"/>
        <w:rPr>
          <w:rFonts w:hAnsi="宋体"/>
          <w:sz w:val="24"/>
          <w:lang w:val="zh-CN"/>
        </w:rPr>
      </w:pPr>
    </w:p>
    <w:p w14:paraId="5E04BF6F">
      <w:pPr>
        <w:autoSpaceDE w:val="0"/>
        <w:autoSpaceDN w:val="0"/>
        <w:adjustRightInd w:val="0"/>
        <w:snapToGrid w:val="0"/>
        <w:spacing w:line="360" w:lineRule="auto"/>
        <w:jc w:val="center"/>
      </w:pPr>
    </w:p>
    <w:p w14:paraId="5C2BD1DC">
      <w:pPr>
        <w:widowControl/>
        <w:jc w:val="left"/>
        <w:rPr>
          <w:rFonts w:hAnsi="宋体"/>
          <w:b/>
          <w:sz w:val="32"/>
          <w:szCs w:val="32"/>
        </w:rPr>
      </w:pPr>
      <w:r>
        <w:rPr>
          <w:rFonts w:hAnsi="宋体"/>
          <w:b/>
          <w:sz w:val="32"/>
          <w:szCs w:val="32"/>
        </w:rPr>
        <w:br w:type="page"/>
      </w:r>
    </w:p>
    <w:p w14:paraId="3C908F3D">
      <w:pPr>
        <w:pStyle w:val="65"/>
      </w:pPr>
    </w:p>
    <w:p w14:paraId="7BC21D79">
      <w:pPr>
        <w:autoSpaceDE w:val="0"/>
        <w:autoSpaceDN w:val="0"/>
        <w:adjustRightInd w:val="0"/>
        <w:snapToGrid w:val="0"/>
        <w:spacing w:line="360" w:lineRule="auto"/>
        <w:jc w:val="center"/>
        <w:rPr>
          <w:b/>
          <w:sz w:val="24"/>
        </w:rPr>
      </w:pPr>
      <w:r>
        <w:rPr>
          <w:rFonts w:hint="eastAsia" w:hAnsi="宋体"/>
          <w:b/>
          <w:sz w:val="32"/>
          <w:szCs w:val="32"/>
        </w:rPr>
        <w:t>二、第一次磋商报价表</w:t>
      </w:r>
    </w:p>
    <w:p w14:paraId="6D16A555">
      <w:pPr>
        <w:autoSpaceDE w:val="0"/>
        <w:autoSpaceDN w:val="0"/>
        <w:adjustRightInd w:val="0"/>
        <w:snapToGrid w:val="0"/>
        <w:spacing w:line="360" w:lineRule="auto"/>
        <w:rPr>
          <w:rFonts w:hAnsi="宋体"/>
          <w:b/>
          <w:sz w:val="32"/>
          <w:szCs w:val="32"/>
        </w:rPr>
      </w:pPr>
      <w:r>
        <w:rPr>
          <w:rFonts w:hint="eastAsia" w:hAnsi="宋体"/>
          <w:b/>
          <w:sz w:val="32"/>
          <w:szCs w:val="32"/>
        </w:rPr>
        <w:t xml:space="preserve"> </w:t>
      </w:r>
    </w:p>
    <w:p w14:paraId="06528E6D">
      <w:pPr>
        <w:rPr>
          <w:rFonts w:cs="Times New Roman" w:asciiTheme="minorEastAsia" w:hAnsiTheme="minorEastAsia" w:eastAsiaTheme="minorEastAsia"/>
          <w:sz w:val="28"/>
          <w:szCs w:val="28"/>
        </w:rPr>
      </w:pPr>
      <w:bookmarkStart w:id="225" w:name="_Toc536202326"/>
      <w:bookmarkStart w:id="226" w:name="_Toc536202395"/>
      <w:bookmarkStart w:id="227" w:name="_Toc536429388"/>
      <w:bookmarkStart w:id="228" w:name="_Toc536429335"/>
      <w:r>
        <w:rPr>
          <w:rFonts w:hint="eastAsia" w:cs="Times New Roman" w:asciiTheme="minorEastAsia" w:hAnsiTheme="minorEastAsia" w:eastAsiaTheme="minorEastAsia"/>
          <w:sz w:val="28"/>
          <w:szCs w:val="28"/>
        </w:rPr>
        <w:t>供应商名称：</w:t>
      </w:r>
      <w:bookmarkEnd w:id="225"/>
      <w:bookmarkEnd w:id="226"/>
      <w:bookmarkEnd w:id="227"/>
      <w:bookmarkEnd w:id="228"/>
      <w:r>
        <w:rPr>
          <w:rFonts w:hint="eastAsia" w:cs="Times New Roman" w:asciiTheme="minorEastAsia" w:hAnsiTheme="minorEastAsia" w:eastAsiaTheme="minorEastAsia"/>
          <w:sz w:val="28"/>
          <w:szCs w:val="28"/>
        </w:rPr>
        <w:t xml:space="preserve">                                        </w:t>
      </w:r>
    </w:p>
    <w:p w14:paraId="7E6B6486">
      <w:pPr>
        <w:kinsoku w:val="0"/>
        <w:spacing w:line="360" w:lineRule="auto"/>
        <w:jc w:val="left"/>
        <w:rPr>
          <w:rFonts w:ascii="宋体" w:cs="Times New Roman"/>
          <w:sz w:val="24"/>
          <w:szCs w:val="24"/>
        </w:rPr>
      </w:pPr>
      <w:r>
        <w:rPr>
          <w:rFonts w:hint="eastAsia" w:cs="Times New Roman" w:asciiTheme="minorEastAsia" w:hAnsiTheme="minorEastAsia" w:eastAsiaTheme="minorEastAsia"/>
          <w:sz w:val="28"/>
          <w:szCs w:val="28"/>
        </w:rPr>
        <w:t xml:space="preserve">项目名称：                                          </w:t>
      </w:r>
      <w:r>
        <w:rPr>
          <w:rFonts w:hint="eastAsia" w:cs="Times New Roman" w:asciiTheme="minorEastAsia" w:hAnsiTheme="minorEastAsia" w:eastAsiaTheme="minorEastAsia"/>
          <w:sz w:val="28"/>
          <w:szCs w:val="28"/>
          <w:lang w:val="en-US" w:eastAsia="zh-CN"/>
        </w:rPr>
        <w:t>单位：元</w:t>
      </w:r>
      <w:r>
        <w:rPr>
          <w:rFonts w:hint="eastAsia" w:cs="Times New Roman" w:asciiTheme="minorEastAsia" w:hAnsiTheme="minorEastAsia" w:eastAsiaTheme="minorEastAsia"/>
          <w:sz w:val="28"/>
          <w:szCs w:val="28"/>
        </w:rPr>
        <w:t xml:space="preserve">  </w:t>
      </w:r>
    </w:p>
    <w:tbl>
      <w:tblPr>
        <w:tblStyle w:val="44"/>
        <w:tblW w:w="10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5"/>
        <w:gridCol w:w="1817"/>
        <w:gridCol w:w="1635"/>
        <w:gridCol w:w="1640"/>
        <w:gridCol w:w="2070"/>
      </w:tblGrid>
      <w:tr w14:paraId="11C25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3" w:hRule="atLeast"/>
          <w:jc w:val="center"/>
        </w:trPr>
        <w:tc>
          <w:tcPr>
            <w:tcW w:w="2845" w:type="dxa"/>
            <w:tcBorders>
              <w:tl2br w:val="single" w:color="auto" w:sz="4" w:space="0"/>
            </w:tcBorders>
          </w:tcPr>
          <w:p w14:paraId="75696478">
            <w:pPr>
              <w:keepNext w:val="0"/>
              <w:keepLines w:val="0"/>
              <w:suppressLineNumbers w:val="0"/>
              <w:tabs>
                <w:tab w:val="left" w:pos="1091"/>
              </w:tabs>
              <w:kinsoku w:val="0"/>
              <w:spacing w:before="0" w:beforeAutospacing="0" w:after="0" w:afterAutospacing="0" w:line="500" w:lineRule="exact"/>
              <w:ind w:left="0" w:right="0" w:firstLine="1200" w:firstLineChars="500"/>
              <w:rPr>
                <w:rFonts w:hint="default" w:ascii="宋体" w:hAnsi="宋体" w:cs="Times New Roman"/>
                <w:sz w:val="24"/>
                <w:szCs w:val="24"/>
              </w:rPr>
            </w:pPr>
            <w:r>
              <w:rPr>
                <w:rFonts w:hint="eastAsia" w:ascii="宋体" w:hAnsi="宋体" w:cs="Times New Roman"/>
                <w:sz w:val="24"/>
                <w:szCs w:val="24"/>
                <w:lang w:eastAsia="zh-CN"/>
              </w:rPr>
              <w:tab/>
            </w:r>
            <w:r>
              <w:rPr>
                <w:rFonts w:hint="eastAsia" w:ascii="宋体" w:hAnsi="宋体" w:cs="Times New Roman"/>
                <w:sz w:val="24"/>
                <w:szCs w:val="24"/>
                <w:lang w:val="en-US" w:eastAsia="zh-CN"/>
              </w:rPr>
              <w:t xml:space="preserve">   </w:t>
            </w:r>
            <w:r>
              <w:rPr>
                <w:rFonts w:hint="eastAsia" w:ascii="宋体" w:hAnsi="宋体" w:cs="Times New Roman"/>
                <w:sz w:val="24"/>
                <w:szCs w:val="24"/>
              </w:rPr>
              <w:t>报价内容</w:t>
            </w:r>
          </w:p>
          <w:p w14:paraId="20B11901">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p w14:paraId="0BD46FB7">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p w14:paraId="12D52237">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p w14:paraId="6951809B">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r>
              <w:rPr>
                <w:rFonts w:hint="eastAsia" w:ascii="宋体" w:hAnsi="宋体" w:cs="Times New Roman"/>
                <w:sz w:val="24"/>
                <w:szCs w:val="24"/>
              </w:rPr>
              <w:t>投标内容</w:t>
            </w:r>
          </w:p>
        </w:tc>
        <w:tc>
          <w:tcPr>
            <w:tcW w:w="1817" w:type="dxa"/>
            <w:vAlign w:val="center"/>
          </w:tcPr>
          <w:p w14:paraId="1DF86547">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000000" w:themeColor="text1"/>
                <w:sz w:val="24"/>
                <w:szCs w:val="24"/>
                <w:lang w:eastAsia="zh-CN"/>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投标</w:t>
            </w:r>
            <w:r>
              <w:rPr>
                <w:rFonts w:hint="eastAsia" w:ascii="宋体" w:hAnsi="宋体" w:cs="Times New Roman"/>
                <w:color w:val="000000" w:themeColor="text1"/>
                <w:sz w:val="24"/>
                <w:szCs w:val="24"/>
                <w:lang w:val="en-US" w:eastAsia="zh-CN"/>
                <w14:textFill>
                  <w14:solidFill>
                    <w14:schemeClr w14:val="tx1"/>
                  </w14:solidFill>
                </w14:textFill>
              </w:rPr>
              <w:t>总报价</w:t>
            </w:r>
          </w:p>
          <w:p w14:paraId="6B79A9D9">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eastAsia="zh-CN"/>
                <w14:textFill>
                  <w14:solidFill>
                    <w14:schemeClr w14:val="tx1"/>
                  </w14:solidFill>
                </w14:textFill>
              </w:rPr>
              <w:t>（</w:t>
            </w:r>
            <w:r>
              <w:rPr>
                <w:rFonts w:hint="eastAsia" w:ascii="宋体" w:hAnsi="宋体" w:cs="Times New Roman"/>
                <w:color w:val="000000" w:themeColor="text1"/>
                <w:sz w:val="24"/>
                <w:szCs w:val="24"/>
                <w:lang w:val="en-US" w:eastAsia="zh-CN"/>
                <w14:textFill>
                  <w14:solidFill>
                    <w14:schemeClr w14:val="tx1"/>
                  </w14:solidFill>
                </w14:textFill>
              </w:rPr>
              <w:t>元</w:t>
            </w:r>
            <w:r>
              <w:rPr>
                <w:rFonts w:hint="eastAsia" w:ascii="宋体" w:hAnsi="宋体" w:cs="Times New Roman"/>
                <w:color w:val="000000" w:themeColor="text1"/>
                <w:sz w:val="24"/>
                <w:szCs w:val="24"/>
                <w:lang w:eastAsia="zh-CN"/>
                <w14:textFill>
                  <w14:solidFill>
                    <w14:schemeClr w14:val="tx1"/>
                  </w14:solidFill>
                </w14:textFill>
              </w:rPr>
              <w:t>）</w:t>
            </w:r>
          </w:p>
        </w:tc>
        <w:tc>
          <w:tcPr>
            <w:tcW w:w="1635" w:type="dxa"/>
            <w:vAlign w:val="center"/>
          </w:tcPr>
          <w:p w14:paraId="6A5F29C6">
            <w:pPr>
              <w:keepNext w:val="0"/>
              <w:keepLines w:val="0"/>
              <w:suppressLineNumbers w:val="0"/>
              <w:kinsoku w:val="0"/>
              <w:spacing w:before="0" w:beforeAutospacing="0" w:after="0" w:afterAutospacing="0" w:line="500" w:lineRule="exact"/>
              <w:ind w:left="0" w:right="0" w:firstLine="141" w:firstLineChars="59"/>
              <w:jc w:val="center"/>
              <w:rPr>
                <w:rFonts w:hint="eastAsia" w:ascii="宋体" w:hAnsi="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工 期</w:t>
            </w:r>
          </w:p>
          <w:p w14:paraId="0438E73F">
            <w:pPr>
              <w:pStyle w:val="65"/>
              <w:keepNext w:val="0"/>
              <w:keepLines w:val="0"/>
              <w:suppressLineNumbers w:val="0"/>
              <w:spacing w:before="0" w:beforeAutospacing="0" w:after="0" w:afterAutospacing="0"/>
              <w:ind w:left="0" w:right="0"/>
              <w:rPr>
                <w:rFonts w:hint="default"/>
                <w:lang w:val="en-US" w:eastAsia="zh-CN"/>
              </w:rPr>
            </w:pPr>
            <w:r>
              <w:rPr>
                <w:rFonts w:hint="eastAsia" w:ascii="宋体" w:hAnsi="宋体" w:cs="Times New Roman"/>
                <w:color w:val="000000" w:themeColor="text1"/>
                <w:sz w:val="24"/>
                <w:szCs w:val="24"/>
                <w:lang w:val="en-US" w:eastAsia="zh-CN"/>
                <w14:textFill>
                  <w14:solidFill>
                    <w14:schemeClr w14:val="tx1"/>
                  </w14:solidFill>
                </w14:textFill>
              </w:rPr>
              <w:t>（天）</w:t>
            </w:r>
          </w:p>
        </w:tc>
        <w:tc>
          <w:tcPr>
            <w:tcW w:w="1640" w:type="dxa"/>
            <w:vAlign w:val="center"/>
          </w:tcPr>
          <w:p w14:paraId="2B194AF5">
            <w:pPr>
              <w:keepNext w:val="0"/>
              <w:keepLines w:val="0"/>
              <w:suppressLineNumbers w:val="0"/>
              <w:kinsoku w:val="0"/>
              <w:spacing w:before="0" w:beforeAutospacing="0" w:after="0" w:afterAutospacing="0" w:line="500" w:lineRule="exact"/>
              <w:ind w:left="0" w:right="0"/>
              <w:jc w:val="center"/>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质保期</w:t>
            </w:r>
          </w:p>
        </w:tc>
        <w:tc>
          <w:tcPr>
            <w:tcW w:w="2070" w:type="dxa"/>
            <w:vAlign w:val="center"/>
          </w:tcPr>
          <w:p w14:paraId="27D01A79">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r>
              <w:rPr>
                <w:rFonts w:hint="eastAsia" w:ascii="宋体" w:hAnsi="宋体" w:cs="Times New Roman"/>
                <w:sz w:val="24"/>
                <w:szCs w:val="24"/>
              </w:rPr>
              <w:t>备注</w:t>
            </w:r>
          </w:p>
          <w:p w14:paraId="0C852E04">
            <w:pPr>
              <w:keepNext w:val="0"/>
              <w:keepLines w:val="0"/>
              <w:suppressLineNumbers w:val="0"/>
              <w:kinsoku w:val="0"/>
              <w:spacing w:before="0" w:beforeAutospacing="0" w:after="0" w:afterAutospacing="0" w:line="500" w:lineRule="exact"/>
              <w:ind w:left="0" w:right="0"/>
              <w:jc w:val="center"/>
              <w:rPr>
                <w:rFonts w:hint="eastAsia" w:ascii="宋体" w:hAnsi="宋体" w:cs="Times New Roman"/>
                <w:sz w:val="24"/>
                <w:szCs w:val="24"/>
              </w:rPr>
            </w:pPr>
          </w:p>
        </w:tc>
      </w:tr>
      <w:tr w14:paraId="681A0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2845" w:type="dxa"/>
            <w:vAlign w:val="center"/>
          </w:tcPr>
          <w:p w14:paraId="264DAAD1">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c>
          <w:tcPr>
            <w:tcW w:w="1817" w:type="dxa"/>
            <w:vAlign w:val="center"/>
          </w:tcPr>
          <w:p w14:paraId="1287DA4C">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tc>
        <w:tc>
          <w:tcPr>
            <w:tcW w:w="1635" w:type="dxa"/>
            <w:vAlign w:val="center"/>
          </w:tcPr>
          <w:p w14:paraId="4A763F81">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c>
          <w:tcPr>
            <w:tcW w:w="1640" w:type="dxa"/>
            <w:vAlign w:val="center"/>
          </w:tcPr>
          <w:p w14:paraId="4C58D1E7">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c>
          <w:tcPr>
            <w:tcW w:w="2070" w:type="dxa"/>
            <w:vAlign w:val="center"/>
          </w:tcPr>
          <w:p w14:paraId="1A18A15E">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r>
      <w:tr w14:paraId="659E0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10007" w:type="dxa"/>
            <w:gridSpan w:val="5"/>
            <w:vAlign w:val="center"/>
          </w:tcPr>
          <w:p w14:paraId="353A1B63">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r>
              <w:rPr>
                <w:rFonts w:hint="eastAsia" w:ascii="宋体" w:hAnsi="宋体" w:cs="Times New Roman"/>
                <w:color w:val="000000" w:themeColor="text1"/>
                <w:sz w:val="24"/>
                <w:szCs w:val="24"/>
                <w14:textFill>
                  <w14:solidFill>
                    <w14:schemeClr w14:val="tx1"/>
                  </w14:solidFill>
                </w14:textFill>
              </w:rPr>
              <w:t>投标</w:t>
            </w:r>
            <w:r>
              <w:rPr>
                <w:rFonts w:hint="eastAsia" w:ascii="宋体" w:hAnsi="宋体" w:cs="Times New Roman"/>
                <w:color w:val="000000" w:themeColor="text1"/>
                <w:sz w:val="24"/>
                <w:szCs w:val="24"/>
                <w:lang w:val="en-US" w:eastAsia="zh-CN"/>
                <w14:textFill>
                  <w14:solidFill>
                    <w14:schemeClr w14:val="tx1"/>
                  </w14:solidFill>
                </w14:textFill>
              </w:rPr>
              <w:t>报</w:t>
            </w:r>
            <w:r>
              <w:rPr>
                <w:rFonts w:hint="eastAsia" w:ascii="宋体" w:hAnsi="宋体" w:cs="Times New Roman"/>
                <w:color w:val="000000" w:themeColor="text1"/>
                <w:sz w:val="24"/>
                <w:szCs w:val="24"/>
                <w:lang w:eastAsia="zh-CN"/>
                <w14:textFill>
                  <w14:solidFill>
                    <w14:schemeClr w14:val="tx1"/>
                  </w14:solidFill>
                </w14:textFill>
              </w:rPr>
              <w:t>价</w:t>
            </w:r>
            <w:r>
              <w:rPr>
                <w:rFonts w:hint="eastAsia" w:ascii="宋体" w:hAnsi="宋体" w:cs="Times New Roman"/>
                <w:color w:val="000000" w:themeColor="text1"/>
                <w:sz w:val="24"/>
                <w:szCs w:val="24"/>
                <w14:textFill>
                  <w14:solidFill>
                    <w14:schemeClr w14:val="tx1"/>
                  </w14:solidFill>
                </w14:textFill>
              </w:rPr>
              <w:t xml:space="preserve">：（大写） </w:t>
            </w:r>
            <w:r>
              <w:rPr>
                <w:rFonts w:hint="eastAsia" w:ascii="宋体" w:hAnsi="宋体" w:cs="Times New Roman"/>
                <w:color w:val="FF0000"/>
                <w:sz w:val="24"/>
                <w:szCs w:val="24"/>
              </w:rPr>
              <w:t xml:space="preserve">  </w:t>
            </w:r>
            <w:r>
              <w:rPr>
                <w:rFonts w:hint="eastAsia" w:ascii="宋体" w:hAnsi="宋体" w:cs="Times New Roman"/>
                <w:sz w:val="24"/>
                <w:szCs w:val="24"/>
              </w:rPr>
              <w:t xml:space="preserve">                                </w:t>
            </w:r>
          </w:p>
        </w:tc>
      </w:tr>
      <w:tr w14:paraId="782A4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10007" w:type="dxa"/>
            <w:gridSpan w:val="5"/>
            <w:vAlign w:val="center"/>
          </w:tcPr>
          <w:p w14:paraId="005B108B">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lang w:val="en-US"/>
              </w:rPr>
            </w:pPr>
            <w:r>
              <w:rPr>
                <w:rFonts w:hint="eastAsia" w:ascii="宋体" w:hAnsi="宋体" w:cs="Times New Roman"/>
                <w:sz w:val="24"/>
                <w:szCs w:val="24"/>
              </w:rPr>
              <w:t>备注：表内</w:t>
            </w:r>
            <w:r>
              <w:rPr>
                <w:rFonts w:hint="eastAsia" w:ascii="宋体" w:hAnsi="宋体" w:cs="Times New Roman"/>
                <w:sz w:val="24"/>
                <w:szCs w:val="24"/>
                <w:lang w:eastAsia="zh-CN"/>
              </w:rPr>
              <w:t>投标</w:t>
            </w:r>
            <w:r>
              <w:rPr>
                <w:rFonts w:hint="eastAsia" w:ascii="宋体" w:hAnsi="宋体" w:cs="Times New Roman"/>
                <w:sz w:val="24"/>
                <w:szCs w:val="24"/>
              </w:rPr>
              <w:t>报价</w:t>
            </w:r>
            <w:r>
              <w:rPr>
                <w:rFonts w:hint="eastAsia" w:ascii="宋体" w:hAnsi="宋体" w:cs="Times New Roman"/>
                <w:sz w:val="24"/>
                <w:szCs w:val="24"/>
                <w:lang w:eastAsia="zh-CN"/>
              </w:rPr>
              <w:t>以元为单位，保留小数点后两位。</w:t>
            </w:r>
          </w:p>
        </w:tc>
      </w:tr>
    </w:tbl>
    <w:p w14:paraId="4F23C390">
      <w:pPr>
        <w:rPr>
          <w:rFonts w:eastAsia="仿宋_GB2312"/>
          <w:sz w:val="24"/>
        </w:rPr>
      </w:pPr>
    </w:p>
    <w:p w14:paraId="56D3744A">
      <w:pPr>
        <w:ind w:firstLine="240" w:firstLineChars="100"/>
        <w:rPr>
          <w:rFonts w:hAnsi="宋体"/>
          <w:sz w:val="24"/>
        </w:rPr>
      </w:pPr>
    </w:p>
    <w:p w14:paraId="5C10921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宋体" w:hAnsi="宋体" w:cs="仿宋"/>
          <w:sz w:val="24"/>
          <w:szCs w:val="24"/>
        </w:rPr>
      </w:pPr>
      <w:r>
        <w:rPr>
          <w:rFonts w:hint="eastAsia" w:ascii="宋体" w:hAnsi="宋体" w:cs="仿宋"/>
          <w:sz w:val="24"/>
          <w:szCs w:val="24"/>
        </w:rPr>
        <w:t>备注</w:t>
      </w:r>
      <w:r>
        <w:rPr>
          <w:rFonts w:ascii="宋体" w:hAnsi="宋体" w:cs="仿宋"/>
          <w:sz w:val="24"/>
          <w:szCs w:val="24"/>
        </w:rPr>
        <w:t>：</w:t>
      </w:r>
    </w:p>
    <w:p w14:paraId="4D1D694A">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Ansi="宋体"/>
          <w:sz w:val="24"/>
        </w:rPr>
      </w:pPr>
      <w:r>
        <w:rPr>
          <w:rFonts w:hint="eastAsia" w:ascii="宋体" w:hAnsi="宋体" w:cs="仿宋"/>
          <w:sz w:val="24"/>
          <w:szCs w:val="24"/>
        </w:rPr>
        <w:t>投标人所报的价格应考虑到可能发生的所有与完成本项目相关服务及履行合同义务有关的一切费用。</w:t>
      </w:r>
    </w:p>
    <w:p w14:paraId="2EDA0A8A">
      <w:pPr>
        <w:ind w:firstLine="240" w:firstLineChars="100"/>
        <w:rPr>
          <w:rFonts w:hint="eastAsia" w:hAnsi="宋体"/>
          <w:sz w:val="24"/>
        </w:rPr>
      </w:pPr>
    </w:p>
    <w:p w14:paraId="6EEAA07C">
      <w:pPr>
        <w:overflowPunct/>
        <w:topLinePunct w:val="0"/>
        <w:bidi w:val="0"/>
        <w:adjustRightInd w:val="0"/>
        <w:snapToGrid w:val="0"/>
        <w:spacing w:line="500" w:lineRule="atLeast"/>
        <w:ind w:firstLine="280" w:firstLineChars="100"/>
        <w:jc w:val="left"/>
        <w:rPr>
          <w:rFonts w:hint="eastAsia" w:ascii="宋体" w:hAnsi="宋体" w:eastAsia="宋体" w:cs="宋体"/>
          <w:sz w:val="28"/>
          <w:szCs w:val="28"/>
          <w:u w:val="single"/>
        </w:rPr>
      </w:pPr>
      <w:r>
        <w:rPr>
          <w:rFonts w:hint="eastAsia" w:ascii="宋体" w:hAnsi="宋体" w:eastAsia="宋体" w:cs="宋体"/>
          <w:sz w:val="28"/>
          <w:szCs w:val="28"/>
        </w:rPr>
        <w:t>供应商（单位名称及公章）：____________________</w:t>
      </w:r>
    </w:p>
    <w:p w14:paraId="296397FC">
      <w:pPr>
        <w:overflowPunct/>
        <w:topLinePunct w:val="0"/>
        <w:bidi w:val="0"/>
        <w:adjustRightInd w:val="0"/>
        <w:snapToGrid w:val="0"/>
        <w:spacing w:line="500" w:lineRule="atLeast"/>
        <w:ind w:firstLine="280" w:firstLineChars="100"/>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cs="宋体"/>
          <w:sz w:val="28"/>
          <w:szCs w:val="28"/>
          <w:lang w:val="en-US" w:eastAsia="zh-CN"/>
        </w:rPr>
        <w:t>或</w:t>
      </w:r>
      <w:r>
        <w:rPr>
          <w:rFonts w:hint="eastAsia" w:ascii="宋体" w:hAnsi="宋体" w:eastAsia="宋体" w:cs="宋体"/>
          <w:sz w:val="28"/>
          <w:szCs w:val="28"/>
        </w:rPr>
        <w:t>被授权人（</w:t>
      </w:r>
      <w:r>
        <w:rPr>
          <w:rFonts w:hint="eastAsia" w:ascii="宋体" w:hAnsi="宋体" w:eastAsia="宋体" w:cs="宋体"/>
          <w:sz w:val="24"/>
          <w:szCs w:val="24"/>
        </w:rPr>
        <w:t>签字或盖章</w:t>
      </w:r>
      <w:r>
        <w:rPr>
          <w:rFonts w:hint="eastAsia" w:ascii="宋体" w:hAnsi="宋体" w:eastAsia="宋体" w:cs="宋体"/>
          <w:sz w:val="28"/>
          <w:szCs w:val="28"/>
        </w:rPr>
        <w:t>）：____________________</w:t>
      </w:r>
    </w:p>
    <w:p w14:paraId="3B3BE1CC">
      <w:pPr>
        <w:overflowPunct/>
        <w:topLinePunct w:val="0"/>
        <w:bidi w:val="0"/>
        <w:adjustRightInd w:val="0"/>
        <w:snapToGrid w:val="0"/>
        <w:spacing w:line="500" w:lineRule="atLeast"/>
        <w:ind w:firstLine="280" w:firstLineChars="100"/>
        <w:rPr>
          <w:rFonts w:hint="eastAsia" w:ascii="宋体" w:hAnsi="宋体" w:eastAsia="宋体" w:cs="宋体"/>
          <w:sz w:val="28"/>
          <w:szCs w:val="28"/>
        </w:rPr>
      </w:pPr>
      <w:r>
        <w:rPr>
          <w:rFonts w:hint="eastAsia" w:ascii="宋体" w:hAnsi="宋体" w:eastAsia="宋体" w:cs="宋体"/>
          <w:sz w:val="28"/>
          <w:szCs w:val="28"/>
        </w:rPr>
        <w:t>日    期：________年________月________日</w:t>
      </w:r>
    </w:p>
    <w:p w14:paraId="4EF9B1E7">
      <w:pPr>
        <w:adjustRightInd w:val="0"/>
        <w:snapToGrid w:val="0"/>
        <w:spacing w:line="360" w:lineRule="auto"/>
        <w:rPr>
          <w:rFonts w:ascii="宋体" w:hAnsi="Calibri"/>
          <w:sz w:val="24"/>
          <w:szCs w:val="24"/>
        </w:rPr>
      </w:pPr>
    </w:p>
    <w:p w14:paraId="15771A16">
      <w:pPr>
        <w:autoSpaceDE w:val="0"/>
        <w:autoSpaceDN w:val="0"/>
        <w:adjustRightInd w:val="0"/>
        <w:snapToGrid w:val="0"/>
        <w:spacing w:line="360" w:lineRule="auto"/>
        <w:ind w:firstLine="3855" w:firstLineChars="1200"/>
        <w:jc w:val="left"/>
        <w:rPr>
          <w:rFonts w:hint="eastAsia" w:hAnsi="宋体"/>
          <w:b/>
          <w:sz w:val="32"/>
          <w:szCs w:val="32"/>
        </w:rPr>
      </w:pPr>
    </w:p>
    <w:p w14:paraId="30BAF4D8">
      <w:pPr>
        <w:autoSpaceDE w:val="0"/>
        <w:autoSpaceDN w:val="0"/>
        <w:adjustRightInd w:val="0"/>
        <w:snapToGrid w:val="0"/>
        <w:spacing w:line="360" w:lineRule="auto"/>
        <w:ind w:firstLine="3855" w:firstLineChars="1200"/>
        <w:jc w:val="left"/>
        <w:rPr>
          <w:rFonts w:hint="eastAsia" w:hAnsi="宋体"/>
          <w:b/>
          <w:sz w:val="32"/>
          <w:szCs w:val="32"/>
        </w:rPr>
      </w:pPr>
    </w:p>
    <w:p w14:paraId="01525863">
      <w:pPr>
        <w:autoSpaceDE w:val="0"/>
        <w:autoSpaceDN w:val="0"/>
        <w:adjustRightInd w:val="0"/>
        <w:snapToGrid w:val="0"/>
        <w:spacing w:line="360" w:lineRule="auto"/>
        <w:ind w:firstLine="3855" w:firstLineChars="1200"/>
        <w:jc w:val="left"/>
        <w:rPr>
          <w:rFonts w:hint="eastAsia" w:hAnsi="宋体" w:cs="宋体"/>
          <w:bCs/>
          <w:color w:val="000000" w:themeColor="text1"/>
          <w:sz w:val="24"/>
          <w14:textFill>
            <w14:solidFill>
              <w14:schemeClr w14:val="tx1"/>
            </w14:solidFill>
          </w14:textFill>
        </w:rPr>
      </w:pPr>
      <w:r>
        <w:rPr>
          <w:rFonts w:hint="eastAsia" w:hAnsi="宋体"/>
          <w:b/>
          <w:color w:val="000000" w:themeColor="text1"/>
          <w:sz w:val="32"/>
          <w:szCs w:val="32"/>
          <w14:textFill>
            <w14:solidFill>
              <w14:schemeClr w14:val="tx1"/>
            </w14:solidFill>
          </w14:textFill>
        </w:rPr>
        <w:t>主要</w:t>
      </w:r>
      <w:r>
        <w:rPr>
          <w:rFonts w:hint="eastAsia" w:hAnsi="宋体"/>
          <w:b/>
          <w:color w:val="000000" w:themeColor="text1"/>
          <w:sz w:val="32"/>
          <w:szCs w:val="32"/>
          <w:lang w:val="en-US" w:eastAsia="zh-CN"/>
          <w14:textFill>
            <w14:solidFill>
              <w14:schemeClr w14:val="tx1"/>
            </w14:solidFill>
          </w14:textFill>
        </w:rPr>
        <w:t>产品/</w:t>
      </w:r>
      <w:r>
        <w:rPr>
          <w:rFonts w:hint="eastAsia" w:hAnsi="宋体"/>
          <w:b/>
          <w:color w:val="000000" w:themeColor="text1"/>
          <w:sz w:val="32"/>
          <w:szCs w:val="32"/>
          <w14:textFill>
            <w14:solidFill>
              <w14:schemeClr w14:val="tx1"/>
            </w14:solidFill>
          </w14:textFill>
        </w:rPr>
        <w:t>材料明细表</w:t>
      </w:r>
    </w:p>
    <w:p w14:paraId="4145441F">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_GB2312" w:hAnsi="宋体" w:eastAsia="仿宋_GB2312"/>
          <w:color w:val="000000" w:themeColor="text1"/>
          <w:lang w:val="en-US" w:eastAsia="zh-CN"/>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                                  </w:t>
      </w:r>
      <w:r>
        <w:rPr>
          <w:rFonts w:hint="eastAsia" w:ascii="仿宋_GB2312" w:hAnsi="宋体" w:eastAsia="仿宋_GB2312"/>
          <w:color w:val="000000" w:themeColor="text1"/>
          <w:lang w:val="en-US" w:eastAsia="zh-CN"/>
          <w14:textFill>
            <w14:solidFill>
              <w14:schemeClr w14:val="tx1"/>
            </w14:solidFill>
          </w14:textFill>
        </w:rPr>
        <w:t xml:space="preserve">                           </w:t>
      </w:r>
      <w:r>
        <w:rPr>
          <w:rFonts w:hint="eastAsia" w:hAnsi="宋体" w:eastAsia="宋体"/>
          <w:color w:val="000000" w:themeColor="text1"/>
          <w:sz w:val="25"/>
          <w:szCs w:val="25"/>
          <w:lang w:val="en-US" w:eastAsia="zh-CN"/>
          <w14:textFill>
            <w14:solidFill>
              <w14:schemeClr w14:val="tx1"/>
            </w14:solidFill>
          </w14:textFill>
        </w:rPr>
        <w:t xml:space="preserve">      </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440"/>
        <w:gridCol w:w="1260"/>
        <w:gridCol w:w="1260"/>
        <w:gridCol w:w="1287"/>
        <w:gridCol w:w="798"/>
        <w:gridCol w:w="735"/>
        <w:gridCol w:w="840"/>
      </w:tblGrid>
      <w:tr w14:paraId="5B43D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exact"/>
          <w:jc w:val="center"/>
        </w:trPr>
        <w:tc>
          <w:tcPr>
            <w:tcW w:w="1020" w:type="dxa"/>
            <w:noWrap w:val="0"/>
            <w:vAlign w:val="center"/>
          </w:tcPr>
          <w:p w14:paraId="5C7BDA8F">
            <w:pPr>
              <w:keepNext w:val="0"/>
              <w:keepLines w:val="0"/>
              <w:suppressLineNumbers w:val="0"/>
              <w:spacing w:before="0" w:beforeAutospacing="0" w:after="0" w:afterAutospacing="0"/>
              <w:ind w:left="0" w:right="0"/>
              <w:jc w:val="center"/>
              <w:rPr>
                <w:rFonts w:hint="eastAsia" w:hAnsi="宋体"/>
                <w:color w:val="000000" w:themeColor="text1"/>
                <w:sz w:val="25"/>
                <w:szCs w:val="25"/>
                <w14:textFill>
                  <w14:solidFill>
                    <w14:schemeClr w14:val="tx1"/>
                  </w14:solidFill>
                </w14:textFill>
              </w:rPr>
            </w:pPr>
            <w:r>
              <w:rPr>
                <w:rFonts w:hint="eastAsia" w:hAnsi="宋体"/>
                <w:color w:val="000000" w:themeColor="text1"/>
                <w:sz w:val="25"/>
                <w:szCs w:val="25"/>
                <w14:textFill>
                  <w14:solidFill>
                    <w14:schemeClr w14:val="tx1"/>
                  </w14:solidFill>
                </w14:textFill>
              </w:rPr>
              <w:t>序号</w:t>
            </w:r>
          </w:p>
        </w:tc>
        <w:tc>
          <w:tcPr>
            <w:tcW w:w="1440" w:type="dxa"/>
            <w:noWrap w:val="0"/>
            <w:vAlign w:val="center"/>
          </w:tcPr>
          <w:p w14:paraId="3DEA43C4">
            <w:pPr>
              <w:keepNext w:val="0"/>
              <w:keepLines w:val="0"/>
              <w:suppressLineNumbers w:val="0"/>
              <w:spacing w:before="0" w:beforeAutospacing="0" w:after="0" w:afterAutospacing="0"/>
              <w:ind w:left="0" w:right="0"/>
              <w:jc w:val="center"/>
              <w:rPr>
                <w:rFonts w:hint="eastAsia" w:hAnsi="宋体"/>
                <w:color w:val="000000" w:themeColor="text1"/>
                <w:sz w:val="25"/>
                <w:szCs w:val="25"/>
                <w14:textFill>
                  <w14:solidFill>
                    <w14:schemeClr w14:val="tx1"/>
                  </w14:solidFill>
                </w14:textFill>
              </w:rPr>
            </w:pPr>
            <w:r>
              <w:rPr>
                <w:rFonts w:hint="eastAsia" w:hAnsi="宋体" w:eastAsia="宋体"/>
                <w:color w:val="000000" w:themeColor="text1"/>
                <w:sz w:val="25"/>
                <w:szCs w:val="25"/>
                <w:lang w:val="en-US" w:eastAsia="zh-CN"/>
                <w14:textFill>
                  <w14:solidFill>
                    <w14:schemeClr w14:val="tx1"/>
                  </w14:solidFill>
                </w14:textFill>
              </w:rPr>
              <w:t>产品/</w:t>
            </w:r>
            <w:r>
              <w:rPr>
                <w:rFonts w:hint="eastAsia" w:hAnsi="宋体" w:eastAsia="宋体"/>
                <w:color w:val="000000" w:themeColor="text1"/>
                <w:sz w:val="25"/>
                <w:szCs w:val="25"/>
                <w14:textFill>
                  <w14:solidFill>
                    <w14:schemeClr w14:val="tx1"/>
                  </w14:solidFill>
                </w14:textFill>
              </w:rPr>
              <w:t>材料名称</w:t>
            </w:r>
          </w:p>
        </w:tc>
        <w:tc>
          <w:tcPr>
            <w:tcW w:w="1260" w:type="dxa"/>
            <w:noWrap w:val="0"/>
            <w:vAlign w:val="center"/>
          </w:tcPr>
          <w:p w14:paraId="3C3A602B">
            <w:pPr>
              <w:keepNext w:val="0"/>
              <w:keepLines w:val="0"/>
              <w:suppressLineNumbers w:val="0"/>
              <w:spacing w:before="0" w:beforeAutospacing="0" w:after="0" w:afterAutospacing="0"/>
              <w:ind w:left="0" w:right="0"/>
              <w:jc w:val="center"/>
              <w:rPr>
                <w:rFonts w:hint="eastAsia" w:hAnsi="宋体"/>
                <w:color w:val="000000" w:themeColor="text1"/>
                <w:sz w:val="25"/>
                <w:szCs w:val="25"/>
                <w14:textFill>
                  <w14:solidFill>
                    <w14:schemeClr w14:val="tx1"/>
                  </w14:solidFill>
                </w14:textFill>
              </w:rPr>
            </w:pPr>
            <w:r>
              <w:rPr>
                <w:rFonts w:hint="eastAsia" w:hAnsi="宋体"/>
                <w:color w:val="000000" w:themeColor="text1"/>
                <w:sz w:val="25"/>
                <w:szCs w:val="25"/>
                <w14:textFill>
                  <w14:solidFill>
                    <w14:schemeClr w14:val="tx1"/>
                  </w14:solidFill>
                </w14:textFill>
              </w:rPr>
              <w:t>规格型号</w:t>
            </w:r>
          </w:p>
        </w:tc>
        <w:tc>
          <w:tcPr>
            <w:tcW w:w="1260" w:type="dxa"/>
            <w:noWrap w:val="0"/>
            <w:vAlign w:val="center"/>
          </w:tcPr>
          <w:p w14:paraId="30E76385">
            <w:pPr>
              <w:keepNext w:val="0"/>
              <w:keepLines w:val="0"/>
              <w:suppressLineNumbers w:val="0"/>
              <w:spacing w:before="0" w:beforeAutospacing="0" w:after="0" w:afterAutospacing="0"/>
              <w:ind w:left="0" w:right="0"/>
              <w:jc w:val="center"/>
              <w:rPr>
                <w:rFonts w:hint="eastAsia" w:hAnsi="宋体"/>
                <w:color w:val="000000" w:themeColor="text1"/>
                <w:sz w:val="25"/>
                <w:szCs w:val="25"/>
                <w14:textFill>
                  <w14:solidFill>
                    <w14:schemeClr w14:val="tx1"/>
                  </w14:solidFill>
                </w14:textFill>
              </w:rPr>
            </w:pPr>
            <w:r>
              <w:rPr>
                <w:rFonts w:hint="eastAsia" w:hAnsi="宋体"/>
                <w:color w:val="000000" w:themeColor="text1"/>
                <w:sz w:val="25"/>
                <w:szCs w:val="25"/>
                <w14:textFill>
                  <w14:solidFill>
                    <w14:schemeClr w14:val="tx1"/>
                  </w14:solidFill>
                </w14:textFill>
              </w:rPr>
              <w:t>品 牌</w:t>
            </w:r>
          </w:p>
        </w:tc>
        <w:tc>
          <w:tcPr>
            <w:tcW w:w="1287" w:type="dxa"/>
            <w:noWrap w:val="0"/>
            <w:vAlign w:val="center"/>
          </w:tcPr>
          <w:p w14:paraId="4AE3DA37">
            <w:pPr>
              <w:keepNext w:val="0"/>
              <w:keepLines w:val="0"/>
              <w:suppressLineNumbers w:val="0"/>
              <w:spacing w:before="0" w:beforeAutospacing="0" w:after="0" w:afterAutospacing="0"/>
              <w:ind w:left="0" w:right="0"/>
              <w:jc w:val="center"/>
              <w:rPr>
                <w:rFonts w:hint="eastAsia" w:hAnsi="宋体"/>
                <w:color w:val="000000" w:themeColor="text1"/>
                <w:sz w:val="25"/>
                <w:szCs w:val="25"/>
                <w14:textFill>
                  <w14:solidFill>
                    <w14:schemeClr w14:val="tx1"/>
                  </w14:solidFill>
                </w14:textFill>
              </w:rPr>
            </w:pPr>
            <w:r>
              <w:rPr>
                <w:rFonts w:hint="eastAsia" w:hAnsi="宋体"/>
                <w:color w:val="000000" w:themeColor="text1"/>
                <w:sz w:val="25"/>
                <w:szCs w:val="25"/>
                <w14:textFill>
                  <w14:solidFill>
                    <w14:schemeClr w14:val="tx1"/>
                  </w14:solidFill>
                </w14:textFill>
              </w:rPr>
              <w:t>生产厂家</w:t>
            </w:r>
          </w:p>
        </w:tc>
        <w:tc>
          <w:tcPr>
            <w:tcW w:w="798" w:type="dxa"/>
            <w:noWrap w:val="0"/>
            <w:vAlign w:val="center"/>
          </w:tcPr>
          <w:p w14:paraId="55E703D0">
            <w:pPr>
              <w:keepNext w:val="0"/>
              <w:keepLines w:val="0"/>
              <w:suppressLineNumbers w:val="0"/>
              <w:spacing w:before="0" w:beforeAutospacing="0" w:after="0" w:afterAutospacing="0"/>
              <w:ind w:left="0" w:right="0"/>
              <w:jc w:val="center"/>
              <w:rPr>
                <w:rFonts w:hint="eastAsia" w:hAnsi="宋体"/>
                <w:color w:val="000000" w:themeColor="text1"/>
                <w:sz w:val="25"/>
                <w:szCs w:val="25"/>
                <w14:textFill>
                  <w14:solidFill>
                    <w14:schemeClr w14:val="tx1"/>
                  </w14:solidFill>
                </w14:textFill>
              </w:rPr>
            </w:pPr>
            <w:r>
              <w:rPr>
                <w:rFonts w:hint="eastAsia" w:hAnsi="宋体"/>
                <w:color w:val="000000" w:themeColor="text1"/>
                <w:sz w:val="25"/>
                <w:szCs w:val="25"/>
                <w14:textFill>
                  <w14:solidFill>
                    <w14:schemeClr w14:val="tx1"/>
                  </w14:solidFill>
                </w14:textFill>
              </w:rPr>
              <w:t>单位</w:t>
            </w:r>
          </w:p>
        </w:tc>
        <w:tc>
          <w:tcPr>
            <w:tcW w:w="735" w:type="dxa"/>
            <w:noWrap w:val="0"/>
            <w:vAlign w:val="center"/>
          </w:tcPr>
          <w:p w14:paraId="60D3B48B">
            <w:pPr>
              <w:keepNext w:val="0"/>
              <w:keepLines w:val="0"/>
              <w:suppressLineNumbers w:val="0"/>
              <w:spacing w:before="0" w:beforeAutospacing="0" w:after="0" w:afterAutospacing="0"/>
              <w:ind w:left="0" w:right="0"/>
              <w:jc w:val="center"/>
              <w:rPr>
                <w:rFonts w:hint="eastAsia" w:hAnsi="宋体"/>
                <w:color w:val="000000" w:themeColor="text1"/>
                <w:sz w:val="25"/>
                <w:szCs w:val="25"/>
                <w14:textFill>
                  <w14:solidFill>
                    <w14:schemeClr w14:val="tx1"/>
                  </w14:solidFill>
                </w14:textFill>
              </w:rPr>
            </w:pPr>
            <w:r>
              <w:rPr>
                <w:rFonts w:hint="eastAsia" w:hAnsi="宋体"/>
                <w:color w:val="000000" w:themeColor="text1"/>
                <w:sz w:val="25"/>
                <w:szCs w:val="25"/>
                <w14:textFill>
                  <w14:solidFill>
                    <w14:schemeClr w14:val="tx1"/>
                  </w14:solidFill>
                </w14:textFill>
              </w:rPr>
              <w:t>数量</w:t>
            </w:r>
          </w:p>
        </w:tc>
        <w:tc>
          <w:tcPr>
            <w:tcW w:w="840" w:type="dxa"/>
            <w:noWrap w:val="0"/>
            <w:vAlign w:val="center"/>
          </w:tcPr>
          <w:p w14:paraId="171ED278">
            <w:pPr>
              <w:keepNext w:val="0"/>
              <w:keepLines w:val="0"/>
              <w:suppressLineNumbers w:val="0"/>
              <w:spacing w:before="0" w:beforeAutospacing="0" w:after="0" w:afterAutospacing="0"/>
              <w:ind w:left="0" w:right="0"/>
              <w:jc w:val="center"/>
              <w:rPr>
                <w:rFonts w:hint="eastAsia" w:hAnsi="宋体"/>
                <w:color w:val="000000" w:themeColor="text1"/>
                <w:sz w:val="25"/>
                <w:szCs w:val="25"/>
                <w14:textFill>
                  <w14:solidFill>
                    <w14:schemeClr w14:val="tx1"/>
                  </w14:solidFill>
                </w14:textFill>
              </w:rPr>
            </w:pPr>
            <w:r>
              <w:rPr>
                <w:rFonts w:hint="eastAsia" w:hAnsi="宋体"/>
                <w:color w:val="000000" w:themeColor="text1"/>
                <w:sz w:val="25"/>
                <w:szCs w:val="25"/>
                <w14:textFill>
                  <w14:solidFill>
                    <w14:schemeClr w14:val="tx1"/>
                  </w14:solidFill>
                </w14:textFill>
              </w:rPr>
              <w:t>备注</w:t>
            </w:r>
          </w:p>
        </w:tc>
      </w:tr>
      <w:tr w14:paraId="04FC8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5BE6E2D8">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7D705A77">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0D3AECA4">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36617CB8">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3B57DBD7">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343E9A86">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272B554D">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4794BF69">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7B7C0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2C1A35C4">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220C5129">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396BA5E4">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05911BC3">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0CA0619E">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08BC9CEB">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238E83F5">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7097E535">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3665F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C3CA92D">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1559219D">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17C5B3AC">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2B380996">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648E300A">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0B7CC640">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4504ED6F">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112220DD">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53190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4FB4FA78">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31CC683C">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2BACC57D">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70E72242">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1388D801">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1004C309">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296CD571">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00CDF45D">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2695D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252285EE">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773090CB">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22B4093A">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0304F6A5">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23BA4404">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768FBF66">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44969AE6">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19BFA1D1">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4B11B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310CF385">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191120E1">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5BE18BB1">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5F16BC88">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380EB01D">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33BDBEE4">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0696E02C">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0EF07B94">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3A30C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78974614">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24EE63A1">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5F8B8014">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514412CC">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6DA3AB5B">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36C2C5F7">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43A132F5">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36E73B68">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15C4A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4E71B96F">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26B1D4E6">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6F4C5722">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42F1A19D">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1CFA6A3D">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22996C1F">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15A4A975">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54D08F82">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5652F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62B4CD65">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025D6195">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478436AE">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5D7AA578">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1E3B4E01">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5D5D6177">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5FD202A7">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35601759">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11FAD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2007E9B2">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03129798">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73F4557D">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2947844C">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62B72E44">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0EF34DEE">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7DE47096">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2CFD15B6">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1A8B2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0335EAAC">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1D84C283">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2C2657CC">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45024C46">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4AF84F43">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4318D7D1">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245166F5">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165475CC">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6C6DC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6F30F539">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38E49AF2">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7C6E7636">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599562F4">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18A4EC70">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030040F9">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0BEA1FD5">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387FBAAB">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3E158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03A04A72">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551074CB">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348CB3F7">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6D1C3842">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6BDA4628">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447CD33A">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7E3F868B">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35D10026">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39BF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CC93517">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0B3807F7">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4E045823">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13B8B4C0">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3081EC97">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4F9FA3AA">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723F3997">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471F4163">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r w14:paraId="60545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1020" w:type="dxa"/>
            <w:noWrap w:val="0"/>
            <w:vAlign w:val="top"/>
          </w:tcPr>
          <w:p w14:paraId="59F62C38">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440" w:type="dxa"/>
            <w:noWrap w:val="0"/>
            <w:vAlign w:val="top"/>
          </w:tcPr>
          <w:p w14:paraId="1824A2E7">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2E3012BE">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60" w:type="dxa"/>
            <w:noWrap w:val="0"/>
            <w:vAlign w:val="top"/>
          </w:tcPr>
          <w:p w14:paraId="7CB1E63F">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1287" w:type="dxa"/>
            <w:noWrap w:val="0"/>
            <w:vAlign w:val="top"/>
          </w:tcPr>
          <w:p w14:paraId="092B52C3">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98" w:type="dxa"/>
            <w:noWrap w:val="0"/>
            <w:vAlign w:val="top"/>
          </w:tcPr>
          <w:p w14:paraId="0ECDAE47">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735" w:type="dxa"/>
            <w:noWrap w:val="0"/>
            <w:vAlign w:val="top"/>
          </w:tcPr>
          <w:p w14:paraId="37E383EA">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c>
          <w:tcPr>
            <w:tcW w:w="840" w:type="dxa"/>
            <w:noWrap w:val="0"/>
            <w:vAlign w:val="top"/>
          </w:tcPr>
          <w:p w14:paraId="22C6AF1F">
            <w:pPr>
              <w:keepNext w:val="0"/>
              <w:keepLines w:val="0"/>
              <w:suppressLineNumbers w:val="0"/>
              <w:spacing w:before="0" w:beforeAutospacing="0" w:after="0" w:afterAutospacing="0"/>
              <w:ind w:left="0" w:right="0"/>
              <w:rPr>
                <w:rFonts w:hint="eastAsia" w:hAnsi="宋体"/>
                <w:color w:val="000000" w:themeColor="text1"/>
                <w14:textFill>
                  <w14:solidFill>
                    <w14:schemeClr w14:val="tx1"/>
                  </w14:solidFill>
                </w14:textFill>
              </w:rPr>
            </w:pPr>
          </w:p>
        </w:tc>
      </w:tr>
    </w:tbl>
    <w:p w14:paraId="2D3D9179">
      <w:pPr>
        <w:overflowPunct/>
        <w:topLinePunct w:val="0"/>
        <w:bidi w:val="0"/>
        <w:adjustRightInd w:val="0"/>
        <w:snapToGrid w:val="0"/>
        <w:spacing w:line="500" w:lineRule="atLeast"/>
        <w:ind w:firstLine="480" w:firstLineChars="200"/>
        <w:jc w:val="left"/>
        <w:rPr>
          <w:rFonts w:hint="eastAsia" w:ascii="宋体" w:hAnsi="宋体" w:eastAsia="宋体" w:cs="宋体"/>
          <w:color w:val="000000" w:themeColor="text1"/>
          <w:sz w:val="24"/>
          <w:szCs w:val="24"/>
          <w14:textFill>
            <w14:solidFill>
              <w14:schemeClr w14:val="tx1"/>
            </w14:solidFill>
          </w14:textFill>
        </w:rPr>
      </w:pPr>
    </w:p>
    <w:p w14:paraId="3B1654CA">
      <w:pPr>
        <w:overflowPunct/>
        <w:topLinePunct w:val="0"/>
        <w:bidi w:val="0"/>
        <w:adjustRightInd w:val="0"/>
        <w:snapToGrid w:val="0"/>
        <w:spacing w:line="500" w:lineRule="atLeast"/>
        <w:ind w:firstLine="480" w:firstLineChars="200"/>
        <w:jc w:val="left"/>
        <w:rPr>
          <w:rFonts w:hint="eastAsia" w:ascii="宋体" w:hAnsi="宋体" w:eastAsia="宋体" w:cs="宋体"/>
          <w:color w:val="000000" w:themeColor="text1"/>
          <w:sz w:val="24"/>
          <w:szCs w:val="24"/>
          <w14:textFill>
            <w14:solidFill>
              <w14:schemeClr w14:val="tx1"/>
            </w14:solidFill>
          </w14:textFill>
        </w:rPr>
      </w:pPr>
    </w:p>
    <w:p w14:paraId="64FD51FF">
      <w:pPr>
        <w:overflowPunct/>
        <w:topLinePunct w:val="0"/>
        <w:bidi w:val="0"/>
        <w:adjustRightInd w:val="0"/>
        <w:snapToGrid w:val="0"/>
        <w:spacing w:line="500" w:lineRule="atLeast"/>
        <w:ind w:firstLine="480" w:firstLineChars="200"/>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供应商（单位名称及公章）：____________________</w:t>
      </w:r>
    </w:p>
    <w:p w14:paraId="735D5AE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r>
        <w:rPr>
          <w:rFonts w:hint="eastAsia" w:ascii="宋体" w:hAnsi="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被授权人（</w:t>
      </w:r>
      <w:r>
        <w:rPr>
          <w:rFonts w:hint="eastAsia" w:ascii="宋体" w:hAnsi="宋体" w:eastAsia="宋体" w:cs="宋体"/>
          <w:color w:val="000000" w:themeColor="text1"/>
          <w:sz w:val="22"/>
          <w:szCs w:val="22"/>
          <w14:textFill>
            <w14:solidFill>
              <w14:schemeClr w14:val="tx1"/>
            </w14:solidFill>
          </w14:textFill>
        </w:rPr>
        <w:t>签字或盖章</w:t>
      </w:r>
      <w:r>
        <w:rPr>
          <w:rFonts w:hint="eastAsia" w:ascii="宋体" w:hAnsi="宋体" w:eastAsia="宋体" w:cs="宋体"/>
          <w:color w:val="000000" w:themeColor="text1"/>
          <w:sz w:val="24"/>
          <w:szCs w:val="24"/>
          <w14:textFill>
            <w14:solidFill>
              <w14:schemeClr w14:val="tx1"/>
            </w14:solidFill>
          </w14:textFill>
        </w:rPr>
        <w:t>）：____________________</w:t>
      </w:r>
    </w:p>
    <w:p w14:paraId="1DE8EF6D">
      <w:pPr>
        <w:autoSpaceDE w:val="0"/>
        <w:autoSpaceDN w:val="0"/>
        <w:adjustRightInd w:val="0"/>
        <w:snapToGrid w:val="0"/>
        <w:spacing w:line="360" w:lineRule="auto"/>
        <w:ind w:firstLine="2880" w:firstLineChars="1200"/>
        <w:jc w:val="left"/>
        <w:rPr>
          <w:rFonts w:hint="eastAsia" w:ascii="宋体" w:hAnsi="宋体" w:eastAsia="宋体" w:cs="宋体"/>
          <w:color w:val="000000" w:themeColor="text1"/>
          <w:sz w:val="24"/>
          <w:szCs w:val="24"/>
          <w14:textFill>
            <w14:solidFill>
              <w14:schemeClr w14:val="tx1"/>
            </w14:solidFill>
          </w14:textFill>
        </w:rPr>
      </w:pPr>
    </w:p>
    <w:p w14:paraId="0FE0E74F">
      <w:pPr>
        <w:autoSpaceDE w:val="0"/>
        <w:autoSpaceDN w:val="0"/>
        <w:adjustRightInd w:val="0"/>
        <w:snapToGrid w:val="0"/>
        <w:spacing w:line="360" w:lineRule="auto"/>
        <w:ind w:firstLine="720" w:firstLineChars="300"/>
        <w:jc w:val="left"/>
        <w:rPr>
          <w:rFonts w:hint="eastAsia" w:hAnsi="宋体" w:eastAsia="宋体"/>
          <w:b/>
          <w:color w:val="0000FF"/>
          <w:sz w:val="32"/>
          <w:szCs w:val="32"/>
          <w:lang w:val="en-US" w:eastAsia="zh-CN"/>
        </w:rPr>
        <w:sectPr>
          <w:pgSz w:w="11905" w:h="16838"/>
          <w:pgMar w:top="1304" w:right="1304" w:bottom="1304" w:left="1304" w:header="907" w:footer="879" w:gutter="0"/>
          <w:pgNumType w:fmt="decimal"/>
          <w:cols w:space="0" w:num="1"/>
          <w:titlePg/>
          <w:rtlGutter w:val="0"/>
          <w:docGrid w:type="lines" w:linePitch="323" w:charSpace="0"/>
        </w:sectPr>
      </w:pPr>
      <w:r>
        <w:rPr>
          <w:rFonts w:hint="eastAsia" w:ascii="宋体" w:hAnsi="宋体" w:eastAsia="宋体" w:cs="宋体"/>
          <w:color w:val="000000" w:themeColor="text1"/>
          <w:sz w:val="24"/>
          <w:szCs w:val="24"/>
          <w14:textFill>
            <w14:solidFill>
              <w14:schemeClr w14:val="tx1"/>
            </w14:solidFill>
          </w14:textFill>
        </w:rPr>
        <w:t>日    期：________年________月________</w:t>
      </w:r>
      <w:r>
        <w:rPr>
          <w:rFonts w:hint="eastAsia" w:ascii="宋体" w:hAnsi="宋体" w:eastAsia="宋体" w:cs="宋体"/>
          <w:color w:val="000000" w:themeColor="text1"/>
          <w:sz w:val="24"/>
          <w:szCs w:val="24"/>
          <w:lang w:val="en-US" w:eastAsia="zh-CN"/>
          <w14:textFill>
            <w14:solidFill>
              <w14:schemeClr w14:val="tx1"/>
            </w14:solidFill>
          </w14:textFill>
        </w:rPr>
        <w:t>日</w:t>
      </w:r>
    </w:p>
    <w:p w14:paraId="6611834A">
      <w:pPr>
        <w:autoSpaceDE w:val="0"/>
        <w:autoSpaceDN w:val="0"/>
        <w:adjustRightInd w:val="0"/>
        <w:snapToGrid w:val="0"/>
        <w:spacing w:line="360" w:lineRule="auto"/>
        <w:ind w:firstLine="3855" w:firstLineChars="1200"/>
        <w:jc w:val="left"/>
        <w:rPr>
          <w:rFonts w:hint="eastAsia" w:hAnsi="宋体"/>
          <w:b/>
          <w:color w:val="auto"/>
          <w:sz w:val="32"/>
          <w:szCs w:val="32"/>
        </w:rPr>
      </w:pPr>
      <w:r>
        <w:rPr>
          <w:rFonts w:hint="eastAsia" w:hAnsi="宋体"/>
          <w:b/>
          <w:color w:val="auto"/>
          <w:sz w:val="32"/>
          <w:szCs w:val="32"/>
          <w:lang w:eastAsia="zh-CN"/>
        </w:rPr>
        <w:t>三、</w:t>
      </w:r>
      <w:r>
        <w:rPr>
          <w:rFonts w:hint="eastAsia" w:hAnsi="宋体"/>
          <w:b/>
          <w:color w:val="auto"/>
          <w:sz w:val="32"/>
          <w:szCs w:val="32"/>
          <w:lang w:val="en-US" w:eastAsia="zh-CN"/>
        </w:rPr>
        <w:t>已标价</w:t>
      </w:r>
      <w:r>
        <w:rPr>
          <w:rFonts w:hint="eastAsia" w:hAnsi="宋体"/>
          <w:b/>
          <w:color w:val="auto"/>
          <w:sz w:val="32"/>
          <w:szCs w:val="32"/>
        </w:rPr>
        <w:t>工程量清单</w:t>
      </w:r>
    </w:p>
    <w:p w14:paraId="500AE01F">
      <w:pPr>
        <w:spacing w:line="440" w:lineRule="exact"/>
        <w:jc w:val="center"/>
        <w:outlineLvl w:val="1"/>
        <w:rPr>
          <w:rFonts w:hint="eastAsia" w:hAnsi="宋体"/>
          <w:b/>
          <w:sz w:val="32"/>
          <w:szCs w:val="32"/>
        </w:rPr>
      </w:pPr>
    </w:p>
    <w:p w14:paraId="24849C94">
      <w:pPr>
        <w:adjustRightInd w:val="0"/>
        <w:snapToGrid w:val="0"/>
        <w:spacing w:line="520" w:lineRule="exact"/>
        <w:ind w:firstLine="562" w:firstLineChars="200"/>
        <w:rPr>
          <w:rFonts w:hAnsi="宋体"/>
          <w:b/>
          <w:sz w:val="28"/>
          <w:szCs w:val="28"/>
        </w:rPr>
      </w:pPr>
      <w:r>
        <w:rPr>
          <w:rFonts w:hint="eastAsia" w:hAnsi="宋体"/>
          <w:b/>
          <w:sz w:val="28"/>
          <w:szCs w:val="28"/>
        </w:rPr>
        <w:t>报价时须按</w:t>
      </w:r>
      <w:r>
        <w:rPr>
          <w:rFonts w:hint="eastAsia" w:hAnsi="宋体"/>
          <w:b/>
          <w:sz w:val="28"/>
          <w:szCs w:val="28"/>
          <w:lang w:val="en-US" w:eastAsia="zh-CN"/>
        </w:rPr>
        <w:t>磋商文件中</w:t>
      </w:r>
      <w:r>
        <w:rPr>
          <w:rFonts w:hint="eastAsia" w:hAnsi="宋体" w:eastAsia="宋体"/>
          <w:b/>
          <w:sz w:val="28"/>
          <w:szCs w:val="28"/>
          <w:lang w:val="en-US" w:eastAsia="zh-CN"/>
        </w:rPr>
        <w:t>的</w:t>
      </w:r>
      <w:r>
        <w:rPr>
          <w:rFonts w:hint="eastAsia" w:hAnsi="宋体"/>
          <w:b/>
          <w:sz w:val="28"/>
          <w:szCs w:val="28"/>
        </w:rPr>
        <w:t>工程量所列</w:t>
      </w:r>
      <w:r>
        <w:rPr>
          <w:rFonts w:hint="eastAsia" w:hAnsi="宋体"/>
          <w:b/>
          <w:sz w:val="28"/>
          <w:szCs w:val="28"/>
          <w:lang w:val="en-US" w:eastAsia="zh-CN"/>
        </w:rPr>
        <w:t>全部</w:t>
      </w:r>
      <w:r>
        <w:rPr>
          <w:rFonts w:hint="eastAsia" w:hAnsi="宋体"/>
          <w:b/>
          <w:sz w:val="28"/>
          <w:szCs w:val="28"/>
        </w:rPr>
        <w:t>内容进行报价，不得更改</w:t>
      </w:r>
      <w:r>
        <w:rPr>
          <w:rFonts w:hint="eastAsia" w:hAnsi="宋体"/>
          <w:b/>
          <w:sz w:val="28"/>
          <w:szCs w:val="28"/>
          <w:lang w:val="en-US" w:eastAsia="zh-CN"/>
        </w:rPr>
        <w:t>工程量</w:t>
      </w:r>
      <w:r>
        <w:rPr>
          <w:rFonts w:hint="eastAsia" w:hAnsi="宋体"/>
          <w:b/>
          <w:sz w:val="28"/>
          <w:szCs w:val="28"/>
        </w:rPr>
        <w:t>，凡</w:t>
      </w:r>
      <w:r>
        <w:rPr>
          <w:rFonts w:hint="eastAsia" w:hAnsi="宋体"/>
          <w:b/>
          <w:sz w:val="28"/>
          <w:szCs w:val="28"/>
          <w:lang w:val="en-US" w:eastAsia="zh-CN"/>
        </w:rPr>
        <w:t>工程量有少项、漏项</w:t>
      </w:r>
      <w:r>
        <w:rPr>
          <w:rFonts w:hint="eastAsia" w:hAnsi="宋体"/>
          <w:b/>
          <w:sz w:val="28"/>
          <w:szCs w:val="28"/>
        </w:rPr>
        <w:t>一律视为无效投标。</w:t>
      </w:r>
    </w:p>
    <w:p w14:paraId="54235950">
      <w:pPr>
        <w:pStyle w:val="38"/>
        <w:rPr>
          <w:rFonts w:hint="eastAsia"/>
        </w:rPr>
        <w:sectPr>
          <w:pgSz w:w="11905" w:h="16838"/>
          <w:pgMar w:top="1304" w:right="1304" w:bottom="1304" w:left="1304" w:header="907" w:footer="879" w:gutter="0"/>
          <w:pgNumType w:fmt="decimal"/>
          <w:cols w:space="0" w:num="1"/>
          <w:titlePg/>
          <w:rtlGutter w:val="0"/>
          <w:docGrid w:type="lines" w:linePitch="323" w:charSpace="0"/>
        </w:sectPr>
      </w:pPr>
    </w:p>
    <w:p w14:paraId="197BD578">
      <w:pPr>
        <w:spacing w:line="440" w:lineRule="exact"/>
        <w:jc w:val="center"/>
        <w:outlineLvl w:val="1"/>
        <w:rPr>
          <w:rFonts w:hAnsi="宋体"/>
          <w:b/>
          <w:bCs/>
          <w:color w:val="auto"/>
          <w:sz w:val="32"/>
          <w:szCs w:val="32"/>
        </w:rPr>
      </w:pPr>
      <w:r>
        <w:rPr>
          <w:rFonts w:hint="eastAsia" w:hAnsi="宋体"/>
          <w:b/>
          <w:color w:val="auto"/>
          <w:sz w:val="32"/>
          <w:szCs w:val="32"/>
          <w:lang w:val="en-US" w:eastAsia="zh-CN"/>
        </w:rPr>
        <w:t>四</w:t>
      </w:r>
      <w:r>
        <w:rPr>
          <w:rFonts w:hint="eastAsia" w:hAnsi="宋体"/>
          <w:b/>
          <w:color w:val="auto"/>
          <w:sz w:val="32"/>
          <w:szCs w:val="32"/>
        </w:rPr>
        <w:t>、</w:t>
      </w:r>
      <w:r>
        <w:rPr>
          <w:rFonts w:hint="eastAsia" w:hAnsi="宋体"/>
          <w:b/>
          <w:bCs/>
          <w:color w:val="auto"/>
          <w:sz w:val="32"/>
          <w:szCs w:val="32"/>
        </w:rPr>
        <w:t>资格证明文件</w:t>
      </w:r>
    </w:p>
    <w:p w14:paraId="6CA04F88">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12" w:lineRule="auto"/>
        <w:ind w:left="0" w:leftChars="0" w:right="0" w:rightChars="0" w:firstLine="482" w:firstLineChars="0"/>
        <w:jc w:val="both"/>
        <w:textAlignment w:val="auto"/>
        <w:rPr>
          <w:rFonts w:hint="eastAsia" w:ascii="宋体" w:hAnsi="宋体" w:eastAsia="宋体" w:cs="宋体"/>
          <w:i w:val="0"/>
          <w:iCs w:val="0"/>
          <w:caps w:val="0"/>
          <w:color w:val="333333"/>
          <w:spacing w:val="0"/>
          <w:kern w:val="0"/>
          <w:sz w:val="24"/>
          <w:szCs w:val="24"/>
          <w:shd w:val="clear" w:fill="FFFFFF"/>
          <w:lang w:val="en-US" w:eastAsia="zh-CN" w:bidi="ar"/>
        </w:rPr>
      </w:pPr>
    </w:p>
    <w:p w14:paraId="7D438536">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36" w:lineRule="auto"/>
        <w:ind w:left="0" w:leftChars="0" w:right="0" w:rightChars="0" w:firstLine="482"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1.具有独立承担民事责任能力的法人、非法人组织或自然人，提供合法有效的营业执照/事业单位法人证书/专业服务机构执业许可证/民办非企业单位登记证书等相关证明，自然人参与的提供其身份证明。</w:t>
      </w:r>
    </w:p>
    <w:p w14:paraId="307DBBE4">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36" w:lineRule="auto"/>
        <w:ind w:left="0" w:leftChars="0" w:right="0" w:rightChars="0" w:firstLine="482"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2.法定代表人授权书及被授权人身份证证明资料（法定代表人直接投标只需提交其身份证明资料）。</w:t>
      </w:r>
    </w:p>
    <w:p w14:paraId="65941BFA">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36" w:lineRule="auto"/>
        <w:ind w:left="0" w:leftChars="0" w:right="0" w:rightChars="0" w:firstLine="482"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68A4645A">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36" w:lineRule="auto"/>
        <w:ind w:left="0" w:leftChars="0" w:right="0" w:rightChars="0" w:firstLine="482"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4.书面声明：投标人必须提供参加政府采购活动前3年内在经营活动中没有重大违法记录的书面声明。</w:t>
      </w:r>
    </w:p>
    <w:p w14:paraId="1FCBB661">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36" w:lineRule="auto"/>
        <w:ind w:left="0" w:leftChars="0" w:right="0" w:rightChars="0" w:firstLine="482"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财务状况报告：提供2025年度经审计的财务审计报告（且出具的审计报告应当经过注册会计师行业统一监管平台备案赋码）或投标截止时间前六个月内基本开户银行出具的资信证明（成立时间至提交响应文件截止时间不足一年的可提供成立后任意时段的资产负债表）。</w:t>
      </w:r>
    </w:p>
    <w:p w14:paraId="1A70D82C">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36" w:lineRule="auto"/>
        <w:ind w:left="0" w:leftChars="0" w:right="0" w:rightChars="0" w:firstLine="482"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社会保障资金缴纳证明：提供2026年1月至今任意一个月社会保障资金缴存单据或社保机构开具的社会保险参保缴费情况证明，依法不需要缴纳社会保险资金的单位应提供相关证明材料，单据或证明上应有社保机构或代收机构的印章（成立时间至提交响应文件截止时间不足三个月的可不提供）。</w:t>
      </w:r>
    </w:p>
    <w:p w14:paraId="774B053F">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36" w:lineRule="auto"/>
        <w:ind w:left="0" w:leftChars="0" w:right="0" w:rightChars="0" w:firstLine="482"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税收缴纳证明：提供2026年1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65B132E9">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36" w:lineRule="auto"/>
        <w:ind w:left="0" w:leftChars="0" w:right="0" w:rightChars="0" w:firstLine="482"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8.投标供应商应具有建筑工程施工总承包三级及以上资质或建筑装修装饰工程专业承包二级及以上资质，并具有在有效期内的安全生产许可证，在人员、设备、资金等方面具备相应的施工能力。</w:t>
      </w:r>
    </w:p>
    <w:p w14:paraId="0DA29F6B">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36" w:lineRule="auto"/>
        <w:ind w:left="0" w:leftChars="0" w:right="0" w:rightChars="0" w:firstLine="482"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9.拟派项目经理须具备建筑工程专业二级及以上注册建造师执业资格和有效的安全生产考核合格证书（安全考核B证），在本单位注册，且未担任其他在建工程项目的项目经理。</w:t>
      </w:r>
    </w:p>
    <w:p w14:paraId="395CEA69">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36" w:lineRule="auto"/>
        <w:ind w:left="0" w:leftChars="0" w:right="0" w:rightChars="0" w:firstLine="482"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10.本项目专门面向中小企业采购，供应商须提供《中小企业声明函》。</w:t>
      </w:r>
    </w:p>
    <w:p w14:paraId="350395B9">
      <w:pPr>
        <w:pStyle w:val="4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36" w:lineRule="auto"/>
        <w:ind w:left="0" w:leftChars="0" w:right="0" w:rightChars="0" w:firstLine="482"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11.本项目不接受联合体投标。</w:t>
      </w:r>
    </w:p>
    <w:p w14:paraId="15241CD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lang w:val="en-US" w:eastAsia="zh-CN" w:bidi="ar-SA"/>
        </w:rPr>
      </w:pPr>
    </w:p>
    <w:p w14:paraId="2034CE8C">
      <w:pPr>
        <w:autoSpaceDE w:val="0"/>
        <w:autoSpaceDN w:val="0"/>
        <w:adjustRightInd w:val="0"/>
        <w:snapToGrid w:val="0"/>
        <w:spacing w:line="360" w:lineRule="auto"/>
        <w:jc w:val="center"/>
        <w:rPr>
          <w:rFonts w:hAnsi="宋体"/>
          <w:b/>
          <w:sz w:val="28"/>
          <w:szCs w:val="32"/>
        </w:rPr>
      </w:pPr>
      <w:r>
        <w:rPr>
          <w:rFonts w:hint="eastAsia" w:hAnsi="宋体"/>
          <w:b/>
          <w:sz w:val="28"/>
          <w:szCs w:val="32"/>
        </w:rPr>
        <w:t>法定代表人证明书</w:t>
      </w:r>
    </w:p>
    <w:p w14:paraId="756A3848">
      <w:r>
        <w:rPr>
          <w:rFonts w:hint="eastAsia"/>
        </w:rPr>
        <w:t xml:space="preserve"> </w:t>
      </w:r>
    </w:p>
    <w:tbl>
      <w:tblPr>
        <w:tblStyle w:val="44"/>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1980"/>
        <w:gridCol w:w="1965"/>
        <w:gridCol w:w="1336"/>
        <w:gridCol w:w="2375"/>
      </w:tblGrid>
      <w:tr w14:paraId="481C1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9" w:type="dxa"/>
            <w:gridSpan w:val="5"/>
            <w:tcBorders>
              <w:top w:val="single" w:color="auto" w:sz="4" w:space="0"/>
              <w:left w:val="single" w:color="auto" w:sz="4" w:space="0"/>
              <w:bottom w:val="single" w:color="auto" w:sz="4" w:space="0"/>
              <w:right w:val="single" w:color="auto" w:sz="4" w:space="0"/>
            </w:tcBorders>
          </w:tcPr>
          <w:p w14:paraId="446066E9">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致：安</w:t>
            </w:r>
            <w:r>
              <w:rPr>
                <w:rFonts w:hint="eastAsia" w:ascii="宋体" w:hAnsi="宋体" w:eastAsia="宋体" w:cs="宋体"/>
                <w:bCs/>
                <w:sz w:val="24"/>
                <w:szCs w:val="24"/>
              </w:rPr>
              <w:t>康尚昊招标代理有限公司</w:t>
            </w:r>
          </w:p>
        </w:tc>
      </w:tr>
      <w:tr w14:paraId="7054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restart"/>
            <w:tcBorders>
              <w:top w:val="single" w:color="auto" w:sz="4" w:space="0"/>
              <w:left w:val="single" w:color="auto" w:sz="4" w:space="0"/>
              <w:bottom w:val="single" w:color="auto" w:sz="4" w:space="0"/>
              <w:right w:val="single" w:color="auto" w:sz="4" w:space="0"/>
            </w:tcBorders>
          </w:tcPr>
          <w:p w14:paraId="38B3C758">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p>
          <w:p w14:paraId="71CC346D">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p>
          <w:p w14:paraId="10101298">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r>
              <w:rPr>
                <w:rFonts w:hint="eastAsia" w:ascii="宋体" w:hAnsi="宋体" w:eastAsia="宋体" w:cs="宋体"/>
                <w:bCs/>
                <w:caps/>
                <w:sz w:val="24"/>
                <w:szCs w:val="24"/>
              </w:rPr>
              <w:t>企</w:t>
            </w:r>
          </w:p>
          <w:p w14:paraId="2B8FAA2F">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r>
              <w:rPr>
                <w:rFonts w:hint="eastAsia" w:ascii="宋体" w:hAnsi="宋体" w:eastAsia="宋体" w:cs="宋体"/>
                <w:bCs/>
                <w:caps/>
                <w:sz w:val="24"/>
                <w:szCs w:val="24"/>
              </w:rPr>
              <w:t>业</w:t>
            </w:r>
          </w:p>
          <w:p w14:paraId="1721BEC2">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r>
              <w:rPr>
                <w:rFonts w:hint="eastAsia" w:ascii="宋体" w:hAnsi="宋体" w:eastAsia="宋体" w:cs="宋体"/>
                <w:bCs/>
                <w:caps/>
                <w:sz w:val="24"/>
                <w:szCs w:val="24"/>
              </w:rPr>
              <w:t>法</w:t>
            </w:r>
          </w:p>
          <w:p w14:paraId="0183DD9D">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r>
              <w:rPr>
                <w:rFonts w:hint="eastAsia" w:ascii="宋体" w:hAnsi="宋体" w:eastAsia="宋体" w:cs="宋体"/>
                <w:bCs/>
                <w:caps/>
                <w:sz w:val="24"/>
                <w:szCs w:val="24"/>
              </w:rPr>
              <w:t>人</w:t>
            </w:r>
          </w:p>
        </w:tc>
        <w:tc>
          <w:tcPr>
            <w:tcW w:w="1980" w:type="dxa"/>
            <w:tcBorders>
              <w:top w:val="single" w:color="auto" w:sz="4" w:space="0"/>
              <w:left w:val="single" w:color="auto" w:sz="4" w:space="0"/>
              <w:bottom w:val="single" w:color="auto" w:sz="4" w:space="0"/>
              <w:right w:val="single" w:color="auto" w:sz="4" w:space="0"/>
            </w:tcBorders>
          </w:tcPr>
          <w:p w14:paraId="3906EE7D">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 xml:space="preserve">企 业 名 称 </w:t>
            </w:r>
          </w:p>
        </w:tc>
        <w:tc>
          <w:tcPr>
            <w:tcW w:w="5676" w:type="dxa"/>
            <w:gridSpan w:val="3"/>
            <w:tcBorders>
              <w:top w:val="single" w:color="auto" w:sz="4" w:space="0"/>
              <w:left w:val="single" w:color="auto" w:sz="4" w:space="0"/>
              <w:bottom w:val="single" w:color="auto" w:sz="4" w:space="0"/>
              <w:right w:val="single" w:color="auto" w:sz="4" w:space="0"/>
            </w:tcBorders>
          </w:tcPr>
          <w:p w14:paraId="246BA866">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7A135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1D8D26FF">
            <w:pPr>
              <w:widowControl/>
              <w:spacing w:line="400" w:lineRule="exact"/>
              <w:jc w:val="left"/>
              <w:rPr>
                <w:rFonts w:hint="eastAsia" w:ascii="宋体" w:hAnsi="宋体" w:eastAsia="宋体" w:cs="宋体"/>
                <w:bCs/>
                <w:caps/>
                <w:sz w:val="24"/>
                <w:szCs w:val="24"/>
              </w:rPr>
            </w:pPr>
          </w:p>
        </w:tc>
        <w:tc>
          <w:tcPr>
            <w:tcW w:w="1980" w:type="dxa"/>
            <w:tcBorders>
              <w:top w:val="single" w:color="auto" w:sz="4" w:space="0"/>
              <w:left w:val="single" w:color="auto" w:sz="4" w:space="0"/>
              <w:bottom w:val="single" w:color="auto" w:sz="4" w:space="0"/>
              <w:right w:val="single" w:color="auto" w:sz="4" w:space="0"/>
            </w:tcBorders>
          </w:tcPr>
          <w:p w14:paraId="57788097">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法 定 地 址</w:t>
            </w:r>
          </w:p>
        </w:tc>
        <w:tc>
          <w:tcPr>
            <w:tcW w:w="5676" w:type="dxa"/>
            <w:gridSpan w:val="3"/>
            <w:tcBorders>
              <w:top w:val="single" w:color="auto" w:sz="4" w:space="0"/>
              <w:left w:val="single" w:color="auto" w:sz="4" w:space="0"/>
              <w:bottom w:val="single" w:color="auto" w:sz="4" w:space="0"/>
              <w:right w:val="single" w:color="auto" w:sz="4" w:space="0"/>
            </w:tcBorders>
          </w:tcPr>
          <w:p w14:paraId="7DD6B65B">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40CFD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50982B0E">
            <w:pPr>
              <w:widowControl/>
              <w:spacing w:line="400" w:lineRule="exact"/>
              <w:jc w:val="left"/>
              <w:rPr>
                <w:rFonts w:hint="eastAsia" w:ascii="宋体" w:hAnsi="宋体" w:eastAsia="宋体" w:cs="宋体"/>
                <w:bCs/>
                <w:caps/>
                <w:sz w:val="24"/>
                <w:szCs w:val="24"/>
              </w:rPr>
            </w:pPr>
          </w:p>
        </w:tc>
        <w:tc>
          <w:tcPr>
            <w:tcW w:w="1980" w:type="dxa"/>
            <w:tcBorders>
              <w:top w:val="single" w:color="auto" w:sz="4" w:space="0"/>
              <w:left w:val="single" w:color="auto" w:sz="4" w:space="0"/>
              <w:bottom w:val="single" w:color="auto" w:sz="4" w:space="0"/>
              <w:right w:val="single" w:color="auto" w:sz="4" w:space="0"/>
            </w:tcBorders>
          </w:tcPr>
          <w:p w14:paraId="3701B8D3">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邮 政 编 码</w:t>
            </w:r>
          </w:p>
        </w:tc>
        <w:tc>
          <w:tcPr>
            <w:tcW w:w="5676" w:type="dxa"/>
            <w:gridSpan w:val="3"/>
            <w:tcBorders>
              <w:top w:val="single" w:color="auto" w:sz="4" w:space="0"/>
              <w:left w:val="single" w:color="auto" w:sz="4" w:space="0"/>
              <w:bottom w:val="single" w:color="auto" w:sz="4" w:space="0"/>
              <w:right w:val="single" w:color="auto" w:sz="4" w:space="0"/>
            </w:tcBorders>
          </w:tcPr>
          <w:p w14:paraId="10172CA2">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677EE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31F34843">
            <w:pPr>
              <w:widowControl/>
              <w:spacing w:line="400" w:lineRule="exact"/>
              <w:jc w:val="left"/>
              <w:rPr>
                <w:rFonts w:hint="eastAsia" w:ascii="宋体" w:hAnsi="宋体" w:eastAsia="宋体" w:cs="宋体"/>
                <w:bCs/>
                <w:caps/>
                <w:sz w:val="24"/>
                <w:szCs w:val="24"/>
              </w:rPr>
            </w:pPr>
          </w:p>
        </w:tc>
        <w:tc>
          <w:tcPr>
            <w:tcW w:w="1980" w:type="dxa"/>
            <w:tcBorders>
              <w:top w:val="single" w:color="auto" w:sz="4" w:space="0"/>
              <w:left w:val="single" w:color="auto" w:sz="4" w:space="0"/>
              <w:bottom w:val="single" w:color="auto" w:sz="4" w:space="0"/>
              <w:right w:val="single" w:color="auto" w:sz="4" w:space="0"/>
            </w:tcBorders>
          </w:tcPr>
          <w:p w14:paraId="7D6A7BF6">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网       址</w:t>
            </w:r>
          </w:p>
        </w:tc>
        <w:tc>
          <w:tcPr>
            <w:tcW w:w="5676" w:type="dxa"/>
            <w:gridSpan w:val="3"/>
            <w:tcBorders>
              <w:top w:val="single" w:color="auto" w:sz="4" w:space="0"/>
              <w:left w:val="single" w:color="auto" w:sz="4" w:space="0"/>
              <w:bottom w:val="single" w:color="auto" w:sz="4" w:space="0"/>
              <w:right w:val="single" w:color="auto" w:sz="4" w:space="0"/>
            </w:tcBorders>
          </w:tcPr>
          <w:p w14:paraId="054366C2">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7187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77573A08">
            <w:pPr>
              <w:widowControl/>
              <w:spacing w:line="400" w:lineRule="exact"/>
              <w:jc w:val="left"/>
              <w:rPr>
                <w:rFonts w:hint="eastAsia" w:ascii="宋体" w:hAnsi="宋体" w:eastAsia="宋体" w:cs="宋体"/>
                <w:bCs/>
                <w:caps/>
                <w:sz w:val="24"/>
                <w:szCs w:val="24"/>
              </w:rPr>
            </w:pPr>
          </w:p>
        </w:tc>
        <w:tc>
          <w:tcPr>
            <w:tcW w:w="1980" w:type="dxa"/>
            <w:tcBorders>
              <w:top w:val="single" w:color="auto" w:sz="4" w:space="0"/>
              <w:left w:val="single" w:color="auto" w:sz="4" w:space="0"/>
              <w:bottom w:val="single" w:color="auto" w:sz="4" w:space="0"/>
              <w:right w:val="single" w:color="auto" w:sz="4" w:space="0"/>
            </w:tcBorders>
          </w:tcPr>
          <w:p w14:paraId="1E1C96B9">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工商登记机关</w:t>
            </w:r>
          </w:p>
        </w:tc>
        <w:tc>
          <w:tcPr>
            <w:tcW w:w="5676" w:type="dxa"/>
            <w:gridSpan w:val="3"/>
            <w:tcBorders>
              <w:top w:val="single" w:color="auto" w:sz="4" w:space="0"/>
              <w:left w:val="single" w:color="auto" w:sz="4" w:space="0"/>
              <w:bottom w:val="single" w:color="auto" w:sz="4" w:space="0"/>
              <w:right w:val="single" w:color="auto" w:sz="4" w:space="0"/>
            </w:tcBorders>
          </w:tcPr>
          <w:p w14:paraId="263689C0">
            <w:pPr>
              <w:tabs>
                <w:tab w:val="right" w:leader="dot" w:pos="9022"/>
              </w:tabs>
              <w:autoSpaceDE w:val="0"/>
              <w:autoSpaceDN w:val="0"/>
              <w:adjustRightInd w:val="0"/>
              <w:spacing w:line="500" w:lineRule="exact"/>
              <w:ind w:firstLine="2400" w:firstLineChars="1000"/>
              <w:jc w:val="left"/>
              <w:rPr>
                <w:rFonts w:hint="eastAsia" w:ascii="宋体" w:hAnsi="宋体" w:eastAsia="宋体" w:cs="宋体"/>
                <w:bCs/>
                <w:caps/>
                <w:sz w:val="24"/>
                <w:szCs w:val="24"/>
              </w:rPr>
            </w:pPr>
          </w:p>
        </w:tc>
      </w:tr>
      <w:tr w14:paraId="172A7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6C531D28">
            <w:pPr>
              <w:widowControl/>
              <w:spacing w:line="400" w:lineRule="exact"/>
              <w:jc w:val="left"/>
              <w:rPr>
                <w:rFonts w:hint="eastAsia" w:ascii="宋体" w:hAnsi="宋体" w:eastAsia="宋体" w:cs="宋体"/>
                <w:bCs/>
                <w:caps/>
                <w:sz w:val="24"/>
                <w:szCs w:val="24"/>
              </w:rPr>
            </w:pPr>
          </w:p>
        </w:tc>
        <w:tc>
          <w:tcPr>
            <w:tcW w:w="1980" w:type="dxa"/>
            <w:tcBorders>
              <w:top w:val="single" w:color="auto" w:sz="4" w:space="0"/>
              <w:left w:val="single" w:color="auto" w:sz="4" w:space="0"/>
              <w:bottom w:val="single" w:color="auto" w:sz="4" w:space="0"/>
              <w:right w:val="single" w:color="auto" w:sz="4" w:space="0"/>
            </w:tcBorders>
            <w:vAlign w:val="center"/>
          </w:tcPr>
          <w:p w14:paraId="362CB394">
            <w:pPr>
              <w:tabs>
                <w:tab w:val="right" w:leader="dot" w:pos="9022"/>
              </w:tabs>
              <w:autoSpaceDE w:val="0"/>
              <w:autoSpaceDN w:val="0"/>
              <w:adjustRightInd w:val="0"/>
              <w:spacing w:line="500" w:lineRule="exact"/>
              <w:rPr>
                <w:rFonts w:hint="eastAsia" w:ascii="宋体" w:hAnsi="宋体" w:eastAsia="宋体" w:cs="宋体"/>
                <w:bCs/>
                <w:caps/>
                <w:sz w:val="24"/>
                <w:szCs w:val="24"/>
              </w:rPr>
            </w:pPr>
            <w:r>
              <w:rPr>
                <w:rFonts w:hint="eastAsia" w:ascii="宋体" w:hAnsi="宋体" w:eastAsia="宋体" w:cs="宋体"/>
                <w:bCs/>
                <w:caps/>
                <w:sz w:val="24"/>
                <w:szCs w:val="24"/>
              </w:rPr>
              <w:t>税务登记机关</w:t>
            </w:r>
          </w:p>
        </w:tc>
        <w:tc>
          <w:tcPr>
            <w:tcW w:w="5676" w:type="dxa"/>
            <w:gridSpan w:val="3"/>
            <w:tcBorders>
              <w:top w:val="single" w:color="auto" w:sz="4" w:space="0"/>
              <w:left w:val="single" w:color="auto" w:sz="4" w:space="0"/>
              <w:bottom w:val="single" w:color="auto" w:sz="4" w:space="0"/>
              <w:right w:val="single" w:color="auto" w:sz="4" w:space="0"/>
            </w:tcBorders>
          </w:tcPr>
          <w:p w14:paraId="7B8A204F">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21DAA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77861F43">
            <w:pPr>
              <w:widowControl/>
              <w:spacing w:line="400" w:lineRule="exact"/>
              <w:jc w:val="left"/>
              <w:rPr>
                <w:rFonts w:hint="eastAsia" w:ascii="宋体" w:hAnsi="宋体" w:eastAsia="宋体" w:cs="宋体"/>
                <w:bCs/>
                <w:caps/>
                <w:sz w:val="24"/>
                <w:szCs w:val="24"/>
              </w:rPr>
            </w:pPr>
          </w:p>
        </w:tc>
        <w:tc>
          <w:tcPr>
            <w:tcW w:w="1980" w:type="dxa"/>
            <w:tcBorders>
              <w:top w:val="single" w:color="auto" w:sz="4" w:space="0"/>
              <w:left w:val="single" w:color="auto" w:sz="4" w:space="0"/>
              <w:bottom w:val="single" w:color="auto" w:sz="4" w:space="0"/>
              <w:right w:val="single" w:color="auto" w:sz="4" w:space="0"/>
            </w:tcBorders>
          </w:tcPr>
          <w:p w14:paraId="76FC8016">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机构代码证号</w:t>
            </w:r>
          </w:p>
        </w:tc>
        <w:tc>
          <w:tcPr>
            <w:tcW w:w="5676" w:type="dxa"/>
            <w:gridSpan w:val="3"/>
            <w:tcBorders>
              <w:top w:val="single" w:color="auto" w:sz="4" w:space="0"/>
              <w:left w:val="single" w:color="auto" w:sz="4" w:space="0"/>
              <w:bottom w:val="single" w:color="auto" w:sz="4" w:space="0"/>
              <w:right w:val="single" w:color="auto" w:sz="4" w:space="0"/>
            </w:tcBorders>
          </w:tcPr>
          <w:p w14:paraId="019E440D">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kern w:val="0"/>
                <w:sz w:val="24"/>
                <w:szCs w:val="24"/>
              </w:rPr>
              <w:t>（若</w:t>
            </w:r>
            <w:r>
              <w:rPr>
                <w:rFonts w:hint="eastAsia" w:ascii="宋体" w:hAnsi="宋体" w:cs="宋体"/>
                <w:bCs/>
                <w:kern w:val="0"/>
                <w:sz w:val="24"/>
                <w:szCs w:val="24"/>
                <w:lang w:val="en-US" w:eastAsia="zh-CN"/>
              </w:rPr>
              <w:t>五</w:t>
            </w:r>
            <w:r>
              <w:rPr>
                <w:rFonts w:hint="eastAsia" w:ascii="宋体" w:hAnsi="宋体" w:eastAsia="宋体" w:cs="宋体"/>
                <w:bCs/>
                <w:kern w:val="0"/>
                <w:sz w:val="24"/>
                <w:szCs w:val="24"/>
              </w:rPr>
              <w:t>证合一则填统一信用代码证号）</w:t>
            </w:r>
          </w:p>
        </w:tc>
      </w:tr>
      <w:tr w14:paraId="65A9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restart"/>
            <w:tcBorders>
              <w:top w:val="single" w:color="auto" w:sz="4" w:space="0"/>
              <w:left w:val="single" w:color="auto" w:sz="4" w:space="0"/>
              <w:bottom w:val="single" w:color="auto" w:sz="4" w:space="0"/>
              <w:right w:val="single" w:color="auto" w:sz="4" w:space="0"/>
            </w:tcBorders>
            <w:vAlign w:val="center"/>
          </w:tcPr>
          <w:p w14:paraId="6530C724">
            <w:pPr>
              <w:widowControl/>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法 定</w:t>
            </w:r>
          </w:p>
          <w:p w14:paraId="735C2452">
            <w:pPr>
              <w:widowControl/>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代 表</w:t>
            </w:r>
          </w:p>
          <w:p w14:paraId="312F197E">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r>
              <w:rPr>
                <w:rFonts w:hint="eastAsia" w:ascii="宋体" w:hAnsi="宋体" w:eastAsia="宋体" w:cs="宋体"/>
                <w:bCs/>
                <w:caps/>
                <w:sz w:val="24"/>
                <w:szCs w:val="24"/>
              </w:rPr>
              <w:t>人</w:t>
            </w:r>
          </w:p>
        </w:tc>
        <w:tc>
          <w:tcPr>
            <w:tcW w:w="1980" w:type="dxa"/>
            <w:tcBorders>
              <w:top w:val="single" w:color="auto" w:sz="4" w:space="0"/>
              <w:left w:val="single" w:color="auto" w:sz="4" w:space="0"/>
              <w:bottom w:val="single" w:color="auto" w:sz="4" w:space="0"/>
              <w:right w:val="single" w:color="auto" w:sz="4" w:space="0"/>
            </w:tcBorders>
          </w:tcPr>
          <w:p w14:paraId="3D856972">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r>
              <w:rPr>
                <w:rFonts w:hint="eastAsia" w:ascii="宋体" w:hAnsi="宋体" w:eastAsia="宋体" w:cs="宋体"/>
                <w:bCs/>
                <w:caps/>
                <w:sz w:val="24"/>
                <w:szCs w:val="24"/>
              </w:rPr>
              <w:t>姓    名</w:t>
            </w:r>
          </w:p>
        </w:tc>
        <w:tc>
          <w:tcPr>
            <w:tcW w:w="1965" w:type="dxa"/>
            <w:tcBorders>
              <w:top w:val="single" w:color="auto" w:sz="4" w:space="0"/>
              <w:left w:val="single" w:color="auto" w:sz="4" w:space="0"/>
              <w:bottom w:val="single" w:color="auto" w:sz="4" w:space="0"/>
              <w:right w:val="single" w:color="auto" w:sz="4" w:space="0"/>
            </w:tcBorders>
          </w:tcPr>
          <w:p w14:paraId="500307B7">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c>
          <w:tcPr>
            <w:tcW w:w="1336" w:type="dxa"/>
            <w:tcBorders>
              <w:top w:val="single" w:color="auto" w:sz="4" w:space="0"/>
              <w:left w:val="single" w:color="auto" w:sz="4" w:space="0"/>
              <w:bottom w:val="single" w:color="auto" w:sz="4" w:space="0"/>
              <w:right w:val="single" w:color="auto" w:sz="4" w:space="0"/>
            </w:tcBorders>
          </w:tcPr>
          <w:p w14:paraId="0F2A935A">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性    别</w:t>
            </w:r>
          </w:p>
        </w:tc>
        <w:tc>
          <w:tcPr>
            <w:tcW w:w="2375" w:type="dxa"/>
            <w:tcBorders>
              <w:top w:val="single" w:color="auto" w:sz="4" w:space="0"/>
              <w:left w:val="single" w:color="auto" w:sz="4" w:space="0"/>
              <w:bottom w:val="single" w:color="auto" w:sz="4" w:space="0"/>
              <w:right w:val="single" w:color="auto" w:sz="4" w:space="0"/>
            </w:tcBorders>
          </w:tcPr>
          <w:p w14:paraId="0BB0B7E6">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3D6E9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237DB4D5">
            <w:pPr>
              <w:widowControl/>
              <w:spacing w:line="400" w:lineRule="exact"/>
              <w:jc w:val="left"/>
              <w:rPr>
                <w:rFonts w:hint="eastAsia" w:ascii="宋体" w:hAnsi="宋体" w:eastAsia="宋体" w:cs="宋体"/>
                <w:bCs/>
                <w:caps/>
                <w:sz w:val="24"/>
                <w:szCs w:val="24"/>
              </w:rPr>
            </w:pPr>
          </w:p>
        </w:tc>
        <w:tc>
          <w:tcPr>
            <w:tcW w:w="1980" w:type="dxa"/>
            <w:tcBorders>
              <w:top w:val="single" w:color="auto" w:sz="4" w:space="0"/>
              <w:left w:val="single" w:color="auto" w:sz="4" w:space="0"/>
              <w:bottom w:val="single" w:color="auto" w:sz="4" w:space="0"/>
              <w:right w:val="single" w:color="auto" w:sz="4" w:space="0"/>
            </w:tcBorders>
          </w:tcPr>
          <w:p w14:paraId="136D8DAC">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r>
              <w:rPr>
                <w:rFonts w:hint="eastAsia" w:ascii="宋体" w:hAnsi="宋体" w:eastAsia="宋体" w:cs="宋体"/>
                <w:bCs/>
                <w:caps/>
                <w:sz w:val="24"/>
                <w:szCs w:val="24"/>
              </w:rPr>
              <w:t>职    务</w:t>
            </w:r>
          </w:p>
        </w:tc>
        <w:tc>
          <w:tcPr>
            <w:tcW w:w="1965" w:type="dxa"/>
            <w:tcBorders>
              <w:top w:val="single" w:color="auto" w:sz="4" w:space="0"/>
              <w:left w:val="single" w:color="auto" w:sz="4" w:space="0"/>
              <w:bottom w:val="single" w:color="auto" w:sz="4" w:space="0"/>
              <w:right w:val="single" w:color="auto" w:sz="4" w:space="0"/>
            </w:tcBorders>
          </w:tcPr>
          <w:p w14:paraId="15E4B806">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c>
          <w:tcPr>
            <w:tcW w:w="1336" w:type="dxa"/>
            <w:tcBorders>
              <w:top w:val="single" w:color="auto" w:sz="4" w:space="0"/>
              <w:left w:val="single" w:color="auto" w:sz="4" w:space="0"/>
              <w:bottom w:val="single" w:color="auto" w:sz="4" w:space="0"/>
              <w:right w:val="single" w:color="auto" w:sz="4" w:space="0"/>
            </w:tcBorders>
          </w:tcPr>
          <w:p w14:paraId="53A32072">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联系电话</w:t>
            </w:r>
          </w:p>
        </w:tc>
        <w:tc>
          <w:tcPr>
            <w:tcW w:w="2375" w:type="dxa"/>
            <w:tcBorders>
              <w:top w:val="single" w:color="auto" w:sz="4" w:space="0"/>
              <w:left w:val="single" w:color="auto" w:sz="4" w:space="0"/>
              <w:bottom w:val="single" w:color="auto" w:sz="4" w:space="0"/>
              <w:right w:val="single" w:color="auto" w:sz="4" w:space="0"/>
            </w:tcBorders>
          </w:tcPr>
          <w:p w14:paraId="0BBEB077">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3038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646407B2">
            <w:pPr>
              <w:widowControl/>
              <w:spacing w:line="400" w:lineRule="exact"/>
              <w:jc w:val="left"/>
              <w:rPr>
                <w:rFonts w:hint="eastAsia" w:ascii="宋体" w:hAnsi="宋体" w:eastAsia="宋体" w:cs="宋体"/>
                <w:bCs/>
                <w:caps/>
                <w:sz w:val="24"/>
                <w:szCs w:val="24"/>
              </w:rPr>
            </w:pPr>
          </w:p>
        </w:tc>
        <w:tc>
          <w:tcPr>
            <w:tcW w:w="1980" w:type="dxa"/>
            <w:tcBorders>
              <w:top w:val="single" w:color="auto" w:sz="4" w:space="0"/>
              <w:left w:val="single" w:color="auto" w:sz="4" w:space="0"/>
              <w:bottom w:val="single" w:color="auto" w:sz="4" w:space="0"/>
              <w:right w:val="single" w:color="auto" w:sz="4" w:space="0"/>
            </w:tcBorders>
          </w:tcPr>
          <w:p w14:paraId="63D6677A">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r>
              <w:rPr>
                <w:rFonts w:hint="eastAsia" w:ascii="宋体" w:hAnsi="宋体" w:eastAsia="宋体" w:cs="宋体"/>
                <w:bCs/>
                <w:caps/>
                <w:sz w:val="24"/>
                <w:szCs w:val="24"/>
              </w:rPr>
              <w:t>传    真</w:t>
            </w:r>
          </w:p>
        </w:tc>
        <w:tc>
          <w:tcPr>
            <w:tcW w:w="5676" w:type="dxa"/>
            <w:gridSpan w:val="3"/>
            <w:tcBorders>
              <w:top w:val="single" w:color="auto" w:sz="4" w:space="0"/>
              <w:left w:val="single" w:color="auto" w:sz="4" w:space="0"/>
              <w:bottom w:val="single" w:color="auto" w:sz="4" w:space="0"/>
              <w:right w:val="single" w:color="auto" w:sz="4" w:space="0"/>
            </w:tcBorders>
          </w:tcPr>
          <w:p w14:paraId="33F56A15">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51580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5" w:hRule="atLeast"/>
          <w:jc w:val="center"/>
        </w:trPr>
        <w:tc>
          <w:tcPr>
            <w:tcW w:w="943" w:type="dxa"/>
            <w:vMerge w:val="restart"/>
            <w:tcBorders>
              <w:top w:val="single" w:color="auto" w:sz="4" w:space="0"/>
              <w:left w:val="single" w:color="auto" w:sz="4" w:space="0"/>
              <w:bottom w:val="single" w:color="auto" w:sz="4" w:space="0"/>
              <w:right w:val="single" w:color="auto" w:sz="4" w:space="0"/>
            </w:tcBorders>
          </w:tcPr>
          <w:p w14:paraId="6136D681">
            <w:pPr>
              <w:widowControl/>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p w14:paraId="2E62CB41">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法定代表人身份证复印件</w:t>
            </w:r>
          </w:p>
        </w:tc>
        <w:tc>
          <w:tcPr>
            <w:tcW w:w="3945" w:type="dxa"/>
            <w:gridSpan w:val="2"/>
            <w:vMerge w:val="restart"/>
            <w:tcBorders>
              <w:top w:val="single" w:color="auto" w:sz="4" w:space="0"/>
              <w:left w:val="single" w:color="auto" w:sz="4" w:space="0"/>
              <w:bottom w:val="single" w:color="auto" w:sz="4" w:space="0"/>
              <w:right w:val="single" w:color="auto" w:sz="4" w:space="0"/>
            </w:tcBorders>
            <w:vAlign w:val="center"/>
          </w:tcPr>
          <w:p w14:paraId="56CBAF64">
            <w:pPr>
              <w:widowControl/>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p w14:paraId="731BA8EF">
            <w:pPr>
              <w:widowControl/>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p w14:paraId="66A53744">
            <w:pPr>
              <w:widowControl/>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spacing w:val="-4"/>
                <w:sz w:val="24"/>
                <w:szCs w:val="24"/>
              </w:rPr>
              <w:t>二代身份证正、反两面都需复印</w:t>
            </w:r>
          </w:p>
          <w:p w14:paraId="2C88CCD3">
            <w:pPr>
              <w:widowControl/>
              <w:tabs>
                <w:tab w:val="right" w:leader="dot" w:pos="9022"/>
              </w:tabs>
              <w:autoSpaceDE w:val="0"/>
              <w:autoSpaceDN w:val="0"/>
              <w:adjustRightInd w:val="0"/>
              <w:spacing w:line="500" w:lineRule="exact"/>
              <w:ind w:firstLine="960" w:firstLineChars="400"/>
              <w:jc w:val="center"/>
              <w:rPr>
                <w:rFonts w:hint="eastAsia" w:ascii="宋体" w:hAnsi="宋体" w:eastAsia="宋体" w:cs="宋体"/>
                <w:bCs/>
                <w:caps/>
                <w:sz w:val="24"/>
                <w:szCs w:val="24"/>
              </w:rPr>
            </w:pPr>
          </w:p>
          <w:p w14:paraId="62FFB235">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（粘贴处）</w:t>
            </w:r>
          </w:p>
        </w:tc>
        <w:tc>
          <w:tcPr>
            <w:tcW w:w="3711" w:type="dxa"/>
            <w:gridSpan w:val="2"/>
            <w:tcBorders>
              <w:top w:val="single" w:color="auto" w:sz="4" w:space="0"/>
              <w:left w:val="single" w:color="auto" w:sz="4" w:space="0"/>
              <w:bottom w:val="single" w:color="auto" w:sz="4" w:space="0"/>
              <w:right w:val="single" w:color="auto" w:sz="4" w:space="0"/>
            </w:tcBorders>
          </w:tcPr>
          <w:p w14:paraId="4DC9AD2F">
            <w:pPr>
              <w:widowControl/>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 xml:space="preserve">  </w:t>
            </w:r>
          </w:p>
          <w:p w14:paraId="1A351C9A">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 xml:space="preserve"> （法定代表人</w:t>
            </w:r>
            <w:r>
              <w:rPr>
                <w:rFonts w:hint="eastAsia" w:ascii="宋体" w:hAnsi="宋体" w:cs="宋体"/>
                <w:sz w:val="24"/>
                <w:szCs w:val="24"/>
              </w:rPr>
              <w:t>签字或盖章</w:t>
            </w:r>
            <w:r>
              <w:rPr>
                <w:rFonts w:hint="eastAsia" w:ascii="宋体" w:hAnsi="宋体" w:eastAsia="宋体" w:cs="宋体"/>
                <w:bCs/>
                <w:caps/>
                <w:sz w:val="24"/>
                <w:szCs w:val="24"/>
              </w:rPr>
              <w:t>）</w:t>
            </w:r>
          </w:p>
        </w:tc>
      </w:tr>
      <w:tr w14:paraId="69EF9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5" w:hRule="atLeast"/>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77F04ECB">
            <w:pPr>
              <w:widowControl/>
              <w:spacing w:line="400" w:lineRule="exact"/>
              <w:jc w:val="left"/>
              <w:rPr>
                <w:rFonts w:hint="eastAsia" w:ascii="宋体" w:hAnsi="宋体" w:eastAsia="宋体" w:cs="宋体"/>
                <w:bCs/>
                <w:caps/>
                <w:sz w:val="24"/>
                <w:szCs w:val="24"/>
              </w:rPr>
            </w:pPr>
          </w:p>
        </w:tc>
        <w:tc>
          <w:tcPr>
            <w:tcW w:w="3945" w:type="dxa"/>
            <w:gridSpan w:val="2"/>
            <w:vMerge w:val="continue"/>
            <w:tcBorders>
              <w:top w:val="single" w:color="auto" w:sz="4" w:space="0"/>
              <w:left w:val="single" w:color="auto" w:sz="4" w:space="0"/>
              <w:bottom w:val="single" w:color="auto" w:sz="4" w:space="0"/>
              <w:right w:val="single" w:color="auto" w:sz="4" w:space="0"/>
            </w:tcBorders>
            <w:vAlign w:val="center"/>
          </w:tcPr>
          <w:p w14:paraId="74654899">
            <w:pPr>
              <w:widowControl/>
              <w:spacing w:line="400" w:lineRule="exact"/>
              <w:jc w:val="left"/>
              <w:rPr>
                <w:rFonts w:hint="eastAsia" w:ascii="宋体" w:hAnsi="宋体" w:eastAsia="宋体" w:cs="宋体"/>
                <w:bCs/>
                <w:caps/>
                <w:sz w:val="24"/>
                <w:szCs w:val="24"/>
              </w:rPr>
            </w:pPr>
          </w:p>
        </w:tc>
        <w:tc>
          <w:tcPr>
            <w:tcW w:w="3711" w:type="dxa"/>
            <w:gridSpan w:val="2"/>
            <w:tcBorders>
              <w:top w:val="single" w:color="auto" w:sz="4" w:space="0"/>
              <w:left w:val="single" w:color="auto" w:sz="4" w:space="0"/>
              <w:bottom w:val="single" w:color="auto" w:sz="4" w:space="0"/>
              <w:right w:val="single" w:color="auto" w:sz="4" w:space="0"/>
            </w:tcBorders>
          </w:tcPr>
          <w:p w14:paraId="1C5C0DF5">
            <w:pPr>
              <w:widowControl/>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p w14:paraId="32051A34">
            <w:pPr>
              <w:widowControl/>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p w14:paraId="72C11A5B">
            <w:pPr>
              <w:widowControl/>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p w14:paraId="485382D6">
            <w:pPr>
              <w:widowControl/>
              <w:tabs>
                <w:tab w:val="right" w:leader="dot" w:pos="9022"/>
              </w:tabs>
              <w:autoSpaceDE w:val="0"/>
              <w:autoSpaceDN w:val="0"/>
              <w:adjustRightInd w:val="0"/>
              <w:spacing w:line="500" w:lineRule="exact"/>
              <w:ind w:firstLine="120" w:firstLineChars="50"/>
              <w:jc w:val="left"/>
              <w:rPr>
                <w:rFonts w:hint="eastAsia" w:ascii="宋体" w:hAnsi="宋体" w:eastAsia="宋体" w:cs="宋体"/>
                <w:bCs/>
                <w:caps/>
                <w:sz w:val="24"/>
                <w:szCs w:val="24"/>
              </w:rPr>
            </w:pPr>
            <w:r>
              <w:rPr>
                <w:rFonts w:hint="eastAsia" w:ascii="宋体" w:hAnsi="宋体" w:eastAsia="宋体" w:cs="宋体"/>
                <w:bCs/>
                <w:caps/>
                <w:sz w:val="24"/>
                <w:szCs w:val="24"/>
              </w:rPr>
              <w:t>（企业公章）</w:t>
            </w:r>
          </w:p>
          <w:p w14:paraId="60DAB0C9">
            <w:pPr>
              <w:widowControl/>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 xml:space="preserve">    </w:t>
            </w:r>
          </w:p>
          <w:p w14:paraId="3AE161B9">
            <w:pPr>
              <w:widowControl/>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p w14:paraId="3B8DF1B8">
            <w:pPr>
              <w:tabs>
                <w:tab w:val="right" w:leader="dot" w:pos="9022"/>
              </w:tabs>
              <w:autoSpaceDE w:val="0"/>
              <w:autoSpaceDN w:val="0"/>
              <w:adjustRightInd w:val="0"/>
              <w:spacing w:line="500" w:lineRule="exact"/>
              <w:ind w:firstLine="1440" w:firstLineChars="600"/>
              <w:jc w:val="left"/>
              <w:rPr>
                <w:rFonts w:hint="eastAsia" w:ascii="宋体" w:hAnsi="宋体" w:eastAsia="宋体" w:cs="宋体"/>
                <w:bCs/>
                <w:caps/>
                <w:sz w:val="24"/>
                <w:szCs w:val="24"/>
              </w:rPr>
            </w:pPr>
            <w:r>
              <w:rPr>
                <w:rFonts w:hint="eastAsia" w:ascii="宋体" w:hAnsi="宋体" w:eastAsia="宋体" w:cs="宋体"/>
                <w:bCs/>
                <w:caps/>
                <w:sz w:val="24"/>
                <w:szCs w:val="24"/>
              </w:rPr>
              <w:t>年  月  日</w:t>
            </w:r>
          </w:p>
        </w:tc>
      </w:tr>
    </w:tbl>
    <w:p w14:paraId="452D802B">
      <w:pPr>
        <w:tabs>
          <w:tab w:val="left" w:pos="210"/>
        </w:tabs>
        <w:spacing w:line="320" w:lineRule="exact"/>
        <w:jc w:val="center"/>
        <w:rPr>
          <w:rFonts w:ascii="宋体" w:hAnsi="宋体" w:cs="Arial"/>
          <w:kern w:val="0"/>
          <w:sz w:val="24"/>
          <w:szCs w:val="20"/>
        </w:rPr>
      </w:pPr>
      <w:r>
        <w:rPr>
          <w:rFonts w:hint="eastAsia" w:ascii="宋体" w:hAnsi="宋体" w:cs="Arial"/>
          <w:kern w:val="0"/>
          <w:sz w:val="24"/>
          <w:szCs w:val="20"/>
        </w:rPr>
        <w:t>（法定代表人直接</w:t>
      </w:r>
      <w:r>
        <w:rPr>
          <w:rFonts w:hint="eastAsia" w:ascii="宋体" w:hAnsi="宋体" w:cs="Arial"/>
          <w:kern w:val="0"/>
          <w:sz w:val="24"/>
          <w:szCs w:val="20"/>
          <w:lang w:eastAsia="zh-CN"/>
        </w:rPr>
        <w:t>磋商</w:t>
      </w:r>
      <w:r>
        <w:rPr>
          <w:rFonts w:hint="eastAsia" w:ascii="宋体" w:hAnsi="宋体" w:cs="Arial"/>
          <w:kern w:val="0"/>
          <w:sz w:val="24"/>
          <w:szCs w:val="20"/>
        </w:rPr>
        <w:t>，</w:t>
      </w:r>
      <w:r>
        <w:rPr>
          <w:rFonts w:hint="eastAsia" w:ascii="宋体" w:hAnsi="宋体" w:cs="Arial"/>
          <w:kern w:val="0"/>
          <w:sz w:val="24"/>
          <w:szCs w:val="20"/>
          <w:lang w:eastAsia="zh-CN"/>
        </w:rPr>
        <w:t>只需</w:t>
      </w:r>
      <w:r>
        <w:rPr>
          <w:rFonts w:hint="eastAsia" w:ascii="宋体" w:hAnsi="宋体" w:cs="Arial"/>
          <w:kern w:val="0"/>
          <w:sz w:val="24"/>
          <w:szCs w:val="20"/>
        </w:rPr>
        <w:t>提供法定代表人证明书及身份证</w:t>
      </w:r>
      <w:r>
        <w:rPr>
          <w:rFonts w:hint="eastAsia" w:ascii="宋体" w:hAnsi="宋体" w:cs="Arial"/>
          <w:kern w:val="0"/>
          <w:sz w:val="24"/>
          <w:szCs w:val="20"/>
          <w:lang w:val="en-US" w:eastAsia="zh-CN"/>
        </w:rPr>
        <w:t>明文件</w:t>
      </w:r>
      <w:r>
        <w:rPr>
          <w:rFonts w:hint="eastAsia" w:ascii="宋体" w:hAnsi="宋体" w:cs="Arial"/>
          <w:kern w:val="0"/>
          <w:sz w:val="24"/>
          <w:szCs w:val="20"/>
        </w:rPr>
        <w:t>）</w:t>
      </w:r>
    </w:p>
    <w:p w14:paraId="7A8427BC">
      <w:pPr>
        <w:pageBreakBefore/>
        <w:tabs>
          <w:tab w:val="left" w:pos="210"/>
        </w:tabs>
        <w:spacing w:line="320" w:lineRule="exact"/>
        <w:jc w:val="center"/>
        <w:rPr>
          <w:rFonts w:ascii="宋体" w:cs="Times New Roman"/>
          <w:b/>
          <w:bCs/>
          <w:kern w:val="0"/>
          <w:sz w:val="24"/>
          <w:szCs w:val="24"/>
        </w:rPr>
      </w:pPr>
      <w:r>
        <w:rPr>
          <w:rFonts w:hint="eastAsia" w:ascii="宋体" w:hAnsi="宋体" w:cs="宋体"/>
          <w:b/>
          <w:bCs/>
          <w:kern w:val="0"/>
          <w:sz w:val="24"/>
          <w:szCs w:val="24"/>
        </w:rPr>
        <w:t>法定代表人授权书</w:t>
      </w:r>
    </w:p>
    <w:p w14:paraId="34936866">
      <w:pPr>
        <w:spacing w:line="360" w:lineRule="auto"/>
        <w:rPr>
          <w:rFonts w:ascii="宋体" w:hAnsi="宋体"/>
          <w:sz w:val="24"/>
          <w:szCs w:val="24"/>
          <w:highlight w:val="none"/>
        </w:rPr>
      </w:pPr>
      <w:r>
        <w:rPr>
          <w:rFonts w:hint="eastAsia" w:ascii="宋体" w:hAnsi="宋体"/>
          <w:sz w:val="24"/>
          <w:szCs w:val="24"/>
          <w:highlight w:val="none"/>
        </w:rPr>
        <w:t>致：安康尚昊</w:t>
      </w:r>
      <w:r>
        <w:rPr>
          <w:rFonts w:ascii="宋体" w:hAnsi="宋体"/>
          <w:sz w:val="24"/>
          <w:szCs w:val="24"/>
          <w:highlight w:val="none"/>
        </w:rPr>
        <w:t>招标代理有限公司</w:t>
      </w:r>
    </w:p>
    <w:p w14:paraId="6ACD694C">
      <w:pPr>
        <w:spacing w:line="500" w:lineRule="exact"/>
        <w:ind w:left="-120" w:leftChars="-57" w:firstLine="600" w:firstLineChars="250"/>
        <w:rPr>
          <w:rFonts w:ascii="宋体" w:hAnsi="宋体" w:cs="Courier New"/>
          <w:sz w:val="24"/>
          <w:szCs w:val="24"/>
          <w:highlight w:val="none"/>
        </w:rPr>
      </w:pPr>
      <w:r>
        <w:rPr>
          <w:rFonts w:hint="eastAsia" w:ascii="宋体" w:hAnsi="宋体" w:cs="Courier New"/>
          <w:sz w:val="24"/>
          <w:szCs w:val="24"/>
          <w:highlight w:val="none"/>
        </w:rPr>
        <w:t>本授权书声明：注册于（</w:t>
      </w:r>
      <w:r>
        <w:rPr>
          <w:rFonts w:hint="eastAsia" w:ascii="宋体" w:hAnsi="宋体" w:cs="Courier New"/>
          <w:sz w:val="24"/>
          <w:szCs w:val="24"/>
          <w:highlight w:val="none"/>
          <w:u w:val="single"/>
        </w:rPr>
        <w:t xml:space="preserve"> 工商行政管理局名称）之（委托单位全称） </w:t>
      </w:r>
      <w:r>
        <w:rPr>
          <w:rFonts w:hint="eastAsia" w:ascii="宋体" w:hAnsi="宋体" w:cs="Courier New"/>
          <w:sz w:val="24"/>
          <w:szCs w:val="24"/>
          <w:highlight w:val="none"/>
        </w:rPr>
        <w:t>的法定代表人</w:t>
      </w:r>
      <w:r>
        <w:rPr>
          <w:rFonts w:hint="eastAsia" w:ascii="宋体" w:hAnsi="宋体" w:cs="Courier New"/>
          <w:sz w:val="24"/>
          <w:szCs w:val="24"/>
          <w:highlight w:val="none"/>
          <w:u w:val="single"/>
        </w:rPr>
        <w:t>（姓名、性别）</w:t>
      </w:r>
      <w:r>
        <w:rPr>
          <w:rFonts w:hint="eastAsia" w:ascii="宋体" w:hAnsi="宋体" w:cs="Courier New"/>
          <w:sz w:val="24"/>
          <w:szCs w:val="24"/>
          <w:highlight w:val="none"/>
        </w:rPr>
        <w:t>授权</w:t>
      </w:r>
      <w:r>
        <w:rPr>
          <w:rFonts w:hint="eastAsia" w:ascii="宋体" w:hAnsi="宋体" w:cs="Courier New"/>
          <w:sz w:val="24"/>
          <w:szCs w:val="21"/>
          <w:highlight w:val="none"/>
        </w:rPr>
        <w:t>本公司的</w:t>
      </w:r>
      <w:r>
        <w:rPr>
          <w:rFonts w:hint="eastAsia" w:ascii="宋体" w:hAnsi="宋体" w:cs="Courier New"/>
          <w:sz w:val="24"/>
          <w:szCs w:val="24"/>
          <w:highlight w:val="none"/>
          <w:u w:val="single"/>
        </w:rPr>
        <w:t>（被授权人姓名、性别、职务）</w:t>
      </w:r>
      <w:r>
        <w:rPr>
          <w:rFonts w:hint="eastAsia" w:ascii="宋体" w:hAnsi="宋体" w:cs="Courier New"/>
          <w:sz w:val="24"/>
          <w:szCs w:val="24"/>
          <w:highlight w:val="none"/>
        </w:rPr>
        <w:t>为合法代理人，就贵方组织的有关</w:t>
      </w:r>
      <w:r>
        <w:rPr>
          <w:rFonts w:hint="eastAsia" w:ascii="宋体" w:hAnsi="宋体" w:cs="Courier New"/>
          <w:sz w:val="24"/>
          <w:szCs w:val="24"/>
          <w:highlight w:val="none"/>
          <w:u w:val="single"/>
        </w:rPr>
        <w:t>（项目名称</w:t>
      </w:r>
      <w:r>
        <w:rPr>
          <w:rFonts w:hint="eastAsia" w:ascii="宋体" w:hAnsi="宋体" w:cs="Courier New"/>
          <w:sz w:val="24"/>
          <w:szCs w:val="24"/>
          <w:highlight w:val="none"/>
          <w:u w:val="single"/>
          <w:lang w:val="en-US" w:eastAsia="zh-CN"/>
        </w:rPr>
        <w:t xml:space="preserve"> </w:t>
      </w:r>
      <w:r>
        <w:rPr>
          <w:rFonts w:hint="eastAsia" w:ascii="宋体" w:hAnsi="宋体" w:cs="Courier New"/>
          <w:sz w:val="24"/>
          <w:szCs w:val="24"/>
          <w:highlight w:val="none"/>
          <w:u w:val="single"/>
        </w:rPr>
        <w:t>）</w:t>
      </w:r>
      <w:r>
        <w:rPr>
          <w:rFonts w:hint="eastAsia" w:ascii="宋体" w:hAnsi="宋体" w:cs="Courier New"/>
          <w:sz w:val="24"/>
          <w:szCs w:val="24"/>
          <w:highlight w:val="none"/>
        </w:rPr>
        <w:t>（项目编号：</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）的投标、洽谈、执行等具体事务，签署全部有关投标文件、文书、协议、合同，本公司对被授权人在本项目中的签名承担全部法律责任。本授权书自</w:t>
      </w:r>
      <w:r>
        <w:rPr>
          <w:rFonts w:hint="eastAsia" w:ascii="宋体" w:hAnsi="宋体" w:cs="Courier New"/>
          <w:sz w:val="24"/>
          <w:szCs w:val="24"/>
          <w:highlight w:val="none"/>
          <w:lang w:val="en-US" w:eastAsia="zh-CN"/>
        </w:rPr>
        <w:t>磋商会议</w:t>
      </w:r>
      <w:r>
        <w:rPr>
          <w:rFonts w:hint="eastAsia" w:ascii="宋体" w:hAnsi="宋体" w:cs="Courier New"/>
          <w:sz w:val="24"/>
          <w:szCs w:val="24"/>
          <w:highlight w:val="none"/>
        </w:rPr>
        <w:t>之日起计算有效期为</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  </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天。</w:t>
      </w:r>
    </w:p>
    <w:p w14:paraId="2C3AE8BA">
      <w:pPr>
        <w:spacing w:line="500" w:lineRule="exact"/>
        <w:ind w:firstLine="480" w:firstLineChars="200"/>
        <w:rPr>
          <w:rFonts w:hint="eastAsia" w:ascii="宋体" w:hAnsi="宋体" w:cs="Courier New"/>
          <w:sz w:val="24"/>
          <w:szCs w:val="24"/>
          <w:highlight w:val="none"/>
        </w:rPr>
      </w:pPr>
      <w:r>
        <w:rPr>
          <w:rFonts w:hint="eastAsia" w:ascii="宋体" w:hAnsi="宋体" w:cs="Courier New"/>
          <w:sz w:val="24"/>
          <w:szCs w:val="24"/>
          <w:highlight w:val="none"/>
        </w:rPr>
        <w:t xml:space="preserve">委托单位：    （公章）                  </w:t>
      </w:r>
    </w:p>
    <w:p w14:paraId="67CC0A78">
      <w:pPr>
        <w:spacing w:line="5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法定代表人（签字或盖章）：</w:t>
      </w:r>
    </w:p>
    <w:p w14:paraId="36528406">
      <w:pPr>
        <w:spacing w:line="50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签发日期：</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年</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月</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日</w:t>
      </w:r>
    </w:p>
    <w:p w14:paraId="01E5F953">
      <w:pPr>
        <w:spacing w:line="500" w:lineRule="exact"/>
        <w:ind w:firstLine="480" w:firstLineChars="200"/>
        <w:rPr>
          <w:rFonts w:ascii="宋体" w:hAnsi="宋体" w:cs="Courier New"/>
          <w:sz w:val="24"/>
          <w:szCs w:val="24"/>
          <w:highlight w:val="none"/>
          <w:u w:val="single"/>
        </w:rPr>
      </w:pPr>
      <w:r>
        <w:rPr>
          <w:rFonts w:hint="eastAsia" w:ascii="宋体" w:hAnsi="宋体" w:cs="Courier New"/>
          <w:sz w:val="24"/>
          <w:szCs w:val="24"/>
          <w:highlight w:val="none"/>
        </w:rPr>
        <w:t>附：被授权人</w:t>
      </w:r>
      <w:r>
        <w:rPr>
          <w:rFonts w:hint="eastAsia" w:ascii="宋体" w:hAnsi="宋体" w:cs="Courier New"/>
          <w:sz w:val="24"/>
          <w:szCs w:val="24"/>
          <w:highlight w:val="none"/>
          <w:lang w:val="en-US" w:eastAsia="zh-CN"/>
        </w:rPr>
        <w:t>(签字)</w:t>
      </w:r>
      <w:r>
        <w:rPr>
          <w:rFonts w:hint="eastAsia" w:ascii="宋体" w:hAnsi="宋体" w:cs="Courier New"/>
          <w:sz w:val="24"/>
          <w:szCs w:val="24"/>
          <w:highlight w:val="none"/>
        </w:rPr>
        <w:t>：</w:t>
      </w:r>
      <w:r>
        <w:rPr>
          <w:rFonts w:ascii="宋体" w:hAnsi="宋体" w:cs="Courier New"/>
          <w:sz w:val="24"/>
          <w:szCs w:val="24"/>
          <w:highlight w:val="none"/>
          <w:u w:val="single"/>
        </w:rPr>
        <w:t xml:space="preserve">             </w:t>
      </w:r>
      <w:r>
        <w:rPr>
          <w:rFonts w:ascii="宋体" w:hAnsi="宋体" w:cs="Courier New"/>
          <w:sz w:val="24"/>
          <w:szCs w:val="24"/>
          <w:highlight w:val="none"/>
        </w:rPr>
        <w:t xml:space="preserve"> </w:t>
      </w:r>
      <w:r>
        <w:rPr>
          <w:rFonts w:hint="eastAsia" w:ascii="宋体" w:hAnsi="宋体" w:cs="Courier New"/>
          <w:sz w:val="24"/>
          <w:szCs w:val="24"/>
          <w:highlight w:val="none"/>
        </w:rPr>
        <w:t>性别：</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职务：</w:t>
      </w:r>
      <w:r>
        <w:rPr>
          <w:rFonts w:hint="eastAsia" w:ascii="宋体" w:hAnsi="宋体" w:cs="Courier New"/>
          <w:sz w:val="24"/>
          <w:szCs w:val="24"/>
          <w:highlight w:val="none"/>
          <w:u w:val="single"/>
        </w:rPr>
        <w:t xml:space="preserve">          </w:t>
      </w:r>
    </w:p>
    <w:p w14:paraId="6AC2750E">
      <w:pPr>
        <w:spacing w:line="500" w:lineRule="exact"/>
        <w:ind w:firstLine="480" w:firstLineChars="200"/>
        <w:rPr>
          <w:rFonts w:ascii="宋体" w:hAnsi="宋体" w:cs="Courier New"/>
          <w:sz w:val="24"/>
          <w:szCs w:val="24"/>
          <w:highlight w:val="none"/>
          <w:u w:val="thick"/>
        </w:rPr>
      </w:pPr>
      <w:r>
        <w:rPr>
          <w:rFonts w:hint="eastAsia" w:ascii="宋体" w:hAnsi="宋体" w:cs="Courier New"/>
          <w:sz w:val="24"/>
          <w:szCs w:val="24"/>
          <w:highlight w:val="none"/>
        </w:rPr>
        <w:t>联系地址：</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联系电话：</w:t>
      </w:r>
      <w:r>
        <w:rPr>
          <w:rFonts w:hint="eastAsia" w:ascii="宋体" w:hAnsi="宋体" w:cs="Courier New"/>
          <w:sz w:val="24"/>
          <w:szCs w:val="24"/>
          <w:highlight w:val="none"/>
          <w:u w:val="thick"/>
        </w:rPr>
        <w:t xml:space="preserve">           </w:t>
      </w:r>
    </w:p>
    <w:p w14:paraId="6A8A9A03">
      <w:pPr>
        <w:spacing w:line="500" w:lineRule="exact"/>
        <w:ind w:firstLine="480" w:firstLineChars="200"/>
        <w:rPr>
          <w:rFonts w:ascii="宋体" w:hAnsi="宋体" w:cs="Courier New"/>
          <w:sz w:val="24"/>
          <w:szCs w:val="24"/>
          <w:highlight w:val="none"/>
          <w:u w:val="thick"/>
        </w:rPr>
      </w:pPr>
      <w:r>
        <w:rPr>
          <w:rFonts w:hint="eastAsia" w:ascii="宋体" w:hAnsi="宋体" w:cs="Courier New"/>
          <w:sz w:val="24"/>
          <w:szCs w:val="24"/>
          <w:highlight w:val="none"/>
        </w:rPr>
        <w:t>传真：</w:t>
      </w:r>
      <w:r>
        <w:rPr>
          <w:rFonts w:hint="eastAsia" w:ascii="宋体" w:hAnsi="宋体" w:cs="Courier New"/>
          <w:sz w:val="24"/>
          <w:szCs w:val="24"/>
          <w:highlight w:val="none"/>
          <w:u w:val="thick"/>
        </w:rPr>
        <w:t xml:space="preserve"> </w:t>
      </w:r>
      <w:r>
        <w:rPr>
          <w:rFonts w:ascii="宋体" w:hAnsi="宋体" w:cs="Courier New"/>
          <w:sz w:val="24"/>
          <w:szCs w:val="24"/>
          <w:highlight w:val="none"/>
          <w:u w:val="thick"/>
        </w:rPr>
        <w:t xml:space="preserve">   </w:t>
      </w:r>
    </w:p>
    <w:p w14:paraId="7DAE6639">
      <w:pPr>
        <w:spacing w:line="500" w:lineRule="exact"/>
        <w:ind w:firstLine="2760" w:firstLineChars="1150"/>
        <w:rPr>
          <w:rFonts w:ascii="宋体" w:hAnsi="宋体" w:cs="Courier New"/>
          <w:sz w:val="24"/>
          <w:szCs w:val="24"/>
          <w:highlight w:val="none"/>
        </w:rPr>
      </w:pPr>
      <w:r>
        <w:rPr>
          <w:rFonts w:hint="eastAsia" w:ascii="宋体" w:hAnsi="宋体" w:cs="Courier New"/>
          <w:sz w:val="24"/>
          <w:szCs w:val="24"/>
          <w:highlight w:val="none"/>
        </w:rPr>
        <w:t>法定代表人/被授权人身份证复印件</w:t>
      </w:r>
    </w:p>
    <w:tbl>
      <w:tblPr>
        <w:tblStyle w:val="44"/>
        <w:tblW w:w="842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14:paraId="6AB7A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trPr>
        <w:tc>
          <w:tcPr>
            <w:tcW w:w="4213" w:type="dxa"/>
            <w:shd w:val="clear" w:color="auto" w:fill="E0E0E0"/>
            <w:vAlign w:val="center"/>
          </w:tcPr>
          <w:p w14:paraId="7A7E8740">
            <w:pPr>
              <w:snapToGrid w:val="0"/>
              <w:spacing w:line="500" w:lineRule="exact"/>
              <w:jc w:val="center"/>
              <w:rPr>
                <w:rFonts w:ascii="宋体" w:hAnsi="宋体" w:cs="Courier New"/>
                <w:sz w:val="24"/>
                <w:szCs w:val="24"/>
                <w:highlight w:val="none"/>
                <w:shd w:val="pct10" w:color="auto" w:fill="FFFFFF"/>
              </w:rPr>
            </w:pPr>
            <w:r>
              <w:rPr>
                <w:rFonts w:hint="eastAsia" w:ascii="宋体" w:hAnsi="宋体" w:cs="Courier New"/>
                <w:sz w:val="24"/>
                <w:szCs w:val="24"/>
                <w:highlight w:val="none"/>
                <w:shd w:val="pct10" w:color="auto" w:fill="FFFFFF"/>
              </w:rPr>
              <w:t>法定代表人身份证复印件（正面）</w:t>
            </w:r>
          </w:p>
        </w:tc>
        <w:tc>
          <w:tcPr>
            <w:tcW w:w="4213" w:type="dxa"/>
            <w:shd w:val="clear" w:color="auto" w:fill="E0E0E0"/>
            <w:vAlign w:val="center"/>
          </w:tcPr>
          <w:p w14:paraId="74BABF95">
            <w:pPr>
              <w:snapToGrid w:val="0"/>
              <w:spacing w:line="500" w:lineRule="exact"/>
              <w:jc w:val="center"/>
              <w:rPr>
                <w:rFonts w:ascii="宋体" w:hAnsi="宋体" w:cs="Courier New"/>
                <w:sz w:val="24"/>
                <w:szCs w:val="24"/>
                <w:highlight w:val="none"/>
                <w:shd w:val="pct10" w:color="auto" w:fill="FFFFFF"/>
              </w:rPr>
            </w:pPr>
            <w:r>
              <w:rPr>
                <w:rFonts w:hint="eastAsia" w:ascii="宋体" w:hAnsi="宋体" w:cs="Courier New"/>
                <w:sz w:val="24"/>
                <w:szCs w:val="24"/>
                <w:highlight w:val="none"/>
                <w:shd w:val="pct10" w:color="auto" w:fill="FFFFFF"/>
              </w:rPr>
              <w:t>被授权人身份证复印件（正面）</w:t>
            </w:r>
          </w:p>
        </w:tc>
      </w:tr>
      <w:tr w14:paraId="72011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595" w:hRule="atLeast"/>
        </w:trPr>
        <w:tc>
          <w:tcPr>
            <w:tcW w:w="4213" w:type="dxa"/>
            <w:shd w:val="clear" w:color="auto" w:fill="E0E0E0"/>
            <w:vAlign w:val="center"/>
          </w:tcPr>
          <w:p w14:paraId="7228D677">
            <w:pPr>
              <w:snapToGrid w:val="0"/>
              <w:spacing w:line="500" w:lineRule="exact"/>
              <w:jc w:val="center"/>
              <w:rPr>
                <w:rFonts w:ascii="宋体" w:hAnsi="宋体" w:cs="Courier New"/>
                <w:sz w:val="24"/>
                <w:szCs w:val="24"/>
                <w:highlight w:val="none"/>
                <w:shd w:val="pct10" w:color="auto" w:fill="FFFFFF"/>
              </w:rPr>
            </w:pPr>
            <w:r>
              <w:rPr>
                <w:rFonts w:hint="eastAsia" w:ascii="宋体" w:hAnsi="宋体" w:cs="Courier New"/>
                <w:sz w:val="24"/>
                <w:szCs w:val="24"/>
                <w:highlight w:val="none"/>
                <w:shd w:val="pct10" w:color="auto" w:fill="FFFFFF"/>
              </w:rPr>
              <w:t>法定代表人身份证复印件（反面）</w:t>
            </w:r>
          </w:p>
        </w:tc>
        <w:tc>
          <w:tcPr>
            <w:tcW w:w="4213" w:type="dxa"/>
            <w:shd w:val="clear" w:color="auto" w:fill="E0E0E0"/>
            <w:vAlign w:val="center"/>
          </w:tcPr>
          <w:p w14:paraId="2CD1241D">
            <w:pPr>
              <w:snapToGrid w:val="0"/>
              <w:spacing w:line="500" w:lineRule="exact"/>
              <w:jc w:val="center"/>
              <w:rPr>
                <w:rFonts w:ascii="宋体" w:hAnsi="宋体" w:cs="Courier New"/>
                <w:sz w:val="24"/>
                <w:szCs w:val="24"/>
                <w:highlight w:val="none"/>
                <w:shd w:val="pct10" w:color="auto" w:fill="FFFFFF"/>
              </w:rPr>
            </w:pPr>
            <w:r>
              <w:rPr>
                <w:rFonts w:hint="eastAsia" w:ascii="宋体" w:hAnsi="宋体" w:cs="Courier New"/>
                <w:sz w:val="24"/>
                <w:szCs w:val="24"/>
                <w:highlight w:val="none"/>
                <w:shd w:val="pct10" w:color="auto" w:fill="FFFFFF"/>
              </w:rPr>
              <w:t>被授权人身份证复印件（反面）</w:t>
            </w:r>
          </w:p>
        </w:tc>
      </w:tr>
    </w:tbl>
    <w:p w14:paraId="1A811F93">
      <w:pPr>
        <w:spacing w:line="500" w:lineRule="exact"/>
        <w:rPr>
          <w:rFonts w:ascii="宋体" w:hAnsi="宋体" w:cs="Courier New"/>
          <w:sz w:val="24"/>
          <w:szCs w:val="24"/>
          <w:highlight w:val="none"/>
        </w:rPr>
      </w:pPr>
      <w:r>
        <w:rPr>
          <w:rFonts w:hint="eastAsia" w:ascii="宋体" w:hAnsi="宋体" w:cs="Courier New"/>
          <w:sz w:val="24"/>
          <w:szCs w:val="24"/>
          <w:highlight w:val="none"/>
        </w:rPr>
        <w:t>说明：</w:t>
      </w:r>
    </w:p>
    <w:p w14:paraId="7E6D5352">
      <w:pPr>
        <w:spacing w:line="460" w:lineRule="exact"/>
        <w:ind w:firstLine="480" w:firstLineChars="200"/>
        <w:rPr>
          <w:rFonts w:ascii="宋体" w:hAnsi="宋体" w:cs="Courier New"/>
          <w:sz w:val="24"/>
          <w:szCs w:val="24"/>
          <w:highlight w:val="none"/>
        </w:rPr>
      </w:pPr>
      <w:r>
        <w:rPr>
          <w:rFonts w:hint="eastAsia" w:ascii="宋体" w:hAnsi="宋体" w:cs="Courier New"/>
          <w:sz w:val="24"/>
          <w:szCs w:val="24"/>
          <w:highlight w:val="none"/>
        </w:rPr>
        <w:t>1．本授权书有效期</w:t>
      </w:r>
      <w:r>
        <w:rPr>
          <w:rFonts w:hint="eastAsia" w:ascii="宋体" w:hAnsi="宋体" w:cs="Courier New"/>
          <w:sz w:val="24"/>
          <w:szCs w:val="24"/>
          <w:highlight w:val="none"/>
          <w:lang w:val="en-US" w:eastAsia="zh-CN"/>
        </w:rPr>
        <w:t>磋商会议</w:t>
      </w:r>
      <w:r>
        <w:rPr>
          <w:rFonts w:hint="eastAsia" w:ascii="宋体" w:hAnsi="宋体" w:cs="Courier New"/>
          <w:sz w:val="24"/>
          <w:szCs w:val="24"/>
          <w:highlight w:val="none"/>
        </w:rPr>
        <w:t>之日计算不得少于九十天。</w:t>
      </w:r>
    </w:p>
    <w:p w14:paraId="43D9DD5A">
      <w:pPr>
        <w:spacing w:line="520" w:lineRule="exact"/>
        <w:ind w:firstLine="480" w:firstLineChars="200"/>
        <w:jc w:val="both"/>
        <w:rPr>
          <w:rFonts w:hAnsi="宋体"/>
          <w:b/>
          <w:bCs/>
          <w:sz w:val="32"/>
          <w:szCs w:val="32"/>
        </w:rPr>
      </w:pPr>
      <w:r>
        <w:rPr>
          <w:rFonts w:hint="eastAsia" w:ascii="宋体" w:hAnsi="宋体" w:cs="Courier New"/>
          <w:sz w:val="24"/>
          <w:szCs w:val="24"/>
          <w:highlight w:val="none"/>
        </w:rPr>
        <w:t>2．授权书内容填写要明确，文字要工整清楚，涂改无效。</w:t>
      </w:r>
    </w:p>
    <w:p w14:paraId="1CD1E9B6">
      <w:pPr>
        <w:spacing w:line="440" w:lineRule="exact"/>
        <w:jc w:val="both"/>
        <w:outlineLvl w:val="1"/>
        <w:rPr>
          <w:rFonts w:hAnsi="宋体"/>
          <w:b/>
          <w:sz w:val="32"/>
          <w:szCs w:val="32"/>
        </w:rPr>
      </w:pPr>
    </w:p>
    <w:p w14:paraId="38F1688F">
      <w:pPr>
        <w:pStyle w:val="3"/>
        <w:jc w:val="center"/>
      </w:pPr>
      <w:r>
        <w:rPr>
          <w:rFonts w:hint="eastAsia"/>
        </w:rPr>
        <w:t>无重大违法记录声明</w:t>
      </w:r>
    </w:p>
    <w:p w14:paraId="629AAE8D">
      <w:pPr>
        <w:snapToGrid w:val="0"/>
        <w:spacing w:line="480" w:lineRule="auto"/>
        <w:ind w:firstLine="480" w:firstLineChars="200"/>
        <w:jc w:val="left"/>
        <w:rPr>
          <w:rFonts w:ascii="宋体" w:hAnsi="宋体" w:cs="宋体"/>
          <w:kern w:val="0"/>
          <w:sz w:val="24"/>
          <w:szCs w:val="24"/>
        </w:rPr>
      </w:pPr>
    </w:p>
    <w:p w14:paraId="288CE1D0">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kern w:val="0"/>
          <w:sz w:val="24"/>
          <w:szCs w:val="24"/>
        </w:rPr>
      </w:pPr>
      <w:r>
        <w:rPr>
          <w:rFonts w:hint="eastAsia" w:ascii="宋体" w:hAnsi="宋体" w:eastAsia="宋体" w:cs="宋体"/>
          <w:sz w:val="24"/>
          <w:szCs w:val="24"/>
        </w:rPr>
        <w:t>安康尚昊招标代理有限公司</w:t>
      </w:r>
      <w:r>
        <w:rPr>
          <w:rFonts w:hint="eastAsia" w:ascii="宋体" w:hAnsi="宋体" w:eastAsia="宋体" w:cs="宋体"/>
          <w:bCs/>
          <w:sz w:val="24"/>
          <w:szCs w:val="24"/>
        </w:rPr>
        <w:t>：</w:t>
      </w:r>
    </w:p>
    <w:p w14:paraId="3DB250B8">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我方愿响应贵方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日发布的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）公告内容，参与投标，提供采购人需求中规定的全部内容。作为参加本次政府采购活动的投标人，郑重承诺：</w:t>
      </w:r>
    </w:p>
    <w:p w14:paraId="28886C85">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Cs/>
          <w:sz w:val="24"/>
          <w:szCs w:val="24"/>
        </w:rPr>
      </w:pPr>
      <w:r>
        <w:rPr>
          <w:rFonts w:hint="eastAsia" w:ascii="宋体" w:hAnsi="宋体" w:eastAsia="宋体" w:cs="宋体"/>
          <w:bCs/>
          <w:sz w:val="24"/>
          <w:szCs w:val="24"/>
        </w:rPr>
        <w:t xml:space="preserve">    1</w:t>
      </w:r>
      <w:r>
        <w:rPr>
          <w:rFonts w:hint="eastAsia" w:ascii="宋体" w:hAnsi="宋体" w:cs="宋体"/>
          <w:bCs/>
          <w:sz w:val="24"/>
          <w:szCs w:val="24"/>
          <w:lang w:val="en-US" w:eastAsia="zh-CN"/>
        </w:rPr>
        <w:t>.</w:t>
      </w:r>
      <w:r>
        <w:rPr>
          <w:rFonts w:hint="eastAsia" w:ascii="宋体" w:hAnsi="宋体" w:eastAsia="宋体" w:cs="宋体"/>
          <w:bCs/>
          <w:sz w:val="24"/>
          <w:szCs w:val="24"/>
        </w:rPr>
        <w:t>我方参加本次政府采购活动近三年内，在经营活动中没有重大违法记录及其他违法采购活动记录，未被列入失信被执行人名单，未被列入重大税收违法案件记录名单，未被列入政府采购严重违法失信行为记录名单。</w:t>
      </w:r>
    </w:p>
    <w:p w14:paraId="102937EB">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Cs/>
          <w:sz w:val="24"/>
          <w:szCs w:val="24"/>
        </w:rPr>
      </w:pPr>
      <w:r>
        <w:rPr>
          <w:rFonts w:hint="eastAsia" w:ascii="宋体" w:hAnsi="宋体" w:eastAsia="宋体" w:cs="宋体"/>
          <w:bCs/>
          <w:sz w:val="24"/>
          <w:szCs w:val="24"/>
        </w:rPr>
        <w:t xml:space="preserve">    2</w:t>
      </w:r>
      <w:r>
        <w:rPr>
          <w:rFonts w:hint="eastAsia" w:ascii="宋体" w:hAnsi="宋体" w:cs="宋体"/>
          <w:bCs/>
          <w:sz w:val="24"/>
          <w:szCs w:val="24"/>
          <w:lang w:val="en-US" w:eastAsia="zh-CN"/>
        </w:rPr>
        <w:t>.</w:t>
      </w:r>
      <w:r>
        <w:rPr>
          <w:rFonts w:hint="eastAsia" w:ascii="宋体" w:hAnsi="宋体" w:eastAsia="宋体" w:cs="宋体"/>
          <w:bCs/>
          <w:sz w:val="24"/>
          <w:szCs w:val="24"/>
        </w:rPr>
        <w:t>我方参与本次政府采购活动近三年内：没有处于被责令停业的状态；没有处于被行政主管部门取消投标资格的处罚期内；在近三年内没有行政主管部门已书面认定的重大质量问题；没有在近三年内被人民法院判决犯有行贿罪的记录。</w:t>
      </w:r>
    </w:p>
    <w:p w14:paraId="3BB44344">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Cs/>
          <w:sz w:val="24"/>
          <w:szCs w:val="24"/>
        </w:rPr>
      </w:pPr>
      <w:r>
        <w:rPr>
          <w:rFonts w:hint="eastAsia" w:ascii="宋体" w:hAnsi="宋体" w:eastAsia="宋体" w:cs="宋体"/>
          <w:bCs/>
          <w:sz w:val="24"/>
          <w:szCs w:val="24"/>
        </w:rPr>
        <w:t xml:space="preserve">   本公司对上述承诺的真实性负责，如有虚假，我方自行承担一切后果及法律责任。</w:t>
      </w:r>
    </w:p>
    <w:p w14:paraId="4B42F9D9">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
          <w:bCs/>
          <w:sz w:val="24"/>
          <w:szCs w:val="24"/>
        </w:rPr>
      </w:pPr>
      <w:r>
        <w:rPr>
          <w:rFonts w:hint="eastAsia" w:ascii="宋体" w:hAnsi="宋体" w:eastAsia="宋体" w:cs="宋体"/>
          <w:bCs/>
          <w:sz w:val="24"/>
          <w:szCs w:val="24"/>
        </w:rPr>
        <w:t xml:space="preserve">    </w:t>
      </w:r>
      <w:r>
        <w:rPr>
          <w:rFonts w:hint="eastAsia" w:ascii="宋体" w:hAnsi="宋体" w:eastAsia="宋体" w:cs="宋体"/>
          <w:b/>
          <w:bCs/>
          <w:sz w:val="24"/>
          <w:szCs w:val="24"/>
        </w:rPr>
        <w:t>注：在对响应文件中此声明函真实性和有效性进行审查、验证时，如有造假/情况不一致/未按要求提供的，按无效文件处理。</w:t>
      </w:r>
    </w:p>
    <w:p w14:paraId="78DF615F">
      <w:pPr>
        <w:spacing w:line="360" w:lineRule="auto"/>
        <w:rPr>
          <w:rFonts w:ascii="宋体" w:hAnsi="宋体"/>
          <w:sz w:val="24"/>
          <w:szCs w:val="24"/>
        </w:rPr>
      </w:pPr>
    </w:p>
    <w:p w14:paraId="5C354E42">
      <w:pPr>
        <w:spacing w:line="360" w:lineRule="auto"/>
        <w:rPr>
          <w:rFonts w:ascii="宋体" w:hAnsi="宋体"/>
          <w:sz w:val="24"/>
          <w:szCs w:val="24"/>
        </w:rPr>
      </w:pPr>
    </w:p>
    <w:p w14:paraId="53BCF2E0">
      <w:pPr>
        <w:overflowPunct/>
        <w:topLinePunct w:val="0"/>
        <w:bidi w:val="0"/>
        <w:adjustRightInd w:val="0"/>
        <w:snapToGrid w:val="0"/>
        <w:spacing w:line="500" w:lineRule="atLeast"/>
        <w:ind w:firstLine="560" w:firstLineChars="200"/>
        <w:jc w:val="left"/>
        <w:rPr>
          <w:rFonts w:hint="eastAsia" w:ascii="宋体" w:hAnsi="宋体" w:eastAsia="宋体" w:cs="宋体"/>
          <w:sz w:val="28"/>
          <w:szCs w:val="28"/>
          <w:lang w:eastAsia="zh-CN"/>
        </w:rPr>
      </w:pPr>
    </w:p>
    <w:p w14:paraId="05CE92C1">
      <w:pPr>
        <w:overflowPunct/>
        <w:topLinePunct w:val="0"/>
        <w:bidi w:val="0"/>
        <w:adjustRightInd w:val="0"/>
        <w:snapToGrid w:val="0"/>
        <w:spacing w:line="500" w:lineRule="atLeast"/>
        <w:jc w:val="left"/>
        <w:rPr>
          <w:rFonts w:hint="eastAsia" w:ascii="宋体" w:hAnsi="宋体" w:eastAsia="宋体" w:cs="宋体"/>
          <w:sz w:val="28"/>
          <w:szCs w:val="28"/>
          <w:u w:val="single"/>
        </w:rPr>
      </w:pPr>
      <w:r>
        <w:rPr>
          <w:rFonts w:hint="eastAsia" w:ascii="宋体" w:hAnsi="宋体" w:eastAsia="宋体" w:cs="宋体"/>
          <w:sz w:val="28"/>
          <w:szCs w:val="28"/>
        </w:rPr>
        <w:t>供应商（单位名称及公章）：____________________</w:t>
      </w:r>
    </w:p>
    <w:p w14:paraId="556435B0">
      <w:pPr>
        <w:overflowPunct/>
        <w:topLinePunct w:val="0"/>
        <w:bidi w:val="0"/>
        <w:adjustRightInd w:val="0"/>
        <w:snapToGrid w:val="0"/>
        <w:spacing w:line="500" w:lineRule="atLeast"/>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cs="宋体"/>
          <w:sz w:val="28"/>
          <w:szCs w:val="28"/>
          <w:lang w:val="en-US" w:eastAsia="zh-CN"/>
        </w:rPr>
        <w:t>或</w:t>
      </w:r>
      <w:r>
        <w:rPr>
          <w:rFonts w:hint="eastAsia" w:ascii="宋体" w:hAnsi="宋体" w:eastAsia="宋体" w:cs="宋体"/>
          <w:sz w:val="28"/>
          <w:szCs w:val="28"/>
        </w:rPr>
        <w:t>被授权人（</w:t>
      </w:r>
      <w:r>
        <w:rPr>
          <w:rFonts w:hint="eastAsia" w:ascii="宋体" w:hAnsi="宋体" w:eastAsia="宋体" w:cs="宋体"/>
          <w:sz w:val="24"/>
          <w:szCs w:val="24"/>
        </w:rPr>
        <w:t>签字或盖章</w:t>
      </w:r>
      <w:r>
        <w:rPr>
          <w:rFonts w:hint="eastAsia" w:ascii="宋体" w:hAnsi="宋体" w:eastAsia="宋体" w:cs="宋体"/>
          <w:sz w:val="28"/>
          <w:szCs w:val="28"/>
        </w:rPr>
        <w:t>）：____________________</w:t>
      </w:r>
    </w:p>
    <w:p w14:paraId="5FB03FF8">
      <w:pPr>
        <w:overflowPunct/>
        <w:topLinePunct w:val="0"/>
        <w:bidi w:val="0"/>
        <w:adjustRightInd w:val="0"/>
        <w:snapToGrid w:val="0"/>
        <w:spacing w:line="500" w:lineRule="atLeast"/>
        <w:rPr>
          <w:rFonts w:hint="eastAsia" w:ascii="宋体" w:hAnsi="宋体" w:eastAsia="宋体" w:cs="宋体"/>
          <w:sz w:val="28"/>
          <w:szCs w:val="28"/>
        </w:rPr>
      </w:pPr>
      <w:r>
        <w:rPr>
          <w:rFonts w:hint="eastAsia" w:ascii="宋体" w:hAnsi="宋体" w:eastAsia="宋体" w:cs="宋体"/>
          <w:sz w:val="28"/>
          <w:szCs w:val="28"/>
        </w:rPr>
        <w:t>日    期：________年________月________日</w:t>
      </w:r>
    </w:p>
    <w:p w14:paraId="1682CBF3">
      <w:pPr>
        <w:adjustRightInd w:val="0"/>
        <w:snapToGrid w:val="0"/>
        <w:spacing w:line="360" w:lineRule="auto"/>
        <w:rPr>
          <w:rFonts w:ascii="宋体" w:hAnsi="Calibri"/>
          <w:sz w:val="24"/>
          <w:szCs w:val="24"/>
        </w:rPr>
      </w:pPr>
    </w:p>
    <w:p w14:paraId="1E545797">
      <w:pPr>
        <w:sectPr>
          <w:pgSz w:w="11905" w:h="16838"/>
          <w:pgMar w:top="1304" w:right="1304" w:bottom="1304" w:left="1304" w:header="907" w:footer="879" w:gutter="0"/>
          <w:pgNumType w:fmt="decimal"/>
          <w:cols w:space="0" w:num="1"/>
          <w:titlePg/>
          <w:rtlGutter w:val="0"/>
          <w:docGrid w:type="lines" w:linePitch="323" w:charSpace="0"/>
        </w:sectPr>
      </w:pPr>
    </w:p>
    <w:p w14:paraId="68A0210F">
      <w:pPr>
        <w:adjustRightInd w:val="0"/>
        <w:snapToGrid w:val="0"/>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投标人非联合体投标声明</w:t>
      </w:r>
    </w:p>
    <w:p w14:paraId="6901F48E">
      <w:pPr>
        <w:adjustRightInd w:val="0"/>
        <w:snapToGrid w:val="0"/>
        <w:spacing w:line="360" w:lineRule="auto"/>
        <w:rPr>
          <w:rFonts w:hint="eastAsia" w:ascii="仿宋" w:hAnsi="仿宋" w:eastAsia="仿宋" w:cs="黑体"/>
          <w:bCs/>
          <w:sz w:val="28"/>
          <w:szCs w:val="28"/>
        </w:rPr>
      </w:pPr>
    </w:p>
    <w:p w14:paraId="3FCCD83B">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sz w:val="24"/>
          <w:szCs w:val="24"/>
        </w:rPr>
        <w:t>安康尚昊招标代理有限公司</w:t>
      </w:r>
      <w:r>
        <w:rPr>
          <w:rFonts w:hint="eastAsia" w:ascii="宋体" w:hAnsi="宋体" w:eastAsia="宋体" w:cs="宋体"/>
          <w:bCs/>
          <w:sz w:val="24"/>
          <w:szCs w:val="24"/>
        </w:rPr>
        <w:t>：</w:t>
      </w:r>
    </w:p>
    <w:p w14:paraId="48F336F2">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我方愿响应贵方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日发布的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）招标内容，参与投标，提供采购人需求中规定的全部内容。本公司就参加投标工作，</w:t>
      </w:r>
      <w:r>
        <w:rPr>
          <w:rFonts w:hint="eastAsia" w:ascii="宋体" w:hAnsi="宋体" w:cs="宋体"/>
          <w:bCs/>
          <w:sz w:val="24"/>
          <w:szCs w:val="24"/>
          <w:lang w:eastAsia="zh-CN"/>
        </w:rPr>
        <w:t>做出</w:t>
      </w:r>
      <w:r>
        <w:rPr>
          <w:rFonts w:hint="eastAsia" w:ascii="宋体" w:hAnsi="宋体" w:eastAsia="宋体" w:cs="宋体"/>
          <w:bCs/>
          <w:sz w:val="24"/>
          <w:szCs w:val="24"/>
        </w:rPr>
        <w:t>郑重声明：</w:t>
      </w:r>
    </w:p>
    <w:p w14:paraId="447D93CE">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1.本公司保证在本项目投标中不与其他单位围标、串标，不出让投标资格，不向采购人、采购代理机构和评标委员会成员行贿。</w:t>
      </w:r>
    </w:p>
    <w:p w14:paraId="74B601FC">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2.本公司保证本项目并非联合体投标，本项目服务由本公司独立承担。</w:t>
      </w:r>
    </w:p>
    <w:p w14:paraId="2059AB0C">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本公司违反上述保证，或本声明陈述与事实不符，经查实，我方自行承担一切后果及法律责任</w:t>
      </w:r>
      <w:r>
        <w:rPr>
          <w:rFonts w:hint="eastAsia" w:ascii="宋体" w:hAnsi="宋体" w:cs="宋体"/>
          <w:bCs/>
          <w:sz w:val="24"/>
          <w:szCs w:val="24"/>
          <w:lang w:eastAsia="zh-CN"/>
        </w:rPr>
        <w:t>。</w:t>
      </w:r>
    </w:p>
    <w:p w14:paraId="7729F000">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特此声明。</w:t>
      </w:r>
    </w:p>
    <w:p w14:paraId="34F28E94">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sz w:val="24"/>
          <w:szCs w:val="24"/>
        </w:rPr>
      </w:pPr>
    </w:p>
    <w:p w14:paraId="3CF82F68">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sz w:val="24"/>
          <w:szCs w:val="24"/>
        </w:rPr>
      </w:pPr>
    </w:p>
    <w:p w14:paraId="3E8D75E1">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sz w:val="24"/>
          <w:szCs w:val="24"/>
        </w:rPr>
      </w:pPr>
    </w:p>
    <w:p w14:paraId="134851B7">
      <w:pPr>
        <w:overflowPunct/>
        <w:topLinePunct w:val="0"/>
        <w:bidi w:val="0"/>
        <w:adjustRightInd w:val="0"/>
        <w:snapToGrid w:val="0"/>
        <w:spacing w:line="500" w:lineRule="atLeast"/>
        <w:ind w:firstLine="560" w:firstLineChars="200"/>
        <w:jc w:val="left"/>
        <w:rPr>
          <w:rFonts w:hint="eastAsia" w:ascii="宋体" w:hAnsi="宋体" w:eastAsia="宋体" w:cs="宋体"/>
          <w:sz w:val="28"/>
          <w:szCs w:val="28"/>
          <w:u w:val="single"/>
        </w:rPr>
      </w:pPr>
      <w:r>
        <w:rPr>
          <w:rFonts w:hint="eastAsia" w:ascii="宋体" w:hAnsi="宋体" w:eastAsia="宋体" w:cs="宋体"/>
          <w:sz w:val="28"/>
          <w:szCs w:val="28"/>
        </w:rPr>
        <w:t>供应商（单位名称及公章）：____________________</w:t>
      </w:r>
    </w:p>
    <w:p w14:paraId="00C1BA91">
      <w:pPr>
        <w:overflowPunct/>
        <w:topLinePunct w:val="0"/>
        <w:bidi w:val="0"/>
        <w:adjustRightInd w:val="0"/>
        <w:snapToGrid w:val="0"/>
        <w:spacing w:line="500" w:lineRule="atLeast"/>
        <w:ind w:firstLine="560" w:firstLineChars="200"/>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cs="宋体"/>
          <w:sz w:val="28"/>
          <w:szCs w:val="28"/>
          <w:lang w:val="en-US" w:eastAsia="zh-CN"/>
        </w:rPr>
        <w:t>或</w:t>
      </w:r>
      <w:r>
        <w:rPr>
          <w:rFonts w:hint="eastAsia" w:ascii="宋体" w:hAnsi="宋体" w:eastAsia="宋体" w:cs="宋体"/>
          <w:sz w:val="28"/>
          <w:szCs w:val="28"/>
        </w:rPr>
        <w:t>被授权人（</w:t>
      </w:r>
      <w:r>
        <w:rPr>
          <w:rFonts w:hint="eastAsia" w:ascii="宋体" w:hAnsi="宋体" w:eastAsia="宋体" w:cs="宋体"/>
          <w:sz w:val="24"/>
          <w:szCs w:val="24"/>
        </w:rPr>
        <w:t>签字或盖章</w:t>
      </w:r>
      <w:r>
        <w:rPr>
          <w:rFonts w:hint="eastAsia" w:ascii="宋体" w:hAnsi="宋体" w:eastAsia="宋体" w:cs="宋体"/>
          <w:sz w:val="28"/>
          <w:szCs w:val="28"/>
        </w:rPr>
        <w:t>）：____________________</w:t>
      </w:r>
    </w:p>
    <w:p w14:paraId="641DF71E">
      <w:pPr>
        <w:overflowPunct/>
        <w:topLinePunct w:val="0"/>
        <w:bidi w:val="0"/>
        <w:adjustRightInd w:val="0"/>
        <w:snapToGrid w:val="0"/>
        <w:spacing w:line="500" w:lineRule="atLeast"/>
        <w:ind w:firstLine="560" w:firstLineChars="200"/>
        <w:rPr>
          <w:rFonts w:hint="eastAsia" w:ascii="宋体" w:hAnsi="宋体" w:eastAsia="宋体" w:cs="宋体"/>
          <w:sz w:val="28"/>
          <w:szCs w:val="28"/>
        </w:rPr>
      </w:pPr>
      <w:r>
        <w:rPr>
          <w:rFonts w:hint="eastAsia" w:ascii="宋体" w:hAnsi="宋体" w:eastAsia="宋体" w:cs="宋体"/>
          <w:sz w:val="28"/>
          <w:szCs w:val="28"/>
        </w:rPr>
        <w:t>日    期：________年________月________日</w:t>
      </w:r>
    </w:p>
    <w:p w14:paraId="0BC5E52D">
      <w:pPr>
        <w:pStyle w:val="66"/>
        <w:pageBreakBefore w:val="0"/>
        <w:kinsoku/>
        <w:wordWrap/>
        <w:overflowPunct/>
        <w:topLinePunct w:val="0"/>
        <w:autoSpaceDE/>
        <w:autoSpaceDN/>
        <w:bidi w:val="0"/>
        <w:spacing w:before="0" w:line="408" w:lineRule="auto"/>
        <w:textAlignment w:val="auto"/>
        <w:rPr>
          <w:rFonts w:hint="eastAsia" w:ascii="宋体" w:hAnsi="宋体" w:eastAsia="宋体" w:cs="宋体"/>
          <w:sz w:val="24"/>
          <w:szCs w:val="24"/>
        </w:rPr>
        <w:sectPr>
          <w:pgSz w:w="11905" w:h="16838"/>
          <w:pgMar w:top="1304" w:right="1304" w:bottom="1304" w:left="1304" w:header="907" w:footer="879" w:gutter="0"/>
          <w:pgNumType w:fmt="decimal"/>
          <w:cols w:space="0" w:num="1"/>
          <w:titlePg/>
          <w:rtlGutter w:val="0"/>
          <w:docGrid w:type="lines" w:linePitch="323" w:charSpace="0"/>
        </w:sectPr>
      </w:pPr>
    </w:p>
    <w:p w14:paraId="5E2C02EE">
      <w:pPr>
        <w:spacing w:after="190" w:afterLines="50" w:line="480" w:lineRule="exact"/>
        <w:jc w:val="center"/>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中小企业声明函（工程、服务）</w:t>
      </w:r>
    </w:p>
    <w:p w14:paraId="605FD24B">
      <w:pPr>
        <w:spacing w:after="190" w:afterLines="50" w:line="480" w:lineRule="exact"/>
        <w:ind w:firstLine="720" w:firstLineChars="3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F021B13">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23B482FB">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p>
    <w:p w14:paraId="1C5855FE">
      <w:pPr>
        <w:spacing w:after="190" w:afterLines="50" w:line="480" w:lineRule="exact"/>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13C82A18">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4B1FF35F">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01212E24">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753C1BD2">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65DCA603">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5345C419">
      <w:pPr>
        <w:pStyle w:val="124"/>
        <w:rPr>
          <w:rFonts w:hint="eastAsia"/>
          <w:lang w:val="en-US" w:eastAsia="zh-CN"/>
        </w:rPr>
      </w:pPr>
    </w:p>
    <w:p w14:paraId="6C7B3C5D">
      <w:pPr>
        <w:pStyle w:val="4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1D9E86E8">
      <w:pPr>
        <w:pStyle w:val="17"/>
        <w:rPr>
          <w:rFonts w:hint="eastAsia" w:ascii="宋体" w:hAnsi="宋体" w:eastAsia="宋体" w:cs="宋体"/>
          <w:sz w:val="24"/>
          <w:szCs w:val="24"/>
        </w:rPr>
        <w:sectPr>
          <w:pgSz w:w="11905" w:h="16838"/>
          <w:pgMar w:top="1304" w:right="1304" w:bottom="1304" w:left="1304" w:header="907" w:footer="879" w:gutter="0"/>
          <w:pgBorders>
            <w:top w:val="none" w:sz="0" w:space="0"/>
            <w:left w:val="none" w:sz="0" w:space="0"/>
            <w:bottom w:val="none" w:sz="0" w:space="0"/>
            <w:right w:val="none" w:sz="0" w:space="0"/>
          </w:pgBorders>
          <w:pgNumType w:fmt="decimal"/>
          <w:cols w:space="0" w:num="1"/>
          <w:titlePg/>
          <w:rtlGutter w:val="0"/>
          <w:docGrid w:type="lines" w:linePitch="323" w:charSpace="0"/>
        </w:sectPr>
      </w:pPr>
    </w:p>
    <w:p w14:paraId="4A353AC8">
      <w:pPr>
        <w:pStyle w:val="3"/>
        <w:ind w:firstLine="482" w:firstLineChars="150"/>
        <w:jc w:val="center"/>
        <w:rPr>
          <w:rFonts w:hint="eastAsia" w:eastAsia="宋体"/>
        </w:rPr>
      </w:pPr>
      <w:r>
        <w:rPr>
          <w:rFonts w:hint="eastAsia" w:ascii="Calibri Light" w:hAnsi="Calibri Light" w:cs="Times New Roman"/>
          <w:b/>
          <w:bCs/>
          <w:sz w:val="32"/>
          <w:szCs w:val="32"/>
          <w:lang w:val="en-US" w:eastAsia="zh-CN"/>
        </w:rPr>
        <w:t>五、</w:t>
      </w:r>
      <w:r>
        <w:rPr>
          <w:rFonts w:hint="eastAsia" w:eastAsia="宋体"/>
          <w:lang w:eastAsia="zh-CN"/>
        </w:rPr>
        <w:t>商务</w:t>
      </w:r>
      <w:r>
        <w:rPr>
          <w:rFonts w:hint="eastAsia"/>
          <w:lang w:val="en-US" w:eastAsia="zh-CN"/>
        </w:rPr>
        <w:t>响应</w:t>
      </w:r>
      <w:r>
        <w:rPr>
          <w:rFonts w:hint="eastAsia" w:eastAsia="宋体"/>
        </w:rPr>
        <w:t>偏离表</w:t>
      </w:r>
    </w:p>
    <w:tbl>
      <w:tblPr>
        <w:tblStyle w:val="44"/>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46854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4D98E67C">
            <w:pPr>
              <w:wordWrap w:val="0"/>
              <w:jc w:val="center"/>
              <w:rPr>
                <w:rFonts w:hint="eastAsia" w:ascii="宋体" w:hAnsi="宋体" w:eastAsia="宋体" w:cs="宋体"/>
                <w:sz w:val="24"/>
                <w:szCs w:val="24"/>
                <w:lang w:val="en-US" w:eastAsia="zh-CN"/>
              </w:rPr>
            </w:pPr>
            <w:r>
              <w:rPr>
                <w:rFonts w:hint="eastAsia" w:ascii="宋体" w:hAnsi="宋体" w:eastAsia="宋体" w:cs="宋体"/>
                <w:b/>
                <w:szCs w:val="21"/>
                <w:lang w:val="en-US" w:eastAsia="zh-CN"/>
              </w:rPr>
              <w:t>序号</w:t>
            </w:r>
          </w:p>
        </w:tc>
        <w:tc>
          <w:tcPr>
            <w:tcW w:w="2835" w:type="dxa"/>
            <w:vAlign w:val="center"/>
          </w:tcPr>
          <w:p w14:paraId="185B885D">
            <w:pPr>
              <w:wordWrap w:val="0"/>
              <w:jc w:val="center"/>
              <w:rPr>
                <w:rFonts w:hint="eastAsia" w:ascii="宋体" w:hAnsi="宋体" w:eastAsia="宋体" w:cs="宋体"/>
                <w:sz w:val="24"/>
                <w:szCs w:val="24"/>
              </w:rPr>
            </w:pPr>
            <w:r>
              <w:rPr>
                <w:rFonts w:hint="eastAsia" w:ascii="宋体" w:hAnsi="宋体" w:cs="宋体"/>
                <w:b/>
                <w:szCs w:val="21"/>
                <w:lang w:val="en-US" w:eastAsia="zh-CN"/>
              </w:rPr>
              <w:t>磋商</w:t>
            </w:r>
            <w:r>
              <w:rPr>
                <w:rFonts w:hint="eastAsia" w:ascii="宋体" w:hAnsi="宋体" w:eastAsia="宋体" w:cs="宋体"/>
                <w:b/>
                <w:szCs w:val="21"/>
              </w:rPr>
              <w:t>文件商务要求</w:t>
            </w:r>
          </w:p>
        </w:tc>
        <w:tc>
          <w:tcPr>
            <w:tcW w:w="2552" w:type="dxa"/>
            <w:vAlign w:val="center"/>
          </w:tcPr>
          <w:p w14:paraId="196EEFDD">
            <w:pPr>
              <w:wordWrap w:val="0"/>
              <w:jc w:val="center"/>
              <w:rPr>
                <w:rFonts w:hint="eastAsia" w:ascii="宋体" w:hAnsi="宋体" w:eastAsia="宋体" w:cs="宋体"/>
                <w:sz w:val="24"/>
                <w:szCs w:val="24"/>
              </w:rPr>
            </w:pPr>
            <w:r>
              <w:rPr>
                <w:rFonts w:hint="eastAsia" w:ascii="宋体" w:hAnsi="宋体" w:eastAsia="宋体" w:cs="宋体"/>
                <w:b/>
                <w:szCs w:val="21"/>
              </w:rPr>
              <w:t>响应文件商务应答</w:t>
            </w:r>
          </w:p>
        </w:tc>
        <w:tc>
          <w:tcPr>
            <w:tcW w:w="1516" w:type="dxa"/>
            <w:vAlign w:val="center"/>
          </w:tcPr>
          <w:p w14:paraId="4F3CF3FA">
            <w:pPr>
              <w:wordWrap w:val="0"/>
              <w:jc w:val="center"/>
              <w:rPr>
                <w:rFonts w:hint="eastAsia" w:ascii="宋体" w:hAnsi="宋体" w:eastAsia="宋体" w:cs="宋体"/>
                <w:b/>
                <w:szCs w:val="21"/>
              </w:rPr>
            </w:pPr>
            <w:r>
              <w:rPr>
                <w:rFonts w:hint="eastAsia" w:ascii="宋体" w:hAnsi="宋体" w:eastAsia="宋体" w:cs="宋体"/>
                <w:b/>
                <w:szCs w:val="21"/>
              </w:rPr>
              <w:t>偏离</w:t>
            </w:r>
          </w:p>
          <w:p w14:paraId="39698AC2">
            <w:pPr>
              <w:wordWrap w:val="0"/>
              <w:jc w:val="center"/>
              <w:rPr>
                <w:rFonts w:hint="eastAsia" w:ascii="宋体" w:hAnsi="宋体" w:eastAsia="宋体" w:cs="宋体"/>
                <w:sz w:val="24"/>
                <w:szCs w:val="24"/>
              </w:rPr>
            </w:pPr>
            <w:r>
              <w:rPr>
                <w:rFonts w:hint="eastAsia" w:ascii="宋体" w:hAnsi="宋体" w:eastAsia="宋体" w:cs="宋体"/>
                <w:b/>
                <w:szCs w:val="21"/>
              </w:rPr>
              <w:t>（无/正/负）</w:t>
            </w:r>
          </w:p>
        </w:tc>
        <w:tc>
          <w:tcPr>
            <w:tcW w:w="1516" w:type="dxa"/>
            <w:vAlign w:val="center"/>
          </w:tcPr>
          <w:p w14:paraId="25DC9F71">
            <w:pPr>
              <w:wordWrap w:val="0"/>
              <w:jc w:val="center"/>
              <w:rPr>
                <w:rFonts w:hint="eastAsia" w:ascii="宋体" w:hAnsi="宋体" w:eastAsia="宋体" w:cs="宋体"/>
                <w:b/>
                <w:szCs w:val="21"/>
              </w:rPr>
            </w:pPr>
            <w:r>
              <w:rPr>
                <w:rFonts w:hint="eastAsia" w:ascii="宋体" w:hAnsi="宋体" w:eastAsia="宋体" w:cs="宋体"/>
                <w:b/>
                <w:szCs w:val="21"/>
              </w:rPr>
              <w:t>偏离简述</w:t>
            </w:r>
          </w:p>
        </w:tc>
      </w:tr>
      <w:tr w14:paraId="22E88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23A59781">
            <w:pPr>
              <w:wordWrap w:val="0"/>
              <w:jc w:val="center"/>
              <w:rPr>
                <w:rFonts w:hint="eastAsia" w:ascii="宋体" w:hAnsi="宋体" w:eastAsia="宋体" w:cs="宋体"/>
                <w:b/>
                <w:szCs w:val="21"/>
                <w:lang w:val="en-US" w:eastAsia="zh-CN"/>
              </w:rPr>
            </w:pPr>
            <w:r>
              <w:rPr>
                <w:rFonts w:hint="eastAsia" w:ascii="宋体" w:hAnsi="宋体" w:eastAsia="宋体" w:cs="宋体"/>
                <w:b/>
                <w:szCs w:val="21"/>
                <w:lang w:val="en-US" w:eastAsia="zh-CN"/>
              </w:rPr>
              <w:t>1</w:t>
            </w:r>
          </w:p>
        </w:tc>
        <w:tc>
          <w:tcPr>
            <w:tcW w:w="2835" w:type="dxa"/>
            <w:vAlign w:val="center"/>
          </w:tcPr>
          <w:p w14:paraId="61A8CAAA">
            <w:pPr>
              <w:spacing w:line="360" w:lineRule="auto"/>
              <w:rPr>
                <w:rFonts w:ascii="宋体" w:hAnsi="宋体"/>
                <w:sz w:val="24"/>
                <w:szCs w:val="24"/>
              </w:rPr>
            </w:pPr>
          </w:p>
        </w:tc>
        <w:tc>
          <w:tcPr>
            <w:tcW w:w="2552" w:type="dxa"/>
            <w:vAlign w:val="center"/>
          </w:tcPr>
          <w:p w14:paraId="6DA95343">
            <w:pPr>
              <w:spacing w:line="360" w:lineRule="auto"/>
              <w:rPr>
                <w:rFonts w:ascii="宋体" w:hAnsi="宋体"/>
                <w:sz w:val="24"/>
                <w:szCs w:val="24"/>
              </w:rPr>
            </w:pPr>
          </w:p>
        </w:tc>
        <w:tc>
          <w:tcPr>
            <w:tcW w:w="1516" w:type="dxa"/>
            <w:vAlign w:val="center"/>
          </w:tcPr>
          <w:p w14:paraId="01B09428">
            <w:pPr>
              <w:spacing w:line="360" w:lineRule="auto"/>
              <w:rPr>
                <w:rFonts w:ascii="宋体" w:hAnsi="宋体"/>
                <w:sz w:val="24"/>
                <w:szCs w:val="24"/>
              </w:rPr>
            </w:pPr>
          </w:p>
        </w:tc>
        <w:tc>
          <w:tcPr>
            <w:tcW w:w="1516" w:type="dxa"/>
            <w:vAlign w:val="center"/>
          </w:tcPr>
          <w:p w14:paraId="4A26D4BD">
            <w:pPr>
              <w:spacing w:line="360" w:lineRule="auto"/>
              <w:rPr>
                <w:rFonts w:ascii="宋体" w:hAnsi="宋体"/>
                <w:sz w:val="24"/>
                <w:szCs w:val="24"/>
              </w:rPr>
            </w:pPr>
          </w:p>
        </w:tc>
      </w:tr>
      <w:tr w14:paraId="00D81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7525B818">
            <w:pPr>
              <w:wordWrap w:val="0"/>
              <w:jc w:val="center"/>
              <w:rPr>
                <w:rFonts w:hint="eastAsia" w:ascii="宋体" w:hAnsi="宋体" w:eastAsia="宋体" w:cs="宋体"/>
                <w:b/>
                <w:szCs w:val="21"/>
                <w:lang w:val="en-US" w:eastAsia="zh-CN"/>
              </w:rPr>
            </w:pPr>
            <w:r>
              <w:rPr>
                <w:rFonts w:hint="eastAsia" w:ascii="宋体" w:hAnsi="宋体" w:eastAsia="宋体" w:cs="宋体"/>
                <w:b/>
                <w:szCs w:val="21"/>
                <w:lang w:val="en-US" w:eastAsia="zh-CN"/>
              </w:rPr>
              <w:t>2</w:t>
            </w:r>
          </w:p>
        </w:tc>
        <w:tc>
          <w:tcPr>
            <w:tcW w:w="2835" w:type="dxa"/>
            <w:vAlign w:val="center"/>
          </w:tcPr>
          <w:p w14:paraId="4E73188C">
            <w:pPr>
              <w:spacing w:line="360" w:lineRule="auto"/>
              <w:rPr>
                <w:rFonts w:ascii="宋体" w:hAnsi="宋体"/>
                <w:sz w:val="24"/>
                <w:szCs w:val="24"/>
              </w:rPr>
            </w:pPr>
          </w:p>
        </w:tc>
        <w:tc>
          <w:tcPr>
            <w:tcW w:w="2552" w:type="dxa"/>
            <w:vAlign w:val="center"/>
          </w:tcPr>
          <w:p w14:paraId="73A11DC0">
            <w:pPr>
              <w:spacing w:line="360" w:lineRule="auto"/>
              <w:rPr>
                <w:rFonts w:ascii="宋体" w:hAnsi="宋体"/>
                <w:sz w:val="24"/>
                <w:szCs w:val="24"/>
              </w:rPr>
            </w:pPr>
          </w:p>
        </w:tc>
        <w:tc>
          <w:tcPr>
            <w:tcW w:w="1516" w:type="dxa"/>
            <w:vAlign w:val="center"/>
          </w:tcPr>
          <w:p w14:paraId="383836F7">
            <w:pPr>
              <w:spacing w:line="360" w:lineRule="auto"/>
              <w:rPr>
                <w:rFonts w:ascii="宋体" w:hAnsi="宋体"/>
                <w:sz w:val="24"/>
                <w:szCs w:val="24"/>
              </w:rPr>
            </w:pPr>
          </w:p>
        </w:tc>
        <w:tc>
          <w:tcPr>
            <w:tcW w:w="1516" w:type="dxa"/>
            <w:vAlign w:val="center"/>
          </w:tcPr>
          <w:p w14:paraId="44A44C10">
            <w:pPr>
              <w:spacing w:line="360" w:lineRule="auto"/>
              <w:rPr>
                <w:rFonts w:ascii="宋体" w:hAnsi="宋体"/>
                <w:sz w:val="24"/>
                <w:szCs w:val="24"/>
              </w:rPr>
            </w:pPr>
          </w:p>
        </w:tc>
      </w:tr>
      <w:tr w14:paraId="7B467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6FF874F3">
            <w:pPr>
              <w:wordWrap w:val="0"/>
              <w:jc w:val="center"/>
              <w:rPr>
                <w:rFonts w:hint="eastAsia" w:ascii="宋体" w:hAnsi="宋体" w:eastAsia="宋体" w:cs="宋体"/>
                <w:b/>
                <w:szCs w:val="21"/>
                <w:lang w:val="en-US" w:eastAsia="zh-CN"/>
              </w:rPr>
            </w:pPr>
            <w:r>
              <w:rPr>
                <w:rFonts w:hint="eastAsia" w:ascii="宋体" w:hAnsi="宋体" w:eastAsia="宋体" w:cs="宋体"/>
                <w:b/>
                <w:szCs w:val="21"/>
                <w:lang w:val="en-US" w:eastAsia="zh-CN"/>
              </w:rPr>
              <w:t>3</w:t>
            </w:r>
          </w:p>
        </w:tc>
        <w:tc>
          <w:tcPr>
            <w:tcW w:w="2835" w:type="dxa"/>
            <w:vAlign w:val="center"/>
          </w:tcPr>
          <w:p w14:paraId="49ED41B0">
            <w:pPr>
              <w:spacing w:line="360" w:lineRule="auto"/>
              <w:rPr>
                <w:rFonts w:ascii="宋体" w:hAnsi="宋体"/>
                <w:sz w:val="24"/>
                <w:szCs w:val="24"/>
              </w:rPr>
            </w:pPr>
          </w:p>
        </w:tc>
        <w:tc>
          <w:tcPr>
            <w:tcW w:w="2552" w:type="dxa"/>
            <w:vAlign w:val="center"/>
          </w:tcPr>
          <w:p w14:paraId="1BB44732">
            <w:pPr>
              <w:spacing w:line="360" w:lineRule="auto"/>
              <w:rPr>
                <w:rFonts w:ascii="宋体" w:hAnsi="宋体"/>
                <w:sz w:val="24"/>
                <w:szCs w:val="24"/>
              </w:rPr>
            </w:pPr>
          </w:p>
        </w:tc>
        <w:tc>
          <w:tcPr>
            <w:tcW w:w="1516" w:type="dxa"/>
            <w:vAlign w:val="center"/>
          </w:tcPr>
          <w:p w14:paraId="2771C2FC">
            <w:pPr>
              <w:spacing w:line="360" w:lineRule="auto"/>
              <w:rPr>
                <w:rFonts w:ascii="宋体" w:hAnsi="宋体"/>
                <w:sz w:val="24"/>
                <w:szCs w:val="24"/>
              </w:rPr>
            </w:pPr>
          </w:p>
        </w:tc>
        <w:tc>
          <w:tcPr>
            <w:tcW w:w="1516" w:type="dxa"/>
            <w:vAlign w:val="center"/>
          </w:tcPr>
          <w:p w14:paraId="5A22A97D">
            <w:pPr>
              <w:spacing w:line="360" w:lineRule="auto"/>
              <w:rPr>
                <w:rFonts w:ascii="宋体" w:hAnsi="宋体"/>
                <w:sz w:val="24"/>
                <w:szCs w:val="24"/>
              </w:rPr>
            </w:pPr>
          </w:p>
        </w:tc>
      </w:tr>
      <w:tr w14:paraId="3E94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4B5A7E92">
            <w:pPr>
              <w:wordWrap w:val="0"/>
              <w:jc w:val="center"/>
              <w:rPr>
                <w:rFonts w:hint="default" w:ascii="宋体" w:hAnsi="宋体" w:eastAsia="宋体" w:cs="宋体"/>
                <w:b/>
                <w:szCs w:val="21"/>
                <w:lang w:val="en-US" w:eastAsia="zh-CN"/>
              </w:rPr>
            </w:pPr>
            <w:r>
              <w:rPr>
                <w:rFonts w:hint="eastAsia" w:ascii="宋体" w:hAnsi="宋体" w:eastAsia="宋体" w:cs="宋体"/>
                <w:b/>
                <w:szCs w:val="21"/>
                <w:lang w:val="en-US" w:eastAsia="zh-CN"/>
              </w:rPr>
              <w:t>...</w:t>
            </w:r>
          </w:p>
        </w:tc>
        <w:tc>
          <w:tcPr>
            <w:tcW w:w="2835" w:type="dxa"/>
            <w:vAlign w:val="center"/>
          </w:tcPr>
          <w:p w14:paraId="7418D7B8">
            <w:pPr>
              <w:spacing w:line="360" w:lineRule="auto"/>
              <w:rPr>
                <w:rFonts w:ascii="宋体" w:hAnsi="宋体"/>
                <w:sz w:val="24"/>
                <w:szCs w:val="24"/>
              </w:rPr>
            </w:pPr>
          </w:p>
        </w:tc>
        <w:tc>
          <w:tcPr>
            <w:tcW w:w="2552" w:type="dxa"/>
            <w:vAlign w:val="center"/>
          </w:tcPr>
          <w:p w14:paraId="37C67EF6">
            <w:pPr>
              <w:spacing w:line="360" w:lineRule="auto"/>
              <w:rPr>
                <w:rFonts w:ascii="宋体" w:hAnsi="宋体"/>
                <w:sz w:val="24"/>
                <w:szCs w:val="24"/>
              </w:rPr>
            </w:pPr>
          </w:p>
        </w:tc>
        <w:tc>
          <w:tcPr>
            <w:tcW w:w="1516" w:type="dxa"/>
            <w:vAlign w:val="center"/>
          </w:tcPr>
          <w:p w14:paraId="62D5155C">
            <w:pPr>
              <w:spacing w:line="360" w:lineRule="auto"/>
              <w:rPr>
                <w:rFonts w:ascii="宋体" w:hAnsi="宋体"/>
                <w:sz w:val="24"/>
                <w:szCs w:val="24"/>
              </w:rPr>
            </w:pPr>
          </w:p>
        </w:tc>
        <w:tc>
          <w:tcPr>
            <w:tcW w:w="1516" w:type="dxa"/>
            <w:vAlign w:val="center"/>
          </w:tcPr>
          <w:p w14:paraId="6C679A27">
            <w:pPr>
              <w:spacing w:line="360" w:lineRule="auto"/>
              <w:rPr>
                <w:rFonts w:ascii="宋体" w:hAnsi="宋体"/>
                <w:sz w:val="24"/>
                <w:szCs w:val="24"/>
              </w:rPr>
            </w:pPr>
          </w:p>
        </w:tc>
      </w:tr>
    </w:tbl>
    <w:p w14:paraId="56B0EFF5">
      <w:pPr>
        <w:spacing w:line="360" w:lineRule="auto"/>
        <w:ind w:firstLine="482" w:firstLineChars="200"/>
        <w:rPr>
          <w:b/>
          <w:bCs/>
          <w:sz w:val="24"/>
          <w:szCs w:val="24"/>
        </w:rPr>
      </w:pPr>
      <w:r>
        <w:rPr>
          <w:rFonts w:hint="eastAsia" w:ascii="宋体" w:hAnsi="宋体"/>
          <w:b/>
          <w:bCs/>
          <w:sz w:val="24"/>
          <w:szCs w:val="24"/>
        </w:rPr>
        <w:t>注：对</w:t>
      </w:r>
      <w:r>
        <w:rPr>
          <w:rFonts w:hint="eastAsia" w:ascii="宋体" w:hAnsi="宋体"/>
          <w:b/>
          <w:bCs/>
          <w:sz w:val="24"/>
          <w:szCs w:val="24"/>
          <w:lang w:val="en-US" w:eastAsia="zh-CN"/>
        </w:rPr>
        <w:t>磋商</w:t>
      </w:r>
      <w:r>
        <w:rPr>
          <w:rFonts w:hint="eastAsia" w:ascii="宋体" w:hAnsi="宋体"/>
          <w:b/>
          <w:bCs/>
          <w:sz w:val="24"/>
          <w:szCs w:val="24"/>
        </w:rPr>
        <w:t>文件中要求的商务条款响应并详细说明。</w:t>
      </w:r>
    </w:p>
    <w:p w14:paraId="382708E9">
      <w:pPr>
        <w:rPr>
          <w:sz w:val="24"/>
          <w:szCs w:val="24"/>
        </w:rPr>
      </w:pPr>
    </w:p>
    <w:p w14:paraId="599EEB6C">
      <w:pPr>
        <w:spacing w:line="360" w:lineRule="auto"/>
        <w:ind w:firstLine="420" w:firstLineChars="175"/>
        <w:rPr>
          <w:rFonts w:ascii="宋体" w:hAnsi="宋体"/>
          <w:sz w:val="24"/>
          <w:szCs w:val="24"/>
        </w:rPr>
      </w:pPr>
      <w:r>
        <w:rPr>
          <w:rFonts w:ascii="宋体" w:hAnsi="宋体"/>
          <w:sz w:val="24"/>
          <w:szCs w:val="24"/>
        </w:rPr>
        <w:t xml:space="preserve">    </w:t>
      </w:r>
    </w:p>
    <w:p w14:paraId="6B2F0619">
      <w:pPr>
        <w:spacing w:line="360" w:lineRule="auto"/>
        <w:ind w:firstLine="420" w:firstLineChars="175"/>
        <w:rPr>
          <w:rFonts w:hint="eastAsia" w:ascii="宋体" w:hAnsi="宋体" w:cs="Times New Roman"/>
          <w:b/>
          <w:bCs/>
          <w:sz w:val="24"/>
          <w:szCs w:val="24"/>
        </w:rPr>
      </w:pPr>
      <w:r>
        <w:rPr>
          <w:rFonts w:hint="eastAsia" w:ascii="宋体" w:hAnsi="宋体"/>
          <w:sz w:val="24"/>
          <w:szCs w:val="24"/>
        </w:rPr>
        <w:t xml:space="preserve">   </w:t>
      </w:r>
    </w:p>
    <w:p w14:paraId="7BB281A2">
      <w:pPr>
        <w:pStyle w:val="27"/>
      </w:pPr>
    </w:p>
    <w:p w14:paraId="52921D00">
      <w:pPr>
        <w:pStyle w:val="27"/>
      </w:pPr>
    </w:p>
    <w:p w14:paraId="0AF3A9B1">
      <w:pPr>
        <w:pStyle w:val="27"/>
      </w:pPr>
    </w:p>
    <w:p w14:paraId="6BD89D39">
      <w:pPr>
        <w:overflowPunct/>
        <w:topLinePunct w:val="0"/>
        <w:bidi w:val="0"/>
        <w:adjustRightInd w:val="0"/>
        <w:snapToGrid w:val="0"/>
        <w:spacing w:line="500" w:lineRule="atLeast"/>
        <w:jc w:val="left"/>
        <w:rPr>
          <w:rFonts w:hint="eastAsia" w:ascii="宋体" w:hAnsi="宋体" w:eastAsia="宋体" w:cs="宋体"/>
          <w:sz w:val="28"/>
          <w:szCs w:val="28"/>
          <w:u w:val="single"/>
        </w:rPr>
      </w:pPr>
      <w:r>
        <w:rPr>
          <w:rFonts w:hint="eastAsia" w:ascii="宋体" w:hAnsi="宋体" w:eastAsia="宋体" w:cs="宋体"/>
          <w:sz w:val="28"/>
          <w:szCs w:val="28"/>
        </w:rPr>
        <w:t>供应商（单位名称及公章）：____________________</w:t>
      </w:r>
    </w:p>
    <w:p w14:paraId="49A47A48">
      <w:pPr>
        <w:overflowPunct/>
        <w:topLinePunct w:val="0"/>
        <w:bidi w:val="0"/>
        <w:adjustRightInd w:val="0"/>
        <w:snapToGrid w:val="0"/>
        <w:spacing w:line="500" w:lineRule="atLeast"/>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cs="宋体"/>
          <w:sz w:val="28"/>
          <w:szCs w:val="28"/>
          <w:lang w:val="en-US" w:eastAsia="zh-CN"/>
        </w:rPr>
        <w:t>或</w:t>
      </w:r>
      <w:r>
        <w:rPr>
          <w:rFonts w:hint="eastAsia" w:ascii="宋体" w:hAnsi="宋体" w:eastAsia="宋体" w:cs="宋体"/>
          <w:sz w:val="28"/>
          <w:szCs w:val="28"/>
        </w:rPr>
        <w:t>被授权人（</w:t>
      </w:r>
      <w:r>
        <w:rPr>
          <w:rFonts w:hint="eastAsia" w:ascii="宋体" w:hAnsi="宋体" w:eastAsia="宋体" w:cs="宋体"/>
          <w:sz w:val="24"/>
          <w:szCs w:val="24"/>
        </w:rPr>
        <w:t>签字或盖章</w:t>
      </w:r>
      <w:r>
        <w:rPr>
          <w:rFonts w:hint="eastAsia" w:ascii="宋体" w:hAnsi="宋体" w:eastAsia="宋体" w:cs="宋体"/>
          <w:sz w:val="28"/>
          <w:szCs w:val="28"/>
        </w:rPr>
        <w:t>）：____________________</w:t>
      </w:r>
    </w:p>
    <w:p w14:paraId="60AA3599">
      <w:pPr>
        <w:overflowPunct/>
        <w:topLinePunct w:val="0"/>
        <w:bidi w:val="0"/>
        <w:adjustRightInd w:val="0"/>
        <w:snapToGrid w:val="0"/>
        <w:spacing w:line="500" w:lineRule="atLeast"/>
        <w:rPr>
          <w:rFonts w:hint="eastAsia" w:ascii="宋体" w:hAnsi="宋体" w:eastAsia="宋体" w:cs="宋体"/>
          <w:sz w:val="28"/>
          <w:szCs w:val="28"/>
        </w:rPr>
      </w:pPr>
      <w:r>
        <w:rPr>
          <w:rFonts w:hint="eastAsia" w:ascii="宋体" w:hAnsi="宋体" w:eastAsia="宋体" w:cs="宋体"/>
          <w:sz w:val="28"/>
          <w:szCs w:val="28"/>
        </w:rPr>
        <w:t>日    期：________年________月________日</w:t>
      </w:r>
    </w:p>
    <w:p w14:paraId="054EE6AB">
      <w:pPr>
        <w:spacing w:line="520" w:lineRule="exact"/>
        <w:jc w:val="center"/>
        <w:rPr>
          <w:rFonts w:hAnsi="宋体"/>
          <w:b/>
          <w:bCs/>
          <w:sz w:val="32"/>
          <w:szCs w:val="32"/>
        </w:rPr>
      </w:pPr>
    </w:p>
    <w:p w14:paraId="06959D65">
      <w:pPr>
        <w:spacing w:line="520" w:lineRule="exact"/>
        <w:jc w:val="center"/>
        <w:rPr>
          <w:rFonts w:hint="eastAsia" w:hAnsi="宋体"/>
          <w:b/>
          <w:bCs/>
          <w:sz w:val="32"/>
          <w:szCs w:val="32"/>
          <w:lang w:val="en-US" w:eastAsia="zh-CN"/>
        </w:rPr>
        <w:sectPr>
          <w:footerReference r:id="rId19" w:type="default"/>
          <w:pgSz w:w="11905" w:h="16838"/>
          <w:pgMar w:top="1304" w:right="1304" w:bottom="1304" w:left="1304" w:header="907" w:footer="879" w:gutter="0"/>
          <w:pgNumType w:fmt="decimal"/>
          <w:cols w:space="0" w:num="1"/>
          <w:titlePg/>
          <w:rtlGutter w:val="0"/>
          <w:docGrid w:type="lines" w:linePitch="323" w:charSpace="0"/>
        </w:sectPr>
      </w:pPr>
    </w:p>
    <w:p w14:paraId="2EDCFD65">
      <w:pPr>
        <w:spacing w:line="520" w:lineRule="exact"/>
        <w:jc w:val="center"/>
        <w:rPr>
          <w:rFonts w:hint="eastAsia" w:hAnsi="宋体" w:eastAsia="宋体"/>
          <w:sz w:val="28"/>
          <w:szCs w:val="28"/>
          <w:lang w:eastAsia="zh-CN"/>
        </w:rPr>
      </w:pPr>
      <w:r>
        <w:rPr>
          <w:rFonts w:hint="eastAsia" w:hAnsi="宋体"/>
          <w:b/>
          <w:bCs/>
          <w:sz w:val="32"/>
          <w:szCs w:val="32"/>
          <w:lang w:val="en-US" w:eastAsia="zh-CN"/>
        </w:rPr>
        <w:t>六</w:t>
      </w:r>
      <w:r>
        <w:rPr>
          <w:rFonts w:hint="eastAsia" w:hAnsi="宋体"/>
          <w:b/>
          <w:bCs/>
          <w:sz w:val="32"/>
          <w:szCs w:val="32"/>
        </w:rPr>
        <w:t>、</w:t>
      </w:r>
      <w:r>
        <w:rPr>
          <w:rFonts w:hint="eastAsia" w:hAnsi="宋体"/>
          <w:b/>
          <w:sz w:val="32"/>
          <w:szCs w:val="32"/>
          <w:lang w:val="en-US" w:eastAsia="zh-CN"/>
        </w:rPr>
        <w:t>响应</w:t>
      </w:r>
      <w:r>
        <w:rPr>
          <w:rFonts w:hint="eastAsia" w:hAnsi="宋体"/>
          <w:b/>
          <w:sz w:val="32"/>
          <w:szCs w:val="32"/>
          <w:lang w:eastAsia="zh-CN"/>
        </w:rPr>
        <w:t>方案</w:t>
      </w:r>
    </w:p>
    <w:p w14:paraId="72DEBD7A">
      <w:pPr>
        <w:spacing w:line="320" w:lineRule="exact"/>
        <w:ind w:firstLine="700" w:firstLineChars="250"/>
        <w:rPr>
          <w:rFonts w:hAnsi="宋体"/>
          <w:sz w:val="28"/>
          <w:szCs w:val="28"/>
        </w:rPr>
      </w:pPr>
    </w:p>
    <w:p w14:paraId="163977FB">
      <w:pPr>
        <w:overflowPunct/>
        <w:topLinePunct w:val="0"/>
        <w:bidi w:val="0"/>
        <w:spacing w:line="500" w:lineRule="atLeast"/>
        <w:ind w:firstLine="482" w:firstLine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参照</w:t>
      </w:r>
      <w:r>
        <w:rPr>
          <w:rFonts w:hint="eastAsia" w:ascii="宋体" w:hAnsi="宋体" w:cs="宋体"/>
          <w:b/>
          <w:bCs/>
          <w:sz w:val="24"/>
          <w:szCs w:val="24"/>
          <w:lang w:val="en-US" w:eastAsia="zh-CN"/>
        </w:rPr>
        <w:t>磋商</w:t>
      </w:r>
      <w:r>
        <w:rPr>
          <w:rFonts w:hint="eastAsia" w:ascii="宋体" w:hAnsi="宋体" w:eastAsia="宋体" w:cs="宋体"/>
          <w:b/>
          <w:bCs/>
          <w:sz w:val="24"/>
          <w:szCs w:val="24"/>
        </w:rPr>
        <w:t>文件的《评审方法和程序》各条款的要求，结合《</w:t>
      </w:r>
      <w:r>
        <w:rPr>
          <w:rFonts w:hint="eastAsia" w:ascii="宋体" w:hAnsi="宋体" w:cs="宋体"/>
          <w:b/>
          <w:bCs/>
          <w:sz w:val="24"/>
          <w:szCs w:val="24"/>
          <w:lang w:val="en-US" w:eastAsia="zh-CN"/>
        </w:rPr>
        <w:t>采购</w:t>
      </w:r>
      <w:r>
        <w:rPr>
          <w:rFonts w:hint="eastAsia" w:ascii="宋体" w:hAnsi="宋体" w:eastAsia="宋体" w:cs="宋体"/>
          <w:b/>
          <w:bCs/>
          <w:sz w:val="24"/>
          <w:szCs w:val="24"/>
        </w:rPr>
        <w:t>内容及要求》</w:t>
      </w:r>
      <w:r>
        <w:rPr>
          <w:rFonts w:hint="eastAsia" w:ascii="宋体" w:hAnsi="宋体" w:cs="宋体"/>
          <w:b/>
          <w:bCs/>
          <w:sz w:val="24"/>
          <w:szCs w:val="24"/>
          <w:lang w:val="en-US" w:eastAsia="zh-CN"/>
        </w:rPr>
        <w:t>和</w:t>
      </w:r>
      <w:r>
        <w:rPr>
          <w:rFonts w:hint="eastAsia" w:ascii="宋体" w:hAnsi="宋体" w:eastAsia="宋体" w:cs="宋体"/>
          <w:b/>
          <w:bCs/>
          <w:sz w:val="24"/>
          <w:szCs w:val="24"/>
        </w:rPr>
        <w:t>编制的</w:t>
      </w:r>
      <w:r>
        <w:rPr>
          <w:rFonts w:hint="eastAsia" w:ascii="宋体" w:hAnsi="宋体" w:cs="宋体"/>
          <w:b/>
          <w:bCs/>
          <w:sz w:val="24"/>
          <w:szCs w:val="24"/>
          <w:lang w:val="en-US" w:eastAsia="zh-CN"/>
        </w:rPr>
        <w:t>响应</w:t>
      </w:r>
      <w:r>
        <w:rPr>
          <w:rFonts w:hint="eastAsia" w:ascii="宋体" w:hAnsi="宋体" w:eastAsia="宋体" w:cs="宋体"/>
          <w:b/>
          <w:bCs/>
          <w:sz w:val="24"/>
          <w:szCs w:val="24"/>
        </w:rPr>
        <w:t>方案，</w:t>
      </w:r>
      <w:r>
        <w:rPr>
          <w:rFonts w:hint="eastAsia" w:ascii="宋体" w:hAnsi="宋体" w:cs="宋体"/>
          <w:b/>
          <w:bCs/>
          <w:sz w:val="24"/>
          <w:szCs w:val="24"/>
          <w:lang w:val="en-US" w:eastAsia="zh-CN"/>
        </w:rPr>
        <w:t>响应</w:t>
      </w:r>
      <w:r>
        <w:rPr>
          <w:rFonts w:hint="eastAsia" w:ascii="宋体" w:hAnsi="宋体" w:eastAsia="宋体" w:cs="宋体"/>
          <w:b/>
          <w:bCs/>
          <w:sz w:val="24"/>
          <w:szCs w:val="24"/>
        </w:rPr>
        <w:t>方案由供应商自行编写，无具体格式，包含但不限于以下内容：</w:t>
      </w:r>
    </w:p>
    <w:p w14:paraId="1ED20C08">
      <w:pPr>
        <w:numPr>
          <w:ilvl w:val="0"/>
          <w:numId w:val="0"/>
        </w:numPr>
        <w:adjustRightInd w:val="0"/>
        <w:snapToGrid w:val="0"/>
        <w:spacing w:line="500" w:lineRule="exact"/>
        <w:ind w:firstLine="645" w:firstLineChars="0"/>
        <w:rPr>
          <w:rFonts w:hint="eastAsia" w:ascii="宋体" w:hAnsi="宋体"/>
          <w:color w:val="auto"/>
          <w:sz w:val="24"/>
          <w:lang w:val="en-US" w:eastAsia="zh-CN"/>
        </w:rPr>
      </w:pPr>
      <w:r>
        <w:rPr>
          <w:rFonts w:hint="eastAsia" w:ascii="宋体" w:hAnsi="宋体" w:eastAsia="宋体" w:cs="Calibri"/>
          <w:color w:val="auto"/>
          <w:kern w:val="2"/>
          <w:sz w:val="24"/>
          <w:szCs w:val="21"/>
          <w:lang w:val="en-US" w:eastAsia="zh-CN" w:bidi="ar-SA"/>
        </w:rPr>
        <w:t>1.</w:t>
      </w:r>
      <w:r>
        <w:rPr>
          <w:rFonts w:hint="eastAsia" w:ascii="宋体" w:hAnsi="宋体"/>
          <w:color w:val="auto"/>
          <w:sz w:val="24"/>
          <w:lang w:val="en-US" w:eastAsia="zh-CN"/>
        </w:rPr>
        <w:t>施工组织设计</w:t>
      </w:r>
    </w:p>
    <w:p w14:paraId="79685A6B">
      <w:pPr>
        <w:numPr>
          <w:ilvl w:val="0"/>
          <w:numId w:val="0"/>
        </w:numPr>
        <w:adjustRightInd w:val="0"/>
        <w:snapToGrid w:val="0"/>
        <w:spacing w:line="500" w:lineRule="exact"/>
        <w:ind w:firstLine="645" w:firstLineChars="0"/>
        <w:rPr>
          <w:rFonts w:hint="eastAsia" w:ascii="宋体" w:hAnsi="宋体"/>
          <w:color w:val="auto"/>
          <w:sz w:val="24"/>
          <w:lang w:val="en-US" w:eastAsia="zh-CN"/>
        </w:rPr>
      </w:pPr>
      <w:r>
        <w:rPr>
          <w:rFonts w:hint="eastAsia" w:ascii="宋体" w:hAnsi="宋体" w:eastAsia="宋体" w:cs="Calibri"/>
          <w:color w:val="auto"/>
          <w:kern w:val="2"/>
          <w:sz w:val="24"/>
          <w:szCs w:val="21"/>
          <w:lang w:val="en-US" w:eastAsia="zh-CN" w:bidi="ar-SA"/>
        </w:rPr>
        <w:t>2.</w:t>
      </w:r>
      <w:r>
        <w:rPr>
          <w:rFonts w:hint="eastAsia" w:ascii="宋体" w:hAnsi="宋体"/>
          <w:color w:val="auto"/>
          <w:sz w:val="24"/>
          <w:lang w:val="en-US" w:eastAsia="zh-CN"/>
        </w:rPr>
        <w:t>所投产品/材料来源证明资料</w:t>
      </w:r>
    </w:p>
    <w:p w14:paraId="1F4F824F">
      <w:pPr>
        <w:adjustRightInd w:val="0"/>
        <w:snapToGrid w:val="0"/>
        <w:spacing w:line="500" w:lineRule="exact"/>
        <w:ind w:firstLine="645"/>
        <w:rPr>
          <w:rFonts w:hint="eastAsia" w:ascii="宋体" w:hAnsi="宋体"/>
          <w:color w:val="auto"/>
          <w:sz w:val="24"/>
          <w:lang w:val="en-US" w:eastAsia="zh-CN"/>
        </w:rPr>
      </w:pPr>
      <w:r>
        <w:rPr>
          <w:rFonts w:hint="eastAsia" w:ascii="宋体" w:hAnsi="宋体"/>
          <w:color w:val="auto"/>
          <w:sz w:val="24"/>
          <w:lang w:val="en-US" w:eastAsia="zh-CN"/>
        </w:rPr>
        <w:t>3.环境标志、节能产品</w:t>
      </w:r>
    </w:p>
    <w:p w14:paraId="32AE1471">
      <w:pPr>
        <w:adjustRightInd w:val="0"/>
        <w:snapToGrid w:val="0"/>
        <w:spacing w:line="500" w:lineRule="exact"/>
        <w:ind w:firstLine="645"/>
        <w:rPr>
          <w:rFonts w:hint="eastAsia" w:ascii="宋体" w:hAnsi="宋体"/>
          <w:color w:val="auto"/>
          <w:sz w:val="24"/>
          <w:lang w:val="en-US" w:eastAsia="zh-CN"/>
        </w:rPr>
      </w:pPr>
      <w:r>
        <w:rPr>
          <w:rFonts w:hint="eastAsia" w:ascii="宋体" w:hAnsi="宋体"/>
          <w:color w:val="auto"/>
          <w:sz w:val="24"/>
          <w:lang w:val="en-US" w:eastAsia="zh-CN"/>
        </w:rPr>
        <w:t>4.业绩</w:t>
      </w:r>
    </w:p>
    <w:p w14:paraId="063A4CE6">
      <w:pPr>
        <w:adjustRightInd w:val="0"/>
        <w:snapToGrid w:val="0"/>
        <w:spacing w:line="500" w:lineRule="exact"/>
        <w:ind w:firstLine="645"/>
        <w:rPr>
          <w:rFonts w:hint="eastAsia" w:ascii="宋体" w:hAnsi="宋体" w:eastAsia="宋体"/>
          <w:color w:val="auto"/>
          <w:sz w:val="24"/>
          <w:lang w:val="en-US" w:eastAsia="zh-CN"/>
        </w:rPr>
      </w:pPr>
      <w:r>
        <w:rPr>
          <w:rFonts w:hint="eastAsia" w:ascii="宋体" w:hAnsi="宋体"/>
          <w:color w:val="auto"/>
          <w:sz w:val="24"/>
          <w:lang w:val="en-US" w:eastAsia="zh-CN"/>
        </w:rPr>
        <w:t>5.</w:t>
      </w:r>
      <w:r>
        <w:rPr>
          <w:rFonts w:hint="eastAsia" w:ascii="宋体" w:hAnsi="宋体" w:eastAsia="宋体"/>
          <w:color w:val="auto"/>
          <w:sz w:val="24"/>
          <w:lang w:val="en-US" w:eastAsia="zh-CN"/>
        </w:rPr>
        <w:t>供应商认为需提供的其他证明材料</w:t>
      </w:r>
    </w:p>
    <w:p w14:paraId="59CBF66E">
      <w:pPr>
        <w:ind w:firstLine="720" w:firstLineChars="300"/>
        <w:rPr>
          <w:rFonts w:hint="eastAsia"/>
          <w:lang w:eastAsia="zh-CN"/>
        </w:rPr>
        <w:sectPr>
          <w:headerReference r:id="rId20" w:type="first"/>
          <w:footerReference r:id="rId22" w:type="first"/>
          <w:footerReference r:id="rId21" w:type="default"/>
          <w:pgSz w:w="11905" w:h="16838"/>
          <w:pgMar w:top="1304" w:right="1304" w:bottom="1304" w:left="1304" w:header="907" w:footer="879" w:gutter="0"/>
          <w:pgNumType w:fmt="decimal"/>
          <w:cols w:space="0" w:num="1"/>
          <w:titlePg/>
          <w:rtlGutter w:val="0"/>
          <w:docGrid w:type="lines" w:linePitch="323" w:charSpace="0"/>
        </w:sectPr>
      </w:pPr>
      <w:r>
        <w:rPr>
          <w:rFonts w:hint="eastAsia" w:ascii="宋体" w:hAnsi="宋体" w:eastAsia="宋体"/>
          <w:sz w:val="24"/>
          <w:lang w:val="en-US" w:eastAsia="zh-CN"/>
        </w:rPr>
        <w:t>……</w:t>
      </w:r>
    </w:p>
    <w:p w14:paraId="6B7D9281">
      <w:pPr>
        <w:keepNext/>
        <w:keepLines/>
        <w:pageBreakBefore w:val="0"/>
        <w:widowControl w:val="0"/>
        <w:kinsoku/>
        <w:wordWrap/>
        <w:overflowPunct/>
        <w:topLinePunct w:val="0"/>
        <w:bidi w:val="0"/>
        <w:snapToGrid/>
        <w:spacing w:line="500" w:lineRule="atLeast"/>
        <w:ind w:firstLine="482" w:firstLineChars="150"/>
        <w:jc w:val="center"/>
        <w:outlineLvl w:val="1"/>
        <w:rPr>
          <w:rFonts w:hint="eastAsia" w:ascii="宋体" w:hAnsi="宋体" w:eastAsia="宋体" w:cs="宋体"/>
          <w:b/>
          <w:bCs/>
          <w:sz w:val="32"/>
          <w:szCs w:val="32"/>
        </w:rPr>
      </w:pPr>
      <w:r>
        <w:rPr>
          <w:rFonts w:hint="eastAsia" w:ascii="宋体" w:hAnsi="宋体" w:eastAsia="宋体" w:cs="宋体"/>
          <w:b/>
          <w:bCs/>
          <w:sz w:val="32"/>
          <w:szCs w:val="32"/>
        </w:rPr>
        <w:t>投标人情况表</w:t>
      </w:r>
    </w:p>
    <w:p w14:paraId="133CEEED">
      <w:pPr>
        <w:pageBreakBefore w:val="0"/>
        <w:widowControl w:val="0"/>
        <w:kinsoku/>
        <w:wordWrap/>
        <w:overflowPunct/>
        <w:topLinePunct w:val="0"/>
        <w:autoSpaceDE w:val="0"/>
        <w:autoSpaceDN w:val="0"/>
        <w:bidi w:val="0"/>
        <w:adjustRightInd w:val="0"/>
        <w:snapToGrid/>
        <w:spacing w:line="500" w:lineRule="atLeast"/>
        <w:jc w:val="center"/>
        <w:textAlignment w:val="baseline"/>
        <w:rPr>
          <w:rFonts w:hint="eastAsia" w:ascii="宋体" w:hAnsi="宋体" w:eastAsia="宋体" w:cs="宋体"/>
          <w:b/>
          <w:bCs/>
          <w:kern w:val="20"/>
          <w:sz w:val="24"/>
          <w:szCs w:val="24"/>
        </w:rPr>
      </w:pPr>
      <w:bookmarkStart w:id="229" w:name="_Toc403077652"/>
      <w:bookmarkStart w:id="230" w:name="_Toc214"/>
      <w:bookmarkStart w:id="231" w:name="_Toc14631"/>
      <w:bookmarkStart w:id="232" w:name="_Toc426457710"/>
      <w:bookmarkStart w:id="233" w:name="_Toc4115"/>
      <w:bookmarkStart w:id="234" w:name="_Toc396304714"/>
      <w:bookmarkStart w:id="235" w:name="_Toc17592"/>
      <w:bookmarkStart w:id="236" w:name="_Toc2768"/>
      <w:r>
        <w:rPr>
          <w:rFonts w:hint="eastAsia" w:ascii="宋体" w:hAnsi="宋体" w:eastAsia="宋体" w:cs="宋体"/>
          <w:b/>
          <w:bCs/>
          <w:kern w:val="20"/>
          <w:sz w:val="24"/>
          <w:szCs w:val="24"/>
        </w:rPr>
        <w:t>（一）本项目拟投入人员汇总表</w:t>
      </w:r>
      <w:bookmarkEnd w:id="229"/>
      <w:bookmarkEnd w:id="230"/>
      <w:bookmarkEnd w:id="231"/>
      <w:bookmarkEnd w:id="232"/>
      <w:bookmarkEnd w:id="233"/>
      <w:bookmarkEnd w:id="234"/>
      <w:bookmarkEnd w:id="235"/>
      <w:bookmarkEnd w:id="236"/>
    </w:p>
    <w:p w14:paraId="3E06A95E">
      <w:pPr>
        <w:overflowPunct/>
        <w:topLinePunct w:val="0"/>
        <w:autoSpaceDE w:val="0"/>
        <w:autoSpaceDN w:val="0"/>
        <w:bidi w:val="0"/>
        <w:adjustRightInd w:val="0"/>
        <w:spacing w:line="500" w:lineRule="atLeast"/>
        <w:textAlignment w:val="baseline"/>
        <w:rPr>
          <w:rFonts w:hint="eastAsia" w:ascii="宋体" w:hAnsi="宋体" w:eastAsia="宋体" w:cs="宋体"/>
          <w:b/>
          <w:bCs/>
          <w:kern w:val="20"/>
          <w:sz w:val="24"/>
          <w:szCs w:val="24"/>
        </w:rPr>
      </w:pPr>
    </w:p>
    <w:tbl>
      <w:tblPr>
        <w:tblStyle w:val="44"/>
        <w:tblW w:w="96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1"/>
        <w:gridCol w:w="1762"/>
        <w:gridCol w:w="809"/>
        <w:gridCol w:w="809"/>
        <w:gridCol w:w="809"/>
        <w:gridCol w:w="1062"/>
        <w:gridCol w:w="2667"/>
        <w:gridCol w:w="966"/>
      </w:tblGrid>
      <w:tr w14:paraId="3D2BA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blHeader/>
        </w:trPr>
        <w:tc>
          <w:tcPr>
            <w:tcW w:w="791" w:type="dxa"/>
            <w:tcMar>
              <w:top w:w="15" w:type="dxa"/>
              <w:left w:w="15" w:type="dxa"/>
              <w:bottom w:w="0" w:type="dxa"/>
              <w:right w:w="15" w:type="dxa"/>
            </w:tcMar>
            <w:vAlign w:val="center"/>
          </w:tcPr>
          <w:p w14:paraId="23E508E5">
            <w:pPr>
              <w:overflowPunct/>
              <w:topLinePunct w:val="0"/>
              <w:bidi w:val="0"/>
              <w:adjustRightInd w:val="0"/>
              <w:snapToGrid w:val="0"/>
              <w:spacing w:line="500" w:lineRule="atLeast"/>
              <w:jc w:val="center"/>
              <w:rPr>
                <w:rFonts w:hint="eastAsia" w:ascii="宋体" w:hAnsi="宋体" w:eastAsia="宋体" w:cs="宋体"/>
                <w:b/>
                <w:kern w:val="0"/>
                <w:sz w:val="24"/>
              </w:rPr>
            </w:pPr>
            <w:r>
              <w:rPr>
                <w:rFonts w:hint="eastAsia" w:ascii="宋体" w:hAnsi="宋体" w:eastAsia="宋体" w:cs="宋体"/>
                <w:b/>
                <w:kern w:val="0"/>
                <w:sz w:val="24"/>
              </w:rPr>
              <w:t>序号</w:t>
            </w:r>
          </w:p>
        </w:tc>
        <w:tc>
          <w:tcPr>
            <w:tcW w:w="1762" w:type="dxa"/>
            <w:tcMar>
              <w:top w:w="15" w:type="dxa"/>
              <w:left w:w="15" w:type="dxa"/>
              <w:bottom w:w="0" w:type="dxa"/>
              <w:right w:w="15" w:type="dxa"/>
            </w:tcMar>
            <w:vAlign w:val="center"/>
          </w:tcPr>
          <w:p w14:paraId="5CBC53ED">
            <w:pPr>
              <w:overflowPunct/>
              <w:topLinePunct w:val="0"/>
              <w:bidi w:val="0"/>
              <w:adjustRightInd w:val="0"/>
              <w:snapToGrid w:val="0"/>
              <w:spacing w:line="500" w:lineRule="atLeast"/>
              <w:jc w:val="center"/>
              <w:rPr>
                <w:rFonts w:hint="eastAsia" w:ascii="宋体" w:hAnsi="宋体" w:eastAsia="宋体" w:cs="宋体"/>
                <w:b/>
                <w:kern w:val="0"/>
                <w:sz w:val="24"/>
              </w:rPr>
            </w:pPr>
            <w:r>
              <w:rPr>
                <w:rFonts w:hint="eastAsia" w:ascii="宋体" w:hAnsi="宋体" w:eastAsia="宋体" w:cs="宋体"/>
                <w:b/>
                <w:kern w:val="0"/>
                <w:sz w:val="24"/>
              </w:rPr>
              <w:t>姓  名</w:t>
            </w:r>
          </w:p>
        </w:tc>
        <w:tc>
          <w:tcPr>
            <w:tcW w:w="809" w:type="dxa"/>
            <w:tcMar>
              <w:top w:w="15" w:type="dxa"/>
              <w:left w:w="15" w:type="dxa"/>
              <w:bottom w:w="0" w:type="dxa"/>
              <w:right w:w="15" w:type="dxa"/>
            </w:tcMar>
            <w:vAlign w:val="center"/>
          </w:tcPr>
          <w:p w14:paraId="4C6A3395">
            <w:pPr>
              <w:overflowPunct/>
              <w:topLinePunct w:val="0"/>
              <w:bidi w:val="0"/>
              <w:adjustRightInd w:val="0"/>
              <w:snapToGrid w:val="0"/>
              <w:spacing w:line="500" w:lineRule="atLeast"/>
              <w:jc w:val="center"/>
              <w:rPr>
                <w:rFonts w:hint="eastAsia" w:ascii="宋体" w:hAnsi="宋体" w:eastAsia="宋体" w:cs="宋体"/>
                <w:b/>
                <w:kern w:val="0"/>
                <w:sz w:val="24"/>
              </w:rPr>
            </w:pPr>
            <w:r>
              <w:rPr>
                <w:rFonts w:hint="eastAsia" w:ascii="宋体" w:hAnsi="宋体" w:eastAsia="宋体" w:cs="宋体"/>
                <w:b/>
                <w:kern w:val="0"/>
                <w:sz w:val="24"/>
              </w:rPr>
              <w:t>性别</w:t>
            </w:r>
          </w:p>
        </w:tc>
        <w:tc>
          <w:tcPr>
            <w:tcW w:w="809" w:type="dxa"/>
            <w:tcMar>
              <w:top w:w="15" w:type="dxa"/>
              <w:left w:w="15" w:type="dxa"/>
              <w:bottom w:w="0" w:type="dxa"/>
              <w:right w:w="15" w:type="dxa"/>
            </w:tcMar>
            <w:vAlign w:val="center"/>
          </w:tcPr>
          <w:p w14:paraId="723F8ECB">
            <w:pPr>
              <w:overflowPunct/>
              <w:topLinePunct w:val="0"/>
              <w:bidi w:val="0"/>
              <w:adjustRightInd w:val="0"/>
              <w:snapToGrid w:val="0"/>
              <w:spacing w:line="500" w:lineRule="atLeast"/>
              <w:jc w:val="center"/>
              <w:rPr>
                <w:rFonts w:hint="eastAsia" w:ascii="宋体" w:hAnsi="宋体" w:eastAsia="宋体" w:cs="宋体"/>
                <w:b/>
                <w:kern w:val="0"/>
                <w:sz w:val="24"/>
              </w:rPr>
            </w:pPr>
            <w:r>
              <w:rPr>
                <w:rFonts w:hint="eastAsia" w:ascii="宋体" w:hAnsi="宋体" w:eastAsia="宋体" w:cs="宋体"/>
                <w:b/>
                <w:kern w:val="0"/>
                <w:sz w:val="24"/>
              </w:rPr>
              <w:t>年龄</w:t>
            </w:r>
          </w:p>
        </w:tc>
        <w:tc>
          <w:tcPr>
            <w:tcW w:w="809" w:type="dxa"/>
            <w:tcMar>
              <w:top w:w="15" w:type="dxa"/>
              <w:left w:w="15" w:type="dxa"/>
              <w:bottom w:w="0" w:type="dxa"/>
              <w:right w:w="15" w:type="dxa"/>
            </w:tcMar>
            <w:vAlign w:val="center"/>
          </w:tcPr>
          <w:p w14:paraId="3E4A1813">
            <w:pPr>
              <w:overflowPunct/>
              <w:topLinePunct w:val="0"/>
              <w:bidi w:val="0"/>
              <w:adjustRightInd w:val="0"/>
              <w:snapToGrid w:val="0"/>
              <w:spacing w:line="500" w:lineRule="atLeast"/>
              <w:jc w:val="center"/>
              <w:rPr>
                <w:rFonts w:hint="eastAsia" w:ascii="宋体" w:hAnsi="宋体" w:eastAsia="宋体" w:cs="宋体"/>
                <w:b/>
                <w:kern w:val="0"/>
                <w:sz w:val="24"/>
              </w:rPr>
            </w:pPr>
            <w:r>
              <w:rPr>
                <w:rFonts w:hint="eastAsia" w:ascii="宋体" w:hAnsi="宋体" w:eastAsia="宋体" w:cs="宋体"/>
                <w:b/>
                <w:kern w:val="0"/>
                <w:sz w:val="24"/>
              </w:rPr>
              <w:t>学历</w:t>
            </w:r>
          </w:p>
        </w:tc>
        <w:tc>
          <w:tcPr>
            <w:tcW w:w="1062" w:type="dxa"/>
            <w:tcMar>
              <w:top w:w="15" w:type="dxa"/>
              <w:left w:w="15" w:type="dxa"/>
              <w:bottom w:w="0" w:type="dxa"/>
              <w:right w:w="15" w:type="dxa"/>
            </w:tcMar>
            <w:vAlign w:val="center"/>
          </w:tcPr>
          <w:p w14:paraId="4BB57BE7">
            <w:pPr>
              <w:overflowPunct/>
              <w:topLinePunct w:val="0"/>
              <w:bidi w:val="0"/>
              <w:adjustRightInd w:val="0"/>
              <w:snapToGrid w:val="0"/>
              <w:spacing w:line="500" w:lineRule="atLeast"/>
              <w:jc w:val="center"/>
              <w:rPr>
                <w:rFonts w:hint="eastAsia" w:ascii="宋体" w:hAnsi="宋体" w:eastAsia="宋体" w:cs="宋体"/>
                <w:b/>
                <w:kern w:val="0"/>
                <w:sz w:val="24"/>
              </w:rPr>
            </w:pPr>
            <w:r>
              <w:rPr>
                <w:rFonts w:hint="eastAsia" w:ascii="宋体" w:hAnsi="宋体" w:eastAsia="宋体" w:cs="宋体"/>
                <w:b/>
                <w:kern w:val="0"/>
                <w:sz w:val="24"/>
              </w:rPr>
              <w:t>工作</w:t>
            </w:r>
          </w:p>
          <w:p w14:paraId="66AC5DC4">
            <w:pPr>
              <w:overflowPunct/>
              <w:topLinePunct w:val="0"/>
              <w:bidi w:val="0"/>
              <w:adjustRightInd w:val="0"/>
              <w:snapToGrid w:val="0"/>
              <w:spacing w:line="500" w:lineRule="atLeast"/>
              <w:jc w:val="center"/>
              <w:rPr>
                <w:rFonts w:hint="eastAsia" w:ascii="宋体" w:hAnsi="宋体" w:eastAsia="宋体" w:cs="宋体"/>
                <w:b/>
                <w:kern w:val="0"/>
                <w:sz w:val="24"/>
              </w:rPr>
            </w:pPr>
            <w:r>
              <w:rPr>
                <w:rFonts w:hint="eastAsia" w:ascii="宋体" w:hAnsi="宋体" w:eastAsia="宋体" w:cs="宋体"/>
                <w:b/>
                <w:kern w:val="0"/>
                <w:sz w:val="24"/>
              </w:rPr>
              <w:t>年限</w:t>
            </w:r>
          </w:p>
        </w:tc>
        <w:tc>
          <w:tcPr>
            <w:tcW w:w="2667" w:type="dxa"/>
            <w:tcMar>
              <w:top w:w="15" w:type="dxa"/>
              <w:left w:w="15" w:type="dxa"/>
              <w:bottom w:w="0" w:type="dxa"/>
              <w:right w:w="15" w:type="dxa"/>
            </w:tcMar>
            <w:vAlign w:val="center"/>
          </w:tcPr>
          <w:p w14:paraId="14DD4335">
            <w:pPr>
              <w:overflowPunct/>
              <w:topLinePunct w:val="0"/>
              <w:bidi w:val="0"/>
              <w:adjustRightInd w:val="0"/>
              <w:snapToGrid w:val="0"/>
              <w:spacing w:line="500" w:lineRule="atLeast"/>
              <w:jc w:val="center"/>
              <w:rPr>
                <w:rFonts w:hint="eastAsia" w:ascii="宋体" w:hAnsi="宋体" w:eastAsia="宋体" w:cs="宋体"/>
                <w:b/>
                <w:kern w:val="0"/>
                <w:sz w:val="24"/>
              </w:rPr>
            </w:pPr>
            <w:r>
              <w:rPr>
                <w:rFonts w:hint="eastAsia" w:ascii="宋体" w:hAnsi="宋体" w:eastAsia="宋体" w:cs="宋体"/>
                <w:b/>
                <w:kern w:val="0"/>
                <w:sz w:val="24"/>
              </w:rPr>
              <w:t>拟担任的职务</w:t>
            </w:r>
          </w:p>
        </w:tc>
        <w:tc>
          <w:tcPr>
            <w:tcW w:w="966" w:type="dxa"/>
            <w:tcMar>
              <w:top w:w="15" w:type="dxa"/>
              <w:left w:w="15" w:type="dxa"/>
              <w:bottom w:w="0" w:type="dxa"/>
              <w:right w:w="15" w:type="dxa"/>
            </w:tcMar>
            <w:vAlign w:val="center"/>
          </w:tcPr>
          <w:p w14:paraId="2702B7E9">
            <w:pPr>
              <w:overflowPunct/>
              <w:topLinePunct w:val="0"/>
              <w:bidi w:val="0"/>
              <w:adjustRightInd w:val="0"/>
              <w:snapToGrid w:val="0"/>
              <w:spacing w:line="500" w:lineRule="atLeast"/>
              <w:jc w:val="center"/>
              <w:rPr>
                <w:rFonts w:hint="eastAsia" w:ascii="宋体" w:hAnsi="宋体" w:eastAsia="宋体" w:cs="宋体"/>
                <w:b/>
                <w:kern w:val="0"/>
                <w:sz w:val="24"/>
              </w:rPr>
            </w:pPr>
            <w:r>
              <w:rPr>
                <w:rFonts w:hint="eastAsia" w:ascii="宋体" w:hAnsi="宋体" w:eastAsia="宋体" w:cs="宋体"/>
                <w:b/>
                <w:kern w:val="0"/>
                <w:sz w:val="24"/>
              </w:rPr>
              <w:t>岗位</w:t>
            </w:r>
          </w:p>
          <w:p w14:paraId="1812EBAB">
            <w:pPr>
              <w:overflowPunct/>
              <w:topLinePunct w:val="0"/>
              <w:bidi w:val="0"/>
              <w:adjustRightInd w:val="0"/>
              <w:snapToGrid w:val="0"/>
              <w:spacing w:line="500" w:lineRule="atLeast"/>
              <w:jc w:val="center"/>
              <w:rPr>
                <w:rFonts w:hint="eastAsia" w:ascii="宋体" w:hAnsi="宋体" w:eastAsia="宋体" w:cs="宋体"/>
                <w:b/>
                <w:kern w:val="0"/>
                <w:sz w:val="24"/>
              </w:rPr>
            </w:pPr>
            <w:r>
              <w:rPr>
                <w:rFonts w:hint="eastAsia" w:ascii="宋体" w:hAnsi="宋体" w:eastAsia="宋体" w:cs="宋体"/>
                <w:b/>
                <w:kern w:val="0"/>
                <w:sz w:val="24"/>
              </w:rPr>
              <w:t>情况</w:t>
            </w:r>
          </w:p>
        </w:tc>
      </w:tr>
      <w:tr w14:paraId="3486B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2C5A4A74">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3DECF199">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E3F7D66">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A35EF2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45F94BB">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3EADDF37">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35DF6DEA">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6262AE79">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5700E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71141EEF">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149BD1BA">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DB4B26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4D9FE1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DE39901">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7B91CC48">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6DE23628">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71637AC8">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62C8E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6D814EDB">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1FD22DF7">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B5ACA4F">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E66184A">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598435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3194744B">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452D1238">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31DD1674">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5C857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56A5E55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2D1A37DF">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310394A">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D023BFE">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06BA791D">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54E48656">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0F5C9F4B">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2BB2E16D">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4A667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3BB26954">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6DD494F">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0EDDB0C4">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446F628">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3305B78">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3506CBF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0DA6D81E">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7B43F02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45C55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57B1672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3DBBD284">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DE8615B">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6AF8602">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56BCCB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055CE27E">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76E2367E">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584F8387">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71BA6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31B00AB5">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5345D48F">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AD7AA6A">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FF009F9">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9B936BD">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163505CA">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11D978A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0E020177">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6D144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2C7F79F7">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22507BE7">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242EFAD">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9D5A92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CCC3C65">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6419B992">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7088B70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54BDEDBD">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43A42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0FD43246">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500C8D72">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07E337C4">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0E3E2F3">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CE364D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114B7EE9">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03904BB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5EEA176E">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11EAB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0921F77E">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12B48CF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D9F25C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2ED4A42">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51C3246">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163BB3B2">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65AF8BC2">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78D56013">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4A108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05B81ACE">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10572B77">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482684A">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58E1EF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8D273A4">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70630FFF">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1B680A6B">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1BA08E31">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68E6D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0F79112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0DFE15F4">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73E24B9">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E2EADE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37A172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28D486C2">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628A7E62">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4A3330E">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658B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336DB1CD">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45561E7B">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C994838">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6CD5C83">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3E89B11">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40BA4539">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0ECA8374">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02546D5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7956E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64AA78F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49924456">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8AF9BF5">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237CB65">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E0EEBAB">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0B1FF2B2">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5A48A0A3">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7A572BEB">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42567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6D01C50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4B0F4B2A">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FFCC7F6">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0F363013">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382BC0B">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21B1ED4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348771DF">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158F6F24">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180AB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5DA38E86">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456DD0D4">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1AE4655">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891784D">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F9F45CA">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01F9A2F3">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5619B5DD">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A99ABBB">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r w14:paraId="38FA3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7" w:hRule="atLeast"/>
        </w:trPr>
        <w:tc>
          <w:tcPr>
            <w:tcW w:w="791" w:type="dxa"/>
            <w:tcMar>
              <w:top w:w="15" w:type="dxa"/>
              <w:left w:w="15" w:type="dxa"/>
              <w:bottom w:w="0" w:type="dxa"/>
              <w:right w:w="15" w:type="dxa"/>
            </w:tcMar>
            <w:vAlign w:val="bottom"/>
          </w:tcPr>
          <w:p w14:paraId="778F1E3F">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23B88436">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FA7686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74CA780">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257295F">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1CEEE6C5">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196DFC6C">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A99C176">
            <w:pPr>
              <w:overflowPunct/>
              <w:topLinePunct w:val="0"/>
              <w:bidi w:val="0"/>
              <w:adjustRightInd w:val="0"/>
              <w:snapToGrid w:val="0"/>
              <w:spacing w:line="500" w:lineRule="atLeast"/>
              <w:ind w:firstLine="480" w:firstLineChars="200"/>
              <w:rPr>
                <w:rFonts w:hint="eastAsia" w:ascii="宋体" w:hAnsi="宋体" w:eastAsia="宋体" w:cs="宋体"/>
                <w:kern w:val="0"/>
                <w:sz w:val="24"/>
              </w:rPr>
            </w:pPr>
          </w:p>
        </w:tc>
      </w:tr>
    </w:tbl>
    <w:p w14:paraId="7D158B99">
      <w:pPr>
        <w:overflowPunct/>
        <w:topLinePunct w:val="0"/>
        <w:bidi w:val="0"/>
        <w:spacing w:line="500" w:lineRule="atLeast"/>
        <w:rPr>
          <w:rFonts w:hint="eastAsia" w:ascii="宋体" w:hAnsi="宋体" w:eastAsia="宋体" w:cs="宋体"/>
          <w:szCs w:val="22"/>
        </w:rPr>
      </w:pPr>
    </w:p>
    <w:p w14:paraId="3A8A49CB">
      <w:pPr>
        <w:overflowPunct/>
        <w:topLinePunct w:val="0"/>
        <w:bidi w:val="0"/>
        <w:adjustRightInd w:val="0"/>
        <w:snapToGrid w:val="0"/>
        <w:spacing w:line="500" w:lineRule="atLeast"/>
        <w:jc w:val="left"/>
        <w:rPr>
          <w:rFonts w:hint="eastAsia" w:ascii="宋体" w:hAnsi="宋体" w:eastAsia="宋体" w:cs="宋体"/>
          <w:sz w:val="28"/>
          <w:szCs w:val="28"/>
          <w:u w:val="single"/>
        </w:rPr>
      </w:pPr>
      <w:r>
        <w:rPr>
          <w:rFonts w:hint="eastAsia" w:ascii="宋体" w:hAnsi="宋体" w:eastAsia="宋体" w:cs="宋体"/>
          <w:sz w:val="28"/>
          <w:szCs w:val="28"/>
        </w:rPr>
        <w:t>供应商（单位名称及公章）：____________________</w:t>
      </w:r>
    </w:p>
    <w:p w14:paraId="34AA1F7D">
      <w:pPr>
        <w:overflowPunct/>
        <w:topLinePunct w:val="0"/>
        <w:bidi w:val="0"/>
        <w:adjustRightInd w:val="0"/>
        <w:snapToGrid w:val="0"/>
        <w:spacing w:line="500" w:lineRule="atLeast"/>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cs="宋体"/>
          <w:sz w:val="28"/>
          <w:szCs w:val="28"/>
          <w:lang w:val="en-US" w:eastAsia="zh-CN"/>
        </w:rPr>
        <w:t>或</w:t>
      </w:r>
      <w:r>
        <w:rPr>
          <w:rFonts w:hint="eastAsia" w:ascii="宋体" w:hAnsi="宋体" w:eastAsia="宋体" w:cs="宋体"/>
          <w:sz w:val="28"/>
          <w:szCs w:val="28"/>
        </w:rPr>
        <w:t>被授权人（</w:t>
      </w:r>
      <w:r>
        <w:rPr>
          <w:rFonts w:hint="eastAsia" w:ascii="宋体" w:hAnsi="宋体" w:eastAsia="宋体" w:cs="宋体"/>
          <w:sz w:val="24"/>
          <w:szCs w:val="24"/>
        </w:rPr>
        <w:t>签字或盖章</w:t>
      </w:r>
      <w:r>
        <w:rPr>
          <w:rFonts w:hint="eastAsia" w:ascii="宋体" w:hAnsi="宋体" w:eastAsia="宋体" w:cs="宋体"/>
          <w:sz w:val="28"/>
          <w:szCs w:val="28"/>
        </w:rPr>
        <w:t>）：____________________</w:t>
      </w:r>
    </w:p>
    <w:p w14:paraId="47444FDD">
      <w:pPr>
        <w:overflowPunct/>
        <w:topLinePunct w:val="0"/>
        <w:bidi w:val="0"/>
        <w:adjustRightInd w:val="0"/>
        <w:snapToGrid w:val="0"/>
        <w:spacing w:line="500" w:lineRule="atLeast"/>
        <w:rPr>
          <w:rFonts w:hint="eastAsia" w:ascii="宋体" w:hAnsi="宋体" w:eastAsia="宋体" w:cs="宋体"/>
          <w:sz w:val="28"/>
          <w:szCs w:val="28"/>
        </w:rPr>
      </w:pPr>
      <w:r>
        <w:rPr>
          <w:rFonts w:hint="eastAsia" w:ascii="宋体" w:hAnsi="宋体" w:eastAsia="宋体" w:cs="宋体"/>
          <w:sz w:val="28"/>
          <w:szCs w:val="28"/>
        </w:rPr>
        <w:t>日    期：________年________月________日</w:t>
      </w:r>
    </w:p>
    <w:p w14:paraId="1F49D453">
      <w:pPr>
        <w:overflowPunct/>
        <w:topLinePunct w:val="0"/>
        <w:autoSpaceDE w:val="0"/>
        <w:autoSpaceDN w:val="0"/>
        <w:bidi w:val="0"/>
        <w:adjustRightInd w:val="0"/>
        <w:spacing w:line="500" w:lineRule="atLeast"/>
        <w:jc w:val="center"/>
        <w:textAlignment w:val="baseline"/>
        <w:rPr>
          <w:rFonts w:hint="eastAsia" w:ascii="宋体" w:hAnsi="宋体" w:eastAsia="宋体" w:cs="宋体"/>
          <w:sz w:val="24"/>
          <w:szCs w:val="24"/>
        </w:rPr>
      </w:pPr>
      <w:r>
        <w:rPr>
          <w:rFonts w:hint="eastAsia" w:ascii="宋体" w:hAnsi="宋体" w:eastAsia="宋体" w:cs="宋体"/>
          <w:sz w:val="24"/>
          <w:szCs w:val="24"/>
        </w:rPr>
        <w:t xml:space="preserve"> </w:t>
      </w:r>
    </w:p>
    <w:p w14:paraId="6F810133">
      <w:pPr>
        <w:overflowPunct/>
        <w:topLinePunct w:val="0"/>
        <w:autoSpaceDE w:val="0"/>
        <w:autoSpaceDN w:val="0"/>
        <w:bidi w:val="0"/>
        <w:adjustRightInd w:val="0"/>
        <w:spacing w:line="500" w:lineRule="atLeast"/>
        <w:jc w:val="center"/>
        <w:textAlignment w:val="baseline"/>
        <w:rPr>
          <w:rFonts w:hint="eastAsia" w:ascii="宋体" w:hAnsi="宋体" w:eastAsia="宋体" w:cs="宋体"/>
          <w:b/>
          <w:bCs/>
          <w:kern w:val="20"/>
          <w:sz w:val="24"/>
          <w:szCs w:val="24"/>
        </w:rPr>
      </w:pPr>
      <w:r>
        <w:rPr>
          <w:rFonts w:hint="eastAsia" w:ascii="宋体" w:hAnsi="宋体" w:eastAsia="宋体" w:cs="宋体"/>
          <w:sz w:val="24"/>
          <w:szCs w:val="24"/>
        </w:rPr>
        <w:t xml:space="preserve">   </w:t>
      </w:r>
      <w:bookmarkStart w:id="237" w:name="_Toc403077653"/>
      <w:bookmarkStart w:id="238" w:name="_Toc225412374"/>
      <w:bookmarkStart w:id="239" w:name="_Toc225566883"/>
      <w:bookmarkStart w:id="240" w:name="_Toc225410182"/>
      <w:bookmarkStart w:id="241" w:name="_Toc14010"/>
      <w:bookmarkStart w:id="242" w:name="_Toc225412172"/>
      <w:bookmarkStart w:id="243" w:name="_Toc225410808"/>
      <w:bookmarkStart w:id="244" w:name="_Toc225415861"/>
      <w:bookmarkStart w:id="245" w:name="_Toc341541376"/>
      <w:bookmarkStart w:id="246" w:name="_Toc225416062"/>
      <w:bookmarkStart w:id="247" w:name="_Toc396304715"/>
      <w:bookmarkStart w:id="248" w:name="_Toc225567482"/>
      <w:bookmarkStart w:id="249" w:name="_Toc26060"/>
      <w:bookmarkStart w:id="250" w:name="_Toc225409966"/>
      <w:bookmarkStart w:id="251" w:name="_Toc16685"/>
      <w:bookmarkStart w:id="252" w:name="_Toc15882"/>
      <w:bookmarkStart w:id="253" w:name="_Toc426457711"/>
      <w:bookmarkStart w:id="254" w:name="_Toc225566702"/>
      <w:bookmarkStart w:id="255" w:name="_Toc4548"/>
      <w:bookmarkStart w:id="256" w:name="_Toc225415660"/>
      <w:bookmarkStart w:id="257" w:name="_Toc528240836"/>
      <w:bookmarkStart w:id="258" w:name="_Toc484890091"/>
      <w:r>
        <w:rPr>
          <w:rFonts w:hint="eastAsia" w:ascii="宋体" w:hAnsi="宋体" w:eastAsia="宋体" w:cs="宋体"/>
          <w:b/>
          <w:bCs/>
          <w:kern w:val="20"/>
          <w:sz w:val="24"/>
          <w:szCs w:val="24"/>
        </w:rPr>
        <w:t>（二） 本项目拟投入主要人员简历表</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034C317E">
      <w:pPr>
        <w:overflowPunct/>
        <w:topLinePunct w:val="0"/>
        <w:autoSpaceDE w:val="0"/>
        <w:autoSpaceDN w:val="0"/>
        <w:bidi w:val="0"/>
        <w:adjustRightInd w:val="0"/>
        <w:spacing w:line="500" w:lineRule="atLeast"/>
        <w:textAlignment w:val="baseline"/>
        <w:rPr>
          <w:rFonts w:hint="eastAsia" w:ascii="宋体" w:hAnsi="宋体" w:eastAsia="宋体" w:cs="宋体"/>
          <w:b/>
          <w:bCs/>
          <w:kern w:val="20"/>
          <w:sz w:val="24"/>
          <w:szCs w:val="24"/>
        </w:rPr>
      </w:pPr>
    </w:p>
    <w:tbl>
      <w:tblPr>
        <w:tblStyle w:val="44"/>
        <w:tblW w:w="91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75"/>
        <w:gridCol w:w="1595"/>
        <w:gridCol w:w="1543"/>
        <w:gridCol w:w="1301"/>
        <w:gridCol w:w="45"/>
        <w:gridCol w:w="1729"/>
        <w:gridCol w:w="7"/>
        <w:gridCol w:w="1145"/>
      </w:tblGrid>
      <w:tr w14:paraId="7B3D3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792" w:type="dxa"/>
            <w:gridSpan w:val="2"/>
            <w:vAlign w:val="center"/>
          </w:tcPr>
          <w:p w14:paraId="23EFF218">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姓  名</w:t>
            </w:r>
          </w:p>
        </w:tc>
        <w:tc>
          <w:tcPr>
            <w:tcW w:w="1595" w:type="dxa"/>
            <w:vAlign w:val="center"/>
          </w:tcPr>
          <w:p w14:paraId="2C70D9CF">
            <w:pPr>
              <w:overflowPunct/>
              <w:topLinePunct w:val="0"/>
              <w:bidi w:val="0"/>
              <w:adjustRightInd w:val="0"/>
              <w:snapToGrid w:val="0"/>
              <w:spacing w:line="500" w:lineRule="atLeast"/>
              <w:jc w:val="center"/>
              <w:rPr>
                <w:rFonts w:hint="eastAsia" w:ascii="宋体" w:hAnsi="宋体" w:eastAsia="宋体" w:cs="宋体"/>
                <w:kern w:val="0"/>
                <w:sz w:val="24"/>
                <w:szCs w:val="24"/>
              </w:rPr>
            </w:pPr>
          </w:p>
        </w:tc>
        <w:tc>
          <w:tcPr>
            <w:tcW w:w="1543" w:type="dxa"/>
            <w:vAlign w:val="center"/>
          </w:tcPr>
          <w:p w14:paraId="492363C7">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性 别</w:t>
            </w:r>
          </w:p>
        </w:tc>
        <w:tc>
          <w:tcPr>
            <w:tcW w:w="1346" w:type="dxa"/>
            <w:gridSpan w:val="2"/>
            <w:vAlign w:val="center"/>
          </w:tcPr>
          <w:p w14:paraId="54D662DD">
            <w:pPr>
              <w:overflowPunct/>
              <w:topLinePunct w:val="0"/>
              <w:bidi w:val="0"/>
              <w:adjustRightInd w:val="0"/>
              <w:snapToGrid w:val="0"/>
              <w:spacing w:line="500" w:lineRule="atLeast"/>
              <w:jc w:val="center"/>
              <w:rPr>
                <w:rFonts w:hint="eastAsia" w:ascii="宋体" w:hAnsi="宋体" w:eastAsia="宋体" w:cs="宋体"/>
                <w:kern w:val="0"/>
                <w:sz w:val="24"/>
                <w:szCs w:val="24"/>
              </w:rPr>
            </w:pPr>
          </w:p>
        </w:tc>
        <w:tc>
          <w:tcPr>
            <w:tcW w:w="1729" w:type="dxa"/>
            <w:vAlign w:val="center"/>
          </w:tcPr>
          <w:p w14:paraId="448FA42F">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年 龄</w:t>
            </w:r>
          </w:p>
        </w:tc>
        <w:tc>
          <w:tcPr>
            <w:tcW w:w="1152" w:type="dxa"/>
            <w:gridSpan w:val="2"/>
            <w:vAlign w:val="center"/>
          </w:tcPr>
          <w:p w14:paraId="2CE1A2B5">
            <w:pPr>
              <w:overflowPunct/>
              <w:topLinePunct w:val="0"/>
              <w:bidi w:val="0"/>
              <w:adjustRightInd w:val="0"/>
              <w:snapToGrid w:val="0"/>
              <w:spacing w:line="500" w:lineRule="atLeast"/>
              <w:ind w:firstLine="480" w:firstLineChars="200"/>
              <w:jc w:val="center"/>
              <w:rPr>
                <w:rFonts w:hint="eastAsia" w:ascii="宋体" w:hAnsi="宋体" w:eastAsia="宋体" w:cs="宋体"/>
                <w:kern w:val="0"/>
                <w:sz w:val="24"/>
                <w:szCs w:val="24"/>
              </w:rPr>
            </w:pPr>
          </w:p>
        </w:tc>
      </w:tr>
      <w:tr w14:paraId="2744C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792" w:type="dxa"/>
            <w:gridSpan w:val="2"/>
            <w:vAlign w:val="center"/>
          </w:tcPr>
          <w:p w14:paraId="3F753603">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身份证号</w:t>
            </w:r>
          </w:p>
        </w:tc>
        <w:tc>
          <w:tcPr>
            <w:tcW w:w="1595" w:type="dxa"/>
            <w:vAlign w:val="center"/>
          </w:tcPr>
          <w:p w14:paraId="43072341">
            <w:pPr>
              <w:overflowPunct/>
              <w:topLinePunct w:val="0"/>
              <w:bidi w:val="0"/>
              <w:adjustRightInd w:val="0"/>
              <w:snapToGrid w:val="0"/>
              <w:spacing w:line="500" w:lineRule="atLeast"/>
              <w:jc w:val="center"/>
              <w:rPr>
                <w:rFonts w:hint="eastAsia" w:ascii="宋体" w:hAnsi="宋体" w:eastAsia="宋体" w:cs="宋体"/>
                <w:kern w:val="0"/>
                <w:sz w:val="24"/>
                <w:szCs w:val="24"/>
              </w:rPr>
            </w:pPr>
          </w:p>
        </w:tc>
        <w:tc>
          <w:tcPr>
            <w:tcW w:w="1543" w:type="dxa"/>
            <w:vAlign w:val="center"/>
          </w:tcPr>
          <w:p w14:paraId="52E01AE4">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毕业时间</w:t>
            </w:r>
          </w:p>
        </w:tc>
        <w:tc>
          <w:tcPr>
            <w:tcW w:w="1346" w:type="dxa"/>
            <w:gridSpan w:val="2"/>
            <w:vAlign w:val="center"/>
          </w:tcPr>
          <w:p w14:paraId="0CA7DAA6">
            <w:pPr>
              <w:overflowPunct/>
              <w:topLinePunct w:val="0"/>
              <w:bidi w:val="0"/>
              <w:adjustRightInd w:val="0"/>
              <w:snapToGrid w:val="0"/>
              <w:spacing w:line="500" w:lineRule="atLeast"/>
              <w:jc w:val="center"/>
              <w:rPr>
                <w:rFonts w:hint="eastAsia" w:ascii="宋体" w:hAnsi="宋体" w:eastAsia="宋体" w:cs="宋体"/>
                <w:kern w:val="0"/>
                <w:sz w:val="24"/>
                <w:szCs w:val="24"/>
              </w:rPr>
            </w:pPr>
          </w:p>
        </w:tc>
        <w:tc>
          <w:tcPr>
            <w:tcW w:w="1729" w:type="dxa"/>
            <w:vAlign w:val="center"/>
          </w:tcPr>
          <w:p w14:paraId="57E6A4B8">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从业时间</w:t>
            </w:r>
          </w:p>
        </w:tc>
        <w:tc>
          <w:tcPr>
            <w:tcW w:w="1152" w:type="dxa"/>
            <w:gridSpan w:val="2"/>
            <w:vAlign w:val="center"/>
          </w:tcPr>
          <w:p w14:paraId="420020E7">
            <w:pPr>
              <w:overflowPunct/>
              <w:topLinePunct w:val="0"/>
              <w:bidi w:val="0"/>
              <w:adjustRightInd w:val="0"/>
              <w:snapToGrid w:val="0"/>
              <w:spacing w:line="500" w:lineRule="atLeast"/>
              <w:ind w:firstLine="480" w:firstLineChars="200"/>
              <w:jc w:val="center"/>
              <w:rPr>
                <w:rFonts w:hint="eastAsia" w:ascii="宋体" w:hAnsi="宋体" w:eastAsia="宋体" w:cs="宋体"/>
                <w:kern w:val="0"/>
                <w:sz w:val="24"/>
                <w:szCs w:val="24"/>
              </w:rPr>
            </w:pPr>
          </w:p>
        </w:tc>
      </w:tr>
      <w:tr w14:paraId="38595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792" w:type="dxa"/>
            <w:gridSpan w:val="2"/>
            <w:vAlign w:val="center"/>
          </w:tcPr>
          <w:p w14:paraId="326CCB95">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专业/年限</w:t>
            </w:r>
          </w:p>
        </w:tc>
        <w:tc>
          <w:tcPr>
            <w:tcW w:w="1595" w:type="dxa"/>
            <w:vAlign w:val="center"/>
          </w:tcPr>
          <w:p w14:paraId="52FEDBE1">
            <w:pPr>
              <w:overflowPunct/>
              <w:topLinePunct w:val="0"/>
              <w:bidi w:val="0"/>
              <w:adjustRightInd w:val="0"/>
              <w:snapToGrid w:val="0"/>
              <w:spacing w:line="500" w:lineRule="atLeast"/>
              <w:jc w:val="center"/>
              <w:rPr>
                <w:rFonts w:hint="eastAsia" w:ascii="宋体" w:hAnsi="宋体" w:eastAsia="宋体" w:cs="宋体"/>
                <w:kern w:val="0"/>
                <w:sz w:val="24"/>
                <w:szCs w:val="24"/>
              </w:rPr>
            </w:pPr>
          </w:p>
        </w:tc>
        <w:tc>
          <w:tcPr>
            <w:tcW w:w="1543" w:type="dxa"/>
            <w:vAlign w:val="center"/>
          </w:tcPr>
          <w:p w14:paraId="4949DE23">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毕业学校</w:t>
            </w:r>
          </w:p>
        </w:tc>
        <w:tc>
          <w:tcPr>
            <w:tcW w:w="1346" w:type="dxa"/>
            <w:gridSpan w:val="2"/>
            <w:vAlign w:val="center"/>
          </w:tcPr>
          <w:p w14:paraId="4D235878">
            <w:pPr>
              <w:overflowPunct/>
              <w:topLinePunct w:val="0"/>
              <w:bidi w:val="0"/>
              <w:adjustRightInd w:val="0"/>
              <w:snapToGrid w:val="0"/>
              <w:spacing w:line="500" w:lineRule="atLeast"/>
              <w:jc w:val="center"/>
              <w:rPr>
                <w:rFonts w:hint="eastAsia" w:ascii="宋体" w:hAnsi="宋体" w:eastAsia="宋体" w:cs="宋体"/>
                <w:kern w:val="0"/>
                <w:sz w:val="24"/>
                <w:szCs w:val="24"/>
              </w:rPr>
            </w:pPr>
          </w:p>
        </w:tc>
        <w:tc>
          <w:tcPr>
            <w:tcW w:w="1729" w:type="dxa"/>
            <w:vAlign w:val="center"/>
          </w:tcPr>
          <w:p w14:paraId="72EA38A3">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学历/专业</w:t>
            </w:r>
          </w:p>
        </w:tc>
        <w:tc>
          <w:tcPr>
            <w:tcW w:w="1152" w:type="dxa"/>
            <w:gridSpan w:val="2"/>
            <w:vAlign w:val="center"/>
          </w:tcPr>
          <w:p w14:paraId="04B64773">
            <w:pPr>
              <w:overflowPunct/>
              <w:topLinePunct w:val="0"/>
              <w:bidi w:val="0"/>
              <w:adjustRightInd w:val="0"/>
              <w:snapToGrid w:val="0"/>
              <w:spacing w:line="500" w:lineRule="atLeast"/>
              <w:ind w:firstLine="480" w:firstLineChars="200"/>
              <w:jc w:val="center"/>
              <w:rPr>
                <w:rFonts w:hint="eastAsia" w:ascii="宋体" w:hAnsi="宋体" w:eastAsia="宋体" w:cs="宋体"/>
                <w:kern w:val="0"/>
                <w:sz w:val="24"/>
                <w:szCs w:val="24"/>
              </w:rPr>
            </w:pPr>
          </w:p>
        </w:tc>
      </w:tr>
      <w:tr w14:paraId="5F950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387" w:type="dxa"/>
            <w:gridSpan w:val="3"/>
            <w:vAlign w:val="center"/>
          </w:tcPr>
          <w:p w14:paraId="61A987BC">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是否属投标人固定雇员</w:t>
            </w:r>
          </w:p>
        </w:tc>
        <w:tc>
          <w:tcPr>
            <w:tcW w:w="1543" w:type="dxa"/>
            <w:vAlign w:val="center"/>
          </w:tcPr>
          <w:p w14:paraId="32705C56">
            <w:pPr>
              <w:overflowPunct/>
              <w:topLinePunct w:val="0"/>
              <w:bidi w:val="0"/>
              <w:adjustRightInd w:val="0"/>
              <w:snapToGrid w:val="0"/>
              <w:spacing w:line="500" w:lineRule="atLeast"/>
              <w:jc w:val="center"/>
              <w:rPr>
                <w:rFonts w:hint="eastAsia" w:ascii="宋体" w:hAnsi="宋体" w:eastAsia="宋体" w:cs="宋体"/>
                <w:kern w:val="0"/>
                <w:sz w:val="24"/>
                <w:szCs w:val="24"/>
              </w:rPr>
            </w:pPr>
          </w:p>
        </w:tc>
        <w:tc>
          <w:tcPr>
            <w:tcW w:w="3075" w:type="dxa"/>
            <w:gridSpan w:val="3"/>
            <w:vAlign w:val="center"/>
          </w:tcPr>
          <w:p w14:paraId="3FACC8F1">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为投标人服务时间</w:t>
            </w:r>
          </w:p>
        </w:tc>
        <w:tc>
          <w:tcPr>
            <w:tcW w:w="1152" w:type="dxa"/>
            <w:gridSpan w:val="2"/>
            <w:vAlign w:val="center"/>
          </w:tcPr>
          <w:p w14:paraId="3EC08068">
            <w:pPr>
              <w:overflowPunct/>
              <w:topLinePunct w:val="0"/>
              <w:bidi w:val="0"/>
              <w:adjustRightInd w:val="0"/>
              <w:snapToGrid w:val="0"/>
              <w:spacing w:line="500" w:lineRule="atLeast"/>
              <w:ind w:firstLine="480" w:firstLineChars="200"/>
              <w:jc w:val="center"/>
              <w:rPr>
                <w:rFonts w:hint="eastAsia" w:ascii="宋体" w:hAnsi="宋体" w:eastAsia="宋体" w:cs="宋体"/>
                <w:kern w:val="0"/>
                <w:sz w:val="24"/>
                <w:szCs w:val="24"/>
              </w:rPr>
            </w:pPr>
          </w:p>
        </w:tc>
      </w:tr>
      <w:tr w14:paraId="2A2E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3387" w:type="dxa"/>
            <w:gridSpan w:val="3"/>
            <w:vAlign w:val="center"/>
          </w:tcPr>
          <w:p w14:paraId="6A0B07A1">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拟在本项目担任职务</w:t>
            </w:r>
          </w:p>
        </w:tc>
        <w:tc>
          <w:tcPr>
            <w:tcW w:w="5770" w:type="dxa"/>
            <w:gridSpan w:val="6"/>
            <w:vAlign w:val="center"/>
          </w:tcPr>
          <w:p w14:paraId="621D799A">
            <w:pPr>
              <w:overflowPunct/>
              <w:topLinePunct w:val="0"/>
              <w:bidi w:val="0"/>
              <w:adjustRightInd w:val="0"/>
              <w:snapToGrid w:val="0"/>
              <w:spacing w:line="500" w:lineRule="atLeast"/>
              <w:jc w:val="center"/>
              <w:rPr>
                <w:rFonts w:hint="eastAsia" w:ascii="宋体" w:hAnsi="宋体" w:eastAsia="宋体" w:cs="宋体"/>
                <w:kern w:val="0"/>
                <w:sz w:val="24"/>
                <w:szCs w:val="24"/>
              </w:rPr>
            </w:pPr>
          </w:p>
        </w:tc>
      </w:tr>
      <w:tr w14:paraId="4241F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9157" w:type="dxa"/>
            <w:gridSpan w:val="9"/>
            <w:vAlign w:val="center"/>
          </w:tcPr>
          <w:p w14:paraId="27FFA603">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教育和培训背景</w:t>
            </w:r>
          </w:p>
        </w:tc>
      </w:tr>
      <w:tr w14:paraId="54F0C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3" w:hRule="atLeast"/>
        </w:trPr>
        <w:tc>
          <w:tcPr>
            <w:tcW w:w="9157" w:type="dxa"/>
            <w:gridSpan w:val="9"/>
          </w:tcPr>
          <w:p w14:paraId="6A0C3F75">
            <w:pPr>
              <w:overflowPunct/>
              <w:topLinePunct w:val="0"/>
              <w:bidi w:val="0"/>
              <w:adjustRightInd w:val="0"/>
              <w:snapToGrid w:val="0"/>
              <w:spacing w:line="500" w:lineRule="atLeast"/>
              <w:rPr>
                <w:rFonts w:hint="eastAsia" w:ascii="宋体" w:hAnsi="宋体" w:eastAsia="宋体" w:cs="宋体"/>
                <w:kern w:val="0"/>
                <w:sz w:val="24"/>
                <w:szCs w:val="24"/>
              </w:rPr>
            </w:pPr>
          </w:p>
        </w:tc>
      </w:tr>
      <w:tr w14:paraId="55828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157" w:type="dxa"/>
            <w:gridSpan w:val="9"/>
            <w:vAlign w:val="center"/>
          </w:tcPr>
          <w:p w14:paraId="1F0E89BD">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工作经历</w:t>
            </w:r>
          </w:p>
        </w:tc>
      </w:tr>
      <w:tr w14:paraId="0C360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517" w:type="dxa"/>
            <w:vAlign w:val="center"/>
          </w:tcPr>
          <w:p w14:paraId="1315D112">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时  间</w:t>
            </w:r>
          </w:p>
        </w:tc>
        <w:tc>
          <w:tcPr>
            <w:tcW w:w="3413" w:type="dxa"/>
            <w:gridSpan w:val="3"/>
            <w:vAlign w:val="center"/>
          </w:tcPr>
          <w:p w14:paraId="3E36F18F">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参加过的项目名称</w:t>
            </w:r>
          </w:p>
          <w:p w14:paraId="4AA74275">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及当时所在单位</w:t>
            </w:r>
          </w:p>
        </w:tc>
        <w:tc>
          <w:tcPr>
            <w:tcW w:w="1301" w:type="dxa"/>
            <w:vAlign w:val="center"/>
          </w:tcPr>
          <w:p w14:paraId="3FA5C1C7">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担任何职</w:t>
            </w:r>
          </w:p>
        </w:tc>
        <w:tc>
          <w:tcPr>
            <w:tcW w:w="1781" w:type="dxa"/>
            <w:gridSpan w:val="3"/>
            <w:vAlign w:val="center"/>
          </w:tcPr>
          <w:p w14:paraId="5D044785">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主要工作内容</w:t>
            </w:r>
          </w:p>
        </w:tc>
        <w:tc>
          <w:tcPr>
            <w:tcW w:w="1145" w:type="dxa"/>
            <w:vAlign w:val="center"/>
          </w:tcPr>
          <w:p w14:paraId="5EA691A5">
            <w:pPr>
              <w:overflowPunct/>
              <w:topLinePunct w:val="0"/>
              <w:bidi w:val="0"/>
              <w:adjustRightInd w:val="0"/>
              <w:snapToGrid w:val="0"/>
              <w:spacing w:line="50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备 注</w:t>
            </w:r>
          </w:p>
        </w:tc>
      </w:tr>
      <w:tr w14:paraId="43B8C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67C74463">
            <w:pPr>
              <w:overflowPunct/>
              <w:topLinePunct w:val="0"/>
              <w:bidi w:val="0"/>
              <w:adjustRightInd w:val="0"/>
              <w:snapToGrid w:val="0"/>
              <w:spacing w:line="500" w:lineRule="atLeast"/>
              <w:rPr>
                <w:rFonts w:hint="eastAsia" w:ascii="宋体" w:hAnsi="宋体" w:eastAsia="宋体" w:cs="宋体"/>
                <w:kern w:val="0"/>
                <w:sz w:val="24"/>
                <w:szCs w:val="24"/>
              </w:rPr>
            </w:pPr>
          </w:p>
        </w:tc>
        <w:tc>
          <w:tcPr>
            <w:tcW w:w="3413" w:type="dxa"/>
            <w:gridSpan w:val="3"/>
            <w:vAlign w:val="center"/>
          </w:tcPr>
          <w:p w14:paraId="3879ACA8">
            <w:pPr>
              <w:overflowPunct/>
              <w:topLinePunct w:val="0"/>
              <w:bidi w:val="0"/>
              <w:adjustRightInd w:val="0"/>
              <w:snapToGrid w:val="0"/>
              <w:spacing w:line="500" w:lineRule="atLeast"/>
              <w:rPr>
                <w:rFonts w:hint="eastAsia" w:ascii="宋体" w:hAnsi="宋体" w:eastAsia="宋体" w:cs="宋体"/>
                <w:kern w:val="0"/>
                <w:sz w:val="24"/>
                <w:szCs w:val="24"/>
              </w:rPr>
            </w:pPr>
          </w:p>
        </w:tc>
        <w:tc>
          <w:tcPr>
            <w:tcW w:w="1301" w:type="dxa"/>
            <w:vAlign w:val="center"/>
          </w:tcPr>
          <w:p w14:paraId="211BBC0C">
            <w:pPr>
              <w:overflowPunct/>
              <w:topLinePunct w:val="0"/>
              <w:bidi w:val="0"/>
              <w:adjustRightInd w:val="0"/>
              <w:snapToGrid w:val="0"/>
              <w:spacing w:line="500" w:lineRule="atLeast"/>
              <w:rPr>
                <w:rFonts w:hint="eastAsia" w:ascii="宋体" w:hAnsi="宋体" w:eastAsia="宋体" w:cs="宋体"/>
                <w:kern w:val="0"/>
                <w:sz w:val="24"/>
                <w:szCs w:val="24"/>
              </w:rPr>
            </w:pPr>
          </w:p>
        </w:tc>
        <w:tc>
          <w:tcPr>
            <w:tcW w:w="1781" w:type="dxa"/>
            <w:gridSpan w:val="3"/>
            <w:vAlign w:val="center"/>
          </w:tcPr>
          <w:p w14:paraId="206C042F">
            <w:pPr>
              <w:overflowPunct/>
              <w:topLinePunct w:val="0"/>
              <w:bidi w:val="0"/>
              <w:adjustRightInd w:val="0"/>
              <w:snapToGrid w:val="0"/>
              <w:spacing w:line="500" w:lineRule="atLeast"/>
              <w:rPr>
                <w:rFonts w:hint="eastAsia" w:ascii="宋体" w:hAnsi="宋体" w:eastAsia="宋体" w:cs="宋体"/>
                <w:kern w:val="0"/>
                <w:sz w:val="24"/>
                <w:szCs w:val="24"/>
              </w:rPr>
            </w:pPr>
          </w:p>
        </w:tc>
        <w:tc>
          <w:tcPr>
            <w:tcW w:w="1145" w:type="dxa"/>
            <w:vAlign w:val="center"/>
          </w:tcPr>
          <w:p w14:paraId="4FDFC7A8">
            <w:pPr>
              <w:overflowPunct/>
              <w:topLinePunct w:val="0"/>
              <w:bidi w:val="0"/>
              <w:adjustRightInd w:val="0"/>
              <w:snapToGrid w:val="0"/>
              <w:spacing w:line="500" w:lineRule="atLeast"/>
              <w:rPr>
                <w:rFonts w:hint="eastAsia" w:ascii="宋体" w:hAnsi="宋体" w:eastAsia="宋体" w:cs="宋体"/>
                <w:kern w:val="0"/>
                <w:sz w:val="24"/>
                <w:szCs w:val="24"/>
              </w:rPr>
            </w:pPr>
          </w:p>
        </w:tc>
      </w:tr>
      <w:tr w14:paraId="213A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517" w:type="dxa"/>
            <w:vAlign w:val="center"/>
          </w:tcPr>
          <w:p w14:paraId="02C996FC">
            <w:pPr>
              <w:overflowPunct/>
              <w:topLinePunct w:val="0"/>
              <w:bidi w:val="0"/>
              <w:adjustRightInd w:val="0"/>
              <w:snapToGrid w:val="0"/>
              <w:spacing w:line="500" w:lineRule="atLeast"/>
              <w:rPr>
                <w:rFonts w:hint="eastAsia" w:ascii="宋体" w:hAnsi="宋体" w:eastAsia="宋体" w:cs="宋体"/>
                <w:kern w:val="0"/>
                <w:sz w:val="24"/>
                <w:szCs w:val="24"/>
              </w:rPr>
            </w:pPr>
          </w:p>
        </w:tc>
        <w:tc>
          <w:tcPr>
            <w:tcW w:w="3413" w:type="dxa"/>
            <w:gridSpan w:val="3"/>
            <w:vAlign w:val="center"/>
          </w:tcPr>
          <w:p w14:paraId="5029FC67">
            <w:pPr>
              <w:overflowPunct/>
              <w:topLinePunct w:val="0"/>
              <w:bidi w:val="0"/>
              <w:adjustRightInd w:val="0"/>
              <w:snapToGrid w:val="0"/>
              <w:spacing w:line="500" w:lineRule="atLeast"/>
              <w:rPr>
                <w:rFonts w:hint="eastAsia" w:ascii="宋体" w:hAnsi="宋体" w:eastAsia="宋体" w:cs="宋体"/>
                <w:kern w:val="0"/>
                <w:sz w:val="24"/>
                <w:szCs w:val="24"/>
              </w:rPr>
            </w:pPr>
          </w:p>
        </w:tc>
        <w:tc>
          <w:tcPr>
            <w:tcW w:w="1301" w:type="dxa"/>
            <w:vAlign w:val="center"/>
          </w:tcPr>
          <w:p w14:paraId="311B989C">
            <w:pPr>
              <w:overflowPunct/>
              <w:topLinePunct w:val="0"/>
              <w:bidi w:val="0"/>
              <w:adjustRightInd w:val="0"/>
              <w:snapToGrid w:val="0"/>
              <w:spacing w:line="500" w:lineRule="atLeast"/>
              <w:rPr>
                <w:rFonts w:hint="eastAsia" w:ascii="宋体" w:hAnsi="宋体" w:eastAsia="宋体" w:cs="宋体"/>
                <w:kern w:val="0"/>
                <w:sz w:val="24"/>
                <w:szCs w:val="24"/>
              </w:rPr>
            </w:pPr>
          </w:p>
        </w:tc>
        <w:tc>
          <w:tcPr>
            <w:tcW w:w="1781" w:type="dxa"/>
            <w:gridSpan w:val="3"/>
            <w:vAlign w:val="center"/>
          </w:tcPr>
          <w:p w14:paraId="1DE68A64">
            <w:pPr>
              <w:overflowPunct/>
              <w:topLinePunct w:val="0"/>
              <w:bidi w:val="0"/>
              <w:adjustRightInd w:val="0"/>
              <w:snapToGrid w:val="0"/>
              <w:spacing w:line="500" w:lineRule="atLeast"/>
              <w:rPr>
                <w:rFonts w:hint="eastAsia" w:ascii="宋体" w:hAnsi="宋体" w:eastAsia="宋体" w:cs="宋体"/>
                <w:kern w:val="0"/>
                <w:sz w:val="24"/>
                <w:szCs w:val="24"/>
              </w:rPr>
            </w:pPr>
          </w:p>
        </w:tc>
        <w:tc>
          <w:tcPr>
            <w:tcW w:w="1145" w:type="dxa"/>
            <w:vAlign w:val="center"/>
          </w:tcPr>
          <w:p w14:paraId="13FA8B7B">
            <w:pPr>
              <w:overflowPunct/>
              <w:topLinePunct w:val="0"/>
              <w:bidi w:val="0"/>
              <w:adjustRightInd w:val="0"/>
              <w:snapToGrid w:val="0"/>
              <w:spacing w:line="500" w:lineRule="atLeast"/>
              <w:rPr>
                <w:rFonts w:hint="eastAsia" w:ascii="宋体" w:hAnsi="宋体" w:eastAsia="宋体" w:cs="宋体"/>
                <w:kern w:val="0"/>
                <w:sz w:val="24"/>
                <w:szCs w:val="24"/>
              </w:rPr>
            </w:pPr>
          </w:p>
        </w:tc>
      </w:tr>
      <w:tr w14:paraId="734F4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25481164">
            <w:pPr>
              <w:overflowPunct/>
              <w:topLinePunct w:val="0"/>
              <w:bidi w:val="0"/>
              <w:adjustRightInd w:val="0"/>
              <w:snapToGrid w:val="0"/>
              <w:spacing w:line="500" w:lineRule="atLeast"/>
              <w:rPr>
                <w:rFonts w:hint="eastAsia" w:ascii="宋体" w:hAnsi="宋体" w:eastAsia="宋体" w:cs="宋体"/>
                <w:kern w:val="0"/>
                <w:sz w:val="24"/>
                <w:szCs w:val="24"/>
              </w:rPr>
            </w:pPr>
          </w:p>
        </w:tc>
        <w:tc>
          <w:tcPr>
            <w:tcW w:w="3413" w:type="dxa"/>
            <w:gridSpan w:val="3"/>
            <w:vAlign w:val="center"/>
          </w:tcPr>
          <w:p w14:paraId="5A4CC03F">
            <w:pPr>
              <w:overflowPunct/>
              <w:topLinePunct w:val="0"/>
              <w:bidi w:val="0"/>
              <w:adjustRightInd w:val="0"/>
              <w:snapToGrid w:val="0"/>
              <w:spacing w:line="500" w:lineRule="atLeast"/>
              <w:rPr>
                <w:rFonts w:hint="eastAsia" w:ascii="宋体" w:hAnsi="宋体" w:eastAsia="宋体" w:cs="宋体"/>
                <w:kern w:val="0"/>
                <w:sz w:val="24"/>
                <w:szCs w:val="24"/>
              </w:rPr>
            </w:pPr>
          </w:p>
        </w:tc>
        <w:tc>
          <w:tcPr>
            <w:tcW w:w="1301" w:type="dxa"/>
            <w:vAlign w:val="center"/>
          </w:tcPr>
          <w:p w14:paraId="52D0579A">
            <w:pPr>
              <w:overflowPunct/>
              <w:topLinePunct w:val="0"/>
              <w:bidi w:val="0"/>
              <w:adjustRightInd w:val="0"/>
              <w:snapToGrid w:val="0"/>
              <w:spacing w:line="500" w:lineRule="atLeast"/>
              <w:rPr>
                <w:rFonts w:hint="eastAsia" w:ascii="宋体" w:hAnsi="宋体" w:eastAsia="宋体" w:cs="宋体"/>
                <w:kern w:val="0"/>
                <w:sz w:val="24"/>
                <w:szCs w:val="24"/>
              </w:rPr>
            </w:pPr>
          </w:p>
        </w:tc>
        <w:tc>
          <w:tcPr>
            <w:tcW w:w="1781" w:type="dxa"/>
            <w:gridSpan w:val="3"/>
            <w:vAlign w:val="center"/>
          </w:tcPr>
          <w:p w14:paraId="047C3C0F">
            <w:pPr>
              <w:overflowPunct/>
              <w:topLinePunct w:val="0"/>
              <w:bidi w:val="0"/>
              <w:adjustRightInd w:val="0"/>
              <w:snapToGrid w:val="0"/>
              <w:spacing w:line="500" w:lineRule="atLeast"/>
              <w:rPr>
                <w:rFonts w:hint="eastAsia" w:ascii="宋体" w:hAnsi="宋体" w:eastAsia="宋体" w:cs="宋体"/>
                <w:kern w:val="0"/>
                <w:sz w:val="24"/>
                <w:szCs w:val="24"/>
              </w:rPr>
            </w:pPr>
          </w:p>
        </w:tc>
        <w:tc>
          <w:tcPr>
            <w:tcW w:w="1145" w:type="dxa"/>
            <w:vAlign w:val="center"/>
          </w:tcPr>
          <w:p w14:paraId="45E582D2">
            <w:pPr>
              <w:overflowPunct/>
              <w:topLinePunct w:val="0"/>
              <w:bidi w:val="0"/>
              <w:adjustRightInd w:val="0"/>
              <w:snapToGrid w:val="0"/>
              <w:spacing w:line="500" w:lineRule="atLeast"/>
              <w:rPr>
                <w:rFonts w:hint="eastAsia" w:ascii="宋体" w:hAnsi="宋体" w:eastAsia="宋体" w:cs="宋体"/>
                <w:kern w:val="0"/>
                <w:sz w:val="24"/>
                <w:szCs w:val="24"/>
              </w:rPr>
            </w:pPr>
          </w:p>
        </w:tc>
      </w:tr>
      <w:tr w14:paraId="5DA83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762881B6">
            <w:pPr>
              <w:overflowPunct/>
              <w:topLinePunct w:val="0"/>
              <w:bidi w:val="0"/>
              <w:adjustRightInd w:val="0"/>
              <w:snapToGrid w:val="0"/>
              <w:spacing w:line="500" w:lineRule="atLeast"/>
              <w:rPr>
                <w:rFonts w:hint="eastAsia" w:ascii="宋体" w:hAnsi="宋体" w:eastAsia="宋体" w:cs="宋体"/>
                <w:kern w:val="0"/>
                <w:sz w:val="24"/>
                <w:szCs w:val="24"/>
              </w:rPr>
            </w:pPr>
          </w:p>
        </w:tc>
        <w:tc>
          <w:tcPr>
            <w:tcW w:w="3413" w:type="dxa"/>
            <w:gridSpan w:val="3"/>
            <w:vAlign w:val="center"/>
          </w:tcPr>
          <w:p w14:paraId="0513E665">
            <w:pPr>
              <w:overflowPunct/>
              <w:topLinePunct w:val="0"/>
              <w:bidi w:val="0"/>
              <w:adjustRightInd w:val="0"/>
              <w:snapToGrid w:val="0"/>
              <w:spacing w:line="500" w:lineRule="atLeast"/>
              <w:rPr>
                <w:rFonts w:hint="eastAsia" w:ascii="宋体" w:hAnsi="宋体" w:eastAsia="宋体" w:cs="宋体"/>
                <w:kern w:val="0"/>
                <w:sz w:val="24"/>
                <w:szCs w:val="24"/>
              </w:rPr>
            </w:pPr>
          </w:p>
        </w:tc>
        <w:tc>
          <w:tcPr>
            <w:tcW w:w="1301" w:type="dxa"/>
            <w:vAlign w:val="center"/>
          </w:tcPr>
          <w:p w14:paraId="774B0302">
            <w:pPr>
              <w:overflowPunct/>
              <w:topLinePunct w:val="0"/>
              <w:bidi w:val="0"/>
              <w:adjustRightInd w:val="0"/>
              <w:snapToGrid w:val="0"/>
              <w:spacing w:line="500" w:lineRule="atLeast"/>
              <w:rPr>
                <w:rFonts w:hint="eastAsia" w:ascii="宋体" w:hAnsi="宋体" w:eastAsia="宋体" w:cs="宋体"/>
                <w:kern w:val="0"/>
                <w:sz w:val="24"/>
                <w:szCs w:val="24"/>
              </w:rPr>
            </w:pPr>
          </w:p>
        </w:tc>
        <w:tc>
          <w:tcPr>
            <w:tcW w:w="1781" w:type="dxa"/>
            <w:gridSpan w:val="3"/>
            <w:vAlign w:val="center"/>
          </w:tcPr>
          <w:p w14:paraId="2C90FAE1">
            <w:pPr>
              <w:overflowPunct/>
              <w:topLinePunct w:val="0"/>
              <w:bidi w:val="0"/>
              <w:adjustRightInd w:val="0"/>
              <w:snapToGrid w:val="0"/>
              <w:spacing w:line="500" w:lineRule="atLeast"/>
              <w:rPr>
                <w:rFonts w:hint="eastAsia" w:ascii="宋体" w:hAnsi="宋体" w:eastAsia="宋体" w:cs="宋体"/>
                <w:kern w:val="0"/>
                <w:sz w:val="24"/>
                <w:szCs w:val="24"/>
              </w:rPr>
            </w:pPr>
          </w:p>
        </w:tc>
        <w:tc>
          <w:tcPr>
            <w:tcW w:w="1145" w:type="dxa"/>
            <w:vAlign w:val="center"/>
          </w:tcPr>
          <w:p w14:paraId="088FED1C">
            <w:pPr>
              <w:overflowPunct/>
              <w:topLinePunct w:val="0"/>
              <w:bidi w:val="0"/>
              <w:adjustRightInd w:val="0"/>
              <w:snapToGrid w:val="0"/>
              <w:spacing w:line="500" w:lineRule="atLeast"/>
              <w:rPr>
                <w:rFonts w:hint="eastAsia" w:ascii="宋体" w:hAnsi="宋体" w:eastAsia="宋体" w:cs="宋体"/>
                <w:kern w:val="0"/>
                <w:sz w:val="24"/>
                <w:szCs w:val="24"/>
              </w:rPr>
            </w:pPr>
          </w:p>
        </w:tc>
      </w:tr>
      <w:tr w14:paraId="0CB3D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380D6BFF">
            <w:pPr>
              <w:overflowPunct/>
              <w:topLinePunct w:val="0"/>
              <w:bidi w:val="0"/>
              <w:adjustRightInd w:val="0"/>
              <w:snapToGrid w:val="0"/>
              <w:spacing w:line="500" w:lineRule="atLeast"/>
              <w:ind w:firstLine="480" w:firstLineChars="200"/>
              <w:rPr>
                <w:rFonts w:hint="eastAsia" w:ascii="宋体" w:hAnsi="宋体" w:eastAsia="宋体" w:cs="宋体"/>
                <w:kern w:val="0"/>
                <w:sz w:val="24"/>
                <w:szCs w:val="24"/>
              </w:rPr>
            </w:pPr>
          </w:p>
        </w:tc>
        <w:tc>
          <w:tcPr>
            <w:tcW w:w="3413" w:type="dxa"/>
            <w:gridSpan w:val="3"/>
            <w:vAlign w:val="center"/>
          </w:tcPr>
          <w:p w14:paraId="16543200">
            <w:pPr>
              <w:overflowPunct/>
              <w:topLinePunct w:val="0"/>
              <w:bidi w:val="0"/>
              <w:adjustRightInd w:val="0"/>
              <w:snapToGrid w:val="0"/>
              <w:spacing w:line="500" w:lineRule="atLeast"/>
              <w:ind w:firstLine="480" w:firstLineChars="200"/>
              <w:rPr>
                <w:rFonts w:hint="eastAsia" w:ascii="宋体" w:hAnsi="宋体" w:eastAsia="宋体" w:cs="宋体"/>
                <w:kern w:val="0"/>
                <w:sz w:val="24"/>
                <w:szCs w:val="24"/>
              </w:rPr>
            </w:pPr>
          </w:p>
        </w:tc>
        <w:tc>
          <w:tcPr>
            <w:tcW w:w="1301" w:type="dxa"/>
            <w:vAlign w:val="center"/>
          </w:tcPr>
          <w:p w14:paraId="5FA9FFEC">
            <w:pPr>
              <w:overflowPunct/>
              <w:topLinePunct w:val="0"/>
              <w:bidi w:val="0"/>
              <w:adjustRightInd w:val="0"/>
              <w:snapToGrid w:val="0"/>
              <w:spacing w:line="500" w:lineRule="atLeast"/>
              <w:ind w:firstLine="480" w:firstLineChars="200"/>
              <w:rPr>
                <w:rFonts w:hint="eastAsia" w:ascii="宋体" w:hAnsi="宋体" w:eastAsia="宋体" w:cs="宋体"/>
                <w:kern w:val="0"/>
                <w:sz w:val="24"/>
                <w:szCs w:val="24"/>
              </w:rPr>
            </w:pPr>
          </w:p>
        </w:tc>
        <w:tc>
          <w:tcPr>
            <w:tcW w:w="1781" w:type="dxa"/>
            <w:gridSpan w:val="3"/>
            <w:vAlign w:val="center"/>
          </w:tcPr>
          <w:p w14:paraId="13D5D910">
            <w:pPr>
              <w:overflowPunct/>
              <w:topLinePunct w:val="0"/>
              <w:bidi w:val="0"/>
              <w:adjustRightInd w:val="0"/>
              <w:snapToGrid w:val="0"/>
              <w:spacing w:line="500" w:lineRule="atLeast"/>
              <w:ind w:firstLine="480" w:firstLineChars="200"/>
              <w:rPr>
                <w:rFonts w:hint="eastAsia" w:ascii="宋体" w:hAnsi="宋体" w:eastAsia="宋体" w:cs="宋体"/>
                <w:kern w:val="0"/>
                <w:sz w:val="24"/>
                <w:szCs w:val="24"/>
              </w:rPr>
            </w:pPr>
          </w:p>
        </w:tc>
        <w:tc>
          <w:tcPr>
            <w:tcW w:w="1145" w:type="dxa"/>
            <w:vAlign w:val="center"/>
          </w:tcPr>
          <w:p w14:paraId="6DDA8CE3">
            <w:pPr>
              <w:overflowPunct/>
              <w:topLinePunct w:val="0"/>
              <w:bidi w:val="0"/>
              <w:adjustRightInd w:val="0"/>
              <w:snapToGrid w:val="0"/>
              <w:spacing w:line="500" w:lineRule="atLeast"/>
              <w:ind w:firstLine="480" w:firstLineChars="200"/>
              <w:rPr>
                <w:rFonts w:hint="eastAsia" w:ascii="宋体" w:hAnsi="宋体" w:eastAsia="宋体" w:cs="宋体"/>
                <w:kern w:val="0"/>
                <w:sz w:val="24"/>
                <w:szCs w:val="24"/>
              </w:rPr>
            </w:pPr>
          </w:p>
        </w:tc>
      </w:tr>
      <w:tr w14:paraId="49C30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517" w:type="dxa"/>
            <w:vAlign w:val="center"/>
          </w:tcPr>
          <w:p w14:paraId="146BA34C">
            <w:pPr>
              <w:overflowPunct/>
              <w:topLinePunct w:val="0"/>
              <w:bidi w:val="0"/>
              <w:adjustRightInd w:val="0"/>
              <w:snapToGrid w:val="0"/>
              <w:spacing w:line="500" w:lineRule="atLeast"/>
              <w:ind w:firstLine="480" w:firstLineChars="200"/>
              <w:rPr>
                <w:rFonts w:hint="eastAsia" w:ascii="宋体" w:hAnsi="宋体" w:eastAsia="宋体" w:cs="宋体"/>
                <w:kern w:val="0"/>
                <w:sz w:val="24"/>
                <w:szCs w:val="24"/>
              </w:rPr>
            </w:pPr>
          </w:p>
        </w:tc>
        <w:tc>
          <w:tcPr>
            <w:tcW w:w="3413" w:type="dxa"/>
            <w:gridSpan w:val="3"/>
            <w:vAlign w:val="center"/>
          </w:tcPr>
          <w:p w14:paraId="5D2FAA38">
            <w:pPr>
              <w:overflowPunct/>
              <w:topLinePunct w:val="0"/>
              <w:bidi w:val="0"/>
              <w:adjustRightInd w:val="0"/>
              <w:snapToGrid w:val="0"/>
              <w:spacing w:line="500" w:lineRule="atLeast"/>
              <w:ind w:firstLine="480" w:firstLineChars="200"/>
              <w:rPr>
                <w:rFonts w:hint="eastAsia" w:ascii="宋体" w:hAnsi="宋体" w:eastAsia="宋体" w:cs="宋体"/>
                <w:kern w:val="0"/>
                <w:sz w:val="24"/>
                <w:szCs w:val="24"/>
              </w:rPr>
            </w:pPr>
          </w:p>
        </w:tc>
        <w:tc>
          <w:tcPr>
            <w:tcW w:w="1301" w:type="dxa"/>
            <w:vAlign w:val="center"/>
          </w:tcPr>
          <w:p w14:paraId="1CBA5918">
            <w:pPr>
              <w:overflowPunct/>
              <w:topLinePunct w:val="0"/>
              <w:bidi w:val="0"/>
              <w:adjustRightInd w:val="0"/>
              <w:snapToGrid w:val="0"/>
              <w:spacing w:line="500" w:lineRule="atLeast"/>
              <w:ind w:firstLine="480" w:firstLineChars="200"/>
              <w:rPr>
                <w:rFonts w:hint="eastAsia" w:ascii="宋体" w:hAnsi="宋体" w:eastAsia="宋体" w:cs="宋体"/>
                <w:kern w:val="0"/>
                <w:sz w:val="24"/>
                <w:szCs w:val="24"/>
              </w:rPr>
            </w:pPr>
          </w:p>
        </w:tc>
        <w:tc>
          <w:tcPr>
            <w:tcW w:w="1781" w:type="dxa"/>
            <w:gridSpan w:val="3"/>
            <w:vAlign w:val="center"/>
          </w:tcPr>
          <w:p w14:paraId="404F6E80">
            <w:pPr>
              <w:overflowPunct/>
              <w:topLinePunct w:val="0"/>
              <w:bidi w:val="0"/>
              <w:adjustRightInd w:val="0"/>
              <w:snapToGrid w:val="0"/>
              <w:spacing w:line="500" w:lineRule="atLeast"/>
              <w:ind w:firstLine="480" w:firstLineChars="200"/>
              <w:rPr>
                <w:rFonts w:hint="eastAsia" w:ascii="宋体" w:hAnsi="宋体" w:eastAsia="宋体" w:cs="宋体"/>
                <w:kern w:val="0"/>
                <w:sz w:val="24"/>
                <w:szCs w:val="24"/>
              </w:rPr>
            </w:pPr>
          </w:p>
        </w:tc>
        <w:tc>
          <w:tcPr>
            <w:tcW w:w="1145" w:type="dxa"/>
            <w:vAlign w:val="center"/>
          </w:tcPr>
          <w:p w14:paraId="569FE966">
            <w:pPr>
              <w:overflowPunct/>
              <w:topLinePunct w:val="0"/>
              <w:bidi w:val="0"/>
              <w:adjustRightInd w:val="0"/>
              <w:snapToGrid w:val="0"/>
              <w:spacing w:line="500" w:lineRule="atLeast"/>
              <w:ind w:firstLine="480" w:firstLineChars="200"/>
              <w:rPr>
                <w:rFonts w:hint="eastAsia" w:ascii="宋体" w:hAnsi="宋体" w:eastAsia="宋体" w:cs="宋体"/>
                <w:kern w:val="0"/>
                <w:sz w:val="24"/>
                <w:szCs w:val="24"/>
              </w:rPr>
            </w:pPr>
          </w:p>
        </w:tc>
      </w:tr>
      <w:bookmarkEnd w:id="257"/>
      <w:bookmarkEnd w:id="258"/>
    </w:tbl>
    <w:p w14:paraId="0546E8A7">
      <w:pPr>
        <w:overflowPunct/>
        <w:topLinePunct w:val="0"/>
        <w:bidi w:val="0"/>
        <w:spacing w:line="500" w:lineRule="atLeast"/>
        <w:rPr>
          <w:rFonts w:hint="eastAsia" w:ascii="宋体" w:hAnsi="宋体" w:eastAsia="宋体" w:cs="宋体"/>
          <w:b/>
          <w:bCs/>
          <w:sz w:val="32"/>
          <w:szCs w:val="32"/>
        </w:rPr>
      </w:pPr>
      <w:r>
        <w:rPr>
          <w:rFonts w:hint="eastAsia" w:ascii="宋体" w:hAnsi="宋体" w:eastAsia="宋体" w:cs="宋体"/>
          <w:b/>
          <w:bCs/>
          <w:sz w:val="32"/>
          <w:szCs w:val="32"/>
        </w:rPr>
        <w:br w:type="page"/>
      </w:r>
    </w:p>
    <w:p w14:paraId="2C87B8BF">
      <w:pPr>
        <w:keepNext/>
        <w:keepLines/>
        <w:overflowPunct/>
        <w:topLinePunct w:val="0"/>
        <w:bidi w:val="0"/>
        <w:spacing w:before="260" w:after="260" w:line="500" w:lineRule="atLeast"/>
        <w:jc w:val="left"/>
        <w:outlineLvl w:val="1"/>
        <w:rPr>
          <w:rFonts w:hint="eastAsia" w:ascii="宋体" w:hAnsi="宋体" w:eastAsia="宋体" w:cs="宋体"/>
          <w:b/>
          <w:bCs/>
          <w:sz w:val="32"/>
          <w:szCs w:val="32"/>
        </w:rPr>
      </w:pPr>
      <w:r>
        <w:rPr>
          <w:rFonts w:hint="eastAsia" w:ascii="宋体" w:hAnsi="宋体" w:eastAsia="宋体" w:cs="宋体"/>
          <w:b/>
          <w:bCs/>
          <w:sz w:val="32"/>
          <w:szCs w:val="32"/>
        </w:rPr>
        <w:t xml:space="preserve"> 业绩</w:t>
      </w:r>
    </w:p>
    <w:tbl>
      <w:tblPr>
        <w:tblStyle w:val="44"/>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1DF71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FB6F759">
            <w:pPr>
              <w:overflowPunct/>
              <w:topLinePunct w:val="0"/>
              <w:bidi w:val="0"/>
              <w:spacing w:line="500" w:lineRule="atLeas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414" w:type="dxa"/>
            <w:vAlign w:val="center"/>
          </w:tcPr>
          <w:p w14:paraId="27D9F3AD">
            <w:pPr>
              <w:overflowPunct/>
              <w:topLinePunct w:val="0"/>
              <w:bidi w:val="0"/>
              <w:spacing w:line="500" w:lineRule="atLeast"/>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2364" w:type="dxa"/>
            <w:vAlign w:val="center"/>
          </w:tcPr>
          <w:p w14:paraId="74A98DEE">
            <w:pPr>
              <w:overflowPunct/>
              <w:topLinePunct w:val="0"/>
              <w:bidi w:val="0"/>
              <w:spacing w:line="500" w:lineRule="atLeast"/>
              <w:jc w:val="center"/>
              <w:rPr>
                <w:rFonts w:hint="eastAsia" w:ascii="宋体" w:hAnsi="宋体" w:eastAsia="宋体" w:cs="宋体"/>
                <w:sz w:val="24"/>
                <w:szCs w:val="24"/>
              </w:rPr>
            </w:pPr>
            <w:r>
              <w:rPr>
                <w:rFonts w:hint="eastAsia" w:ascii="宋体" w:hAnsi="宋体" w:eastAsia="宋体" w:cs="宋体"/>
                <w:sz w:val="24"/>
                <w:szCs w:val="24"/>
              </w:rPr>
              <w:t>项目内容</w:t>
            </w:r>
          </w:p>
        </w:tc>
        <w:tc>
          <w:tcPr>
            <w:tcW w:w="2409" w:type="dxa"/>
            <w:vAlign w:val="center"/>
          </w:tcPr>
          <w:p w14:paraId="49F32E8A">
            <w:pPr>
              <w:overflowPunct/>
              <w:topLinePunct w:val="0"/>
              <w:bidi w:val="0"/>
              <w:spacing w:line="500" w:lineRule="atLeast"/>
              <w:jc w:val="center"/>
              <w:rPr>
                <w:rFonts w:hint="eastAsia" w:ascii="宋体" w:hAnsi="宋体" w:eastAsia="宋体" w:cs="宋体"/>
                <w:sz w:val="24"/>
                <w:szCs w:val="24"/>
              </w:rPr>
            </w:pPr>
            <w:r>
              <w:rPr>
                <w:rFonts w:hint="eastAsia" w:ascii="宋体" w:hAnsi="宋体" w:eastAsia="宋体" w:cs="宋体"/>
                <w:sz w:val="24"/>
                <w:szCs w:val="24"/>
              </w:rPr>
              <w:t>合同金额</w:t>
            </w:r>
          </w:p>
        </w:tc>
        <w:tc>
          <w:tcPr>
            <w:tcW w:w="2409" w:type="dxa"/>
            <w:vAlign w:val="center"/>
          </w:tcPr>
          <w:p w14:paraId="6D1B0008">
            <w:pPr>
              <w:overflowPunct/>
              <w:topLinePunct w:val="0"/>
              <w:bidi w:val="0"/>
              <w:spacing w:line="500" w:lineRule="atLeas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采购单位</w:t>
            </w:r>
          </w:p>
        </w:tc>
      </w:tr>
      <w:tr w14:paraId="494B7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1C0C12A">
            <w:pPr>
              <w:overflowPunct/>
              <w:topLinePunct w:val="0"/>
              <w:bidi w:val="0"/>
              <w:spacing w:line="500" w:lineRule="atLeast"/>
              <w:ind w:left="120"/>
              <w:jc w:val="center"/>
              <w:rPr>
                <w:rFonts w:hint="eastAsia" w:ascii="宋体" w:hAnsi="宋体" w:eastAsia="宋体" w:cs="宋体"/>
                <w:sz w:val="24"/>
                <w:szCs w:val="24"/>
              </w:rPr>
            </w:pPr>
            <w:r>
              <w:rPr>
                <w:rFonts w:hint="eastAsia" w:ascii="宋体" w:hAnsi="宋体" w:eastAsia="宋体" w:cs="宋体"/>
                <w:sz w:val="24"/>
                <w:szCs w:val="24"/>
              </w:rPr>
              <w:t>1</w:t>
            </w:r>
          </w:p>
        </w:tc>
        <w:tc>
          <w:tcPr>
            <w:tcW w:w="1414" w:type="dxa"/>
            <w:vAlign w:val="center"/>
          </w:tcPr>
          <w:p w14:paraId="74F0B69A">
            <w:pPr>
              <w:overflowPunct/>
              <w:topLinePunct w:val="0"/>
              <w:bidi w:val="0"/>
              <w:spacing w:line="500" w:lineRule="atLeast"/>
              <w:jc w:val="center"/>
              <w:rPr>
                <w:rFonts w:hint="eastAsia" w:ascii="宋体" w:hAnsi="宋体" w:eastAsia="宋体" w:cs="宋体"/>
                <w:sz w:val="24"/>
                <w:szCs w:val="24"/>
              </w:rPr>
            </w:pPr>
          </w:p>
        </w:tc>
        <w:tc>
          <w:tcPr>
            <w:tcW w:w="2364" w:type="dxa"/>
            <w:vAlign w:val="center"/>
          </w:tcPr>
          <w:p w14:paraId="3D0C1F8E">
            <w:pPr>
              <w:overflowPunct/>
              <w:topLinePunct w:val="0"/>
              <w:bidi w:val="0"/>
              <w:spacing w:line="500" w:lineRule="atLeast"/>
              <w:jc w:val="center"/>
              <w:rPr>
                <w:rFonts w:hint="eastAsia" w:ascii="宋体" w:hAnsi="宋体" w:eastAsia="宋体" w:cs="宋体"/>
                <w:sz w:val="24"/>
                <w:szCs w:val="24"/>
              </w:rPr>
            </w:pPr>
          </w:p>
        </w:tc>
        <w:tc>
          <w:tcPr>
            <w:tcW w:w="2409" w:type="dxa"/>
          </w:tcPr>
          <w:p w14:paraId="5868DD2B">
            <w:pPr>
              <w:overflowPunct/>
              <w:topLinePunct w:val="0"/>
              <w:bidi w:val="0"/>
              <w:spacing w:line="500" w:lineRule="atLeast"/>
              <w:jc w:val="center"/>
              <w:rPr>
                <w:rFonts w:hint="eastAsia" w:ascii="宋体" w:hAnsi="宋体" w:eastAsia="宋体" w:cs="宋体"/>
                <w:sz w:val="24"/>
                <w:szCs w:val="24"/>
              </w:rPr>
            </w:pPr>
          </w:p>
        </w:tc>
        <w:tc>
          <w:tcPr>
            <w:tcW w:w="2409" w:type="dxa"/>
          </w:tcPr>
          <w:p w14:paraId="0ABF3C28">
            <w:pPr>
              <w:overflowPunct/>
              <w:topLinePunct w:val="0"/>
              <w:bidi w:val="0"/>
              <w:spacing w:line="500" w:lineRule="atLeast"/>
              <w:jc w:val="center"/>
              <w:rPr>
                <w:rFonts w:hint="eastAsia" w:ascii="宋体" w:hAnsi="宋体" w:eastAsia="宋体" w:cs="宋体"/>
                <w:sz w:val="24"/>
                <w:szCs w:val="24"/>
              </w:rPr>
            </w:pPr>
          </w:p>
        </w:tc>
      </w:tr>
      <w:tr w14:paraId="1BE6A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F1C3B70">
            <w:pPr>
              <w:overflowPunct/>
              <w:topLinePunct w:val="0"/>
              <w:bidi w:val="0"/>
              <w:spacing w:line="500" w:lineRule="atLeast"/>
              <w:ind w:left="120"/>
              <w:jc w:val="center"/>
              <w:rPr>
                <w:rFonts w:hint="eastAsia" w:ascii="宋体" w:hAnsi="宋体" w:eastAsia="宋体" w:cs="宋体"/>
                <w:sz w:val="24"/>
                <w:szCs w:val="24"/>
              </w:rPr>
            </w:pPr>
            <w:r>
              <w:rPr>
                <w:rFonts w:hint="eastAsia" w:ascii="宋体" w:hAnsi="宋体" w:eastAsia="宋体" w:cs="宋体"/>
                <w:sz w:val="24"/>
                <w:szCs w:val="24"/>
              </w:rPr>
              <w:t>2</w:t>
            </w:r>
          </w:p>
        </w:tc>
        <w:tc>
          <w:tcPr>
            <w:tcW w:w="1414" w:type="dxa"/>
            <w:vAlign w:val="center"/>
          </w:tcPr>
          <w:p w14:paraId="34B28D07">
            <w:pPr>
              <w:overflowPunct/>
              <w:topLinePunct w:val="0"/>
              <w:bidi w:val="0"/>
              <w:spacing w:line="500" w:lineRule="atLeast"/>
              <w:jc w:val="center"/>
              <w:rPr>
                <w:rFonts w:hint="eastAsia" w:ascii="宋体" w:hAnsi="宋体" w:eastAsia="宋体" w:cs="宋体"/>
                <w:sz w:val="24"/>
                <w:szCs w:val="24"/>
              </w:rPr>
            </w:pPr>
          </w:p>
        </w:tc>
        <w:tc>
          <w:tcPr>
            <w:tcW w:w="2364" w:type="dxa"/>
            <w:vAlign w:val="center"/>
          </w:tcPr>
          <w:p w14:paraId="0763D2D2">
            <w:pPr>
              <w:overflowPunct/>
              <w:topLinePunct w:val="0"/>
              <w:bidi w:val="0"/>
              <w:spacing w:line="500" w:lineRule="atLeast"/>
              <w:jc w:val="center"/>
              <w:rPr>
                <w:rFonts w:hint="eastAsia" w:ascii="宋体" w:hAnsi="宋体" w:eastAsia="宋体" w:cs="宋体"/>
                <w:sz w:val="24"/>
                <w:szCs w:val="24"/>
              </w:rPr>
            </w:pPr>
          </w:p>
        </w:tc>
        <w:tc>
          <w:tcPr>
            <w:tcW w:w="2409" w:type="dxa"/>
          </w:tcPr>
          <w:p w14:paraId="7050224D">
            <w:pPr>
              <w:overflowPunct/>
              <w:topLinePunct w:val="0"/>
              <w:bidi w:val="0"/>
              <w:spacing w:line="500" w:lineRule="atLeast"/>
              <w:jc w:val="center"/>
              <w:rPr>
                <w:rFonts w:hint="eastAsia" w:ascii="宋体" w:hAnsi="宋体" w:eastAsia="宋体" w:cs="宋体"/>
                <w:sz w:val="24"/>
                <w:szCs w:val="24"/>
              </w:rPr>
            </w:pPr>
          </w:p>
        </w:tc>
        <w:tc>
          <w:tcPr>
            <w:tcW w:w="2409" w:type="dxa"/>
          </w:tcPr>
          <w:p w14:paraId="20C9CB6B">
            <w:pPr>
              <w:overflowPunct/>
              <w:topLinePunct w:val="0"/>
              <w:bidi w:val="0"/>
              <w:spacing w:line="500" w:lineRule="atLeast"/>
              <w:jc w:val="center"/>
              <w:rPr>
                <w:rFonts w:hint="eastAsia" w:ascii="宋体" w:hAnsi="宋体" w:eastAsia="宋体" w:cs="宋体"/>
                <w:sz w:val="24"/>
                <w:szCs w:val="24"/>
              </w:rPr>
            </w:pPr>
          </w:p>
        </w:tc>
      </w:tr>
      <w:tr w14:paraId="77680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2CC578F">
            <w:pPr>
              <w:overflowPunct/>
              <w:topLinePunct w:val="0"/>
              <w:bidi w:val="0"/>
              <w:spacing w:line="500" w:lineRule="atLeast"/>
              <w:ind w:left="120"/>
              <w:jc w:val="center"/>
              <w:rPr>
                <w:rFonts w:hint="eastAsia" w:ascii="宋体" w:hAnsi="宋体" w:eastAsia="宋体" w:cs="宋体"/>
                <w:sz w:val="24"/>
                <w:szCs w:val="24"/>
              </w:rPr>
            </w:pPr>
            <w:r>
              <w:rPr>
                <w:rFonts w:hint="eastAsia" w:ascii="宋体" w:hAnsi="宋体" w:eastAsia="宋体" w:cs="宋体"/>
                <w:sz w:val="24"/>
                <w:szCs w:val="24"/>
              </w:rPr>
              <w:t>3</w:t>
            </w:r>
          </w:p>
        </w:tc>
        <w:tc>
          <w:tcPr>
            <w:tcW w:w="1414" w:type="dxa"/>
            <w:vAlign w:val="center"/>
          </w:tcPr>
          <w:p w14:paraId="549918FF">
            <w:pPr>
              <w:overflowPunct/>
              <w:topLinePunct w:val="0"/>
              <w:bidi w:val="0"/>
              <w:spacing w:line="500" w:lineRule="atLeast"/>
              <w:jc w:val="center"/>
              <w:rPr>
                <w:rFonts w:hint="eastAsia" w:ascii="宋体" w:hAnsi="宋体" w:eastAsia="宋体" w:cs="宋体"/>
                <w:sz w:val="24"/>
                <w:szCs w:val="24"/>
              </w:rPr>
            </w:pPr>
          </w:p>
        </w:tc>
        <w:tc>
          <w:tcPr>
            <w:tcW w:w="2364" w:type="dxa"/>
            <w:vAlign w:val="center"/>
          </w:tcPr>
          <w:p w14:paraId="2962B00A">
            <w:pPr>
              <w:overflowPunct/>
              <w:topLinePunct w:val="0"/>
              <w:bidi w:val="0"/>
              <w:spacing w:line="500" w:lineRule="atLeast"/>
              <w:jc w:val="center"/>
              <w:rPr>
                <w:rFonts w:hint="eastAsia" w:ascii="宋体" w:hAnsi="宋体" w:eastAsia="宋体" w:cs="宋体"/>
                <w:sz w:val="24"/>
                <w:szCs w:val="24"/>
                <w:lang w:eastAsia="zh-CN"/>
              </w:rPr>
            </w:pPr>
          </w:p>
        </w:tc>
        <w:tc>
          <w:tcPr>
            <w:tcW w:w="2409" w:type="dxa"/>
          </w:tcPr>
          <w:p w14:paraId="663B59C4">
            <w:pPr>
              <w:overflowPunct/>
              <w:topLinePunct w:val="0"/>
              <w:bidi w:val="0"/>
              <w:spacing w:line="500" w:lineRule="atLeast"/>
              <w:jc w:val="center"/>
              <w:rPr>
                <w:rFonts w:hint="eastAsia" w:ascii="宋体" w:hAnsi="宋体" w:eastAsia="宋体" w:cs="宋体"/>
                <w:sz w:val="24"/>
                <w:szCs w:val="24"/>
              </w:rPr>
            </w:pPr>
          </w:p>
        </w:tc>
        <w:tc>
          <w:tcPr>
            <w:tcW w:w="2409" w:type="dxa"/>
          </w:tcPr>
          <w:p w14:paraId="14937764">
            <w:pPr>
              <w:overflowPunct/>
              <w:topLinePunct w:val="0"/>
              <w:bidi w:val="0"/>
              <w:spacing w:line="500" w:lineRule="atLeast"/>
              <w:jc w:val="center"/>
              <w:rPr>
                <w:rFonts w:hint="eastAsia" w:ascii="宋体" w:hAnsi="宋体" w:eastAsia="宋体" w:cs="宋体"/>
                <w:sz w:val="24"/>
                <w:szCs w:val="24"/>
              </w:rPr>
            </w:pPr>
          </w:p>
        </w:tc>
      </w:tr>
      <w:tr w14:paraId="79E10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F28F290">
            <w:pPr>
              <w:overflowPunct/>
              <w:topLinePunct w:val="0"/>
              <w:bidi w:val="0"/>
              <w:spacing w:line="500" w:lineRule="atLeast"/>
              <w:ind w:left="120"/>
              <w:jc w:val="center"/>
              <w:rPr>
                <w:rFonts w:hint="eastAsia" w:ascii="宋体" w:hAnsi="宋体" w:eastAsia="宋体" w:cs="宋体"/>
                <w:sz w:val="24"/>
                <w:szCs w:val="24"/>
              </w:rPr>
            </w:pPr>
            <w:r>
              <w:rPr>
                <w:rFonts w:hint="eastAsia" w:ascii="宋体" w:hAnsi="宋体" w:eastAsia="宋体" w:cs="宋体"/>
                <w:sz w:val="24"/>
                <w:szCs w:val="24"/>
              </w:rPr>
              <w:t>4</w:t>
            </w:r>
          </w:p>
        </w:tc>
        <w:tc>
          <w:tcPr>
            <w:tcW w:w="1414" w:type="dxa"/>
            <w:vAlign w:val="center"/>
          </w:tcPr>
          <w:p w14:paraId="4C1AA63E">
            <w:pPr>
              <w:overflowPunct/>
              <w:topLinePunct w:val="0"/>
              <w:bidi w:val="0"/>
              <w:spacing w:line="500" w:lineRule="atLeast"/>
              <w:jc w:val="center"/>
              <w:rPr>
                <w:rFonts w:hint="eastAsia" w:ascii="宋体" w:hAnsi="宋体" w:eastAsia="宋体" w:cs="宋体"/>
                <w:sz w:val="24"/>
                <w:szCs w:val="24"/>
              </w:rPr>
            </w:pPr>
          </w:p>
        </w:tc>
        <w:tc>
          <w:tcPr>
            <w:tcW w:w="2364" w:type="dxa"/>
            <w:vAlign w:val="center"/>
          </w:tcPr>
          <w:p w14:paraId="4178072B">
            <w:pPr>
              <w:overflowPunct/>
              <w:topLinePunct w:val="0"/>
              <w:bidi w:val="0"/>
              <w:spacing w:line="500" w:lineRule="atLeast"/>
              <w:jc w:val="center"/>
              <w:rPr>
                <w:rFonts w:hint="eastAsia" w:ascii="宋体" w:hAnsi="宋体" w:eastAsia="宋体" w:cs="宋体"/>
                <w:sz w:val="24"/>
                <w:szCs w:val="24"/>
              </w:rPr>
            </w:pPr>
          </w:p>
        </w:tc>
        <w:tc>
          <w:tcPr>
            <w:tcW w:w="2409" w:type="dxa"/>
          </w:tcPr>
          <w:p w14:paraId="6C82C21E">
            <w:pPr>
              <w:overflowPunct/>
              <w:topLinePunct w:val="0"/>
              <w:bidi w:val="0"/>
              <w:spacing w:line="500" w:lineRule="atLeast"/>
              <w:jc w:val="center"/>
              <w:rPr>
                <w:rFonts w:hint="eastAsia" w:ascii="宋体" w:hAnsi="宋体" w:eastAsia="宋体" w:cs="宋体"/>
                <w:sz w:val="24"/>
                <w:szCs w:val="24"/>
              </w:rPr>
            </w:pPr>
          </w:p>
        </w:tc>
        <w:tc>
          <w:tcPr>
            <w:tcW w:w="2409" w:type="dxa"/>
          </w:tcPr>
          <w:p w14:paraId="5760DDEA">
            <w:pPr>
              <w:overflowPunct/>
              <w:topLinePunct w:val="0"/>
              <w:bidi w:val="0"/>
              <w:spacing w:line="500" w:lineRule="atLeast"/>
              <w:jc w:val="center"/>
              <w:rPr>
                <w:rFonts w:hint="eastAsia" w:ascii="宋体" w:hAnsi="宋体" w:eastAsia="宋体" w:cs="宋体"/>
                <w:sz w:val="24"/>
                <w:szCs w:val="24"/>
              </w:rPr>
            </w:pPr>
          </w:p>
        </w:tc>
      </w:tr>
      <w:tr w14:paraId="5D4CA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EF1A774">
            <w:pPr>
              <w:overflowPunct/>
              <w:topLinePunct w:val="0"/>
              <w:bidi w:val="0"/>
              <w:spacing w:line="500" w:lineRule="atLeast"/>
              <w:ind w:left="120"/>
              <w:jc w:val="center"/>
              <w:rPr>
                <w:rFonts w:hint="eastAsia" w:ascii="宋体" w:hAnsi="宋体" w:eastAsia="宋体" w:cs="宋体"/>
                <w:sz w:val="24"/>
                <w:szCs w:val="24"/>
              </w:rPr>
            </w:pPr>
            <w:r>
              <w:rPr>
                <w:rFonts w:hint="eastAsia" w:ascii="宋体" w:hAnsi="宋体" w:eastAsia="宋体" w:cs="宋体"/>
                <w:sz w:val="24"/>
                <w:szCs w:val="24"/>
              </w:rPr>
              <w:t>5</w:t>
            </w:r>
          </w:p>
        </w:tc>
        <w:tc>
          <w:tcPr>
            <w:tcW w:w="1414" w:type="dxa"/>
            <w:vAlign w:val="center"/>
          </w:tcPr>
          <w:p w14:paraId="440599CE">
            <w:pPr>
              <w:overflowPunct/>
              <w:topLinePunct w:val="0"/>
              <w:bidi w:val="0"/>
              <w:spacing w:line="500" w:lineRule="atLeast"/>
              <w:jc w:val="center"/>
              <w:rPr>
                <w:rFonts w:hint="eastAsia" w:ascii="宋体" w:hAnsi="宋体" w:eastAsia="宋体" w:cs="宋体"/>
                <w:sz w:val="24"/>
                <w:szCs w:val="24"/>
              </w:rPr>
            </w:pPr>
          </w:p>
        </w:tc>
        <w:tc>
          <w:tcPr>
            <w:tcW w:w="2364" w:type="dxa"/>
            <w:vAlign w:val="center"/>
          </w:tcPr>
          <w:p w14:paraId="3DE38E60">
            <w:pPr>
              <w:overflowPunct/>
              <w:topLinePunct w:val="0"/>
              <w:bidi w:val="0"/>
              <w:spacing w:line="500" w:lineRule="atLeast"/>
              <w:jc w:val="center"/>
              <w:rPr>
                <w:rFonts w:hint="eastAsia" w:ascii="宋体" w:hAnsi="宋体" w:eastAsia="宋体" w:cs="宋体"/>
                <w:sz w:val="24"/>
                <w:szCs w:val="24"/>
              </w:rPr>
            </w:pPr>
          </w:p>
        </w:tc>
        <w:tc>
          <w:tcPr>
            <w:tcW w:w="2409" w:type="dxa"/>
          </w:tcPr>
          <w:p w14:paraId="0E10D8C3">
            <w:pPr>
              <w:overflowPunct/>
              <w:topLinePunct w:val="0"/>
              <w:bidi w:val="0"/>
              <w:spacing w:line="500" w:lineRule="atLeast"/>
              <w:jc w:val="center"/>
              <w:rPr>
                <w:rFonts w:hint="eastAsia" w:ascii="宋体" w:hAnsi="宋体" w:eastAsia="宋体" w:cs="宋体"/>
                <w:sz w:val="24"/>
                <w:szCs w:val="24"/>
              </w:rPr>
            </w:pPr>
          </w:p>
        </w:tc>
        <w:tc>
          <w:tcPr>
            <w:tcW w:w="2409" w:type="dxa"/>
          </w:tcPr>
          <w:p w14:paraId="2DBA1870">
            <w:pPr>
              <w:overflowPunct/>
              <w:topLinePunct w:val="0"/>
              <w:bidi w:val="0"/>
              <w:spacing w:line="500" w:lineRule="atLeast"/>
              <w:jc w:val="center"/>
              <w:rPr>
                <w:rFonts w:hint="eastAsia" w:ascii="宋体" w:hAnsi="宋体" w:eastAsia="宋体" w:cs="宋体"/>
                <w:sz w:val="24"/>
                <w:szCs w:val="24"/>
              </w:rPr>
            </w:pPr>
          </w:p>
        </w:tc>
      </w:tr>
      <w:tr w14:paraId="6B37E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23F750E">
            <w:pPr>
              <w:overflowPunct/>
              <w:topLinePunct w:val="0"/>
              <w:bidi w:val="0"/>
              <w:spacing w:line="500" w:lineRule="atLeast"/>
              <w:jc w:val="center"/>
              <w:rPr>
                <w:rFonts w:hint="eastAsia" w:ascii="宋体" w:hAnsi="宋体" w:eastAsia="宋体" w:cs="宋体"/>
                <w:sz w:val="24"/>
                <w:szCs w:val="24"/>
              </w:rPr>
            </w:pPr>
            <w:r>
              <w:rPr>
                <w:rFonts w:hint="eastAsia" w:ascii="宋体" w:hAnsi="宋体" w:eastAsia="宋体" w:cs="宋体"/>
                <w:sz w:val="24"/>
                <w:szCs w:val="24"/>
              </w:rPr>
              <w:t>…</w:t>
            </w:r>
          </w:p>
        </w:tc>
        <w:tc>
          <w:tcPr>
            <w:tcW w:w="1414" w:type="dxa"/>
            <w:vAlign w:val="center"/>
          </w:tcPr>
          <w:p w14:paraId="6044AF98">
            <w:pPr>
              <w:overflowPunct/>
              <w:topLinePunct w:val="0"/>
              <w:bidi w:val="0"/>
              <w:spacing w:line="500" w:lineRule="atLeast"/>
              <w:jc w:val="center"/>
              <w:rPr>
                <w:rFonts w:hint="eastAsia" w:ascii="宋体" w:hAnsi="宋体" w:eastAsia="宋体" w:cs="宋体"/>
                <w:sz w:val="24"/>
                <w:szCs w:val="24"/>
              </w:rPr>
            </w:pPr>
          </w:p>
        </w:tc>
        <w:tc>
          <w:tcPr>
            <w:tcW w:w="2364" w:type="dxa"/>
            <w:vAlign w:val="center"/>
          </w:tcPr>
          <w:p w14:paraId="6B0C917F">
            <w:pPr>
              <w:overflowPunct/>
              <w:topLinePunct w:val="0"/>
              <w:bidi w:val="0"/>
              <w:spacing w:line="500" w:lineRule="atLeast"/>
              <w:jc w:val="center"/>
              <w:rPr>
                <w:rFonts w:hint="eastAsia" w:ascii="宋体" w:hAnsi="宋体" w:eastAsia="宋体" w:cs="宋体"/>
                <w:sz w:val="24"/>
                <w:szCs w:val="24"/>
              </w:rPr>
            </w:pPr>
          </w:p>
        </w:tc>
        <w:tc>
          <w:tcPr>
            <w:tcW w:w="2409" w:type="dxa"/>
          </w:tcPr>
          <w:p w14:paraId="2869A843">
            <w:pPr>
              <w:overflowPunct/>
              <w:topLinePunct w:val="0"/>
              <w:bidi w:val="0"/>
              <w:spacing w:line="500" w:lineRule="atLeast"/>
              <w:jc w:val="center"/>
              <w:rPr>
                <w:rFonts w:hint="eastAsia" w:ascii="宋体" w:hAnsi="宋体" w:eastAsia="宋体" w:cs="宋体"/>
                <w:sz w:val="24"/>
                <w:szCs w:val="24"/>
              </w:rPr>
            </w:pPr>
          </w:p>
        </w:tc>
        <w:tc>
          <w:tcPr>
            <w:tcW w:w="2409" w:type="dxa"/>
          </w:tcPr>
          <w:p w14:paraId="7A1C583A">
            <w:pPr>
              <w:overflowPunct/>
              <w:topLinePunct w:val="0"/>
              <w:bidi w:val="0"/>
              <w:spacing w:line="500" w:lineRule="atLeast"/>
              <w:jc w:val="center"/>
              <w:rPr>
                <w:rFonts w:hint="eastAsia" w:ascii="宋体" w:hAnsi="宋体" w:eastAsia="宋体" w:cs="宋体"/>
                <w:sz w:val="24"/>
                <w:szCs w:val="24"/>
              </w:rPr>
            </w:pPr>
          </w:p>
        </w:tc>
      </w:tr>
      <w:tr w14:paraId="03002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45F1DA1">
            <w:pPr>
              <w:overflowPunct/>
              <w:topLinePunct w:val="0"/>
              <w:bidi w:val="0"/>
              <w:spacing w:line="500" w:lineRule="atLeast"/>
              <w:jc w:val="center"/>
              <w:rPr>
                <w:rFonts w:hint="eastAsia" w:ascii="宋体" w:hAnsi="宋体" w:eastAsia="宋体" w:cs="宋体"/>
                <w:sz w:val="24"/>
                <w:szCs w:val="24"/>
              </w:rPr>
            </w:pPr>
          </w:p>
        </w:tc>
        <w:tc>
          <w:tcPr>
            <w:tcW w:w="1414" w:type="dxa"/>
            <w:vAlign w:val="center"/>
          </w:tcPr>
          <w:p w14:paraId="594F719F">
            <w:pPr>
              <w:overflowPunct/>
              <w:topLinePunct w:val="0"/>
              <w:bidi w:val="0"/>
              <w:spacing w:line="500" w:lineRule="atLeast"/>
              <w:jc w:val="center"/>
              <w:rPr>
                <w:rFonts w:hint="eastAsia" w:ascii="宋体" w:hAnsi="宋体" w:eastAsia="宋体" w:cs="宋体"/>
                <w:sz w:val="24"/>
                <w:szCs w:val="24"/>
              </w:rPr>
            </w:pPr>
          </w:p>
        </w:tc>
        <w:tc>
          <w:tcPr>
            <w:tcW w:w="2364" w:type="dxa"/>
            <w:vAlign w:val="center"/>
          </w:tcPr>
          <w:p w14:paraId="519793FF">
            <w:pPr>
              <w:overflowPunct/>
              <w:topLinePunct w:val="0"/>
              <w:bidi w:val="0"/>
              <w:spacing w:line="500" w:lineRule="atLeast"/>
              <w:jc w:val="center"/>
              <w:rPr>
                <w:rFonts w:hint="eastAsia" w:ascii="宋体" w:hAnsi="宋体" w:eastAsia="宋体" w:cs="宋体"/>
                <w:sz w:val="24"/>
                <w:szCs w:val="24"/>
              </w:rPr>
            </w:pPr>
          </w:p>
        </w:tc>
        <w:tc>
          <w:tcPr>
            <w:tcW w:w="2409" w:type="dxa"/>
          </w:tcPr>
          <w:p w14:paraId="384611EC">
            <w:pPr>
              <w:overflowPunct/>
              <w:topLinePunct w:val="0"/>
              <w:bidi w:val="0"/>
              <w:spacing w:line="500" w:lineRule="atLeast"/>
              <w:jc w:val="center"/>
              <w:rPr>
                <w:rFonts w:hint="eastAsia" w:ascii="宋体" w:hAnsi="宋体" w:eastAsia="宋体" w:cs="宋体"/>
                <w:sz w:val="24"/>
                <w:szCs w:val="24"/>
              </w:rPr>
            </w:pPr>
          </w:p>
        </w:tc>
        <w:tc>
          <w:tcPr>
            <w:tcW w:w="2409" w:type="dxa"/>
          </w:tcPr>
          <w:p w14:paraId="21E3EAC9">
            <w:pPr>
              <w:overflowPunct/>
              <w:topLinePunct w:val="0"/>
              <w:bidi w:val="0"/>
              <w:spacing w:line="500" w:lineRule="atLeast"/>
              <w:jc w:val="center"/>
              <w:rPr>
                <w:rFonts w:hint="eastAsia" w:ascii="宋体" w:hAnsi="宋体" w:eastAsia="宋体" w:cs="宋体"/>
                <w:sz w:val="24"/>
                <w:szCs w:val="24"/>
              </w:rPr>
            </w:pPr>
          </w:p>
        </w:tc>
      </w:tr>
      <w:tr w14:paraId="0E25E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6DB7B3E">
            <w:pPr>
              <w:overflowPunct/>
              <w:topLinePunct w:val="0"/>
              <w:bidi w:val="0"/>
              <w:spacing w:line="500" w:lineRule="atLeast"/>
              <w:jc w:val="center"/>
              <w:rPr>
                <w:rFonts w:hint="eastAsia" w:ascii="宋体" w:hAnsi="宋体" w:eastAsia="宋体" w:cs="宋体"/>
                <w:sz w:val="24"/>
                <w:szCs w:val="24"/>
              </w:rPr>
            </w:pPr>
          </w:p>
        </w:tc>
        <w:tc>
          <w:tcPr>
            <w:tcW w:w="1414" w:type="dxa"/>
            <w:vAlign w:val="center"/>
          </w:tcPr>
          <w:p w14:paraId="23419E2B">
            <w:pPr>
              <w:overflowPunct/>
              <w:topLinePunct w:val="0"/>
              <w:bidi w:val="0"/>
              <w:spacing w:line="500" w:lineRule="atLeast"/>
              <w:jc w:val="center"/>
              <w:rPr>
                <w:rFonts w:hint="eastAsia" w:ascii="宋体" w:hAnsi="宋体" w:eastAsia="宋体" w:cs="宋体"/>
                <w:sz w:val="24"/>
                <w:szCs w:val="24"/>
              </w:rPr>
            </w:pPr>
          </w:p>
        </w:tc>
        <w:tc>
          <w:tcPr>
            <w:tcW w:w="2364" w:type="dxa"/>
            <w:vAlign w:val="center"/>
          </w:tcPr>
          <w:p w14:paraId="1E8C5AFE">
            <w:pPr>
              <w:overflowPunct/>
              <w:topLinePunct w:val="0"/>
              <w:bidi w:val="0"/>
              <w:spacing w:line="500" w:lineRule="atLeast"/>
              <w:jc w:val="center"/>
              <w:rPr>
                <w:rFonts w:hint="eastAsia" w:ascii="宋体" w:hAnsi="宋体" w:eastAsia="宋体" w:cs="宋体"/>
                <w:sz w:val="24"/>
                <w:szCs w:val="24"/>
              </w:rPr>
            </w:pPr>
          </w:p>
        </w:tc>
        <w:tc>
          <w:tcPr>
            <w:tcW w:w="2409" w:type="dxa"/>
          </w:tcPr>
          <w:p w14:paraId="3E1B8482">
            <w:pPr>
              <w:overflowPunct/>
              <w:topLinePunct w:val="0"/>
              <w:bidi w:val="0"/>
              <w:spacing w:line="500" w:lineRule="atLeast"/>
              <w:jc w:val="center"/>
              <w:rPr>
                <w:rFonts w:hint="eastAsia" w:ascii="宋体" w:hAnsi="宋体" w:eastAsia="宋体" w:cs="宋体"/>
                <w:sz w:val="24"/>
                <w:szCs w:val="24"/>
              </w:rPr>
            </w:pPr>
          </w:p>
        </w:tc>
        <w:tc>
          <w:tcPr>
            <w:tcW w:w="2409" w:type="dxa"/>
          </w:tcPr>
          <w:p w14:paraId="2AC2D53C">
            <w:pPr>
              <w:overflowPunct/>
              <w:topLinePunct w:val="0"/>
              <w:bidi w:val="0"/>
              <w:spacing w:line="500" w:lineRule="atLeast"/>
              <w:jc w:val="center"/>
              <w:rPr>
                <w:rFonts w:hint="eastAsia" w:ascii="宋体" w:hAnsi="宋体" w:eastAsia="宋体" w:cs="宋体"/>
                <w:sz w:val="24"/>
                <w:szCs w:val="24"/>
              </w:rPr>
            </w:pPr>
          </w:p>
        </w:tc>
      </w:tr>
      <w:tr w14:paraId="02D82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B5A2570">
            <w:pPr>
              <w:overflowPunct/>
              <w:topLinePunct w:val="0"/>
              <w:bidi w:val="0"/>
              <w:spacing w:line="500" w:lineRule="atLeast"/>
              <w:jc w:val="center"/>
              <w:rPr>
                <w:rFonts w:hint="eastAsia" w:ascii="宋体" w:hAnsi="宋体" w:eastAsia="宋体" w:cs="宋体"/>
                <w:sz w:val="24"/>
                <w:szCs w:val="24"/>
              </w:rPr>
            </w:pPr>
          </w:p>
        </w:tc>
        <w:tc>
          <w:tcPr>
            <w:tcW w:w="1414" w:type="dxa"/>
            <w:vAlign w:val="center"/>
          </w:tcPr>
          <w:p w14:paraId="1ACCCA9C">
            <w:pPr>
              <w:overflowPunct/>
              <w:topLinePunct w:val="0"/>
              <w:bidi w:val="0"/>
              <w:spacing w:line="500" w:lineRule="atLeast"/>
              <w:jc w:val="center"/>
              <w:rPr>
                <w:rFonts w:hint="eastAsia" w:ascii="宋体" w:hAnsi="宋体" w:eastAsia="宋体" w:cs="宋体"/>
                <w:sz w:val="24"/>
                <w:szCs w:val="24"/>
              </w:rPr>
            </w:pPr>
          </w:p>
        </w:tc>
        <w:tc>
          <w:tcPr>
            <w:tcW w:w="2364" w:type="dxa"/>
            <w:vAlign w:val="center"/>
          </w:tcPr>
          <w:p w14:paraId="36D56400">
            <w:pPr>
              <w:overflowPunct/>
              <w:topLinePunct w:val="0"/>
              <w:bidi w:val="0"/>
              <w:spacing w:line="500" w:lineRule="atLeast"/>
              <w:jc w:val="center"/>
              <w:rPr>
                <w:rFonts w:hint="eastAsia" w:ascii="宋体" w:hAnsi="宋体" w:eastAsia="宋体" w:cs="宋体"/>
                <w:sz w:val="24"/>
                <w:szCs w:val="24"/>
              </w:rPr>
            </w:pPr>
          </w:p>
        </w:tc>
        <w:tc>
          <w:tcPr>
            <w:tcW w:w="2409" w:type="dxa"/>
          </w:tcPr>
          <w:p w14:paraId="4DAFAAB8">
            <w:pPr>
              <w:overflowPunct/>
              <w:topLinePunct w:val="0"/>
              <w:bidi w:val="0"/>
              <w:spacing w:line="500" w:lineRule="atLeast"/>
              <w:jc w:val="center"/>
              <w:rPr>
                <w:rFonts w:hint="eastAsia" w:ascii="宋体" w:hAnsi="宋体" w:eastAsia="宋体" w:cs="宋体"/>
                <w:sz w:val="24"/>
                <w:szCs w:val="24"/>
              </w:rPr>
            </w:pPr>
          </w:p>
        </w:tc>
        <w:tc>
          <w:tcPr>
            <w:tcW w:w="2409" w:type="dxa"/>
          </w:tcPr>
          <w:p w14:paraId="3FB36339">
            <w:pPr>
              <w:overflowPunct/>
              <w:topLinePunct w:val="0"/>
              <w:bidi w:val="0"/>
              <w:spacing w:line="500" w:lineRule="atLeast"/>
              <w:jc w:val="center"/>
              <w:rPr>
                <w:rFonts w:hint="eastAsia" w:ascii="宋体" w:hAnsi="宋体" w:eastAsia="宋体" w:cs="宋体"/>
                <w:sz w:val="24"/>
                <w:szCs w:val="24"/>
              </w:rPr>
            </w:pPr>
          </w:p>
        </w:tc>
      </w:tr>
      <w:tr w14:paraId="2352E6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9A6AFD3">
            <w:pPr>
              <w:overflowPunct/>
              <w:topLinePunct w:val="0"/>
              <w:bidi w:val="0"/>
              <w:spacing w:line="500" w:lineRule="atLeast"/>
              <w:ind w:left="120"/>
              <w:jc w:val="center"/>
              <w:rPr>
                <w:rFonts w:hint="eastAsia" w:ascii="宋体" w:hAnsi="宋体" w:eastAsia="宋体" w:cs="宋体"/>
                <w:sz w:val="24"/>
                <w:szCs w:val="24"/>
              </w:rPr>
            </w:pPr>
          </w:p>
        </w:tc>
        <w:tc>
          <w:tcPr>
            <w:tcW w:w="1414" w:type="dxa"/>
            <w:vAlign w:val="center"/>
          </w:tcPr>
          <w:p w14:paraId="0569F6DE">
            <w:pPr>
              <w:overflowPunct/>
              <w:topLinePunct w:val="0"/>
              <w:bidi w:val="0"/>
              <w:spacing w:line="500" w:lineRule="atLeast"/>
              <w:jc w:val="center"/>
              <w:rPr>
                <w:rFonts w:hint="eastAsia" w:ascii="宋体" w:hAnsi="宋体" w:eastAsia="宋体" w:cs="宋体"/>
                <w:sz w:val="24"/>
                <w:szCs w:val="24"/>
              </w:rPr>
            </w:pPr>
          </w:p>
        </w:tc>
        <w:tc>
          <w:tcPr>
            <w:tcW w:w="2364" w:type="dxa"/>
            <w:vAlign w:val="center"/>
          </w:tcPr>
          <w:p w14:paraId="431D44EC">
            <w:pPr>
              <w:overflowPunct/>
              <w:topLinePunct w:val="0"/>
              <w:bidi w:val="0"/>
              <w:spacing w:line="500" w:lineRule="atLeast"/>
              <w:jc w:val="center"/>
              <w:rPr>
                <w:rFonts w:hint="eastAsia" w:ascii="宋体" w:hAnsi="宋体" w:eastAsia="宋体" w:cs="宋体"/>
                <w:sz w:val="24"/>
                <w:szCs w:val="24"/>
              </w:rPr>
            </w:pPr>
          </w:p>
        </w:tc>
        <w:tc>
          <w:tcPr>
            <w:tcW w:w="2409" w:type="dxa"/>
          </w:tcPr>
          <w:p w14:paraId="4E3FDC6E">
            <w:pPr>
              <w:overflowPunct/>
              <w:topLinePunct w:val="0"/>
              <w:bidi w:val="0"/>
              <w:spacing w:line="500" w:lineRule="atLeast"/>
              <w:jc w:val="center"/>
              <w:rPr>
                <w:rFonts w:hint="eastAsia" w:ascii="宋体" w:hAnsi="宋体" w:eastAsia="宋体" w:cs="宋体"/>
                <w:sz w:val="24"/>
                <w:szCs w:val="24"/>
              </w:rPr>
            </w:pPr>
          </w:p>
        </w:tc>
        <w:tc>
          <w:tcPr>
            <w:tcW w:w="2409" w:type="dxa"/>
          </w:tcPr>
          <w:p w14:paraId="79D4BA96">
            <w:pPr>
              <w:overflowPunct/>
              <w:topLinePunct w:val="0"/>
              <w:bidi w:val="0"/>
              <w:spacing w:line="500" w:lineRule="atLeast"/>
              <w:jc w:val="center"/>
              <w:rPr>
                <w:rFonts w:hint="eastAsia" w:ascii="宋体" w:hAnsi="宋体" w:eastAsia="宋体" w:cs="宋体"/>
                <w:sz w:val="24"/>
                <w:szCs w:val="24"/>
              </w:rPr>
            </w:pPr>
          </w:p>
        </w:tc>
      </w:tr>
    </w:tbl>
    <w:p w14:paraId="669362E7">
      <w:pPr>
        <w:tabs>
          <w:tab w:val="left" w:pos="8782"/>
        </w:tabs>
        <w:overflowPunct/>
        <w:topLinePunct w:val="0"/>
        <w:bidi w:val="0"/>
        <w:snapToGrid w:val="0"/>
        <w:spacing w:line="500" w:lineRule="atLeast"/>
        <w:ind w:firstLine="480" w:firstLineChars="200"/>
        <w:rPr>
          <w:rFonts w:hint="eastAsia" w:ascii="宋体" w:hAnsi="宋体" w:eastAsia="宋体" w:cs="宋体"/>
          <w:sz w:val="24"/>
          <w:szCs w:val="24"/>
        </w:rPr>
      </w:pPr>
    </w:p>
    <w:p w14:paraId="3D61C51D">
      <w:pPr>
        <w:tabs>
          <w:tab w:val="left" w:pos="8782"/>
        </w:tabs>
        <w:overflowPunct/>
        <w:topLinePunct w:val="0"/>
        <w:bidi w:val="0"/>
        <w:snapToGrid w:val="0"/>
        <w:spacing w:line="50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注：1.投标人应如实列出以上情况，如有隐瞒，一经查实将导致其报价申请被拒绝。</w:t>
      </w:r>
    </w:p>
    <w:p w14:paraId="4173EB11">
      <w:pPr>
        <w:numPr>
          <w:ilvl w:val="0"/>
          <w:numId w:val="0"/>
        </w:numPr>
        <w:tabs>
          <w:tab w:val="left" w:pos="8782"/>
        </w:tabs>
        <w:overflowPunct/>
        <w:topLinePunct w:val="0"/>
        <w:bidi w:val="0"/>
        <w:snapToGrid w:val="0"/>
        <w:spacing w:line="500" w:lineRule="atLeast"/>
        <w:ind w:left="420" w:leftChars="0" w:firstLine="480" w:firstLineChars="200"/>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 xml:space="preserve">投标人应提供双方签订的合同（合同复印件加盖公章装订在响应文件中）。 </w:t>
      </w:r>
    </w:p>
    <w:p w14:paraId="65848E44">
      <w:pPr>
        <w:pStyle w:val="38"/>
        <w:numPr>
          <w:ilvl w:val="0"/>
          <w:numId w:val="0"/>
        </w:numPr>
        <w:ind w:leftChars="200"/>
        <w:jc w:val="both"/>
        <w:rPr>
          <w:rFonts w:hint="eastAsia"/>
        </w:rPr>
      </w:pPr>
    </w:p>
    <w:p w14:paraId="70E14BE7">
      <w:pPr>
        <w:overflowPunct/>
        <w:topLinePunct w:val="0"/>
        <w:bidi w:val="0"/>
        <w:adjustRightInd w:val="0"/>
        <w:snapToGrid w:val="0"/>
        <w:spacing w:line="500" w:lineRule="atLeast"/>
        <w:ind w:firstLine="560" w:firstLineChars="200"/>
        <w:jc w:val="left"/>
        <w:rPr>
          <w:rFonts w:hint="eastAsia" w:ascii="宋体" w:hAnsi="宋体" w:eastAsia="宋体" w:cs="宋体"/>
          <w:sz w:val="28"/>
          <w:szCs w:val="28"/>
          <w:u w:val="single"/>
        </w:rPr>
      </w:pPr>
      <w:r>
        <w:rPr>
          <w:rFonts w:hint="eastAsia" w:ascii="宋体" w:hAnsi="宋体" w:eastAsia="宋体" w:cs="宋体"/>
          <w:sz w:val="28"/>
          <w:szCs w:val="28"/>
        </w:rPr>
        <w:t>供应商（单位名称及公章）：____________________</w:t>
      </w:r>
    </w:p>
    <w:p w14:paraId="47D62B56">
      <w:pPr>
        <w:overflowPunct/>
        <w:topLinePunct w:val="0"/>
        <w:bidi w:val="0"/>
        <w:adjustRightInd w:val="0"/>
        <w:snapToGrid w:val="0"/>
        <w:spacing w:line="500" w:lineRule="atLeast"/>
        <w:ind w:firstLine="560" w:firstLineChars="200"/>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cs="宋体"/>
          <w:sz w:val="28"/>
          <w:szCs w:val="28"/>
          <w:lang w:val="en-US" w:eastAsia="zh-CN"/>
        </w:rPr>
        <w:t>或</w:t>
      </w:r>
      <w:r>
        <w:rPr>
          <w:rFonts w:hint="eastAsia" w:ascii="宋体" w:hAnsi="宋体" w:eastAsia="宋体" w:cs="宋体"/>
          <w:sz w:val="28"/>
          <w:szCs w:val="28"/>
        </w:rPr>
        <w:t>被授权人（</w:t>
      </w:r>
      <w:r>
        <w:rPr>
          <w:rFonts w:hint="eastAsia" w:ascii="宋体" w:hAnsi="宋体" w:eastAsia="宋体" w:cs="宋体"/>
          <w:sz w:val="24"/>
          <w:szCs w:val="24"/>
        </w:rPr>
        <w:t>签字或盖章</w:t>
      </w:r>
      <w:r>
        <w:rPr>
          <w:rFonts w:hint="eastAsia" w:ascii="宋体" w:hAnsi="宋体" w:eastAsia="宋体" w:cs="宋体"/>
          <w:sz w:val="28"/>
          <w:szCs w:val="28"/>
        </w:rPr>
        <w:t>）：____________________</w:t>
      </w:r>
    </w:p>
    <w:p w14:paraId="1D2A29C9">
      <w:pPr>
        <w:overflowPunct/>
        <w:topLinePunct w:val="0"/>
        <w:bidi w:val="0"/>
        <w:adjustRightInd w:val="0"/>
        <w:snapToGrid w:val="0"/>
        <w:spacing w:line="500" w:lineRule="atLeast"/>
        <w:ind w:firstLine="560" w:firstLineChars="200"/>
        <w:rPr>
          <w:rFonts w:hint="eastAsia" w:ascii="宋体" w:hAnsi="宋体" w:eastAsia="宋体" w:cs="宋体"/>
          <w:sz w:val="28"/>
          <w:szCs w:val="28"/>
        </w:rPr>
      </w:pPr>
      <w:r>
        <w:rPr>
          <w:rFonts w:hint="eastAsia" w:ascii="宋体" w:hAnsi="宋体" w:eastAsia="宋体" w:cs="宋体"/>
          <w:sz w:val="28"/>
          <w:szCs w:val="28"/>
        </w:rPr>
        <w:t>日    期：________年________月________日</w:t>
      </w:r>
    </w:p>
    <w:p w14:paraId="7F7EB9A9">
      <w:pPr>
        <w:spacing w:line="440" w:lineRule="exact"/>
        <w:jc w:val="center"/>
        <w:outlineLvl w:val="1"/>
        <w:rPr>
          <w:rFonts w:hAnsi="宋体"/>
          <w:b/>
          <w:bCs/>
          <w:sz w:val="32"/>
          <w:szCs w:val="32"/>
        </w:rPr>
      </w:pPr>
    </w:p>
    <w:p w14:paraId="01EE64E1">
      <w:pPr>
        <w:spacing w:line="440" w:lineRule="exact"/>
        <w:jc w:val="center"/>
        <w:outlineLvl w:val="1"/>
        <w:rPr>
          <w:rFonts w:hAnsi="宋体"/>
          <w:b/>
          <w:bCs/>
          <w:sz w:val="32"/>
          <w:szCs w:val="32"/>
        </w:rPr>
      </w:pPr>
    </w:p>
    <w:p w14:paraId="1D4A7D03">
      <w:pPr>
        <w:widowControl/>
        <w:jc w:val="center"/>
        <w:rPr>
          <w:rFonts w:hAnsi="宋体" w:cs="宋体"/>
          <w:b/>
          <w:bCs/>
          <w:sz w:val="32"/>
          <w:szCs w:val="32"/>
        </w:rPr>
      </w:pPr>
      <w:r>
        <w:rPr>
          <w:rFonts w:hint="eastAsia" w:hAnsi="宋体"/>
          <w:b/>
          <w:bCs/>
          <w:sz w:val="32"/>
          <w:szCs w:val="32"/>
          <w:lang w:val="en-US" w:eastAsia="zh-CN"/>
        </w:rPr>
        <w:t>七</w:t>
      </w:r>
      <w:r>
        <w:rPr>
          <w:rFonts w:hint="eastAsia" w:hAnsi="宋体"/>
          <w:b/>
          <w:bCs/>
          <w:sz w:val="32"/>
          <w:szCs w:val="32"/>
        </w:rPr>
        <w:t>、</w:t>
      </w:r>
      <w:r>
        <w:rPr>
          <w:rFonts w:hint="eastAsia" w:hAnsi="宋体" w:cs="宋体"/>
          <w:b/>
          <w:bCs/>
          <w:sz w:val="32"/>
          <w:szCs w:val="32"/>
        </w:rPr>
        <w:t>投标人</w:t>
      </w:r>
      <w:r>
        <w:rPr>
          <w:rFonts w:hAnsi="宋体" w:cs="宋体"/>
          <w:b/>
          <w:bCs/>
          <w:sz w:val="32"/>
          <w:szCs w:val="32"/>
        </w:rPr>
        <w:t>拒绝</w:t>
      </w:r>
      <w:r>
        <w:rPr>
          <w:rFonts w:hint="eastAsia" w:hAnsi="宋体" w:cs="宋体"/>
          <w:b/>
          <w:bCs/>
          <w:sz w:val="32"/>
          <w:szCs w:val="32"/>
          <w:lang w:eastAsia="zh-CN"/>
        </w:rPr>
        <w:t>招标投标</w:t>
      </w:r>
      <w:r>
        <w:rPr>
          <w:rFonts w:hAnsi="宋体" w:cs="宋体"/>
          <w:b/>
          <w:bCs/>
          <w:sz w:val="32"/>
          <w:szCs w:val="32"/>
        </w:rPr>
        <w:t>领域商业贿赂承诺书</w:t>
      </w:r>
    </w:p>
    <w:p w14:paraId="115A087E">
      <w:pPr>
        <w:widowControl/>
        <w:spacing w:line="480" w:lineRule="exact"/>
        <w:jc w:val="center"/>
        <w:rPr>
          <w:rFonts w:hint="eastAsia" w:ascii="宋体" w:hAnsi="宋体" w:eastAsia="宋体" w:cs="宋体"/>
          <w:bCs/>
          <w:kern w:val="0"/>
          <w:sz w:val="24"/>
          <w:szCs w:val="28"/>
        </w:rPr>
      </w:pPr>
      <w:r>
        <w:rPr>
          <w:rFonts w:hint="eastAsia" w:ascii="宋体" w:hAnsi="宋体" w:eastAsia="宋体" w:cs="宋体"/>
          <w:bCs/>
          <w:kern w:val="0"/>
          <w:sz w:val="24"/>
          <w:szCs w:val="28"/>
        </w:rPr>
        <w:t>政府采购供应商拒绝政府采购领域商业贿赂承诺书</w:t>
      </w:r>
    </w:p>
    <w:p w14:paraId="22498ADF">
      <w:pPr>
        <w:widowControl/>
        <w:spacing w:line="440" w:lineRule="exact"/>
        <w:ind w:firstLine="480" w:firstLineChars="200"/>
        <w:jc w:val="left"/>
        <w:rPr>
          <w:rFonts w:hAnsi="宋体" w:cs="宋体"/>
          <w:sz w:val="24"/>
        </w:rPr>
      </w:pPr>
    </w:p>
    <w:p w14:paraId="1D43CC30">
      <w:pPr>
        <w:widowControl/>
        <w:spacing w:line="440" w:lineRule="exact"/>
        <w:ind w:firstLine="480" w:firstLineChars="200"/>
        <w:jc w:val="left"/>
        <w:rPr>
          <w:rFonts w:hAnsi="宋体" w:cs="宋体"/>
          <w:sz w:val="24"/>
        </w:rPr>
      </w:pPr>
      <w:r>
        <w:rPr>
          <w:rFonts w:hAnsi="宋体" w:cs="宋体"/>
          <w:sz w:val="24"/>
        </w:rPr>
        <w:t>为响应党中央、国务院关于治理</w:t>
      </w:r>
      <w:r>
        <w:rPr>
          <w:rFonts w:hint="eastAsia" w:hAnsi="宋体" w:cs="宋体"/>
          <w:sz w:val="24"/>
          <w:lang w:eastAsia="zh-CN"/>
        </w:rPr>
        <w:t>招标投标</w:t>
      </w:r>
      <w:r>
        <w:rPr>
          <w:rFonts w:hAnsi="宋体" w:cs="宋体"/>
          <w:sz w:val="24"/>
        </w:rPr>
        <w:t>领域商业贿赂行为的号召，我</w:t>
      </w:r>
      <w:r>
        <w:rPr>
          <w:rFonts w:hint="eastAsia" w:hAnsi="宋体" w:cs="宋体"/>
          <w:sz w:val="24"/>
        </w:rPr>
        <w:t>单位</w:t>
      </w:r>
      <w:r>
        <w:rPr>
          <w:rFonts w:hAnsi="宋体" w:cs="宋体"/>
          <w:sz w:val="24"/>
        </w:rPr>
        <w:t xml:space="preserve">在此庄严承诺： </w:t>
      </w:r>
    </w:p>
    <w:p w14:paraId="25D5D919">
      <w:pPr>
        <w:widowControl/>
        <w:numPr>
          <w:ilvl w:val="0"/>
          <w:numId w:val="8"/>
        </w:numPr>
        <w:spacing w:line="440" w:lineRule="exact"/>
        <w:ind w:firstLine="480" w:firstLineChars="200"/>
        <w:jc w:val="left"/>
        <w:rPr>
          <w:rFonts w:hAnsi="宋体" w:cs="宋体"/>
          <w:sz w:val="24"/>
        </w:rPr>
      </w:pPr>
      <w:r>
        <w:rPr>
          <w:rFonts w:hAnsi="宋体" w:cs="宋体"/>
          <w:sz w:val="24"/>
        </w:rPr>
        <w:t xml:space="preserve">在参与采购活动中遵纪守法、诚信经营、公平竞标。 </w:t>
      </w:r>
    </w:p>
    <w:p w14:paraId="639E1154">
      <w:pPr>
        <w:widowControl/>
        <w:numPr>
          <w:ilvl w:val="0"/>
          <w:numId w:val="8"/>
        </w:numPr>
        <w:spacing w:line="440" w:lineRule="exact"/>
        <w:ind w:left="0" w:leftChars="0" w:firstLine="480" w:firstLineChars="200"/>
        <w:jc w:val="left"/>
        <w:rPr>
          <w:rFonts w:hAnsi="宋体" w:cs="宋体"/>
          <w:sz w:val="24"/>
        </w:rPr>
      </w:pPr>
      <w:r>
        <w:rPr>
          <w:rFonts w:hAnsi="宋体" w:cs="宋体"/>
          <w:sz w:val="24"/>
        </w:rPr>
        <w:t>不向采购人、</w:t>
      </w:r>
      <w:r>
        <w:rPr>
          <w:rFonts w:hint="eastAsia" w:hAnsi="宋体" w:cs="宋体"/>
          <w:sz w:val="24"/>
        </w:rPr>
        <w:t>采购代理机构</w:t>
      </w:r>
      <w:r>
        <w:rPr>
          <w:rFonts w:hAnsi="宋体" w:cs="宋体"/>
          <w:sz w:val="24"/>
        </w:rPr>
        <w:t xml:space="preserve">和采购评审专家进行任何形式的商业贿赂以谋取交易机会。 </w:t>
      </w:r>
    </w:p>
    <w:p w14:paraId="26728C04">
      <w:pPr>
        <w:widowControl/>
        <w:numPr>
          <w:ilvl w:val="0"/>
          <w:numId w:val="8"/>
        </w:numPr>
        <w:spacing w:line="440" w:lineRule="exact"/>
        <w:ind w:left="0" w:leftChars="0" w:firstLine="480" w:firstLineChars="200"/>
        <w:jc w:val="left"/>
        <w:rPr>
          <w:rFonts w:hAnsi="宋体" w:cs="宋体"/>
          <w:sz w:val="24"/>
        </w:rPr>
      </w:pPr>
      <w:r>
        <w:rPr>
          <w:rFonts w:hAnsi="宋体" w:cs="宋体"/>
          <w:sz w:val="24"/>
        </w:rPr>
        <w:t xml:space="preserve">不向采购代理机构和采购人提供虚假资质文件或采用虚假应标方式参与采购市场竞争并谋取中标、成交。 </w:t>
      </w:r>
    </w:p>
    <w:p w14:paraId="15E5CBC4">
      <w:pPr>
        <w:widowControl/>
        <w:numPr>
          <w:ilvl w:val="0"/>
          <w:numId w:val="8"/>
        </w:numPr>
        <w:spacing w:line="440" w:lineRule="exact"/>
        <w:ind w:left="0" w:leftChars="0" w:firstLine="480" w:firstLineChars="200"/>
        <w:jc w:val="left"/>
        <w:rPr>
          <w:rFonts w:hAnsi="宋体" w:cs="宋体"/>
          <w:sz w:val="24"/>
        </w:rPr>
      </w:pPr>
      <w:r>
        <w:rPr>
          <w:rFonts w:hAnsi="宋体" w:cs="宋体"/>
          <w:sz w:val="24"/>
        </w:rPr>
        <w:t>不采取“围标、陪标”等商业欺诈手段获得</w:t>
      </w:r>
      <w:r>
        <w:rPr>
          <w:rFonts w:hint="eastAsia" w:hAnsi="宋体" w:cs="宋体"/>
          <w:sz w:val="24"/>
          <w:lang w:eastAsia="zh-CN"/>
        </w:rPr>
        <w:t>招标投标订单</w:t>
      </w:r>
      <w:r>
        <w:rPr>
          <w:rFonts w:hAnsi="宋体" w:cs="宋体"/>
          <w:sz w:val="24"/>
        </w:rPr>
        <w:t xml:space="preserve">。 </w:t>
      </w:r>
    </w:p>
    <w:p w14:paraId="2A67CE63">
      <w:pPr>
        <w:widowControl/>
        <w:numPr>
          <w:ilvl w:val="0"/>
          <w:numId w:val="8"/>
        </w:numPr>
        <w:spacing w:line="440" w:lineRule="exact"/>
        <w:ind w:left="0" w:leftChars="0" w:firstLine="480" w:firstLineChars="200"/>
        <w:jc w:val="left"/>
        <w:rPr>
          <w:rFonts w:hAnsi="宋体" w:cs="宋体"/>
          <w:sz w:val="24"/>
        </w:rPr>
      </w:pPr>
      <w:r>
        <w:rPr>
          <w:rFonts w:hAnsi="宋体" w:cs="宋体"/>
          <w:sz w:val="24"/>
        </w:rPr>
        <w:t>不采取不正当手段</w:t>
      </w:r>
      <w:r>
        <w:rPr>
          <w:rFonts w:hint="eastAsia" w:hAnsi="宋体" w:cs="宋体"/>
          <w:sz w:val="24"/>
          <w:lang w:eastAsia="zh-CN"/>
        </w:rPr>
        <w:t>诋毁</w:t>
      </w:r>
      <w:r>
        <w:rPr>
          <w:rFonts w:hAnsi="宋体" w:cs="宋体"/>
          <w:sz w:val="24"/>
        </w:rPr>
        <w:t>、排挤其他</w:t>
      </w:r>
      <w:r>
        <w:rPr>
          <w:rFonts w:hint="eastAsia" w:hAnsi="宋体" w:cs="宋体"/>
          <w:sz w:val="24"/>
        </w:rPr>
        <w:t>投标人</w:t>
      </w:r>
      <w:r>
        <w:rPr>
          <w:rFonts w:hAnsi="宋体" w:cs="宋体"/>
          <w:sz w:val="24"/>
        </w:rPr>
        <w:t xml:space="preserve">。 </w:t>
      </w:r>
    </w:p>
    <w:p w14:paraId="0EB553C3">
      <w:pPr>
        <w:widowControl/>
        <w:numPr>
          <w:ilvl w:val="0"/>
          <w:numId w:val="8"/>
        </w:numPr>
        <w:spacing w:line="440" w:lineRule="exact"/>
        <w:ind w:left="0" w:leftChars="0" w:firstLine="480" w:firstLineChars="200"/>
        <w:jc w:val="left"/>
        <w:rPr>
          <w:rFonts w:hAnsi="宋体" w:cs="宋体"/>
          <w:sz w:val="24"/>
        </w:rPr>
      </w:pPr>
      <w:r>
        <w:rPr>
          <w:rFonts w:hint="eastAsia" w:hAnsi="宋体" w:cs="宋体"/>
          <w:sz w:val="24"/>
          <w:lang w:eastAsia="zh-CN"/>
        </w:rPr>
        <w:t>不再提供</w:t>
      </w:r>
      <w:r>
        <w:rPr>
          <w:rFonts w:hAnsi="宋体" w:cs="宋体"/>
          <w:sz w:val="24"/>
        </w:rPr>
        <w:t xml:space="preserve">商品和服务时“偷梁换柱、以次充好”损害采购人的合法权益。 </w:t>
      </w:r>
    </w:p>
    <w:p w14:paraId="010C3C23">
      <w:pPr>
        <w:widowControl/>
        <w:numPr>
          <w:ilvl w:val="0"/>
          <w:numId w:val="8"/>
        </w:numPr>
        <w:spacing w:line="440" w:lineRule="exact"/>
        <w:ind w:left="0" w:leftChars="0" w:firstLine="480" w:firstLineChars="200"/>
        <w:jc w:val="left"/>
        <w:rPr>
          <w:rFonts w:hAnsi="宋体" w:cs="宋体"/>
          <w:sz w:val="24"/>
        </w:rPr>
      </w:pPr>
      <w:r>
        <w:rPr>
          <w:rFonts w:hAnsi="宋体" w:cs="宋体"/>
          <w:sz w:val="24"/>
        </w:rPr>
        <w:t>不与采购人、采购代理机构采购评审专家</w:t>
      </w:r>
      <w:r>
        <w:rPr>
          <w:rFonts w:hint="eastAsia" w:hAnsi="宋体" w:cs="宋体"/>
          <w:sz w:val="24"/>
          <w:lang w:eastAsia="zh-CN"/>
        </w:rPr>
        <w:t>或其他</w:t>
      </w:r>
      <w:r>
        <w:rPr>
          <w:rFonts w:hint="eastAsia" w:hAnsi="宋体" w:cs="宋体"/>
          <w:sz w:val="24"/>
        </w:rPr>
        <w:t>投标人</w:t>
      </w:r>
      <w:r>
        <w:rPr>
          <w:rFonts w:hAnsi="宋体" w:cs="宋体"/>
          <w:sz w:val="24"/>
        </w:rPr>
        <w:t>恶意串通，进行质疑和投诉，维护</w:t>
      </w:r>
      <w:r>
        <w:rPr>
          <w:rFonts w:hint="eastAsia" w:hAnsi="宋体" w:cs="宋体"/>
          <w:sz w:val="24"/>
          <w:lang w:eastAsia="zh-CN"/>
        </w:rPr>
        <w:t>招标投标</w:t>
      </w:r>
      <w:r>
        <w:rPr>
          <w:rFonts w:hAnsi="宋体" w:cs="宋体"/>
          <w:sz w:val="24"/>
        </w:rPr>
        <w:t xml:space="preserve">市场秩序。 </w:t>
      </w:r>
    </w:p>
    <w:p w14:paraId="560D8A50">
      <w:pPr>
        <w:widowControl/>
        <w:numPr>
          <w:ilvl w:val="0"/>
          <w:numId w:val="8"/>
        </w:numPr>
        <w:spacing w:line="440" w:lineRule="exact"/>
        <w:ind w:left="0" w:leftChars="0" w:firstLine="480" w:firstLineChars="200"/>
        <w:jc w:val="left"/>
        <w:rPr>
          <w:rFonts w:hint="eastAsia" w:hAnsi="宋体" w:eastAsia="宋体" w:cs="宋体"/>
          <w:sz w:val="24"/>
          <w:lang w:eastAsia="zh-CN"/>
        </w:rPr>
      </w:pPr>
      <w:r>
        <w:rPr>
          <w:rFonts w:hAnsi="宋体" w:cs="宋体"/>
          <w:sz w:val="24"/>
        </w:rPr>
        <w:t>尊重和接受</w:t>
      </w:r>
      <w:r>
        <w:rPr>
          <w:rFonts w:hint="eastAsia" w:hAnsi="宋体" w:cs="宋体"/>
          <w:sz w:val="24"/>
          <w:lang w:eastAsia="zh-CN"/>
        </w:rPr>
        <w:t>招标采购</w:t>
      </w:r>
      <w:r>
        <w:rPr>
          <w:rFonts w:hAnsi="宋体" w:cs="宋体"/>
          <w:sz w:val="24"/>
        </w:rPr>
        <w:t xml:space="preserve">监督管理部门的监督和采购代理机构招标采购要求，承担因违约行为给采购人造成的损失。 </w:t>
      </w:r>
    </w:p>
    <w:p w14:paraId="597F1FA8">
      <w:pPr>
        <w:widowControl/>
        <w:numPr>
          <w:ilvl w:val="0"/>
          <w:numId w:val="8"/>
        </w:numPr>
        <w:spacing w:line="440" w:lineRule="exact"/>
        <w:ind w:left="0" w:leftChars="0" w:firstLine="480" w:firstLineChars="200"/>
        <w:jc w:val="left"/>
        <w:rPr>
          <w:rFonts w:hint="eastAsia" w:hAnsi="宋体" w:eastAsia="宋体" w:cs="宋体"/>
          <w:sz w:val="24"/>
          <w:lang w:eastAsia="zh-CN"/>
        </w:rPr>
      </w:pPr>
      <w:r>
        <w:rPr>
          <w:rFonts w:hAnsi="宋体" w:cs="宋体"/>
          <w:sz w:val="24"/>
        </w:rPr>
        <w:t xml:space="preserve">不发生其他有悖于采购公开、公平、公正和诚信原则的行为。 </w:t>
      </w:r>
    </w:p>
    <w:p w14:paraId="47D2453D">
      <w:pPr>
        <w:widowControl/>
        <w:spacing w:line="440" w:lineRule="exact"/>
        <w:ind w:firstLine="480" w:firstLineChars="200"/>
        <w:jc w:val="left"/>
        <w:rPr>
          <w:rFonts w:hint="eastAsia" w:hAnsi="宋体" w:eastAsia="宋体" w:cs="宋体"/>
          <w:sz w:val="24"/>
          <w:lang w:eastAsia="zh-CN"/>
        </w:rPr>
      </w:pPr>
    </w:p>
    <w:p w14:paraId="4A9F593F">
      <w:pPr>
        <w:widowControl/>
        <w:spacing w:line="440" w:lineRule="exact"/>
        <w:ind w:firstLine="480" w:firstLineChars="200"/>
        <w:jc w:val="left"/>
        <w:rPr>
          <w:rFonts w:hint="eastAsia" w:hAnsi="宋体" w:eastAsia="宋体" w:cs="宋体"/>
          <w:sz w:val="24"/>
          <w:lang w:eastAsia="zh-CN"/>
        </w:rPr>
      </w:pPr>
    </w:p>
    <w:p w14:paraId="40E701F8">
      <w:pPr>
        <w:widowControl/>
        <w:spacing w:line="440" w:lineRule="exact"/>
        <w:ind w:firstLine="480" w:firstLineChars="200"/>
        <w:jc w:val="left"/>
        <w:rPr>
          <w:rFonts w:hint="eastAsia" w:hAnsi="宋体" w:eastAsia="宋体" w:cs="宋体"/>
          <w:sz w:val="24"/>
          <w:lang w:eastAsia="zh-CN"/>
        </w:rPr>
      </w:pPr>
      <w:r>
        <w:rPr>
          <w:rFonts w:hAnsi="宋体" w:cs="宋体"/>
          <w:sz w:val="24"/>
        </w:rPr>
        <w:t>  承诺单位：</w:t>
      </w:r>
      <w:r>
        <w:rPr>
          <w:rFonts w:hAnsi="宋体" w:cs="宋体"/>
          <w:sz w:val="24"/>
          <w:u w:val="single"/>
        </w:rPr>
        <w:t>　　</w:t>
      </w:r>
      <w:r>
        <w:rPr>
          <w:rFonts w:hint="eastAsia" w:hAnsi="宋体" w:cs="宋体"/>
          <w:sz w:val="24"/>
          <w:u w:val="single"/>
        </w:rPr>
        <w:t xml:space="preserve">                            </w:t>
      </w:r>
      <w:r>
        <w:rPr>
          <w:rFonts w:hAnsi="宋体" w:cs="宋体"/>
          <w:sz w:val="24"/>
          <w:u w:val="single"/>
        </w:rPr>
        <w:t>　</w:t>
      </w:r>
      <w:r>
        <w:rPr>
          <w:rFonts w:hAnsi="宋体" w:cs="宋体"/>
          <w:sz w:val="24"/>
        </w:rPr>
        <w:t xml:space="preserve">（盖章） </w:t>
      </w:r>
    </w:p>
    <w:p w14:paraId="4F18B568">
      <w:pPr>
        <w:widowControl/>
        <w:spacing w:line="440" w:lineRule="exact"/>
        <w:ind w:firstLine="480" w:firstLineChars="200"/>
        <w:jc w:val="left"/>
        <w:rPr>
          <w:rFonts w:hint="eastAsia" w:hAnsi="宋体" w:eastAsia="宋体" w:cs="宋体"/>
          <w:sz w:val="24"/>
          <w:lang w:eastAsia="zh-CN"/>
        </w:rPr>
      </w:pPr>
      <w:r>
        <w:rPr>
          <w:rFonts w:hAnsi="宋体" w:cs="宋体"/>
          <w:sz w:val="24"/>
        </w:rPr>
        <w:t>  全权代表：</w:t>
      </w:r>
      <w:r>
        <w:rPr>
          <w:rFonts w:hAnsi="宋体" w:cs="宋体"/>
          <w:sz w:val="24"/>
          <w:u w:val="single"/>
        </w:rPr>
        <w:t>　　　　　</w:t>
      </w:r>
      <w:r>
        <w:rPr>
          <w:rFonts w:hint="eastAsia" w:hAnsi="宋体" w:cs="宋体"/>
          <w:sz w:val="24"/>
          <w:u w:val="single"/>
        </w:rPr>
        <w:t xml:space="preserve">     </w:t>
      </w:r>
      <w:r>
        <w:rPr>
          <w:rFonts w:hAnsi="宋体" w:cs="宋体"/>
          <w:sz w:val="24"/>
          <w:u w:val="single"/>
        </w:rPr>
        <w:t>　　　</w:t>
      </w:r>
      <w:r>
        <w:rPr>
          <w:rFonts w:hint="eastAsia" w:hAnsi="宋体" w:cs="宋体"/>
          <w:sz w:val="24"/>
          <w:u w:val="single"/>
        </w:rPr>
        <w:t xml:space="preserve">           </w:t>
      </w:r>
      <w:r>
        <w:rPr>
          <w:rFonts w:hAnsi="宋体" w:cs="宋体"/>
          <w:sz w:val="24"/>
          <w:u w:val="single"/>
        </w:rPr>
        <w:t>　</w:t>
      </w:r>
      <w:r>
        <w:rPr>
          <w:rFonts w:hAnsi="宋体" w:cs="宋体"/>
          <w:sz w:val="24"/>
        </w:rPr>
        <w:t>（</w:t>
      </w:r>
      <w:r>
        <w:rPr>
          <w:rFonts w:hint="eastAsia" w:ascii="宋体" w:hAnsi="宋体" w:eastAsia="宋体" w:cs="宋体"/>
          <w:sz w:val="24"/>
          <w:szCs w:val="24"/>
        </w:rPr>
        <w:t>签字或盖章</w:t>
      </w:r>
      <w:r>
        <w:rPr>
          <w:rFonts w:hAnsi="宋体" w:cs="宋体"/>
          <w:sz w:val="24"/>
        </w:rPr>
        <w:t xml:space="preserve">） </w:t>
      </w:r>
    </w:p>
    <w:p w14:paraId="798A76DB">
      <w:pPr>
        <w:widowControl/>
        <w:spacing w:line="440" w:lineRule="exact"/>
        <w:ind w:firstLine="480" w:firstLineChars="200"/>
        <w:jc w:val="left"/>
        <w:rPr>
          <w:rFonts w:hAnsi="宋体" w:cs="宋体"/>
          <w:sz w:val="24"/>
        </w:rPr>
      </w:pPr>
      <w:r>
        <w:rPr>
          <w:rFonts w:hAnsi="宋体" w:cs="宋体"/>
          <w:sz w:val="24"/>
        </w:rPr>
        <w:t>  地　　址：</w:t>
      </w:r>
      <w:r>
        <w:rPr>
          <w:rFonts w:hint="eastAsia" w:hAnsi="宋体" w:cs="宋体"/>
          <w:sz w:val="24"/>
          <w:u w:val="single"/>
        </w:rPr>
        <w:t xml:space="preserve">                                  </w:t>
      </w:r>
    </w:p>
    <w:p w14:paraId="0AAAD2E8">
      <w:pPr>
        <w:widowControl/>
        <w:spacing w:line="440" w:lineRule="exact"/>
        <w:ind w:firstLine="960" w:firstLineChars="400"/>
        <w:jc w:val="left"/>
        <w:rPr>
          <w:rFonts w:hint="eastAsia" w:hAnsi="宋体" w:eastAsia="宋体" w:cs="宋体"/>
          <w:sz w:val="24"/>
          <w:u w:val="single"/>
          <w:lang w:eastAsia="zh-CN"/>
        </w:rPr>
      </w:pPr>
      <w:r>
        <w:rPr>
          <w:rFonts w:hAnsi="宋体" w:cs="宋体"/>
          <w:sz w:val="24"/>
        </w:rPr>
        <w:t>邮</w:t>
      </w:r>
      <w:r>
        <w:rPr>
          <w:rFonts w:hint="eastAsia" w:hAnsi="宋体" w:cs="宋体"/>
          <w:sz w:val="24"/>
        </w:rPr>
        <w:t xml:space="preserve">    </w:t>
      </w:r>
      <w:r>
        <w:rPr>
          <w:rFonts w:hAnsi="宋体" w:cs="宋体"/>
          <w:sz w:val="24"/>
        </w:rPr>
        <w:t>编：</w:t>
      </w:r>
      <w:r>
        <w:rPr>
          <w:rFonts w:hAnsi="宋体" w:cs="宋体"/>
          <w:sz w:val="24"/>
          <w:u w:val="single"/>
        </w:rPr>
        <w:t>　　</w:t>
      </w:r>
      <w:r>
        <w:rPr>
          <w:rFonts w:hint="eastAsia" w:hAnsi="宋体" w:cs="宋体"/>
          <w:sz w:val="24"/>
          <w:u w:val="single"/>
        </w:rPr>
        <w:t xml:space="preserve">                         </w:t>
      </w:r>
      <w:r>
        <w:rPr>
          <w:rFonts w:hAnsi="宋体" w:cs="宋体"/>
          <w:sz w:val="24"/>
          <w:u w:val="single"/>
        </w:rPr>
        <w:t xml:space="preserve">　　 </w:t>
      </w:r>
    </w:p>
    <w:p w14:paraId="08D1C65A">
      <w:pPr>
        <w:widowControl/>
        <w:spacing w:line="440" w:lineRule="exact"/>
        <w:ind w:firstLine="480" w:firstLineChars="200"/>
        <w:jc w:val="left"/>
        <w:rPr>
          <w:rFonts w:hint="eastAsia" w:hAnsi="宋体" w:eastAsia="宋体" w:cs="宋体"/>
          <w:sz w:val="24"/>
          <w:u w:val="single"/>
          <w:lang w:eastAsia="zh-CN"/>
        </w:rPr>
      </w:pPr>
      <w:r>
        <w:rPr>
          <w:rFonts w:hAnsi="宋体" w:cs="宋体"/>
          <w:sz w:val="24"/>
        </w:rPr>
        <w:t>  电　　话：</w:t>
      </w:r>
      <w:r>
        <w:rPr>
          <w:rFonts w:hAnsi="宋体" w:cs="宋体"/>
          <w:sz w:val="24"/>
          <w:u w:val="single"/>
        </w:rPr>
        <w:t>　　　</w:t>
      </w:r>
      <w:r>
        <w:rPr>
          <w:rFonts w:hint="eastAsia" w:hAnsi="宋体" w:cs="宋体"/>
          <w:sz w:val="24"/>
          <w:u w:val="single"/>
        </w:rPr>
        <w:t xml:space="preserve">                </w:t>
      </w:r>
      <w:r>
        <w:rPr>
          <w:rFonts w:hAnsi="宋体" w:cs="宋体"/>
          <w:sz w:val="24"/>
          <w:u w:val="single"/>
        </w:rPr>
        <w:t>　</w:t>
      </w:r>
      <w:r>
        <w:rPr>
          <w:rFonts w:hint="eastAsia" w:hAnsi="宋体" w:cs="宋体"/>
          <w:sz w:val="24"/>
          <w:u w:val="single"/>
        </w:rPr>
        <w:t xml:space="preserve">    </w:t>
      </w:r>
      <w:r>
        <w:rPr>
          <w:rFonts w:hAnsi="宋体" w:cs="宋体"/>
          <w:sz w:val="24"/>
          <w:u w:val="single"/>
        </w:rPr>
        <w:t>　　　</w:t>
      </w:r>
    </w:p>
    <w:p w14:paraId="4D1EF24D">
      <w:pPr>
        <w:widowControl/>
        <w:spacing w:line="440" w:lineRule="exact"/>
        <w:ind w:firstLine="480" w:firstLineChars="200"/>
        <w:jc w:val="left"/>
        <w:rPr>
          <w:rFonts w:hint="eastAsia" w:hAnsi="宋体" w:eastAsia="宋体" w:cs="宋体"/>
          <w:sz w:val="24"/>
          <w:lang w:eastAsia="zh-CN"/>
        </w:rPr>
      </w:pPr>
      <w:r>
        <w:rPr>
          <w:rFonts w:hAnsi="宋体" w:cs="宋体"/>
          <w:sz w:val="24"/>
        </w:rPr>
        <w:t xml:space="preserve">　　　　　　　　　　　　　　 </w:t>
      </w:r>
    </w:p>
    <w:p w14:paraId="09AE5FFA">
      <w:pPr>
        <w:widowControl/>
        <w:spacing w:line="440" w:lineRule="exact"/>
        <w:ind w:firstLine="480" w:firstLineChars="200"/>
        <w:jc w:val="left"/>
        <w:rPr>
          <w:rFonts w:hAnsi="宋体" w:cs="宋体"/>
          <w:sz w:val="24"/>
        </w:rPr>
      </w:pPr>
      <w:r>
        <w:rPr>
          <w:rFonts w:hAnsi="宋体" w:cs="宋体"/>
          <w:sz w:val="24"/>
        </w:rPr>
        <w:t>     </w:t>
      </w:r>
      <w:r>
        <w:rPr>
          <w:rFonts w:hint="eastAsia" w:hAnsi="宋体" w:cs="宋体"/>
          <w:sz w:val="24"/>
        </w:rPr>
        <w:t xml:space="preserve">       </w:t>
      </w:r>
      <w:r>
        <w:rPr>
          <w:rFonts w:hAnsi="宋体" w:cs="宋体"/>
          <w:sz w:val="24"/>
        </w:rPr>
        <w:t>年</w:t>
      </w:r>
      <w:r>
        <w:rPr>
          <w:rFonts w:hint="eastAsia" w:hAnsi="宋体" w:cs="宋体"/>
          <w:sz w:val="24"/>
        </w:rPr>
        <w:t xml:space="preserve"> </w:t>
      </w:r>
      <w:r>
        <w:rPr>
          <w:rFonts w:hAnsi="宋体" w:cs="宋体"/>
          <w:sz w:val="24"/>
        </w:rPr>
        <w:t>　</w:t>
      </w:r>
      <w:r>
        <w:rPr>
          <w:rFonts w:hint="eastAsia" w:hAnsi="宋体" w:cs="宋体"/>
          <w:sz w:val="24"/>
        </w:rPr>
        <w:t xml:space="preserve"> </w:t>
      </w:r>
      <w:r>
        <w:rPr>
          <w:rFonts w:hAnsi="宋体" w:cs="宋体"/>
          <w:sz w:val="24"/>
        </w:rPr>
        <w:t>　月</w:t>
      </w:r>
      <w:r>
        <w:rPr>
          <w:rFonts w:hint="eastAsia" w:hAnsi="宋体" w:cs="宋体"/>
          <w:sz w:val="24"/>
        </w:rPr>
        <w:t xml:space="preserve"> </w:t>
      </w:r>
      <w:r>
        <w:rPr>
          <w:rFonts w:hAnsi="宋体" w:cs="宋体"/>
          <w:sz w:val="24"/>
        </w:rPr>
        <w:t>　　</w:t>
      </w:r>
      <w:r>
        <w:rPr>
          <w:rFonts w:hint="eastAsia" w:hAnsi="宋体" w:cs="宋体"/>
          <w:sz w:val="24"/>
        </w:rPr>
        <w:t xml:space="preserve"> </w:t>
      </w:r>
      <w:r>
        <w:rPr>
          <w:rFonts w:hAnsi="宋体" w:cs="宋体"/>
          <w:sz w:val="24"/>
        </w:rPr>
        <w:t>日</w:t>
      </w:r>
    </w:p>
    <w:p w14:paraId="7DCE5729">
      <w:pPr>
        <w:widowControl/>
        <w:spacing w:line="440" w:lineRule="exact"/>
        <w:jc w:val="left"/>
        <w:rPr>
          <w:rFonts w:hAnsi="宋体" w:cs="宋体"/>
          <w:sz w:val="24"/>
        </w:rPr>
      </w:pPr>
    </w:p>
    <w:p w14:paraId="2B5762F8">
      <w:pPr>
        <w:jc w:val="center"/>
      </w:pPr>
    </w:p>
    <w:p w14:paraId="29ADF868">
      <w:pPr>
        <w:jc w:val="center"/>
      </w:pPr>
    </w:p>
    <w:p w14:paraId="1EE5AFF9">
      <w:pPr>
        <w:rPr>
          <w:rFonts w:hAnsi="宋体"/>
          <w:sz w:val="20"/>
        </w:rPr>
      </w:pPr>
    </w:p>
    <w:p w14:paraId="5C6FEF80">
      <w:pPr>
        <w:spacing w:line="360" w:lineRule="atLeast"/>
        <w:jc w:val="center"/>
        <w:rPr>
          <w:rFonts w:ascii="宋体" w:hAnsi="宋体"/>
          <w:b/>
          <w:sz w:val="32"/>
          <w:szCs w:val="32"/>
        </w:rPr>
      </w:pPr>
    </w:p>
    <w:p w14:paraId="75D14BA6">
      <w:pPr>
        <w:pStyle w:val="27"/>
      </w:pPr>
    </w:p>
    <w:p w14:paraId="0D38A3C9">
      <w:pPr>
        <w:keepNext w:val="0"/>
        <w:keepLines w:val="0"/>
        <w:pageBreakBefore w:val="0"/>
        <w:widowControl/>
        <w:shd w:val="clear" w:color="auto" w:fill="FFFFFF"/>
        <w:kinsoku/>
        <w:wordWrap/>
        <w:overflowPunct/>
        <w:topLinePunct w:val="0"/>
        <w:autoSpaceDE/>
        <w:autoSpaceDN/>
        <w:bidi w:val="0"/>
        <w:adjustRightInd w:val="0"/>
        <w:snapToGrid w:val="0"/>
        <w:spacing w:before="327" w:beforeLines="100" w:beforeAutospacing="0" w:afterAutospacing="0" w:line="360" w:lineRule="auto"/>
        <w:jc w:val="center"/>
        <w:textAlignment w:val="auto"/>
        <w:rPr>
          <w:rFonts w:hint="eastAsia" w:ascii="宋体" w:hAnsi="宋体" w:eastAsia="宋体" w:cs="宋体"/>
          <w:b/>
          <w:bCs w:val="0"/>
          <w:color w:val="000000"/>
          <w:kern w:val="0"/>
          <w:sz w:val="24"/>
          <w:szCs w:val="24"/>
        </w:rPr>
      </w:pPr>
      <w:r>
        <w:rPr>
          <w:rFonts w:hint="eastAsia" w:ascii="宋体" w:hAnsi="宋体" w:eastAsia="宋体" w:cs="宋体"/>
          <w:b/>
          <w:bCs w:val="0"/>
          <w:color w:val="000000"/>
          <w:kern w:val="0"/>
          <w:sz w:val="32"/>
          <w:szCs w:val="32"/>
        </w:rPr>
        <w:t>承诺书Ⅱ</w:t>
      </w:r>
    </w:p>
    <w:bookmarkEnd w:id="220"/>
    <w:bookmarkEnd w:id="221"/>
    <w:bookmarkEnd w:id="222"/>
    <w:bookmarkEnd w:id="223"/>
    <w:bookmarkEnd w:id="224"/>
    <w:p w14:paraId="391C09DD">
      <w:pPr>
        <w:widowControl/>
        <w:spacing w:line="440" w:lineRule="exact"/>
        <w:rPr>
          <w:rFonts w:hint="eastAsia" w:ascii="宋体" w:hAnsi="宋体" w:eastAsia="宋体" w:cs="宋体"/>
          <w:sz w:val="24"/>
          <w:szCs w:val="28"/>
        </w:rPr>
      </w:pPr>
      <w:r>
        <w:rPr>
          <w:rFonts w:hint="eastAsia" w:ascii="宋体" w:hAnsi="宋体" w:eastAsia="宋体" w:cs="宋体"/>
          <w:sz w:val="24"/>
          <w:szCs w:val="28"/>
        </w:rPr>
        <w:t>致：安康尚昊招标代理有限公司</w:t>
      </w:r>
    </w:p>
    <w:p w14:paraId="6DC683B6">
      <w:pPr>
        <w:widowControl/>
        <w:spacing w:line="440" w:lineRule="exact"/>
        <w:ind w:firstLine="472" w:firstLineChars="197"/>
        <w:rPr>
          <w:rFonts w:hint="eastAsia" w:ascii="宋体" w:hAnsi="宋体" w:eastAsia="宋体" w:cs="宋体"/>
          <w:sz w:val="24"/>
          <w:szCs w:val="28"/>
        </w:rPr>
      </w:pPr>
      <w:r>
        <w:rPr>
          <w:rFonts w:hint="eastAsia" w:ascii="宋体" w:hAnsi="宋体" w:eastAsia="宋体" w:cs="宋体"/>
          <w:sz w:val="24"/>
          <w:szCs w:val="28"/>
        </w:rPr>
        <w:t>为了诚实、客观、有序地参与政府采购活动，愿就以下内容作出承诺：</w:t>
      </w:r>
    </w:p>
    <w:p w14:paraId="339F8FD2">
      <w:pPr>
        <w:widowControl/>
        <w:spacing w:line="440" w:lineRule="exact"/>
        <w:ind w:firstLine="472" w:firstLineChars="197"/>
        <w:rPr>
          <w:rFonts w:hint="eastAsia" w:ascii="宋体" w:hAnsi="宋体" w:eastAsia="宋体" w:cs="宋体"/>
          <w:sz w:val="24"/>
          <w:szCs w:val="28"/>
        </w:rPr>
      </w:pPr>
      <w:r>
        <w:rPr>
          <w:rFonts w:hint="eastAsia" w:ascii="宋体" w:hAnsi="宋体" w:eastAsia="宋体" w:cs="宋体"/>
          <w:sz w:val="24"/>
          <w:szCs w:val="28"/>
        </w:rPr>
        <w:t>1</w:t>
      </w:r>
      <w:r>
        <w:rPr>
          <w:rFonts w:hint="eastAsia" w:ascii="宋体" w:hAnsi="宋体" w:cs="宋体"/>
          <w:sz w:val="24"/>
          <w:szCs w:val="28"/>
          <w:lang w:eastAsia="zh-CN"/>
        </w:rPr>
        <w:t>.</w:t>
      </w:r>
      <w:r>
        <w:rPr>
          <w:rFonts w:hint="eastAsia" w:ascii="宋体" w:hAnsi="宋体" w:eastAsia="宋体" w:cs="宋体"/>
          <w:sz w:val="24"/>
          <w:szCs w:val="28"/>
        </w:rPr>
        <w:t>参加采购代理机构组织的政府采购活动时，严格按照磋商文件的规定和要求提供所需的相关材料，并对所提供的各类资料的真实性负责，不虚假应标，不虚列业绩。</w:t>
      </w:r>
    </w:p>
    <w:p w14:paraId="52F20EAF">
      <w:pPr>
        <w:widowControl/>
        <w:shd w:val="clear" w:color="auto" w:fill="FFFFFF"/>
        <w:spacing w:line="440" w:lineRule="exact"/>
        <w:ind w:firstLine="480"/>
        <w:rPr>
          <w:rFonts w:hint="eastAsia" w:ascii="宋体" w:hAnsi="宋体" w:eastAsia="宋体" w:cs="宋体"/>
          <w:bCs/>
          <w:color w:val="000000"/>
          <w:kern w:val="0"/>
          <w:sz w:val="24"/>
          <w:szCs w:val="28"/>
        </w:rPr>
      </w:pPr>
      <w:r>
        <w:rPr>
          <w:rFonts w:hint="eastAsia" w:ascii="宋体" w:hAnsi="宋体" w:eastAsia="宋体" w:cs="宋体"/>
          <w:bCs/>
          <w:color w:val="000000"/>
          <w:kern w:val="0"/>
          <w:sz w:val="24"/>
          <w:szCs w:val="28"/>
        </w:rPr>
        <w:t>2</w:t>
      </w:r>
      <w:r>
        <w:rPr>
          <w:rFonts w:hint="eastAsia" w:ascii="宋体" w:hAnsi="宋体" w:cs="宋体"/>
          <w:bCs/>
          <w:color w:val="000000"/>
          <w:kern w:val="0"/>
          <w:sz w:val="24"/>
          <w:szCs w:val="28"/>
          <w:lang w:eastAsia="zh-CN"/>
        </w:rPr>
        <w:t>.</w:t>
      </w:r>
      <w:r>
        <w:rPr>
          <w:rFonts w:hint="eastAsia" w:ascii="宋体" w:hAnsi="宋体" w:eastAsia="宋体" w:cs="宋体"/>
          <w:bCs/>
          <w:color w:val="000000"/>
          <w:kern w:val="0"/>
          <w:sz w:val="24"/>
          <w:szCs w:val="28"/>
        </w:rPr>
        <w:t>尊重参与政府采购活动各相关方的合法行为，接受政府采购活动依法形成的意见、结果。</w:t>
      </w:r>
    </w:p>
    <w:p w14:paraId="4C3487E7">
      <w:pPr>
        <w:widowControl/>
        <w:shd w:val="clear" w:color="auto" w:fill="FFFFFF"/>
        <w:spacing w:line="440" w:lineRule="exact"/>
        <w:ind w:firstLine="480"/>
        <w:rPr>
          <w:rFonts w:hint="eastAsia" w:ascii="宋体" w:hAnsi="宋体" w:eastAsia="宋体" w:cs="宋体"/>
          <w:bCs/>
          <w:color w:val="000000"/>
          <w:kern w:val="0"/>
          <w:sz w:val="24"/>
          <w:szCs w:val="28"/>
        </w:rPr>
      </w:pPr>
      <w:r>
        <w:rPr>
          <w:rFonts w:hint="eastAsia" w:ascii="宋体" w:hAnsi="宋体" w:eastAsia="宋体" w:cs="宋体"/>
          <w:bCs/>
          <w:color w:val="000000"/>
          <w:kern w:val="0"/>
          <w:sz w:val="24"/>
          <w:szCs w:val="28"/>
        </w:rPr>
        <w:t>3</w:t>
      </w:r>
      <w:r>
        <w:rPr>
          <w:rFonts w:hint="eastAsia" w:ascii="宋体" w:hAnsi="宋体" w:cs="宋体"/>
          <w:bCs/>
          <w:color w:val="000000"/>
          <w:kern w:val="0"/>
          <w:sz w:val="24"/>
          <w:szCs w:val="28"/>
          <w:lang w:eastAsia="zh-CN"/>
        </w:rPr>
        <w:t>.</w:t>
      </w:r>
      <w:r>
        <w:rPr>
          <w:rFonts w:hint="eastAsia" w:ascii="宋体" w:hAnsi="宋体" w:eastAsia="宋体" w:cs="宋体"/>
          <w:bCs/>
          <w:color w:val="000000"/>
          <w:kern w:val="0"/>
          <w:sz w:val="24"/>
          <w:szCs w:val="28"/>
        </w:rPr>
        <w:t>依法参加政府采购活动，不围标、串标，维护市场秩序。近三年因项目质量问题的不法行为记录为</w:t>
      </w:r>
      <w:r>
        <w:rPr>
          <w:rFonts w:hint="eastAsia" w:ascii="宋体" w:hAnsi="宋体" w:eastAsia="宋体" w:cs="宋体"/>
          <w:bCs/>
          <w:color w:val="000000"/>
          <w:kern w:val="0"/>
          <w:sz w:val="24"/>
          <w:szCs w:val="28"/>
          <w:u w:val="single"/>
        </w:rPr>
        <w:t>   </w:t>
      </w:r>
      <w:r>
        <w:rPr>
          <w:rFonts w:hint="eastAsia" w:ascii="宋体" w:hAnsi="宋体" w:eastAsia="宋体" w:cs="宋体"/>
          <w:bCs/>
          <w:color w:val="000000"/>
          <w:kern w:val="0"/>
          <w:sz w:val="24"/>
          <w:szCs w:val="28"/>
        </w:rPr>
        <w:t>次（没有填零），如有隐瞒实情，愿承担一切责任及后果。</w:t>
      </w:r>
    </w:p>
    <w:p w14:paraId="48BDAB7B">
      <w:pPr>
        <w:widowControl/>
        <w:shd w:val="clear" w:color="auto" w:fill="FFFFFF"/>
        <w:spacing w:line="440" w:lineRule="exact"/>
        <w:ind w:firstLine="480"/>
        <w:rPr>
          <w:rFonts w:hint="eastAsia" w:ascii="宋体" w:hAnsi="宋体" w:eastAsia="宋体" w:cs="宋体"/>
          <w:bCs/>
          <w:color w:val="000000"/>
          <w:kern w:val="0"/>
          <w:sz w:val="24"/>
          <w:szCs w:val="28"/>
        </w:rPr>
      </w:pPr>
      <w:r>
        <w:rPr>
          <w:rFonts w:hint="eastAsia" w:ascii="宋体" w:hAnsi="宋体" w:eastAsia="宋体" w:cs="宋体"/>
          <w:bCs/>
          <w:color w:val="000000"/>
          <w:kern w:val="0"/>
          <w:sz w:val="24"/>
          <w:szCs w:val="28"/>
        </w:rPr>
        <w:t>4</w:t>
      </w:r>
      <w:r>
        <w:rPr>
          <w:rFonts w:hint="eastAsia" w:ascii="宋体" w:hAnsi="宋体" w:cs="宋体"/>
          <w:bCs/>
          <w:color w:val="000000"/>
          <w:kern w:val="0"/>
          <w:sz w:val="24"/>
          <w:szCs w:val="28"/>
          <w:lang w:eastAsia="zh-CN"/>
        </w:rPr>
        <w:t>.</w:t>
      </w:r>
      <w:r>
        <w:rPr>
          <w:rFonts w:hint="eastAsia" w:ascii="宋体" w:hAnsi="宋体" w:eastAsia="宋体" w:cs="宋体"/>
          <w:bCs/>
          <w:color w:val="000000"/>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5088F877">
      <w:pPr>
        <w:widowControl/>
        <w:shd w:val="clear" w:color="auto" w:fill="FFFFFF"/>
        <w:spacing w:line="440" w:lineRule="exact"/>
        <w:ind w:firstLine="480"/>
        <w:rPr>
          <w:rFonts w:hint="eastAsia" w:ascii="宋体" w:hAnsi="宋体" w:eastAsia="宋体" w:cs="宋体"/>
          <w:bCs/>
          <w:color w:val="000000"/>
          <w:kern w:val="0"/>
          <w:sz w:val="24"/>
          <w:szCs w:val="28"/>
        </w:rPr>
      </w:pPr>
      <w:r>
        <w:rPr>
          <w:rFonts w:hint="eastAsia" w:ascii="宋体" w:hAnsi="宋体" w:eastAsia="宋体" w:cs="宋体"/>
          <w:bCs/>
          <w:color w:val="000000"/>
          <w:kern w:val="0"/>
          <w:sz w:val="24"/>
          <w:szCs w:val="28"/>
        </w:rPr>
        <w:t>5</w:t>
      </w:r>
      <w:r>
        <w:rPr>
          <w:rFonts w:hint="eastAsia" w:ascii="宋体" w:hAnsi="宋体" w:cs="宋体"/>
          <w:bCs/>
          <w:color w:val="000000"/>
          <w:kern w:val="0"/>
          <w:sz w:val="24"/>
          <w:szCs w:val="28"/>
          <w:lang w:eastAsia="zh-CN"/>
        </w:rPr>
        <w:t>.</w:t>
      </w:r>
      <w:r>
        <w:rPr>
          <w:rFonts w:hint="eastAsia" w:ascii="宋体" w:hAnsi="宋体" w:eastAsia="宋体" w:cs="宋体"/>
          <w:bCs/>
          <w:color w:val="000000"/>
          <w:kern w:val="0"/>
          <w:sz w:val="24"/>
          <w:szCs w:val="28"/>
        </w:rPr>
        <w:t>近三年受到有关行政主管部门的行政处理、不良行为记录为</w:t>
      </w:r>
      <w:r>
        <w:rPr>
          <w:rFonts w:hint="eastAsia" w:ascii="宋体" w:hAnsi="宋体" w:eastAsia="宋体" w:cs="宋体"/>
          <w:bCs/>
          <w:color w:val="000000"/>
          <w:kern w:val="0"/>
          <w:sz w:val="24"/>
          <w:szCs w:val="28"/>
          <w:u w:val="single"/>
        </w:rPr>
        <w:t>    </w:t>
      </w:r>
      <w:r>
        <w:rPr>
          <w:rFonts w:hint="eastAsia" w:ascii="宋体" w:hAnsi="宋体" w:eastAsia="宋体" w:cs="宋体"/>
          <w:bCs/>
          <w:color w:val="000000"/>
          <w:kern w:val="0"/>
          <w:sz w:val="24"/>
          <w:szCs w:val="28"/>
        </w:rPr>
        <w:t>次（没有填零），如有隐瞒实情，愿承担一切责任及后果。</w:t>
      </w:r>
    </w:p>
    <w:p w14:paraId="2237C304">
      <w:pPr>
        <w:widowControl/>
        <w:shd w:val="clear" w:color="auto" w:fill="FFFFFF"/>
        <w:spacing w:line="440" w:lineRule="exact"/>
        <w:ind w:firstLine="480"/>
        <w:rPr>
          <w:rFonts w:hint="eastAsia" w:ascii="宋体" w:hAnsi="宋体" w:eastAsia="宋体" w:cs="宋体"/>
          <w:bCs/>
          <w:color w:val="000000"/>
          <w:kern w:val="0"/>
          <w:sz w:val="24"/>
          <w:szCs w:val="28"/>
        </w:rPr>
      </w:pPr>
      <w:r>
        <w:rPr>
          <w:rFonts w:hint="eastAsia" w:ascii="宋体" w:hAnsi="宋体" w:eastAsia="宋体" w:cs="宋体"/>
          <w:bCs/>
          <w:color w:val="000000"/>
          <w:kern w:val="0"/>
          <w:sz w:val="24"/>
          <w:szCs w:val="28"/>
        </w:rPr>
        <w:t>6</w:t>
      </w:r>
      <w:r>
        <w:rPr>
          <w:rFonts w:hint="eastAsia" w:ascii="宋体" w:hAnsi="宋体" w:cs="宋体"/>
          <w:bCs/>
          <w:color w:val="000000"/>
          <w:kern w:val="0"/>
          <w:sz w:val="24"/>
          <w:szCs w:val="28"/>
          <w:lang w:eastAsia="zh-CN"/>
        </w:rPr>
        <w:t>.</w:t>
      </w:r>
      <w:r>
        <w:rPr>
          <w:rFonts w:hint="eastAsia" w:ascii="宋体" w:hAnsi="宋体" w:eastAsia="宋体" w:cs="宋体"/>
          <w:bCs/>
          <w:color w:val="000000"/>
          <w:kern w:val="0"/>
          <w:sz w:val="24"/>
          <w:szCs w:val="28"/>
        </w:rPr>
        <w:t>参加本次磋商提交的所有资质证明文件及业绩证明是真实的、有效的，如有隐瞒实情，愿承担一切责任及后果。</w:t>
      </w:r>
    </w:p>
    <w:p w14:paraId="3B1D8679">
      <w:pPr>
        <w:widowControl/>
        <w:shd w:val="clear" w:color="auto" w:fill="FFFFFF"/>
        <w:spacing w:line="440" w:lineRule="exact"/>
        <w:ind w:firstLine="480"/>
        <w:rPr>
          <w:rFonts w:hint="eastAsia" w:ascii="宋体" w:hAnsi="宋体" w:eastAsia="宋体" w:cs="宋体"/>
          <w:bCs/>
          <w:color w:val="000000"/>
          <w:kern w:val="0"/>
          <w:sz w:val="24"/>
          <w:szCs w:val="28"/>
        </w:rPr>
      </w:pPr>
      <w:r>
        <w:rPr>
          <w:rFonts w:hint="eastAsia" w:ascii="宋体" w:hAnsi="宋体" w:eastAsia="宋体" w:cs="宋体"/>
          <w:bCs/>
          <w:color w:val="000000"/>
          <w:kern w:val="0"/>
          <w:sz w:val="24"/>
          <w:szCs w:val="28"/>
        </w:rPr>
        <w:t>7</w:t>
      </w:r>
      <w:r>
        <w:rPr>
          <w:rFonts w:hint="eastAsia" w:ascii="宋体" w:hAnsi="宋体" w:cs="宋体"/>
          <w:bCs/>
          <w:color w:val="000000"/>
          <w:kern w:val="0"/>
          <w:sz w:val="24"/>
          <w:szCs w:val="28"/>
          <w:lang w:eastAsia="zh-CN"/>
        </w:rPr>
        <w:t>.</w:t>
      </w:r>
      <w:r>
        <w:rPr>
          <w:rFonts w:hint="eastAsia" w:ascii="宋体" w:hAnsi="宋体" w:eastAsia="宋体" w:cs="宋体"/>
          <w:bCs/>
          <w:color w:val="000000"/>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1ACC2ADE">
      <w:pPr>
        <w:widowControl/>
        <w:shd w:val="clear" w:color="auto" w:fill="FFFFFF"/>
        <w:spacing w:line="440" w:lineRule="exact"/>
        <w:ind w:firstLine="480"/>
        <w:rPr>
          <w:rFonts w:hint="eastAsia" w:ascii="宋体" w:hAnsi="宋体" w:eastAsia="宋体" w:cs="宋体"/>
          <w:bCs/>
          <w:color w:val="000000"/>
          <w:kern w:val="0"/>
          <w:sz w:val="24"/>
          <w:szCs w:val="28"/>
        </w:rPr>
      </w:pPr>
      <w:r>
        <w:rPr>
          <w:rFonts w:hint="eastAsia" w:ascii="宋体" w:hAnsi="宋体" w:eastAsia="宋体" w:cs="宋体"/>
          <w:bCs/>
          <w:color w:val="000000"/>
          <w:kern w:val="0"/>
          <w:sz w:val="24"/>
          <w:szCs w:val="28"/>
        </w:rPr>
        <w:t>8</w:t>
      </w:r>
      <w:r>
        <w:rPr>
          <w:rFonts w:hint="eastAsia" w:ascii="宋体" w:hAnsi="宋体" w:cs="宋体"/>
          <w:bCs/>
          <w:color w:val="000000"/>
          <w:kern w:val="0"/>
          <w:sz w:val="24"/>
          <w:szCs w:val="28"/>
          <w:lang w:eastAsia="zh-CN"/>
        </w:rPr>
        <w:t>.</w:t>
      </w:r>
      <w:r>
        <w:rPr>
          <w:rFonts w:hint="eastAsia" w:ascii="宋体" w:hAnsi="宋体" w:eastAsia="宋体" w:cs="宋体"/>
          <w:bCs/>
          <w:color w:val="000000"/>
          <w:kern w:val="0"/>
          <w:sz w:val="24"/>
          <w:szCs w:val="28"/>
        </w:rPr>
        <w:t>认真履行成交单位应承担的责任和义务，全面执行采购合同规定的各项内容，保质保量地按时提供采购物品。</w:t>
      </w:r>
    </w:p>
    <w:p w14:paraId="769AC6F0">
      <w:pPr>
        <w:widowControl/>
        <w:shd w:val="clear" w:color="auto" w:fill="FFFFFF"/>
        <w:spacing w:line="440" w:lineRule="exact"/>
        <w:ind w:firstLine="480"/>
        <w:rPr>
          <w:rFonts w:hint="eastAsia" w:ascii="宋体" w:hAnsi="宋体" w:eastAsia="宋体" w:cs="宋体"/>
          <w:bCs/>
          <w:color w:val="000000"/>
          <w:kern w:val="0"/>
          <w:sz w:val="24"/>
          <w:szCs w:val="28"/>
        </w:rPr>
      </w:pPr>
      <w:r>
        <w:rPr>
          <w:rFonts w:hint="eastAsia" w:ascii="宋体" w:hAnsi="宋体" w:eastAsia="宋体" w:cs="宋体"/>
          <w:bCs/>
          <w:color w:val="000000"/>
          <w:kern w:val="0"/>
          <w:sz w:val="24"/>
          <w:szCs w:val="28"/>
        </w:rPr>
        <w:t>若本企业（单位）发生有悖于上述承诺的行为，愿意接受《中华人民共和国政府采购法》和《中华人民共和国政府采购法实施条例》中对响应单位的相关处理。</w:t>
      </w:r>
    </w:p>
    <w:p w14:paraId="2109E4BF">
      <w:pPr>
        <w:widowControl/>
        <w:shd w:val="clear" w:color="auto" w:fill="FFFFFF"/>
        <w:spacing w:line="440" w:lineRule="exact"/>
        <w:ind w:firstLine="480"/>
        <w:rPr>
          <w:rFonts w:hint="eastAsia" w:ascii="宋体" w:hAnsi="宋体" w:eastAsia="宋体" w:cs="宋体"/>
          <w:bCs/>
          <w:color w:val="000000"/>
          <w:kern w:val="0"/>
          <w:sz w:val="24"/>
          <w:szCs w:val="28"/>
        </w:rPr>
      </w:pPr>
      <w:r>
        <w:rPr>
          <w:rFonts w:hint="eastAsia" w:ascii="宋体" w:hAnsi="宋体" w:eastAsia="宋体" w:cs="宋体"/>
          <w:bCs/>
          <w:color w:val="000000"/>
          <w:kern w:val="0"/>
          <w:sz w:val="24"/>
          <w:szCs w:val="28"/>
        </w:rPr>
        <w:t>本承诺是采购项目响应文件的组成部分。</w:t>
      </w:r>
    </w:p>
    <w:p w14:paraId="33BF3D94">
      <w:pPr>
        <w:widowControl/>
        <w:shd w:val="clear" w:color="auto" w:fill="FFFFFF"/>
        <w:spacing w:line="440" w:lineRule="exact"/>
        <w:ind w:firstLine="2152" w:firstLineChars="897"/>
        <w:rPr>
          <w:rFonts w:hint="eastAsia" w:ascii="宋体" w:hAnsi="宋体" w:eastAsia="宋体" w:cs="宋体"/>
          <w:bCs/>
          <w:color w:val="000000"/>
          <w:kern w:val="0"/>
          <w:sz w:val="24"/>
          <w:szCs w:val="28"/>
        </w:rPr>
      </w:pPr>
      <w:r>
        <w:rPr>
          <w:rFonts w:hint="eastAsia" w:ascii="宋体" w:hAnsi="宋体" w:eastAsia="宋体" w:cs="宋体"/>
          <w:bCs/>
          <w:color w:val="000000"/>
          <w:kern w:val="0"/>
          <w:sz w:val="24"/>
          <w:szCs w:val="28"/>
        </w:rPr>
        <w:t>承诺单位：</w:t>
      </w:r>
      <w:r>
        <w:rPr>
          <w:rFonts w:hint="eastAsia" w:ascii="宋体" w:hAnsi="宋体" w:eastAsia="宋体" w:cs="宋体"/>
          <w:bCs/>
          <w:color w:val="000000"/>
          <w:kern w:val="0"/>
          <w:sz w:val="24"/>
          <w:szCs w:val="28"/>
          <w:u w:val="single"/>
        </w:rPr>
        <w:t xml:space="preserve">                    </w:t>
      </w:r>
      <w:r>
        <w:rPr>
          <w:rFonts w:hint="eastAsia" w:ascii="宋体" w:hAnsi="宋体" w:eastAsia="宋体" w:cs="宋体"/>
          <w:bCs/>
          <w:color w:val="000000"/>
          <w:kern w:val="0"/>
          <w:sz w:val="24"/>
          <w:szCs w:val="28"/>
        </w:rPr>
        <w:t>（盖章）</w:t>
      </w:r>
    </w:p>
    <w:p w14:paraId="0931BB66">
      <w:pPr>
        <w:widowControl/>
        <w:shd w:val="clear" w:color="auto" w:fill="FFFFFF"/>
        <w:spacing w:line="440" w:lineRule="exact"/>
        <w:ind w:firstLine="2152" w:firstLineChars="897"/>
        <w:rPr>
          <w:rFonts w:hint="eastAsia" w:ascii="宋体" w:hAnsi="宋体" w:eastAsia="宋体" w:cs="宋体"/>
          <w:bCs/>
          <w:color w:val="000000"/>
          <w:kern w:val="0"/>
          <w:sz w:val="24"/>
          <w:szCs w:val="28"/>
        </w:rPr>
      </w:pPr>
      <w:r>
        <w:rPr>
          <w:rFonts w:hint="eastAsia" w:ascii="宋体" w:hAnsi="宋体" w:eastAsia="宋体" w:cs="宋体"/>
          <w:bCs/>
          <w:color w:val="000000"/>
          <w:kern w:val="0"/>
          <w:sz w:val="24"/>
          <w:szCs w:val="28"/>
        </w:rPr>
        <w:t>全权代表：</w:t>
      </w:r>
      <w:r>
        <w:rPr>
          <w:rFonts w:hint="eastAsia" w:ascii="宋体" w:hAnsi="宋体" w:eastAsia="宋体" w:cs="宋体"/>
          <w:bCs/>
          <w:color w:val="000000"/>
          <w:kern w:val="0"/>
          <w:sz w:val="24"/>
          <w:szCs w:val="28"/>
          <w:u w:val="single"/>
        </w:rPr>
        <w:t xml:space="preserve">                    </w:t>
      </w:r>
      <w:r>
        <w:rPr>
          <w:rFonts w:hint="eastAsia" w:ascii="宋体" w:hAnsi="宋体" w:eastAsia="宋体" w:cs="宋体"/>
          <w:bCs/>
          <w:color w:val="000000"/>
          <w:kern w:val="0"/>
          <w:sz w:val="24"/>
          <w:szCs w:val="28"/>
        </w:rPr>
        <w:t>（</w:t>
      </w:r>
      <w:r>
        <w:rPr>
          <w:rFonts w:hint="eastAsia" w:ascii="宋体" w:hAnsi="宋体" w:eastAsia="宋体" w:cs="宋体"/>
          <w:sz w:val="24"/>
          <w:szCs w:val="24"/>
          <w:lang w:val="zh-CN"/>
        </w:rPr>
        <w:t>签字</w:t>
      </w:r>
      <w:r>
        <w:rPr>
          <w:rFonts w:hint="eastAsia" w:ascii="宋体" w:hAnsi="宋体" w:eastAsia="宋体" w:cs="宋体"/>
          <w:sz w:val="24"/>
          <w:szCs w:val="24"/>
          <w:lang w:val="en-US" w:eastAsia="zh-CN"/>
        </w:rPr>
        <w:t>或盖章</w:t>
      </w:r>
      <w:r>
        <w:rPr>
          <w:rFonts w:hint="eastAsia" w:ascii="宋体" w:hAnsi="宋体" w:eastAsia="宋体" w:cs="宋体"/>
          <w:bCs/>
          <w:color w:val="000000"/>
          <w:kern w:val="0"/>
          <w:sz w:val="24"/>
          <w:szCs w:val="28"/>
        </w:rPr>
        <w:t>）</w:t>
      </w:r>
    </w:p>
    <w:p w14:paraId="32D53E68">
      <w:pPr>
        <w:widowControl/>
        <w:shd w:val="clear" w:color="auto" w:fill="FFFFFF"/>
        <w:spacing w:line="440" w:lineRule="exact"/>
        <w:ind w:firstLine="2152" w:firstLineChars="897"/>
        <w:rPr>
          <w:rFonts w:hint="eastAsia" w:ascii="宋体" w:hAnsi="宋体" w:eastAsia="宋体" w:cs="宋体"/>
          <w:bCs/>
          <w:sz w:val="24"/>
          <w:szCs w:val="28"/>
        </w:rPr>
      </w:pPr>
      <w:r>
        <w:rPr>
          <w:rFonts w:hint="eastAsia" w:ascii="宋体" w:hAnsi="宋体" w:eastAsia="宋体" w:cs="宋体"/>
          <w:bCs/>
          <w:color w:val="000000"/>
          <w:kern w:val="0"/>
          <w:sz w:val="24"/>
          <w:szCs w:val="28"/>
        </w:rPr>
        <w:t>日    期：</w:t>
      </w:r>
      <w:r>
        <w:rPr>
          <w:rFonts w:hint="eastAsia" w:ascii="宋体" w:hAnsi="宋体" w:eastAsia="宋体" w:cs="宋体"/>
          <w:bCs/>
          <w:color w:val="000000"/>
          <w:kern w:val="0"/>
          <w:sz w:val="24"/>
          <w:szCs w:val="28"/>
          <w:u w:val="single"/>
        </w:rPr>
        <w:t xml:space="preserve">      </w:t>
      </w:r>
      <w:r>
        <w:rPr>
          <w:rFonts w:hint="eastAsia" w:ascii="宋体" w:hAnsi="宋体" w:eastAsia="宋体" w:cs="宋体"/>
          <w:bCs/>
          <w:color w:val="000000"/>
          <w:kern w:val="0"/>
          <w:sz w:val="24"/>
          <w:szCs w:val="28"/>
        </w:rPr>
        <w:t>年</w:t>
      </w:r>
      <w:r>
        <w:rPr>
          <w:rFonts w:hint="eastAsia" w:ascii="宋体" w:hAnsi="宋体" w:eastAsia="宋体" w:cs="宋体"/>
          <w:bCs/>
          <w:color w:val="000000"/>
          <w:kern w:val="0"/>
          <w:sz w:val="24"/>
          <w:szCs w:val="28"/>
          <w:u w:val="single"/>
        </w:rPr>
        <w:t xml:space="preserve">     </w:t>
      </w:r>
      <w:r>
        <w:rPr>
          <w:rFonts w:hint="eastAsia" w:ascii="宋体" w:hAnsi="宋体" w:eastAsia="宋体" w:cs="宋体"/>
          <w:bCs/>
          <w:color w:val="000000"/>
          <w:kern w:val="0"/>
          <w:sz w:val="24"/>
          <w:szCs w:val="28"/>
        </w:rPr>
        <w:t>月</w:t>
      </w:r>
      <w:r>
        <w:rPr>
          <w:rFonts w:hint="eastAsia" w:ascii="宋体" w:hAnsi="宋体" w:eastAsia="宋体" w:cs="宋体"/>
          <w:bCs/>
          <w:sz w:val="28"/>
          <w:szCs w:val="32"/>
          <w:u w:val="single"/>
        </w:rPr>
        <w:t xml:space="preserve">    </w:t>
      </w:r>
      <w:r>
        <w:rPr>
          <w:rFonts w:hint="eastAsia" w:ascii="宋体" w:hAnsi="宋体" w:eastAsia="宋体" w:cs="宋体"/>
          <w:bCs/>
          <w:sz w:val="24"/>
          <w:szCs w:val="28"/>
        </w:rPr>
        <w:t>日</w:t>
      </w:r>
    </w:p>
    <w:p w14:paraId="664210FD">
      <w:pPr>
        <w:pStyle w:val="27"/>
        <w:rPr>
          <w:rFonts w:hint="eastAsia"/>
        </w:rPr>
      </w:pPr>
    </w:p>
    <w:p w14:paraId="29F51AAC">
      <w:pPr>
        <w:pStyle w:val="27"/>
        <w:rPr>
          <w:rFonts w:hint="eastAsia"/>
        </w:rPr>
      </w:pPr>
    </w:p>
    <w:p w14:paraId="1347CBC8">
      <w:pPr>
        <w:pStyle w:val="27"/>
        <w:rPr>
          <w:rFonts w:hint="eastAsia"/>
        </w:rPr>
      </w:pPr>
    </w:p>
    <w:p w14:paraId="2892390D">
      <w:pPr>
        <w:pStyle w:val="27"/>
        <w:rPr>
          <w:rFonts w:hint="eastAsia"/>
        </w:rPr>
      </w:pPr>
    </w:p>
    <w:p w14:paraId="221945DB">
      <w:pPr>
        <w:pStyle w:val="27"/>
        <w:rPr>
          <w:rFonts w:hint="eastAsia"/>
        </w:rPr>
      </w:pPr>
    </w:p>
    <w:p w14:paraId="6D7D959A">
      <w:pPr>
        <w:pStyle w:val="27"/>
        <w:rPr>
          <w:rFonts w:hint="eastAsia"/>
        </w:rPr>
      </w:pPr>
    </w:p>
    <w:p w14:paraId="15399C19">
      <w:pPr>
        <w:pStyle w:val="27"/>
        <w:rPr>
          <w:rFonts w:hint="eastAsia"/>
        </w:rPr>
      </w:pPr>
    </w:p>
    <w:p w14:paraId="771B8A51">
      <w:pPr>
        <w:pStyle w:val="27"/>
        <w:rPr>
          <w:rFonts w:hint="eastAsia"/>
        </w:rPr>
        <w:sectPr>
          <w:headerReference r:id="rId23" w:type="first"/>
          <w:footerReference r:id="rId25" w:type="first"/>
          <w:footerReference r:id="rId24" w:type="default"/>
          <w:pgSz w:w="11905" w:h="16838"/>
          <w:pgMar w:top="1304" w:right="1304" w:bottom="1304" w:left="1304" w:header="907" w:footer="879" w:gutter="0"/>
          <w:pgNumType w:fmt="decimal"/>
          <w:cols w:space="0" w:num="1"/>
          <w:titlePg/>
          <w:rtlGutter w:val="0"/>
          <w:docGrid w:type="lines" w:linePitch="323" w:charSpace="0"/>
        </w:sectPr>
      </w:pPr>
    </w:p>
    <w:p w14:paraId="31F057C7">
      <w:pPr>
        <w:pStyle w:val="27"/>
        <w:rPr>
          <w:rFonts w:hint="eastAsia"/>
        </w:rPr>
      </w:pPr>
    </w:p>
    <w:p w14:paraId="3614BE76">
      <w:pPr>
        <w:pStyle w:val="27"/>
        <w:rPr>
          <w:rFonts w:hint="eastAsia"/>
        </w:rPr>
      </w:pPr>
    </w:p>
    <w:p w14:paraId="2E612A07">
      <w:pPr>
        <w:pStyle w:val="27"/>
        <w:rPr>
          <w:rFonts w:hint="eastAsia"/>
        </w:rPr>
      </w:pPr>
    </w:p>
    <w:p w14:paraId="15D4E284">
      <w:pPr>
        <w:pStyle w:val="27"/>
        <w:rPr>
          <w:rFonts w:hint="eastAsia"/>
        </w:rPr>
      </w:pPr>
    </w:p>
    <w:p w14:paraId="30D5B7C1">
      <w:pPr>
        <w:pStyle w:val="27"/>
        <w:rPr>
          <w:rFonts w:hint="eastAsia"/>
        </w:rPr>
      </w:pPr>
    </w:p>
    <w:p w14:paraId="63EF70EF">
      <w:pPr>
        <w:pStyle w:val="27"/>
        <w:rPr>
          <w:rFonts w:hint="eastAsia"/>
        </w:rPr>
      </w:pPr>
    </w:p>
    <w:p w14:paraId="486FC587">
      <w:pPr>
        <w:pStyle w:val="27"/>
        <w:rPr>
          <w:rFonts w:hint="eastAsia"/>
        </w:rPr>
      </w:pPr>
    </w:p>
    <w:p w14:paraId="50DD24B1">
      <w:pPr>
        <w:pStyle w:val="27"/>
        <w:rPr>
          <w:rFonts w:hint="eastAsia"/>
        </w:rPr>
      </w:pPr>
    </w:p>
    <w:p w14:paraId="4D7CD761">
      <w:pPr>
        <w:pStyle w:val="27"/>
        <w:rPr>
          <w:rFonts w:hint="eastAsia"/>
        </w:rPr>
      </w:pPr>
    </w:p>
    <w:p w14:paraId="1FAD038E">
      <w:pPr>
        <w:pStyle w:val="27"/>
        <w:rPr>
          <w:rFonts w:hint="eastAsia"/>
        </w:rPr>
      </w:pPr>
    </w:p>
    <w:p w14:paraId="586F3E23">
      <w:pPr>
        <w:pStyle w:val="27"/>
        <w:rPr>
          <w:rFonts w:hint="eastAsia"/>
        </w:rPr>
      </w:pPr>
    </w:p>
    <w:p w14:paraId="3CB4B690">
      <w:pPr>
        <w:pStyle w:val="27"/>
        <w:rPr>
          <w:rFonts w:hint="eastAsia"/>
        </w:rPr>
      </w:pPr>
    </w:p>
    <w:p w14:paraId="651DAEDF">
      <w:pPr>
        <w:pStyle w:val="27"/>
        <w:rPr>
          <w:rFonts w:hint="eastAsia"/>
        </w:rPr>
      </w:pPr>
    </w:p>
    <w:p w14:paraId="5F83AE9E">
      <w:pPr>
        <w:pStyle w:val="27"/>
        <w:rPr>
          <w:rFonts w:hint="eastAsia"/>
        </w:rPr>
      </w:pPr>
    </w:p>
    <w:p w14:paraId="36997871">
      <w:pPr>
        <w:pStyle w:val="27"/>
        <w:rPr>
          <w:rFonts w:hint="eastAsia"/>
        </w:rPr>
      </w:pPr>
    </w:p>
    <w:p w14:paraId="52EEECBE">
      <w:pPr>
        <w:pStyle w:val="27"/>
        <w:rPr>
          <w:rFonts w:hint="eastAsia"/>
        </w:rPr>
      </w:pPr>
    </w:p>
    <w:p w14:paraId="5C334968">
      <w:pPr>
        <w:pStyle w:val="27"/>
        <w:rPr>
          <w:rFonts w:hint="eastAsia"/>
        </w:rPr>
      </w:pPr>
    </w:p>
    <w:p w14:paraId="55698BEF">
      <w:pPr>
        <w:pStyle w:val="27"/>
        <w:rPr>
          <w:rFonts w:hint="eastAsia"/>
        </w:rPr>
      </w:pPr>
    </w:p>
    <w:p w14:paraId="3F258BFE">
      <w:pPr>
        <w:pStyle w:val="27"/>
        <w:rPr>
          <w:rFonts w:hint="eastAsia"/>
        </w:rPr>
      </w:pPr>
    </w:p>
    <w:p w14:paraId="49C6B8DA">
      <w:pPr>
        <w:pStyle w:val="27"/>
        <w:rPr>
          <w:rFonts w:hint="eastAsia"/>
        </w:rPr>
      </w:pPr>
    </w:p>
    <w:p w14:paraId="63AAA7A5">
      <w:pPr>
        <w:pStyle w:val="27"/>
        <w:rPr>
          <w:rFonts w:hint="eastAsia"/>
        </w:rPr>
      </w:pPr>
    </w:p>
    <w:p w14:paraId="391243EA">
      <w:pPr>
        <w:pStyle w:val="27"/>
        <w:rPr>
          <w:rFonts w:hint="eastAsia"/>
        </w:rPr>
      </w:pPr>
    </w:p>
    <w:p w14:paraId="2CE4FC10">
      <w:pPr>
        <w:pStyle w:val="27"/>
        <w:rPr>
          <w:rFonts w:hint="eastAsia"/>
        </w:rPr>
      </w:pPr>
    </w:p>
    <w:p w14:paraId="377718A4">
      <w:pPr>
        <w:pStyle w:val="27"/>
        <w:rPr>
          <w:rFonts w:hint="eastAsia"/>
        </w:rPr>
      </w:pPr>
    </w:p>
    <w:p w14:paraId="1EDD6ECC">
      <w:pPr>
        <w:pStyle w:val="27"/>
        <w:rPr>
          <w:rFonts w:hint="eastAsia"/>
        </w:rPr>
      </w:pPr>
    </w:p>
    <w:p w14:paraId="07C5D501">
      <w:pPr>
        <w:pStyle w:val="27"/>
        <w:rPr>
          <w:rFonts w:hint="eastAsia"/>
        </w:rPr>
      </w:pPr>
    </w:p>
    <w:p w14:paraId="04018FAD">
      <w:pPr>
        <w:pStyle w:val="27"/>
        <w:rPr>
          <w:rFonts w:hint="eastAsia"/>
        </w:rPr>
      </w:pPr>
    </w:p>
    <w:p w14:paraId="6DC49548">
      <w:pPr>
        <w:pStyle w:val="27"/>
        <w:rPr>
          <w:rFonts w:hint="eastAsia"/>
        </w:rPr>
      </w:pPr>
    </w:p>
    <w:p w14:paraId="64BF5280">
      <w:pPr>
        <w:pStyle w:val="27"/>
        <w:rPr>
          <w:rFonts w:hint="eastAsia"/>
        </w:rPr>
      </w:pPr>
    </w:p>
    <w:p w14:paraId="5E66A5A5">
      <w:pPr>
        <w:pStyle w:val="27"/>
        <w:rPr>
          <w:rFonts w:hint="eastAsia"/>
        </w:rPr>
      </w:pPr>
    </w:p>
    <w:p w14:paraId="4368D56B">
      <w:pPr>
        <w:pStyle w:val="27"/>
        <w:rPr>
          <w:rFonts w:hint="eastAsia"/>
        </w:rPr>
      </w:pPr>
    </w:p>
    <w:p w14:paraId="398D69F1">
      <w:pPr>
        <w:pStyle w:val="27"/>
        <w:rPr>
          <w:rFonts w:hint="eastAsia"/>
        </w:rPr>
      </w:pPr>
    </w:p>
    <w:p w14:paraId="50FA03F8">
      <w:pPr>
        <w:pStyle w:val="27"/>
        <w:rPr>
          <w:rFonts w:hint="eastAsia"/>
        </w:rPr>
      </w:pPr>
    </w:p>
    <w:p w14:paraId="53E526CF">
      <w:pPr>
        <w:pStyle w:val="27"/>
        <w:rPr>
          <w:rFonts w:hint="eastAsia"/>
        </w:rPr>
      </w:pPr>
    </w:p>
    <w:p w14:paraId="654FC907">
      <w:pPr>
        <w:pStyle w:val="27"/>
        <w:rPr>
          <w:rFonts w:hint="eastAsia"/>
        </w:rPr>
      </w:pPr>
    </w:p>
    <w:p w14:paraId="454DB17C">
      <w:pPr>
        <w:pStyle w:val="27"/>
        <w:rPr>
          <w:rFonts w:hint="eastAsia"/>
        </w:rPr>
      </w:pPr>
    </w:p>
    <w:p w14:paraId="66321CED">
      <w:pPr>
        <w:pStyle w:val="27"/>
        <w:rPr>
          <w:rFonts w:hint="eastAsia"/>
        </w:rPr>
      </w:pPr>
    </w:p>
    <w:p w14:paraId="702CD6E4">
      <w:pPr>
        <w:pStyle w:val="27"/>
        <w:rPr>
          <w:rFonts w:hint="eastAsia"/>
        </w:rPr>
      </w:pPr>
    </w:p>
    <w:p w14:paraId="48ACAC7D">
      <w:pPr>
        <w:pStyle w:val="27"/>
        <w:rPr>
          <w:rFonts w:hint="eastAsia"/>
        </w:rPr>
      </w:pPr>
    </w:p>
    <w:p w14:paraId="603FC059">
      <w:pPr>
        <w:pStyle w:val="27"/>
        <w:rPr>
          <w:rFonts w:hint="eastAsia"/>
        </w:rPr>
      </w:pPr>
    </w:p>
    <w:p w14:paraId="2F876D41">
      <w:pPr>
        <w:pStyle w:val="27"/>
        <w:rPr>
          <w:rFonts w:hint="eastAsia"/>
        </w:rPr>
      </w:pPr>
    </w:p>
    <w:p w14:paraId="06ECFA36">
      <w:pPr>
        <w:pStyle w:val="27"/>
        <w:rPr>
          <w:rFonts w:hint="eastAsia"/>
        </w:rPr>
      </w:pPr>
    </w:p>
    <w:p w14:paraId="5E72BECD">
      <w:pPr>
        <w:pStyle w:val="27"/>
        <w:rPr>
          <w:rFonts w:hint="eastAsia"/>
        </w:rPr>
      </w:pPr>
    </w:p>
    <w:p w14:paraId="572EEE54">
      <w:pPr>
        <w:pStyle w:val="27"/>
        <w:rPr>
          <w:rFonts w:hint="eastAsia"/>
        </w:rPr>
      </w:pPr>
    </w:p>
    <w:p w14:paraId="2A1BD1D9">
      <w:pPr>
        <w:pStyle w:val="27"/>
        <w:rPr>
          <w:rFonts w:hint="eastAsia"/>
        </w:rPr>
      </w:pPr>
    </w:p>
    <w:p w14:paraId="4580E984">
      <w:pPr>
        <w:pStyle w:val="27"/>
        <w:rPr>
          <w:rFonts w:hint="eastAsia"/>
        </w:rPr>
      </w:pPr>
      <w:r>
        <w:rPr>
          <w:rFonts w:hint="eastAsia"/>
        </w:rPr>
        <w:drawing>
          <wp:anchor distT="0" distB="0" distL="114300" distR="114300" simplePos="0" relativeHeight="251663360" behindDoc="0" locked="0" layoutInCell="1" allowOverlap="1">
            <wp:simplePos x="0" y="0"/>
            <wp:positionH relativeFrom="column">
              <wp:posOffset>2543810</wp:posOffset>
            </wp:positionH>
            <wp:positionV relativeFrom="paragraph">
              <wp:posOffset>118110</wp:posOffset>
            </wp:positionV>
            <wp:extent cx="353060" cy="255905"/>
            <wp:effectExtent l="0" t="0" r="8890" b="10795"/>
            <wp:wrapNone/>
            <wp:docPr id="3" name="图片 3"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_尚昊 标"/>
                    <pic:cNvPicPr>
                      <a:picLocks noChangeAspect="1"/>
                    </pic:cNvPicPr>
                  </pic:nvPicPr>
                  <pic:blipFill>
                    <a:blip r:embed="rId29"/>
                    <a:stretch>
                      <a:fillRect/>
                    </a:stretch>
                  </pic:blipFill>
                  <pic:spPr>
                    <a:xfrm>
                      <a:off x="0" y="0"/>
                      <a:ext cx="353060" cy="255905"/>
                    </a:xfrm>
                    <a:prstGeom prst="rect">
                      <a:avLst/>
                    </a:prstGeom>
                  </pic:spPr>
                </pic:pic>
              </a:graphicData>
            </a:graphic>
          </wp:anchor>
        </w:drawing>
      </w:r>
    </w:p>
    <w:p w14:paraId="1F069EB6">
      <w:pPr>
        <w:spacing w:line="440" w:lineRule="exact"/>
        <w:jc w:val="both"/>
        <w:rPr>
          <w:rFonts w:hint="eastAsia"/>
          <w:sz w:val="32"/>
          <w:szCs w:val="32"/>
        </w:rPr>
      </w:pPr>
      <w:r>
        <w:rPr>
          <w:rFonts w:hint="eastAsia"/>
          <w:sz w:val="32"/>
          <w:szCs w:val="32"/>
        </w:rPr>
        <w:t>安康尚昊招标代理有限公司</w:t>
      </w:r>
    </w:p>
    <w:p w14:paraId="36D3FB20">
      <w:pPr>
        <w:spacing w:line="440" w:lineRule="exact"/>
        <w:jc w:val="center"/>
        <w:rPr>
          <w:rFonts w:hint="eastAsia"/>
          <w:sz w:val="32"/>
          <w:szCs w:val="32"/>
        </w:rPr>
      </w:pPr>
      <w:r>
        <w:rPr>
          <w:rFonts w:hint="eastAsia"/>
          <w:sz w:val="32"/>
          <w:szCs w:val="32"/>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cKp9jTAAAABgEAAA8AAAAAAAAAAQAgAAAAIgAAAGRycy9kb3ducmV2LnhtbFBLAQIUABQA&#10;AAAIAIdO4kAGz2ya9QEAAOUDAAAOAAAAAAAAAAEAIAAAACIBAABkcnMvZTJvRG9jLnhtbFBLBQYA&#10;AAAABgAGAFkBAACJBQAAAAA=&#10;">
                <v:fill on="f" focussize="0,0"/>
                <v:stroke weight="1.5pt" color="#000000" joinstyle="round"/>
                <v:imagedata o:title=""/>
                <o:lock v:ext="edit" aspectratio="f"/>
              </v:line>
            </w:pict>
          </mc:Fallback>
        </mc:AlternateContent>
      </w:r>
    </w:p>
    <w:p w14:paraId="6503E5FC">
      <w:pPr>
        <w:autoSpaceDE w:val="0"/>
        <w:autoSpaceDN w:val="0"/>
        <w:spacing w:line="440" w:lineRule="exact"/>
        <w:ind w:firstLine="129" w:firstLineChars="50"/>
        <w:rPr>
          <w:rFonts w:hint="eastAsia" w:hAnsi="宋体"/>
          <w:spacing w:val="-6"/>
          <w:sz w:val="24"/>
          <w:szCs w:val="24"/>
          <w:lang w:val="en-US" w:eastAsia="zh-CN"/>
        </w:rPr>
      </w:pPr>
      <w:r>
        <w:rPr>
          <w:rFonts w:hint="eastAsia" w:hAnsi="宋体"/>
          <w:spacing w:val="9"/>
          <w:w w:val="100"/>
          <w:kern w:val="0"/>
          <w:sz w:val="24"/>
          <w:szCs w:val="24"/>
          <w:fitText w:val="1050" w:id="1936280221"/>
        </w:rPr>
        <w:t xml:space="preserve">地    </w:t>
      </w:r>
      <w:r>
        <w:rPr>
          <w:rFonts w:hint="eastAsia" w:hAnsi="宋体"/>
          <w:spacing w:val="0"/>
          <w:w w:val="100"/>
          <w:kern w:val="0"/>
          <w:sz w:val="24"/>
          <w:szCs w:val="24"/>
          <w:fitText w:val="1050" w:id="1936280221"/>
        </w:rPr>
        <w:t>址</w:t>
      </w:r>
      <w:r>
        <w:rPr>
          <w:rFonts w:hint="eastAsia" w:hAnsi="宋体"/>
          <w:spacing w:val="-6"/>
          <w:sz w:val="24"/>
          <w:szCs w:val="24"/>
        </w:rPr>
        <w:t>：</w:t>
      </w:r>
      <w:r>
        <w:rPr>
          <w:rFonts w:hint="eastAsia" w:hAnsi="宋体"/>
          <w:spacing w:val="-6"/>
          <w:sz w:val="24"/>
          <w:szCs w:val="24"/>
          <w:lang w:val="en-US" w:eastAsia="zh-CN"/>
        </w:rPr>
        <w:t>安康市高新区高新观澜8幢2单元801室</w:t>
      </w:r>
    </w:p>
    <w:p w14:paraId="3B02E2D1">
      <w:pPr>
        <w:autoSpaceDE w:val="0"/>
        <w:autoSpaceDN w:val="0"/>
        <w:spacing w:line="440" w:lineRule="exact"/>
        <w:ind w:firstLine="129" w:firstLineChars="50"/>
        <w:rPr>
          <w:rFonts w:hint="eastAsia" w:hAnsi="宋体"/>
          <w:sz w:val="24"/>
          <w:szCs w:val="24"/>
        </w:rPr>
      </w:pPr>
      <w:r>
        <w:rPr>
          <w:rFonts w:hint="eastAsia" w:hAnsi="宋体"/>
          <w:spacing w:val="9"/>
          <w:w w:val="100"/>
          <w:kern w:val="0"/>
          <w:sz w:val="24"/>
          <w:szCs w:val="24"/>
          <w:fitText w:val="1050" w:id="724858664"/>
        </w:rPr>
        <w:t xml:space="preserve">邮    </w:t>
      </w:r>
      <w:r>
        <w:rPr>
          <w:rFonts w:hint="eastAsia" w:hAnsi="宋体"/>
          <w:spacing w:val="0"/>
          <w:w w:val="100"/>
          <w:kern w:val="0"/>
          <w:sz w:val="24"/>
          <w:szCs w:val="24"/>
          <w:fitText w:val="1050" w:id="724858664"/>
        </w:rPr>
        <w:t>编</w:t>
      </w:r>
      <w:r>
        <w:rPr>
          <w:rFonts w:hint="eastAsia" w:hAnsi="宋体"/>
          <w:sz w:val="24"/>
          <w:szCs w:val="24"/>
        </w:rPr>
        <w:t>：725000</w:t>
      </w:r>
    </w:p>
    <w:p w14:paraId="4322F5F7">
      <w:pPr>
        <w:autoSpaceDE w:val="0"/>
        <w:autoSpaceDN w:val="0"/>
        <w:spacing w:line="440" w:lineRule="exact"/>
        <w:ind w:firstLine="129" w:firstLineChars="50"/>
        <w:rPr>
          <w:rFonts w:hint="default" w:hAnsi="宋体" w:eastAsia="宋体"/>
          <w:sz w:val="24"/>
          <w:szCs w:val="24"/>
          <w:lang w:val="en-US" w:eastAsia="zh-CN"/>
        </w:rPr>
      </w:pPr>
      <w:r>
        <w:rPr>
          <w:rFonts w:hint="eastAsia" w:hAnsi="宋体"/>
          <w:spacing w:val="9"/>
          <w:w w:val="100"/>
          <w:kern w:val="0"/>
          <w:sz w:val="24"/>
          <w:szCs w:val="24"/>
          <w:fitText w:val="1050" w:id="1093690409"/>
        </w:rPr>
        <w:t xml:space="preserve">电    </w:t>
      </w:r>
      <w:r>
        <w:rPr>
          <w:rFonts w:hint="eastAsia" w:hAnsi="宋体"/>
          <w:spacing w:val="0"/>
          <w:w w:val="100"/>
          <w:kern w:val="0"/>
          <w:sz w:val="24"/>
          <w:szCs w:val="24"/>
          <w:fitText w:val="1050" w:id="1093690409"/>
        </w:rPr>
        <w:t>话</w:t>
      </w:r>
      <w:r>
        <w:rPr>
          <w:rFonts w:hint="eastAsia" w:hAnsi="宋体"/>
          <w:sz w:val="24"/>
          <w:szCs w:val="24"/>
        </w:rPr>
        <w:t>：</w:t>
      </w:r>
      <w:r>
        <w:rPr>
          <w:rFonts w:hint="eastAsia" w:hAnsi="宋体"/>
          <w:sz w:val="24"/>
          <w:szCs w:val="24"/>
          <w:lang w:val="en-US" w:eastAsia="zh-CN"/>
        </w:rPr>
        <w:t>15991480332</w:t>
      </w:r>
    </w:p>
    <w:p w14:paraId="2A85A8AB">
      <w:pPr>
        <w:autoSpaceDE w:val="0"/>
        <w:autoSpaceDN w:val="0"/>
        <w:spacing w:line="440" w:lineRule="exact"/>
        <w:ind w:firstLine="135" w:firstLineChars="50"/>
        <w:rPr>
          <w:rFonts w:hint="eastAsia" w:hAnsi="宋体"/>
          <w:sz w:val="24"/>
          <w:szCs w:val="24"/>
        </w:rPr>
      </w:pPr>
      <w:r>
        <w:rPr>
          <w:rFonts w:hint="eastAsia" w:hAnsi="宋体"/>
          <w:spacing w:val="15"/>
          <w:w w:val="100"/>
          <w:kern w:val="0"/>
          <w:sz w:val="24"/>
          <w:szCs w:val="24"/>
          <w:fitText w:val="1050" w:id="1382890708"/>
          <w:lang w:eastAsia="zh-CN"/>
        </w:rPr>
        <w:t>公司名</w:t>
      </w:r>
      <w:r>
        <w:rPr>
          <w:rFonts w:hint="eastAsia" w:hAnsi="宋体"/>
          <w:spacing w:val="0"/>
          <w:w w:val="100"/>
          <w:kern w:val="0"/>
          <w:sz w:val="24"/>
          <w:szCs w:val="24"/>
          <w:fitText w:val="1050" w:id="1382890708"/>
          <w:lang w:eastAsia="zh-CN"/>
        </w:rPr>
        <w:t>称</w:t>
      </w:r>
      <w:r>
        <w:rPr>
          <w:rFonts w:hint="eastAsia" w:hAnsi="宋体"/>
          <w:sz w:val="24"/>
          <w:szCs w:val="24"/>
        </w:rPr>
        <w:t>：安康尚昊招标代理有限公司</w:t>
      </w:r>
    </w:p>
    <w:p w14:paraId="542BFA95">
      <w:pPr>
        <w:autoSpaceDE w:val="0"/>
        <w:autoSpaceDN w:val="0"/>
        <w:spacing w:line="440" w:lineRule="exact"/>
        <w:ind w:firstLine="135" w:firstLineChars="50"/>
        <w:rPr>
          <w:rFonts w:hint="eastAsia" w:hAnsi="宋体"/>
          <w:sz w:val="24"/>
          <w:szCs w:val="24"/>
        </w:rPr>
      </w:pPr>
      <w:r>
        <w:rPr>
          <w:rFonts w:hint="eastAsia" w:hAnsi="宋体"/>
          <w:spacing w:val="15"/>
          <w:w w:val="100"/>
          <w:kern w:val="0"/>
          <w:sz w:val="24"/>
          <w:szCs w:val="24"/>
          <w:fitText w:val="1050" w:id="610825726"/>
        </w:rPr>
        <w:t>开户银</w:t>
      </w:r>
      <w:r>
        <w:rPr>
          <w:rFonts w:hint="eastAsia" w:hAnsi="宋体"/>
          <w:spacing w:val="0"/>
          <w:w w:val="100"/>
          <w:kern w:val="0"/>
          <w:sz w:val="24"/>
          <w:szCs w:val="24"/>
          <w:fitText w:val="1050" w:id="610825726"/>
        </w:rPr>
        <w:t>行</w:t>
      </w:r>
      <w:r>
        <w:rPr>
          <w:rFonts w:hint="eastAsia" w:hAnsi="宋体"/>
          <w:sz w:val="24"/>
          <w:szCs w:val="24"/>
        </w:rPr>
        <w:t>：中国建设银行股份有限公司安康分行营业部</w:t>
      </w:r>
    </w:p>
    <w:p w14:paraId="53902C04">
      <w:pPr>
        <w:autoSpaceDE w:val="0"/>
        <w:autoSpaceDN w:val="0"/>
        <w:spacing w:line="440" w:lineRule="exact"/>
        <w:ind w:firstLine="129" w:firstLineChars="50"/>
        <w:rPr>
          <w:rFonts w:hint="eastAsia" w:hAnsi="宋体"/>
          <w:sz w:val="24"/>
          <w:szCs w:val="24"/>
        </w:rPr>
      </w:pPr>
      <w:r>
        <w:rPr>
          <w:rFonts w:hint="eastAsia" w:hAnsi="宋体"/>
          <w:spacing w:val="9"/>
          <w:w w:val="100"/>
          <w:kern w:val="0"/>
          <w:sz w:val="24"/>
          <w:szCs w:val="24"/>
          <w:fitText w:val="1050" w:id="135150406"/>
        </w:rPr>
        <w:t xml:space="preserve">账    </w:t>
      </w:r>
      <w:r>
        <w:rPr>
          <w:rFonts w:hint="eastAsia" w:hAnsi="宋体"/>
          <w:spacing w:val="0"/>
          <w:w w:val="100"/>
          <w:kern w:val="0"/>
          <w:sz w:val="24"/>
          <w:szCs w:val="24"/>
          <w:fitText w:val="1050" w:id="135150406"/>
        </w:rPr>
        <w:t>号</w:t>
      </w:r>
      <w:r>
        <w:rPr>
          <w:rFonts w:hint="eastAsia" w:hAnsi="宋体"/>
          <w:sz w:val="24"/>
          <w:szCs w:val="24"/>
        </w:rPr>
        <w:t>：</w:t>
      </w:r>
      <w:r>
        <w:rPr>
          <w:rFonts w:hint="eastAsia" w:ascii="宋体" w:hAnsi="宋体" w:cs="宋体"/>
          <w:sz w:val="24"/>
          <w:szCs w:val="28"/>
        </w:rPr>
        <w:t>61050166371100000492</w:t>
      </w:r>
      <w:r>
        <w:rPr>
          <w:rFonts w:hint="eastAsia" w:hAnsi="宋体"/>
          <w:sz w:val="24"/>
          <w:szCs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6" name="直接连接符 6"/>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i+1gLTAAAABgEAAA8AAAAAAAAAAQAgAAAAIgAAAGRycy9kb3ducmV2LnhtbFBLAQIUABQA&#10;AAAIAIdO4kCtAgsl9QEAAOUDAAAOAAAAAAAAAAEAIAAAACIBAABkcnMvZTJvRG9jLnhtbFBLBQYA&#10;AAAABgAGAFkBAACJBQAAAAA=&#10;">
                <v:fill on="f" focussize="0,0"/>
                <v:stroke weight="1.5pt" color="#000000" joinstyle="round"/>
                <v:imagedata o:title=""/>
                <o:lock v:ext="edit" aspectratio="f"/>
              </v:line>
            </w:pict>
          </mc:Fallback>
        </mc:AlternateContent>
      </w:r>
    </w:p>
    <w:p w14:paraId="6271D4F2">
      <w:pPr>
        <w:pStyle w:val="67"/>
      </w:pPr>
    </w:p>
    <w:sectPr>
      <w:footerReference r:id="rId27" w:type="first"/>
      <w:footerReference r:id="rId26" w:type="default"/>
      <w:pgSz w:w="11905" w:h="16838"/>
      <w:pgMar w:top="1304" w:right="1304" w:bottom="1304" w:left="1304" w:header="907" w:footer="879" w:gutter="0"/>
      <w:pgNumType w:fmt="decimal"/>
      <w:cols w:space="0" w:num="1"/>
      <w:titlePg/>
      <w:rtlGutter w:val="0"/>
      <w:docGrid w:type="lines" w:linePitch="323"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熊律师" w:date="2026-08-07T12:21:00Z" w:initials="">
    <w:p w14:paraId="3D8A8DCE">
      <w:r>
        <w:rPr>
          <w:rFonts w:ascii="宋体" w:hAnsi="宋体" w:eastAsia="宋体" w:cs="宋体"/>
          <w:color w:val="0000FF"/>
          <w:kern w:val="0"/>
          <w:sz w:val="24"/>
        </w:rPr>
        <w:t>【提示】项目及主体信息未填写</w:t>
      </w:r>
      <w:r>
        <w:rPr>
          <w:rFonts w:ascii="宋体" w:hAnsi="宋体" w:eastAsia="宋体" w:cs="宋体"/>
          <w:color w:val="0000FF"/>
          <w:kern w:val="0"/>
          <w:sz w:val="24"/>
        </w:rPr>
        <w:br w:type="textWrapping"/>
      </w:r>
      <w:r>
        <w:rPr>
          <w:rFonts w:ascii="宋体" w:hAnsi="宋体" w:eastAsia="宋体" w:cs="宋体"/>
          <w:color w:val="0000FF"/>
          <w:kern w:val="0"/>
          <w:sz w:val="24"/>
        </w:rPr>
        <w:t>【说明】项目名称、采购文件编号及甲乙双方主体信息均为空，将导致合同当事人和交易标的不明确。建议签署前补充完整，以避免甲方在履约、付款及争议处理中无法准确确认合同关系。</w:t>
      </w:r>
    </w:p>
  </w:comment>
  <w:comment w:id="1" w:author="熊律师" w:date="2026-08-07T12:25:00Z" w:initials="">
    <w:p w14:paraId="1E040A35">
      <w:r>
        <w:rPr>
          <w:rFonts w:ascii="宋体" w:hAnsi="宋体" w:eastAsia="宋体" w:cs="宋体"/>
          <w:color w:val="0000FF"/>
          <w:kern w:val="0"/>
          <w:sz w:val="24"/>
        </w:rPr>
        <w:t>【提示】乙方资质需核实</w:t>
      </w:r>
      <w:r>
        <w:rPr>
          <w:rFonts w:ascii="宋体" w:hAnsi="宋体" w:eastAsia="宋体" w:cs="宋体"/>
          <w:color w:val="0000FF"/>
          <w:kern w:val="0"/>
          <w:sz w:val="24"/>
        </w:rPr>
        <w:br w:type="textWrapping"/>
      </w:r>
      <w:r>
        <w:rPr>
          <w:rFonts w:ascii="宋体" w:hAnsi="宋体" w:eastAsia="宋体" w:cs="宋体"/>
          <w:color w:val="0000FF"/>
          <w:kern w:val="0"/>
          <w:sz w:val="24"/>
        </w:rPr>
        <w:t>【说明】乙方主体信息为空，甲方应核实其是否具备与本工程规模、类型相匹配的施工承包资质及安全生产许可证等合法从业资格，避免因主体资质不符合要求影响合同效力及工程推进。</w:t>
      </w:r>
    </w:p>
  </w:comment>
  <w:comment w:id="3" w:author="熊律师" w:date="2026-08-07T12:33:00Z" w:initials="">
    <w:p w14:paraId="08733034">
      <w:r>
        <w:rPr>
          <w:rFonts w:ascii="宋体" w:hAnsi="宋体" w:eastAsia="宋体" w:cs="宋体"/>
          <w:kern w:val="0"/>
          <w:sz w:val="24"/>
        </w:rPr>
        <w:t>【风险点】存在相关法规失效风险</w:t>
      </w:r>
      <w:r>
        <w:rPr>
          <w:rFonts w:ascii="宋体" w:hAnsi="宋体" w:eastAsia="宋体" w:cs="宋体"/>
          <w:kern w:val="0"/>
          <w:sz w:val="24"/>
        </w:rPr>
        <w:br w:type="textWrapping"/>
      </w:r>
      <w:r>
        <w:rPr>
          <w:rFonts w:ascii="宋体" w:hAnsi="宋体" w:eastAsia="宋体" w:cs="宋体"/>
          <w:kern w:val="0"/>
          <w:sz w:val="24"/>
        </w:rPr>
        <w:t>【说明】法规《中华人民共和国合同法》失效</w:t>
      </w:r>
      <w:r>
        <w:rPr>
          <w:rFonts w:ascii="宋体" w:hAnsi="宋体" w:eastAsia="宋体" w:cs="宋体"/>
          <w:kern w:val="0"/>
          <w:sz w:val="24"/>
        </w:rPr>
        <w:br w:type="textWrapping"/>
      </w:r>
      <w:r>
        <w:rPr>
          <w:rFonts w:ascii="宋体" w:hAnsi="宋体" w:eastAsia="宋体" w:cs="宋体"/>
          <w:kern w:val="0"/>
          <w:sz w:val="24"/>
        </w:rPr>
        <w:t>【修改建议】《中华人民共和国</w:t>
      </w:r>
      <w:r>
        <w:rPr>
          <w:rFonts w:ascii="宋体" w:hAnsi="宋体" w:eastAsia="宋体" w:cs="宋体"/>
          <w:strike/>
          <w:color w:val="999999"/>
          <w:kern w:val="0"/>
          <w:sz w:val="24"/>
        </w:rPr>
        <w:t>合同</w:t>
      </w:r>
      <w:r>
        <w:rPr>
          <w:rFonts w:ascii="宋体" w:hAnsi="宋体" w:eastAsia="宋体" w:cs="宋体"/>
          <w:color w:val="FF0000"/>
          <w:kern w:val="0"/>
          <w:sz w:val="24"/>
        </w:rPr>
        <w:t>民</w:t>
      </w:r>
      <w:r>
        <w:rPr>
          <w:rFonts w:ascii="宋体" w:hAnsi="宋体" w:eastAsia="宋体" w:cs="宋体"/>
          <w:kern w:val="0"/>
          <w:sz w:val="24"/>
        </w:rPr>
        <w:t>法</w:t>
      </w:r>
      <w:r>
        <w:rPr>
          <w:rFonts w:ascii="宋体" w:hAnsi="宋体" w:eastAsia="宋体" w:cs="宋体"/>
          <w:color w:val="FF0000"/>
          <w:kern w:val="0"/>
          <w:sz w:val="24"/>
        </w:rPr>
        <w:t>典</w:t>
      </w:r>
      <w:r>
        <w:rPr>
          <w:rFonts w:ascii="宋体" w:hAnsi="宋体" w:eastAsia="宋体" w:cs="宋体"/>
          <w:kern w:val="0"/>
          <w:sz w:val="24"/>
        </w:rPr>
        <w:t>》</w:t>
      </w:r>
    </w:p>
  </w:comment>
  <w:comment w:id="2" w:author="熊律师" w:date="2026-08-07T12:29:00Z" w:initials="">
    <w:p w14:paraId="29B6A607">
      <w:r>
        <w:rPr>
          <w:rFonts w:ascii="宋体" w:hAnsi="宋体" w:eastAsia="宋体" w:cs="宋体"/>
          <w:color w:val="0000FF"/>
          <w:kern w:val="0"/>
          <w:sz w:val="24"/>
        </w:rPr>
        <w:t>【提示】法律依据已废止</w:t>
      </w:r>
      <w:r>
        <w:rPr>
          <w:rFonts w:ascii="宋体" w:hAnsi="宋体" w:eastAsia="宋体" w:cs="宋体"/>
          <w:color w:val="0000FF"/>
          <w:kern w:val="0"/>
          <w:sz w:val="24"/>
        </w:rPr>
        <w:br w:type="textWrapping"/>
      </w:r>
      <w:r>
        <w:rPr>
          <w:rFonts w:ascii="宋体" w:hAnsi="宋体" w:eastAsia="宋体" w:cs="宋体"/>
          <w:color w:val="0000FF"/>
          <w:kern w:val="0"/>
          <w:sz w:val="24"/>
        </w:rPr>
        <w:t>【说明】合同引言引用的《中华人民共和国合同法》已废止，建议核实并替换为现行有效的法律依据，避免合同依据表述失效或不准确。</w:t>
      </w:r>
    </w:p>
  </w:comment>
  <w:comment w:id="4" w:author="熊律师" w:date="2026-08-07T12:37:00Z" w:initials="">
    <w:p w14:paraId="4E608E44">
      <w:r>
        <w:rPr>
          <w:rFonts w:ascii="宋体" w:hAnsi="宋体" w:eastAsia="宋体" w:cs="宋体"/>
          <w:color w:val="0000FF"/>
          <w:kern w:val="0"/>
          <w:sz w:val="24"/>
        </w:rPr>
        <w:t>【提示】补全工程基本信息</w:t>
      </w:r>
      <w:r>
        <w:rPr>
          <w:rFonts w:ascii="宋体" w:hAnsi="宋体" w:eastAsia="宋体" w:cs="宋体"/>
          <w:color w:val="0000FF"/>
          <w:kern w:val="0"/>
          <w:sz w:val="24"/>
        </w:rPr>
        <w:br w:type="textWrapping"/>
      </w:r>
      <w:r>
        <w:rPr>
          <w:rFonts w:ascii="宋体" w:hAnsi="宋体" w:eastAsia="宋体" w:cs="宋体"/>
          <w:color w:val="0000FF"/>
          <w:kern w:val="0"/>
          <w:sz w:val="24"/>
        </w:rPr>
        <w:t>【说明】工程名称、工程地点、资金来源、工程内容及性质、工程立项批准文号均未填写，可能导致工程范围、建设地点及项目合法性依据不明确，增加履约和管理争议，签署前应核实并补全相关信息。</w:t>
      </w:r>
    </w:p>
  </w:comment>
  <w:comment w:id="5" w:author="熊律师" w:date="2026-08-07T12:41:00Z" w:initials="">
    <w:p w14:paraId="41C32017">
      <w:r>
        <w:rPr>
          <w:rFonts w:ascii="宋体" w:hAnsi="宋体" w:eastAsia="宋体" w:cs="宋体"/>
          <w:color w:val="0000FF"/>
          <w:kern w:val="0"/>
          <w:sz w:val="24"/>
        </w:rPr>
        <w:t>【提示】承包范围及方式缺失</w:t>
      </w:r>
      <w:r>
        <w:rPr>
          <w:rFonts w:ascii="宋体" w:hAnsi="宋体" w:eastAsia="宋体" w:cs="宋体"/>
          <w:color w:val="0000FF"/>
          <w:kern w:val="0"/>
          <w:sz w:val="24"/>
        </w:rPr>
        <w:br w:type="textWrapping"/>
      </w:r>
      <w:r>
        <w:rPr>
          <w:rFonts w:ascii="宋体" w:hAnsi="宋体" w:eastAsia="宋体" w:cs="宋体"/>
          <w:color w:val="0000FF"/>
          <w:kern w:val="0"/>
          <w:sz w:val="24"/>
        </w:rPr>
        <w:t>【说明】承包范围和承包方式直接决定乙方施工义务、甲方付款边界及工程成本控制。当前内容为空，可能引发施工漏项、增项及结算争议，建议明确后再签署。</w:t>
      </w:r>
    </w:p>
  </w:comment>
  <w:comment w:id="6" w:author="熊律师" w:date="2026-08-07T12:44:00Z" w:initials="">
    <w:p w14:paraId="7A1771BF">
      <w:r>
        <w:rPr>
          <w:rFonts w:ascii="宋体" w:hAnsi="宋体" w:eastAsia="宋体" w:cs="宋体"/>
          <w:color w:val="0000FF"/>
          <w:kern w:val="0"/>
          <w:sz w:val="24"/>
        </w:rPr>
        <w:t>【提示】工期信息未明确</w:t>
      </w:r>
      <w:r>
        <w:rPr>
          <w:rFonts w:ascii="宋体" w:hAnsi="宋体" w:eastAsia="宋体" w:cs="宋体"/>
          <w:color w:val="0000FF"/>
          <w:kern w:val="0"/>
          <w:sz w:val="24"/>
        </w:rPr>
        <w:br w:type="textWrapping"/>
      </w:r>
      <w:r>
        <w:rPr>
          <w:rFonts w:ascii="宋体" w:hAnsi="宋体" w:eastAsia="宋体" w:cs="宋体"/>
          <w:color w:val="0000FF"/>
          <w:kern w:val="0"/>
          <w:sz w:val="24"/>
        </w:rPr>
        <w:t>【说明】开工日期、竣工日期及合同工期总日历天数均未明确，无法确定工期起止及乙方按期完工义务，不利于甲方进行进度管理和追究逾期责任。</w:t>
      </w:r>
    </w:p>
  </w:comment>
  <w:comment w:id="7" w:author="熊律师" w:date="2026-08-07T12:48:00Z" w:initials="">
    <w:p w14:paraId="04ABC0F7">
      <w:r>
        <w:rPr>
          <w:rFonts w:ascii="宋体" w:hAnsi="宋体" w:eastAsia="宋体" w:cs="宋体"/>
          <w:color w:val="0000FF"/>
          <w:kern w:val="0"/>
          <w:sz w:val="24"/>
        </w:rPr>
        <w:t>【提示】工程质量标准未明确</w:t>
      </w:r>
      <w:r>
        <w:rPr>
          <w:rFonts w:ascii="宋体" w:hAnsi="宋体" w:eastAsia="宋体" w:cs="宋体"/>
          <w:color w:val="0000FF"/>
          <w:kern w:val="0"/>
          <w:sz w:val="24"/>
        </w:rPr>
        <w:br w:type="textWrapping"/>
      </w:r>
      <w:r>
        <w:rPr>
          <w:rFonts w:ascii="宋体" w:hAnsi="宋体" w:eastAsia="宋体" w:cs="宋体"/>
          <w:color w:val="0000FF"/>
          <w:kern w:val="0"/>
          <w:sz w:val="24"/>
        </w:rPr>
        <w:t>【说明】工程质量标准未明确，可能导致竣工验收依据、乙方质量责任及保修责任认定不清，影响甲方对工程质量的控制；应结合工程性质明确适用的质量标准。</w:t>
      </w:r>
    </w:p>
  </w:comment>
  <w:comment w:id="8" w:author="熊律师" w:date="2026-08-07T12:52:00Z" w:initials="">
    <w:p w14:paraId="1DCE929C">
      <w:r>
        <w:rPr>
          <w:rFonts w:ascii="宋体" w:hAnsi="宋体" w:eastAsia="宋体" w:cs="宋体"/>
          <w:color w:val="0000FF"/>
          <w:kern w:val="0"/>
          <w:sz w:val="24"/>
        </w:rPr>
        <w:t>【提示】合同价款及大写金额缺失</w:t>
      </w:r>
      <w:r>
        <w:rPr>
          <w:rFonts w:ascii="宋体" w:hAnsi="宋体" w:eastAsia="宋体" w:cs="宋体"/>
          <w:color w:val="0000FF"/>
          <w:kern w:val="0"/>
          <w:sz w:val="24"/>
        </w:rPr>
        <w:br w:type="textWrapping"/>
      </w:r>
      <w:r>
        <w:rPr>
          <w:rFonts w:ascii="宋体" w:hAnsi="宋体" w:eastAsia="宋体" w:cs="宋体"/>
          <w:color w:val="0000FF"/>
          <w:kern w:val="0"/>
          <w:sz w:val="24"/>
        </w:rPr>
        <w:t>【说明】合同价款及大写金额均未填写，价款属于合同核心内容，可能导致付款、结算及工程投资控制缺乏明确依据，影响甲方资金安排和结算管理，应核对并补全。</w:t>
      </w:r>
    </w:p>
  </w:comment>
  <w:comment w:id="9" w:author="熊律师" w:date="2026-08-07T12:56:00Z" w:initials="">
    <w:p w14:paraId="72D34AD7">
      <w:r>
        <w:rPr>
          <w:rFonts w:ascii="宋体" w:hAnsi="宋体" w:eastAsia="宋体" w:cs="宋体"/>
          <w:color w:val="0000FF"/>
          <w:kern w:val="0"/>
          <w:sz w:val="24"/>
        </w:rPr>
        <w:t>【提示】合同文件未勾选</w:t>
      </w:r>
      <w:r>
        <w:rPr>
          <w:rFonts w:ascii="宋体" w:hAnsi="宋体" w:eastAsia="宋体" w:cs="宋体"/>
          <w:color w:val="0000FF"/>
          <w:kern w:val="0"/>
          <w:sz w:val="24"/>
        </w:rPr>
        <w:br w:type="textWrapping"/>
      </w:r>
      <w:r>
        <w:rPr>
          <w:rFonts w:ascii="宋体" w:hAnsi="宋体" w:eastAsia="宋体" w:cs="宋体"/>
          <w:color w:val="0000FF"/>
          <w:kern w:val="0"/>
          <w:sz w:val="24"/>
        </w:rPr>
        <w:t>【说明】合同文件组成及适用文件未完成勾选，可能导致招标文件、投标文件、图纸及技术资料是否构成合同依据发生争议，甲方应明确文件范围及效力顺序。</w:t>
      </w:r>
    </w:p>
  </w:comment>
  <w:comment w:id="10" w:author="熊律师" w:date="2026-08-07T12:59:00Z" w:initials="">
    <w:p w14:paraId="554E3EE4">
      <w:r>
        <w:rPr>
          <w:rFonts w:ascii="宋体" w:hAnsi="宋体" w:eastAsia="宋体" w:cs="宋体"/>
          <w:color w:val="0000FF"/>
          <w:kern w:val="0"/>
          <w:sz w:val="24"/>
        </w:rPr>
        <w:t>【提示】合同文件未勾选</w:t>
      </w:r>
      <w:r>
        <w:rPr>
          <w:rFonts w:ascii="宋体" w:hAnsi="宋体" w:eastAsia="宋体" w:cs="宋体"/>
          <w:color w:val="0000FF"/>
          <w:kern w:val="0"/>
          <w:sz w:val="24"/>
        </w:rPr>
        <w:br w:type="textWrapping"/>
      </w:r>
      <w:r>
        <w:rPr>
          <w:rFonts w:ascii="宋体" w:hAnsi="宋体" w:eastAsia="宋体" w:cs="宋体"/>
          <w:color w:val="0000FF"/>
          <w:kern w:val="0"/>
          <w:sz w:val="24"/>
        </w:rPr>
        <w:t>【说明】图纸、工程量清单及报价或预算书的组成效力尚未明确，可能影响工程范围和结算依据，建议完成勾选并核对附件。</w:t>
      </w:r>
    </w:p>
  </w:comment>
  <w:comment w:id="11" w:author="熊律师" w:date="2026-08-07T13:03:00Z" w:initials="">
    <w:p w14:paraId="3C631A84">
      <w:r>
        <w:rPr>
          <w:rFonts w:ascii="宋体" w:hAnsi="宋体" w:eastAsia="宋体" w:cs="宋体"/>
          <w:color w:val="0000FF"/>
          <w:kern w:val="0"/>
          <w:sz w:val="24"/>
        </w:rPr>
        <w:t>【提示】保修书签章信息为空</w:t>
      </w:r>
      <w:r>
        <w:rPr>
          <w:rFonts w:ascii="宋体" w:hAnsi="宋体" w:eastAsia="宋体" w:cs="宋体"/>
          <w:color w:val="0000FF"/>
          <w:kern w:val="0"/>
          <w:sz w:val="24"/>
        </w:rPr>
        <w:br w:type="textWrapping"/>
      </w:r>
      <w:r>
        <w:rPr>
          <w:rFonts w:ascii="宋体" w:hAnsi="宋体" w:eastAsia="宋体" w:cs="宋体"/>
          <w:color w:val="0000FF"/>
          <w:kern w:val="0"/>
          <w:sz w:val="24"/>
        </w:rPr>
        <w:t>【说明】保修书地址、法定代表人或授权代表、开户银行及账号等信息未填写，可能影响保修书主体识别和文件完整性，建议签署前补齐。</w:t>
      </w:r>
    </w:p>
  </w:comment>
  <w:comment w:id="12" w:author="熊律师" w:date="2026-08-07T13:11:00Z" w:initials="">
    <w:p w14:paraId="7D9D978D">
      <w:r>
        <w:rPr>
          <w:rFonts w:ascii="宋体" w:hAnsi="宋体" w:eastAsia="宋体" w:cs="宋体"/>
          <w:color w:val="0000FF"/>
          <w:kern w:val="0"/>
          <w:sz w:val="24"/>
        </w:rPr>
        <w:t>【提示】国外标准期限为空</w:t>
      </w:r>
      <w:r>
        <w:rPr>
          <w:rFonts w:ascii="宋体" w:hAnsi="宋体" w:eastAsia="宋体" w:cs="宋体"/>
          <w:color w:val="0000FF"/>
          <w:kern w:val="0"/>
          <w:sz w:val="24"/>
        </w:rPr>
        <w:br w:type="textWrapping"/>
      </w:r>
      <w:r>
        <w:rPr>
          <w:rFonts w:ascii="宋体" w:hAnsi="宋体" w:eastAsia="宋体" w:cs="宋体"/>
          <w:color w:val="0000FF"/>
          <w:kern w:val="0"/>
          <w:sz w:val="24"/>
        </w:rPr>
        <w:t>【说明】国内无相关标准时的技术要求提出期限及施工工艺提交期限未明确，可能影响技术方案确认和工期控制，建议补充具体期限。</w:t>
      </w:r>
    </w:p>
  </w:comment>
  <w:comment w:id="13" w:author="熊律师" w:date="2026-08-07T13:15:00Z" w:initials="">
    <w:p w14:paraId="7C0B6E33">
      <w:r>
        <w:rPr>
          <w:rFonts w:ascii="宋体" w:hAnsi="宋体" w:eastAsia="宋体" w:cs="宋体"/>
          <w:color w:val="0000FF"/>
          <w:kern w:val="0"/>
          <w:sz w:val="24"/>
        </w:rPr>
        <w:t>【提示】监理信息及权限未明确</w:t>
      </w:r>
      <w:r>
        <w:rPr>
          <w:rFonts w:ascii="宋体" w:hAnsi="宋体" w:eastAsia="宋体" w:cs="宋体"/>
          <w:color w:val="0000FF"/>
          <w:kern w:val="0"/>
          <w:sz w:val="24"/>
        </w:rPr>
        <w:br w:type="textWrapping"/>
      </w:r>
      <w:r>
        <w:rPr>
          <w:rFonts w:ascii="宋体" w:hAnsi="宋体" w:eastAsia="宋体" w:cs="宋体"/>
          <w:color w:val="0000FF"/>
          <w:kern w:val="0"/>
          <w:sz w:val="24"/>
        </w:rPr>
        <w:t>【说明】监理单位、监理工程师姓名、职务及主要职权均未明确，可能导致现场管理、质量验收、监理指令来源及责任边界不清，影响工程质量和进度管理；发包人应在实施监理前以书面形式向承包人明确相关信息及权限。</w:t>
      </w:r>
    </w:p>
  </w:comment>
  <w:comment w:id="14" w:author="熊律师" w:date="2026-08-07T13:21:00Z" w:initials="">
    <w:p w14:paraId="1A38D666">
      <w:r>
        <w:rPr>
          <w:rFonts w:ascii="宋体" w:hAnsi="宋体" w:eastAsia="宋体" w:cs="宋体"/>
          <w:color w:val="0000FF"/>
          <w:kern w:val="0"/>
          <w:sz w:val="24"/>
        </w:rPr>
        <w:t>【提示】项目经理信息及权限缺失</w:t>
      </w:r>
      <w:r>
        <w:rPr>
          <w:rFonts w:ascii="宋体" w:hAnsi="宋体" w:eastAsia="宋体" w:cs="宋体"/>
          <w:color w:val="0000FF"/>
          <w:kern w:val="0"/>
          <w:sz w:val="24"/>
        </w:rPr>
        <w:br w:type="textWrapping"/>
      </w:r>
      <w:r>
        <w:rPr>
          <w:rFonts w:ascii="宋体" w:hAnsi="宋体" w:eastAsia="宋体" w:cs="宋体"/>
          <w:color w:val="0000FF"/>
          <w:kern w:val="0"/>
          <w:sz w:val="24"/>
        </w:rPr>
        <w:t>【说明】乙方项目经理的姓名、职务及具体职权尚未明确，不利于甲方确认乙方现场履约代表及其权限范围，可能影响施工管理、现场协调和责任追究。</w:t>
      </w:r>
    </w:p>
  </w:comment>
  <w:comment w:id="15" w:author="熊律师" w:date="2026-08-07T13:25:00Z" w:initials="">
    <w:p w14:paraId="67EE67C9">
      <w:r>
        <w:rPr>
          <w:rFonts w:ascii="宋体" w:hAnsi="宋体" w:eastAsia="宋体" w:cs="宋体"/>
          <w:color w:val="0000FF"/>
          <w:kern w:val="0"/>
          <w:sz w:val="24"/>
        </w:rPr>
        <w:t>【提示】图纸交付期限为空</w:t>
      </w:r>
      <w:r>
        <w:rPr>
          <w:rFonts w:ascii="宋体" w:hAnsi="宋体" w:eastAsia="宋体" w:cs="宋体"/>
          <w:color w:val="0000FF"/>
          <w:kern w:val="0"/>
          <w:sz w:val="24"/>
        </w:rPr>
        <w:br w:type="textWrapping"/>
      </w:r>
      <w:r>
        <w:rPr>
          <w:rFonts w:ascii="宋体" w:hAnsi="宋体" w:eastAsia="宋体" w:cs="宋体"/>
          <w:color w:val="0000FF"/>
          <w:kern w:val="0"/>
          <w:sz w:val="24"/>
        </w:rPr>
        <w:t>【说明】甲方提供图纸及作法说明的期限和份数未填写，可能影响开工条件确认及乙方施工准备，建议明确交付时间和资料份数。</w:t>
      </w:r>
    </w:p>
  </w:comment>
  <w:comment w:id="16" w:author="熊律师" w:date="2026-08-07T13:28:00Z" w:initials="">
    <w:p w14:paraId="387CBEA9">
      <w:r>
        <w:rPr>
          <w:rFonts w:ascii="宋体" w:hAnsi="宋体" w:eastAsia="宋体" w:cs="宋体"/>
          <w:color w:val="0000FF"/>
          <w:kern w:val="0"/>
          <w:sz w:val="24"/>
        </w:rPr>
        <w:t>【提示】施工场地范围为空</w:t>
      </w:r>
      <w:r>
        <w:rPr>
          <w:rFonts w:ascii="宋体" w:hAnsi="宋体" w:eastAsia="宋体" w:cs="宋体"/>
          <w:color w:val="0000FF"/>
          <w:kern w:val="0"/>
          <w:sz w:val="24"/>
        </w:rPr>
        <w:br w:type="textWrapping"/>
      </w:r>
      <w:r>
        <w:rPr>
          <w:rFonts w:ascii="宋体" w:hAnsi="宋体" w:eastAsia="宋体" w:cs="宋体"/>
          <w:color w:val="0000FF"/>
          <w:kern w:val="0"/>
          <w:sz w:val="24"/>
        </w:rPr>
        <w:t>【说明】腾空期限及施工场地、通道范围未明确，可能影响开工安排、现场交付和费用责任划分，建议补充具体期限及范围。</w:t>
      </w:r>
    </w:p>
  </w:comment>
  <w:comment w:id="18" w:author="熊律师" w:date="2026-08-07T13:36:00Z" w:initials="">
    <w:p w14:paraId="41179868">
      <w:r>
        <w:rPr>
          <w:rFonts w:ascii="宋体" w:hAnsi="宋体" w:eastAsia="宋体" w:cs="宋体"/>
          <w:kern w:val="0"/>
          <w:sz w:val="24"/>
        </w:rPr>
        <w:t>【风险点】委托事项缺少书面生效条件</w:t>
      </w:r>
      <w:r>
        <w:rPr>
          <w:rFonts w:ascii="宋体" w:hAnsi="宋体" w:eastAsia="宋体" w:cs="宋体"/>
          <w:kern w:val="0"/>
          <w:sz w:val="24"/>
        </w:rPr>
        <w:br w:type="textWrapping"/>
      </w:r>
      <w:r>
        <w:rPr>
          <w:rFonts w:ascii="宋体" w:hAnsi="宋体" w:eastAsia="宋体" w:cs="宋体"/>
          <w:kern w:val="0"/>
          <w:sz w:val="24"/>
        </w:rPr>
        <w:t>【说明】以书面委托协议作为甲方委托事项的生效条件，可防止乙方未经授权开展工作并向甲方主张费用。</w:t>
      </w:r>
      <w:r>
        <w:rPr>
          <w:rFonts w:ascii="宋体" w:hAnsi="宋体" w:eastAsia="宋体" w:cs="宋体"/>
          <w:kern w:val="0"/>
          <w:sz w:val="24"/>
        </w:rPr>
        <w:br w:type="textWrapping"/>
      </w:r>
      <w:r>
        <w:rPr>
          <w:rFonts w:ascii="宋体" w:hAnsi="宋体" w:eastAsia="宋体" w:cs="宋体"/>
          <w:kern w:val="0"/>
          <w:sz w:val="24"/>
        </w:rPr>
        <w:t>【修改建议】</w:t>
      </w:r>
      <w:r>
        <w:rPr>
          <w:rFonts w:ascii="宋体" w:hAnsi="宋体" w:eastAsia="宋体" w:cs="宋体"/>
          <w:color w:val="FF0000"/>
          <w:kern w:val="0"/>
          <w:sz w:val="24"/>
        </w:rPr>
        <w:t>发包人将部分工作委托承包人办理的，需另行签订书面委托协议后方可生效，未签订书面协议的，乙方不得擅自实施相关工作，否则产生的费用甲方不予承担。</w:t>
      </w:r>
    </w:p>
  </w:comment>
  <w:comment w:id="17" w:author="熊律师" w:date="2026-08-07T13:32:00Z" w:initials="">
    <w:p w14:paraId="22EC230B">
      <w:r>
        <w:rPr>
          <w:rFonts w:ascii="宋体" w:hAnsi="宋体" w:eastAsia="宋体" w:cs="宋体"/>
          <w:color w:val="0000FF"/>
          <w:kern w:val="0"/>
          <w:sz w:val="24"/>
        </w:rPr>
        <w:t>【提示】委托工作内容为空</w:t>
      </w:r>
      <w:r>
        <w:rPr>
          <w:rFonts w:ascii="宋体" w:hAnsi="宋体" w:eastAsia="宋体" w:cs="宋体"/>
          <w:color w:val="0000FF"/>
          <w:kern w:val="0"/>
          <w:sz w:val="24"/>
        </w:rPr>
        <w:br w:type="textWrapping"/>
      </w:r>
      <w:r>
        <w:rPr>
          <w:rFonts w:ascii="宋体" w:hAnsi="宋体" w:eastAsia="宋体" w:cs="宋体"/>
          <w:color w:val="0000FF"/>
          <w:kern w:val="0"/>
          <w:sz w:val="24"/>
        </w:rPr>
        <w:t>【说明】甲方拟委托乙方办理的具体工作内容及费用依据为空，可能导致乙方主张未经明确授权的费用，建议补充并与书面委托协议衔接。</w:t>
      </w:r>
    </w:p>
  </w:comment>
  <w:comment w:id="19" w:author="熊律师" w:date="2026-08-07T13:39:00Z" w:initials="">
    <w:p w14:paraId="433708CD">
      <w:r>
        <w:rPr>
          <w:rFonts w:ascii="宋体" w:hAnsi="宋体" w:eastAsia="宋体" w:cs="宋体"/>
          <w:kern w:val="0"/>
          <w:sz w:val="24"/>
        </w:rPr>
        <w:t>【风险点】明确保护及扰民责任</w:t>
      </w:r>
      <w:r>
        <w:rPr>
          <w:rFonts w:ascii="宋体" w:hAnsi="宋体" w:eastAsia="宋体" w:cs="宋体"/>
          <w:kern w:val="0"/>
          <w:sz w:val="24"/>
        </w:rPr>
        <w:br w:type="textWrapping"/>
      </w:r>
      <w:r>
        <w:rPr>
          <w:rFonts w:ascii="宋体" w:hAnsi="宋体" w:eastAsia="宋体" w:cs="宋体"/>
          <w:kern w:val="0"/>
          <w:sz w:val="24"/>
        </w:rPr>
        <w:t>【说明】明确承包人对其未尽保护义务造成的损坏承担赔偿责任，同时将扰民及周边关系处理明确为配合发包人的工作，避免与发包人负责协调并承担费用的约定发生冲突。</w:t>
      </w:r>
      <w:r>
        <w:rPr>
          <w:rFonts w:ascii="宋体" w:hAnsi="宋体" w:eastAsia="宋体" w:cs="宋体"/>
          <w:kern w:val="0"/>
          <w:sz w:val="24"/>
        </w:rPr>
        <w:br w:type="textWrapping"/>
      </w:r>
      <w:r>
        <w:rPr>
          <w:rFonts w:ascii="宋体" w:hAnsi="宋体" w:eastAsia="宋体" w:cs="宋体"/>
          <w:kern w:val="0"/>
          <w:sz w:val="24"/>
        </w:rPr>
        <w:t>【修改建议】 6．3 按照有关规定，妥善保护好周围建筑物、设备及设备管线、古树名木及施工场地内不易移动的家具、设备、陈设不受损坏</w:t>
      </w:r>
      <w:r>
        <w:rPr>
          <w:rFonts w:ascii="宋体" w:hAnsi="宋体" w:eastAsia="宋体" w:cs="宋体"/>
          <w:color w:val="FF0000"/>
          <w:kern w:val="0"/>
          <w:sz w:val="24"/>
        </w:rPr>
        <w:t>；因承包人未尽到保护义务造成损坏的，由承包人承担相应赔偿责任</w:t>
      </w:r>
      <w:r>
        <w:rPr>
          <w:rFonts w:ascii="宋体" w:hAnsi="宋体" w:eastAsia="宋体" w:cs="宋体"/>
          <w:kern w:val="0"/>
          <w:sz w:val="24"/>
        </w:rPr>
        <w:t>。</w:t>
      </w:r>
      <w:r>
        <w:rPr>
          <w:rFonts w:ascii="宋体" w:hAnsi="宋体" w:eastAsia="宋体" w:cs="宋体"/>
          <w:color w:val="FF0000"/>
          <w:kern w:val="0"/>
          <w:sz w:val="24"/>
        </w:rPr>
        <w:t>承包人应配合发包人</w:t>
      </w:r>
      <w:r>
        <w:rPr>
          <w:rFonts w:ascii="宋体" w:hAnsi="宋体" w:eastAsia="宋体" w:cs="宋体"/>
          <w:kern w:val="0"/>
          <w:sz w:val="24"/>
        </w:rPr>
        <w:t>处理</w:t>
      </w:r>
      <w:r>
        <w:rPr>
          <w:rFonts w:ascii="宋体" w:hAnsi="宋体" w:eastAsia="宋体" w:cs="宋体"/>
          <w:strike/>
          <w:color w:val="999999"/>
          <w:kern w:val="0"/>
          <w:sz w:val="24"/>
        </w:rPr>
        <w:t>好</w:t>
      </w:r>
      <w:r>
        <w:rPr>
          <w:rFonts w:ascii="宋体" w:hAnsi="宋体" w:eastAsia="宋体" w:cs="宋体"/>
          <w:kern w:val="0"/>
          <w:sz w:val="24"/>
        </w:rPr>
        <w:t>因施工带来的扰民问题及</w:t>
      </w:r>
      <w:r>
        <w:rPr>
          <w:rFonts w:ascii="宋体" w:hAnsi="宋体" w:eastAsia="宋体" w:cs="宋体"/>
          <w:color w:val="FF0000"/>
          <w:kern w:val="0"/>
          <w:sz w:val="24"/>
        </w:rPr>
        <w:t>与</w:t>
      </w:r>
      <w:r>
        <w:rPr>
          <w:rFonts w:ascii="宋体" w:hAnsi="宋体" w:eastAsia="宋体" w:cs="宋体"/>
          <w:kern w:val="0"/>
          <w:sz w:val="24"/>
        </w:rPr>
        <w:t>周围单位、住户</w:t>
      </w:r>
      <w:r>
        <w:rPr>
          <w:rFonts w:ascii="宋体" w:hAnsi="宋体" w:eastAsia="宋体" w:cs="宋体"/>
          <w:color w:val="FF0000"/>
          <w:kern w:val="0"/>
          <w:sz w:val="24"/>
        </w:rPr>
        <w:t>的</w:t>
      </w:r>
      <w:r>
        <w:rPr>
          <w:rFonts w:ascii="宋体" w:hAnsi="宋体" w:eastAsia="宋体" w:cs="宋体"/>
          <w:kern w:val="0"/>
          <w:sz w:val="24"/>
        </w:rPr>
        <w:t>关系</w:t>
      </w:r>
      <w:r>
        <w:rPr>
          <w:rFonts w:ascii="宋体" w:hAnsi="宋体" w:eastAsia="宋体" w:cs="宋体"/>
          <w:color w:val="FF0000"/>
          <w:kern w:val="0"/>
          <w:sz w:val="24"/>
        </w:rPr>
        <w:t>协调工作，相关责任及费用按照本合同约定承担</w:t>
      </w:r>
      <w:r>
        <w:rPr>
          <w:rFonts w:ascii="宋体" w:hAnsi="宋体" w:eastAsia="宋体" w:cs="宋体"/>
          <w:kern w:val="0"/>
          <w:sz w:val="24"/>
        </w:rPr>
        <w:t>。</w:t>
      </w:r>
    </w:p>
  </w:comment>
  <w:comment w:id="20" w:author="熊律师" w:date="2026-08-07T13:42:00Z" w:initials="">
    <w:p w14:paraId="5299C4E5">
      <w:r>
        <w:rPr>
          <w:rFonts w:ascii="宋体" w:hAnsi="宋体" w:eastAsia="宋体" w:cs="宋体"/>
          <w:color w:val="0000FF"/>
          <w:kern w:val="0"/>
          <w:sz w:val="24"/>
        </w:rPr>
        <w:t>【提示】进度计划期限为空</w:t>
      </w:r>
      <w:r>
        <w:rPr>
          <w:rFonts w:ascii="宋体" w:hAnsi="宋体" w:eastAsia="宋体" w:cs="宋体"/>
          <w:color w:val="0000FF"/>
          <w:kern w:val="0"/>
          <w:sz w:val="24"/>
        </w:rPr>
        <w:br w:type="textWrapping"/>
      </w:r>
      <w:r>
        <w:rPr>
          <w:rFonts w:ascii="宋体" w:hAnsi="宋体" w:eastAsia="宋体" w:cs="宋体"/>
          <w:color w:val="0000FF"/>
          <w:kern w:val="0"/>
          <w:sz w:val="24"/>
        </w:rPr>
        <w:t>【说明】乙方提交施工组织设计和进度计划的时间以及工程师确认期限未明确，可能削弱甲方对进度计划的审核和工期管理能力，建议补全。</w:t>
      </w:r>
    </w:p>
  </w:comment>
  <w:comment w:id="21" w:author="熊律师" w:date="2026-08-07T13:46:00Z" w:initials="">
    <w:p w14:paraId="7D085CF8">
      <w:r>
        <w:rPr>
          <w:rFonts w:ascii="宋体" w:hAnsi="宋体" w:eastAsia="宋体" w:cs="宋体"/>
          <w:kern w:val="0"/>
          <w:sz w:val="24"/>
        </w:rPr>
        <w:t>【风险点】明确开工延误责任承担</w:t>
      </w:r>
      <w:r>
        <w:rPr>
          <w:rFonts w:ascii="宋体" w:hAnsi="宋体" w:eastAsia="宋体" w:cs="宋体"/>
          <w:kern w:val="0"/>
          <w:sz w:val="24"/>
        </w:rPr>
        <w:br w:type="textWrapping"/>
      </w:r>
      <w:r>
        <w:rPr>
          <w:rFonts w:ascii="宋体" w:hAnsi="宋体" w:eastAsia="宋体" w:cs="宋体"/>
          <w:kern w:val="0"/>
          <w:sz w:val="24"/>
        </w:rPr>
        <w:t>【说明】发包人原因导致工程不能按期开工的，责任不应由承包人承担；明确工期顺延及发包人承担承包人损失，有助于使责任承担与实际原因相匹配，避免责任边界不清及争议。</w:t>
      </w:r>
      <w:r>
        <w:rPr>
          <w:rFonts w:ascii="宋体" w:hAnsi="宋体" w:eastAsia="宋体" w:cs="宋体"/>
          <w:kern w:val="0"/>
          <w:sz w:val="24"/>
        </w:rPr>
        <w:br w:type="textWrapping"/>
      </w:r>
      <w:r>
        <w:rPr>
          <w:rFonts w:ascii="宋体" w:hAnsi="宋体" w:eastAsia="宋体" w:cs="宋体"/>
          <w:kern w:val="0"/>
          <w:sz w:val="24"/>
        </w:rPr>
        <w:t>【修改建议】，工程师在收到后 天内予以确认或提出修改意见。逾期不能确认或提出修改意见视为同意。承包人按照经确认的施工组织设计和工程进度计划组织施工。因发包人原因导致工程不能按期开工，工期顺延，</w:t>
      </w:r>
      <w:r>
        <w:rPr>
          <w:rFonts w:ascii="宋体" w:hAnsi="宋体" w:eastAsia="宋体" w:cs="宋体"/>
          <w:strike/>
          <w:color w:val="999999"/>
          <w:kern w:val="0"/>
          <w:sz w:val="24"/>
        </w:rPr>
        <w:t>并由承包人承担相应责任，</w:t>
      </w:r>
      <w:r>
        <w:rPr>
          <w:rFonts w:ascii="宋体" w:hAnsi="宋体" w:eastAsia="宋体" w:cs="宋体"/>
          <w:kern w:val="0"/>
          <w:sz w:val="24"/>
        </w:rPr>
        <w:t>给承包人造成损失的，由发包人承担承包人的损失。因承包人原因，不能按期开工，应以书面形式向工程师提出延期开工的理由和申请，工程师应在48小时以内给予答复，在规定时间内未作答复视为同意延期开工申请，工程师不同意的，工期不予顺延。</w:t>
      </w:r>
    </w:p>
  </w:comment>
  <w:comment w:id="22" w:author="熊律师" w:date="2026-08-07T13:49:00Z" w:initials="">
    <w:p w14:paraId="1BDB7679">
      <w:r>
        <w:rPr>
          <w:rFonts w:ascii="宋体" w:hAnsi="宋体" w:eastAsia="宋体" w:cs="宋体"/>
          <w:color w:val="0000FF"/>
          <w:kern w:val="0"/>
          <w:sz w:val="24"/>
        </w:rPr>
        <w:t>【提示】样板制作地点为空</w:t>
      </w:r>
      <w:r>
        <w:rPr>
          <w:rFonts w:ascii="宋体" w:hAnsi="宋体" w:eastAsia="宋体" w:cs="宋体"/>
          <w:color w:val="0000FF"/>
          <w:kern w:val="0"/>
          <w:sz w:val="24"/>
        </w:rPr>
        <w:br w:type="textWrapping"/>
      </w:r>
      <w:r>
        <w:rPr>
          <w:rFonts w:ascii="宋体" w:hAnsi="宋体" w:eastAsia="宋体" w:cs="宋体"/>
          <w:color w:val="0000FF"/>
          <w:kern w:val="0"/>
          <w:sz w:val="24"/>
        </w:rPr>
        <w:t>【说明】样板及样板间制作地点未确定，可能导致质量验收实物依据无法对应具体施工区域，建议明确地点及适用范围。</w:t>
      </w:r>
    </w:p>
  </w:comment>
  <w:comment w:id="23" w:author="熊律师" w:date="2026-08-07T13:53:00Z" w:initials="">
    <w:p w14:paraId="148C33E3">
      <w:r>
        <w:rPr>
          <w:rFonts w:ascii="宋体" w:hAnsi="宋体" w:eastAsia="宋体" w:cs="宋体"/>
          <w:color w:val="0000FF"/>
          <w:kern w:val="0"/>
          <w:sz w:val="24"/>
        </w:rPr>
        <w:t>【提示】隐蔽验收部位为空</w:t>
      </w:r>
      <w:r>
        <w:rPr>
          <w:rFonts w:ascii="宋体" w:hAnsi="宋体" w:eastAsia="宋体" w:cs="宋体"/>
          <w:color w:val="0000FF"/>
          <w:kern w:val="0"/>
          <w:sz w:val="24"/>
        </w:rPr>
        <w:br w:type="textWrapping"/>
      </w:r>
      <w:r>
        <w:rPr>
          <w:rFonts w:ascii="宋体" w:hAnsi="宋体" w:eastAsia="宋体" w:cs="宋体"/>
          <w:color w:val="0000FF"/>
          <w:kern w:val="0"/>
          <w:sz w:val="24"/>
        </w:rPr>
        <w:t>【说明】隐蔽工程或中间验收部位未列明，可能造成关键工序验收遗漏及质量责任争议，建议结合工程内容逐项明确。</w:t>
      </w:r>
    </w:p>
  </w:comment>
  <w:comment w:id="24" w:author="熊律师" w:date="2026-08-07T13:56:00Z" w:initials="">
    <w:p w14:paraId="59DC4867">
      <w:r>
        <w:rPr>
          <w:rFonts w:ascii="宋体" w:hAnsi="宋体" w:eastAsia="宋体" w:cs="宋体"/>
          <w:color w:val="0000FF"/>
          <w:kern w:val="0"/>
          <w:sz w:val="24"/>
        </w:rPr>
        <w:t>【提示】材料保管试验费用为空</w:t>
      </w:r>
      <w:r>
        <w:rPr>
          <w:rFonts w:ascii="宋体" w:hAnsi="宋体" w:eastAsia="宋体" w:cs="宋体"/>
          <w:color w:val="0000FF"/>
          <w:kern w:val="0"/>
          <w:sz w:val="24"/>
        </w:rPr>
        <w:br w:type="textWrapping"/>
      </w:r>
      <w:r>
        <w:rPr>
          <w:rFonts w:ascii="宋体" w:hAnsi="宋体" w:eastAsia="宋体" w:cs="宋体"/>
          <w:color w:val="0000FF"/>
          <w:kern w:val="0"/>
          <w:sz w:val="24"/>
        </w:rPr>
        <w:t>【说明】甲供材料的保管和试验费用计算方式未填写，可能造成甲方承担费用的范围和金额不确定，建议明确计算标准及结算依据。</w:t>
      </w:r>
    </w:p>
  </w:comment>
  <w:comment w:id="25" w:author="熊律师" w:date="2026-08-07T14:00:00Z" w:initials="">
    <w:p w14:paraId="1CC91BFE">
      <w:r>
        <w:rPr>
          <w:rFonts w:ascii="宋体" w:hAnsi="宋体" w:eastAsia="宋体" w:cs="宋体"/>
          <w:color w:val="0000FF"/>
          <w:kern w:val="0"/>
          <w:sz w:val="24"/>
        </w:rPr>
        <w:t>【提示】材料样品范围为空</w:t>
      </w:r>
      <w:r>
        <w:rPr>
          <w:rFonts w:ascii="宋体" w:hAnsi="宋体" w:eastAsia="宋体" w:cs="宋体"/>
          <w:color w:val="0000FF"/>
          <w:kern w:val="0"/>
          <w:sz w:val="24"/>
        </w:rPr>
        <w:br w:type="textWrapping"/>
      </w:r>
      <w:r>
        <w:rPr>
          <w:rFonts w:ascii="宋体" w:hAnsi="宋体" w:eastAsia="宋体" w:cs="宋体"/>
          <w:color w:val="0000FF"/>
          <w:kern w:val="0"/>
          <w:sz w:val="24"/>
        </w:rPr>
        <w:t>【说明】需提供样品或样本的材料范围未明确，可能导致材料验收标准不统一，建议列明材料类别并明确封存及比对依据。</w:t>
      </w:r>
    </w:p>
  </w:comment>
  <w:comment w:id="26" w:author="熊律师" w:date="2026-08-07T14:03:00Z" w:initials="">
    <w:p w14:paraId="1B0C96D2">
      <w:r>
        <w:rPr>
          <w:rFonts w:ascii="宋体" w:hAnsi="宋体" w:eastAsia="宋体" w:cs="宋体"/>
          <w:kern w:val="0"/>
          <w:sz w:val="24"/>
        </w:rPr>
        <w:t>【风险点】责任表述存在错别字</w:t>
      </w:r>
      <w:r>
        <w:rPr>
          <w:rFonts w:ascii="宋体" w:hAnsi="宋体" w:eastAsia="宋体" w:cs="宋体"/>
          <w:kern w:val="0"/>
          <w:sz w:val="24"/>
        </w:rPr>
        <w:br w:type="textWrapping"/>
      </w:r>
      <w:r>
        <w:rPr>
          <w:rFonts w:ascii="宋体" w:hAnsi="宋体" w:eastAsia="宋体" w:cs="宋体"/>
          <w:kern w:val="0"/>
          <w:sz w:val="24"/>
        </w:rPr>
        <w:t>【说明】纠正“资任”错别字，确保材料不符合样品或样本时的责任承担表述准确，避免甲方在追究供货方责任时发生文字歧义。</w:t>
      </w:r>
      <w:r>
        <w:rPr>
          <w:rFonts w:ascii="宋体" w:hAnsi="宋体" w:eastAsia="宋体" w:cs="宋体"/>
          <w:kern w:val="0"/>
          <w:sz w:val="24"/>
        </w:rPr>
        <w:br w:type="textWrapping"/>
      </w:r>
      <w:r>
        <w:rPr>
          <w:rFonts w:ascii="宋体" w:hAnsi="宋体" w:eastAsia="宋体" w:cs="宋体"/>
          <w:kern w:val="0"/>
          <w:sz w:val="24"/>
        </w:rPr>
        <w:t>【修改建议】应提供材料的样品或样本，经双方验收后共同封存，做为材料供应和竣工验收的实物标准。凡材料不符合样品或样本的，由供货方承担</w:t>
      </w:r>
      <w:r>
        <w:rPr>
          <w:rFonts w:ascii="宋体" w:hAnsi="宋体" w:eastAsia="宋体" w:cs="宋体"/>
          <w:strike/>
          <w:color w:val="999999"/>
          <w:kern w:val="0"/>
          <w:sz w:val="24"/>
        </w:rPr>
        <w:t>资</w:t>
      </w:r>
      <w:r>
        <w:rPr>
          <w:rFonts w:ascii="宋体" w:hAnsi="宋体" w:eastAsia="宋体" w:cs="宋体"/>
          <w:color w:val="FF0000"/>
          <w:kern w:val="0"/>
          <w:sz w:val="24"/>
        </w:rPr>
        <w:t>责</w:t>
      </w:r>
      <w:r>
        <w:rPr>
          <w:rFonts w:ascii="宋体" w:hAnsi="宋体" w:eastAsia="宋体" w:cs="宋体"/>
          <w:kern w:val="0"/>
          <w:sz w:val="24"/>
        </w:rPr>
        <w:t>任。</w:t>
      </w:r>
    </w:p>
  </w:comment>
  <w:comment w:id="27" w:author="熊律师" w:date="2026-08-07T14:07:00Z" w:initials="">
    <w:p w14:paraId="2184B5A7">
      <w:r>
        <w:rPr>
          <w:rFonts w:ascii="宋体" w:hAnsi="宋体" w:eastAsia="宋体" w:cs="宋体"/>
          <w:kern w:val="0"/>
          <w:sz w:val="24"/>
        </w:rPr>
        <w:t>【风险点】采购材料质量审核权</w:t>
      </w:r>
      <w:r>
        <w:rPr>
          <w:rFonts w:ascii="宋体" w:hAnsi="宋体" w:eastAsia="宋体" w:cs="宋体"/>
          <w:kern w:val="0"/>
          <w:sz w:val="24"/>
        </w:rPr>
        <w:br w:type="textWrapping"/>
      </w:r>
      <w:r>
        <w:rPr>
          <w:rFonts w:ascii="宋体" w:hAnsi="宋体" w:eastAsia="宋体" w:cs="宋体"/>
          <w:kern w:val="0"/>
          <w:sz w:val="24"/>
        </w:rPr>
        <w:t>【说明】在不指定供应商的前提下保留甲方对供应商资质和产品质量的审核及更换要求权，并将不合格材料导致的费用和工期风险由乙方承担。</w:t>
      </w:r>
      <w:r>
        <w:rPr>
          <w:rFonts w:ascii="宋体" w:hAnsi="宋体" w:eastAsia="宋体" w:cs="宋体"/>
          <w:kern w:val="0"/>
          <w:sz w:val="24"/>
        </w:rPr>
        <w:br w:type="textWrapping"/>
      </w:r>
      <w:r>
        <w:rPr>
          <w:rFonts w:ascii="宋体" w:hAnsi="宋体" w:eastAsia="宋体" w:cs="宋体"/>
          <w:kern w:val="0"/>
          <w:sz w:val="24"/>
        </w:rPr>
        <w:t>【修改建议】 10．4 由承包人负责采购的材料设备，发包人不得指定生产厂或供应商</w:t>
      </w:r>
      <w:r>
        <w:rPr>
          <w:rFonts w:ascii="宋体" w:hAnsi="宋体" w:eastAsia="宋体" w:cs="宋体"/>
          <w:color w:val="FF0000"/>
          <w:kern w:val="0"/>
          <w:sz w:val="24"/>
        </w:rPr>
        <w:t>，但发包人有权对乙方选定的生产厂或供应商资质、产品质量进行审核，对不符合合同约定质量标准的，有权要求乙方更换，由此产生的费用及工期延误责任由乙方承担</w:t>
      </w:r>
      <w:r>
        <w:rPr>
          <w:rFonts w:ascii="宋体" w:hAnsi="宋体" w:eastAsia="宋体" w:cs="宋体"/>
          <w:kern w:val="0"/>
          <w:sz w:val="24"/>
        </w:rPr>
        <w:t>。</w:t>
      </w:r>
    </w:p>
  </w:comment>
  <w:comment w:id="28" w:author="熊律师" w:date="2026-08-07T14:10:00Z" w:initials="">
    <w:p w14:paraId="597CA7F1">
      <w:r>
        <w:rPr>
          <w:rFonts w:ascii="宋体" w:hAnsi="宋体" w:eastAsia="宋体" w:cs="宋体"/>
          <w:color w:val="0000FF"/>
          <w:kern w:val="0"/>
          <w:sz w:val="24"/>
        </w:rPr>
        <w:t>【提示】提示价款及付款节点未定</w:t>
      </w:r>
      <w:r>
        <w:rPr>
          <w:rFonts w:ascii="宋体" w:hAnsi="宋体" w:eastAsia="宋体" w:cs="宋体"/>
          <w:color w:val="0000FF"/>
          <w:kern w:val="0"/>
          <w:sz w:val="24"/>
        </w:rPr>
        <w:br w:type="textWrapping"/>
      </w:r>
      <w:r>
        <w:rPr>
          <w:rFonts w:ascii="宋体" w:hAnsi="宋体" w:eastAsia="宋体" w:cs="宋体"/>
          <w:color w:val="0000FF"/>
          <w:kern w:val="0"/>
          <w:sz w:val="24"/>
        </w:rPr>
        <w:t>【说明】合同价款确定方式尚未填写，可能导致价款调整及违约金计算基数不明确。甲方应在签约前明确采用的计价方式及相应风险范围。</w:t>
      </w:r>
    </w:p>
  </w:comment>
  <w:comment w:id="29" w:author="熊律师" w:date="2026-08-07T14:14:00Z" w:initials="">
    <w:p w14:paraId="5B1A567C">
      <w:r>
        <w:rPr>
          <w:rFonts w:ascii="宋体" w:hAnsi="宋体" w:eastAsia="宋体" w:cs="宋体"/>
          <w:color w:val="0000FF"/>
          <w:kern w:val="0"/>
          <w:sz w:val="24"/>
        </w:rPr>
        <w:t>【提示】价款确定及调整规则缺失</w:t>
      </w:r>
      <w:r>
        <w:rPr>
          <w:rFonts w:ascii="宋体" w:hAnsi="宋体" w:eastAsia="宋体" w:cs="宋体"/>
          <w:color w:val="0000FF"/>
          <w:kern w:val="0"/>
          <w:sz w:val="24"/>
        </w:rPr>
        <w:br w:type="textWrapping"/>
      </w:r>
      <w:r>
        <w:rPr>
          <w:rFonts w:ascii="宋体" w:hAnsi="宋体" w:eastAsia="宋体" w:cs="宋体"/>
          <w:color w:val="0000FF"/>
          <w:kern w:val="0"/>
          <w:sz w:val="24"/>
        </w:rPr>
        <w:t>【说明】合同价款确定方式、风险范围及调整方法均未填写，可能导致结算价格、调价范围及调整依据不明确，增加甲方投资超支和结算争议风险，应在签署前完成选择和填写。</w:t>
      </w:r>
    </w:p>
  </w:comment>
  <w:comment w:id="30" w:author="熊律师" w:date="2026-08-07T14:18:00Z" w:initials="">
    <w:p w14:paraId="12BB8BAC">
      <w:r>
        <w:rPr>
          <w:rFonts w:ascii="宋体" w:hAnsi="宋体" w:eastAsia="宋体" w:cs="宋体"/>
          <w:color w:val="0000FF"/>
          <w:kern w:val="0"/>
          <w:sz w:val="24"/>
        </w:rPr>
        <w:t>【提示】付款安排未明确</w:t>
      </w:r>
      <w:r>
        <w:rPr>
          <w:rFonts w:ascii="宋体" w:hAnsi="宋体" w:eastAsia="宋体" w:cs="宋体"/>
          <w:color w:val="0000FF"/>
          <w:kern w:val="0"/>
          <w:sz w:val="24"/>
        </w:rPr>
        <w:br w:type="textWrapping"/>
      </w:r>
      <w:r>
        <w:rPr>
          <w:rFonts w:ascii="宋体" w:hAnsi="宋体" w:eastAsia="宋体" w:cs="宋体"/>
          <w:color w:val="0000FF"/>
          <w:kern w:val="0"/>
          <w:sz w:val="24"/>
        </w:rPr>
        <w:t>【说明】付款次数、时间、比例及金额均未填写，导致发包人的付款义务、资金安排及逾期责任无法确定，可能引发工程款支付争议。应在签约前结合验收、结算、发票及财政支付安排完成付款节点和金额的明确。</w:t>
      </w:r>
    </w:p>
  </w:comment>
  <w:comment w:id="31" w:author="熊律师" w:date="2026-08-07T14:21:00Z" w:initials="">
    <w:p w14:paraId="3F9C42B3">
      <w:r>
        <w:rPr>
          <w:rFonts w:ascii="宋体" w:hAnsi="宋体" w:eastAsia="宋体" w:cs="宋体"/>
          <w:color w:val="0000FF"/>
          <w:kern w:val="0"/>
          <w:sz w:val="24"/>
        </w:rPr>
        <w:t>【提示】明确竣工资料内容及提交时间</w:t>
      </w:r>
      <w:r>
        <w:rPr>
          <w:rFonts w:ascii="宋体" w:hAnsi="宋体" w:eastAsia="宋体" w:cs="宋体"/>
          <w:color w:val="0000FF"/>
          <w:kern w:val="0"/>
          <w:sz w:val="24"/>
        </w:rPr>
        <w:br w:type="textWrapping"/>
      </w:r>
      <w:r>
        <w:rPr>
          <w:rFonts w:ascii="宋体" w:hAnsi="宋体" w:eastAsia="宋体" w:cs="宋体"/>
          <w:color w:val="0000FF"/>
          <w:kern w:val="0"/>
          <w:sz w:val="24"/>
        </w:rPr>
        <w:t>【说明】承包人应提交的竣工资料具体内容及提交时间未明确，可能影响发包人组织竣工验收、办理备案和工程结算以及接收工程资料。</w:t>
      </w:r>
    </w:p>
  </w:comment>
  <w:comment w:id="32" w:author="熊律师" w:date="2026-08-07T14:24:00Z" w:initials="">
    <w:p w14:paraId="127FC1BA">
      <w:r>
        <w:rPr>
          <w:rFonts w:ascii="宋体" w:hAnsi="宋体" w:eastAsia="宋体" w:cs="宋体"/>
          <w:kern w:val="0"/>
          <w:sz w:val="24"/>
        </w:rPr>
        <w:t>【风险点】明确验收效力与风险转移</w:t>
      </w:r>
      <w:r>
        <w:rPr>
          <w:rFonts w:ascii="宋体" w:hAnsi="宋体" w:eastAsia="宋体" w:cs="宋体"/>
          <w:kern w:val="0"/>
          <w:sz w:val="24"/>
        </w:rPr>
        <w:br w:type="textWrapping"/>
      </w:r>
      <w:r>
        <w:rPr>
          <w:rFonts w:ascii="宋体" w:hAnsi="宋体" w:eastAsia="宋体" w:cs="宋体"/>
          <w:kern w:val="0"/>
          <w:sz w:val="24"/>
        </w:rPr>
        <w:t>【说明】明确逾期验收的法律效果与工程实际接收之间的区别，避免发包人在尚未实际接收工程时承担工程保管责任及意外损失风险；同时保留承包人对细微瑕疵的整改义务。发包人应严格履行验收及书面反馈时限，避免因逾期产生视为验收合格的法律后果。</w:t>
      </w:r>
      <w:r>
        <w:rPr>
          <w:rFonts w:ascii="宋体" w:hAnsi="宋体" w:eastAsia="宋体" w:cs="宋体"/>
          <w:kern w:val="0"/>
          <w:sz w:val="24"/>
        </w:rPr>
        <w:br w:type="textWrapping"/>
      </w:r>
      <w:r>
        <w:rPr>
          <w:rFonts w:ascii="宋体" w:hAnsi="宋体" w:eastAsia="宋体" w:cs="宋体"/>
          <w:kern w:val="0"/>
          <w:sz w:val="24"/>
        </w:rPr>
        <w:t>【修改建议】 13．2 发包人在收到竣工验收报告后14天内组织验收，并在验收后7天内给予确认或提出修改意见，承包人按要求修改，并承担因自身原因造成的修改费用。发包人未在规定的时间内组织验收或验收后7天内未提出修改意见，视为竣工验收</w:t>
      </w:r>
      <w:r>
        <w:rPr>
          <w:rFonts w:ascii="宋体" w:hAnsi="宋体" w:eastAsia="宋体" w:cs="宋体"/>
          <w:strike/>
          <w:color w:val="999999"/>
          <w:kern w:val="0"/>
          <w:sz w:val="24"/>
        </w:rPr>
        <w:t>报告已被认可</w:t>
      </w:r>
      <w:r>
        <w:rPr>
          <w:rFonts w:ascii="宋体" w:hAnsi="宋体" w:eastAsia="宋体" w:cs="宋体"/>
          <w:color w:val="FF0000"/>
          <w:kern w:val="0"/>
          <w:sz w:val="24"/>
        </w:rPr>
        <w:t>合格</w:t>
      </w:r>
      <w:r>
        <w:rPr>
          <w:rFonts w:ascii="宋体" w:hAnsi="宋体" w:eastAsia="宋体" w:cs="宋体"/>
          <w:kern w:val="0"/>
          <w:sz w:val="24"/>
        </w:rPr>
        <w:t>，</w:t>
      </w:r>
      <w:r>
        <w:rPr>
          <w:rFonts w:ascii="宋体" w:hAnsi="宋体" w:eastAsia="宋体" w:cs="宋体"/>
          <w:strike/>
          <w:color w:val="999999"/>
          <w:kern w:val="0"/>
          <w:sz w:val="24"/>
        </w:rPr>
        <w:t>并</w:t>
      </w:r>
      <w:r>
        <w:rPr>
          <w:rFonts w:ascii="宋体" w:hAnsi="宋体" w:eastAsia="宋体" w:cs="宋体"/>
          <w:kern w:val="0"/>
          <w:sz w:val="24"/>
        </w:rPr>
        <w:t>承</w:t>
      </w:r>
      <w:r>
        <w:rPr>
          <w:rFonts w:ascii="宋体" w:hAnsi="宋体" w:eastAsia="宋体" w:cs="宋体"/>
          <w:strike/>
          <w:color w:val="999999"/>
          <w:kern w:val="0"/>
          <w:sz w:val="24"/>
        </w:rPr>
        <w:t>担</w:t>
      </w:r>
      <w:r>
        <w:rPr>
          <w:rFonts w:ascii="宋体" w:hAnsi="宋体" w:eastAsia="宋体" w:cs="宋体"/>
          <w:color w:val="FF0000"/>
          <w:kern w:val="0"/>
          <w:sz w:val="24"/>
        </w:rPr>
        <w:t>包人仍应配合发包人就验收中发现的细微瑕疵完成整改；</w:t>
      </w:r>
      <w:r>
        <w:rPr>
          <w:rFonts w:ascii="宋体" w:hAnsi="宋体" w:eastAsia="宋体" w:cs="宋体"/>
          <w:kern w:val="0"/>
          <w:sz w:val="24"/>
        </w:rPr>
        <w:t>工程保管</w:t>
      </w:r>
      <w:r>
        <w:rPr>
          <w:rFonts w:ascii="宋体" w:hAnsi="宋体" w:eastAsia="宋体" w:cs="宋体"/>
          <w:color w:val="FF0000"/>
          <w:kern w:val="0"/>
          <w:sz w:val="24"/>
        </w:rPr>
        <w:t>责任</w:t>
      </w:r>
      <w:r>
        <w:rPr>
          <w:rFonts w:ascii="宋体" w:hAnsi="宋体" w:eastAsia="宋体" w:cs="宋体"/>
          <w:kern w:val="0"/>
          <w:sz w:val="24"/>
        </w:rPr>
        <w:t>及</w:t>
      </w:r>
      <w:r>
        <w:rPr>
          <w:rFonts w:ascii="宋体" w:hAnsi="宋体" w:eastAsia="宋体" w:cs="宋体"/>
          <w:strike/>
          <w:color w:val="999999"/>
          <w:kern w:val="0"/>
          <w:sz w:val="24"/>
        </w:rPr>
        <w:t>一切</w:t>
      </w:r>
      <w:r>
        <w:rPr>
          <w:rFonts w:ascii="宋体" w:hAnsi="宋体" w:eastAsia="宋体" w:cs="宋体"/>
          <w:kern w:val="0"/>
          <w:sz w:val="24"/>
        </w:rPr>
        <w:t>意外损失</w:t>
      </w:r>
      <w:r>
        <w:rPr>
          <w:rFonts w:ascii="宋体" w:hAnsi="宋体" w:eastAsia="宋体" w:cs="宋体"/>
          <w:strike/>
          <w:color w:val="999999"/>
          <w:kern w:val="0"/>
          <w:sz w:val="24"/>
        </w:rPr>
        <w:t>责任</w:t>
      </w:r>
      <w:r>
        <w:rPr>
          <w:rFonts w:ascii="宋体" w:hAnsi="宋体" w:eastAsia="宋体" w:cs="宋体"/>
          <w:color w:val="FF0000"/>
          <w:kern w:val="0"/>
          <w:sz w:val="24"/>
        </w:rPr>
        <w:t>风险自发包人实际接收工程之日起转移至发包人</w:t>
      </w:r>
      <w:r>
        <w:rPr>
          <w:rFonts w:ascii="宋体" w:hAnsi="宋体" w:eastAsia="宋体" w:cs="宋体"/>
          <w:kern w:val="0"/>
          <w:sz w:val="24"/>
        </w:rPr>
        <w:t>。</w:t>
      </w:r>
    </w:p>
  </w:comment>
  <w:comment w:id="33" w:author="熊律师" w:date="2026-08-07T14:27:00Z" w:initials="">
    <w:p w14:paraId="3C8DA844">
      <w:r>
        <w:rPr>
          <w:rFonts w:ascii="宋体" w:hAnsi="宋体" w:eastAsia="宋体" w:cs="宋体"/>
          <w:kern w:val="0"/>
          <w:sz w:val="24"/>
        </w:rPr>
        <w:t>【风险点】强行使用质量责任边界不清</w:t>
      </w:r>
      <w:r>
        <w:rPr>
          <w:rFonts w:ascii="宋体" w:hAnsi="宋体" w:eastAsia="宋体" w:cs="宋体"/>
          <w:kern w:val="0"/>
          <w:sz w:val="24"/>
        </w:rPr>
        <w:br w:type="textWrapping"/>
      </w:r>
      <w:r>
        <w:rPr>
          <w:rFonts w:ascii="宋体" w:hAnsi="宋体" w:eastAsia="宋体" w:cs="宋体"/>
          <w:kern w:val="0"/>
          <w:sz w:val="24"/>
        </w:rPr>
        <w:t>【说明】区分承包人施工质量缺陷与发包人强行使用造成的损坏及其他问题，避免承包人因发包人提前使用而当然免除施工质量责任，同时明确甲方自行使用造成损害的责任范围。</w:t>
      </w:r>
      <w:r>
        <w:rPr>
          <w:rFonts w:ascii="宋体" w:hAnsi="宋体" w:eastAsia="宋体" w:cs="宋体"/>
          <w:kern w:val="0"/>
          <w:sz w:val="24"/>
        </w:rPr>
        <w:br w:type="textWrapping"/>
      </w:r>
      <w:r>
        <w:rPr>
          <w:rFonts w:ascii="宋体" w:hAnsi="宋体" w:eastAsia="宋体" w:cs="宋体"/>
          <w:kern w:val="0"/>
          <w:sz w:val="24"/>
        </w:rPr>
        <w:t>【修改建议】 13．4 工程未经验收或竣工验收未通过的，承包人不得交工，发包人不得使用。因发包人强行使用致使工程发生</w:t>
      </w:r>
      <w:r>
        <w:rPr>
          <w:rFonts w:ascii="宋体" w:hAnsi="宋体" w:eastAsia="宋体" w:cs="宋体"/>
          <w:color w:val="FF0000"/>
          <w:kern w:val="0"/>
          <w:sz w:val="24"/>
        </w:rPr>
        <w:t>的</w:t>
      </w:r>
      <w:r>
        <w:rPr>
          <w:rFonts w:ascii="宋体" w:hAnsi="宋体" w:eastAsia="宋体" w:cs="宋体"/>
          <w:kern w:val="0"/>
          <w:sz w:val="24"/>
        </w:rPr>
        <w:t>质量问题</w:t>
      </w:r>
      <w:r>
        <w:rPr>
          <w:rFonts w:ascii="宋体" w:hAnsi="宋体" w:eastAsia="宋体" w:cs="宋体"/>
          <w:strike/>
          <w:color w:val="999999"/>
          <w:kern w:val="0"/>
          <w:sz w:val="24"/>
        </w:rPr>
        <w:t>及对建筑物</w:t>
      </w:r>
      <w:r>
        <w:rPr>
          <w:rFonts w:ascii="宋体" w:hAnsi="宋体" w:eastAsia="宋体" w:cs="宋体"/>
          <w:color w:val="FF0000"/>
          <w:kern w:val="0"/>
          <w:sz w:val="24"/>
        </w:rPr>
        <w:t>，如能够证明系承包人施工原因导致的，相应责任仍由承包人承担；发包人强行使用</w:t>
      </w:r>
      <w:r>
        <w:rPr>
          <w:rFonts w:ascii="宋体" w:hAnsi="宋体" w:eastAsia="宋体" w:cs="宋体"/>
          <w:kern w:val="0"/>
          <w:sz w:val="24"/>
        </w:rPr>
        <w:t>造成的</w:t>
      </w:r>
      <w:r>
        <w:rPr>
          <w:rFonts w:ascii="宋体" w:hAnsi="宋体" w:eastAsia="宋体" w:cs="宋体"/>
          <w:color w:val="FF0000"/>
          <w:kern w:val="0"/>
          <w:sz w:val="24"/>
        </w:rPr>
        <w:t>建筑物</w:t>
      </w:r>
      <w:r>
        <w:rPr>
          <w:rFonts w:ascii="宋体" w:hAnsi="宋体" w:eastAsia="宋体" w:cs="宋体"/>
          <w:kern w:val="0"/>
          <w:sz w:val="24"/>
        </w:rPr>
        <w:t>损坏及其他问题由发包人承担。</w:t>
      </w:r>
    </w:p>
  </w:comment>
  <w:comment w:id="34" w:author="熊律师" w:date="2026-08-07T14:30:00Z" w:initials="">
    <w:p w14:paraId="631D09C9">
      <w:r>
        <w:rPr>
          <w:rFonts w:ascii="宋体" w:hAnsi="宋体" w:eastAsia="宋体" w:cs="宋体"/>
          <w:kern w:val="0"/>
          <w:sz w:val="24"/>
        </w:rPr>
        <w:t>【风险点】结算审核期限及付款条件不足</w:t>
      </w:r>
      <w:r>
        <w:rPr>
          <w:rFonts w:ascii="宋体" w:hAnsi="宋体" w:eastAsia="宋体" w:cs="宋体"/>
          <w:kern w:val="0"/>
          <w:sz w:val="24"/>
        </w:rPr>
        <w:br w:type="textWrapping"/>
      </w:r>
      <w:r>
        <w:rPr>
          <w:rFonts w:ascii="宋体" w:hAnsi="宋体" w:eastAsia="宋体" w:cs="宋体"/>
          <w:kern w:val="0"/>
          <w:sz w:val="24"/>
        </w:rPr>
        <w:t>【说明】将结算审核期限延长至收到完整资料后28天，避免资料不完整或审核时间不足导致甲方被动确认；同时将付款前提明确为双方就结算金额达成一致，降低甲方提前付款及结算争议风险。</w:t>
      </w:r>
      <w:r>
        <w:rPr>
          <w:rFonts w:ascii="宋体" w:hAnsi="宋体" w:eastAsia="宋体" w:cs="宋体"/>
          <w:kern w:val="0"/>
          <w:sz w:val="24"/>
        </w:rPr>
        <w:br w:type="textWrapping"/>
      </w:r>
      <w:r>
        <w:rPr>
          <w:rFonts w:ascii="宋体" w:hAnsi="宋体" w:eastAsia="宋体" w:cs="宋体"/>
          <w:kern w:val="0"/>
          <w:sz w:val="24"/>
        </w:rPr>
        <w:t>【修改建议】 13．6 发包人在收到竣工结算报告</w:t>
      </w:r>
      <w:r>
        <w:rPr>
          <w:rFonts w:ascii="宋体" w:hAnsi="宋体" w:eastAsia="宋体" w:cs="宋体"/>
          <w:color w:val="FF0000"/>
          <w:kern w:val="0"/>
          <w:sz w:val="24"/>
        </w:rPr>
        <w:t>及完整的结算资料</w:t>
      </w:r>
      <w:r>
        <w:rPr>
          <w:rFonts w:ascii="宋体" w:hAnsi="宋体" w:eastAsia="宋体" w:cs="宋体"/>
          <w:kern w:val="0"/>
          <w:sz w:val="24"/>
        </w:rPr>
        <w:t>后</w:t>
      </w:r>
      <w:r>
        <w:rPr>
          <w:rFonts w:ascii="宋体" w:hAnsi="宋体" w:eastAsia="宋体" w:cs="宋体"/>
          <w:strike/>
          <w:color w:val="999999"/>
          <w:kern w:val="0"/>
          <w:sz w:val="24"/>
        </w:rPr>
        <w:t>14</w:t>
      </w:r>
      <w:r>
        <w:rPr>
          <w:rFonts w:ascii="宋体" w:hAnsi="宋体" w:eastAsia="宋体" w:cs="宋体"/>
          <w:color w:val="FF0000"/>
          <w:kern w:val="0"/>
          <w:sz w:val="24"/>
        </w:rPr>
        <w:t>28</w:t>
      </w:r>
      <w:r>
        <w:rPr>
          <w:rFonts w:ascii="宋体" w:hAnsi="宋体" w:eastAsia="宋体" w:cs="宋体"/>
          <w:kern w:val="0"/>
          <w:sz w:val="24"/>
        </w:rPr>
        <w:t>天内进行核实或提出修改意见</w:t>
      </w:r>
      <w:r>
        <w:rPr>
          <w:rFonts w:ascii="宋体" w:hAnsi="宋体" w:eastAsia="宋体" w:cs="宋体"/>
          <w:strike/>
          <w:color w:val="999999"/>
          <w:kern w:val="0"/>
          <w:sz w:val="24"/>
        </w:rPr>
        <w:t>。</w:t>
      </w:r>
      <w:r>
        <w:rPr>
          <w:rFonts w:ascii="宋体" w:hAnsi="宋体" w:eastAsia="宋体" w:cs="宋体"/>
          <w:color w:val="FF0000"/>
          <w:kern w:val="0"/>
          <w:sz w:val="24"/>
        </w:rPr>
        <w:t>，双方就结算金额达成一致后，</w:t>
      </w:r>
      <w:r>
        <w:rPr>
          <w:rFonts w:ascii="宋体" w:hAnsi="宋体" w:eastAsia="宋体" w:cs="宋体"/>
          <w:kern w:val="0"/>
          <w:sz w:val="24"/>
        </w:rPr>
        <w:t>发包人</w:t>
      </w:r>
      <w:r>
        <w:rPr>
          <w:rFonts w:ascii="宋体" w:hAnsi="宋体" w:eastAsia="宋体" w:cs="宋体"/>
          <w:strike/>
          <w:color w:val="999999"/>
          <w:kern w:val="0"/>
          <w:sz w:val="24"/>
        </w:rPr>
        <w:t>确认竣工报告后，应</w:t>
      </w:r>
      <w:r>
        <w:rPr>
          <w:rFonts w:ascii="宋体" w:hAnsi="宋体" w:eastAsia="宋体" w:cs="宋体"/>
          <w:kern w:val="0"/>
          <w:sz w:val="24"/>
        </w:rPr>
        <w:t>通知经办银行向承包人支付竣工结算款。承包人在收到竣工结算款后7天内将竣工工程交付发包人。发包人在规定时间内无正当理由不支付工程竣工结算款的，从第15天起按承包人同期向银行贷款利率支付拖欠工程款利息，并承担违约责任。</w:t>
      </w:r>
    </w:p>
  </w:comment>
  <w:comment w:id="35" w:author="熊律师" w:date="2026-08-07T14:33:00Z" w:initials="">
    <w:p w14:paraId="6499D436">
      <w:r>
        <w:rPr>
          <w:rFonts w:ascii="宋体" w:hAnsi="宋体" w:eastAsia="宋体" w:cs="宋体"/>
          <w:kern w:val="0"/>
          <w:sz w:val="24"/>
        </w:rPr>
        <w:t>【风险点】争议条款引用错误</w:t>
      </w:r>
      <w:r>
        <w:rPr>
          <w:rFonts w:ascii="宋体" w:hAnsi="宋体" w:eastAsia="宋体" w:cs="宋体"/>
          <w:kern w:val="0"/>
          <w:sz w:val="24"/>
        </w:rPr>
        <w:br w:type="textWrapping"/>
      </w:r>
      <w:r>
        <w:rPr>
          <w:rFonts w:ascii="宋体" w:hAnsi="宋体" w:eastAsia="宋体" w:cs="宋体"/>
          <w:kern w:val="0"/>
          <w:sz w:val="24"/>
        </w:rPr>
        <w:t>【说明】将错误引用的第16．6款改为实际约定争议解决方式的第15．6款，确保竣工结算争议具有明确处理依据，降低甲方因引用冲突导致争议处理不确定的风险。</w:t>
      </w:r>
      <w:r>
        <w:rPr>
          <w:rFonts w:ascii="宋体" w:hAnsi="宋体" w:eastAsia="宋体" w:cs="宋体"/>
          <w:kern w:val="0"/>
          <w:sz w:val="24"/>
        </w:rPr>
        <w:br w:type="textWrapping"/>
      </w:r>
      <w:r>
        <w:rPr>
          <w:rFonts w:ascii="宋体" w:hAnsi="宋体" w:eastAsia="宋体" w:cs="宋体"/>
          <w:kern w:val="0"/>
          <w:sz w:val="24"/>
        </w:rPr>
        <w:t>【修改建议】 13．8 双方对竣工结算有争议的，按本合同条款第1</w:t>
      </w:r>
      <w:r>
        <w:rPr>
          <w:rFonts w:ascii="宋体" w:hAnsi="宋体" w:eastAsia="宋体" w:cs="宋体"/>
          <w:strike/>
          <w:color w:val="999999"/>
          <w:kern w:val="0"/>
          <w:sz w:val="24"/>
        </w:rPr>
        <w:t>6</w:t>
      </w:r>
      <w:r>
        <w:rPr>
          <w:rFonts w:ascii="宋体" w:hAnsi="宋体" w:eastAsia="宋体" w:cs="宋体"/>
          <w:color w:val="FF0000"/>
          <w:kern w:val="0"/>
          <w:sz w:val="24"/>
        </w:rPr>
        <w:t>5</w:t>
      </w:r>
      <w:r>
        <w:rPr>
          <w:rFonts w:ascii="宋体" w:hAnsi="宋体" w:eastAsia="宋体" w:cs="宋体"/>
          <w:kern w:val="0"/>
          <w:sz w:val="24"/>
        </w:rPr>
        <w:t>．6款的约定处理。</w:t>
      </w:r>
    </w:p>
  </w:comment>
  <w:comment w:id="36" w:author="熊律师" w:date="2026-08-07T14:36:00Z" w:initials="">
    <w:p w14:paraId="08167760">
      <w:r>
        <w:rPr>
          <w:rFonts w:ascii="宋体" w:hAnsi="宋体" w:eastAsia="宋体" w:cs="宋体"/>
          <w:kern w:val="0"/>
          <w:sz w:val="24"/>
        </w:rPr>
        <w:t>【风险点】保修书提交期限不明</w:t>
      </w:r>
      <w:r>
        <w:rPr>
          <w:rFonts w:ascii="宋体" w:hAnsi="宋体" w:eastAsia="宋体" w:cs="宋体"/>
          <w:kern w:val="0"/>
          <w:sz w:val="24"/>
        </w:rPr>
        <w:br w:type="textWrapping"/>
      </w:r>
      <w:r>
        <w:rPr>
          <w:rFonts w:ascii="宋体" w:hAnsi="宋体" w:eastAsia="宋体" w:cs="宋体"/>
          <w:kern w:val="0"/>
          <w:sz w:val="24"/>
        </w:rPr>
        <w:t>【说明】原条款未明确保修书的提交时间及迟延后果，可能导致保修责任落地延迟。设置竣工验收前7日的期限及逾期责任，可促使承包人及时完成保修义务文件。</w:t>
      </w:r>
      <w:r>
        <w:rPr>
          <w:rFonts w:ascii="宋体" w:hAnsi="宋体" w:eastAsia="宋体" w:cs="宋体"/>
          <w:kern w:val="0"/>
          <w:sz w:val="24"/>
        </w:rPr>
        <w:br w:type="textWrapping"/>
      </w:r>
      <w:r>
        <w:rPr>
          <w:rFonts w:ascii="宋体" w:hAnsi="宋体" w:eastAsia="宋体" w:cs="宋体"/>
          <w:kern w:val="0"/>
          <w:sz w:val="24"/>
        </w:rPr>
        <w:t>【修改建议】 14．2 双方约定在竣工验收前签订工程保修书的时间和要求：</w:t>
      </w:r>
      <w:r>
        <w:rPr>
          <w:rFonts w:ascii="宋体" w:hAnsi="宋体" w:eastAsia="宋体" w:cs="宋体"/>
          <w:color w:val="FF0000"/>
          <w:kern w:val="0"/>
          <w:sz w:val="24"/>
        </w:rPr>
        <w:t>承包人应在竣工验收前7日内向发包人提交并完成工程保修书的签署。承包人逾期提交或签署的，每逾期一日按合同价款的万分之五向发包人支付违约金；逾期超过7日的，发包人有权暂缓办理竣工结算及支付相应款项，但不影响承包人的保修责任。工程保修书(附件三)作为本合同附件。</w:t>
      </w:r>
    </w:p>
  </w:comment>
  <w:comment w:id="38" w:author="熊律师" w:date="2026-08-07T14:43:00Z" w:initials="">
    <w:p w14:paraId="2E055BFB">
      <w:r>
        <w:rPr>
          <w:rFonts w:ascii="宋体" w:hAnsi="宋体" w:eastAsia="宋体" w:cs="宋体"/>
          <w:kern w:val="0"/>
          <w:sz w:val="24"/>
        </w:rPr>
        <w:t>【风险点】质量保证金约定缺失</w:t>
      </w:r>
      <w:r>
        <w:rPr>
          <w:rFonts w:ascii="宋体" w:hAnsi="宋体" w:eastAsia="宋体" w:cs="宋体"/>
          <w:kern w:val="0"/>
          <w:sz w:val="24"/>
        </w:rPr>
        <w:br w:type="textWrapping"/>
      </w:r>
      <w:r>
        <w:rPr>
          <w:rFonts w:ascii="宋体" w:hAnsi="宋体" w:eastAsia="宋体" w:cs="宋体"/>
          <w:kern w:val="0"/>
          <w:sz w:val="24"/>
        </w:rPr>
        <w:t>【说明】补充质量保证金的预留比例、起算时间、退还条件及费用抵扣规则，为甲方在保修期内处理质量缺陷并抵扣保修费用提供明确合同依据。</w:t>
      </w:r>
      <w:r>
        <w:rPr>
          <w:rFonts w:ascii="宋体" w:hAnsi="宋体" w:eastAsia="宋体" w:cs="宋体"/>
          <w:kern w:val="0"/>
          <w:sz w:val="24"/>
        </w:rPr>
        <w:br w:type="textWrapping"/>
      </w:r>
      <w:r>
        <w:rPr>
          <w:rFonts w:ascii="宋体" w:hAnsi="宋体" w:eastAsia="宋体" w:cs="宋体"/>
          <w:kern w:val="0"/>
          <w:sz w:val="24"/>
        </w:rPr>
        <w:t>【修改建议】</w:t>
      </w:r>
      <w:r>
        <w:rPr>
          <w:rFonts w:ascii="宋体" w:hAnsi="宋体" w:eastAsia="宋体" w:cs="宋体"/>
          <w:color w:val="FF0000"/>
          <w:kern w:val="0"/>
          <w:sz w:val="24"/>
        </w:rPr>
        <w:t>质量保证金专项条款：双方一致同意，工程结算价款的3%作为质量保证金，自工程竣工验收合格之日起算，质量保修期满且承包人完成全部保修义务后14日内，甲方将剩余质量保证金无息退还乙方；保修期内发生保修费用的，甲方有权直接从质量保证金中扣除。</w:t>
      </w:r>
    </w:p>
  </w:comment>
  <w:comment w:id="37" w:author="熊律师" w:date="2026-08-07T14:39:00Z" w:initials="">
    <w:p w14:paraId="75B45EB2">
      <w:r>
        <w:rPr>
          <w:rFonts w:ascii="宋体" w:hAnsi="宋体" w:eastAsia="宋体" w:cs="宋体"/>
          <w:color w:val="0000FF"/>
          <w:kern w:val="0"/>
          <w:sz w:val="24"/>
        </w:rPr>
        <w:t>【提示】明确保修书签订时间及要求</w:t>
      </w:r>
      <w:r>
        <w:rPr>
          <w:rFonts w:ascii="宋体" w:hAnsi="宋体" w:eastAsia="宋体" w:cs="宋体"/>
          <w:color w:val="0000FF"/>
          <w:kern w:val="0"/>
          <w:sz w:val="24"/>
        </w:rPr>
        <w:br w:type="textWrapping"/>
      </w:r>
      <w:r>
        <w:rPr>
          <w:rFonts w:ascii="宋体" w:hAnsi="宋体" w:eastAsia="宋体" w:cs="宋体"/>
          <w:color w:val="0000FF"/>
          <w:kern w:val="0"/>
          <w:sz w:val="24"/>
        </w:rPr>
        <w:t>【说明】工程保修书的签订时间和具体要求尚未明确，可能影响甲方在竣工验收前取得保修保障、质量保修责任的落实及后续追责。</w:t>
      </w:r>
    </w:p>
  </w:comment>
  <w:comment w:id="39" w:author="熊律师" w:date="2026-08-07T14:47:00Z" w:initials="">
    <w:p w14:paraId="3344F674">
      <w:r>
        <w:rPr>
          <w:rFonts w:ascii="宋体" w:hAnsi="宋体" w:eastAsia="宋体" w:cs="宋体"/>
          <w:kern w:val="0"/>
          <w:sz w:val="24"/>
        </w:rPr>
        <w:t>【风险点】明确付款迟延免责及责任范围</w:t>
      </w:r>
      <w:r>
        <w:rPr>
          <w:rFonts w:ascii="宋体" w:hAnsi="宋体" w:eastAsia="宋体" w:cs="宋体"/>
          <w:kern w:val="0"/>
          <w:sz w:val="24"/>
        </w:rPr>
        <w:br w:type="textWrapping"/>
      </w:r>
      <w:r>
        <w:rPr>
          <w:rFonts w:ascii="宋体" w:hAnsi="宋体" w:eastAsia="宋体" w:cs="宋体"/>
          <w:kern w:val="0"/>
          <w:sz w:val="24"/>
        </w:rPr>
        <w:t>【说明】政府采购项目付款可能受不可抗力、财政拨款及审批流程影响。明确非因发包人原因导致的付款迟延不构成违约，可避免发包人承担无法控制的逾期付款责任。付款违约责任应审慎确定责任范围，避免因责任约定过高或金额固定而增加财政资金支付风险。</w:t>
      </w:r>
      <w:r>
        <w:rPr>
          <w:rFonts w:ascii="宋体" w:hAnsi="宋体" w:eastAsia="宋体" w:cs="宋体"/>
          <w:kern w:val="0"/>
          <w:sz w:val="24"/>
        </w:rPr>
        <w:br w:type="textWrapping"/>
      </w:r>
      <w:r>
        <w:rPr>
          <w:rFonts w:ascii="宋体" w:hAnsi="宋体" w:eastAsia="宋体" w:cs="宋体"/>
          <w:kern w:val="0"/>
          <w:sz w:val="24"/>
        </w:rPr>
        <w:t>【修改建议】 15．1 发包人未按约定拨付工程款和工程结算款，应承担的违约责任：</w:t>
      </w:r>
      <w:r>
        <w:rPr>
          <w:rFonts w:ascii="宋体" w:hAnsi="宋体" w:eastAsia="宋体" w:cs="宋体"/>
          <w:color w:val="FF0000"/>
          <w:kern w:val="0"/>
          <w:sz w:val="24"/>
        </w:rPr>
        <w:t>除因不可抗力、财政拨款或审批流程延迟，以及其他非因发包人原因导致的付款迟延外，发包人不承担逾期付款违约责任；因上述免责情形导致付款迟延的，付款期限相应顺延，承包人不得据此主张违约金、损失赔偿或解除合同。</w:t>
      </w:r>
    </w:p>
  </w:comment>
  <w:comment w:id="40" w:author="熊律师" w:date="2026-08-07T14:51:00Z" w:initials="">
    <w:p w14:paraId="54DCDE49">
      <w:r>
        <w:rPr>
          <w:rFonts w:ascii="宋体" w:hAnsi="宋体" w:eastAsia="宋体" w:cs="宋体"/>
          <w:kern w:val="0"/>
          <w:sz w:val="24"/>
        </w:rPr>
        <w:t>【风险点】明确逾期竣工及质量不合格责任</w:t>
      </w:r>
      <w:r>
        <w:rPr>
          <w:rFonts w:ascii="宋体" w:hAnsi="宋体" w:eastAsia="宋体" w:cs="宋体"/>
          <w:kern w:val="0"/>
          <w:sz w:val="24"/>
        </w:rPr>
        <w:br w:type="textWrapping"/>
      </w:r>
      <w:r>
        <w:rPr>
          <w:rFonts w:ascii="宋体" w:hAnsi="宋体" w:eastAsia="宋体" w:cs="宋体"/>
          <w:kern w:val="0"/>
          <w:sz w:val="24"/>
        </w:rPr>
        <w:t>【说明】原条款对逾期竣工和质量不合格责任未作明确约定，发包人在发生工期延误或工程质量瑕疵时缺乏主张违约金、维修费用及损失赔偿的合同依据。明确逾期违约金、质量违约金、返修重做责任及损失赔偿范围，有助于保障发包人的合同权利。签约前应核对违约金比例、计算基数及赔偿范围是否符合双方实际约定。</w:t>
      </w:r>
      <w:r>
        <w:rPr>
          <w:rFonts w:ascii="宋体" w:hAnsi="宋体" w:eastAsia="宋体" w:cs="宋体"/>
          <w:kern w:val="0"/>
          <w:sz w:val="24"/>
        </w:rPr>
        <w:br w:type="textWrapping"/>
      </w:r>
      <w:r>
        <w:rPr>
          <w:rFonts w:ascii="宋体" w:hAnsi="宋体" w:eastAsia="宋体" w:cs="宋体"/>
          <w:kern w:val="0"/>
          <w:sz w:val="24"/>
        </w:rPr>
        <w:t>【修改建议】 15．2 承包人未按本合同约定按时竣工或未达到质量标准，应承担的违约责任：</w:t>
      </w:r>
      <w:r>
        <w:rPr>
          <w:rFonts w:ascii="宋体" w:hAnsi="宋体" w:eastAsia="宋体" w:cs="宋体"/>
          <w:color w:val="FF0000"/>
          <w:kern w:val="0"/>
          <w:sz w:val="24"/>
        </w:rPr>
        <w:t>因承包人原因逾期竣工的，每逾期一日，按合同价款的万分之五向发包人支付违约金；逾期竣工超过30日的，发包人有权解除合同。工程质量未达到约定标准的，承包人应无偿返修、重做并承担由此产生的全部费用，另按不合格部分合同价款的10%向发包人支付违约金；造成发包人损失的，还应赔偿全部损失。上述违约金不足以弥补发包人损失的，承包人仍应补足差额。</w:t>
      </w:r>
    </w:p>
  </w:comment>
  <w:comment w:id="41" w:author="熊律师" w:date="2026-08-07T14:54:00Z" w:initials="">
    <w:p w14:paraId="6B4F886C">
      <w:r>
        <w:rPr>
          <w:rFonts w:ascii="宋体" w:hAnsi="宋体" w:eastAsia="宋体" w:cs="宋体"/>
          <w:kern w:val="0"/>
          <w:sz w:val="24"/>
        </w:rPr>
        <w:t>【风险点】明确承包人其他违约情形及责任</w:t>
      </w:r>
      <w:r>
        <w:rPr>
          <w:rFonts w:ascii="宋体" w:hAnsi="宋体" w:eastAsia="宋体" w:cs="宋体"/>
          <w:kern w:val="0"/>
          <w:sz w:val="24"/>
        </w:rPr>
        <w:br w:type="textWrapping"/>
      </w:r>
      <w:r>
        <w:rPr>
          <w:rFonts w:ascii="宋体" w:hAnsi="宋体" w:eastAsia="宋体" w:cs="宋体"/>
          <w:kern w:val="0"/>
          <w:sz w:val="24"/>
        </w:rPr>
        <w:t>【说明】原条款未列明承包人其他重大违约行为及其后果，承包人转包、违法分包、材料质量不合格、违反安全规定、成品损坏及第三方损害等行为可能缺乏明确责任依据。明确违约情形、整改及修复责任、违约金和损失赔偿责任，有利于强化发包人的风险控制和追偿能力。</w:t>
      </w:r>
      <w:r>
        <w:rPr>
          <w:rFonts w:ascii="宋体" w:hAnsi="宋体" w:eastAsia="宋体" w:cs="宋体"/>
          <w:kern w:val="0"/>
          <w:sz w:val="24"/>
        </w:rPr>
        <w:br w:type="textWrapping"/>
      </w:r>
      <w:r>
        <w:rPr>
          <w:rFonts w:ascii="宋体" w:hAnsi="宋体" w:eastAsia="宋体" w:cs="宋体"/>
          <w:kern w:val="0"/>
          <w:sz w:val="24"/>
        </w:rPr>
        <w:t>【修改建议】双方还约定承包人应承担的其他违约责任：</w:t>
      </w:r>
      <w:r>
        <w:rPr>
          <w:rFonts w:ascii="宋体" w:hAnsi="宋体" w:eastAsia="宋体" w:cs="宋体"/>
          <w:color w:val="FF0000"/>
          <w:kern w:val="0"/>
          <w:sz w:val="24"/>
        </w:rPr>
        <w:t>承包人擅自转包、违法分包，使用不合格或不符合设计要求的材料、设备，擅自变更设计、减省工序，违反安全生产或消防规定，未履行成品保护义务，或因其原因造成第三方人身、财产损害的，均构成违约。承包人应立即改正、返工或恢复原状，承担全部返修、检测、处理、赔偿及其他费用，并按合同价款的10%向发包人支付违约金；其中造成安全事故或第三方损害的，承包人应承担全部赔偿责任，并赔偿发包人因此遭受的全部损失。违约金不足以弥补损失的，承包人仍应补足差额。</w:t>
      </w:r>
    </w:p>
  </w:comment>
  <w:comment w:id="42" w:author="熊律师" w:date="2026-08-07T14:57:00Z" w:initials="">
    <w:p w14:paraId="35749BE9">
      <w:r>
        <w:rPr>
          <w:rFonts w:ascii="宋体" w:hAnsi="宋体" w:eastAsia="宋体" w:cs="宋体"/>
          <w:color w:val="0000FF"/>
          <w:kern w:val="0"/>
          <w:sz w:val="24"/>
        </w:rPr>
        <w:t>【提示】提示索赔期限较短</w:t>
      </w:r>
      <w:r>
        <w:rPr>
          <w:rFonts w:ascii="宋体" w:hAnsi="宋体" w:eastAsia="宋体" w:cs="宋体"/>
          <w:color w:val="0000FF"/>
          <w:kern w:val="0"/>
          <w:sz w:val="24"/>
        </w:rPr>
        <w:br w:type="textWrapping"/>
      </w:r>
      <w:r>
        <w:rPr>
          <w:rFonts w:ascii="宋体" w:hAnsi="宋体" w:eastAsia="宋体" w:cs="宋体"/>
          <w:color w:val="0000FF"/>
          <w:kern w:val="0"/>
          <w:sz w:val="24"/>
        </w:rPr>
        <w:t>【说明】该条将索赔通知及资料提交期限限定为事件发生后14日，甲方应建立内部记录、审核和回复机制，避免因超过期限而被视为认可或丧失抗辩空间。</w:t>
      </w:r>
    </w:p>
  </w:comment>
  <w:comment w:id="43" w:author="熊律师" w:date="2026-08-07T15:00:00Z" w:initials="">
    <w:p w14:paraId="52624A7D">
      <w:r>
        <w:rPr>
          <w:rFonts w:ascii="宋体" w:hAnsi="宋体" w:eastAsia="宋体" w:cs="宋体"/>
          <w:color w:val="0000FF"/>
          <w:kern w:val="0"/>
          <w:sz w:val="24"/>
        </w:rPr>
        <w:t>【提示】仲裁机构未明确</w:t>
      </w:r>
      <w:r>
        <w:rPr>
          <w:rFonts w:ascii="宋体" w:hAnsi="宋体" w:eastAsia="宋体" w:cs="宋体"/>
          <w:color w:val="0000FF"/>
          <w:kern w:val="0"/>
          <w:sz w:val="24"/>
        </w:rPr>
        <w:br w:type="textWrapping"/>
      </w:r>
      <w:r>
        <w:rPr>
          <w:rFonts w:ascii="宋体" w:hAnsi="宋体" w:eastAsia="宋体" w:cs="宋体"/>
          <w:color w:val="0000FF"/>
          <w:kern w:val="0"/>
          <w:sz w:val="24"/>
        </w:rPr>
        <w:t>【说明】仲裁委员会名称尚未明确，可能导致仲裁机构无法确定并引发仲裁条款效力争议。甲方如选择仲裁方式，应补充明确具体仲裁委员会名称。</w:t>
      </w:r>
    </w:p>
  </w:comment>
  <w:comment w:id="44" w:author="熊律师" w:date="2026-08-07T15:04:00Z" w:initials="">
    <w:p w14:paraId="3EA4EB0B">
      <w:r>
        <w:rPr>
          <w:rFonts w:ascii="宋体" w:hAnsi="宋体" w:eastAsia="宋体" w:cs="宋体"/>
          <w:kern w:val="0"/>
          <w:sz w:val="24"/>
        </w:rPr>
        <w:t>【风险点】明确诉讼管辖法院</w:t>
      </w:r>
      <w:r>
        <w:rPr>
          <w:rFonts w:ascii="宋体" w:hAnsi="宋体" w:eastAsia="宋体" w:cs="宋体"/>
          <w:kern w:val="0"/>
          <w:sz w:val="24"/>
        </w:rPr>
        <w:br w:type="textWrapping"/>
      </w:r>
      <w:r>
        <w:rPr>
          <w:rFonts w:ascii="宋体" w:hAnsi="宋体" w:eastAsia="宋体" w:cs="宋体"/>
          <w:kern w:val="0"/>
          <w:sz w:val="24"/>
        </w:rPr>
        <w:t>【说明】明确由甲方所在地有管辖权的人民法院管辖，避免因管辖法院不明确引发管辖权争议，降低甲方异地维权及诉讼成本。</w:t>
      </w:r>
      <w:r>
        <w:rPr>
          <w:rFonts w:ascii="宋体" w:hAnsi="宋体" w:eastAsia="宋体" w:cs="宋体"/>
          <w:kern w:val="0"/>
          <w:sz w:val="24"/>
        </w:rPr>
        <w:br w:type="textWrapping"/>
      </w:r>
      <w:r>
        <w:rPr>
          <w:rFonts w:ascii="宋体" w:hAnsi="宋体" w:eastAsia="宋体" w:cs="宋体"/>
          <w:kern w:val="0"/>
          <w:sz w:val="24"/>
        </w:rPr>
        <w:t>【修改建议】 (3)向</w:t>
      </w:r>
      <w:r>
        <w:rPr>
          <w:rFonts w:ascii="宋体" w:hAnsi="宋体" w:eastAsia="宋体" w:cs="宋体"/>
          <w:strike/>
          <w:color w:val="999999"/>
          <w:kern w:val="0"/>
          <w:sz w:val="24"/>
        </w:rPr>
        <w:t xml:space="preserve"> </w:t>
      </w:r>
      <w:r>
        <w:rPr>
          <w:rFonts w:ascii="宋体" w:hAnsi="宋体" w:eastAsia="宋体" w:cs="宋体"/>
          <w:color w:val="FF0000"/>
          <w:kern w:val="0"/>
          <w:sz w:val="24"/>
        </w:rPr>
        <w:t>甲方所在地有管辖权的</w:t>
      </w:r>
      <w:r>
        <w:rPr>
          <w:rFonts w:ascii="宋体" w:hAnsi="宋体" w:eastAsia="宋体" w:cs="宋体"/>
          <w:kern w:val="0"/>
          <w:sz w:val="24"/>
        </w:rPr>
        <w:t>人民法院提起诉讼。</w:t>
      </w:r>
    </w:p>
  </w:comment>
  <w:comment w:id="45" w:author="熊律师" w:date="2026-08-07T15:07:00Z" w:initials="">
    <w:p w14:paraId="69AE7793">
      <w:r>
        <w:rPr>
          <w:rFonts w:ascii="宋体" w:hAnsi="宋体" w:eastAsia="宋体" w:cs="宋体"/>
          <w:kern w:val="0"/>
          <w:sz w:val="24"/>
        </w:rPr>
        <w:t>【风险点】完善承包人解除合同的前置条件</w:t>
      </w:r>
      <w:r>
        <w:rPr>
          <w:rFonts w:ascii="宋体" w:hAnsi="宋体" w:eastAsia="宋体" w:cs="宋体"/>
          <w:kern w:val="0"/>
          <w:sz w:val="24"/>
        </w:rPr>
        <w:br w:type="textWrapping"/>
      </w:r>
      <w:r>
        <w:rPr>
          <w:rFonts w:ascii="宋体" w:hAnsi="宋体" w:eastAsia="宋体" w:cs="宋体"/>
          <w:kern w:val="0"/>
          <w:sz w:val="24"/>
        </w:rPr>
        <w:t>【说明】增加承包人催告及发包人合理宽限期，避免承包人在未给予发包人补救机会的情况下直接行使解除权，降低因付款审批或拨付程序性延迟导致合同解除及后续损失的风险。</w:t>
      </w:r>
      <w:r>
        <w:rPr>
          <w:rFonts w:ascii="宋体" w:hAnsi="宋体" w:eastAsia="宋体" w:cs="宋体"/>
          <w:kern w:val="0"/>
          <w:sz w:val="24"/>
        </w:rPr>
        <w:br w:type="textWrapping"/>
      </w:r>
      <w:r>
        <w:rPr>
          <w:rFonts w:ascii="宋体" w:hAnsi="宋体" w:eastAsia="宋体" w:cs="宋体"/>
          <w:kern w:val="0"/>
          <w:sz w:val="24"/>
        </w:rPr>
        <w:t>【修改建议】 16．2 发包人未按约定支付工程款，</w:t>
      </w:r>
      <w:r>
        <w:rPr>
          <w:rFonts w:ascii="宋体" w:hAnsi="宋体" w:eastAsia="宋体" w:cs="宋体"/>
          <w:color w:val="FF0000"/>
          <w:kern w:val="0"/>
          <w:sz w:val="24"/>
        </w:rPr>
        <w:t>承包人催告后28天内发包人仍未支付，且</w:t>
      </w:r>
      <w:r>
        <w:rPr>
          <w:rFonts w:ascii="宋体" w:hAnsi="宋体" w:eastAsia="宋体" w:cs="宋体"/>
          <w:kern w:val="0"/>
          <w:sz w:val="24"/>
        </w:rPr>
        <w:t>停止施工超过56天</w:t>
      </w:r>
      <w:r>
        <w:rPr>
          <w:rFonts w:ascii="宋体" w:hAnsi="宋体" w:eastAsia="宋体" w:cs="宋体"/>
          <w:color w:val="FF0000"/>
          <w:kern w:val="0"/>
          <w:sz w:val="24"/>
        </w:rPr>
        <w:t>的</w:t>
      </w:r>
      <w:r>
        <w:rPr>
          <w:rFonts w:ascii="宋体" w:hAnsi="宋体" w:eastAsia="宋体" w:cs="宋体"/>
          <w:kern w:val="0"/>
          <w:sz w:val="24"/>
        </w:rPr>
        <w:t>，承包人有权解除合同。</w:t>
      </w:r>
    </w:p>
  </w:comment>
  <w:comment w:id="46" w:author="熊律师" w:date="2026-08-07T15:10:00Z" w:initials="">
    <w:p w14:paraId="34AD402F">
      <w:r>
        <w:rPr>
          <w:rFonts w:ascii="宋体" w:hAnsi="宋体" w:eastAsia="宋体" w:cs="宋体"/>
          <w:kern w:val="0"/>
          <w:sz w:val="24"/>
        </w:rPr>
        <w:t>【风险点】转包违法分包责任不足</w:t>
      </w:r>
      <w:r>
        <w:rPr>
          <w:rFonts w:ascii="宋体" w:hAnsi="宋体" w:eastAsia="宋体" w:cs="宋体"/>
          <w:kern w:val="0"/>
          <w:sz w:val="24"/>
        </w:rPr>
        <w:br w:type="textWrapping"/>
      </w:r>
      <w:r>
        <w:rPr>
          <w:rFonts w:ascii="宋体" w:hAnsi="宋体" w:eastAsia="宋体" w:cs="宋体"/>
          <w:kern w:val="0"/>
          <w:sz w:val="24"/>
        </w:rPr>
        <w:t>【说明】原条款仅赋予甲方解除权，未设置经济责任，难以弥补转包或违法分包对工程管理、质量和工期造成的损失。增加违约金及损失赔偿责任，可提高该禁止性约定的约束力。</w:t>
      </w:r>
      <w:r>
        <w:rPr>
          <w:rFonts w:ascii="宋体" w:hAnsi="宋体" w:eastAsia="宋体" w:cs="宋体"/>
          <w:kern w:val="0"/>
          <w:sz w:val="24"/>
        </w:rPr>
        <w:br w:type="textWrapping"/>
      </w:r>
      <w:r>
        <w:rPr>
          <w:rFonts w:ascii="宋体" w:hAnsi="宋体" w:eastAsia="宋体" w:cs="宋体"/>
          <w:kern w:val="0"/>
          <w:sz w:val="24"/>
        </w:rPr>
        <w:t>【修改建议】</w:t>
      </w:r>
      <w:r>
        <w:rPr>
          <w:rFonts w:ascii="宋体" w:hAnsi="宋体" w:eastAsia="宋体" w:cs="宋体"/>
          <w:color w:val="FF0000"/>
          <w:kern w:val="0"/>
          <w:sz w:val="24"/>
        </w:rPr>
        <w:t xml:space="preserve"> </w:t>
      </w:r>
      <w:r>
        <w:rPr>
          <w:rFonts w:ascii="宋体" w:hAnsi="宋体" w:eastAsia="宋体" w:cs="宋体"/>
          <w:kern w:val="0"/>
          <w:sz w:val="24"/>
        </w:rPr>
        <w:t>16．3 承包人将工程全部转包给他人或肢解以后以分包名义转包给他人，</w:t>
      </w:r>
      <w:r>
        <w:rPr>
          <w:rFonts w:ascii="宋体" w:hAnsi="宋体" w:eastAsia="宋体" w:cs="宋体"/>
          <w:color w:val="FF0000"/>
          <w:kern w:val="0"/>
          <w:sz w:val="24"/>
        </w:rPr>
        <w:t>或实施其他违法分包行为的，</w:t>
      </w:r>
      <w:r>
        <w:rPr>
          <w:rFonts w:ascii="宋体" w:hAnsi="宋体" w:eastAsia="宋体" w:cs="宋体"/>
          <w:kern w:val="0"/>
          <w:sz w:val="24"/>
        </w:rPr>
        <w:t>发包人有权解除合同。</w:t>
      </w:r>
      <w:r>
        <w:rPr>
          <w:rFonts w:ascii="宋体" w:hAnsi="宋体" w:eastAsia="宋体" w:cs="宋体"/>
          <w:color w:val="FF0000"/>
          <w:kern w:val="0"/>
          <w:sz w:val="24"/>
        </w:rPr>
        <w:t>承包人还应按合同价款的20%向发包人支付违约金，并赔偿发包人因此遭受的全部损失。</w:t>
      </w:r>
    </w:p>
  </w:comment>
  <w:comment w:id="47" w:author="熊律师" w:date="2026-08-07T15:14:00Z" w:initials="">
    <w:p w14:paraId="501A390C">
      <w:r>
        <w:rPr>
          <w:rFonts w:ascii="宋体" w:hAnsi="宋体" w:eastAsia="宋体" w:cs="宋体"/>
          <w:color w:val="0000FF"/>
          <w:kern w:val="0"/>
          <w:sz w:val="24"/>
        </w:rPr>
        <w:t>【提示】其他解除事由为空</w:t>
      </w:r>
      <w:r>
        <w:rPr>
          <w:rFonts w:ascii="宋体" w:hAnsi="宋体" w:eastAsia="宋体" w:cs="宋体"/>
          <w:color w:val="0000FF"/>
          <w:kern w:val="0"/>
          <w:sz w:val="24"/>
        </w:rPr>
        <w:br w:type="textWrapping"/>
      </w:r>
      <w:r>
        <w:rPr>
          <w:rFonts w:ascii="宋体" w:hAnsi="宋体" w:eastAsia="宋体" w:cs="宋体"/>
          <w:color w:val="0000FF"/>
          <w:kern w:val="0"/>
          <w:sz w:val="24"/>
        </w:rPr>
        <w:t>【说明】双方约定的其他合同解除原因为空，甲方如需针对项目特点设置解除事由，应在签署前明确，否则只能依据现有约定处理。</w:t>
      </w:r>
    </w:p>
  </w:comment>
  <w:comment w:id="48" w:author="熊律师" w:date="2026-08-07T15:17:00Z" w:initials="">
    <w:p w14:paraId="0E72C701">
      <w:r>
        <w:rPr>
          <w:rFonts w:ascii="宋体" w:hAnsi="宋体" w:eastAsia="宋体" w:cs="宋体"/>
          <w:kern w:val="0"/>
          <w:sz w:val="24"/>
        </w:rPr>
        <w:t>【风险点】甲方解除条件不够明确</w:t>
      </w:r>
      <w:r>
        <w:rPr>
          <w:rFonts w:ascii="宋体" w:hAnsi="宋体" w:eastAsia="宋体" w:cs="宋体"/>
          <w:kern w:val="0"/>
          <w:sz w:val="24"/>
        </w:rPr>
        <w:br w:type="textWrapping"/>
      </w:r>
      <w:r>
        <w:rPr>
          <w:rFonts w:ascii="宋体" w:hAnsi="宋体" w:eastAsia="宋体" w:cs="宋体"/>
          <w:kern w:val="0"/>
          <w:sz w:val="24"/>
        </w:rPr>
        <w:t>【说明】原条款仅以合同无法履行为解除条件，触发标准不明确。补充工期严重延误、重大质量瑕疵、履约能力丧失及重大违约等具体情形，可使甲方解除权具有明确、可操作的行使依据。</w:t>
      </w:r>
      <w:r>
        <w:rPr>
          <w:rFonts w:ascii="宋体" w:hAnsi="宋体" w:eastAsia="宋体" w:cs="宋体"/>
          <w:kern w:val="0"/>
          <w:sz w:val="24"/>
        </w:rPr>
        <w:br w:type="textWrapping"/>
      </w:r>
      <w:r>
        <w:rPr>
          <w:rFonts w:ascii="宋体" w:hAnsi="宋体" w:eastAsia="宋体" w:cs="宋体"/>
          <w:kern w:val="0"/>
          <w:sz w:val="24"/>
        </w:rPr>
        <w:t>【修改建议】 (3)双方约定，其他导致合同解除的原因</w:t>
      </w:r>
      <w:r>
        <w:rPr>
          <w:rFonts w:ascii="宋体" w:hAnsi="宋体" w:eastAsia="宋体" w:cs="宋体"/>
          <w:color w:val="FF0000"/>
          <w:kern w:val="0"/>
          <w:sz w:val="24"/>
        </w:rPr>
        <w:t>：因承包人原因导致实际进度较计划进度延误超过30日或预计无法按合同约定竣工；工程存在重大质量瑕疵、经返修或重做仍不符合约定质量标准，或者承包人拒不返修、重做；承包人被依法吊销、责令停业，丧失相应施工资质或履约能力，进入破产、清算程序，或者出现其他足以影响合同正常履行的情形；承包人有转包、违法分包、擅自变更设计或减省工序等重大违约行为的，发包人有权解除合同，并要求承包人承担违约责任及赔偿损失。</w:t>
      </w:r>
    </w:p>
  </w:comment>
  <w:comment w:id="49" w:author="熊律师" w:date="2026-08-07T15:20:00Z" w:initials="">
    <w:p w14:paraId="7AD76C9E">
      <w:r>
        <w:rPr>
          <w:rFonts w:ascii="宋体" w:hAnsi="宋体" w:eastAsia="宋体" w:cs="宋体"/>
          <w:kern w:val="0"/>
          <w:sz w:val="24"/>
        </w:rPr>
        <w:t>【风险点】解除争议引用错误</w:t>
      </w:r>
      <w:r>
        <w:rPr>
          <w:rFonts w:ascii="宋体" w:hAnsi="宋体" w:eastAsia="宋体" w:cs="宋体"/>
          <w:kern w:val="0"/>
          <w:sz w:val="24"/>
        </w:rPr>
        <w:br w:type="textWrapping"/>
      </w:r>
      <w:r>
        <w:rPr>
          <w:rFonts w:ascii="宋体" w:hAnsi="宋体" w:eastAsia="宋体" w:cs="宋体"/>
          <w:kern w:val="0"/>
          <w:sz w:val="24"/>
        </w:rPr>
        <w:t>【说明】第15．6款才是合同约定的争议解决条款，修正引用后可避免解除合同争议被错误引导至合同解除后的处理条款，便于甲方明确适用仲裁或诉讼方式。</w:t>
      </w:r>
      <w:r>
        <w:rPr>
          <w:rFonts w:ascii="宋体" w:hAnsi="宋体" w:eastAsia="宋体" w:cs="宋体"/>
          <w:kern w:val="0"/>
          <w:sz w:val="24"/>
        </w:rPr>
        <w:br w:type="textWrapping"/>
      </w:r>
      <w:r>
        <w:rPr>
          <w:rFonts w:ascii="宋体" w:hAnsi="宋体" w:eastAsia="宋体" w:cs="宋体"/>
          <w:kern w:val="0"/>
          <w:sz w:val="24"/>
        </w:rPr>
        <w:t>【修改建议】16．5 一方依据合同约定要求解除合同，应以书面形式向对方发出解除合同通知，并在发出通知前7天告知对方，通知到达时合同解除。对解除合同有争议的，按本合同条款第1</w:t>
      </w:r>
      <w:r>
        <w:rPr>
          <w:rFonts w:ascii="宋体" w:hAnsi="宋体" w:eastAsia="宋体" w:cs="宋体"/>
          <w:strike/>
          <w:color w:val="999999"/>
          <w:kern w:val="0"/>
          <w:sz w:val="24"/>
        </w:rPr>
        <w:t>6</w:t>
      </w:r>
      <w:r>
        <w:rPr>
          <w:rFonts w:ascii="宋体" w:hAnsi="宋体" w:eastAsia="宋体" w:cs="宋体"/>
          <w:color w:val="FF0000"/>
          <w:kern w:val="0"/>
          <w:sz w:val="24"/>
        </w:rPr>
        <w:t>5</w:t>
      </w:r>
      <w:r>
        <w:rPr>
          <w:rFonts w:ascii="宋体" w:hAnsi="宋体" w:eastAsia="宋体" w:cs="宋体"/>
          <w:kern w:val="0"/>
          <w:sz w:val="24"/>
        </w:rPr>
        <w:t>．6款的约定处理。</w:t>
      </w:r>
    </w:p>
  </w:comment>
  <w:comment w:id="50" w:author="熊律师" w:date="2026-08-07T15:24:00Z" w:initials="">
    <w:p w14:paraId="67CD76A0">
      <w:r>
        <w:rPr>
          <w:rFonts w:ascii="宋体" w:hAnsi="宋体" w:eastAsia="宋体" w:cs="宋体"/>
          <w:color w:val="0000FF"/>
          <w:kern w:val="0"/>
          <w:sz w:val="24"/>
        </w:rPr>
        <w:t>【提示】不可抗力约定为空</w:t>
      </w:r>
      <w:r>
        <w:rPr>
          <w:rFonts w:ascii="宋体" w:hAnsi="宋体" w:eastAsia="宋体" w:cs="宋体"/>
          <w:color w:val="0000FF"/>
          <w:kern w:val="0"/>
          <w:sz w:val="24"/>
        </w:rPr>
        <w:br w:type="textWrapping"/>
      </w:r>
      <w:r>
        <w:rPr>
          <w:rFonts w:ascii="宋体" w:hAnsi="宋体" w:eastAsia="宋体" w:cs="宋体"/>
          <w:color w:val="0000FF"/>
          <w:kern w:val="0"/>
          <w:sz w:val="24"/>
        </w:rPr>
        <w:t>【说明】本工程不可抗力的具体约定未填写，可能导致事件范围、通知及损失处理争议，建议结合项目特点补充明确。</w:t>
      </w:r>
    </w:p>
  </w:comment>
  <w:comment w:id="51" w:author="熊律师" w:date="2026-08-07T15:27:00Z" w:initials="">
    <w:p w14:paraId="2D2AED02">
      <w:r>
        <w:rPr>
          <w:rFonts w:ascii="宋体" w:hAnsi="宋体" w:eastAsia="宋体" w:cs="宋体"/>
          <w:color w:val="0000FF"/>
          <w:kern w:val="0"/>
          <w:sz w:val="24"/>
        </w:rPr>
        <w:t>【提示】补充条款为空</w:t>
      </w:r>
      <w:r>
        <w:rPr>
          <w:rFonts w:ascii="宋体" w:hAnsi="宋体" w:eastAsia="宋体" w:cs="宋体"/>
          <w:color w:val="0000FF"/>
          <w:kern w:val="0"/>
          <w:sz w:val="24"/>
        </w:rPr>
        <w:br w:type="textWrapping"/>
      </w:r>
      <w:r>
        <w:rPr>
          <w:rFonts w:ascii="宋体" w:hAnsi="宋体" w:eastAsia="宋体" w:cs="宋体"/>
          <w:color w:val="0000FF"/>
          <w:kern w:val="0"/>
          <w:sz w:val="24"/>
        </w:rPr>
        <w:t>【说明】补充条款未填写，项目特殊要求及双方已协商事项可能无法纳入合同依据，建议核实是否存在需要补充的内容。</w:t>
      </w:r>
    </w:p>
  </w:comment>
  <w:comment w:id="52" w:author="熊律师" w:date="2026-08-07T15:31:00Z" w:initials="">
    <w:p w14:paraId="0F671FD8">
      <w:r>
        <w:rPr>
          <w:rFonts w:ascii="宋体" w:hAnsi="宋体" w:eastAsia="宋体" w:cs="宋体"/>
          <w:kern w:val="0"/>
          <w:sz w:val="24"/>
        </w:rPr>
        <w:t>【风险点】补充承包人违约责任及违约金标准</w:t>
      </w:r>
      <w:r>
        <w:rPr>
          <w:rFonts w:ascii="宋体" w:hAnsi="宋体" w:eastAsia="宋体" w:cs="宋体"/>
          <w:kern w:val="0"/>
          <w:sz w:val="24"/>
        </w:rPr>
        <w:br w:type="textWrapping"/>
      </w:r>
      <w:r>
        <w:rPr>
          <w:rFonts w:ascii="宋体" w:hAnsi="宋体" w:eastAsia="宋体" w:cs="宋体"/>
          <w:kern w:val="0"/>
          <w:sz w:val="24"/>
        </w:rPr>
        <w:t>【说明】原条款未明确逾期竣工、工程质量不合格以及擅自变更设计、减省工序或降低材料设备标准等违约情形的责任承担和违约金标准，可能导致合同履行及争议处理缺乏明确依据。</w:t>
      </w:r>
      <w:r>
        <w:rPr>
          <w:rFonts w:ascii="宋体" w:hAnsi="宋体" w:eastAsia="宋体" w:cs="宋体"/>
          <w:kern w:val="0"/>
          <w:sz w:val="24"/>
        </w:rPr>
        <w:br w:type="textWrapping"/>
      </w:r>
      <w:r>
        <w:rPr>
          <w:rFonts w:ascii="宋体" w:hAnsi="宋体" w:eastAsia="宋体" w:cs="宋体"/>
          <w:kern w:val="0"/>
          <w:sz w:val="24"/>
        </w:rPr>
        <w:t>【修改建议】</w:t>
      </w:r>
      <w:r>
        <w:rPr>
          <w:rFonts w:ascii="宋体" w:hAnsi="宋体" w:eastAsia="宋体" w:cs="宋体"/>
          <w:color w:val="FF0000"/>
          <w:kern w:val="0"/>
          <w:sz w:val="24"/>
        </w:rPr>
        <w:t>因承包人原因逾期竣工的，每逾期一日，按合同价款的万分之五向发包人支付违约金；逾期竣工超过30日的，发包人有权解除合同。工程质量不合格的，承包人应无偿返修、重做并承担全部费用，另按不合格部分合同价款的10%支付违约金；因质量问题造成发包人或第三方损失的，承包人应承担全部赔偿责任。承包人未经发包人书面同意擅自变更设计、减省工序或降低材料、设备标准的，应恢复至合同约定状态，承担全部费用，并按合同价款的10%支付违约金；给发包人造成损失的，承包人应一并赔偿。违约金不足以弥补损失的，承包人应补足差额。</w:t>
      </w:r>
    </w:p>
  </w:comment>
  <w:comment w:id="53" w:author="熊律师" w:date="2026-08-07T15:34:00Z" w:initials="">
    <w:p w14:paraId="0637E625">
      <w:r>
        <w:rPr>
          <w:rFonts w:ascii="宋体" w:hAnsi="宋体" w:eastAsia="宋体" w:cs="宋体"/>
          <w:kern w:val="0"/>
          <w:sz w:val="24"/>
        </w:rPr>
        <w:t>【风险点】合同终止条款引用错误</w:t>
      </w:r>
      <w:r>
        <w:rPr>
          <w:rFonts w:ascii="宋体" w:hAnsi="宋体" w:eastAsia="宋体" w:cs="宋体"/>
          <w:kern w:val="0"/>
          <w:sz w:val="24"/>
        </w:rPr>
        <w:br w:type="textWrapping"/>
      </w:r>
      <w:r>
        <w:rPr>
          <w:rFonts w:ascii="宋体" w:hAnsi="宋体" w:eastAsia="宋体" w:cs="宋体"/>
          <w:kern w:val="0"/>
          <w:sz w:val="24"/>
        </w:rPr>
        <w:t>【说明】将排除范围改为合同解除条款所在的第16条，使合同终止与合同解除的制度衔接清晰，避免甲方在合同义务履行完毕后的权利义务范围产生争议。</w:t>
      </w:r>
      <w:r>
        <w:rPr>
          <w:rFonts w:ascii="宋体" w:hAnsi="宋体" w:eastAsia="宋体" w:cs="宋体"/>
          <w:kern w:val="0"/>
          <w:sz w:val="24"/>
        </w:rPr>
        <w:br w:type="textWrapping"/>
      </w:r>
      <w:r>
        <w:rPr>
          <w:rFonts w:ascii="宋体" w:hAnsi="宋体" w:eastAsia="宋体" w:cs="宋体"/>
          <w:kern w:val="0"/>
          <w:sz w:val="24"/>
        </w:rPr>
        <w:t>【修改建议】 19．1 除本合同条款第1</w:t>
      </w:r>
      <w:r>
        <w:rPr>
          <w:rFonts w:ascii="宋体" w:hAnsi="宋体" w:eastAsia="宋体" w:cs="宋体"/>
          <w:strike/>
          <w:color w:val="999999"/>
          <w:kern w:val="0"/>
          <w:sz w:val="24"/>
        </w:rPr>
        <w:t>5</w:t>
      </w:r>
      <w:r>
        <w:rPr>
          <w:rFonts w:ascii="宋体" w:hAnsi="宋体" w:eastAsia="宋体" w:cs="宋体"/>
          <w:color w:val="FF0000"/>
          <w:kern w:val="0"/>
          <w:sz w:val="24"/>
        </w:rPr>
        <w:t>6</w:t>
      </w:r>
      <w:r>
        <w:rPr>
          <w:rFonts w:ascii="宋体" w:hAnsi="宋体" w:eastAsia="宋体" w:cs="宋体"/>
          <w:kern w:val="0"/>
          <w:sz w:val="24"/>
        </w:rPr>
        <w:t>条以外，双方履行合同全部义务，竣工结算价款支付完毕，承包人向发包人交付竣工工程后，本合同即告终止。</w:t>
      </w:r>
    </w:p>
  </w:comment>
  <w:comment w:id="54" w:author="熊律师" w:date="2026-08-07T15:37:00Z" w:initials="">
    <w:p w14:paraId="4B281E7C">
      <w:r>
        <w:rPr>
          <w:rFonts w:ascii="宋体" w:hAnsi="宋体" w:eastAsia="宋体" w:cs="宋体"/>
          <w:color w:val="0000FF"/>
          <w:kern w:val="0"/>
          <w:sz w:val="24"/>
        </w:rPr>
        <w:t>【提示】合同副本份数为空</w:t>
      </w:r>
      <w:r>
        <w:rPr>
          <w:rFonts w:ascii="宋体" w:hAnsi="宋体" w:eastAsia="宋体" w:cs="宋体"/>
          <w:color w:val="0000FF"/>
          <w:kern w:val="0"/>
          <w:sz w:val="24"/>
        </w:rPr>
        <w:br w:type="textWrapping"/>
      </w:r>
      <w:r>
        <w:rPr>
          <w:rFonts w:ascii="宋体" w:hAnsi="宋体" w:eastAsia="宋体" w:cs="宋体"/>
          <w:color w:val="0000FF"/>
          <w:kern w:val="0"/>
          <w:sz w:val="24"/>
        </w:rPr>
        <w:t>【说明】合同副本总份数及双方保存份数未明确，建议补充，以便甲方留存完整合同文件并确认文本份数。</w:t>
      </w:r>
    </w:p>
  </w:comment>
  <w:comment w:id="55" w:author="熊律师" w:date="2026-08-07T15:41:00Z" w:initials="">
    <w:p w14:paraId="79C1AB28">
      <w:r>
        <w:rPr>
          <w:rFonts w:ascii="宋体" w:hAnsi="宋体" w:eastAsia="宋体" w:cs="宋体"/>
          <w:kern w:val="0"/>
          <w:sz w:val="24"/>
        </w:rPr>
        <w:t>【风险点】附件名称及用词错误</w:t>
      </w:r>
      <w:r>
        <w:rPr>
          <w:rFonts w:ascii="宋体" w:hAnsi="宋体" w:eastAsia="宋体" w:cs="宋体"/>
          <w:kern w:val="0"/>
          <w:sz w:val="24"/>
        </w:rPr>
        <w:br w:type="textWrapping"/>
      </w:r>
      <w:r>
        <w:rPr>
          <w:rFonts w:ascii="宋体" w:hAnsi="宋体" w:eastAsia="宋体" w:cs="宋体"/>
          <w:kern w:val="0"/>
          <w:sz w:val="24"/>
        </w:rPr>
        <w:t>【说明】统一附件名称与工程概况中的表述，并纠正“承保人”错别字，有助于甲方准确识别附件内容及其与主合同的对应关系，避免产生歧义。</w:t>
      </w:r>
      <w:r>
        <w:rPr>
          <w:rFonts w:ascii="宋体" w:hAnsi="宋体" w:eastAsia="宋体" w:cs="宋体"/>
          <w:kern w:val="0"/>
          <w:sz w:val="24"/>
        </w:rPr>
        <w:br w:type="textWrapping"/>
      </w:r>
      <w:r>
        <w:rPr>
          <w:rFonts w:ascii="宋体" w:hAnsi="宋体" w:eastAsia="宋体" w:cs="宋体"/>
          <w:kern w:val="0"/>
          <w:sz w:val="24"/>
        </w:rPr>
        <w:t>【修改建议】承</w:t>
      </w:r>
      <w:r>
        <w:rPr>
          <w:rFonts w:ascii="宋体" w:hAnsi="宋体" w:eastAsia="宋体" w:cs="宋体"/>
          <w:strike/>
          <w:color w:val="999999"/>
          <w:kern w:val="0"/>
          <w:sz w:val="24"/>
        </w:rPr>
        <w:t>保</w:t>
      </w:r>
      <w:r>
        <w:rPr>
          <w:rFonts w:ascii="宋体" w:hAnsi="宋体" w:eastAsia="宋体" w:cs="宋体"/>
          <w:color w:val="FF0000"/>
          <w:kern w:val="0"/>
          <w:sz w:val="24"/>
        </w:rPr>
        <w:t>包</w:t>
      </w:r>
      <w:r>
        <w:rPr>
          <w:rFonts w:ascii="宋体" w:hAnsi="宋体" w:eastAsia="宋体" w:cs="宋体"/>
          <w:kern w:val="0"/>
          <w:sz w:val="24"/>
        </w:rPr>
        <w:t>人承揽</w:t>
      </w:r>
      <w:r>
        <w:rPr>
          <w:rFonts w:ascii="宋体" w:hAnsi="宋体" w:eastAsia="宋体" w:cs="宋体"/>
          <w:color w:val="FF0000"/>
          <w:kern w:val="0"/>
          <w:sz w:val="24"/>
        </w:rPr>
        <w:t>工程</w:t>
      </w:r>
      <w:r>
        <w:rPr>
          <w:rFonts w:ascii="宋体" w:hAnsi="宋体" w:eastAsia="宋体" w:cs="宋体"/>
          <w:kern w:val="0"/>
          <w:sz w:val="24"/>
        </w:rPr>
        <w:t>项目一览表</w:t>
      </w:r>
    </w:p>
  </w:comment>
  <w:comment w:id="56" w:author="熊律师" w:date="2026-08-07T15:45:00Z" w:initials="">
    <w:p w14:paraId="7B70627D">
      <w:r>
        <w:rPr>
          <w:rFonts w:ascii="宋体" w:hAnsi="宋体" w:eastAsia="宋体" w:cs="宋体"/>
          <w:color w:val="0000FF"/>
          <w:kern w:val="0"/>
          <w:sz w:val="24"/>
        </w:rPr>
        <w:t>【提示】承揽项目表未填写</w:t>
      </w:r>
      <w:r>
        <w:rPr>
          <w:rFonts w:ascii="宋体" w:hAnsi="宋体" w:eastAsia="宋体" w:cs="宋体"/>
          <w:color w:val="0000FF"/>
          <w:kern w:val="0"/>
          <w:sz w:val="24"/>
        </w:rPr>
        <w:br w:type="textWrapping"/>
      </w:r>
      <w:r>
        <w:rPr>
          <w:rFonts w:ascii="宋体" w:hAnsi="宋体" w:eastAsia="宋体" w:cs="宋体"/>
          <w:color w:val="0000FF"/>
          <w:kern w:val="0"/>
          <w:sz w:val="24"/>
        </w:rPr>
        <w:t>【说明】附件一中的单位工程名称、建设规模、建筑面积及结构等项目均未填写，可能导致承包范围和工程规模不明确，建议结合实际工程补全。</w:t>
      </w:r>
    </w:p>
  </w:comment>
  <w:comment w:id="57" w:author="熊律师" w:date="2026-08-07T15:48:00Z" w:initials="">
    <w:p w14:paraId="3FBCAD24">
      <w:r>
        <w:rPr>
          <w:rFonts w:ascii="宋体" w:hAnsi="宋体" w:eastAsia="宋体" w:cs="宋体"/>
          <w:color w:val="0000FF"/>
          <w:kern w:val="0"/>
          <w:sz w:val="24"/>
        </w:rPr>
        <w:t>【提示】承揽项目表未填写</w:t>
      </w:r>
      <w:r>
        <w:rPr>
          <w:rFonts w:ascii="宋体" w:hAnsi="宋体" w:eastAsia="宋体" w:cs="宋体"/>
          <w:color w:val="0000FF"/>
          <w:kern w:val="0"/>
          <w:sz w:val="24"/>
        </w:rPr>
        <w:br w:type="textWrapping"/>
      </w:r>
      <w:r>
        <w:rPr>
          <w:rFonts w:ascii="宋体" w:hAnsi="宋体" w:eastAsia="宋体" w:cs="宋体"/>
          <w:color w:val="0000FF"/>
          <w:kern w:val="0"/>
          <w:sz w:val="24"/>
        </w:rPr>
        <w:t>【说明】附件一中的层数、跨度、设备安装内容、工程造价及开竣工日期未填写，可能影响工程量、价款及工期认定，建议补充完整。</w:t>
      </w:r>
    </w:p>
  </w:comment>
  <w:comment w:id="58" w:author="熊律师" w:date="2026-08-07T15:52:00Z" w:initials="">
    <w:p w14:paraId="7759B7D6">
      <w:r>
        <w:rPr>
          <w:rFonts w:ascii="宋体" w:hAnsi="宋体" w:eastAsia="宋体" w:cs="宋体"/>
          <w:color w:val="0000FF"/>
          <w:kern w:val="0"/>
          <w:sz w:val="24"/>
        </w:rPr>
        <w:t>【提示】甲供材料信息缺失</w:t>
      </w:r>
      <w:r>
        <w:rPr>
          <w:rFonts w:ascii="宋体" w:hAnsi="宋体" w:eastAsia="宋体" w:cs="宋体"/>
          <w:color w:val="0000FF"/>
          <w:kern w:val="0"/>
          <w:sz w:val="24"/>
        </w:rPr>
        <w:br w:type="textWrapping"/>
      </w:r>
      <w:r>
        <w:rPr>
          <w:rFonts w:ascii="宋体" w:hAnsi="宋体" w:eastAsia="宋体" w:cs="宋体"/>
          <w:color w:val="0000FF"/>
          <w:kern w:val="0"/>
          <w:sz w:val="24"/>
        </w:rPr>
        <w:t>【说明】甲供材料设备一览表尚未填写具体品种、规格型号、数量、供应时间及送达地点等信息，不利于甲方明确材料供应责任、交付安排及质量风险。</w:t>
      </w:r>
    </w:p>
  </w:comment>
  <w:comment w:id="59" w:author="熊律师" w:date="2026-08-07T15:56:00Z" w:initials="">
    <w:p w14:paraId="41285E20">
      <w:r>
        <w:rPr>
          <w:rFonts w:ascii="宋体" w:hAnsi="宋体" w:eastAsia="宋体" w:cs="宋体"/>
          <w:color w:val="0000FF"/>
          <w:kern w:val="0"/>
          <w:sz w:val="24"/>
        </w:rPr>
        <w:t>【提示】甲供材料表未填写</w:t>
      </w:r>
      <w:r>
        <w:rPr>
          <w:rFonts w:ascii="宋体" w:hAnsi="宋体" w:eastAsia="宋体" w:cs="宋体"/>
          <w:color w:val="0000FF"/>
          <w:kern w:val="0"/>
          <w:sz w:val="24"/>
        </w:rPr>
        <w:br w:type="textWrapping"/>
      </w:r>
      <w:r>
        <w:rPr>
          <w:rFonts w:ascii="宋体" w:hAnsi="宋体" w:eastAsia="宋体" w:cs="宋体"/>
          <w:color w:val="0000FF"/>
          <w:kern w:val="0"/>
          <w:sz w:val="24"/>
        </w:rPr>
        <w:t>【说明】甲供材料设备的品种、规格型号及计量单位未填写，无法明确甲方供应责任和乙方配合范围，建议补全。</w:t>
      </w:r>
    </w:p>
  </w:comment>
  <w:comment w:id="60" w:author="熊律师" w:date="2026-08-07T15:59:00Z" w:initials="">
    <w:p w14:paraId="5B10E1C2">
      <w:r>
        <w:rPr>
          <w:rFonts w:ascii="宋体" w:hAnsi="宋体" w:eastAsia="宋体" w:cs="宋体"/>
          <w:color w:val="0000FF"/>
          <w:kern w:val="0"/>
          <w:sz w:val="24"/>
        </w:rPr>
        <w:t>【提示】甲供材料表未填写</w:t>
      </w:r>
      <w:r>
        <w:rPr>
          <w:rFonts w:ascii="宋体" w:hAnsi="宋体" w:eastAsia="宋体" w:cs="宋体"/>
          <w:color w:val="0000FF"/>
          <w:kern w:val="0"/>
          <w:sz w:val="24"/>
        </w:rPr>
        <w:br w:type="textWrapping"/>
      </w:r>
      <w:r>
        <w:rPr>
          <w:rFonts w:ascii="宋体" w:hAnsi="宋体" w:eastAsia="宋体" w:cs="宋体"/>
          <w:color w:val="0000FF"/>
          <w:kern w:val="0"/>
          <w:sz w:val="24"/>
        </w:rPr>
        <w:t>【说明】甲供材料设备的数量、价格、质量等级、供应时间、送达地点及备注未填写，可能导致供应、验收和费用争议，建议补充完整。</w:t>
      </w:r>
    </w:p>
  </w:comment>
  <w:comment w:id="61" w:author="熊律师" w:date="2026-08-07T16:02:00Z" w:initials="">
    <w:p w14:paraId="1855516B">
      <w:r>
        <w:rPr>
          <w:rFonts w:ascii="宋体" w:hAnsi="宋体" w:eastAsia="宋体" w:cs="宋体"/>
          <w:color w:val="0000FF"/>
          <w:kern w:val="0"/>
          <w:sz w:val="24"/>
        </w:rPr>
        <w:t>【提示】保修书主体信息为空</w:t>
      </w:r>
      <w:r>
        <w:rPr>
          <w:rFonts w:ascii="宋体" w:hAnsi="宋体" w:eastAsia="宋体" w:cs="宋体"/>
          <w:color w:val="0000FF"/>
          <w:kern w:val="0"/>
          <w:sz w:val="24"/>
        </w:rPr>
        <w:br w:type="textWrapping"/>
      </w:r>
      <w:r>
        <w:rPr>
          <w:rFonts w:ascii="宋体" w:hAnsi="宋体" w:eastAsia="宋体" w:cs="宋体"/>
          <w:color w:val="0000FF"/>
          <w:kern w:val="0"/>
          <w:sz w:val="24"/>
        </w:rPr>
        <w:t>【说明】保修书双方全称及工程名称为空，可能影响保修责任主体和适用工程的确认，建议与主合同主体及工程名称保持一致。</w:t>
      </w:r>
    </w:p>
  </w:comment>
  <w:comment w:id="62" w:author="熊律师" w:date="2026-08-07T16:06:00Z" w:initials="">
    <w:p w14:paraId="5191B947">
      <w:r>
        <w:rPr>
          <w:rFonts w:ascii="宋体" w:hAnsi="宋体" w:eastAsia="宋体" w:cs="宋体"/>
          <w:color w:val="0000FF"/>
          <w:kern w:val="0"/>
          <w:sz w:val="24"/>
        </w:rPr>
        <w:t>【提示】保修范围未明确</w:t>
      </w:r>
      <w:r>
        <w:rPr>
          <w:rFonts w:ascii="宋体" w:hAnsi="宋体" w:eastAsia="宋体" w:cs="宋体"/>
          <w:color w:val="0000FF"/>
          <w:kern w:val="0"/>
          <w:sz w:val="24"/>
        </w:rPr>
        <w:br w:type="textWrapping"/>
      </w:r>
      <w:r>
        <w:rPr>
          <w:rFonts w:ascii="宋体" w:hAnsi="宋体" w:eastAsia="宋体" w:cs="宋体"/>
          <w:color w:val="0000FF"/>
          <w:kern w:val="0"/>
          <w:sz w:val="24"/>
        </w:rPr>
        <w:t>【说明】具体保修范围和内容未填写，可能导致甲方发现缺陷后无法明确是否属于乙方保修责任，建议逐项列明。</w:t>
      </w:r>
    </w:p>
  </w:comment>
  <w:comment w:id="63" w:author="熊律师" w:date="2026-08-07T16:10:00Z" w:initials="">
    <w:p w14:paraId="58C0B335">
      <w:r>
        <w:rPr>
          <w:rFonts w:ascii="宋体" w:hAnsi="宋体" w:eastAsia="宋体" w:cs="宋体"/>
          <w:color w:val="0000FF"/>
          <w:kern w:val="0"/>
          <w:sz w:val="24"/>
        </w:rPr>
        <w:t>【提示】保修期限未填写</w:t>
      </w:r>
      <w:r>
        <w:rPr>
          <w:rFonts w:ascii="宋体" w:hAnsi="宋体" w:eastAsia="宋体" w:cs="宋体"/>
          <w:color w:val="0000FF"/>
          <w:kern w:val="0"/>
          <w:sz w:val="24"/>
        </w:rPr>
        <w:br w:type="textWrapping"/>
      </w:r>
      <w:r>
        <w:rPr>
          <w:rFonts w:ascii="宋体" w:hAnsi="宋体" w:eastAsia="宋体" w:cs="宋体"/>
          <w:color w:val="0000FF"/>
          <w:kern w:val="0"/>
          <w:sz w:val="24"/>
        </w:rPr>
        <w:t>【说明】土建结构及防水等项目的保修期限未明确，可能影响甲方保修权益及期限起算，建议依据工程项目逐项填写。</w:t>
      </w:r>
    </w:p>
  </w:comment>
  <w:comment w:id="64" w:author="熊律师" w:date="2026-08-07T16:13:00Z" w:initials="">
    <w:p w14:paraId="275E7516">
      <w:r>
        <w:rPr>
          <w:rFonts w:ascii="宋体" w:hAnsi="宋体" w:eastAsia="宋体" w:cs="宋体"/>
          <w:color w:val="0000FF"/>
          <w:kern w:val="0"/>
          <w:sz w:val="24"/>
        </w:rPr>
        <w:t>【提示】保修期限未填写</w:t>
      </w:r>
      <w:r>
        <w:rPr>
          <w:rFonts w:ascii="宋体" w:hAnsi="宋体" w:eastAsia="宋体" w:cs="宋体"/>
          <w:color w:val="0000FF"/>
          <w:kern w:val="0"/>
          <w:sz w:val="24"/>
        </w:rPr>
        <w:br w:type="textWrapping"/>
      </w:r>
      <w:r>
        <w:rPr>
          <w:rFonts w:ascii="宋体" w:hAnsi="宋体" w:eastAsia="宋体" w:cs="宋体"/>
          <w:color w:val="0000FF"/>
          <w:kern w:val="0"/>
          <w:sz w:val="24"/>
        </w:rPr>
        <w:t>【说明】装修、电气管线、供热供冷、市政工程及其他项目的保修期限或约定均为空，建议结合实际工程补充完整。</w:t>
      </w:r>
    </w:p>
  </w:comment>
  <w:comment w:id="65" w:author="熊律师" w:date="2026-08-07T16:16:00Z" w:initials="">
    <w:p w14:paraId="50799E9F">
      <w:r>
        <w:rPr>
          <w:rFonts w:ascii="宋体" w:hAnsi="宋体" w:eastAsia="宋体" w:cs="宋体"/>
          <w:kern w:val="0"/>
          <w:sz w:val="24"/>
        </w:rPr>
        <w:t>【风险点】明确保修代修费用承担及扣款</w:t>
      </w:r>
      <w:r>
        <w:rPr>
          <w:rFonts w:ascii="宋体" w:hAnsi="宋体" w:eastAsia="宋体" w:cs="宋体"/>
          <w:kern w:val="0"/>
          <w:sz w:val="24"/>
        </w:rPr>
        <w:br w:type="textWrapping"/>
      </w:r>
      <w:r>
        <w:rPr>
          <w:rFonts w:ascii="宋体" w:hAnsi="宋体" w:eastAsia="宋体" w:cs="宋体"/>
          <w:kern w:val="0"/>
          <w:sz w:val="24"/>
        </w:rPr>
        <w:t>【说明】明确承包人逾期不履行保修义务时，发包人委托第三方维修所产生的费用承担及扣款、追偿路径，保障发包人及时修复并实现费用追偿。</w:t>
      </w:r>
      <w:r>
        <w:rPr>
          <w:rFonts w:ascii="宋体" w:hAnsi="宋体" w:eastAsia="宋体" w:cs="宋体"/>
          <w:kern w:val="0"/>
          <w:sz w:val="24"/>
        </w:rPr>
        <w:br w:type="textWrapping"/>
      </w:r>
      <w:r>
        <w:rPr>
          <w:rFonts w:ascii="宋体" w:hAnsi="宋体" w:eastAsia="宋体" w:cs="宋体"/>
          <w:kern w:val="0"/>
          <w:sz w:val="24"/>
        </w:rPr>
        <w:t>【修改建议】 2．属于保修范围和内容的项目，承包人应在接到修理通知之日后7天内派人修理。承包人</w:t>
      </w:r>
      <w:r>
        <w:rPr>
          <w:rFonts w:ascii="宋体" w:hAnsi="宋体" w:eastAsia="宋体" w:cs="宋体"/>
          <w:strike/>
          <w:color w:val="999999"/>
          <w:kern w:val="0"/>
          <w:sz w:val="24"/>
        </w:rPr>
        <w:t>不</w:t>
      </w:r>
      <w:r>
        <w:rPr>
          <w:rFonts w:ascii="宋体" w:hAnsi="宋体" w:eastAsia="宋体" w:cs="宋体"/>
          <w:color w:val="FF0000"/>
          <w:kern w:val="0"/>
          <w:sz w:val="24"/>
        </w:rPr>
        <w:t>未</w:t>
      </w:r>
      <w:r>
        <w:rPr>
          <w:rFonts w:ascii="宋体" w:hAnsi="宋体" w:eastAsia="宋体" w:cs="宋体"/>
          <w:kern w:val="0"/>
          <w:sz w:val="24"/>
        </w:rPr>
        <w:t>在约定期限内派人修理</w:t>
      </w:r>
      <w:r>
        <w:rPr>
          <w:rFonts w:ascii="宋体" w:hAnsi="宋体" w:eastAsia="宋体" w:cs="宋体"/>
          <w:color w:val="FF0000"/>
          <w:kern w:val="0"/>
          <w:sz w:val="24"/>
        </w:rPr>
        <w:t>的</w:t>
      </w:r>
      <w:r>
        <w:rPr>
          <w:rFonts w:ascii="宋体" w:hAnsi="宋体" w:eastAsia="宋体" w:cs="宋体"/>
          <w:kern w:val="0"/>
          <w:sz w:val="24"/>
        </w:rPr>
        <w:t>，发包人可委托其他人员修理</w:t>
      </w:r>
      <w:r>
        <w:rPr>
          <w:rFonts w:ascii="宋体" w:hAnsi="宋体" w:eastAsia="宋体" w:cs="宋体"/>
          <w:color w:val="FF0000"/>
          <w:kern w:val="0"/>
          <w:sz w:val="24"/>
        </w:rPr>
        <w:t>，由此产生的全部费用从质量保证金中直接扣除；质量保证金不足以支付的，发包人有权向承包人追偿</w:t>
      </w:r>
      <w:r>
        <w:rPr>
          <w:rFonts w:ascii="宋体" w:hAnsi="宋体" w:eastAsia="宋体" w:cs="宋体"/>
          <w:kern w:val="0"/>
          <w:sz w:val="24"/>
        </w:rPr>
        <w:t>。</w:t>
      </w:r>
    </w:p>
  </w:comment>
  <w:comment w:id="66" w:author="熊律师" w:date="2026-08-07T16:19:00Z" w:initials="">
    <w:p w14:paraId="2D55D3BC">
      <w:r>
        <w:rPr>
          <w:rFonts w:ascii="宋体" w:hAnsi="宋体" w:eastAsia="宋体" w:cs="宋体"/>
          <w:color w:val="0000FF"/>
          <w:kern w:val="0"/>
          <w:sz w:val="24"/>
        </w:rPr>
        <w:t>【提示】保修其他事项为空</w:t>
      </w:r>
      <w:r>
        <w:rPr>
          <w:rFonts w:ascii="宋体" w:hAnsi="宋体" w:eastAsia="宋体" w:cs="宋体"/>
          <w:color w:val="0000FF"/>
          <w:kern w:val="0"/>
          <w:sz w:val="24"/>
        </w:rPr>
        <w:br w:type="textWrapping"/>
      </w:r>
      <w:r>
        <w:rPr>
          <w:rFonts w:ascii="宋体" w:hAnsi="宋体" w:eastAsia="宋体" w:cs="宋体"/>
          <w:color w:val="0000FF"/>
          <w:kern w:val="0"/>
          <w:sz w:val="24"/>
        </w:rPr>
        <w:t>【说明】虽然保修费用责任已有原则性约定，但其他工程质量保修事项为空，甲方应核实是否需要补充响应时限、验收及费用处理等项目要求。</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D8A8DCE" w15:done="0"/>
  <w15:commentEx w15:paraId="1E040A35" w15:done="0"/>
  <w15:commentEx w15:paraId="08733034" w15:done="0"/>
  <w15:commentEx w15:paraId="29B6A607" w15:done="0"/>
  <w15:commentEx w15:paraId="4E608E44" w15:done="0"/>
  <w15:commentEx w15:paraId="41C32017" w15:done="0"/>
  <w15:commentEx w15:paraId="7A1771BF" w15:done="0"/>
  <w15:commentEx w15:paraId="04ABC0F7" w15:done="0"/>
  <w15:commentEx w15:paraId="1DCE929C" w15:done="0"/>
  <w15:commentEx w15:paraId="72D34AD7" w15:done="0"/>
  <w15:commentEx w15:paraId="554E3EE4" w15:done="0"/>
  <w15:commentEx w15:paraId="3C631A84" w15:done="0"/>
  <w15:commentEx w15:paraId="7D9D978D" w15:done="0"/>
  <w15:commentEx w15:paraId="7C0B6E33" w15:done="0"/>
  <w15:commentEx w15:paraId="1A38D666" w15:done="0"/>
  <w15:commentEx w15:paraId="67EE67C9" w15:done="0"/>
  <w15:commentEx w15:paraId="387CBEA9" w15:done="0"/>
  <w15:commentEx w15:paraId="41179868" w15:done="0"/>
  <w15:commentEx w15:paraId="22EC230B" w15:done="0"/>
  <w15:commentEx w15:paraId="433708CD" w15:done="0"/>
  <w15:commentEx w15:paraId="5299C4E5" w15:done="0"/>
  <w15:commentEx w15:paraId="7D085CF8" w15:done="0"/>
  <w15:commentEx w15:paraId="1BDB7679" w15:done="0"/>
  <w15:commentEx w15:paraId="148C33E3" w15:done="0"/>
  <w15:commentEx w15:paraId="59DC4867" w15:done="0"/>
  <w15:commentEx w15:paraId="1CC91BFE" w15:done="0"/>
  <w15:commentEx w15:paraId="1B0C96D2" w15:done="0"/>
  <w15:commentEx w15:paraId="2184B5A7" w15:done="0"/>
  <w15:commentEx w15:paraId="597CA7F1" w15:done="0"/>
  <w15:commentEx w15:paraId="5B1A567C" w15:done="0"/>
  <w15:commentEx w15:paraId="12BB8BAC" w15:done="0"/>
  <w15:commentEx w15:paraId="3F9C42B3" w15:done="0"/>
  <w15:commentEx w15:paraId="127FC1BA" w15:done="0"/>
  <w15:commentEx w15:paraId="3C8DA844" w15:done="0"/>
  <w15:commentEx w15:paraId="631D09C9" w15:done="0"/>
  <w15:commentEx w15:paraId="6499D436" w15:done="0"/>
  <w15:commentEx w15:paraId="08167760" w15:done="0"/>
  <w15:commentEx w15:paraId="2E055BFB" w15:done="0"/>
  <w15:commentEx w15:paraId="75B45EB2" w15:done="0"/>
  <w15:commentEx w15:paraId="3344F674" w15:done="0"/>
  <w15:commentEx w15:paraId="54DCDE49" w15:done="0"/>
  <w15:commentEx w15:paraId="6B4F886C" w15:done="0"/>
  <w15:commentEx w15:paraId="35749BE9" w15:done="0"/>
  <w15:commentEx w15:paraId="52624A7D" w15:done="0"/>
  <w15:commentEx w15:paraId="3EA4EB0B" w15:done="0"/>
  <w15:commentEx w15:paraId="69AE7793" w15:done="0"/>
  <w15:commentEx w15:paraId="34AD402F" w15:done="0"/>
  <w15:commentEx w15:paraId="501A390C" w15:done="0"/>
  <w15:commentEx w15:paraId="0E72C701" w15:done="0"/>
  <w15:commentEx w15:paraId="7AD76C9E" w15:done="0"/>
  <w15:commentEx w15:paraId="67CD76A0" w15:done="0"/>
  <w15:commentEx w15:paraId="2D2AED02" w15:done="0"/>
  <w15:commentEx w15:paraId="0F671FD8" w15:done="0"/>
  <w15:commentEx w15:paraId="0637E625" w15:done="0"/>
  <w15:commentEx w15:paraId="4B281E7C" w15:done="0"/>
  <w15:commentEx w15:paraId="79C1AB28" w15:done="0"/>
  <w15:commentEx w15:paraId="7B70627D" w15:done="0"/>
  <w15:commentEx w15:paraId="3FBCAD24" w15:done="0"/>
  <w15:commentEx w15:paraId="7759B7D6" w15:done="0"/>
  <w15:commentEx w15:paraId="41285E20" w15:done="0"/>
  <w15:commentEx w15:paraId="5B10E1C2" w15:done="0"/>
  <w15:commentEx w15:paraId="1855516B" w15:done="0"/>
  <w15:commentEx w15:paraId="5191B947" w15:done="0"/>
  <w15:commentEx w15:paraId="58C0B335" w15:done="0"/>
  <w15:commentEx w15:paraId="275E7516" w15:done="0"/>
  <w15:commentEx w15:paraId="50799E9F" w15:done="0"/>
  <w15:commentEx w15:paraId="2D55D3B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7F" w:usb3="00000000" w:csb0="203F01FF" w:csb1="DFFF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74FA8">
    <w:pPr>
      <w:pStyle w:val="27"/>
      <w:tabs>
        <w:tab w:val="left" w:pos="2431"/>
        <w:tab w:val="center" w:pos="4253"/>
        <w:tab w:val="left" w:pos="5055"/>
        <w:tab w:val="clear" w:pos="4153"/>
        <w:tab w:val="clear" w:pos="8306"/>
      </w:tabs>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7BD91">
    <w:pPr>
      <w:pStyle w:val="27"/>
      <w:tabs>
        <w:tab w:val="left" w:pos="5567"/>
        <w:tab w:val="clear" w:pos="4153"/>
      </w:tabs>
    </w:pPr>
    <w:r>
      <w:rPr>
        <w:rFonts w:hint="eastAsia"/>
        <w:lang w:eastAsia="zh-CN"/>
      </w:rPr>
      <w:tab/>
    </w:r>
    <w:r>
      <w:rPr>
        <w:rFonts w:hint="eastAsia"/>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F0BEC">
    <w:pPr>
      <w:pStyle w:val="27"/>
      <w:tabs>
        <w:tab w:val="center" w:pos="4819"/>
        <w:tab w:val="left" w:pos="7440"/>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9358C0">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29358C0">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w:tab/>
    </w:r>
  </w:p>
  <w:p w14:paraId="0B2FECE3">
    <w:pPr>
      <w:pStyle w:val="27"/>
      <w:ind w:right="360"/>
      <w:jc w:val="center"/>
      <w:rPr>
        <w:rFonts w:ascii="宋体"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3343B">
    <w:pPr>
      <w:pStyle w:val="2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EE20EF">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76</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FEE20EF">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76</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99DC7">
    <w:pPr>
      <w:pStyle w:val="27"/>
      <w:tabs>
        <w:tab w:val="center" w:pos="4819"/>
        <w:tab w:val="left" w:pos="7440"/>
      </w:tabs>
    </w:pPr>
    <w:r>
      <w:rPr>
        <w:sz w:val="18"/>
      </w:rPr>
      <mc:AlternateContent>
        <mc:Choice Requires="wps">
          <w:drawing>
            <wp:anchor distT="0" distB="0" distL="114300" distR="114300" simplePos="0" relativeHeight="251661312" behindDoc="0" locked="0" layoutInCell="1" allowOverlap="1">
              <wp:simplePos x="0" y="0"/>
              <wp:positionH relativeFrom="margin">
                <wp:posOffset>2490470</wp:posOffset>
              </wp:positionH>
              <wp:positionV relativeFrom="paragraph">
                <wp:posOffset>95250</wp:posOffset>
              </wp:positionV>
              <wp:extent cx="1088390" cy="18923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88390" cy="1892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72B832">
                          <w:pPr>
                            <w:pStyle w:val="27"/>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76</w:t>
                          </w:r>
                          <w:r>
                            <w:t>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6.1pt;margin-top:7.5pt;height:14.9pt;width:85.7pt;mso-position-horizontal-relative:margin;z-index:251661312;mso-width-relative:page;mso-height-relative:page;" filled="f" stroked="f" coordsize="21600,21600" o:gfxdata="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uk5mFtgAAAAJAQAADwAAAAAAAAABACAAAAAiAAAAZHJzL2Rvd25y&#10;ZXYueG1sUEsBAhQAFAAAAAgAh07iQOz7JkI3AgAAYgQAAA4AAAAAAAAAAQAgAAAAJwEAAGRycy9l&#10;Mm9Eb2MueG1sUEsFBgAAAAAGAAYAWQEAANAFAAAAAA==&#10;">
              <v:fill on="f" focussize="0,0"/>
              <v:stroke on="f" weight="0.5pt"/>
              <v:imagedata o:title=""/>
              <o:lock v:ext="edit" aspectratio="f"/>
              <v:textbox inset="0mm,0mm,0mm,0mm">
                <w:txbxContent>
                  <w:p w14:paraId="7972B832">
                    <w:pPr>
                      <w:pStyle w:val="27"/>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76</w:t>
                    </w:r>
                    <w:r>
                      <w:t>页</w:t>
                    </w:r>
                  </w:p>
                </w:txbxContent>
              </v:textbox>
            </v:shape>
          </w:pict>
        </mc:Fallback>
      </mc:AlternateContent>
    </w:r>
    <w:r>
      <w:tab/>
    </w:r>
  </w:p>
  <w:p w14:paraId="6147CC4E">
    <w:pPr>
      <w:pStyle w:val="27"/>
      <w:ind w:right="360"/>
      <w:jc w:val="center"/>
      <w:rPr>
        <w:rFonts w:ascii="宋体"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87A2D">
    <w:pPr>
      <w:pStyle w:val="2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A36B4">
                          <w:pPr>
                            <w:pStyle w:val="27"/>
                          </w:pPr>
                          <w:r>
                            <w:t xml:space="preserve">第 </w:t>
                          </w:r>
                          <w:r>
                            <w:fldChar w:fldCharType="begin"/>
                          </w:r>
                          <w:r>
                            <w:instrText xml:space="preserve"> PAGE  \* MERGEFORMAT </w:instrText>
                          </w:r>
                          <w:r>
                            <w:fldChar w:fldCharType="separate"/>
                          </w:r>
                          <w:r>
                            <w:t>2</w:t>
                          </w:r>
                          <w:r>
                            <w:fldChar w:fldCharType="end"/>
                          </w:r>
                          <w:r>
                            <w:t xml:space="preserve"> 页 共</w:t>
                          </w:r>
                          <w:r>
                            <w:rPr>
                              <w:rFonts w:hint="eastAsia"/>
                              <w:lang w:val="en-US" w:eastAsia="zh-CN"/>
                            </w:rPr>
                            <w:t>76</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46A36B4">
                    <w:pPr>
                      <w:pStyle w:val="27"/>
                    </w:pPr>
                    <w:r>
                      <w:t xml:space="preserve">第 </w:t>
                    </w:r>
                    <w:r>
                      <w:fldChar w:fldCharType="begin"/>
                    </w:r>
                    <w:r>
                      <w:instrText xml:space="preserve"> PAGE  \* MERGEFORMAT </w:instrText>
                    </w:r>
                    <w:r>
                      <w:fldChar w:fldCharType="separate"/>
                    </w:r>
                    <w:r>
                      <w:t>2</w:t>
                    </w:r>
                    <w:r>
                      <w:fldChar w:fldCharType="end"/>
                    </w:r>
                    <w:r>
                      <w:t xml:space="preserve"> 页 共</w:t>
                    </w:r>
                    <w:r>
                      <w:rPr>
                        <w:rFonts w:hint="eastAsia"/>
                        <w:lang w:val="en-US" w:eastAsia="zh-CN"/>
                      </w:rPr>
                      <w:t>76</w:t>
                    </w:r>
                    <w:r>
                      <w:t>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24B6C">
    <w:pPr>
      <w:pStyle w:val="27"/>
      <w:ind w:right="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C971B3">
                          <w:pPr>
                            <w:pStyle w:val="27"/>
                          </w:pPr>
                          <w:r>
                            <w:t xml:space="preserve">第 </w:t>
                          </w:r>
                          <w:r>
                            <w:fldChar w:fldCharType="begin"/>
                          </w:r>
                          <w:r>
                            <w:instrText xml:space="preserve"> PAGE  \* MERGEFORMAT </w:instrText>
                          </w:r>
                          <w:r>
                            <w:fldChar w:fldCharType="separate"/>
                          </w:r>
                          <w:r>
                            <w:t>10</w:t>
                          </w:r>
                          <w:r>
                            <w:fldChar w:fldCharType="end"/>
                          </w:r>
                          <w:r>
                            <w:t xml:space="preserve"> 页 共 </w:t>
                          </w:r>
                          <w:r>
                            <w:rPr>
                              <w:rFonts w:hint="eastAsia"/>
                              <w:lang w:val="en-US" w:eastAsia="zh-CN"/>
                            </w:rPr>
                            <w:t>76</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5C971B3">
                    <w:pPr>
                      <w:pStyle w:val="27"/>
                    </w:pPr>
                    <w:r>
                      <w:t xml:space="preserve">第 </w:t>
                    </w:r>
                    <w:r>
                      <w:fldChar w:fldCharType="begin"/>
                    </w:r>
                    <w:r>
                      <w:instrText xml:space="preserve"> PAGE  \* MERGEFORMAT </w:instrText>
                    </w:r>
                    <w:r>
                      <w:fldChar w:fldCharType="separate"/>
                    </w:r>
                    <w:r>
                      <w:t>10</w:t>
                    </w:r>
                    <w:r>
                      <w:fldChar w:fldCharType="end"/>
                    </w:r>
                    <w:r>
                      <w:t xml:space="preserve"> 页 共 </w:t>
                    </w:r>
                    <w:r>
                      <w:rPr>
                        <w:rFonts w:hint="eastAsia"/>
                        <w:lang w:val="en-US" w:eastAsia="zh-CN"/>
                      </w:rPr>
                      <w:t>76</w:t>
                    </w:r>
                    <w:r>
                      <w:t>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8CB68">
    <w:pPr>
      <w:pStyle w:val="27"/>
      <w:tabs>
        <w:tab w:val="center" w:pos="4819"/>
        <w:tab w:val="left" w:pos="7440"/>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BF3B9E">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5BBF3B9E">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74</w:t>
                    </w:r>
                    <w:r>
                      <w:fldChar w:fldCharType="end"/>
                    </w:r>
                    <w:r>
                      <w:t xml:space="preserve"> 页</w:t>
                    </w:r>
                  </w:p>
                </w:txbxContent>
              </v:textbox>
            </v:shape>
          </w:pict>
        </mc:Fallback>
      </mc:AlternateContent>
    </w:r>
    <w:r>
      <w:tab/>
    </w:r>
  </w:p>
  <w:p w14:paraId="4F3E51DB">
    <w:pPr>
      <w:pStyle w:val="27"/>
      <w:ind w:right="360"/>
      <w:jc w:val="center"/>
      <w:rPr>
        <w:rFonts w:ascii="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BCC3F">
    <w:pPr>
      <w:pStyle w:val="27"/>
      <w:tabs>
        <w:tab w:val="center" w:pos="4819"/>
        <w:tab w:val="left" w:pos="7440"/>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0E851">
                          <w:pPr>
                            <w:pStyle w:val="27"/>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102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000E851">
                    <w:pPr>
                      <w:pStyle w:val="27"/>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102</w:t>
                    </w:r>
                    <w:r>
                      <w:t>页</w:t>
                    </w:r>
                  </w:p>
                </w:txbxContent>
              </v:textbox>
            </v:shape>
          </w:pict>
        </mc:Fallback>
      </mc:AlternateContent>
    </w:r>
    <w:r>
      <w:tab/>
    </w:r>
  </w:p>
  <w:p w14:paraId="01F3E3BD">
    <w:pPr>
      <w:pStyle w:val="27"/>
      <w:ind w:right="360"/>
      <w:jc w:val="center"/>
      <w:rPr>
        <w:rFonts w:ascii="宋体" w:cs="Times New Roman"/>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33D1A">
    <w:pPr>
      <w:pStyle w:val="27"/>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A12D81">
                          <w:pPr>
                            <w:pStyle w:val="27"/>
                          </w:pPr>
                          <w:r>
                            <w:t xml:space="preserve">第 </w:t>
                          </w:r>
                          <w:r>
                            <w:fldChar w:fldCharType="begin"/>
                          </w:r>
                          <w:r>
                            <w:instrText xml:space="preserve"> PAGE  \* MERGEFORMAT </w:instrText>
                          </w:r>
                          <w:r>
                            <w:fldChar w:fldCharType="separate"/>
                          </w:r>
                          <w:r>
                            <w:t>57</w:t>
                          </w:r>
                          <w:r>
                            <w:fldChar w:fldCharType="end"/>
                          </w:r>
                          <w:r>
                            <w:t xml:space="preserve"> 页 共</w:t>
                          </w:r>
                          <w:r>
                            <w:rPr>
                              <w:rFonts w:hint="eastAsia"/>
                              <w:lang w:val="en-US" w:eastAsia="zh-CN"/>
                            </w:rPr>
                            <w:t>76</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DA12D81">
                    <w:pPr>
                      <w:pStyle w:val="27"/>
                    </w:pPr>
                    <w:r>
                      <w:t xml:space="preserve">第 </w:t>
                    </w:r>
                    <w:r>
                      <w:fldChar w:fldCharType="begin"/>
                    </w:r>
                    <w:r>
                      <w:instrText xml:space="preserve"> PAGE  \* MERGEFORMAT </w:instrText>
                    </w:r>
                    <w:r>
                      <w:fldChar w:fldCharType="separate"/>
                    </w:r>
                    <w:r>
                      <w:t>57</w:t>
                    </w:r>
                    <w:r>
                      <w:fldChar w:fldCharType="end"/>
                    </w:r>
                    <w:r>
                      <w:t xml:space="preserve"> 页 共</w:t>
                    </w:r>
                    <w:r>
                      <w:rPr>
                        <w:rFonts w:hint="eastAsia"/>
                        <w:lang w:val="en-US" w:eastAsia="zh-CN"/>
                      </w:rPr>
                      <w:t>76</w:t>
                    </w:r>
                    <w:r>
                      <w:t>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67CDE">
    <w:pPr>
      <w:pStyle w:val="27"/>
      <w:tabs>
        <w:tab w:val="center" w:pos="4819"/>
        <w:tab w:val="left" w:pos="7440"/>
      </w:tabs>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A6DD2B">
                          <w:pPr>
                            <w:pStyle w:val="27"/>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76</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EA6DD2B">
                    <w:pPr>
                      <w:pStyle w:val="27"/>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76</w:t>
                    </w:r>
                    <w:r>
                      <w:t>页</w:t>
                    </w:r>
                  </w:p>
                </w:txbxContent>
              </v:textbox>
            </v:shape>
          </w:pict>
        </mc:Fallback>
      </mc:AlternateContent>
    </w:r>
    <w:r>
      <w:tab/>
    </w:r>
  </w:p>
  <w:p w14:paraId="66F8D47A">
    <w:pPr>
      <w:pStyle w:val="27"/>
      <w:ind w:right="360"/>
      <w:jc w:val="center"/>
      <w:rPr>
        <w:rFonts w:ascii="宋体" w:cs="Times New Roman"/>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272A0">
    <w:pPr>
      <w:pStyle w:val="27"/>
    </w:pPr>
    <w:r>
      <w:rPr>
        <w:sz w:val="18"/>
      </w:rPr>
      <mc:AlternateContent>
        <mc:Choice Requires="wps">
          <w:drawing>
            <wp:anchor distT="0" distB="0" distL="114300" distR="114300" simplePos="0" relativeHeight="251669504" behindDoc="0" locked="0" layoutInCell="1" allowOverlap="1">
              <wp:simplePos x="0" y="0"/>
              <wp:positionH relativeFrom="margin">
                <wp:posOffset>2470150</wp:posOffset>
              </wp:positionH>
              <wp:positionV relativeFrom="paragraph">
                <wp:posOffset>-99695</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DABCE7">
                          <w:pPr>
                            <w:pStyle w:val="27"/>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76</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4.5pt;margin-top:-7.85pt;height:144pt;width:144pt;mso-position-horizontal-relative:margin;mso-wrap-style:none;z-index:251669504;mso-width-relative:page;mso-height-relative:page;" filled="f" stroked="f" coordsize="21600,21600" o:gfxdata="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MASL22QAAAAsBAAAPAAAAAAAAAAEAIAAAACIAAABkcnMvZG93bnJldi54&#10;bWxQSwECFAAUAAAACACHTuJALlZmfjICAABjBAAADgAAAAAAAAABACAAAAAoAQAAZHJzL2Uyb0Rv&#10;Yy54bWxQSwUGAAAAAAYABgBZAQAAzAUAAAAA&#10;">
              <v:fill on="f" focussize="0,0"/>
              <v:stroke on="f" weight="0.5pt"/>
              <v:imagedata o:title=""/>
              <o:lock v:ext="edit" aspectratio="f"/>
              <v:textbox inset="0mm,0mm,0mm,0mm" style="mso-fit-shape-to-text:t;">
                <w:txbxContent>
                  <w:p w14:paraId="6FDABCE7">
                    <w:pPr>
                      <w:pStyle w:val="27"/>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76</w:t>
                    </w:r>
                    <w:r>
                      <w:t>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3FAF0">
    <w:pPr>
      <w:pStyle w:val="27"/>
      <w:tabs>
        <w:tab w:val="center" w:pos="4819"/>
        <w:tab w:val="left" w:pos="7440"/>
      </w:tabs>
    </w:pPr>
    <w:r>
      <w:tab/>
    </w:r>
  </w:p>
  <w:p w14:paraId="12D2D435">
    <w:pPr>
      <w:pStyle w:val="27"/>
      <w:ind w:right="360"/>
      <w:jc w:val="center"/>
      <w:rPr>
        <w:rFonts w:ascii="宋体" w:cs="Times New Roman"/>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ECC8C">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1FF93">
    <w:pPr>
      <w:pStyle w:val="2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A44F9">
    <w:pPr>
      <w:pStyle w:val="28"/>
      <w:pBdr>
        <w:bottom w:val="none" w:color="auto" w:sz="0" w:space="1"/>
      </w:pBdr>
      <w:jc w:val="left"/>
      <w:rPr>
        <w:rFonts w:hint="default"/>
        <w:lang w:val="en-US" w:eastAsia="zh-CN"/>
      </w:rPr>
    </w:pPr>
    <w:r>
      <w:rPr>
        <w:rFonts w:hint="eastAsia" w:ascii="宋体" w:hAnsi="宋体" w:cs="宋体"/>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51D59">
    <w:pPr>
      <w:keepNext w:val="0"/>
      <w:keepLines w:val="0"/>
      <w:pageBreakBefore w:val="0"/>
      <w:widowControl w:val="0"/>
      <w:pBdr>
        <w:bottom w:val="none" w:color="auto" w:sz="0" w:space="0"/>
      </w:pBdr>
      <w:kinsoku/>
      <w:wordWrap/>
      <w:overflowPunct/>
      <w:topLinePunct w:val="0"/>
      <w:autoSpaceDE/>
      <w:autoSpaceDN/>
      <w:bidi w:val="0"/>
      <w:adjustRightInd w:val="0"/>
      <w:snapToGrid w:val="0"/>
      <w:spacing w:line="240" w:lineRule="auto"/>
      <w:jc w:val="left"/>
      <w:textAlignment w:val="auto"/>
      <w:rPr>
        <w:rFonts w:hint="default" w:ascii="宋体" w:eastAsia="宋体" w:cs="Times New Roman"/>
        <w:highlight w:val="red"/>
        <w:u w:val="none"/>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9E4AC">
    <w:pPr>
      <w:pStyle w:val="28"/>
      <w:pBdr>
        <w:bottom w:val="none" w:color="auto" w:sz="0" w:space="1"/>
      </w:pBdr>
      <w:jc w:val="left"/>
      <w:rPr>
        <w:rFonts w:hint="eastAsia" w:ascii="宋体" w:hAnsi="Calibri" w:eastAsia="宋体" w:cs="Times New Roman"/>
        <w:kern w:val="2"/>
        <w:sz w:val="21"/>
        <w:szCs w:val="21"/>
        <w:highlight w:val="none"/>
        <w:u w:val="none"/>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05BE7">
    <w:pPr>
      <w:pStyle w:val="28"/>
      <w:pBdr>
        <w:bottom w:val="single" w:color="auto" w:sz="4" w:space="1"/>
      </w:pBdr>
      <w:jc w:val="left"/>
      <w:rPr>
        <w:rFonts w:hint="default" w:ascii="宋体" w:hAnsi="Calibri" w:eastAsia="宋体" w:cs="Times New Roman"/>
        <w:kern w:val="2"/>
        <w:sz w:val="21"/>
        <w:szCs w:val="21"/>
        <w:highlight w:val="none"/>
        <w:u w:val="none"/>
        <w:lang w:val="en-US" w:eastAsia="zh-CN" w:bidi="ar-SA"/>
      </w:rPr>
    </w:pPr>
    <w:r>
      <w:rPr>
        <w:rFonts w:hint="default" w:ascii="宋体" w:hAnsi="Calibri" w:eastAsia="宋体" w:cs="Times New Roman"/>
        <w:kern w:val="2"/>
        <w:sz w:val="21"/>
        <w:szCs w:val="21"/>
        <w:highlight w:val="none"/>
        <w:u w:val="none"/>
        <w:lang w:val="en-US" w:eastAsia="zh-CN" w:bidi="ar-SA"/>
      </w:rPr>
      <w:t>项目名称：</w:t>
    </w:r>
    <w:r>
      <w:rPr>
        <w:rFonts w:hint="eastAsia" w:ascii="宋体" w:cs="Times New Roman"/>
        <w:kern w:val="2"/>
        <w:sz w:val="21"/>
        <w:szCs w:val="21"/>
        <w:highlight w:val="none"/>
        <w:u w:val="none"/>
        <w:lang w:val="en-US" w:eastAsia="zh-CN" w:bidi="ar-SA"/>
      </w:rPr>
      <w:t>安康市工人文化宫一楼装修施工项目</w:t>
    </w:r>
    <w:r>
      <w:rPr>
        <w:rFonts w:hint="default" w:ascii="宋体" w:hAnsi="Calibri" w:eastAsia="宋体" w:cs="Times New Roman"/>
        <w:kern w:val="2"/>
        <w:sz w:val="21"/>
        <w:szCs w:val="21"/>
        <w:highlight w:val="none"/>
        <w:u w:val="none"/>
        <w:lang w:val="en-US" w:eastAsia="zh-CN" w:bidi="ar-SA"/>
      </w:rPr>
      <w:t xml:space="preserve"> </w:t>
    </w:r>
    <w:r>
      <w:rPr>
        <w:rFonts w:hint="eastAsia" w:ascii="宋体" w:cs="Times New Roman"/>
        <w:kern w:val="2"/>
        <w:sz w:val="21"/>
        <w:szCs w:val="21"/>
        <w:highlight w:val="none"/>
        <w:u w:val="none"/>
        <w:lang w:val="en-US" w:eastAsia="zh-CN" w:bidi="ar-SA"/>
      </w:rPr>
      <w:t xml:space="preserve">                   </w:t>
    </w:r>
    <w:r>
      <w:rPr>
        <w:rFonts w:hint="eastAsia" w:ascii="宋体" w:hAnsi="Calibri" w:eastAsia="宋体" w:cs="Times New Roman"/>
        <w:kern w:val="2"/>
        <w:sz w:val="21"/>
        <w:szCs w:val="21"/>
        <w:highlight w:val="none"/>
        <w:u w:val="none"/>
        <w:lang w:val="en-US" w:eastAsia="zh-CN" w:bidi="ar-SA"/>
      </w:rPr>
      <w:t xml:space="preserve"> </w:t>
    </w:r>
    <w:r>
      <w:rPr>
        <w:rFonts w:hint="default" w:ascii="宋体" w:hAnsi="Calibri" w:eastAsia="宋体" w:cs="Times New Roman"/>
        <w:kern w:val="2"/>
        <w:sz w:val="21"/>
        <w:szCs w:val="21"/>
        <w:highlight w:val="none"/>
        <w:u w:val="none"/>
        <w:lang w:val="en-US" w:eastAsia="zh-CN" w:bidi="ar-SA"/>
      </w:rPr>
      <w:t>项目编号：</w:t>
    </w:r>
    <w:r>
      <w:rPr>
        <w:rFonts w:hint="eastAsia" w:ascii="宋体" w:cs="Times New Roman"/>
        <w:kern w:val="2"/>
        <w:sz w:val="21"/>
        <w:szCs w:val="21"/>
        <w:highlight w:val="none"/>
        <w:u w:val="none"/>
        <w:lang w:val="en-US" w:eastAsia="zh-CN" w:bidi="ar-SA"/>
      </w:rPr>
      <w:t>AKSH2026-ZCS-113</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66E17">
    <w:pPr>
      <w:pStyle w:val="28"/>
      <w:pBdr>
        <w:bottom w:val="single" w:color="auto" w:sz="4" w:space="1"/>
      </w:pBdr>
      <w:jc w:val="left"/>
      <w:rPr>
        <w:rFonts w:hint="default" w:ascii="宋体" w:hAnsi="Calibri" w:eastAsia="宋体" w:cs="Times New Roman"/>
        <w:kern w:val="2"/>
        <w:sz w:val="21"/>
        <w:szCs w:val="21"/>
        <w:highlight w:val="none"/>
        <w:u w:val="none"/>
        <w:lang w:val="en-US" w:eastAsia="zh-CN" w:bidi="ar-SA"/>
      </w:rPr>
    </w:pPr>
    <w:r>
      <w:rPr>
        <w:rFonts w:hint="eastAsia" w:ascii="宋体" w:hAnsi="Calibri" w:eastAsia="宋体" w:cs="Times New Roman"/>
        <w:kern w:val="2"/>
        <w:sz w:val="21"/>
        <w:szCs w:val="21"/>
        <w:highlight w:val="none"/>
        <w:u w:val="none"/>
        <w:lang w:val="en-US" w:eastAsia="zh-CN" w:bidi="ar-SA"/>
      </w:rPr>
      <w:t>项目名称：</w:t>
    </w:r>
    <w:r>
      <w:rPr>
        <w:rFonts w:hint="eastAsia" w:ascii="宋体" w:cs="Times New Roman"/>
        <w:kern w:val="2"/>
        <w:sz w:val="21"/>
        <w:szCs w:val="21"/>
        <w:highlight w:val="none"/>
        <w:u w:val="none"/>
        <w:lang w:val="en-US" w:eastAsia="zh-CN" w:bidi="ar-SA"/>
      </w:rPr>
      <w:t>安康市工人文化宫一楼装修施工项目                  项目编号：AKSH2026-ZCS-113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BFE64">
    <w:pPr>
      <w:pStyle w:val="28"/>
    </w:pPr>
    <w:r>
      <w:rPr>
        <w:rFonts w:hint="eastAsia" w:ascii="宋体" w:hAnsi="Calibri" w:eastAsia="宋体" w:cs="Times New Roman"/>
        <w:kern w:val="2"/>
        <w:sz w:val="21"/>
        <w:szCs w:val="21"/>
        <w:highlight w:val="none"/>
        <w:u w:val="none"/>
        <w:lang w:val="en-US" w:eastAsia="zh-CN" w:bidi="ar-SA"/>
      </w:rPr>
      <w:t>项目名称：</w:t>
    </w:r>
    <w:r>
      <w:rPr>
        <w:rFonts w:hint="eastAsia" w:ascii="宋体" w:cs="Times New Roman"/>
        <w:kern w:val="2"/>
        <w:sz w:val="21"/>
        <w:szCs w:val="21"/>
        <w:highlight w:val="none"/>
        <w:u w:val="none"/>
        <w:lang w:val="en-US" w:eastAsia="zh-CN" w:bidi="ar-SA"/>
      </w:rPr>
      <w:t>安康市工人文化宫一楼装修施工项目                 项目编号：AKSH2026-ZCS-113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112CB">
    <w:pPr>
      <w:pStyle w:val="28"/>
      <w:rPr>
        <w:rFonts w:hint="default"/>
        <w:lang w:val="en-US" w:eastAsia="zh-CN"/>
      </w:rPr>
    </w:pPr>
    <w:r>
      <w:rPr>
        <w:rFonts w:hint="eastAsia" w:ascii="宋体" w:hAnsi="Calibri" w:eastAsia="宋体" w:cs="Times New Roman"/>
        <w:kern w:val="2"/>
        <w:sz w:val="21"/>
        <w:szCs w:val="21"/>
        <w:highlight w:val="none"/>
        <w:u w:val="none"/>
        <w:lang w:val="en-US" w:eastAsia="zh-CN" w:bidi="ar-SA"/>
      </w:rPr>
      <w:t>项目名称：</w:t>
    </w:r>
    <w:r>
      <w:rPr>
        <w:rFonts w:hint="eastAsia" w:ascii="宋体" w:cs="Times New Roman"/>
        <w:kern w:val="2"/>
        <w:sz w:val="21"/>
        <w:szCs w:val="21"/>
        <w:highlight w:val="none"/>
        <w:u w:val="none"/>
        <w:lang w:val="en-US" w:eastAsia="zh-CN" w:bidi="ar-SA"/>
      </w:rPr>
      <w:t>安康市工人文化宫一楼装修施工项目                    项目编号：AKSH2026-ZCS-113</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9C1EB">
    <w:pPr>
      <w:pStyle w:val="28"/>
      <w:rPr>
        <w:rFonts w:hint="default"/>
        <w:lang w:val="en-US" w:eastAsia="zh-CN"/>
      </w:rPr>
    </w:pPr>
    <w:r>
      <w:rPr>
        <w:rFonts w:hint="eastAsia" w:ascii="宋体" w:hAnsi="Calibri" w:eastAsia="宋体" w:cs="Times New Roman"/>
        <w:kern w:val="2"/>
        <w:sz w:val="21"/>
        <w:szCs w:val="21"/>
        <w:highlight w:val="none"/>
        <w:u w:val="none"/>
        <w:lang w:val="en-US" w:eastAsia="zh-CN" w:bidi="ar-SA"/>
      </w:rPr>
      <w:t>项目名称：</w:t>
    </w:r>
    <w:r>
      <w:rPr>
        <w:rFonts w:hint="eastAsia" w:ascii="宋体" w:cs="Times New Roman"/>
        <w:kern w:val="2"/>
        <w:sz w:val="21"/>
        <w:szCs w:val="21"/>
        <w:highlight w:val="none"/>
        <w:u w:val="none"/>
        <w:lang w:val="en-US" w:eastAsia="zh-CN" w:bidi="ar-SA"/>
      </w:rPr>
      <w:t>安康市工人文化宫一楼装修施工项目                    项目编号：AKSH2026-ZCS-113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BD2E4C"/>
    <w:multiLevelType w:val="singleLevel"/>
    <w:tmpl w:val="89BD2E4C"/>
    <w:lvl w:ilvl="0" w:tentative="0">
      <w:start w:val="1"/>
      <w:numFmt w:val="decimal"/>
      <w:suff w:val="space"/>
      <w:lvlText w:val="%1."/>
      <w:lvlJc w:val="left"/>
    </w:lvl>
  </w:abstractNum>
  <w:abstractNum w:abstractNumId="1">
    <w:nsid w:val="C088441C"/>
    <w:multiLevelType w:val="singleLevel"/>
    <w:tmpl w:val="C088441C"/>
    <w:lvl w:ilvl="0" w:tentative="0">
      <w:start w:val="1"/>
      <w:numFmt w:val="decimal"/>
      <w:suff w:val="nothing"/>
      <w:lvlText w:val="%1．"/>
      <w:lvlJc w:val="left"/>
      <w:pPr>
        <w:ind w:left="-60"/>
      </w:pPr>
    </w:lvl>
  </w:abstractNum>
  <w:abstractNum w:abstractNumId="2">
    <w:nsid w:val="CC260F63"/>
    <w:multiLevelType w:val="singleLevel"/>
    <w:tmpl w:val="CC260F63"/>
    <w:lvl w:ilvl="0" w:tentative="0">
      <w:start w:val="1"/>
      <w:numFmt w:val="decimal"/>
      <w:pStyle w:val="12"/>
      <w:lvlText w:val="%1."/>
      <w:lvlJc w:val="left"/>
      <w:pPr>
        <w:tabs>
          <w:tab w:val="left" w:pos="780"/>
        </w:tabs>
        <w:ind w:left="780" w:hanging="360"/>
      </w:pPr>
    </w:lvl>
  </w:abstractNum>
  <w:abstractNum w:abstractNumId="3">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8BE4A74"/>
    <w:multiLevelType w:val="singleLevel"/>
    <w:tmpl w:val="58BE4A74"/>
    <w:lvl w:ilvl="0" w:tentative="0">
      <w:start w:val="1"/>
      <w:numFmt w:val="chineseCounting"/>
      <w:suff w:val="nothing"/>
      <w:lvlText w:val="%1、"/>
      <w:lvlJc w:val="left"/>
      <w:pPr>
        <w:ind w:left="420" w:firstLine="420"/>
      </w:pPr>
      <w:rPr>
        <w:rFonts w:hint="eastAsia"/>
      </w:rPr>
    </w:lvl>
  </w:abstractNum>
  <w:abstractNum w:abstractNumId="5">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6">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7">
    <w:nsid w:val="5C4C21CA"/>
    <w:multiLevelType w:val="multilevel"/>
    <w:tmpl w:val="5C4C21CA"/>
    <w:lvl w:ilvl="0" w:tentative="0">
      <w:start w:val="1"/>
      <w:numFmt w:val="chineseCountingThousand"/>
      <w:lvlText w:val="%1、"/>
      <w:lvlJc w:val="left"/>
      <w:pPr>
        <w:ind w:left="0" w:firstLine="0"/>
      </w:pPr>
      <w:rPr>
        <w:rFonts w:hint="eastAsia"/>
        <w:b/>
        <w:lang w:val="en-US"/>
      </w:rPr>
    </w:lvl>
    <w:lvl w:ilvl="1" w:tentative="0">
      <w:start w:val="1"/>
      <w:numFmt w:val="decimal"/>
      <w:isLgl/>
      <w:lvlText w:val="%1.%2、"/>
      <w:lvlJc w:val="left"/>
      <w:pPr>
        <w:ind w:left="142" w:firstLine="0"/>
      </w:pPr>
      <w:rPr>
        <w:rFonts w:hint="eastAsia"/>
        <w:b/>
        <w:color w:val="auto"/>
        <w:sz w:val="30"/>
        <w:szCs w:val="30"/>
      </w:rPr>
    </w:lvl>
    <w:lvl w:ilvl="2" w:tentative="0">
      <w:start w:val="1"/>
      <w:numFmt w:val="decimal"/>
      <w:pStyle w:val="147"/>
      <w:isLgl/>
      <w:lvlText w:val="%1.%2.%3、"/>
      <w:lvlJc w:val="left"/>
      <w:pPr>
        <w:ind w:left="142" w:firstLine="0"/>
      </w:pPr>
      <w:rPr>
        <w:rFonts w:hint="eastAsia"/>
        <w:b/>
        <w:i w:val="0"/>
      </w:rPr>
    </w:lvl>
    <w:lvl w:ilvl="3" w:tentative="0">
      <w:start w:val="1"/>
      <w:numFmt w:val="decimal"/>
      <w:isLgl/>
      <w:lvlText w:val="%1.%2.%3.%4、"/>
      <w:lvlJc w:val="left"/>
      <w:pPr>
        <w:ind w:left="0" w:firstLine="0"/>
      </w:pPr>
      <w:rPr>
        <w:rFonts w:hint="eastAsia" w:ascii="Times New Roman" w:hAnsi="Times New Roman" w:cs="Times New Roman"/>
        <w:b w:val="0"/>
        <w:bCs w:val="0"/>
        <w:i w:val="0"/>
        <w:iCs w:val="0"/>
        <w:caps w:val="0"/>
        <w:smallCaps w:val="0"/>
        <w:strike w:val="0"/>
        <w:dstrike w:val="0"/>
        <w:snapToGrid w:val="0"/>
        <w:color w:val="000000"/>
        <w:spacing w:val="0"/>
        <w:w w:val="0"/>
        <w:kern w:val="0"/>
        <w:position w:val="0"/>
        <w:szCs w:val="16"/>
        <w:u w:val="none"/>
      </w:rPr>
    </w:lvl>
    <w:lvl w:ilvl="4" w:tentative="0">
      <w:start w:val="1"/>
      <w:numFmt w:val="decimal"/>
      <w:isLgl/>
      <w:lvlText w:val="%1.%2.%3.%4.%5、"/>
      <w:lvlJc w:val="left"/>
      <w:pPr>
        <w:ind w:left="977" w:hanging="1008"/>
      </w:pPr>
      <w:rPr>
        <w:rFonts w:hint="eastAsia"/>
      </w:rPr>
    </w:lvl>
    <w:lvl w:ilvl="5" w:tentative="0">
      <w:start w:val="1"/>
      <w:numFmt w:val="decimal"/>
      <w:isLgl/>
      <w:lvlText w:val="%1.%2.%3.%4.%5.%6、"/>
      <w:lvlJc w:val="left"/>
      <w:pPr>
        <w:ind w:left="1121" w:hanging="1152"/>
      </w:pPr>
      <w:rPr>
        <w:rFonts w:hint="eastAsia"/>
      </w:rPr>
    </w:lvl>
    <w:lvl w:ilvl="6" w:tentative="0">
      <w:start w:val="1"/>
      <w:numFmt w:val="decimal"/>
      <w:lvlText w:val="%1.%2.%3.%4.%5.%6.%7"/>
      <w:lvlJc w:val="left"/>
      <w:pPr>
        <w:ind w:left="1265" w:hanging="1296"/>
      </w:pPr>
      <w:rPr>
        <w:rFonts w:hint="eastAsia"/>
      </w:rPr>
    </w:lvl>
    <w:lvl w:ilvl="7" w:tentative="0">
      <w:start w:val="1"/>
      <w:numFmt w:val="decimal"/>
      <w:lvlText w:val="%1.%2.%3.%4.%5.%6.%7.%8"/>
      <w:lvlJc w:val="left"/>
      <w:pPr>
        <w:ind w:left="1409" w:hanging="1440"/>
      </w:pPr>
      <w:rPr>
        <w:rFonts w:hint="eastAsia"/>
      </w:rPr>
    </w:lvl>
    <w:lvl w:ilvl="8" w:tentative="0">
      <w:start w:val="1"/>
      <w:numFmt w:val="decimal"/>
      <w:lvlText w:val="%1.%2.%3.%4.%5.%6.%7.%8.%9"/>
      <w:lvlJc w:val="left"/>
      <w:pPr>
        <w:ind w:left="1553" w:hanging="1584"/>
      </w:pPr>
      <w:rPr>
        <w:rFonts w:hint="eastAsia"/>
      </w:rPr>
    </w:lvl>
  </w:abstractNum>
  <w:num w:numId="1">
    <w:abstractNumId w:val="2"/>
  </w:num>
  <w:num w:numId="2">
    <w:abstractNumId w:val="7"/>
  </w:num>
  <w:num w:numId="3">
    <w:abstractNumId w:val="3"/>
  </w:num>
  <w:num w:numId="4">
    <w:abstractNumId w:val="4"/>
  </w:num>
  <w:num w:numId="5">
    <w:abstractNumId w:val="5"/>
  </w:num>
  <w:num w:numId="6">
    <w:abstractNumId w:val="6"/>
  </w:num>
  <w:num w:numId="7">
    <w:abstractNumId w:val="1"/>
  </w:num>
  <w:num w:numId="8">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熊律师">
    <w15:presenceInfo w15:providerId="None" w15:userId="熊律师"/>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documentProtection w:enforcement="0"/>
  <w:defaultTabStop w:val="420"/>
  <w:doNotHyphenateCaps/>
  <w:drawingGridHorizontalSpacing w:val="210"/>
  <w:drawingGridVerticalSpacing w:val="162"/>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M5ZTdmYzk3ZDczMTEyZmNiMTgzYzFlOWU3MmQyYzYifQ=="/>
  </w:docVars>
  <w:rsids>
    <w:rsidRoot w:val="00172A27"/>
    <w:rsid w:val="00004BA7"/>
    <w:rsid w:val="00005B32"/>
    <w:rsid w:val="00010EA2"/>
    <w:rsid w:val="00015CE5"/>
    <w:rsid w:val="0001630B"/>
    <w:rsid w:val="00016924"/>
    <w:rsid w:val="000215F9"/>
    <w:rsid w:val="0002193F"/>
    <w:rsid w:val="000251B2"/>
    <w:rsid w:val="00040CAE"/>
    <w:rsid w:val="0005257D"/>
    <w:rsid w:val="0005463B"/>
    <w:rsid w:val="00056A18"/>
    <w:rsid w:val="0006270F"/>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7A28"/>
    <w:rsid w:val="00170208"/>
    <w:rsid w:val="001710EC"/>
    <w:rsid w:val="00172A27"/>
    <w:rsid w:val="001755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4C04"/>
    <w:rsid w:val="00337601"/>
    <w:rsid w:val="00340F9B"/>
    <w:rsid w:val="00341158"/>
    <w:rsid w:val="00342A63"/>
    <w:rsid w:val="00343014"/>
    <w:rsid w:val="00345FCC"/>
    <w:rsid w:val="00347BE2"/>
    <w:rsid w:val="00352F14"/>
    <w:rsid w:val="00360C09"/>
    <w:rsid w:val="00362391"/>
    <w:rsid w:val="003627F8"/>
    <w:rsid w:val="00377F15"/>
    <w:rsid w:val="003859D8"/>
    <w:rsid w:val="00387321"/>
    <w:rsid w:val="003A1D85"/>
    <w:rsid w:val="003A43A3"/>
    <w:rsid w:val="003A612C"/>
    <w:rsid w:val="003A6630"/>
    <w:rsid w:val="003B53CC"/>
    <w:rsid w:val="003C206A"/>
    <w:rsid w:val="003C29FE"/>
    <w:rsid w:val="003C44B3"/>
    <w:rsid w:val="003C4988"/>
    <w:rsid w:val="003D37C1"/>
    <w:rsid w:val="003D50DD"/>
    <w:rsid w:val="003D7E3F"/>
    <w:rsid w:val="003E65D8"/>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703"/>
    <w:rsid w:val="00642F93"/>
    <w:rsid w:val="006657C9"/>
    <w:rsid w:val="006739A1"/>
    <w:rsid w:val="00675301"/>
    <w:rsid w:val="00676150"/>
    <w:rsid w:val="0068208A"/>
    <w:rsid w:val="00686E29"/>
    <w:rsid w:val="00691EC3"/>
    <w:rsid w:val="00696FBA"/>
    <w:rsid w:val="006A2AC7"/>
    <w:rsid w:val="006A2D96"/>
    <w:rsid w:val="006A3734"/>
    <w:rsid w:val="006B38D0"/>
    <w:rsid w:val="006C4563"/>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A16A6"/>
    <w:rsid w:val="007A2512"/>
    <w:rsid w:val="007A36C0"/>
    <w:rsid w:val="007B2B77"/>
    <w:rsid w:val="007B3A73"/>
    <w:rsid w:val="007B6B64"/>
    <w:rsid w:val="007B6BCF"/>
    <w:rsid w:val="007B6D05"/>
    <w:rsid w:val="007C18C2"/>
    <w:rsid w:val="007C1CAA"/>
    <w:rsid w:val="007C7DEA"/>
    <w:rsid w:val="007D00DF"/>
    <w:rsid w:val="007E3909"/>
    <w:rsid w:val="007E7467"/>
    <w:rsid w:val="007F01CC"/>
    <w:rsid w:val="007F20B0"/>
    <w:rsid w:val="007F33CE"/>
    <w:rsid w:val="007F7861"/>
    <w:rsid w:val="008004E4"/>
    <w:rsid w:val="0080581E"/>
    <w:rsid w:val="0081303D"/>
    <w:rsid w:val="00816B21"/>
    <w:rsid w:val="00821D41"/>
    <w:rsid w:val="008234BC"/>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EAE"/>
    <w:rsid w:val="008710F1"/>
    <w:rsid w:val="00876563"/>
    <w:rsid w:val="008839DC"/>
    <w:rsid w:val="008866C0"/>
    <w:rsid w:val="00887D1E"/>
    <w:rsid w:val="00891290"/>
    <w:rsid w:val="008962A7"/>
    <w:rsid w:val="00897D92"/>
    <w:rsid w:val="008A0975"/>
    <w:rsid w:val="008A367A"/>
    <w:rsid w:val="008B2891"/>
    <w:rsid w:val="008B3BC3"/>
    <w:rsid w:val="008B3D14"/>
    <w:rsid w:val="008B7CA5"/>
    <w:rsid w:val="008C227D"/>
    <w:rsid w:val="008C6D84"/>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4CF1"/>
    <w:rsid w:val="00956521"/>
    <w:rsid w:val="00962505"/>
    <w:rsid w:val="00964B6E"/>
    <w:rsid w:val="0096516F"/>
    <w:rsid w:val="0096641E"/>
    <w:rsid w:val="00967538"/>
    <w:rsid w:val="0097045D"/>
    <w:rsid w:val="0097134B"/>
    <w:rsid w:val="009729CB"/>
    <w:rsid w:val="00983FAD"/>
    <w:rsid w:val="0098589A"/>
    <w:rsid w:val="009859B0"/>
    <w:rsid w:val="009935A5"/>
    <w:rsid w:val="009A4A76"/>
    <w:rsid w:val="009A6B98"/>
    <w:rsid w:val="009A77A9"/>
    <w:rsid w:val="009B5F0C"/>
    <w:rsid w:val="009C0F48"/>
    <w:rsid w:val="009C28C6"/>
    <w:rsid w:val="009C52D9"/>
    <w:rsid w:val="009C65C7"/>
    <w:rsid w:val="009D4358"/>
    <w:rsid w:val="009D657F"/>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466B"/>
    <w:rsid w:val="00A248F4"/>
    <w:rsid w:val="00A27424"/>
    <w:rsid w:val="00A27FA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36D8"/>
    <w:rsid w:val="00B05802"/>
    <w:rsid w:val="00B05FE4"/>
    <w:rsid w:val="00B07C59"/>
    <w:rsid w:val="00B2348B"/>
    <w:rsid w:val="00B30AD2"/>
    <w:rsid w:val="00B32079"/>
    <w:rsid w:val="00B355AC"/>
    <w:rsid w:val="00B3706C"/>
    <w:rsid w:val="00B40362"/>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E1802"/>
    <w:rsid w:val="00BE3DA8"/>
    <w:rsid w:val="00C01460"/>
    <w:rsid w:val="00C03A4F"/>
    <w:rsid w:val="00C0667B"/>
    <w:rsid w:val="00C06804"/>
    <w:rsid w:val="00C11350"/>
    <w:rsid w:val="00C1147B"/>
    <w:rsid w:val="00C16128"/>
    <w:rsid w:val="00C27EF0"/>
    <w:rsid w:val="00C36694"/>
    <w:rsid w:val="00C43EB2"/>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4610"/>
    <w:rsid w:val="00E55562"/>
    <w:rsid w:val="00E57423"/>
    <w:rsid w:val="00E57D7D"/>
    <w:rsid w:val="00E61F55"/>
    <w:rsid w:val="00E63219"/>
    <w:rsid w:val="00E65DC8"/>
    <w:rsid w:val="00E83E90"/>
    <w:rsid w:val="00E90E0A"/>
    <w:rsid w:val="00E9724B"/>
    <w:rsid w:val="00EA1ECE"/>
    <w:rsid w:val="00EA67DE"/>
    <w:rsid w:val="00EB067D"/>
    <w:rsid w:val="00EB0F5E"/>
    <w:rsid w:val="00EC1730"/>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B583C"/>
    <w:rsid w:val="010D7031"/>
    <w:rsid w:val="010E06D4"/>
    <w:rsid w:val="011221F0"/>
    <w:rsid w:val="013A223F"/>
    <w:rsid w:val="01525A0A"/>
    <w:rsid w:val="015F531D"/>
    <w:rsid w:val="016A454D"/>
    <w:rsid w:val="017D3840"/>
    <w:rsid w:val="018E640A"/>
    <w:rsid w:val="01920D21"/>
    <w:rsid w:val="01A4012F"/>
    <w:rsid w:val="01AC2FBF"/>
    <w:rsid w:val="01BC4501"/>
    <w:rsid w:val="01DA363D"/>
    <w:rsid w:val="01F90F7C"/>
    <w:rsid w:val="020600F6"/>
    <w:rsid w:val="02064B47"/>
    <w:rsid w:val="022D433C"/>
    <w:rsid w:val="02374638"/>
    <w:rsid w:val="023C7D0C"/>
    <w:rsid w:val="02854F8C"/>
    <w:rsid w:val="02AD4E24"/>
    <w:rsid w:val="02C56FBB"/>
    <w:rsid w:val="02CB14A4"/>
    <w:rsid w:val="02CF1E3F"/>
    <w:rsid w:val="02E57ADC"/>
    <w:rsid w:val="02F61685"/>
    <w:rsid w:val="02FA17E2"/>
    <w:rsid w:val="02FD5BFC"/>
    <w:rsid w:val="02FE73C3"/>
    <w:rsid w:val="030A0C9E"/>
    <w:rsid w:val="03226FE8"/>
    <w:rsid w:val="03442B37"/>
    <w:rsid w:val="03442ED4"/>
    <w:rsid w:val="034C725D"/>
    <w:rsid w:val="03982137"/>
    <w:rsid w:val="03C10C9F"/>
    <w:rsid w:val="03C921C1"/>
    <w:rsid w:val="03FD053E"/>
    <w:rsid w:val="040B7728"/>
    <w:rsid w:val="040D5331"/>
    <w:rsid w:val="042475F2"/>
    <w:rsid w:val="044912F8"/>
    <w:rsid w:val="045B26AD"/>
    <w:rsid w:val="045F7B15"/>
    <w:rsid w:val="046D2F85"/>
    <w:rsid w:val="04CB26A7"/>
    <w:rsid w:val="04CD0688"/>
    <w:rsid w:val="04CE3D21"/>
    <w:rsid w:val="04D502BA"/>
    <w:rsid w:val="04DA7FAF"/>
    <w:rsid w:val="04DF4866"/>
    <w:rsid w:val="04F06D3D"/>
    <w:rsid w:val="0501015C"/>
    <w:rsid w:val="050438CD"/>
    <w:rsid w:val="052B0940"/>
    <w:rsid w:val="053973B5"/>
    <w:rsid w:val="05402991"/>
    <w:rsid w:val="054D10EA"/>
    <w:rsid w:val="054E1CE0"/>
    <w:rsid w:val="056C728C"/>
    <w:rsid w:val="057A7F6E"/>
    <w:rsid w:val="05A377A7"/>
    <w:rsid w:val="05D137D6"/>
    <w:rsid w:val="05D27302"/>
    <w:rsid w:val="05FA123D"/>
    <w:rsid w:val="05FB4E02"/>
    <w:rsid w:val="05FF224E"/>
    <w:rsid w:val="060454DB"/>
    <w:rsid w:val="06110D47"/>
    <w:rsid w:val="063F6A07"/>
    <w:rsid w:val="06587E65"/>
    <w:rsid w:val="065A46B0"/>
    <w:rsid w:val="065B3B93"/>
    <w:rsid w:val="066D1D57"/>
    <w:rsid w:val="06B12629"/>
    <w:rsid w:val="06BD3616"/>
    <w:rsid w:val="06BE30D0"/>
    <w:rsid w:val="06CD112D"/>
    <w:rsid w:val="06D505D2"/>
    <w:rsid w:val="06DC7813"/>
    <w:rsid w:val="06E56C12"/>
    <w:rsid w:val="06FD5DC2"/>
    <w:rsid w:val="07224610"/>
    <w:rsid w:val="073278A0"/>
    <w:rsid w:val="073E5E68"/>
    <w:rsid w:val="0740531C"/>
    <w:rsid w:val="07621A18"/>
    <w:rsid w:val="077166EC"/>
    <w:rsid w:val="07892C9E"/>
    <w:rsid w:val="07D0699E"/>
    <w:rsid w:val="07E562BD"/>
    <w:rsid w:val="07FC0B21"/>
    <w:rsid w:val="07FC0D88"/>
    <w:rsid w:val="08145F16"/>
    <w:rsid w:val="08366DA4"/>
    <w:rsid w:val="084D4872"/>
    <w:rsid w:val="087D1536"/>
    <w:rsid w:val="089E6E52"/>
    <w:rsid w:val="08B16FB6"/>
    <w:rsid w:val="08B8390C"/>
    <w:rsid w:val="08E53CD3"/>
    <w:rsid w:val="08E74CA6"/>
    <w:rsid w:val="090A42F6"/>
    <w:rsid w:val="092266DC"/>
    <w:rsid w:val="09271A18"/>
    <w:rsid w:val="0949327F"/>
    <w:rsid w:val="097A7578"/>
    <w:rsid w:val="099106B6"/>
    <w:rsid w:val="09913C41"/>
    <w:rsid w:val="09A147B1"/>
    <w:rsid w:val="09AA6D36"/>
    <w:rsid w:val="09C33728"/>
    <w:rsid w:val="09CF513B"/>
    <w:rsid w:val="09E25AD9"/>
    <w:rsid w:val="09EA213D"/>
    <w:rsid w:val="0A0976BB"/>
    <w:rsid w:val="0A14041D"/>
    <w:rsid w:val="0A182BFC"/>
    <w:rsid w:val="0A367760"/>
    <w:rsid w:val="0A3E3F88"/>
    <w:rsid w:val="0A672A35"/>
    <w:rsid w:val="0A706A46"/>
    <w:rsid w:val="0A891706"/>
    <w:rsid w:val="0A9E72DA"/>
    <w:rsid w:val="0AA91159"/>
    <w:rsid w:val="0AE54C46"/>
    <w:rsid w:val="0AEE50E0"/>
    <w:rsid w:val="0AFC5610"/>
    <w:rsid w:val="0B224DC6"/>
    <w:rsid w:val="0B2758D4"/>
    <w:rsid w:val="0B561C5B"/>
    <w:rsid w:val="0B5D1A85"/>
    <w:rsid w:val="0B5D1E36"/>
    <w:rsid w:val="0B651A2B"/>
    <w:rsid w:val="0B741EC5"/>
    <w:rsid w:val="0BB5243F"/>
    <w:rsid w:val="0BE50B71"/>
    <w:rsid w:val="0BED26A5"/>
    <w:rsid w:val="0BF91A7F"/>
    <w:rsid w:val="0C0A394D"/>
    <w:rsid w:val="0C252478"/>
    <w:rsid w:val="0C495E24"/>
    <w:rsid w:val="0C4A5A7C"/>
    <w:rsid w:val="0C5F0865"/>
    <w:rsid w:val="0C786384"/>
    <w:rsid w:val="0C943AA2"/>
    <w:rsid w:val="0CB5191B"/>
    <w:rsid w:val="0CB6728F"/>
    <w:rsid w:val="0CB953A1"/>
    <w:rsid w:val="0CC46DF9"/>
    <w:rsid w:val="0CCE2B10"/>
    <w:rsid w:val="0CE1187B"/>
    <w:rsid w:val="0CE35645"/>
    <w:rsid w:val="0CFD25BD"/>
    <w:rsid w:val="0D1F6213"/>
    <w:rsid w:val="0D371B9D"/>
    <w:rsid w:val="0D452987"/>
    <w:rsid w:val="0D462DD6"/>
    <w:rsid w:val="0D62596E"/>
    <w:rsid w:val="0D6C19EE"/>
    <w:rsid w:val="0D7B32BC"/>
    <w:rsid w:val="0D933F5C"/>
    <w:rsid w:val="0DA67FA3"/>
    <w:rsid w:val="0DA800E4"/>
    <w:rsid w:val="0DC3433B"/>
    <w:rsid w:val="0E005C7A"/>
    <w:rsid w:val="0E0C42FA"/>
    <w:rsid w:val="0E381521"/>
    <w:rsid w:val="0E475B7F"/>
    <w:rsid w:val="0E69691F"/>
    <w:rsid w:val="0EA91CC7"/>
    <w:rsid w:val="0EC875FE"/>
    <w:rsid w:val="0EE00EC5"/>
    <w:rsid w:val="0EEC44E6"/>
    <w:rsid w:val="0EFD2AF6"/>
    <w:rsid w:val="0F03025E"/>
    <w:rsid w:val="0F1C13DE"/>
    <w:rsid w:val="0F3F00D1"/>
    <w:rsid w:val="0F537409"/>
    <w:rsid w:val="0F79260C"/>
    <w:rsid w:val="0F987E27"/>
    <w:rsid w:val="0FBB76E3"/>
    <w:rsid w:val="0FC54506"/>
    <w:rsid w:val="0FC66DA3"/>
    <w:rsid w:val="100E0796"/>
    <w:rsid w:val="101D1E30"/>
    <w:rsid w:val="10204FBD"/>
    <w:rsid w:val="10252948"/>
    <w:rsid w:val="10372E26"/>
    <w:rsid w:val="103966FB"/>
    <w:rsid w:val="10451AFD"/>
    <w:rsid w:val="106C132D"/>
    <w:rsid w:val="108E6DDE"/>
    <w:rsid w:val="10DD209D"/>
    <w:rsid w:val="10FF1E8F"/>
    <w:rsid w:val="118013C7"/>
    <w:rsid w:val="118D5872"/>
    <w:rsid w:val="119963B1"/>
    <w:rsid w:val="11B361D3"/>
    <w:rsid w:val="11BB4D58"/>
    <w:rsid w:val="11BB6630"/>
    <w:rsid w:val="12793BBE"/>
    <w:rsid w:val="127B5FEA"/>
    <w:rsid w:val="127C4C76"/>
    <w:rsid w:val="128C33F4"/>
    <w:rsid w:val="129B2A46"/>
    <w:rsid w:val="12EF690E"/>
    <w:rsid w:val="131A7145"/>
    <w:rsid w:val="131C06AC"/>
    <w:rsid w:val="133A4EB7"/>
    <w:rsid w:val="13487675"/>
    <w:rsid w:val="13631AD8"/>
    <w:rsid w:val="137447B2"/>
    <w:rsid w:val="13830E2C"/>
    <w:rsid w:val="138D11BC"/>
    <w:rsid w:val="139D2FCC"/>
    <w:rsid w:val="13D84C83"/>
    <w:rsid w:val="13EA285B"/>
    <w:rsid w:val="142468C7"/>
    <w:rsid w:val="14254BFD"/>
    <w:rsid w:val="143C5260"/>
    <w:rsid w:val="14661880"/>
    <w:rsid w:val="149C20CC"/>
    <w:rsid w:val="14AF4B49"/>
    <w:rsid w:val="14B45A92"/>
    <w:rsid w:val="14F838A9"/>
    <w:rsid w:val="15164403"/>
    <w:rsid w:val="15273101"/>
    <w:rsid w:val="153062F0"/>
    <w:rsid w:val="153E2DB6"/>
    <w:rsid w:val="15550B09"/>
    <w:rsid w:val="155550C1"/>
    <w:rsid w:val="15576ACE"/>
    <w:rsid w:val="1568217F"/>
    <w:rsid w:val="15761223"/>
    <w:rsid w:val="15784E47"/>
    <w:rsid w:val="157C2A57"/>
    <w:rsid w:val="159517A5"/>
    <w:rsid w:val="15A74B21"/>
    <w:rsid w:val="15B17473"/>
    <w:rsid w:val="15E23CA8"/>
    <w:rsid w:val="15F75500"/>
    <w:rsid w:val="15FA6095"/>
    <w:rsid w:val="166B3507"/>
    <w:rsid w:val="166F203B"/>
    <w:rsid w:val="167558F0"/>
    <w:rsid w:val="16C2284B"/>
    <w:rsid w:val="16CB423B"/>
    <w:rsid w:val="16D95682"/>
    <w:rsid w:val="17062F69"/>
    <w:rsid w:val="171750B3"/>
    <w:rsid w:val="17423544"/>
    <w:rsid w:val="17450DD5"/>
    <w:rsid w:val="17575561"/>
    <w:rsid w:val="1779199A"/>
    <w:rsid w:val="17907B2D"/>
    <w:rsid w:val="179944DC"/>
    <w:rsid w:val="17A06173"/>
    <w:rsid w:val="17B56054"/>
    <w:rsid w:val="17CB4BCC"/>
    <w:rsid w:val="17DF536C"/>
    <w:rsid w:val="17EA0C48"/>
    <w:rsid w:val="18120EEB"/>
    <w:rsid w:val="18163EED"/>
    <w:rsid w:val="181C4CF1"/>
    <w:rsid w:val="18274390"/>
    <w:rsid w:val="182B6938"/>
    <w:rsid w:val="18356139"/>
    <w:rsid w:val="183D0E38"/>
    <w:rsid w:val="1841587E"/>
    <w:rsid w:val="185D0505"/>
    <w:rsid w:val="18630E03"/>
    <w:rsid w:val="186F3E63"/>
    <w:rsid w:val="187857E7"/>
    <w:rsid w:val="187B19AA"/>
    <w:rsid w:val="18811F09"/>
    <w:rsid w:val="188321C6"/>
    <w:rsid w:val="18921717"/>
    <w:rsid w:val="18A25EE0"/>
    <w:rsid w:val="18A83EC0"/>
    <w:rsid w:val="18AD6D67"/>
    <w:rsid w:val="18B527EC"/>
    <w:rsid w:val="18C57937"/>
    <w:rsid w:val="18D3007D"/>
    <w:rsid w:val="18D53492"/>
    <w:rsid w:val="190D3CF6"/>
    <w:rsid w:val="190E1B7D"/>
    <w:rsid w:val="192F739D"/>
    <w:rsid w:val="196C2D76"/>
    <w:rsid w:val="19AF6CBE"/>
    <w:rsid w:val="19C74B5B"/>
    <w:rsid w:val="19DC5DE9"/>
    <w:rsid w:val="19E42EEC"/>
    <w:rsid w:val="19E7490A"/>
    <w:rsid w:val="19FC4F49"/>
    <w:rsid w:val="1A206E13"/>
    <w:rsid w:val="1A324F2D"/>
    <w:rsid w:val="1A434B25"/>
    <w:rsid w:val="1A462475"/>
    <w:rsid w:val="1A542986"/>
    <w:rsid w:val="1A6612FE"/>
    <w:rsid w:val="1A6E4083"/>
    <w:rsid w:val="1A754C02"/>
    <w:rsid w:val="1A855D7B"/>
    <w:rsid w:val="1AB71087"/>
    <w:rsid w:val="1AC06A39"/>
    <w:rsid w:val="1ACC4F36"/>
    <w:rsid w:val="1AE043B8"/>
    <w:rsid w:val="1AF11218"/>
    <w:rsid w:val="1AF44A0B"/>
    <w:rsid w:val="1B115D3C"/>
    <w:rsid w:val="1B1E0896"/>
    <w:rsid w:val="1B306794"/>
    <w:rsid w:val="1B3B23A6"/>
    <w:rsid w:val="1B483F91"/>
    <w:rsid w:val="1B614048"/>
    <w:rsid w:val="1B6C2973"/>
    <w:rsid w:val="1B6C41BD"/>
    <w:rsid w:val="1B807337"/>
    <w:rsid w:val="1BA47C58"/>
    <w:rsid w:val="1BB80F43"/>
    <w:rsid w:val="1BC170B5"/>
    <w:rsid w:val="1BC63CDD"/>
    <w:rsid w:val="1BC85289"/>
    <w:rsid w:val="1BDC02C0"/>
    <w:rsid w:val="1BEB4B83"/>
    <w:rsid w:val="1BF0529D"/>
    <w:rsid w:val="1C415F19"/>
    <w:rsid w:val="1C446BE5"/>
    <w:rsid w:val="1C5A0FCE"/>
    <w:rsid w:val="1C6D0873"/>
    <w:rsid w:val="1C915866"/>
    <w:rsid w:val="1CC22F08"/>
    <w:rsid w:val="1CC96E50"/>
    <w:rsid w:val="1CD84A63"/>
    <w:rsid w:val="1CE4569C"/>
    <w:rsid w:val="1CF15954"/>
    <w:rsid w:val="1D295B40"/>
    <w:rsid w:val="1D385997"/>
    <w:rsid w:val="1D395687"/>
    <w:rsid w:val="1D5E31C4"/>
    <w:rsid w:val="1D6B0D1C"/>
    <w:rsid w:val="1D8D5C15"/>
    <w:rsid w:val="1DA31A6F"/>
    <w:rsid w:val="1DB51F23"/>
    <w:rsid w:val="1DB52810"/>
    <w:rsid w:val="1DC65199"/>
    <w:rsid w:val="1DE55082"/>
    <w:rsid w:val="1DEB7A42"/>
    <w:rsid w:val="1DF97E9A"/>
    <w:rsid w:val="1E086E80"/>
    <w:rsid w:val="1E0B7D87"/>
    <w:rsid w:val="1E4B44C2"/>
    <w:rsid w:val="1E5E18A6"/>
    <w:rsid w:val="1E886B77"/>
    <w:rsid w:val="1EC331FD"/>
    <w:rsid w:val="1F1F3A24"/>
    <w:rsid w:val="1F206854"/>
    <w:rsid w:val="1F244EC9"/>
    <w:rsid w:val="1F514A73"/>
    <w:rsid w:val="1F5A3842"/>
    <w:rsid w:val="1F690A75"/>
    <w:rsid w:val="1F78690B"/>
    <w:rsid w:val="1F7977EE"/>
    <w:rsid w:val="1F895E51"/>
    <w:rsid w:val="1FA073B6"/>
    <w:rsid w:val="1FB12B7F"/>
    <w:rsid w:val="20025D99"/>
    <w:rsid w:val="203A68C1"/>
    <w:rsid w:val="203B40EA"/>
    <w:rsid w:val="2054435F"/>
    <w:rsid w:val="205E2FD5"/>
    <w:rsid w:val="20670906"/>
    <w:rsid w:val="20933A77"/>
    <w:rsid w:val="20971013"/>
    <w:rsid w:val="209D643B"/>
    <w:rsid w:val="20A77C09"/>
    <w:rsid w:val="20D7775D"/>
    <w:rsid w:val="20E03EA8"/>
    <w:rsid w:val="211D78B0"/>
    <w:rsid w:val="212E72D0"/>
    <w:rsid w:val="213C76E2"/>
    <w:rsid w:val="213E32F0"/>
    <w:rsid w:val="2149131F"/>
    <w:rsid w:val="2149340F"/>
    <w:rsid w:val="214E43E5"/>
    <w:rsid w:val="21B53414"/>
    <w:rsid w:val="21E5038E"/>
    <w:rsid w:val="21E8206B"/>
    <w:rsid w:val="220426D8"/>
    <w:rsid w:val="223E6CF8"/>
    <w:rsid w:val="224156DA"/>
    <w:rsid w:val="2243364A"/>
    <w:rsid w:val="226823A3"/>
    <w:rsid w:val="227A7B22"/>
    <w:rsid w:val="227C1E95"/>
    <w:rsid w:val="22A73267"/>
    <w:rsid w:val="22AF5BBC"/>
    <w:rsid w:val="22C677C0"/>
    <w:rsid w:val="22CD1033"/>
    <w:rsid w:val="22DD3C85"/>
    <w:rsid w:val="22E25187"/>
    <w:rsid w:val="22E67EF4"/>
    <w:rsid w:val="22FA0357"/>
    <w:rsid w:val="231F34A9"/>
    <w:rsid w:val="23740A0F"/>
    <w:rsid w:val="23767606"/>
    <w:rsid w:val="23773046"/>
    <w:rsid w:val="238823FA"/>
    <w:rsid w:val="238A31D0"/>
    <w:rsid w:val="23A2444D"/>
    <w:rsid w:val="23B42767"/>
    <w:rsid w:val="23E303FA"/>
    <w:rsid w:val="23EB5574"/>
    <w:rsid w:val="23F911BA"/>
    <w:rsid w:val="23FE56CB"/>
    <w:rsid w:val="23FF49C8"/>
    <w:rsid w:val="242D516F"/>
    <w:rsid w:val="245247ED"/>
    <w:rsid w:val="24575A93"/>
    <w:rsid w:val="24792794"/>
    <w:rsid w:val="24BF3406"/>
    <w:rsid w:val="24FE0C07"/>
    <w:rsid w:val="2508212D"/>
    <w:rsid w:val="251D0807"/>
    <w:rsid w:val="252B038C"/>
    <w:rsid w:val="252E1698"/>
    <w:rsid w:val="253926F4"/>
    <w:rsid w:val="2542651B"/>
    <w:rsid w:val="25543DDA"/>
    <w:rsid w:val="255F7AD2"/>
    <w:rsid w:val="2562439C"/>
    <w:rsid w:val="256D4FBD"/>
    <w:rsid w:val="257724FD"/>
    <w:rsid w:val="25777033"/>
    <w:rsid w:val="257E016B"/>
    <w:rsid w:val="25A84311"/>
    <w:rsid w:val="25AA58E4"/>
    <w:rsid w:val="25AD6D4C"/>
    <w:rsid w:val="25B52A47"/>
    <w:rsid w:val="25B72BCF"/>
    <w:rsid w:val="25C10491"/>
    <w:rsid w:val="25C46D47"/>
    <w:rsid w:val="25CE035B"/>
    <w:rsid w:val="25E074E7"/>
    <w:rsid w:val="25EE4017"/>
    <w:rsid w:val="25F97290"/>
    <w:rsid w:val="26217CFD"/>
    <w:rsid w:val="26223B26"/>
    <w:rsid w:val="26241D26"/>
    <w:rsid w:val="2627224F"/>
    <w:rsid w:val="26461511"/>
    <w:rsid w:val="265B0A5D"/>
    <w:rsid w:val="266360FF"/>
    <w:rsid w:val="266B72B6"/>
    <w:rsid w:val="266C4868"/>
    <w:rsid w:val="269D762C"/>
    <w:rsid w:val="26A10A3D"/>
    <w:rsid w:val="26B75F6B"/>
    <w:rsid w:val="26C976F8"/>
    <w:rsid w:val="26EF72E5"/>
    <w:rsid w:val="26FC4A2E"/>
    <w:rsid w:val="26FF3381"/>
    <w:rsid w:val="27004A9E"/>
    <w:rsid w:val="270B0E4A"/>
    <w:rsid w:val="270E64D3"/>
    <w:rsid w:val="2714654E"/>
    <w:rsid w:val="27180E6A"/>
    <w:rsid w:val="271E393C"/>
    <w:rsid w:val="271E669F"/>
    <w:rsid w:val="272E6A36"/>
    <w:rsid w:val="27333A9E"/>
    <w:rsid w:val="273D5A6D"/>
    <w:rsid w:val="274023D4"/>
    <w:rsid w:val="274253D5"/>
    <w:rsid w:val="2757798B"/>
    <w:rsid w:val="27663E92"/>
    <w:rsid w:val="276D74EC"/>
    <w:rsid w:val="276F6A21"/>
    <w:rsid w:val="27870ED8"/>
    <w:rsid w:val="278A534F"/>
    <w:rsid w:val="2795453A"/>
    <w:rsid w:val="27BF77CD"/>
    <w:rsid w:val="27C66714"/>
    <w:rsid w:val="27C7445F"/>
    <w:rsid w:val="27D163B4"/>
    <w:rsid w:val="282B36F9"/>
    <w:rsid w:val="2849353B"/>
    <w:rsid w:val="284B4DA9"/>
    <w:rsid w:val="287813D0"/>
    <w:rsid w:val="28A813E1"/>
    <w:rsid w:val="28AB3CCD"/>
    <w:rsid w:val="28B92E20"/>
    <w:rsid w:val="28B93CEB"/>
    <w:rsid w:val="28BE3C7A"/>
    <w:rsid w:val="28E02A8F"/>
    <w:rsid w:val="28E1683E"/>
    <w:rsid w:val="29125D60"/>
    <w:rsid w:val="292B1C11"/>
    <w:rsid w:val="2960365F"/>
    <w:rsid w:val="29771436"/>
    <w:rsid w:val="298A0A2A"/>
    <w:rsid w:val="29A02DFD"/>
    <w:rsid w:val="29D10A88"/>
    <w:rsid w:val="2A1A3264"/>
    <w:rsid w:val="2A1A46E9"/>
    <w:rsid w:val="2A2A2452"/>
    <w:rsid w:val="2A3717F0"/>
    <w:rsid w:val="2A441BE1"/>
    <w:rsid w:val="2A4836B1"/>
    <w:rsid w:val="2A4A0382"/>
    <w:rsid w:val="2A7B4487"/>
    <w:rsid w:val="2A7E55B1"/>
    <w:rsid w:val="2A851BD9"/>
    <w:rsid w:val="2A863893"/>
    <w:rsid w:val="2A8C1BF8"/>
    <w:rsid w:val="2A932720"/>
    <w:rsid w:val="2AA02867"/>
    <w:rsid w:val="2AB357E7"/>
    <w:rsid w:val="2ABF038A"/>
    <w:rsid w:val="2AC9578D"/>
    <w:rsid w:val="2ACC5C5A"/>
    <w:rsid w:val="2AD96649"/>
    <w:rsid w:val="2AF04F6E"/>
    <w:rsid w:val="2B000827"/>
    <w:rsid w:val="2B305649"/>
    <w:rsid w:val="2B420288"/>
    <w:rsid w:val="2B421328"/>
    <w:rsid w:val="2B56310A"/>
    <w:rsid w:val="2B624EA1"/>
    <w:rsid w:val="2B641D7F"/>
    <w:rsid w:val="2B674942"/>
    <w:rsid w:val="2B6D3C7A"/>
    <w:rsid w:val="2B786D85"/>
    <w:rsid w:val="2B7C20EC"/>
    <w:rsid w:val="2B955445"/>
    <w:rsid w:val="2BB23B01"/>
    <w:rsid w:val="2BB32D41"/>
    <w:rsid w:val="2BC069D0"/>
    <w:rsid w:val="2BC367B8"/>
    <w:rsid w:val="2BE45073"/>
    <w:rsid w:val="2BE960EF"/>
    <w:rsid w:val="2C071A15"/>
    <w:rsid w:val="2C1B0D4A"/>
    <w:rsid w:val="2C2D3420"/>
    <w:rsid w:val="2C3D09FE"/>
    <w:rsid w:val="2C55425C"/>
    <w:rsid w:val="2C7B4E8C"/>
    <w:rsid w:val="2C8A0D2C"/>
    <w:rsid w:val="2C9446A0"/>
    <w:rsid w:val="2CA04D25"/>
    <w:rsid w:val="2CD42FB0"/>
    <w:rsid w:val="2CED77C1"/>
    <w:rsid w:val="2CF617E0"/>
    <w:rsid w:val="2D16631A"/>
    <w:rsid w:val="2D4C5A5E"/>
    <w:rsid w:val="2D5614F3"/>
    <w:rsid w:val="2D5A4743"/>
    <w:rsid w:val="2D5E5546"/>
    <w:rsid w:val="2D681179"/>
    <w:rsid w:val="2D6F134E"/>
    <w:rsid w:val="2D944CD1"/>
    <w:rsid w:val="2DBB723B"/>
    <w:rsid w:val="2DC37DF1"/>
    <w:rsid w:val="2DCE0619"/>
    <w:rsid w:val="2DD35AE8"/>
    <w:rsid w:val="2DE64BF5"/>
    <w:rsid w:val="2DE84AF7"/>
    <w:rsid w:val="2E0D173F"/>
    <w:rsid w:val="2E2267BD"/>
    <w:rsid w:val="2E307DB7"/>
    <w:rsid w:val="2E3E5270"/>
    <w:rsid w:val="2E6011D7"/>
    <w:rsid w:val="2E7D3458"/>
    <w:rsid w:val="2E961606"/>
    <w:rsid w:val="2EB116BB"/>
    <w:rsid w:val="2EB8105A"/>
    <w:rsid w:val="2ED81367"/>
    <w:rsid w:val="2EE2449F"/>
    <w:rsid w:val="2EFE7D6E"/>
    <w:rsid w:val="2F58679B"/>
    <w:rsid w:val="2F89313C"/>
    <w:rsid w:val="2F984ABB"/>
    <w:rsid w:val="2FAD1FDF"/>
    <w:rsid w:val="2FC17E5A"/>
    <w:rsid w:val="302C39C4"/>
    <w:rsid w:val="30561692"/>
    <w:rsid w:val="3088123D"/>
    <w:rsid w:val="30AA13BF"/>
    <w:rsid w:val="30CA7690"/>
    <w:rsid w:val="30ED32FC"/>
    <w:rsid w:val="30F524B2"/>
    <w:rsid w:val="31195802"/>
    <w:rsid w:val="313533BC"/>
    <w:rsid w:val="313E4759"/>
    <w:rsid w:val="314B1C9B"/>
    <w:rsid w:val="31602DF6"/>
    <w:rsid w:val="31612184"/>
    <w:rsid w:val="3163384A"/>
    <w:rsid w:val="317D0C73"/>
    <w:rsid w:val="318872A5"/>
    <w:rsid w:val="318B24CE"/>
    <w:rsid w:val="31926D16"/>
    <w:rsid w:val="3194218A"/>
    <w:rsid w:val="31A40595"/>
    <w:rsid w:val="31A57943"/>
    <w:rsid w:val="31B444D7"/>
    <w:rsid w:val="31C342A2"/>
    <w:rsid w:val="31F83438"/>
    <w:rsid w:val="31FC5556"/>
    <w:rsid w:val="32170FF5"/>
    <w:rsid w:val="322D0CB7"/>
    <w:rsid w:val="32356B5E"/>
    <w:rsid w:val="324474DF"/>
    <w:rsid w:val="324E226E"/>
    <w:rsid w:val="32746E3F"/>
    <w:rsid w:val="32C1086E"/>
    <w:rsid w:val="32D4454C"/>
    <w:rsid w:val="32F341BB"/>
    <w:rsid w:val="32F576E3"/>
    <w:rsid w:val="330001A2"/>
    <w:rsid w:val="332A6927"/>
    <w:rsid w:val="33434A04"/>
    <w:rsid w:val="334713E7"/>
    <w:rsid w:val="335C0F0C"/>
    <w:rsid w:val="3363480C"/>
    <w:rsid w:val="338257CE"/>
    <w:rsid w:val="338B39C2"/>
    <w:rsid w:val="33BC7DF6"/>
    <w:rsid w:val="33CB6B29"/>
    <w:rsid w:val="33D47543"/>
    <w:rsid w:val="33EA4F8B"/>
    <w:rsid w:val="340B2F67"/>
    <w:rsid w:val="341A1198"/>
    <w:rsid w:val="344A5CAF"/>
    <w:rsid w:val="34627E84"/>
    <w:rsid w:val="346C4843"/>
    <w:rsid w:val="34761B3D"/>
    <w:rsid w:val="347C6980"/>
    <w:rsid w:val="34861646"/>
    <w:rsid w:val="34AE6BFF"/>
    <w:rsid w:val="34D6273D"/>
    <w:rsid w:val="34ED2EF3"/>
    <w:rsid w:val="34FB6280"/>
    <w:rsid w:val="35184C6D"/>
    <w:rsid w:val="353D1B92"/>
    <w:rsid w:val="356A2C20"/>
    <w:rsid w:val="35714F43"/>
    <w:rsid w:val="35773F4E"/>
    <w:rsid w:val="3584155B"/>
    <w:rsid w:val="358B1967"/>
    <w:rsid w:val="35906410"/>
    <w:rsid w:val="35BE61A8"/>
    <w:rsid w:val="35D903FF"/>
    <w:rsid w:val="35DB2555"/>
    <w:rsid w:val="35E1119D"/>
    <w:rsid w:val="35EF609A"/>
    <w:rsid w:val="360E3D96"/>
    <w:rsid w:val="361E3E3A"/>
    <w:rsid w:val="36352031"/>
    <w:rsid w:val="36462289"/>
    <w:rsid w:val="367873AA"/>
    <w:rsid w:val="368178C2"/>
    <w:rsid w:val="36892FDF"/>
    <w:rsid w:val="36897EB8"/>
    <w:rsid w:val="369301F2"/>
    <w:rsid w:val="369F5F8F"/>
    <w:rsid w:val="36A1205A"/>
    <w:rsid w:val="36A46172"/>
    <w:rsid w:val="36CD7058"/>
    <w:rsid w:val="36D90673"/>
    <w:rsid w:val="36DB7F8A"/>
    <w:rsid w:val="370666E5"/>
    <w:rsid w:val="37113C00"/>
    <w:rsid w:val="373511EA"/>
    <w:rsid w:val="374E2B36"/>
    <w:rsid w:val="374E3698"/>
    <w:rsid w:val="375111F8"/>
    <w:rsid w:val="37785578"/>
    <w:rsid w:val="379501B2"/>
    <w:rsid w:val="37AB75F3"/>
    <w:rsid w:val="37C4304B"/>
    <w:rsid w:val="37D84DD6"/>
    <w:rsid w:val="3818637F"/>
    <w:rsid w:val="38414AE1"/>
    <w:rsid w:val="385F1A9D"/>
    <w:rsid w:val="3883540B"/>
    <w:rsid w:val="38910707"/>
    <w:rsid w:val="389712F2"/>
    <w:rsid w:val="38B42B1B"/>
    <w:rsid w:val="38DD3307"/>
    <w:rsid w:val="38EC0F5C"/>
    <w:rsid w:val="390447E4"/>
    <w:rsid w:val="390F1C92"/>
    <w:rsid w:val="39197A87"/>
    <w:rsid w:val="39293DB0"/>
    <w:rsid w:val="3932357B"/>
    <w:rsid w:val="398630C2"/>
    <w:rsid w:val="39945775"/>
    <w:rsid w:val="39A03524"/>
    <w:rsid w:val="39B13AE1"/>
    <w:rsid w:val="39D0223F"/>
    <w:rsid w:val="39E83444"/>
    <w:rsid w:val="39E901AB"/>
    <w:rsid w:val="39F36619"/>
    <w:rsid w:val="3A015BD2"/>
    <w:rsid w:val="3A0A4F09"/>
    <w:rsid w:val="3A0D284C"/>
    <w:rsid w:val="3A376E72"/>
    <w:rsid w:val="3A5E6443"/>
    <w:rsid w:val="3A5F0C68"/>
    <w:rsid w:val="3A6E01EF"/>
    <w:rsid w:val="3A8628F1"/>
    <w:rsid w:val="3A8D3267"/>
    <w:rsid w:val="3A9A5F88"/>
    <w:rsid w:val="3A9B3EA5"/>
    <w:rsid w:val="3A9E0B45"/>
    <w:rsid w:val="3AAC47EF"/>
    <w:rsid w:val="3AC27912"/>
    <w:rsid w:val="3AD30754"/>
    <w:rsid w:val="3AD31A4B"/>
    <w:rsid w:val="3AD63FAA"/>
    <w:rsid w:val="3AD82BC6"/>
    <w:rsid w:val="3AFE2C6B"/>
    <w:rsid w:val="3B176C14"/>
    <w:rsid w:val="3B1866F7"/>
    <w:rsid w:val="3B1952ED"/>
    <w:rsid w:val="3B25014C"/>
    <w:rsid w:val="3B376687"/>
    <w:rsid w:val="3B3E6939"/>
    <w:rsid w:val="3B4F12B2"/>
    <w:rsid w:val="3B5E1424"/>
    <w:rsid w:val="3B674C8D"/>
    <w:rsid w:val="3B730A2C"/>
    <w:rsid w:val="3B807805"/>
    <w:rsid w:val="3BAE5839"/>
    <w:rsid w:val="3BBF7182"/>
    <w:rsid w:val="3BDB763B"/>
    <w:rsid w:val="3BF943E5"/>
    <w:rsid w:val="3BFB5246"/>
    <w:rsid w:val="3C0A04BB"/>
    <w:rsid w:val="3C3360EC"/>
    <w:rsid w:val="3C3643F9"/>
    <w:rsid w:val="3C452831"/>
    <w:rsid w:val="3C5D17C0"/>
    <w:rsid w:val="3C7057AE"/>
    <w:rsid w:val="3CA53C3A"/>
    <w:rsid w:val="3CA74A0B"/>
    <w:rsid w:val="3CA97F92"/>
    <w:rsid w:val="3CC1259B"/>
    <w:rsid w:val="3CE93077"/>
    <w:rsid w:val="3CEA08C2"/>
    <w:rsid w:val="3CEA1C78"/>
    <w:rsid w:val="3CEC0EB8"/>
    <w:rsid w:val="3CF0119C"/>
    <w:rsid w:val="3D37642D"/>
    <w:rsid w:val="3D3F3842"/>
    <w:rsid w:val="3D4B442E"/>
    <w:rsid w:val="3D672756"/>
    <w:rsid w:val="3D6D69CE"/>
    <w:rsid w:val="3D872B79"/>
    <w:rsid w:val="3D8D5B29"/>
    <w:rsid w:val="3DB13B3B"/>
    <w:rsid w:val="3DC065C6"/>
    <w:rsid w:val="3DC70F93"/>
    <w:rsid w:val="3DDC0B07"/>
    <w:rsid w:val="3DEF5B24"/>
    <w:rsid w:val="3E0169BD"/>
    <w:rsid w:val="3E3D3FF6"/>
    <w:rsid w:val="3E4D1237"/>
    <w:rsid w:val="3E5700F6"/>
    <w:rsid w:val="3E7B17BF"/>
    <w:rsid w:val="3EB721C8"/>
    <w:rsid w:val="3EC7628C"/>
    <w:rsid w:val="3EE10BA3"/>
    <w:rsid w:val="3EF472CF"/>
    <w:rsid w:val="3F197280"/>
    <w:rsid w:val="3F217B27"/>
    <w:rsid w:val="3F372FE2"/>
    <w:rsid w:val="3F4B496B"/>
    <w:rsid w:val="3F4B6BB2"/>
    <w:rsid w:val="3F5A6CFB"/>
    <w:rsid w:val="3F940980"/>
    <w:rsid w:val="3FA46EF8"/>
    <w:rsid w:val="3FEA02AB"/>
    <w:rsid w:val="3FEC6BE3"/>
    <w:rsid w:val="3FF57DD8"/>
    <w:rsid w:val="401A45DC"/>
    <w:rsid w:val="402203F5"/>
    <w:rsid w:val="4028158A"/>
    <w:rsid w:val="405427A2"/>
    <w:rsid w:val="40574F8A"/>
    <w:rsid w:val="40A27C38"/>
    <w:rsid w:val="40AE5034"/>
    <w:rsid w:val="40B35057"/>
    <w:rsid w:val="41303C39"/>
    <w:rsid w:val="41364AA2"/>
    <w:rsid w:val="41436921"/>
    <w:rsid w:val="41486006"/>
    <w:rsid w:val="414F74CB"/>
    <w:rsid w:val="415B6654"/>
    <w:rsid w:val="41636FFF"/>
    <w:rsid w:val="41662EBF"/>
    <w:rsid w:val="416745BC"/>
    <w:rsid w:val="417C2EE6"/>
    <w:rsid w:val="418D41A3"/>
    <w:rsid w:val="41BB761A"/>
    <w:rsid w:val="41CC7416"/>
    <w:rsid w:val="41D10E44"/>
    <w:rsid w:val="41D12A32"/>
    <w:rsid w:val="41D301C3"/>
    <w:rsid w:val="41D623AF"/>
    <w:rsid w:val="41E62FB4"/>
    <w:rsid w:val="41F6377C"/>
    <w:rsid w:val="41F67CB0"/>
    <w:rsid w:val="41F8370A"/>
    <w:rsid w:val="420B66EE"/>
    <w:rsid w:val="42170C1E"/>
    <w:rsid w:val="422F49B3"/>
    <w:rsid w:val="423767ED"/>
    <w:rsid w:val="424B6BAB"/>
    <w:rsid w:val="426E68C9"/>
    <w:rsid w:val="427D5F12"/>
    <w:rsid w:val="42802614"/>
    <w:rsid w:val="42AE5ABE"/>
    <w:rsid w:val="42B01704"/>
    <w:rsid w:val="42B2527F"/>
    <w:rsid w:val="42CC4106"/>
    <w:rsid w:val="42D22B67"/>
    <w:rsid w:val="42DB59FF"/>
    <w:rsid w:val="42DC0E76"/>
    <w:rsid w:val="42E92879"/>
    <w:rsid w:val="42EA23E3"/>
    <w:rsid w:val="42EC69CA"/>
    <w:rsid w:val="42FB4A28"/>
    <w:rsid w:val="431F1AE3"/>
    <w:rsid w:val="43220D06"/>
    <w:rsid w:val="433858A5"/>
    <w:rsid w:val="43527105"/>
    <w:rsid w:val="436D4954"/>
    <w:rsid w:val="438753A5"/>
    <w:rsid w:val="43891048"/>
    <w:rsid w:val="43920E07"/>
    <w:rsid w:val="43951B04"/>
    <w:rsid w:val="43A24887"/>
    <w:rsid w:val="43AA0EDA"/>
    <w:rsid w:val="43E72CA9"/>
    <w:rsid w:val="43F715ED"/>
    <w:rsid w:val="44000E21"/>
    <w:rsid w:val="440D15A1"/>
    <w:rsid w:val="4414309D"/>
    <w:rsid w:val="4435195C"/>
    <w:rsid w:val="44394188"/>
    <w:rsid w:val="444B4C5F"/>
    <w:rsid w:val="44623562"/>
    <w:rsid w:val="44655A6C"/>
    <w:rsid w:val="4467168F"/>
    <w:rsid w:val="44766B6D"/>
    <w:rsid w:val="447E15BF"/>
    <w:rsid w:val="44864A89"/>
    <w:rsid w:val="448F50C0"/>
    <w:rsid w:val="44984355"/>
    <w:rsid w:val="449E046C"/>
    <w:rsid w:val="44A8226D"/>
    <w:rsid w:val="44AA08C6"/>
    <w:rsid w:val="44EF4A70"/>
    <w:rsid w:val="451E064E"/>
    <w:rsid w:val="452364C9"/>
    <w:rsid w:val="45342FB5"/>
    <w:rsid w:val="454C0370"/>
    <w:rsid w:val="4550153F"/>
    <w:rsid w:val="45631ACD"/>
    <w:rsid w:val="45660998"/>
    <w:rsid w:val="4585213C"/>
    <w:rsid w:val="458B3F95"/>
    <w:rsid w:val="45AA2F38"/>
    <w:rsid w:val="45CF1BC3"/>
    <w:rsid w:val="45DC3D7A"/>
    <w:rsid w:val="4601483F"/>
    <w:rsid w:val="46025A85"/>
    <w:rsid w:val="4617599F"/>
    <w:rsid w:val="461A266E"/>
    <w:rsid w:val="465530CB"/>
    <w:rsid w:val="465C6807"/>
    <w:rsid w:val="46760020"/>
    <w:rsid w:val="467C4143"/>
    <w:rsid w:val="46982676"/>
    <w:rsid w:val="46A0105D"/>
    <w:rsid w:val="46A7659A"/>
    <w:rsid w:val="46B06807"/>
    <w:rsid w:val="46FF00B3"/>
    <w:rsid w:val="47024B89"/>
    <w:rsid w:val="4722388C"/>
    <w:rsid w:val="474B4C0A"/>
    <w:rsid w:val="47630D4C"/>
    <w:rsid w:val="476A5FE9"/>
    <w:rsid w:val="478328A1"/>
    <w:rsid w:val="4790205D"/>
    <w:rsid w:val="479804CC"/>
    <w:rsid w:val="47A06C99"/>
    <w:rsid w:val="47B75E90"/>
    <w:rsid w:val="48082BD4"/>
    <w:rsid w:val="483319A6"/>
    <w:rsid w:val="483413B6"/>
    <w:rsid w:val="48383932"/>
    <w:rsid w:val="483F377D"/>
    <w:rsid w:val="48490A61"/>
    <w:rsid w:val="4876346A"/>
    <w:rsid w:val="487657D6"/>
    <w:rsid w:val="487B2340"/>
    <w:rsid w:val="48B16866"/>
    <w:rsid w:val="48D664FA"/>
    <w:rsid w:val="49001E86"/>
    <w:rsid w:val="49081412"/>
    <w:rsid w:val="492A223F"/>
    <w:rsid w:val="49500C1A"/>
    <w:rsid w:val="495B1646"/>
    <w:rsid w:val="496D50BB"/>
    <w:rsid w:val="498E1308"/>
    <w:rsid w:val="49953FD2"/>
    <w:rsid w:val="49A67FEA"/>
    <w:rsid w:val="49AA4032"/>
    <w:rsid w:val="49B42357"/>
    <w:rsid w:val="49CC282C"/>
    <w:rsid w:val="49D14C7B"/>
    <w:rsid w:val="49ED7A5F"/>
    <w:rsid w:val="49F1378E"/>
    <w:rsid w:val="49F64E88"/>
    <w:rsid w:val="4A442DE8"/>
    <w:rsid w:val="4A4C3C76"/>
    <w:rsid w:val="4A582F08"/>
    <w:rsid w:val="4A5C19ED"/>
    <w:rsid w:val="4A713EF7"/>
    <w:rsid w:val="4A71669A"/>
    <w:rsid w:val="4A836030"/>
    <w:rsid w:val="4A926A83"/>
    <w:rsid w:val="4A990DB8"/>
    <w:rsid w:val="4AB30EDE"/>
    <w:rsid w:val="4AE87797"/>
    <w:rsid w:val="4B140282"/>
    <w:rsid w:val="4B1B6DD9"/>
    <w:rsid w:val="4B2A04ED"/>
    <w:rsid w:val="4B341F77"/>
    <w:rsid w:val="4B536B77"/>
    <w:rsid w:val="4B762FA5"/>
    <w:rsid w:val="4B7D207A"/>
    <w:rsid w:val="4B875EB6"/>
    <w:rsid w:val="4B8D42B7"/>
    <w:rsid w:val="4BC63073"/>
    <w:rsid w:val="4C3D761E"/>
    <w:rsid w:val="4C5621CF"/>
    <w:rsid w:val="4C7D1FFD"/>
    <w:rsid w:val="4C7E4E04"/>
    <w:rsid w:val="4C7E75E5"/>
    <w:rsid w:val="4C8A275C"/>
    <w:rsid w:val="4CCA7F5B"/>
    <w:rsid w:val="4CE938F8"/>
    <w:rsid w:val="4CF5763E"/>
    <w:rsid w:val="4D1819AE"/>
    <w:rsid w:val="4D1E7969"/>
    <w:rsid w:val="4D2A0882"/>
    <w:rsid w:val="4D3F7CBF"/>
    <w:rsid w:val="4DA65831"/>
    <w:rsid w:val="4DA8651E"/>
    <w:rsid w:val="4DB41F2C"/>
    <w:rsid w:val="4DBD01E1"/>
    <w:rsid w:val="4DC46301"/>
    <w:rsid w:val="4DCB331F"/>
    <w:rsid w:val="4DCD6596"/>
    <w:rsid w:val="4DDE70E4"/>
    <w:rsid w:val="4DF71CA3"/>
    <w:rsid w:val="4DF807D9"/>
    <w:rsid w:val="4DFE3CC8"/>
    <w:rsid w:val="4E1230AB"/>
    <w:rsid w:val="4E151227"/>
    <w:rsid w:val="4E4B32B9"/>
    <w:rsid w:val="4E4E418E"/>
    <w:rsid w:val="4E8167AD"/>
    <w:rsid w:val="4EA902EC"/>
    <w:rsid w:val="4ED44C8F"/>
    <w:rsid w:val="4EF13DC3"/>
    <w:rsid w:val="4F0A7123"/>
    <w:rsid w:val="4F2A3762"/>
    <w:rsid w:val="4F2E0DB1"/>
    <w:rsid w:val="4F3A75B6"/>
    <w:rsid w:val="4F686F94"/>
    <w:rsid w:val="4F802128"/>
    <w:rsid w:val="4F90653F"/>
    <w:rsid w:val="4FD41C1D"/>
    <w:rsid w:val="4FD64C5B"/>
    <w:rsid w:val="4FE30C63"/>
    <w:rsid w:val="4FED2322"/>
    <w:rsid w:val="4FFD53C6"/>
    <w:rsid w:val="4FFE7E2F"/>
    <w:rsid w:val="501040B3"/>
    <w:rsid w:val="50321789"/>
    <w:rsid w:val="50353485"/>
    <w:rsid w:val="503D1B16"/>
    <w:rsid w:val="506D7517"/>
    <w:rsid w:val="508E47DC"/>
    <w:rsid w:val="50A41AD5"/>
    <w:rsid w:val="50AE3F83"/>
    <w:rsid w:val="50CF7A4B"/>
    <w:rsid w:val="50E92709"/>
    <w:rsid w:val="510065DD"/>
    <w:rsid w:val="51030026"/>
    <w:rsid w:val="51064DEA"/>
    <w:rsid w:val="5123342E"/>
    <w:rsid w:val="51354115"/>
    <w:rsid w:val="5137564E"/>
    <w:rsid w:val="513C2289"/>
    <w:rsid w:val="514E0A72"/>
    <w:rsid w:val="51576FE4"/>
    <w:rsid w:val="515D0EE9"/>
    <w:rsid w:val="5173793E"/>
    <w:rsid w:val="518B40E7"/>
    <w:rsid w:val="519F488C"/>
    <w:rsid w:val="51C5493F"/>
    <w:rsid w:val="520713EF"/>
    <w:rsid w:val="520923F4"/>
    <w:rsid w:val="5222282D"/>
    <w:rsid w:val="52235E62"/>
    <w:rsid w:val="52302A27"/>
    <w:rsid w:val="523F42B5"/>
    <w:rsid w:val="52547F54"/>
    <w:rsid w:val="526957D2"/>
    <w:rsid w:val="527833CA"/>
    <w:rsid w:val="527F07B8"/>
    <w:rsid w:val="5299790A"/>
    <w:rsid w:val="529A6D62"/>
    <w:rsid w:val="529D4EC7"/>
    <w:rsid w:val="529E7DC9"/>
    <w:rsid w:val="52A1157D"/>
    <w:rsid w:val="53033126"/>
    <w:rsid w:val="5306295B"/>
    <w:rsid w:val="530B2D71"/>
    <w:rsid w:val="530B5DAD"/>
    <w:rsid w:val="532452B2"/>
    <w:rsid w:val="53300208"/>
    <w:rsid w:val="53397FBF"/>
    <w:rsid w:val="53443DBE"/>
    <w:rsid w:val="535B4CF0"/>
    <w:rsid w:val="535F52BB"/>
    <w:rsid w:val="53693CDD"/>
    <w:rsid w:val="538006C3"/>
    <w:rsid w:val="53B05F43"/>
    <w:rsid w:val="53BA08AE"/>
    <w:rsid w:val="53BC278B"/>
    <w:rsid w:val="5400093A"/>
    <w:rsid w:val="541A1B62"/>
    <w:rsid w:val="54387BD1"/>
    <w:rsid w:val="543B6670"/>
    <w:rsid w:val="543E150A"/>
    <w:rsid w:val="54760CFA"/>
    <w:rsid w:val="547747B8"/>
    <w:rsid w:val="547F24EC"/>
    <w:rsid w:val="54E164AC"/>
    <w:rsid w:val="551B6B41"/>
    <w:rsid w:val="55230827"/>
    <w:rsid w:val="55411377"/>
    <w:rsid w:val="55947296"/>
    <w:rsid w:val="55992746"/>
    <w:rsid w:val="559956D3"/>
    <w:rsid w:val="55A15285"/>
    <w:rsid w:val="55A96275"/>
    <w:rsid w:val="55C15F9E"/>
    <w:rsid w:val="56063D5E"/>
    <w:rsid w:val="560717BE"/>
    <w:rsid w:val="561F5757"/>
    <w:rsid w:val="5625421C"/>
    <w:rsid w:val="564306A0"/>
    <w:rsid w:val="564E3912"/>
    <w:rsid w:val="565B2641"/>
    <w:rsid w:val="56613060"/>
    <w:rsid w:val="56783F58"/>
    <w:rsid w:val="569B59A6"/>
    <w:rsid w:val="56AC02FC"/>
    <w:rsid w:val="56F9135B"/>
    <w:rsid w:val="570B0F42"/>
    <w:rsid w:val="57132F95"/>
    <w:rsid w:val="572664EB"/>
    <w:rsid w:val="572D4E3F"/>
    <w:rsid w:val="572D56F6"/>
    <w:rsid w:val="5732287F"/>
    <w:rsid w:val="575D6DD4"/>
    <w:rsid w:val="57606393"/>
    <w:rsid w:val="57733E7E"/>
    <w:rsid w:val="57894A0E"/>
    <w:rsid w:val="57A6492F"/>
    <w:rsid w:val="57C02302"/>
    <w:rsid w:val="57C63600"/>
    <w:rsid w:val="57C87053"/>
    <w:rsid w:val="57E4643B"/>
    <w:rsid w:val="57E8417C"/>
    <w:rsid w:val="57F06DD9"/>
    <w:rsid w:val="581D479D"/>
    <w:rsid w:val="58315DB1"/>
    <w:rsid w:val="583A23D4"/>
    <w:rsid w:val="58430210"/>
    <w:rsid w:val="585838C1"/>
    <w:rsid w:val="5863214C"/>
    <w:rsid w:val="58717162"/>
    <w:rsid w:val="58857496"/>
    <w:rsid w:val="58AD51C8"/>
    <w:rsid w:val="58B96227"/>
    <w:rsid w:val="58ED44C3"/>
    <w:rsid w:val="59024877"/>
    <w:rsid w:val="593F5822"/>
    <w:rsid w:val="594B20C2"/>
    <w:rsid w:val="59647B33"/>
    <w:rsid w:val="596C7E01"/>
    <w:rsid w:val="596F18FE"/>
    <w:rsid w:val="597B5739"/>
    <w:rsid w:val="597F1615"/>
    <w:rsid w:val="59801346"/>
    <w:rsid w:val="59914276"/>
    <w:rsid w:val="59B158D6"/>
    <w:rsid w:val="59B6154D"/>
    <w:rsid w:val="59DC43D8"/>
    <w:rsid w:val="5A270225"/>
    <w:rsid w:val="5A400973"/>
    <w:rsid w:val="5A6C1C98"/>
    <w:rsid w:val="5A7F451A"/>
    <w:rsid w:val="5A841C19"/>
    <w:rsid w:val="5A9A799F"/>
    <w:rsid w:val="5AA549B2"/>
    <w:rsid w:val="5ADC7386"/>
    <w:rsid w:val="5B0669AB"/>
    <w:rsid w:val="5B207E02"/>
    <w:rsid w:val="5B231846"/>
    <w:rsid w:val="5B5104F9"/>
    <w:rsid w:val="5B5D0855"/>
    <w:rsid w:val="5B7764CD"/>
    <w:rsid w:val="5B817F90"/>
    <w:rsid w:val="5B9118FE"/>
    <w:rsid w:val="5BAC4E3A"/>
    <w:rsid w:val="5BB1170A"/>
    <w:rsid w:val="5BB20871"/>
    <w:rsid w:val="5BBD471D"/>
    <w:rsid w:val="5BC87CA3"/>
    <w:rsid w:val="5BE21C71"/>
    <w:rsid w:val="5BE503F5"/>
    <w:rsid w:val="5C012B8C"/>
    <w:rsid w:val="5C362AF4"/>
    <w:rsid w:val="5C3E4720"/>
    <w:rsid w:val="5C526BB4"/>
    <w:rsid w:val="5C615D0C"/>
    <w:rsid w:val="5C694A3B"/>
    <w:rsid w:val="5C9B09C7"/>
    <w:rsid w:val="5CC85BD5"/>
    <w:rsid w:val="5CDC5954"/>
    <w:rsid w:val="5CE018DD"/>
    <w:rsid w:val="5CE714C9"/>
    <w:rsid w:val="5CFC62EF"/>
    <w:rsid w:val="5D1B01A7"/>
    <w:rsid w:val="5D5B7D4A"/>
    <w:rsid w:val="5D6C29FA"/>
    <w:rsid w:val="5DB554E1"/>
    <w:rsid w:val="5E074110"/>
    <w:rsid w:val="5E084769"/>
    <w:rsid w:val="5E0B0171"/>
    <w:rsid w:val="5E477499"/>
    <w:rsid w:val="5E6200F2"/>
    <w:rsid w:val="5E795C4D"/>
    <w:rsid w:val="5E8E1E7B"/>
    <w:rsid w:val="5E933865"/>
    <w:rsid w:val="5E9D308B"/>
    <w:rsid w:val="5EAB1F71"/>
    <w:rsid w:val="5EB1181D"/>
    <w:rsid w:val="5EC52109"/>
    <w:rsid w:val="5EDC6635"/>
    <w:rsid w:val="5EDF242A"/>
    <w:rsid w:val="5EE647BE"/>
    <w:rsid w:val="5EEC4CC9"/>
    <w:rsid w:val="5EF03EB9"/>
    <w:rsid w:val="5EF85E29"/>
    <w:rsid w:val="5EFC424F"/>
    <w:rsid w:val="5F0861B2"/>
    <w:rsid w:val="5F0C62EC"/>
    <w:rsid w:val="5F1C2834"/>
    <w:rsid w:val="5F255A59"/>
    <w:rsid w:val="5F387DD8"/>
    <w:rsid w:val="5F610F9A"/>
    <w:rsid w:val="5F6601DC"/>
    <w:rsid w:val="5F706225"/>
    <w:rsid w:val="5F712D16"/>
    <w:rsid w:val="5F925D02"/>
    <w:rsid w:val="5FA6205D"/>
    <w:rsid w:val="5FB22A5B"/>
    <w:rsid w:val="5FB477AB"/>
    <w:rsid w:val="5FBD7E8C"/>
    <w:rsid w:val="5FC00571"/>
    <w:rsid w:val="5FC72CEE"/>
    <w:rsid w:val="5FE17054"/>
    <w:rsid w:val="5FF04AF3"/>
    <w:rsid w:val="60076146"/>
    <w:rsid w:val="602A655E"/>
    <w:rsid w:val="602C20DD"/>
    <w:rsid w:val="6039156C"/>
    <w:rsid w:val="60442474"/>
    <w:rsid w:val="60452D1D"/>
    <w:rsid w:val="604D1429"/>
    <w:rsid w:val="60A42833"/>
    <w:rsid w:val="60B12374"/>
    <w:rsid w:val="60B12B22"/>
    <w:rsid w:val="60B8658C"/>
    <w:rsid w:val="60C11D0D"/>
    <w:rsid w:val="60CB5CDD"/>
    <w:rsid w:val="60E7163C"/>
    <w:rsid w:val="611C7D9F"/>
    <w:rsid w:val="61224919"/>
    <w:rsid w:val="615A26D9"/>
    <w:rsid w:val="615A5895"/>
    <w:rsid w:val="61623A9A"/>
    <w:rsid w:val="617519E8"/>
    <w:rsid w:val="618A7FBC"/>
    <w:rsid w:val="61B42655"/>
    <w:rsid w:val="61EB04E9"/>
    <w:rsid w:val="62051CCA"/>
    <w:rsid w:val="622F4266"/>
    <w:rsid w:val="62462A72"/>
    <w:rsid w:val="624D6D71"/>
    <w:rsid w:val="6259166C"/>
    <w:rsid w:val="625E4FBF"/>
    <w:rsid w:val="62793B49"/>
    <w:rsid w:val="62846CDE"/>
    <w:rsid w:val="62B22A23"/>
    <w:rsid w:val="62B95A2A"/>
    <w:rsid w:val="62EA6460"/>
    <w:rsid w:val="63030F14"/>
    <w:rsid w:val="63257F98"/>
    <w:rsid w:val="634F2183"/>
    <w:rsid w:val="63607EDD"/>
    <w:rsid w:val="636440AD"/>
    <w:rsid w:val="637C0957"/>
    <w:rsid w:val="63806113"/>
    <w:rsid w:val="638306D0"/>
    <w:rsid w:val="63942F1D"/>
    <w:rsid w:val="63D26110"/>
    <w:rsid w:val="63D57637"/>
    <w:rsid w:val="63E477B4"/>
    <w:rsid w:val="63ED6827"/>
    <w:rsid w:val="641D764D"/>
    <w:rsid w:val="642E1717"/>
    <w:rsid w:val="6437274E"/>
    <w:rsid w:val="644C1410"/>
    <w:rsid w:val="6453132F"/>
    <w:rsid w:val="6470710A"/>
    <w:rsid w:val="649B6252"/>
    <w:rsid w:val="64A036C7"/>
    <w:rsid w:val="64C22BED"/>
    <w:rsid w:val="64D82908"/>
    <w:rsid w:val="64D91523"/>
    <w:rsid w:val="64DB2E27"/>
    <w:rsid w:val="64DD0CB7"/>
    <w:rsid w:val="64EC5F80"/>
    <w:rsid w:val="65122A16"/>
    <w:rsid w:val="6514280C"/>
    <w:rsid w:val="653E5C84"/>
    <w:rsid w:val="654B1ECF"/>
    <w:rsid w:val="65585BAA"/>
    <w:rsid w:val="656E52FB"/>
    <w:rsid w:val="658D680B"/>
    <w:rsid w:val="658E7967"/>
    <w:rsid w:val="659D4F99"/>
    <w:rsid w:val="65A12770"/>
    <w:rsid w:val="65F60066"/>
    <w:rsid w:val="66035B03"/>
    <w:rsid w:val="661462F7"/>
    <w:rsid w:val="66150AEC"/>
    <w:rsid w:val="6650158D"/>
    <w:rsid w:val="665A22F4"/>
    <w:rsid w:val="667D14DA"/>
    <w:rsid w:val="668B5CC3"/>
    <w:rsid w:val="66D238E8"/>
    <w:rsid w:val="66E30E48"/>
    <w:rsid w:val="67010AE3"/>
    <w:rsid w:val="6715791B"/>
    <w:rsid w:val="67251571"/>
    <w:rsid w:val="67322B5A"/>
    <w:rsid w:val="67412446"/>
    <w:rsid w:val="67817451"/>
    <w:rsid w:val="6783286B"/>
    <w:rsid w:val="678A5539"/>
    <w:rsid w:val="6794124F"/>
    <w:rsid w:val="67C373D8"/>
    <w:rsid w:val="67EE40CD"/>
    <w:rsid w:val="67F035BE"/>
    <w:rsid w:val="68002120"/>
    <w:rsid w:val="68183231"/>
    <w:rsid w:val="68201EAE"/>
    <w:rsid w:val="687112E4"/>
    <w:rsid w:val="68811569"/>
    <w:rsid w:val="688D5AAB"/>
    <w:rsid w:val="6897117D"/>
    <w:rsid w:val="689F47D3"/>
    <w:rsid w:val="68B64DE1"/>
    <w:rsid w:val="68E814B4"/>
    <w:rsid w:val="68F91EAB"/>
    <w:rsid w:val="69071751"/>
    <w:rsid w:val="69121E3A"/>
    <w:rsid w:val="69154D60"/>
    <w:rsid w:val="691F4D9F"/>
    <w:rsid w:val="69206401"/>
    <w:rsid w:val="692430D7"/>
    <w:rsid w:val="693879CC"/>
    <w:rsid w:val="693E71F2"/>
    <w:rsid w:val="694859D6"/>
    <w:rsid w:val="694A6DBA"/>
    <w:rsid w:val="6968596A"/>
    <w:rsid w:val="69723EB6"/>
    <w:rsid w:val="69964DB1"/>
    <w:rsid w:val="699954C4"/>
    <w:rsid w:val="699D36D6"/>
    <w:rsid w:val="699E4CF1"/>
    <w:rsid w:val="69A7578F"/>
    <w:rsid w:val="69A95D21"/>
    <w:rsid w:val="69AF73BD"/>
    <w:rsid w:val="69B779BF"/>
    <w:rsid w:val="69C21B11"/>
    <w:rsid w:val="69C53AC8"/>
    <w:rsid w:val="69CD7FDE"/>
    <w:rsid w:val="69E017FD"/>
    <w:rsid w:val="69F06D97"/>
    <w:rsid w:val="6A07214F"/>
    <w:rsid w:val="6A097C8B"/>
    <w:rsid w:val="6A2E2210"/>
    <w:rsid w:val="6A2F7723"/>
    <w:rsid w:val="6A7A0D56"/>
    <w:rsid w:val="6A7E510F"/>
    <w:rsid w:val="6A9F44B9"/>
    <w:rsid w:val="6AA10091"/>
    <w:rsid w:val="6AB5342E"/>
    <w:rsid w:val="6ADB2F03"/>
    <w:rsid w:val="6ADC496D"/>
    <w:rsid w:val="6ADF496C"/>
    <w:rsid w:val="6AE2354A"/>
    <w:rsid w:val="6AEB5722"/>
    <w:rsid w:val="6AF8649D"/>
    <w:rsid w:val="6AFB24CA"/>
    <w:rsid w:val="6AFE1987"/>
    <w:rsid w:val="6AFF2463"/>
    <w:rsid w:val="6B0874EA"/>
    <w:rsid w:val="6B1F10AD"/>
    <w:rsid w:val="6B22477C"/>
    <w:rsid w:val="6B320A31"/>
    <w:rsid w:val="6B3555BC"/>
    <w:rsid w:val="6B491DA4"/>
    <w:rsid w:val="6B594672"/>
    <w:rsid w:val="6B5D28FD"/>
    <w:rsid w:val="6B5E4D2E"/>
    <w:rsid w:val="6BA77929"/>
    <w:rsid w:val="6BA81B12"/>
    <w:rsid w:val="6BB05F5F"/>
    <w:rsid w:val="6BE116D3"/>
    <w:rsid w:val="6BE84004"/>
    <w:rsid w:val="6C104DE4"/>
    <w:rsid w:val="6C2A7865"/>
    <w:rsid w:val="6C330898"/>
    <w:rsid w:val="6C620EF9"/>
    <w:rsid w:val="6C627CF4"/>
    <w:rsid w:val="6C6A54FD"/>
    <w:rsid w:val="6C730D81"/>
    <w:rsid w:val="6C747569"/>
    <w:rsid w:val="6C8E62DD"/>
    <w:rsid w:val="6C950FE9"/>
    <w:rsid w:val="6CF6746A"/>
    <w:rsid w:val="6D127D3D"/>
    <w:rsid w:val="6D2D03F9"/>
    <w:rsid w:val="6D700C91"/>
    <w:rsid w:val="6D8538A3"/>
    <w:rsid w:val="6D9E588E"/>
    <w:rsid w:val="6DA94262"/>
    <w:rsid w:val="6DB70CB4"/>
    <w:rsid w:val="6DD163E6"/>
    <w:rsid w:val="6DF708EC"/>
    <w:rsid w:val="6E054D8C"/>
    <w:rsid w:val="6E094352"/>
    <w:rsid w:val="6E0A2C2C"/>
    <w:rsid w:val="6E135B2D"/>
    <w:rsid w:val="6E2F1FF3"/>
    <w:rsid w:val="6E361E1A"/>
    <w:rsid w:val="6E406F92"/>
    <w:rsid w:val="6E4B50D7"/>
    <w:rsid w:val="6E5864AC"/>
    <w:rsid w:val="6E7579F1"/>
    <w:rsid w:val="6E796191"/>
    <w:rsid w:val="6E92195E"/>
    <w:rsid w:val="6E9D66DB"/>
    <w:rsid w:val="6EB7421A"/>
    <w:rsid w:val="6ECE3012"/>
    <w:rsid w:val="6EEA2BEE"/>
    <w:rsid w:val="6F19182E"/>
    <w:rsid w:val="6F1F64EE"/>
    <w:rsid w:val="6F3626B6"/>
    <w:rsid w:val="6F3F40AE"/>
    <w:rsid w:val="6F815117"/>
    <w:rsid w:val="6F8F3872"/>
    <w:rsid w:val="6FAD7EFC"/>
    <w:rsid w:val="6FC12833"/>
    <w:rsid w:val="70234308"/>
    <w:rsid w:val="702A2DF0"/>
    <w:rsid w:val="706715B4"/>
    <w:rsid w:val="7072050B"/>
    <w:rsid w:val="708020B9"/>
    <w:rsid w:val="708F3F4F"/>
    <w:rsid w:val="709771CD"/>
    <w:rsid w:val="70BC647D"/>
    <w:rsid w:val="70DA275C"/>
    <w:rsid w:val="71155E1B"/>
    <w:rsid w:val="71393588"/>
    <w:rsid w:val="713954C7"/>
    <w:rsid w:val="714D6812"/>
    <w:rsid w:val="7170308B"/>
    <w:rsid w:val="719E503F"/>
    <w:rsid w:val="71A5799C"/>
    <w:rsid w:val="71A73954"/>
    <w:rsid w:val="71AC3D91"/>
    <w:rsid w:val="71CC455D"/>
    <w:rsid w:val="71CF1B05"/>
    <w:rsid w:val="71E65261"/>
    <w:rsid w:val="71E72A8A"/>
    <w:rsid w:val="71FF0740"/>
    <w:rsid w:val="71FF0BB1"/>
    <w:rsid w:val="720712C4"/>
    <w:rsid w:val="7238693B"/>
    <w:rsid w:val="723D27EE"/>
    <w:rsid w:val="72856C67"/>
    <w:rsid w:val="72873C71"/>
    <w:rsid w:val="72896FE0"/>
    <w:rsid w:val="728E5F19"/>
    <w:rsid w:val="72952BD1"/>
    <w:rsid w:val="72A31F40"/>
    <w:rsid w:val="72C02CDD"/>
    <w:rsid w:val="73013FCC"/>
    <w:rsid w:val="73245D0B"/>
    <w:rsid w:val="73300DA0"/>
    <w:rsid w:val="733866F9"/>
    <w:rsid w:val="73547991"/>
    <w:rsid w:val="736938A6"/>
    <w:rsid w:val="736D75D5"/>
    <w:rsid w:val="73796EEC"/>
    <w:rsid w:val="738E6C88"/>
    <w:rsid w:val="739169F9"/>
    <w:rsid w:val="739D39C9"/>
    <w:rsid w:val="73A52AED"/>
    <w:rsid w:val="73AE287F"/>
    <w:rsid w:val="73BE0C18"/>
    <w:rsid w:val="73CD33BB"/>
    <w:rsid w:val="73EA2AA9"/>
    <w:rsid w:val="74031DA5"/>
    <w:rsid w:val="742D4234"/>
    <w:rsid w:val="74326F65"/>
    <w:rsid w:val="743F3407"/>
    <w:rsid w:val="743F4CBA"/>
    <w:rsid w:val="748A000B"/>
    <w:rsid w:val="748B62B1"/>
    <w:rsid w:val="749330FE"/>
    <w:rsid w:val="74942EB6"/>
    <w:rsid w:val="749E119A"/>
    <w:rsid w:val="74A356E3"/>
    <w:rsid w:val="74D33EF6"/>
    <w:rsid w:val="74D81279"/>
    <w:rsid w:val="74DD4D68"/>
    <w:rsid w:val="74F02341"/>
    <w:rsid w:val="75163A86"/>
    <w:rsid w:val="75324A75"/>
    <w:rsid w:val="757356C1"/>
    <w:rsid w:val="7585337A"/>
    <w:rsid w:val="75A41F9F"/>
    <w:rsid w:val="75B456A9"/>
    <w:rsid w:val="75C404DC"/>
    <w:rsid w:val="75C50AA6"/>
    <w:rsid w:val="75D94171"/>
    <w:rsid w:val="75EA51DF"/>
    <w:rsid w:val="75EB4A8F"/>
    <w:rsid w:val="76051776"/>
    <w:rsid w:val="760B6FB5"/>
    <w:rsid w:val="76177C1A"/>
    <w:rsid w:val="763C7FC4"/>
    <w:rsid w:val="764B2F46"/>
    <w:rsid w:val="766E689F"/>
    <w:rsid w:val="769D4442"/>
    <w:rsid w:val="76AF515A"/>
    <w:rsid w:val="76B61F68"/>
    <w:rsid w:val="76BE7161"/>
    <w:rsid w:val="76C4477C"/>
    <w:rsid w:val="76CC1292"/>
    <w:rsid w:val="76EC6CEF"/>
    <w:rsid w:val="76F65C52"/>
    <w:rsid w:val="77070825"/>
    <w:rsid w:val="77210231"/>
    <w:rsid w:val="773D64AD"/>
    <w:rsid w:val="775070C7"/>
    <w:rsid w:val="77752345"/>
    <w:rsid w:val="777703EE"/>
    <w:rsid w:val="778902AB"/>
    <w:rsid w:val="77A33763"/>
    <w:rsid w:val="77B106E0"/>
    <w:rsid w:val="77B77A99"/>
    <w:rsid w:val="77C90398"/>
    <w:rsid w:val="77CD7881"/>
    <w:rsid w:val="77D01510"/>
    <w:rsid w:val="77D71C53"/>
    <w:rsid w:val="77E2543A"/>
    <w:rsid w:val="77EE43CA"/>
    <w:rsid w:val="77FE6267"/>
    <w:rsid w:val="78203AD8"/>
    <w:rsid w:val="78437924"/>
    <w:rsid w:val="78531D63"/>
    <w:rsid w:val="78615D56"/>
    <w:rsid w:val="788C71F2"/>
    <w:rsid w:val="78A15077"/>
    <w:rsid w:val="78A21DC2"/>
    <w:rsid w:val="78B54873"/>
    <w:rsid w:val="78C445BB"/>
    <w:rsid w:val="78C83AD2"/>
    <w:rsid w:val="78FB0497"/>
    <w:rsid w:val="790106AE"/>
    <w:rsid w:val="79516F63"/>
    <w:rsid w:val="79565544"/>
    <w:rsid w:val="79614697"/>
    <w:rsid w:val="796946E1"/>
    <w:rsid w:val="796E1666"/>
    <w:rsid w:val="798A5C60"/>
    <w:rsid w:val="79A07515"/>
    <w:rsid w:val="79A9103A"/>
    <w:rsid w:val="79AB36F9"/>
    <w:rsid w:val="79DD1D32"/>
    <w:rsid w:val="79E52B2C"/>
    <w:rsid w:val="79EF06E6"/>
    <w:rsid w:val="79F06745"/>
    <w:rsid w:val="7A00729F"/>
    <w:rsid w:val="7A1B7BD6"/>
    <w:rsid w:val="7A2C6BF7"/>
    <w:rsid w:val="7A3B7866"/>
    <w:rsid w:val="7A3D749F"/>
    <w:rsid w:val="7A3E7628"/>
    <w:rsid w:val="7A402138"/>
    <w:rsid w:val="7A4A4C3A"/>
    <w:rsid w:val="7A51551F"/>
    <w:rsid w:val="7A5C78B1"/>
    <w:rsid w:val="7A6429B8"/>
    <w:rsid w:val="7A793768"/>
    <w:rsid w:val="7AB212CD"/>
    <w:rsid w:val="7ACA5466"/>
    <w:rsid w:val="7AD45C10"/>
    <w:rsid w:val="7AD522D5"/>
    <w:rsid w:val="7AE240F9"/>
    <w:rsid w:val="7AE318EE"/>
    <w:rsid w:val="7AE61E56"/>
    <w:rsid w:val="7B07175A"/>
    <w:rsid w:val="7B0A6A9B"/>
    <w:rsid w:val="7B0D2818"/>
    <w:rsid w:val="7B575773"/>
    <w:rsid w:val="7B92467D"/>
    <w:rsid w:val="7B994E29"/>
    <w:rsid w:val="7B9D745B"/>
    <w:rsid w:val="7B9E5BEB"/>
    <w:rsid w:val="7BAD3F83"/>
    <w:rsid w:val="7BB12C0A"/>
    <w:rsid w:val="7BC96E50"/>
    <w:rsid w:val="7BE00437"/>
    <w:rsid w:val="7C005CAF"/>
    <w:rsid w:val="7C176EDF"/>
    <w:rsid w:val="7C25032B"/>
    <w:rsid w:val="7C254F1C"/>
    <w:rsid w:val="7C374CF9"/>
    <w:rsid w:val="7C402EC1"/>
    <w:rsid w:val="7C425CF3"/>
    <w:rsid w:val="7C4C2BF6"/>
    <w:rsid w:val="7C60651C"/>
    <w:rsid w:val="7C640CBC"/>
    <w:rsid w:val="7C796B8F"/>
    <w:rsid w:val="7C812178"/>
    <w:rsid w:val="7CB82DCD"/>
    <w:rsid w:val="7CB9026D"/>
    <w:rsid w:val="7CBC3199"/>
    <w:rsid w:val="7CD66DE6"/>
    <w:rsid w:val="7CD84E2D"/>
    <w:rsid w:val="7CE57657"/>
    <w:rsid w:val="7D3F20B7"/>
    <w:rsid w:val="7D5C585E"/>
    <w:rsid w:val="7D6C60AA"/>
    <w:rsid w:val="7D6F1CD1"/>
    <w:rsid w:val="7D8E3A4A"/>
    <w:rsid w:val="7D9A2209"/>
    <w:rsid w:val="7DA93B03"/>
    <w:rsid w:val="7DA9460F"/>
    <w:rsid w:val="7DC80B9A"/>
    <w:rsid w:val="7DD47EE4"/>
    <w:rsid w:val="7DE03DE0"/>
    <w:rsid w:val="7DE65FBE"/>
    <w:rsid w:val="7DFF6F70"/>
    <w:rsid w:val="7E2461C2"/>
    <w:rsid w:val="7E252460"/>
    <w:rsid w:val="7E397349"/>
    <w:rsid w:val="7E3B2283"/>
    <w:rsid w:val="7E47643E"/>
    <w:rsid w:val="7E7E7C85"/>
    <w:rsid w:val="7E826950"/>
    <w:rsid w:val="7E904003"/>
    <w:rsid w:val="7E9064E4"/>
    <w:rsid w:val="7EA66AB7"/>
    <w:rsid w:val="7EB76F44"/>
    <w:rsid w:val="7EBB18A6"/>
    <w:rsid w:val="7EC30AC6"/>
    <w:rsid w:val="7EFF5CB3"/>
    <w:rsid w:val="7F0A35C9"/>
    <w:rsid w:val="7F113622"/>
    <w:rsid w:val="7F314CA2"/>
    <w:rsid w:val="7F4A08A0"/>
    <w:rsid w:val="7F5F6C47"/>
    <w:rsid w:val="7F7057E9"/>
    <w:rsid w:val="7F7405C7"/>
    <w:rsid w:val="7F7F75D9"/>
    <w:rsid w:val="7F917565"/>
    <w:rsid w:val="7F985AAF"/>
    <w:rsid w:val="7FAF6BB9"/>
    <w:rsid w:val="7FBE2AC9"/>
    <w:rsid w:val="7FD62549"/>
    <w:rsid w:val="7FD77D9C"/>
    <w:rsid w:val="7FDF55E5"/>
    <w:rsid w:val="7FFA2F9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uiPriority="0" w:name="table of figures"/>
    <w:lsdException w:uiPriority="0" w:name="envelope address"/>
    <w:lsdException w:uiPriority="0" w:name="envelope return"/>
    <w:lsdException w:qFormat="1"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qFormat="1" w:uiPriority="0" w:name="HTML Typewriter"/>
    <w:lsdException w:qFormat="1" w:uiPriority="0"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68"/>
    <w:autoRedefine/>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69"/>
    <w:autoRedefine/>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70"/>
    <w:autoRedefine/>
    <w:qFormat/>
    <w:uiPriority w:val="0"/>
    <w:pPr>
      <w:keepNext/>
      <w:keepLines/>
      <w:spacing w:line="413" w:lineRule="auto"/>
      <w:outlineLvl w:val="2"/>
    </w:pPr>
    <w:rPr>
      <w:b/>
      <w:bCs/>
      <w:sz w:val="32"/>
      <w:szCs w:val="32"/>
    </w:rPr>
  </w:style>
  <w:style w:type="paragraph" w:styleId="5">
    <w:name w:val="heading 4"/>
    <w:basedOn w:val="1"/>
    <w:next w:val="1"/>
    <w:link w:val="71"/>
    <w:autoRedefine/>
    <w:qFormat/>
    <w:uiPriority w:val="0"/>
    <w:pPr>
      <w:keepNext/>
      <w:keepLines/>
      <w:jc w:val="left"/>
      <w:outlineLvl w:val="3"/>
    </w:pPr>
    <w:rPr>
      <w:rFonts w:ascii="Arial" w:hAnsi="Arial" w:cs="Arial"/>
      <w:b/>
      <w:bCs/>
      <w:sz w:val="32"/>
      <w:szCs w:val="32"/>
    </w:rPr>
  </w:style>
  <w:style w:type="paragraph" w:styleId="6">
    <w:name w:val="heading 5"/>
    <w:basedOn w:val="1"/>
    <w:next w:val="1"/>
    <w:link w:val="158"/>
    <w:autoRedefine/>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7">
    <w:name w:val="heading 6"/>
    <w:basedOn w:val="1"/>
    <w:next w:val="1"/>
    <w:link w:val="159"/>
    <w:autoRedefine/>
    <w:qFormat/>
    <w:uiPriority w:val="0"/>
    <w:pPr>
      <w:tabs>
        <w:tab w:val="left" w:pos="1440"/>
      </w:tabs>
      <w:spacing w:before="260" w:after="260" w:line="360" w:lineRule="auto"/>
      <w:outlineLvl w:val="5"/>
    </w:pPr>
    <w:rPr>
      <w:sz w:val="30"/>
      <w:szCs w:val="18"/>
    </w:rPr>
  </w:style>
  <w:style w:type="paragraph" w:styleId="8">
    <w:name w:val="heading 7"/>
    <w:basedOn w:val="7"/>
    <w:next w:val="1"/>
    <w:link w:val="161"/>
    <w:autoRedefine/>
    <w:qFormat/>
    <w:uiPriority w:val="0"/>
    <w:pPr>
      <w:tabs>
        <w:tab w:val="left" w:pos="1800"/>
        <w:tab w:val="clear" w:pos="1440"/>
      </w:tabs>
      <w:outlineLvl w:val="6"/>
    </w:pPr>
  </w:style>
  <w:style w:type="paragraph" w:styleId="9">
    <w:name w:val="heading 8"/>
    <w:basedOn w:val="8"/>
    <w:next w:val="1"/>
    <w:link w:val="162"/>
    <w:autoRedefine/>
    <w:qFormat/>
    <w:uiPriority w:val="0"/>
    <w:pPr>
      <w:outlineLvl w:val="7"/>
    </w:pPr>
  </w:style>
  <w:style w:type="paragraph" w:styleId="10">
    <w:name w:val="heading 9"/>
    <w:basedOn w:val="9"/>
    <w:next w:val="1"/>
    <w:link w:val="163"/>
    <w:autoRedefine/>
    <w:qFormat/>
    <w:uiPriority w:val="0"/>
    <w:pPr>
      <w:tabs>
        <w:tab w:val="left" w:pos="2160"/>
        <w:tab w:val="clear" w:pos="1800"/>
      </w:tabs>
      <w:outlineLvl w:val="8"/>
    </w:pPr>
  </w:style>
  <w:style w:type="character" w:default="1" w:styleId="46">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1260"/>
      <w:jc w:val="left"/>
    </w:pPr>
    <w:rPr>
      <w:rFonts w:asciiTheme="minorHAnsi" w:hAnsiTheme="minorHAnsi"/>
      <w:sz w:val="18"/>
      <w:szCs w:val="18"/>
    </w:rPr>
  </w:style>
  <w:style w:type="paragraph" w:styleId="12">
    <w:name w:val="List Number 2"/>
    <w:basedOn w:val="1"/>
    <w:autoRedefine/>
    <w:qFormat/>
    <w:uiPriority w:val="0"/>
    <w:pPr>
      <w:numPr>
        <w:ilvl w:val="0"/>
        <w:numId w:val="1"/>
      </w:numPr>
    </w:pPr>
  </w:style>
  <w:style w:type="paragraph" w:styleId="13">
    <w:name w:val="Normal Indent"/>
    <w:basedOn w:val="1"/>
    <w:autoRedefine/>
    <w:qFormat/>
    <w:uiPriority w:val="0"/>
    <w:pPr>
      <w:ind w:firstLine="420"/>
    </w:pPr>
  </w:style>
  <w:style w:type="paragraph" w:styleId="14">
    <w:name w:val="Document Map"/>
    <w:basedOn w:val="1"/>
    <w:link w:val="169"/>
    <w:autoRedefine/>
    <w:qFormat/>
    <w:uiPriority w:val="0"/>
    <w:pPr>
      <w:spacing w:line="360" w:lineRule="auto"/>
      <w:ind w:firstLine="420" w:firstLineChars="200"/>
      <w:jc w:val="left"/>
    </w:pPr>
    <w:rPr>
      <w:rFonts w:ascii="宋体" w:hAnsi="Times New Roman" w:eastAsia="宋体" w:cs="Times New Roman"/>
      <w:sz w:val="18"/>
      <w:szCs w:val="18"/>
    </w:rPr>
  </w:style>
  <w:style w:type="paragraph" w:styleId="15">
    <w:name w:val="annotation text"/>
    <w:basedOn w:val="1"/>
    <w:link w:val="72"/>
    <w:autoRedefine/>
    <w:qFormat/>
    <w:uiPriority w:val="0"/>
    <w:pPr>
      <w:jc w:val="left"/>
    </w:pPr>
    <w:rPr>
      <w:rFonts w:ascii="宋体" w:cs="宋体"/>
      <w:kern w:val="0"/>
      <w:sz w:val="34"/>
      <w:szCs w:val="34"/>
    </w:rPr>
  </w:style>
  <w:style w:type="paragraph" w:styleId="16">
    <w:name w:val="Body Text 3"/>
    <w:basedOn w:val="1"/>
    <w:link w:val="171"/>
    <w:autoRedefine/>
    <w:qFormat/>
    <w:uiPriority w:val="0"/>
    <w:pPr>
      <w:spacing w:after="120" w:line="360" w:lineRule="auto"/>
      <w:ind w:firstLine="420" w:firstLineChars="200"/>
      <w:jc w:val="left"/>
    </w:pPr>
    <w:rPr>
      <w:rFonts w:ascii="Times New Roman" w:hAnsi="Times New Roman" w:eastAsia="宋体" w:cs="Times New Roman"/>
      <w:sz w:val="16"/>
      <w:szCs w:val="16"/>
    </w:rPr>
  </w:style>
  <w:style w:type="paragraph" w:styleId="17">
    <w:name w:val="Body Text"/>
    <w:basedOn w:val="1"/>
    <w:link w:val="73"/>
    <w:autoRedefine/>
    <w:qFormat/>
    <w:uiPriority w:val="0"/>
  </w:style>
  <w:style w:type="paragraph" w:styleId="18">
    <w:name w:val="Body Text Indent"/>
    <w:basedOn w:val="1"/>
    <w:next w:val="19"/>
    <w:link w:val="74"/>
    <w:autoRedefine/>
    <w:qFormat/>
    <w:uiPriority w:val="0"/>
    <w:pPr>
      <w:spacing w:after="120"/>
      <w:ind w:left="420" w:leftChars="200"/>
    </w:pPr>
  </w:style>
  <w:style w:type="paragraph" w:styleId="19">
    <w:name w:val="annotation subject"/>
    <w:basedOn w:val="15"/>
    <w:next w:val="1"/>
    <w:link w:val="109"/>
    <w:autoRedefine/>
    <w:semiHidden/>
    <w:unhideWhenUsed/>
    <w:qFormat/>
    <w:uiPriority w:val="0"/>
    <w:rPr>
      <w:rFonts w:ascii="Calibri" w:cs="Calibri"/>
      <w:b/>
      <w:bCs/>
      <w:kern w:val="2"/>
      <w:sz w:val="21"/>
      <w:szCs w:val="21"/>
    </w:rPr>
  </w:style>
  <w:style w:type="paragraph" w:styleId="20">
    <w:name w:val="toc 5"/>
    <w:basedOn w:val="1"/>
    <w:next w:val="1"/>
    <w:autoRedefine/>
    <w:qFormat/>
    <w:uiPriority w:val="39"/>
    <w:pPr>
      <w:ind w:left="840"/>
      <w:jc w:val="left"/>
    </w:pPr>
    <w:rPr>
      <w:rFonts w:asciiTheme="minorHAnsi" w:hAnsiTheme="minorHAnsi"/>
      <w:sz w:val="18"/>
      <w:szCs w:val="18"/>
    </w:rPr>
  </w:style>
  <w:style w:type="paragraph" w:styleId="21">
    <w:name w:val="toc 3"/>
    <w:basedOn w:val="1"/>
    <w:next w:val="1"/>
    <w:autoRedefine/>
    <w:qFormat/>
    <w:uiPriority w:val="39"/>
    <w:pPr>
      <w:ind w:left="420"/>
      <w:jc w:val="left"/>
    </w:pPr>
    <w:rPr>
      <w:rFonts w:asciiTheme="minorHAnsi" w:hAnsiTheme="minorHAnsi"/>
      <w:i/>
      <w:iCs/>
      <w:sz w:val="20"/>
      <w:szCs w:val="20"/>
    </w:rPr>
  </w:style>
  <w:style w:type="paragraph" w:styleId="22">
    <w:name w:val="Plain Text"/>
    <w:basedOn w:val="1"/>
    <w:link w:val="75"/>
    <w:autoRedefine/>
    <w:qFormat/>
    <w:uiPriority w:val="0"/>
    <w:pPr>
      <w:spacing w:line="324" w:lineRule="auto"/>
    </w:pPr>
    <w:rPr>
      <w:rFonts w:ascii="宋体" w:hAnsi="Courier New" w:cs="宋体"/>
    </w:rPr>
  </w:style>
  <w:style w:type="paragraph" w:styleId="23">
    <w:name w:val="toc 8"/>
    <w:basedOn w:val="1"/>
    <w:next w:val="1"/>
    <w:autoRedefine/>
    <w:qFormat/>
    <w:uiPriority w:val="39"/>
    <w:pPr>
      <w:ind w:left="1470"/>
      <w:jc w:val="left"/>
    </w:pPr>
    <w:rPr>
      <w:rFonts w:asciiTheme="minorHAnsi" w:hAnsiTheme="minorHAnsi"/>
      <w:sz w:val="18"/>
      <w:szCs w:val="18"/>
    </w:rPr>
  </w:style>
  <w:style w:type="paragraph" w:styleId="24">
    <w:name w:val="Date"/>
    <w:basedOn w:val="1"/>
    <w:next w:val="1"/>
    <w:link w:val="99"/>
    <w:autoRedefine/>
    <w:qFormat/>
    <w:uiPriority w:val="0"/>
    <w:pPr>
      <w:ind w:left="100" w:leftChars="2500"/>
    </w:pPr>
  </w:style>
  <w:style w:type="paragraph" w:styleId="25">
    <w:name w:val="Body Text Indent 2"/>
    <w:basedOn w:val="1"/>
    <w:link w:val="76"/>
    <w:autoRedefine/>
    <w:qFormat/>
    <w:uiPriority w:val="0"/>
    <w:pPr>
      <w:spacing w:after="120" w:line="480" w:lineRule="auto"/>
      <w:ind w:left="420" w:leftChars="200"/>
    </w:pPr>
  </w:style>
  <w:style w:type="paragraph" w:styleId="26">
    <w:name w:val="Balloon Text"/>
    <w:basedOn w:val="1"/>
    <w:link w:val="77"/>
    <w:autoRedefine/>
    <w:qFormat/>
    <w:uiPriority w:val="0"/>
    <w:rPr>
      <w:sz w:val="18"/>
      <w:szCs w:val="18"/>
    </w:rPr>
  </w:style>
  <w:style w:type="paragraph" w:styleId="27">
    <w:name w:val="footer"/>
    <w:basedOn w:val="1"/>
    <w:link w:val="78"/>
    <w:autoRedefine/>
    <w:qFormat/>
    <w:uiPriority w:val="99"/>
    <w:pPr>
      <w:tabs>
        <w:tab w:val="center" w:pos="4153"/>
        <w:tab w:val="right" w:pos="8306"/>
      </w:tabs>
      <w:snapToGrid w:val="0"/>
      <w:jc w:val="left"/>
    </w:pPr>
    <w:rPr>
      <w:sz w:val="18"/>
      <w:szCs w:val="18"/>
    </w:rPr>
  </w:style>
  <w:style w:type="paragraph" w:styleId="28">
    <w:name w:val="header"/>
    <w:basedOn w:val="1"/>
    <w:link w:val="79"/>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autoRedefine/>
    <w:qFormat/>
    <w:uiPriority w:val="39"/>
    <w:pPr>
      <w:spacing w:before="120" w:after="120"/>
      <w:jc w:val="left"/>
    </w:pPr>
    <w:rPr>
      <w:rFonts w:asciiTheme="minorHAnsi" w:hAnsiTheme="minorHAnsi"/>
      <w:b/>
      <w:bCs/>
      <w:caps/>
      <w:sz w:val="20"/>
      <w:szCs w:val="20"/>
    </w:rPr>
  </w:style>
  <w:style w:type="paragraph" w:styleId="30">
    <w:name w:val="toc 4"/>
    <w:basedOn w:val="1"/>
    <w:next w:val="1"/>
    <w:autoRedefine/>
    <w:qFormat/>
    <w:uiPriority w:val="39"/>
    <w:pPr>
      <w:ind w:left="630"/>
      <w:jc w:val="left"/>
    </w:pPr>
    <w:rPr>
      <w:rFonts w:asciiTheme="minorHAnsi" w:hAnsiTheme="minorHAnsi"/>
      <w:sz w:val="18"/>
      <w:szCs w:val="18"/>
    </w:rPr>
  </w:style>
  <w:style w:type="paragraph" w:styleId="31">
    <w:name w:val="index heading"/>
    <w:basedOn w:val="1"/>
    <w:next w:val="32"/>
    <w:autoRedefine/>
    <w:qFormat/>
    <w:uiPriority w:val="0"/>
    <w:pPr>
      <w:spacing w:line="300" w:lineRule="auto"/>
      <w:ind w:firstLine="420" w:firstLineChars="200"/>
      <w:jc w:val="left"/>
    </w:pPr>
    <w:rPr>
      <w:rFonts w:ascii="Times New Roman" w:hAnsi="Times New Roman" w:eastAsia="楷体_GB2312" w:cs="Times New Roman"/>
      <w:sz w:val="24"/>
      <w:szCs w:val="24"/>
    </w:rPr>
  </w:style>
  <w:style w:type="paragraph" w:styleId="32">
    <w:name w:val="index 1"/>
    <w:basedOn w:val="1"/>
    <w:next w:val="1"/>
    <w:autoRedefine/>
    <w:qFormat/>
    <w:uiPriority w:val="0"/>
    <w:pPr>
      <w:spacing w:line="360" w:lineRule="auto"/>
      <w:ind w:firstLine="420" w:firstLineChars="200"/>
      <w:jc w:val="left"/>
    </w:pPr>
    <w:rPr>
      <w:rFonts w:ascii="Times New Roman" w:hAnsi="Times New Roman" w:eastAsia="宋体" w:cs="Times New Roman"/>
      <w:szCs w:val="24"/>
    </w:rPr>
  </w:style>
  <w:style w:type="paragraph" w:styleId="33">
    <w:name w:val="footnote text"/>
    <w:basedOn w:val="1"/>
    <w:autoRedefine/>
    <w:semiHidden/>
    <w:unhideWhenUsed/>
    <w:qFormat/>
    <w:uiPriority w:val="0"/>
    <w:pPr>
      <w:snapToGrid w:val="0"/>
      <w:jc w:val="left"/>
    </w:pPr>
    <w:rPr>
      <w:sz w:val="18"/>
    </w:rPr>
  </w:style>
  <w:style w:type="paragraph" w:styleId="34">
    <w:name w:val="toc 6"/>
    <w:basedOn w:val="1"/>
    <w:next w:val="1"/>
    <w:autoRedefine/>
    <w:qFormat/>
    <w:uiPriority w:val="39"/>
    <w:pPr>
      <w:ind w:left="1050"/>
      <w:jc w:val="left"/>
    </w:pPr>
    <w:rPr>
      <w:rFonts w:asciiTheme="minorHAnsi" w:hAnsiTheme="minorHAnsi"/>
      <w:sz w:val="18"/>
      <w:szCs w:val="18"/>
    </w:rPr>
  </w:style>
  <w:style w:type="paragraph" w:styleId="35">
    <w:name w:val="Body Text Indent 3"/>
    <w:basedOn w:val="1"/>
    <w:link w:val="168"/>
    <w:autoRedefine/>
    <w:qFormat/>
    <w:uiPriority w:val="0"/>
    <w:pPr>
      <w:spacing w:after="120" w:line="360" w:lineRule="auto"/>
      <w:ind w:left="420" w:leftChars="200" w:firstLine="420" w:firstLineChars="200"/>
      <w:jc w:val="left"/>
    </w:pPr>
    <w:rPr>
      <w:rFonts w:ascii="Times New Roman" w:hAnsi="Times New Roman" w:eastAsia="宋体" w:cs="Times New Roman"/>
      <w:sz w:val="16"/>
      <w:szCs w:val="16"/>
    </w:rPr>
  </w:style>
  <w:style w:type="paragraph" w:styleId="36">
    <w:name w:val="toc 2"/>
    <w:basedOn w:val="1"/>
    <w:next w:val="1"/>
    <w:autoRedefine/>
    <w:qFormat/>
    <w:uiPriority w:val="39"/>
    <w:pPr>
      <w:ind w:left="210"/>
      <w:jc w:val="left"/>
    </w:pPr>
    <w:rPr>
      <w:rFonts w:asciiTheme="minorHAnsi" w:hAnsiTheme="minorHAnsi"/>
      <w:smallCaps/>
      <w:sz w:val="20"/>
      <w:szCs w:val="20"/>
    </w:rPr>
  </w:style>
  <w:style w:type="paragraph" w:styleId="37">
    <w:name w:val="toc 9"/>
    <w:basedOn w:val="1"/>
    <w:next w:val="1"/>
    <w:autoRedefine/>
    <w:qFormat/>
    <w:uiPriority w:val="39"/>
    <w:pPr>
      <w:ind w:left="1680"/>
      <w:jc w:val="left"/>
    </w:pPr>
    <w:rPr>
      <w:rFonts w:asciiTheme="minorHAnsi" w:hAnsiTheme="minorHAnsi"/>
      <w:sz w:val="18"/>
      <w:szCs w:val="18"/>
    </w:rPr>
  </w:style>
  <w:style w:type="paragraph" w:styleId="38">
    <w:name w:val="Body Text 2"/>
    <w:basedOn w:val="1"/>
    <w:link w:val="80"/>
    <w:autoRedefine/>
    <w:qFormat/>
    <w:uiPriority w:val="0"/>
    <w:pPr>
      <w:jc w:val="center"/>
    </w:pPr>
    <w:rPr>
      <w:b/>
      <w:bCs/>
      <w:spacing w:val="-20"/>
      <w:w w:val="130"/>
      <w:sz w:val="48"/>
      <w:szCs w:val="48"/>
    </w:rPr>
  </w:style>
  <w:style w:type="paragraph" w:styleId="39">
    <w:name w:val="Message Header"/>
    <w:basedOn w:val="1"/>
    <w:next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40">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41">
    <w:name w:val="Title"/>
    <w:basedOn w:val="1"/>
    <w:link w:val="160"/>
    <w:autoRedefine/>
    <w:qFormat/>
    <w:uiPriority w:val="0"/>
    <w:pPr>
      <w:tabs>
        <w:tab w:val="left" w:pos="432"/>
      </w:tabs>
      <w:spacing w:before="240" w:after="60" w:line="360" w:lineRule="auto"/>
      <w:ind w:left="432" w:hanging="432" w:firstLineChars="200"/>
      <w:jc w:val="center"/>
      <w:outlineLvl w:val="0"/>
    </w:pPr>
    <w:rPr>
      <w:rFonts w:ascii="Arial" w:hAnsi="Arial" w:eastAsia="宋体" w:cs="Arial"/>
      <w:b/>
      <w:bCs/>
      <w:sz w:val="32"/>
      <w:szCs w:val="32"/>
    </w:rPr>
  </w:style>
  <w:style w:type="paragraph" w:styleId="42">
    <w:name w:val="Body Text First Indent"/>
    <w:basedOn w:val="17"/>
    <w:next w:val="34"/>
    <w:link w:val="166"/>
    <w:autoRedefine/>
    <w:qFormat/>
    <w:uiPriority w:val="0"/>
    <w:pPr>
      <w:ind w:firstLine="420" w:firstLineChars="100"/>
    </w:pPr>
    <w:rPr>
      <w:sz w:val="34"/>
    </w:rPr>
  </w:style>
  <w:style w:type="paragraph" w:styleId="43">
    <w:name w:val="Body Text First Indent 2"/>
    <w:basedOn w:val="18"/>
    <w:autoRedefine/>
    <w:semiHidden/>
    <w:unhideWhenUsed/>
    <w:qFormat/>
    <w:uiPriority w:val="0"/>
    <w:pPr>
      <w:tabs>
        <w:tab w:val="left" w:pos="4900"/>
      </w:tabs>
      <w:ind w:firstLine="420" w:firstLineChars="200"/>
    </w:pPr>
  </w:style>
  <w:style w:type="table" w:styleId="45">
    <w:name w:val="Table Grid"/>
    <w:basedOn w:val="44"/>
    <w:autoRedefine/>
    <w:semiHidden/>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autoRedefine/>
    <w:qFormat/>
    <w:uiPriority w:val="0"/>
    <w:rPr>
      <w:b/>
      <w:bCs/>
      <w:sz w:val="24"/>
      <w:szCs w:val="24"/>
    </w:rPr>
  </w:style>
  <w:style w:type="character" w:styleId="48">
    <w:name w:val="page number"/>
    <w:basedOn w:val="46"/>
    <w:autoRedefine/>
    <w:qFormat/>
    <w:uiPriority w:val="0"/>
  </w:style>
  <w:style w:type="character" w:styleId="49">
    <w:name w:val="FollowedHyperlink"/>
    <w:basedOn w:val="46"/>
    <w:autoRedefine/>
    <w:qFormat/>
    <w:uiPriority w:val="0"/>
    <w:rPr>
      <w:color w:val="800080"/>
      <w:u w:val="none"/>
    </w:rPr>
  </w:style>
  <w:style w:type="character" w:styleId="50">
    <w:name w:val="Emphasis"/>
    <w:autoRedefine/>
    <w:qFormat/>
    <w:uiPriority w:val="20"/>
    <w:rPr>
      <w:i/>
      <w:iCs/>
    </w:rPr>
  </w:style>
  <w:style w:type="character" w:styleId="51">
    <w:name w:val="HTML Definition"/>
    <w:basedOn w:val="46"/>
    <w:autoRedefine/>
    <w:semiHidden/>
    <w:unhideWhenUsed/>
    <w:qFormat/>
    <w:uiPriority w:val="0"/>
  </w:style>
  <w:style w:type="character" w:styleId="52">
    <w:name w:val="HTML Typewriter"/>
    <w:basedOn w:val="46"/>
    <w:autoRedefine/>
    <w:semiHidden/>
    <w:unhideWhenUsed/>
    <w:qFormat/>
    <w:uiPriority w:val="0"/>
    <w:rPr>
      <w:rFonts w:hint="default" w:ascii="monospace" w:hAnsi="monospace" w:eastAsia="monospace" w:cs="monospace"/>
      <w:sz w:val="20"/>
    </w:rPr>
  </w:style>
  <w:style w:type="character" w:styleId="53">
    <w:name w:val="HTML Acronym"/>
    <w:basedOn w:val="46"/>
    <w:autoRedefine/>
    <w:semiHidden/>
    <w:unhideWhenUsed/>
    <w:qFormat/>
    <w:uiPriority w:val="0"/>
    <w:rPr>
      <w:vanish/>
    </w:rPr>
  </w:style>
  <w:style w:type="character" w:styleId="54">
    <w:name w:val="HTML Variable"/>
    <w:basedOn w:val="46"/>
    <w:autoRedefine/>
    <w:semiHidden/>
    <w:unhideWhenUsed/>
    <w:qFormat/>
    <w:uiPriority w:val="0"/>
  </w:style>
  <w:style w:type="character" w:styleId="55">
    <w:name w:val="Hyperlink"/>
    <w:autoRedefine/>
    <w:qFormat/>
    <w:uiPriority w:val="99"/>
    <w:rPr>
      <w:color w:val="0000FF"/>
      <w:u w:val="single"/>
    </w:rPr>
  </w:style>
  <w:style w:type="character" w:styleId="56">
    <w:name w:val="HTML Code"/>
    <w:basedOn w:val="46"/>
    <w:autoRedefine/>
    <w:semiHidden/>
    <w:unhideWhenUsed/>
    <w:qFormat/>
    <w:uiPriority w:val="0"/>
    <w:rPr>
      <w:rFonts w:hint="default" w:ascii="monospace" w:hAnsi="monospace" w:eastAsia="monospace" w:cs="monospace"/>
      <w:sz w:val="20"/>
    </w:rPr>
  </w:style>
  <w:style w:type="character" w:styleId="57">
    <w:name w:val="annotation reference"/>
    <w:basedOn w:val="46"/>
    <w:autoRedefine/>
    <w:qFormat/>
    <w:uiPriority w:val="0"/>
    <w:rPr>
      <w:sz w:val="21"/>
      <w:szCs w:val="21"/>
    </w:rPr>
  </w:style>
  <w:style w:type="character" w:styleId="58">
    <w:name w:val="HTML Cite"/>
    <w:autoRedefine/>
    <w:semiHidden/>
    <w:unhideWhenUsed/>
    <w:qFormat/>
    <w:uiPriority w:val="0"/>
    <w:rPr>
      <w:sz w:val="24"/>
      <w:szCs w:val="24"/>
    </w:rPr>
  </w:style>
  <w:style w:type="character" w:styleId="59">
    <w:name w:val="footnote reference"/>
    <w:basedOn w:val="46"/>
    <w:autoRedefine/>
    <w:semiHidden/>
    <w:unhideWhenUsed/>
    <w:qFormat/>
    <w:uiPriority w:val="0"/>
    <w:rPr>
      <w:vertAlign w:val="superscript"/>
    </w:rPr>
  </w:style>
  <w:style w:type="character" w:styleId="60">
    <w:name w:val="HTML Keyboard"/>
    <w:basedOn w:val="46"/>
    <w:autoRedefine/>
    <w:semiHidden/>
    <w:unhideWhenUsed/>
    <w:qFormat/>
    <w:uiPriority w:val="0"/>
    <w:rPr>
      <w:rFonts w:ascii="monospace" w:hAnsi="monospace" w:eastAsia="monospace" w:cs="monospace"/>
      <w:sz w:val="20"/>
    </w:rPr>
  </w:style>
  <w:style w:type="character" w:styleId="61">
    <w:name w:val="HTML Sample"/>
    <w:basedOn w:val="46"/>
    <w:autoRedefine/>
    <w:semiHidden/>
    <w:unhideWhenUsed/>
    <w:qFormat/>
    <w:uiPriority w:val="0"/>
    <w:rPr>
      <w:rFonts w:hint="default" w:ascii="monospace" w:hAnsi="monospace" w:eastAsia="monospace" w:cs="monospace"/>
    </w:rPr>
  </w:style>
  <w:style w:type="paragraph" w:customStyle="1" w:styleId="62">
    <w:name w:val="列出段落1"/>
    <w:basedOn w:val="1"/>
    <w:autoRedefine/>
    <w:qFormat/>
    <w:uiPriority w:val="99"/>
    <w:pPr>
      <w:ind w:firstLine="420" w:firstLineChars="200"/>
    </w:pPr>
  </w:style>
  <w:style w:type="paragraph" w:customStyle="1" w:styleId="63">
    <w:name w:val="样式1"/>
    <w:basedOn w:val="1"/>
    <w:link w:val="188"/>
    <w:autoRedefine/>
    <w:qFormat/>
    <w:uiPriority w:val="0"/>
    <w:pPr>
      <w:spacing w:line="300" w:lineRule="auto"/>
      <w:ind w:firstLine="480" w:firstLineChars="200"/>
      <w:jc w:val="left"/>
    </w:pPr>
    <w:rPr>
      <w:rFonts w:ascii="Times New Roman" w:hAnsi="Times New Roman" w:eastAsia="宋体" w:cs="Times New Roman"/>
      <w:sz w:val="24"/>
      <w:szCs w:val="24"/>
    </w:rPr>
  </w:style>
  <w:style w:type="paragraph" w:customStyle="1" w:styleId="64">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5">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66">
    <w:name w:val="TOC 标题1"/>
    <w:basedOn w:val="2"/>
    <w:next w:val="1"/>
    <w:autoRedefine/>
    <w:qFormat/>
    <w:uiPriority w:val="99"/>
    <w:pPr>
      <w:spacing w:before="480" w:after="0" w:line="276" w:lineRule="auto"/>
      <w:outlineLvl w:val="9"/>
    </w:pPr>
    <w:rPr>
      <w:rFonts w:ascii="仿宋" w:hAnsi="仿宋" w:eastAsia="仿宋" w:cs="仿宋"/>
      <w:color w:val="000000"/>
      <w:kern w:val="0"/>
    </w:rPr>
  </w:style>
  <w:style w:type="paragraph" w:customStyle="1" w:styleId="67">
    <w:name w:val="+正文"/>
    <w:basedOn w:val="1"/>
    <w:autoRedefine/>
    <w:qFormat/>
    <w:uiPriority w:val="99"/>
    <w:pPr>
      <w:spacing w:line="360" w:lineRule="auto"/>
      <w:ind w:firstLine="200" w:firstLineChars="200"/>
    </w:pPr>
  </w:style>
  <w:style w:type="character" w:customStyle="1" w:styleId="68">
    <w:name w:val="标题 1 Char"/>
    <w:link w:val="2"/>
    <w:autoRedefine/>
    <w:qFormat/>
    <w:locked/>
    <w:uiPriority w:val="99"/>
    <w:rPr>
      <w:rFonts w:ascii="Calibri" w:hAnsi="Calibri" w:cs="Calibri"/>
      <w:b/>
      <w:bCs/>
      <w:kern w:val="44"/>
      <w:sz w:val="44"/>
      <w:szCs w:val="44"/>
    </w:rPr>
  </w:style>
  <w:style w:type="character" w:customStyle="1" w:styleId="69">
    <w:name w:val="标题 2 Char"/>
    <w:link w:val="3"/>
    <w:autoRedefine/>
    <w:qFormat/>
    <w:locked/>
    <w:uiPriority w:val="99"/>
    <w:rPr>
      <w:rFonts w:ascii="Cambria" w:hAnsi="Cambria" w:eastAsia="宋体" w:cs="Cambria"/>
      <w:b/>
      <w:bCs/>
      <w:sz w:val="32"/>
      <w:szCs w:val="32"/>
    </w:rPr>
  </w:style>
  <w:style w:type="character" w:customStyle="1" w:styleId="70">
    <w:name w:val="标题 3 Char"/>
    <w:link w:val="4"/>
    <w:autoRedefine/>
    <w:semiHidden/>
    <w:qFormat/>
    <w:locked/>
    <w:uiPriority w:val="99"/>
    <w:rPr>
      <w:rFonts w:ascii="Calibri" w:hAnsi="Calibri" w:cs="Calibri"/>
      <w:b/>
      <w:bCs/>
      <w:sz w:val="32"/>
      <w:szCs w:val="32"/>
    </w:rPr>
  </w:style>
  <w:style w:type="character" w:customStyle="1" w:styleId="71">
    <w:name w:val="标题 4 Char"/>
    <w:link w:val="5"/>
    <w:autoRedefine/>
    <w:semiHidden/>
    <w:qFormat/>
    <w:uiPriority w:val="9"/>
    <w:rPr>
      <w:rFonts w:ascii="Cambria" w:hAnsi="Cambria" w:eastAsia="宋体" w:cs="Times New Roman"/>
      <w:b/>
      <w:bCs/>
      <w:sz w:val="28"/>
      <w:szCs w:val="28"/>
    </w:rPr>
  </w:style>
  <w:style w:type="character" w:customStyle="1" w:styleId="72">
    <w:name w:val="批注文字 Char"/>
    <w:link w:val="15"/>
    <w:autoRedefine/>
    <w:qFormat/>
    <w:locked/>
    <w:uiPriority w:val="99"/>
    <w:rPr>
      <w:rFonts w:ascii="宋体" w:hAnsi="Calibri" w:eastAsia="宋体" w:cs="宋体"/>
      <w:sz w:val="22"/>
      <w:szCs w:val="22"/>
    </w:rPr>
  </w:style>
  <w:style w:type="character" w:customStyle="1" w:styleId="73">
    <w:name w:val="正文文本 Char"/>
    <w:link w:val="17"/>
    <w:autoRedefine/>
    <w:semiHidden/>
    <w:qFormat/>
    <w:locked/>
    <w:uiPriority w:val="99"/>
    <w:rPr>
      <w:rFonts w:ascii="Calibri" w:hAnsi="Calibri" w:cs="Calibri"/>
    </w:rPr>
  </w:style>
  <w:style w:type="character" w:customStyle="1" w:styleId="74">
    <w:name w:val="正文文本缩进 Char"/>
    <w:link w:val="18"/>
    <w:autoRedefine/>
    <w:semiHidden/>
    <w:qFormat/>
    <w:uiPriority w:val="99"/>
    <w:rPr>
      <w:rFonts w:ascii="Calibri" w:hAnsi="Calibri" w:cs="Calibri"/>
      <w:szCs w:val="21"/>
    </w:rPr>
  </w:style>
  <w:style w:type="character" w:customStyle="1" w:styleId="75">
    <w:name w:val="纯文本 Char"/>
    <w:link w:val="22"/>
    <w:autoRedefine/>
    <w:qFormat/>
    <w:locked/>
    <w:uiPriority w:val="0"/>
    <w:rPr>
      <w:rFonts w:ascii="宋体" w:hAnsi="Courier New" w:cs="宋体"/>
      <w:sz w:val="21"/>
      <w:szCs w:val="21"/>
    </w:rPr>
  </w:style>
  <w:style w:type="character" w:customStyle="1" w:styleId="76">
    <w:name w:val="正文文本缩进 2 Char"/>
    <w:link w:val="25"/>
    <w:autoRedefine/>
    <w:semiHidden/>
    <w:qFormat/>
    <w:locked/>
    <w:uiPriority w:val="99"/>
    <w:rPr>
      <w:rFonts w:ascii="Calibri" w:hAnsi="Calibri" w:cs="Calibri"/>
    </w:rPr>
  </w:style>
  <w:style w:type="character" w:customStyle="1" w:styleId="77">
    <w:name w:val="批注框文本 Char"/>
    <w:link w:val="26"/>
    <w:autoRedefine/>
    <w:qFormat/>
    <w:locked/>
    <w:uiPriority w:val="99"/>
    <w:rPr>
      <w:rFonts w:ascii="Calibri" w:hAnsi="Calibri" w:eastAsia="宋体" w:cs="Calibri"/>
      <w:kern w:val="2"/>
      <w:sz w:val="18"/>
      <w:szCs w:val="18"/>
    </w:rPr>
  </w:style>
  <w:style w:type="character" w:customStyle="1" w:styleId="78">
    <w:name w:val="页脚 Char"/>
    <w:basedOn w:val="46"/>
    <w:link w:val="27"/>
    <w:autoRedefine/>
    <w:qFormat/>
    <w:locked/>
    <w:uiPriority w:val="99"/>
    <w:rPr>
      <w:rFonts w:ascii="Calibri" w:hAnsi="Calibri" w:cs="Calibri"/>
      <w:sz w:val="18"/>
      <w:szCs w:val="18"/>
    </w:rPr>
  </w:style>
  <w:style w:type="character" w:customStyle="1" w:styleId="79">
    <w:name w:val="页眉 Char"/>
    <w:basedOn w:val="46"/>
    <w:link w:val="28"/>
    <w:autoRedefine/>
    <w:qFormat/>
    <w:locked/>
    <w:uiPriority w:val="99"/>
    <w:rPr>
      <w:rFonts w:ascii="Calibri" w:hAnsi="Calibri" w:cs="Calibri"/>
      <w:sz w:val="18"/>
      <w:szCs w:val="18"/>
    </w:rPr>
  </w:style>
  <w:style w:type="character" w:customStyle="1" w:styleId="80">
    <w:name w:val="正文文本 2 Char"/>
    <w:link w:val="38"/>
    <w:autoRedefine/>
    <w:semiHidden/>
    <w:qFormat/>
    <w:locked/>
    <w:uiPriority w:val="99"/>
    <w:rPr>
      <w:rFonts w:ascii="Calibri" w:hAnsi="Calibri" w:cs="Calibri"/>
    </w:rPr>
  </w:style>
  <w:style w:type="paragraph" w:customStyle="1" w:styleId="81">
    <w:name w:val="Char2 Char Char Char"/>
    <w:basedOn w:val="1"/>
    <w:autoRedefine/>
    <w:qFormat/>
    <w:uiPriority w:val="99"/>
    <w:rPr>
      <w:rFonts w:ascii="Tahoma" w:hAnsi="Tahoma" w:cs="Tahoma"/>
      <w:sz w:val="24"/>
      <w:szCs w:val="24"/>
    </w:rPr>
  </w:style>
  <w:style w:type="character" w:customStyle="1" w:styleId="82">
    <w:name w:val="10"/>
    <w:autoRedefine/>
    <w:qFormat/>
    <w:uiPriority w:val="99"/>
    <w:rPr>
      <w:rFonts w:ascii="Calibri" w:hAnsi="Calibri" w:cs="Calibri"/>
    </w:rPr>
  </w:style>
  <w:style w:type="character" w:customStyle="1" w:styleId="83">
    <w:name w:val="15"/>
    <w:autoRedefine/>
    <w:qFormat/>
    <w:uiPriority w:val="99"/>
    <w:rPr>
      <w:rFonts w:ascii="Calibri" w:hAnsi="Calibri" w:cs="Calibri"/>
      <w:i/>
      <w:iCs/>
    </w:rPr>
  </w:style>
  <w:style w:type="paragraph" w:customStyle="1" w:styleId="84">
    <w:name w:val="_Style 2"/>
    <w:basedOn w:val="1"/>
    <w:autoRedefine/>
    <w:qFormat/>
    <w:uiPriority w:val="99"/>
    <w:pPr>
      <w:ind w:firstLine="420" w:firstLineChars="200"/>
    </w:pPr>
  </w:style>
  <w:style w:type="character" w:customStyle="1" w:styleId="85">
    <w:name w:val="apple-style-span"/>
    <w:autoRedefine/>
    <w:qFormat/>
    <w:uiPriority w:val="99"/>
  </w:style>
  <w:style w:type="character" w:customStyle="1" w:styleId="86">
    <w:name w:val="del"/>
    <w:basedOn w:val="46"/>
    <w:autoRedefine/>
    <w:qFormat/>
    <w:uiPriority w:val="99"/>
  </w:style>
  <w:style w:type="character" w:customStyle="1" w:styleId="87">
    <w:name w:val="del1"/>
    <w:autoRedefine/>
    <w:qFormat/>
    <w:uiPriority w:val="99"/>
    <w:rPr>
      <w:vanish/>
      <w:color w:val="auto"/>
      <w:sz w:val="18"/>
      <w:szCs w:val="18"/>
      <w:u w:val="single"/>
    </w:rPr>
  </w:style>
  <w:style w:type="character" w:customStyle="1" w:styleId="88">
    <w:name w:val="del2"/>
    <w:autoRedefine/>
    <w:qFormat/>
    <w:uiPriority w:val="99"/>
    <w:rPr>
      <w:vanish/>
    </w:rPr>
  </w:style>
  <w:style w:type="character" w:customStyle="1" w:styleId="89">
    <w:name w:val="del3"/>
    <w:autoRedefine/>
    <w:qFormat/>
    <w:uiPriority w:val="99"/>
    <w:rPr>
      <w:vanish/>
    </w:rPr>
  </w:style>
  <w:style w:type="paragraph" w:customStyle="1" w:styleId="90">
    <w:name w:val="_Style 4"/>
    <w:basedOn w:val="1"/>
    <w:autoRedefine/>
    <w:qFormat/>
    <w:uiPriority w:val="99"/>
    <w:pPr>
      <w:ind w:firstLine="420" w:firstLineChars="200"/>
    </w:pPr>
  </w:style>
  <w:style w:type="paragraph" w:customStyle="1" w:styleId="91">
    <w:name w:val="pa-19"/>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92">
    <w:name w:val="首行缩进"/>
    <w:basedOn w:val="1"/>
    <w:autoRedefine/>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93">
    <w:name w:val="font101"/>
    <w:basedOn w:val="46"/>
    <w:autoRedefine/>
    <w:qFormat/>
    <w:uiPriority w:val="0"/>
    <w:rPr>
      <w:rFonts w:hint="eastAsia" w:ascii="宋体" w:hAnsi="宋体" w:eastAsia="宋体" w:cs="宋体"/>
      <w:color w:val="000000"/>
      <w:sz w:val="24"/>
      <w:szCs w:val="24"/>
      <w:u w:val="none"/>
    </w:rPr>
  </w:style>
  <w:style w:type="character" w:customStyle="1" w:styleId="94">
    <w:name w:val="font91"/>
    <w:basedOn w:val="46"/>
    <w:autoRedefine/>
    <w:qFormat/>
    <w:uiPriority w:val="0"/>
    <w:rPr>
      <w:rFonts w:hint="eastAsia" w:ascii="宋体" w:hAnsi="宋体" w:eastAsia="宋体" w:cs="宋体"/>
      <w:color w:val="000000"/>
      <w:sz w:val="24"/>
      <w:szCs w:val="24"/>
      <w:u w:val="none"/>
    </w:rPr>
  </w:style>
  <w:style w:type="character" w:customStyle="1" w:styleId="95">
    <w:name w:val="font41"/>
    <w:basedOn w:val="46"/>
    <w:autoRedefine/>
    <w:qFormat/>
    <w:uiPriority w:val="0"/>
    <w:rPr>
      <w:rFonts w:hint="eastAsia" w:ascii="宋体" w:hAnsi="宋体" w:eastAsia="宋体" w:cs="宋体"/>
      <w:color w:val="000000"/>
      <w:sz w:val="24"/>
      <w:szCs w:val="24"/>
      <w:u w:val="none"/>
    </w:rPr>
  </w:style>
  <w:style w:type="character" w:customStyle="1" w:styleId="96">
    <w:name w:val="font21"/>
    <w:basedOn w:val="46"/>
    <w:autoRedefine/>
    <w:qFormat/>
    <w:uiPriority w:val="0"/>
    <w:rPr>
      <w:rFonts w:hint="eastAsia" w:ascii="宋体" w:hAnsi="宋体" w:eastAsia="宋体" w:cs="宋体"/>
      <w:color w:val="000000"/>
      <w:sz w:val="24"/>
      <w:szCs w:val="24"/>
      <w:u w:val="none"/>
    </w:rPr>
  </w:style>
  <w:style w:type="paragraph" w:styleId="97">
    <w:name w:val="List Paragraph"/>
    <w:basedOn w:val="1"/>
    <w:autoRedefine/>
    <w:qFormat/>
    <w:uiPriority w:val="99"/>
    <w:pPr>
      <w:ind w:firstLine="420" w:firstLineChars="200"/>
    </w:pPr>
  </w:style>
  <w:style w:type="table" w:customStyle="1" w:styleId="98">
    <w:name w:val="TableGrid"/>
    <w:autoRedefine/>
    <w:qFormat/>
    <w:uiPriority w:val="0"/>
    <w:rPr>
      <w:kern w:val="2"/>
      <w:sz w:val="21"/>
      <w:szCs w:val="22"/>
    </w:rPr>
    <w:tblPr>
      <w:tblCellMar>
        <w:top w:w="0" w:type="dxa"/>
        <w:left w:w="0" w:type="dxa"/>
        <w:bottom w:w="0" w:type="dxa"/>
        <w:right w:w="0" w:type="dxa"/>
      </w:tblCellMar>
    </w:tblPr>
  </w:style>
  <w:style w:type="character" w:customStyle="1" w:styleId="99">
    <w:name w:val="日期 Char"/>
    <w:basedOn w:val="46"/>
    <w:link w:val="24"/>
    <w:autoRedefine/>
    <w:qFormat/>
    <w:uiPriority w:val="0"/>
    <w:rPr>
      <w:rFonts w:ascii="Calibri" w:hAnsi="Calibri" w:cs="Calibri"/>
      <w:kern w:val="2"/>
      <w:sz w:val="21"/>
      <w:szCs w:val="21"/>
    </w:rPr>
  </w:style>
  <w:style w:type="character" w:customStyle="1" w:styleId="100">
    <w:name w:val="List Paragraph Char1"/>
    <w:link w:val="101"/>
    <w:autoRedefine/>
    <w:qFormat/>
    <w:locked/>
    <w:uiPriority w:val="0"/>
    <w:rPr>
      <w:sz w:val="24"/>
    </w:rPr>
  </w:style>
  <w:style w:type="paragraph" w:customStyle="1" w:styleId="101">
    <w:name w:val="列出段落2"/>
    <w:basedOn w:val="1"/>
    <w:link w:val="100"/>
    <w:autoRedefine/>
    <w:qFormat/>
    <w:uiPriority w:val="0"/>
    <w:pPr>
      <w:ind w:firstLine="420" w:firstLineChars="200"/>
    </w:pPr>
    <w:rPr>
      <w:rFonts w:ascii="Times New Roman" w:hAnsi="Times New Roman" w:cs="Times New Roman"/>
      <w:kern w:val="0"/>
      <w:sz w:val="24"/>
      <w:szCs w:val="20"/>
    </w:rPr>
  </w:style>
  <w:style w:type="table" w:customStyle="1" w:styleId="102">
    <w:name w:val="TableGrid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3">
    <w:name w:val="TableGrid2"/>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4">
    <w:name w:val="TableGrid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5">
    <w:name w:val="TableGrid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6">
    <w:name w:val="TableGrid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7">
    <w:name w:val="TableGrid6"/>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8">
    <w:name w:val="TableGrid7"/>
    <w:autoRedefine/>
    <w:qFormat/>
    <w:uiPriority w:val="0"/>
    <w:rPr>
      <w:rFonts w:ascii="Calibri" w:hAnsi="Calibri"/>
      <w:kern w:val="2"/>
      <w:sz w:val="21"/>
      <w:szCs w:val="22"/>
    </w:rPr>
    <w:tblPr>
      <w:tblCellMar>
        <w:top w:w="0" w:type="dxa"/>
        <w:left w:w="0" w:type="dxa"/>
        <w:bottom w:w="0" w:type="dxa"/>
        <w:right w:w="0" w:type="dxa"/>
      </w:tblCellMar>
    </w:tblPr>
  </w:style>
  <w:style w:type="character" w:customStyle="1" w:styleId="109">
    <w:name w:val="批注主题 Char"/>
    <w:basedOn w:val="72"/>
    <w:link w:val="19"/>
    <w:autoRedefine/>
    <w:semiHidden/>
    <w:qFormat/>
    <w:uiPriority w:val="99"/>
    <w:rPr>
      <w:rFonts w:ascii="Calibri" w:hAnsi="Calibri" w:eastAsia="宋体" w:cs="Calibri"/>
      <w:b/>
      <w:bCs/>
      <w:kern w:val="2"/>
      <w:sz w:val="21"/>
      <w:szCs w:val="21"/>
    </w:rPr>
  </w:style>
  <w:style w:type="paragraph" w:customStyle="1" w:styleId="110">
    <w:name w:val="列出段落3"/>
    <w:basedOn w:val="1"/>
    <w:autoRedefine/>
    <w:qFormat/>
    <w:uiPriority w:val="0"/>
    <w:pPr>
      <w:ind w:firstLine="420" w:firstLineChars="200"/>
    </w:pPr>
    <w:rPr>
      <w:rFonts w:ascii="Times New Roman" w:hAnsi="Times New Roman" w:cs="Times New Roman"/>
      <w:kern w:val="0"/>
      <w:sz w:val="24"/>
      <w:szCs w:val="20"/>
    </w:rPr>
  </w:style>
  <w:style w:type="table" w:customStyle="1" w:styleId="111">
    <w:name w:val="TableGrid8"/>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12">
    <w:name w:val="TableGrid9"/>
    <w:autoRedefine/>
    <w:qFormat/>
    <w:uiPriority w:val="0"/>
    <w:rPr>
      <w:kern w:val="2"/>
      <w:sz w:val="21"/>
      <w:szCs w:val="22"/>
    </w:rPr>
    <w:tblPr>
      <w:tblCellMar>
        <w:top w:w="0" w:type="dxa"/>
        <w:left w:w="0" w:type="dxa"/>
        <w:bottom w:w="0" w:type="dxa"/>
        <w:right w:w="0" w:type="dxa"/>
      </w:tblCellMar>
    </w:tblPr>
  </w:style>
  <w:style w:type="table" w:customStyle="1" w:styleId="113">
    <w:name w:val="TableGrid10"/>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14">
    <w:name w:val="TableGrid1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15">
    <w:name w:val="TableGrid12"/>
    <w:autoRedefine/>
    <w:qFormat/>
    <w:uiPriority w:val="0"/>
    <w:rPr>
      <w:kern w:val="2"/>
      <w:sz w:val="21"/>
      <w:szCs w:val="22"/>
    </w:rPr>
    <w:tblPr>
      <w:tblCellMar>
        <w:top w:w="0" w:type="dxa"/>
        <w:left w:w="0" w:type="dxa"/>
        <w:bottom w:w="0" w:type="dxa"/>
        <w:right w:w="0" w:type="dxa"/>
      </w:tblCellMar>
    </w:tblPr>
  </w:style>
  <w:style w:type="table" w:customStyle="1" w:styleId="116">
    <w:name w:val="TableGrid1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17">
    <w:name w:val="TableGrid1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18">
    <w:name w:val="TableGrid1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19">
    <w:name w:val="网格型1"/>
    <w:basedOn w:val="4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0">
    <w:name w:val="high-light-bg4"/>
    <w:basedOn w:val="46"/>
    <w:autoRedefine/>
    <w:qFormat/>
    <w:uiPriority w:val="0"/>
  </w:style>
  <w:style w:type="paragraph" w:customStyle="1" w:styleId="121">
    <w:name w:val="!正文"/>
    <w:autoRedefine/>
    <w:qFormat/>
    <w:uiPriority w:val="0"/>
    <w:pPr>
      <w:widowControl w:val="0"/>
      <w:spacing w:line="360" w:lineRule="auto"/>
      <w:ind w:firstLine="200" w:firstLineChars="200"/>
      <w:jc w:val="both"/>
    </w:pPr>
    <w:rPr>
      <w:rFonts w:ascii="宋体" w:hAnsi="宋体" w:eastAsia="宋体" w:cs="Times New Roman"/>
      <w:kern w:val="2"/>
      <w:sz w:val="24"/>
      <w:szCs w:val="28"/>
      <w:lang w:val="en-US" w:eastAsia="zh-CN" w:bidi="ar-SA"/>
    </w:rPr>
  </w:style>
  <w:style w:type="character" w:customStyle="1" w:styleId="122">
    <w:name w:val="font71"/>
    <w:basedOn w:val="46"/>
    <w:autoRedefine/>
    <w:qFormat/>
    <w:uiPriority w:val="0"/>
    <w:rPr>
      <w:rFonts w:hint="eastAsia" w:ascii="宋体" w:hAnsi="宋体" w:eastAsia="宋体" w:cs="宋体"/>
      <w:color w:val="000000"/>
      <w:sz w:val="24"/>
      <w:szCs w:val="24"/>
      <w:u w:val="none"/>
    </w:rPr>
  </w:style>
  <w:style w:type="paragraph" w:customStyle="1" w:styleId="123">
    <w:name w:val="Table Paragraph"/>
    <w:basedOn w:val="1"/>
    <w:autoRedefine/>
    <w:unhideWhenUsed/>
    <w:qFormat/>
    <w:uiPriority w:val="1"/>
    <w:rPr>
      <w:rFonts w:hint="default"/>
      <w:sz w:val="24"/>
    </w:rPr>
  </w:style>
  <w:style w:type="paragraph" w:customStyle="1" w:styleId="124">
    <w:name w:val="正文格式"/>
    <w:basedOn w:val="1"/>
    <w:autoRedefine/>
    <w:qFormat/>
    <w:uiPriority w:val="0"/>
    <w:pPr>
      <w:adjustRightInd w:val="0"/>
      <w:snapToGrid w:val="0"/>
      <w:spacing w:line="400" w:lineRule="atLeast"/>
      <w:ind w:firstLine="482"/>
      <w:textAlignment w:val="baseline"/>
    </w:pPr>
  </w:style>
  <w:style w:type="paragraph" w:customStyle="1" w:styleId="125">
    <w:name w:val="xl29"/>
    <w:basedOn w:val="1"/>
    <w:autoRedefine/>
    <w:qFormat/>
    <w:uiPriority w:val="0"/>
    <w:pPr>
      <w:widowControl/>
      <w:pBdr>
        <w:bottom w:val="single" w:color="auto" w:sz="4" w:space="0"/>
        <w:right w:val="single" w:color="auto" w:sz="12" w:space="0"/>
      </w:pBdr>
      <w:spacing w:before="100" w:beforeAutospacing="1" w:after="100" w:afterAutospacing="1" w:line="360" w:lineRule="auto"/>
      <w:ind w:firstLine="420" w:firstLineChars="200"/>
      <w:jc w:val="left"/>
      <w:textAlignment w:val="top"/>
    </w:pPr>
    <w:rPr>
      <w:rFonts w:ascii="Arial Unicode MS" w:hAnsi="Times New Roman" w:eastAsia="Arial Unicode MS" w:cs="Times New Roman"/>
      <w:kern w:val="0"/>
      <w:sz w:val="24"/>
      <w:szCs w:val="24"/>
    </w:rPr>
  </w:style>
  <w:style w:type="paragraph" w:customStyle="1" w:styleId="126">
    <w:name w:val="正文无缩进"/>
    <w:basedOn w:val="1"/>
    <w:autoRedefine/>
    <w:qFormat/>
    <w:uiPriority w:val="0"/>
    <w:pPr>
      <w:spacing w:beforeLines="50" w:line="300" w:lineRule="auto"/>
      <w:ind w:firstLine="420" w:firstLineChars="200"/>
      <w:jc w:val="center"/>
    </w:pPr>
    <w:rPr>
      <w:rFonts w:ascii="宋体" w:hAnsi="宋体" w:eastAsia="宋体" w:cs="Times New Roman"/>
      <w:sz w:val="24"/>
      <w:szCs w:val="24"/>
    </w:rPr>
  </w:style>
  <w:style w:type="paragraph" w:customStyle="1" w:styleId="127">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Char Char1"/>
    <w:basedOn w:val="1"/>
    <w:autoRedefine/>
    <w:qFormat/>
    <w:uiPriority w:val="0"/>
    <w:pPr>
      <w:widowControl/>
      <w:spacing w:after="160" w:line="240" w:lineRule="exact"/>
      <w:ind w:firstLine="420" w:firstLineChars="200"/>
      <w:jc w:val="left"/>
    </w:pPr>
    <w:rPr>
      <w:rFonts w:ascii="Verdana" w:hAnsi="Verdana" w:eastAsia="宋体" w:cs="Times New Roman"/>
      <w:kern w:val="0"/>
      <w:sz w:val="20"/>
      <w:szCs w:val="24"/>
      <w:lang w:eastAsia="en-US"/>
    </w:rPr>
  </w:style>
  <w:style w:type="paragraph" w:customStyle="1" w:styleId="129">
    <w:name w:val="4"/>
    <w:basedOn w:val="1"/>
    <w:autoRedefine/>
    <w:qFormat/>
    <w:uiPriority w:val="0"/>
    <w:pPr>
      <w:spacing w:line="300" w:lineRule="auto"/>
      <w:ind w:firstLine="480" w:firstLineChars="200"/>
      <w:jc w:val="left"/>
    </w:pPr>
    <w:rPr>
      <w:rFonts w:ascii="Times New Roman" w:hAnsi="Times New Roman" w:eastAsia="宋体" w:cs="Times New Roman"/>
      <w:sz w:val="24"/>
      <w:szCs w:val="20"/>
    </w:rPr>
  </w:style>
  <w:style w:type="paragraph" w:customStyle="1" w:styleId="130">
    <w:name w:val="Char"/>
    <w:basedOn w:val="1"/>
    <w:autoRedefine/>
    <w:qFormat/>
    <w:uiPriority w:val="0"/>
    <w:pPr>
      <w:tabs>
        <w:tab w:val="left" w:pos="360"/>
      </w:tabs>
      <w:spacing w:line="360" w:lineRule="auto"/>
      <w:ind w:firstLine="420" w:firstLineChars="200"/>
      <w:jc w:val="left"/>
    </w:pPr>
    <w:rPr>
      <w:rFonts w:ascii="Times New Roman" w:hAnsi="Times New Roman" w:eastAsia="宋体" w:cs="Times New Roman"/>
      <w:sz w:val="24"/>
      <w:szCs w:val="24"/>
    </w:rPr>
  </w:style>
  <w:style w:type="paragraph" w:customStyle="1" w:styleId="131">
    <w:name w:val="Char Char3 Char Char Char Char"/>
    <w:basedOn w:val="1"/>
    <w:autoRedefine/>
    <w:qFormat/>
    <w:uiPriority w:val="0"/>
    <w:pPr>
      <w:widowControl/>
      <w:spacing w:after="160" w:line="240" w:lineRule="exact"/>
      <w:ind w:firstLine="420" w:firstLineChars="200"/>
      <w:jc w:val="left"/>
    </w:pPr>
    <w:rPr>
      <w:rFonts w:ascii="Verdana" w:hAnsi="Verdana" w:eastAsia="宋体" w:cs="Times New Roman"/>
      <w:kern w:val="0"/>
      <w:sz w:val="20"/>
      <w:szCs w:val="20"/>
      <w:lang w:eastAsia="en-US"/>
    </w:rPr>
  </w:style>
  <w:style w:type="paragraph" w:customStyle="1" w:styleId="132">
    <w:name w:val="Char Char Char Char"/>
    <w:basedOn w:val="14"/>
    <w:autoRedefine/>
    <w:qFormat/>
    <w:uiPriority w:val="0"/>
    <w:pPr>
      <w:widowControl/>
      <w:shd w:val="clear" w:color="auto" w:fill="000080"/>
      <w:ind w:firstLine="454"/>
    </w:pPr>
    <w:rPr>
      <w:rFonts w:ascii="Tahoma" w:hAnsi="Tahoma" w:cs="宋体"/>
      <w:kern w:val="0"/>
      <w:sz w:val="21"/>
      <w:szCs w:val="20"/>
    </w:rPr>
  </w:style>
  <w:style w:type="paragraph" w:customStyle="1" w:styleId="133">
    <w:name w:val="Indent Normal"/>
    <w:basedOn w:val="1"/>
    <w:autoRedefine/>
    <w:qFormat/>
    <w:uiPriority w:val="0"/>
    <w:pPr>
      <w:spacing w:line="360" w:lineRule="auto"/>
      <w:ind w:firstLine="150" w:firstLineChars="150"/>
      <w:jc w:val="left"/>
    </w:pPr>
    <w:rPr>
      <w:rFonts w:ascii="Times New Roman" w:hAnsi="Times New Roman" w:eastAsia="宋体" w:cs="Times New Roman"/>
      <w:sz w:val="24"/>
      <w:szCs w:val="24"/>
    </w:rPr>
  </w:style>
  <w:style w:type="paragraph" w:customStyle="1" w:styleId="134">
    <w:name w:val="助手文本"/>
    <w:basedOn w:val="1"/>
    <w:autoRedefine/>
    <w:qFormat/>
    <w:uiPriority w:val="0"/>
    <w:pPr>
      <w:autoSpaceDE w:val="0"/>
      <w:autoSpaceDN w:val="0"/>
      <w:adjustRightInd w:val="0"/>
      <w:spacing w:beforeLines="50" w:afterLines="50" w:line="360" w:lineRule="auto"/>
      <w:ind w:left="14" w:firstLine="434" w:firstLineChars="200"/>
      <w:jc w:val="left"/>
      <w:textAlignment w:val="baseline"/>
    </w:pPr>
    <w:rPr>
      <w:rFonts w:ascii="楷体_GB2312" w:hAnsi="Times New Roman" w:eastAsia="楷体_GB2312" w:cs="Times New Roman"/>
      <w:kern w:val="0"/>
      <w:sz w:val="24"/>
      <w:szCs w:val="20"/>
      <w:u w:val="single"/>
    </w:rPr>
  </w:style>
  <w:style w:type="paragraph" w:customStyle="1" w:styleId="135">
    <w:name w:val="正文--表格内正文"/>
    <w:basedOn w:val="1"/>
    <w:autoRedefine/>
    <w:qFormat/>
    <w:uiPriority w:val="0"/>
    <w:pPr>
      <w:spacing w:beforeLines="50" w:line="0" w:lineRule="atLeast"/>
      <w:ind w:firstLine="420" w:firstLineChars="200"/>
      <w:jc w:val="center"/>
    </w:pPr>
    <w:rPr>
      <w:rFonts w:ascii="宋体" w:hAnsi="宋体" w:eastAsia="宋体" w:cs="Times New Roman"/>
      <w:sz w:val="24"/>
      <w:szCs w:val="24"/>
    </w:rPr>
  </w:style>
  <w:style w:type="paragraph" w:customStyle="1" w:styleId="136">
    <w:name w:val="Char Char1 Char Char Char Char Char Char"/>
    <w:basedOn w:val="1"/>
    <w:autoRedefine/>
    <w:qFormat/>
    <w:uiPriority w:val="0"/>
    <w:pPr>
      <w:widowControl/>
      <w:spacing w:after="160" w:line="240" w:lineRule="exact"/>
      <w:ind w:firstLine="420" w:firstLineChars="200"/>
      <w:jc w:val="left"/>
    </w:pPr>
    <w:rPr>
      <w:rFonts w:ascii="Verdana" w:hAnsi="Verdana" w:eastAsia="仿宋_GB2312" w:cs="Times New Roman"/>
      <w:kern w:val="0"/>
      <w:sz w:val="24"/>
      <w:szCs w:val="20"/>
      <w:lang w:eastAsia="en-US"/>
    </w:rPr>
  </w:style>
  <w:style w:type="paragraph" w:customStyle="1" w:styleId="137">
    <w:name w:val="样式4 Char"/>
    <w:basedOn w:val="1"/>
    <w:autoRedefine/>
    <w:qFormat/>
    <w:uiPriority w:val="0"/>
    <w:pPr>
      <w:widowControl/>
      <w:spacing w:line="360" w:lineRule="auto"/>
      <w:ind w:firstLine="480" w:firstLineChars="200"/>
      <w:jc w:val="left"/>
    </w:pPr>
    <w:rPr>
      <w:rFonts w:ascii="Times New Roman" w:hAnsi="Times New Roman" w:eastAsia="宋体" w:cs="Times New Roman"/>
      <w:color w:val="000000"/>
      <w:kern w:val="0"/>
      <w:sz w:val="24"/>
      <w:szCs w:val="24"/>
    </w:rPr>
  </w:style>
  <w:style w:type="paragraph" w:customStyle="1" w:styleId="138">
    <w:name w:val="paragraphindent"/>
    <w:basedOn w:val="1"/>
    <w:autoRedefine/>
    <w:qFormat/>
    <w:uiPriority w:val="0"/>
    <w:pPr>
      <w:widowControl/>
      <w:spacing w:before="100" w:beforeAutospacing="1" w:after="100" w:afterAutospacing="1" w:line="360" w:lineRule="auto"/>
      <w:ind w:firstLine="420" w:firstLineChars="200"/>
      <w:jc w:val="left"/>
    </w:pPr>
    <w:rPr>
      <w:rFonts w:ascii="宋体" w:hAnsi="宋体" w:eastAsia="宋体" w:cs="宋体"/>
      <w:kern w:val="0"/>
      <w:sz w:val="24"/>
      <w:szCs w:val="24"/>
    </w:rPr>
  </w:style>
  <w:style w:type="paragraph" w:customStyle="1" w:styleId="139">
    <w:name w:val="FA正文"/>
    <w:basedOn w:val="1"/>
    <w:link w:val="170"/>
    <w:autoRedefine/>
    <w:qFormat/>
    <w:uiPriority w:val="0"/>
    <w:pPr>
      <w:tabs>
        <w:tab w:val="left" w:pos="3375"/>
      </w:tabs>
      <w:spacing w:line="360" w:lineRule="auto"/>
      <w:ind w:firstLine="520" w:firstLineChars="200"/>
      <w:jc w:val="left"/>
    </w:pPr>
    <w:rPr>
      <w:rFonts w:ascii="宋体" w:hAnsi="宋体" w:eastAsia="宋体" w:cs="Times New Roman"/>
      <w:spacing w:val="10"/>
      <w:sz w:val="24"/>
      <w:szCs w:val="24"/>
    </w:rPr>
  </w:style>
  <w:style w:type="paragraph" w:customStyle="1" w:styleId="140">
    <w:name w:val="14_black"/>
    <w:basedOn w:val="1"/>
    <w:autoRedefine/>
    <w:qFormat/>
    <w:uiPriority w:val="0"/>
    <w:pPr>
      <w:widowControl/>
      <w:spacing w:before="100" w:beforeAutospacing="1" w:after="100" w:afterAutospacing="1" w:line="360" w:lineRule="auto"/>
      <w:ind w:firstLine="420" w:firstLineChars="200"/>
      <w:jc w:val="left"/>
    </w:pPr>
    <w:rPr>
      <w:rFonts w:ascii="宋体" w:hAnsi="宋体" w:eastAsia="宋体" w:cs="宋体"/>
      <w:color w:val="000000"/>
      <w:kern w:val="0"/>
      <w:sz w:val="23"/>
      <w:szCs w:val="23"/>
    </w:rPr>
  </w:style>
  <w:style w:type="paragraph" w:customStyle="1" w:styleId="141">
    <w:name w:val="È±Ê¡ÎÄ±¾"/>
    <w:basedOn w:val="1"/>
    <w:autoRedefine/>
    <w:qFormat/>
    <w:uiPriority w:val="0"/>
    <w:pPr>
      <w:widowControl/>
      <w:overflowPunct w:val="0"/>
      <w:autoSpaceDE w:val="0"/>
      <w:autoSpaceDN w:val="0"/>
      <w:adjustRightInd w:val="0"/>
      <w:spacing w:line="360" w:lineRule="auto"/>
      <w:ind w:firstLine="420" w:firstLineChars="200"/>
      <w:jc w:val="left"/>
      <w:textAlignment w:val="baseline"/>
    </w:pPr>
    <w:rPr>
      <w:rFonts w:ascii="Times New Roman" w:hAnsi="Times New Roman" w:eastAsia="宋体" w:cs="Times New Roman"/>
      <w:kern w:val="0"/>
      <w:sz w:val="24"/>
      <w:szCs w:val="20"/>
    </w:rPr>
  </w:style>
  <w:style w:type="paragraph" w:customStyle="1" w:styleId="142">
    <w:name w:val="样式2"/>
    <w:basedOn w:val="1"/>
    <w:link w:val="174"/>
    <w:autoRedefine/>
    <w:qFormat/>
    <w:uiPriority w:val="0"/>
    <w:pPr>
      <w:spacing w:before="120" w:after="120" w:line="360" w:lineRule="auto"/>
      <w:ind w:firstLine="420" w:firstLineChars="200"/>
      <w:jc w:val="left"/>
      <w:outlineLvl w:val="1"/>
    </w:pPr>
    <w:rPr>
      <w:rFonts w:ascii="Times New Roman" w:hAnsi="Times New Roman" w:eastAsia="宋体" w:cs="Times New Roman"/>
      <w:b/>
      <w:sz w:val="30"/>
      <w:szCs w:val="24"/>
    </w:rPr>
  </w:style>
  <w:style w:type="paragraph" w:customStyle="1" w:styleId="143">
    <w:name w:val="样式3"/>
    <w:basedOn w:val="28"/>
    <w:link w:val="175"/>
    <w:autoRedefine/>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4">
    <w:name w:val="样式4"/>
    <w:basedOn w:val="143"/>
    <w:link w:val="176"/>
    <w:autoRedefine/>
    <w:qFormat/>
    <w:uiPriority w:val="0"/>
  </w:style>
  <w:style w:type="paragraph" w:customStyle="1" w:styleId="145">
    <w:name w:val="样式5"/>
    <w:basedOn w:val="28"/>
    <w:link w:val="177"/>
    <w:autoRedefine/>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6">
    <w:name w:val="样式6"/>
    <w:basedOn w:val="28"/>
    <w:link w:val="178"/>
    <w:autoRedefine/>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7">
    <w:name w:val="样式7"/>
    <w:basedOn w:val="4"/>
    <w:link w:val="179"/>
    <w:autoRedefine/>
    <w:qFormat/>
    <w:uiPriority w:val="0"/>
    <w:pPr>
      <w:numPr>
        <w:ilvl w:val="2"/>
        <w:numId w:val="2"/>
      </w:numPr>
      <w:tabs>
        <w:tab w:val="left" w:pos="567"/>
      </w:tabs>
      <w:spacing w:before="120" w:after="120" w:line="360" w:lineRule="auto"/>
      <w:ind w:firstLine="420" w:firstLineChars="0"/>
    </w:pPr>
    <w:rPr>
      <w:rFonts w:ascii="Times New Roman" w:hAnsi="Times New Roman" w:eastAsia="宋体" w:cs="Times New Roman"/>
      <w:sz w:val="28"/>
      <w:szCs w:val="18"/>
    </w:rPr>
  </w:style>
  <w:style w:type="paragraph" w:customStyle="1" w:styleId="148">
    <w:name w:val="样式8"/>
    <w:basedOn w:val="27"/>
    <w:link w:val="180"/>
    <w:autoRedefine/>
    <w:qFormat/>
    <w:uiPriority w:val="0"/>
    <w:pPr>
      <w:spacing w:line="360" w:lineRule="auto"/>
      <w:ind w:firstLine="0" w:firstLineChars="0"/>
      <w:jc w:val="left"/>
    </w:pPr>
    <w:rPr>
      <w:rFonts w:ascii="Times New Roman" w:hAnsi="Times New Roman" w:eastAsia="宋体" w:cs="Times New Roman"/>
    </w:rPr>
  </w:style>
  <w:style w:type="paragraph" w:customStyle="1" w:styleId="149">
    <w:name w:val="样式9"/>
    <w:basedOn w:val="148"/>
    <w:link w:val="181"/>
    <w:autoRedefine/>
    <w:qFormat/>
    <w:uiPriority w:val="0"/>
    <w:pPr>
      <w:jc w:val="center"/>
    </w:pPr>
  </w:style>
  <w:style w:type="paragraph" w:customStyle="1" w:styleId="150">
    <w:name w:val="样式10"/>
    <w:basedOn w:val="149"/>
    <w:link w:val="182"/>
    <w:autoRedefine/>
    <w:qFormat/>
    <w:uiPriority w:val="0"/>
    <w:pPr>
      <w:pBdr>
        <w:top w:val="single" w:color="76923C" w:sz="24" w:space="1"/>
      </w:pBdr>
    </w:pPr>
  </w:style>
  <w:style w:type="paragraph" w:customStyle="1" w:styleId="151">
    <w:name w:val="样式11"/>
    <w:basedOn w:val="150"/>
    <w:link w:val="183"/>
    <w:autoRedefine/>
    <w:qFormat/>
    <w:uiPriority w:val="0"/>
    <w:pPr>
      <w:pBdr>
        <w:top w:val="none" w:color="auto" w:sz="0" w:space="0"/>
      </w:pBdr>
    </w:pPr>
  </w:style>
  <w:style w:type="paragraph" w:customStyle="1" w:styleId="152">
    <w:name w:val="样式12"/>
    <w:basedOn w:val="151"/>
    <w:link w:val="184"/>
    <w:autoRedefine/>
    <w:qFormat/>
    <w:uiPriority w:val="0"/>
  </w:style>
  <w:style w:type="paragraph" w:customStyle="1" w:styleId="153">
    <w:name w:val="样式13"/>
    <w:basedOn w:val="147"/>
    <w:link w:val="185"/>
    <w:autoRedefine/>
    <w:qFormat/>
    <w:uiPriority w:val="0"/>
  </w:style>
  <w:style w:type="paragraph" w:customStyle="1" w:styleId="154">
    <w:name w:val="2"/>
    <w:basedOn w:val="1"/>
    <w:link w:val="186"/>
    <w:autoRedefine/>
    <w:qFormat/>
    <w:uiPriority w:val="0"/>
    <w:pPr>
      <w:autoSpaceDE w:val="0"/>
      <w:autoSpaceDN w:val="0"/>
      <w:adjustRightInd w:val="0"/>
      <w:spacing w:line="360" w:lineRule="auto"/>
      <w:ind w:firstLine="0" w:firstLineChars="0"/>
      <w:jc w:val="center"/>
    </w:pPr>
    <w:rPr>
      <w:rFonts w:ascii="Times New Roman" w:hAnsi="Times New Roman" w:eastAsia="宋体" w:cs="Times New Roman"/>
      <w:spacing w:val="4"/>
      <w:szCs w:val="24"/>
    </w:rPr>
  </w:style>
  <w:style w:type="paragraph" w:customStyle="1" w:styleId="155">
    <w:name w:val="1"/>
    <w:basedOn w:val="1"/>
    <w:link w:val="187"/>
    <w:autoRedefine/>
    <w:qFormat/>
    <w:uiPriority w:val="0"/>
    <w:pPr>
      <w:spacing w:line="360" w:lineRule="auto"/>
      <w:ind w:firstLine="0" w:firstLineChars="0"/>
      <w:jc w:val="left"/>
    </w:pPr>
    <w:rPr>
      <w:rFonts w:ascii="Times New Roman" w:hAnsi="Times New Roman" w:eastAsia="宋体" w:cs="Times New Roman"/>
      <w:szCs w:val="24"/>
    </w:rPr>
  </w:style>
  <w:style w:type="paragraph" w:customStyle="1" w:styleId="156">
    <w:name w:val="飞越型"/>
    <w:autoRedefine/>
    <w:qFormat/>
    <w:uiPriority w:val="0"/>
    <w:pPr>
      <w:spacing w:after="200" w:line="276" w:lineRule="auto"/>
    </w:pPr>
    <w:rPr>
      <w:rFonts w:ascii="Calibri" w:hAnsi="Calibri" w:eastAsia="宋体" w:cs="黑体"/>
      <w:sz w:val="22"/>
      <w:szCs w:val="22"/>
      <w:lang w:val="en-US" w:eastAsia="zh-CN" w:bidi="ar-SA"/>
    </w:rPr>
  </w:style>
  <w:style w:type="paragraph" w:customStyle="1" w:styleId="157">
    <w:name w:val="无间隔1"/>
    <w:autoRedefine/>
    <w:qFormat/>
    <w:uiPriority w:val="1"/>
    <w:pPr>
      <w:widowControl w:val="0"/>
      <w:ind w:firstLine="420" w:firstLineChars="200"/>
    </w:pPr>
    <w:rPr>
      <w:rFonts w:ascii="Times New Roman" w:hAnsi="Times New Roman" w:eastAsia="宋体" w:cs="Times New Roman"/>
      <w:kern w:val="2"/>
      <w:sz w:val="21"/>
      <w:szCs w:val="24"/>
      <w:lang w:val="en-US" w:eastAsia="zh-CN" w:bidi="ar-SA"/>
    </w:rPr>
  </w:style>
  <w:style w:type="character" w:customStyle="1" w:styleId="158">
    <w:name w:val="标题 5 Char"/>
    <w:link w:val="6"/>
    <w:autoRedefine/>
    <w:qFormat/>
    <w:uiPriority w:val="0"/>
    <w:rPr>
      <w:rFonts w:ascii="Times New Roman" w:hAnsi="Times New Roman" w:eastAsia="宋体" w:cs="Times New Roman"/>
      <w:b/>
      <w:bCs/>
      <w:sz w:val="28"/>
      <w:szCs w:val="28"/>
    </w:rPr>
  </w:style>
  <w:style w:type="character" w:customStyle="1" w:styleId="159">
    <w:name w:val="标题 6 Char"/>
    <w:link w:val="7"/>
    <w:autoRedefine/>
    <w:qFormat/>
    <w:uiPriority w:val="0"/>
    <w:rPr>
      <w:rFonts w:ascii="Times New Roman" w:hAnsi="Times New Roman" w:eastAsia="宋体" w:cs="Times New Roman"/>
      <w:sz w:val="30"/>
      <w:szCs w:val="18"/>
    </w:rPr>
  </w:style>
  <w:style w:type="character" w:customStyle="1" w:styleId="160">
    <w:name w:val="标题 Char"/>
    <w:link w:val="41"/>
    <w:autoRedefine/>
    <w:qFormat/>
    <w:uiPriority w:val="0"/>
    <w:rPr>
      <w:rFonts w:ascii="Arial" w:hAnsi="Arial" w:eastAsia="宋体" w:cs="Arial"/>
      <w:b/>
      <w:bCs/>
      <w:sz w:val="32"/>
      <w:szCs w:val="32"/>
    </w:rPr>
  </w:style>
  <w:style w:type="character" w:customStyle="1" w:styleId="161">
    <w:name w:val="标题 7 Char"/>
    <w:link w:val="8"/>
    <w:autoRedefine/>
    <w:qFormat/>
    <w:uiPriority w:val="0"/>
    <w:rPr>
      <w:rFonts w:ascii="Times New Roman" w:hAnsi="Times New Roman" w:eastAsia="宋体" w:cs="Times New Roman"/>
    </w:rPr>
  </w:style>
  <w:style w:type="character" w:customStyle="1" w:styleId="162">
    <w:name w:val="标题 8 Char"/>
    <w:link w:val="9"/>
    <w:autoRedefine/>
    <w:qFormat/>
    <w:uiPriority w:val="0"/>
    <w:rPr>
      <w:rFonts w:ascii="Times New Roman" w:hAnsi="Times New Roman" w:eastAsia="宋体" w:cs="Times New Roman"/>
    </w:rPr>
  </w:style>
  <w:style w:type="character" w:customStyle="1" w:styleId="163">
    <w:name w:val="标题 9 Char"/>
    <w:link w:val="10"/>
    <w:autoRedefine/>
    <w:qFormat/>
    <w:uiPriority w:val="0"/>
    <w:rPr>
      <w:rFonts w:ascii="Times New Roman" w:hAnsi="Times New Roman" w:eastAsia="宋体" w:cs="Times New Roman"/>
    </w:rPr>
  </w:style>
  <w:style w:type="character" w:customStyle="1" w:styleId="164">
    <w:name w:val="large1"/>
    <w:autoRedefine/>
    <w:qFormat/>
    <w:uiPriority w:val="0"/>
    <w:rPr>
      <w:rFonts w:hint="eastAsia" w:ascii="宋体" w:hAnsi="宋体" w:eastAsia="宋体" w:cs="Times New Roman"/>
      <w:sz w:val="22"/>
      <w:szCs w:val="22"/>
    </w:rPr>
  </w:style>
  <w:style w:type="character" w:customStyle="1" w:styleId="165">
    <w:name w:val="14_black1"/>
    <w:autoRedefine/>
    <w:qFormat/>
    <w:uiPriority w:val="0"/>
    <w:rPr>
      <w:rFonts w:ascii="Times New Roman" w:hAnsi="Times New Roman" w:eastAsia="宋体" w:cs="Times New Roman"/>
      <w:color w:val="000000"/>
      <w:sz w:val="23"/>
      <w:szCs w:val="23"/>
    </w:rPr>
  </w:style>
  <w:style w:type="character" w:customStyle="1" w:styleId="166">
    <w:name w:val="正文首行缩进 Char"/>
    <w:link w:val="42"/>
    <w:autoRedefine/>
    <w:qFormat/>
    <w:uiPriority w:val="0"/>
    <w:rPr>
      <w:rFonts w:ascii="Times New Roman" w:hAnsi="Times New Roman" w:eastAsia="宋体" w:cs="Times New Roman"/>
      <w:sz w:val="34"/>
    </w:rPr>
  </w:style>
  <w:style w:type="character" w:customStyle="1" w:styleId="167">
    <w:name w:val="f141"/>
    <w:autoRedefine/>
    <w:qFormat/>
    <w:uiPriority w:val="0"/>
    <w:rPr>
      <w:rFonts w:ascii="Times New Roman" w:hAnsi="Times New Roman" w:eastAsia="宋体" w:cs="Times New Roman"/>
      <w:sz w:val="21"/>
      <w:szCs w:val="21"/>
    </w:rPr>
  </w:style>
  <w:style w:type="character" w:customStyle="1" w:styleId="168">
    <w:name w:val="正文文本缩进 3 Char"/>
    <w:link w:val="35"/>
    <w:autoRedefine/>
    <w:qFormat/>
    <w:uiPriority w:val="0"/>
    <w:rPr>
      <w:rFonts w:ascii="Times New Roman" w:hAnsi="Times New Roman" w:eastAsia="宋体" w:cs="Times New Roman"/>
      <w:sz w:val="16"/>
      <w:szCs w:val="16"/>
    </w:rPr>
  </w:style>
  <w:style w:type="character" w:customStyle="1" w:styleId="169">
    <w:name w:val="文档结构图 Char"/>
    <w:link w:val="14"/>
    <w:autoRedefine/>
    <w:qFormat/>
    <w:uiPriority w:val="0"/>
    <w:rPr>
      <w:rFonts w:ascii="宋体" w:hAnsi="Times New Roman" w:eastAsia="宋体" w:cs="Times New Roman"/>
      <w:sz w:val="18"/>
      <w:szCs w:val="18"/>
    </w:rPr>
  </w:style>
  <w:style w:type="character" w:customStyle="1" w:styleId="170">
    <w:name w:val="FA正文 Char"/>
    <w:link w:val="139"/>
    <w:autoRedefine/>
    <w:qFormat/>
    <w:uiPriority w:val="0"/>
    <w:rPr>
      <w:rFonts w:ascii="宋体" w:hAnsi="宋体" w:eastAsia="宋体" w:cs="Times New Roman"/>
      <w:spacing w:val="10"/>
      <w:sz w:val="24"/>
    </w:rPr>
  </w:style>
  <w:style w:type="character" w:customStyle="1" w:styleId="171">
    <w:name w:val="正文文本 3 Char"/>
    <w:link w:val="16"/>
    <w:autoRedefine/>
    <w:qFormat/>
    <w:uiPriority w:val="0"/>
    <w:rPr>
      <w:rFonts w:ascii="Times New Roman" w:hAnsi="Times New Roman" w:eastAsia="宋体" w:cs="Times New Roman"/>
      <w:sz w:val="16"/>
      <w:szCs w:val="16"/>
    </w:rPr>
  </w:style>
  <w:style w:type="character" w:customStyle="1" w:styleId="172">
    <w:name w:val="Indent Normal Char"/>
    <w:autoRedefine/>
    <w:qFormat/>
    <w:uiPriority w:val="0"/>
    <w:rPr>
      <w:rFonts w:ascii="Times New Roman" w:hAnsi="Times New Roman" w:eastAsia="宋体" w:cs="Times New Roman"/>
      <w:kern w:val="2"/>
      <w:sz w:val="21"/>
      <w:szCs w:val="24"/>
      <w:lang w:val="en-US" w:eastAsia="zh-CN" w:bidi="ar-SA"/>
    </w:rPr>
  </w:style>
  <w:style w:type="character" w:customStyle="1" w:styleId="173">
    <w:name w:val="p11b1"/>
    <w:autoRedefine/>
    <w:qFormat/>
    <w:uiPriority w:val="0"/>
    <w:rPr>
      <w:rFonts w:ascii="Times New Roman" w:hAnsi="Times New Roman" w:eastAsia="宋体" w:cs="Times New Roman"/>
      <w:color w:val="000000"/>
      <w:spacing w:val="320"/>
      <w:sz w:val="20"/>
      <w:szCs w:val="20"/>
      <w:u w:val="none"/>
    </w:rPr>
  </w:style>
  <w:style w:type="character" w:customStyle="1" w:styleId="174">
    <w:name w:val="样式2 Char"/>
    <w:link w:val="142"/>
    <w:autoRedefine/>
    <w:qFormat/>
    <w:uiPriority w:val="0"/>
    <w:rPr>
      <w:rFonts w:ascii="Times New Roman" w:hAnsi="Times New Roman" w:eastAsia="宋体" w:cs="Times New Roman"/>
      <w:b/>
      <w:sz w:val="30"/>
    </w:rPr>
  </w:style>
  <w:style w:type="character" w:customStyle="1" w:styleId="175">
    <w:name w:val="样式3 Char"/>
    <w:link w:val="143"/>
    <w:autoRedefine/>
    <w:qFormat/>
    <w:uiPriority w:val="0"/>
    <w:rPr>
      <w:rFonts w:ascii="Times New Roman" w:hAnsi="Times New Roman" w:eastAsia="宋体" w:cs="Times New Roman"/>
    </w:rPr>
  </w:style>
  <w:style w:type="character" w:customStyle="1" w:styleId="176">
    <w:name w:val="样式4 Char1"/>
    <w:link w:val="144"/>
    <w:autoRedefine/>
    <w:qFormat/>
    <w:uiPriority w:val="0"/>
    <w:rPr>
      <w:rFonts w:ascii="Times New Roman" w:hAnsi="Times New Roman" w:eastAsia="宋体" w:cs="Times New Roman"/>
    </w:rPr>
  </w:style>
  <w:style w:type="character" w:customStyle="1" w:styleId="177">
    <w:name w:val="样式5 Char"/>
    <w:link w:val="145"/>
    <w:autoRedefine/>
    <w:qFormat/>
    <w:uiPriority w:val="0"/>
    <w:rPr>
      <w:rFonts w:ascii="Times New Roman" w:hAnsi="Times New Roman" w:eastAsia="宋体" w:cs="Times New Roman"/>
    </w:rPr>
  </w:style>
  <w:style w:type="character" w:customStyle="1" w:styleId="178">
    <w:name w:val="样式6 Char"/>
    <w:link w:val="146"/>
    <w:autoRedefine/>
    <w:qFormat/>
    <w:uiPriority w:val="0"/>
    <w:rPr>
      <w:rFonts w:ascii="Times New Roman" w:hAnsi="Times New Roman" w:eastAsia="宋体" w:cs="Times New Roman"/>
    </w:rPr>
  </w:style>
  <w:style w:type="character" w:customStyle="1" w:styleId="179">
    <w:name w:val="样式7 Char"/>
    <w:link w:val="147"/>
    <w:autoRedefine/>
    <w:qFormat/>
    <w:uiPriority w:val="0"/>
    <w:rPr>
      <w:rFonts w:ascii="Times New Roman" w:hAnsi="Times New Roman" w:eastAsia="宋体" w:cs="Times New Roman"/>
    </w:rPr>
  </w:style>
  <w:style w:type="character" w:customStyle="1" w:styleId="180">
    <w:name w:val="样式8 Char"/>
    <w:link w:val="148"/>
    <w:autoRedefine/>
    <w:qFormat/>
    <w:uiPriority w:val="0"/>
    <w:rPr>
      <w:rFonts w:ascii="Times New Roman" w:hAnsi="Times New Roman" w:eastAsia="宋体" w:cs="Times New Roman"/>
    </w:rPr>
  </w:style>
  <w:style w:type="character" w:customStyle="1" w:styleId="181">
    <w:name w:val="样式9 Char"/>
    <w:link w:val="149"/>
    <w:autoRedefine/>
    <w:qFormat/>
    <w:uiPriority w:val="0"/>
    <w:rPr>
      <w:rFonts w:ascii="Times New Roman" w:hAnsi="Times New Roman" w:eastAsia="宋体" w:cs="Times New Roman"/>
    </w:rPr>
  </w:style>
  <w:style w:type="character" w:customStyle="1" w:styleId="182">
    <w:name w:val="样式10 Char"/>
    <w:link w:val="150"/>
    <w:autoRedefine/>
    <w:qFormat/>
    <w:uiPriority w:val="0"/>
    <w:rPr>
      <w:rFonts w:ascii="Times New Roman" w:hAnsi="Times New Roman" w:eastAsia="宋体" w:cs="Times New Roman"/>
    </w:rPr>
  </w:style>
  <w:style w:type="character" w:customStyle="1" w:styleId="183">
    <w:name w:val="样式11 Char"/>
    <w:link w:val="151"/>
    <w:autoRedefine/>
    <w:qFormat/>
    <w:uiPriority w:val="0"/>
    <w:rPr>
      <w:rFonts w:ascii="Times New Roman" w:hAnsi="Times New Roman" w:eastAsia="宋体" w:cs="Times New Roman"/>
    </w:rPr>
  </w:style>
  <w:style w:type="character" w:customStyle="1" w:styleId="184">
    <w:name w:val="样式12 Char"/>
    <w:link w:val="152"/>
    <w:autoRedefine/>
    <w:qFormat/>
    <w:uiPriority w:val="0"/>
    <w:rPr>
      <w:rFonts w:ascii="Times New Roman" w:hAnsi="Times New Roman" w:eastAsia="宋体" w:cs="Times New Roman"/>
    </w:rPr>
  </w:style>
  <w:style w:type="character" w:customStyle="1" w:styleId="185">
    <w:name w:val="样式13 Char"/>
    <w:link w:val="153"/>
    <w:autoRedefine/>
    <w:qFormat/>
    <w:uiPriority w:val="0"/>
    <w:rPr>
      <w:rFonts w:ascii="Times New Roman" w:hAnsi="Times New Roman" w:eastAsia="宋体" w:cs="Times New Roman"/>
    </w:rPr>
  </w:style>
  <w:style w:type="character" w:customStyle="1" w:styleId="186">
    <w:name w:val="2 Char"/>
    <w:link w:val="154"/>
    <w:autoRedefine/>
    <w:qFormat/>
    <w:uiPriority w:val="0"/>
    <w:rPr>
      <w:rFonts w:ascii="Times New Roman" w:hAnsi="Times New Roman" w:eastAsia="宋体" w:cs="Times New Roman"/>
      <w:spacing w:val="4"/>
    </w:rPr>
  </w:style>
  <w:style w:type="character" w:customStyle="1" w:styleId="187">
    <w:name w:val="1 Char"/>
    <w:link w:val="155"/>
    <w:autoRedefine/>
    <w:qFormat/>
    <w:uiPriority w:val="0"/>
    <w:rPr>
      <w:rFonts w:ascii="Times New Roman" w:hAnsi="Times New Roman" w:eastAsia="宋体" w:cs="Times New Roman"/>
    </w:rPr>
  </w:style>
  <w:style w:type="character" w:customStyle="1" w:styleId="188">
    <w:name w:val="样式1 Char"/>
    <w:link w:val="63"/>
    <w:autoRedefine/>
    <w:qFormat/>
    <w:uiPriority w:val="0"/>
    <w:rPr>
      <w:rFonts w:ascii="Times New Roman" w:hAnsi="Times New Roman" w:eastAsia="宋体" w:cs="Times New Roman"/>
      <w:sz w:val="24"/>
    </w:rPr>
  </w:style>
  <w:style w:type="paragraph" w:styleId="189">
    <w:name w:val="No Spacing"/>
    <w:autoRedefine/>
    <w:qFormat/>
    <w:uiPriority w:val="1"/>
    <w:pPr>
      <w:widowControl w:val="0"/>
      <w:spacing w:line="360" w:lineRule="auto"/>
    </w:pPr>
    <w:rPr>
      <w:rFonts w:ascii="Times New Roman" w:hAnsi="Times New Roman" w:eastAsia="宋体" w:cs="Times New Roman"/>
      <w:kern w:val="2"/>
      <w:sz w:val="21"/>
      <w:szCs w:val="24"/>
      <w:lang w:val="en-US" w:eastAsia="zh-CN" w:bidi="ar-SA"/>
    </w:rPr>
  </w:style>
  <w:style w:type="paragraph" w:customStyle="1" w:styleId="190">
    <w:name w:val="Default"/>
    <w:autoRedefine/>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91">
    <w:name w:val="layui-layer-tabnow"/>
    <w:basedOn w:val="46"/>
    <w:autoRedefine/>
    <w:qFormat/>
    <w:uiPriority w:val="0"/>
    <w:rPr>
      <w:bdr w:val="single" w:color="CCCCCC" w:sz="6" w:space="0"/>
      <w:shd w:val="clear" w:fill="FFFFFF"/>
    </w:rPr>
  </w:style>
  <w:style w:type="character" w:customStyle="1" w:styleId="192">
    <w:name w:val="first-child"/>
    <w:basedOn w:val="46"/>
    <w:autoRedefine/>
    <w:qFormat/>
    <w:uiPriority w:val="0"/>
  </w:style>
  <w:style w:type="paragraph" w:customStyle="1" w:styleId="193">
    <w:name w:val="p0"/>
    <w:basedOn w:val="1"/>
    <w:autoRedefine/>
    <w:qFormat/>
    <w:uiPriority w:val="0"/>
    <w:pPr>
      <w:widowControl/>
      <w:spacing w:line="408" w:lineRule="auto"/>
      <w:ind w:left="1"/>
      <w:textAlignment w:val="bottom"/>
    </w:pPr>
    <w:rPr>
      <w:color w:val="000000"/>
      <w:kern w:val="0"/>
      <w:szCs w:val="21"/>
    </w:rPr>
  </w:style>
  <w:style w:type="paragraph" w:customStyle="1" w:styleId="194">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character" w:customStyle="1" w:styleId="195">
    <w:name w:val="mini-tree-nodetext3"/>
    <w:basedOn w:val="46"/>
    <w:autoRedefine/>
    <w:qFormat/>
    <w:uiPriority w:val="0"/>
  </w:style>
  <w:style w:type="paragraph" w:customStyle="1" w:styleId="196">
    <w:name w:val="Table Text"/>
    <w:basedOn w:val="1"/>
    <w:autoRedefine/>
    <w:semiHidden/>
    <w:qFormat/>
    <w:uiPriority w:val="0"/>
    <w:rPr>
      <w:rFonts w:ascii="宋体" w:hAnsi="宋体" w:eastAsia="宋体" w:cs="宋体"/>
      <w:sz w:val="18"/>
      <w:szCs w:val="18"/>
      <w:lang w:val="en-US" w:eastAsia="en-US" w:bidi="ar-SA"/>
    </w:rPr>
  </w:style>
  <w:style w:type="table" w:customStyle="1" w:styleId="197">
    <w:name w:val="Table Normal"/>
    <w:autoRedefine/>
    <w:semiHidden/>
    <w:unhideWhenUsed/>
    <w:qFormat/>
    <w:uiPriority w:val="0"/>
    <w:tblPr>
      <w:tblCellMar>
        <w:top w:w="0" w:type="dxa"/>
        <w:left w:w="0" w:type="dxa"/>
        <w:bottom w:w="0" w:type="dxa"/>
        <w:right w:w="0" w:type="dxa"/>
      </w:tblCellMar>
    </w:tblPr>
  </w:style>
  <w:style w:type="paragraph" w:customStyle="1" w:styleId="198">
    <w:name w:val="正文文本 21"/>
    <w:qFormat/>
    <w:uiPriority w:val="99"/>
    <w:pPr>
      <w:widowControl w:val="0"/>
      <w:spacing w:after="120" w:line="480" w:lineRule="auto"/>
      <w:ind w:firstLine="420" w:firstLineChars="200"/>
      <w:jc w:val="both"/>
    </w:pPr>
    <w:rPr>
      <w:rFonts w:ascii="Calibri" w:hAnsi="Calibri" w:eastAsia="仿宋" w:cs="Times New Roman"/>
      <w:color w:val="000000"/>
      <w:kern w:val="2"/>
      <w:sz w:val="21"/>
      <w:szCs w:val="30"/>
      <w:lang w:val="en-US" w:eastAsia="zh-CN" w:bidi="ar-SA"/>
    </w:rPr>
  </w:style>
  <w:style w:type="paragraph" w:customStyle="1" w:styleId="199">
    <w:name w:val="table of authorities"/>
    <w:basedOn w:val="1"/>
    <w:next w:val="1"/>
    <w:qFormat/>
    <w:uiPriority w:val="0"/>
    <w:pPr>
      <w:ind w:left="420" w:leftChars="200"/>
    </w:pPr>
    <w:rPr>
      <w:rFonts w:ascii="Times New Roman" w:hAnsi="Times New Roman" w:eastAsia="宋体" w:cs="Times New Roman"/>
    </w:rPr>
  </w:style>
  <w:style w:type="character" w:customStyle="1" w:styleId="200">
    <w:name w:val="ui-autocomplete"/>
    <w:basedOn w:val="46"/>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7" Type="http://schemas.microsoft.com/office/2011/relationships/people" Target="people.xml"/><Relationship Id="rId36" Type="http://schemas.openxmlformats.org/officeDocument/2006/relationships/fontTable" Target="fontTable.xml"/><Relationship Id="rId35" Type="http://schemas.openxmlformats.org/officeDocument/2006/relationships/customXml" Target="../customXml/item2.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4.jpeg"/><Relationship Id="rId31" Type="http://schemas.openxmlformats.org/officeDocument/2006/relationships/image" Target="media/image3.jpeg"/><Relationship Id="rId30" Type="http://schemas.openxmlformats.org/officeDocument/2006/relationships/image" Target="media/image2.jpeg"/><Relationship Id="rId3" Type="http://schemas.openxmlformats.org/officeDocument/2006/relationships/comments" Target="comments.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header" Target="header9.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77B851-2727-4D10-8EA5-5903B1DBCED7}">
  <ds:schemaRefs/>
</ds:datastoreItem>
</file>

<file path=docProps/app.xml><?xml version="1.0" encoding="utf-8"?>
<Properties xmlns="http://schemas.openxmlformats.org/officeDocument/2006/extended-properties" xmlns:vt="http://schemas.openxmlformats.org/officeDocument/2006/docPropsVTypes">
  <Template>Normal.dotm</Template>
  <Company>江苏国泰新点软件有限公司  0512-58188000</Company>
  <Pages>78</Pages>
  <Words>652</Words>
  <Characters>750</Characters>
  <Lines>36</Lines>
  <Paragraphs>10</Paragraphs>
  <TotalTime>8</TotalTime>
  <ScaleCrop>false</ScaleCrop>
  <LinksUpToDate>false</LinksUpToDate>
  <CharactersWithSpaces>812</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2014-05-09T02:07:00Z</dcterms:created>
  <dc:creator>黄晨;陆俊峰</dc:creator>
  <cp:lastModifiedBy>WPS_1528011989</cp:lastModifiedBy>
  <cp:lastPrinted>2026-07-27T09:03:00Z</cp:lastPrinted>
  <dcterms:modified xsi:type="dcterms:W3CDTF">2026-09-23T01:05:47Z</dcterms:modified>
  <dc:title>操作手册</dc:title>
  <cp:revision>242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6C21BB343DF3482BB76E7F63EEA78BE2_13</vt:lpwstr>
  </property>
  <property fmtid="{D5CDD505-2E9C-101B-9397-08002B2CF9AE}" pid="4" name="KSOTemplateDocerSaveRecord">
    <vt:lpwstr>eyJoZGlkIjoiYWM5ZTdmYzk3ZDczMTEyZmNiMTgzYzFlOWU3MmQyYzYiLCJ1c2VySWQiOiIzNzU3MTM1MjkifQ==</vt:lpwstr>
  </property>
</Properties>
</file>