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left" w:pos="9030"/>
        </w:tabs>
        <w:snapToGrid w:val="0"/>
        <w:spacing w:line="360" w:lineRule="auto"/>
        <w:ind w:right="-62"/>
        <w:jc w:val="center"/>
        <w:outlineLvl w:val="0"/>
        <w:rPr>
          <w:b/>
          <w:bCs/>
          <w:sz w:val="44"/>
          <w:szCs w:val="44"/>
          <w:lang w:val="zh-CN"/>
        </w:rPr>
      </w:pPr>
      <w:r>
        <w:rPr>
          <w:rFonts w:hint="eastAsia" w:ascii="宋体" w:hAnsi="宋体" w:cs="宋体"/>
          <w:b/>
          <w:bCs/>
          <w:sz w:val="44"/>
          <w:szCs w:val="44"/>
          <w:lang w:val="zh-CN"/>
        </w:rPr>
        <w:t>拟签订的合同条款文本</w:t>
      </w:r>
    </w:p>
    <w:p w14:paraId="39FA60F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甲方（采购人）： </w:t>
      </w:r>
    </w:p>
    <w:p w14:paraId="1201827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乙方（成交供应商）： </w:t>
      </w:r>
    </w:p>
    <w:p w14:paraId="4E0AA31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single"/>
          <w:lang w:val="en-US" w:eastAsia="zh-CN"/>
        </w:rPr>
        <w:t>电子卷宗随案生成服务项目(项目编号：SXHC2026-118)</w:t>
      </w:r>
      <w:r>
        <w:rPr>
          <w:rFonts w:hint="eastAsia" w:ascii="仿宋_GB2312" w:hAnsi="仿宋_GB2312" w:eastAsia="仿宋_GB2312" w:cs="仿宋_GB2312"/>
          <w:color w:val="auto"/>
          <w:sz w:val="28"/>
          <w:szCs w:val="28"/>
          <w:highlight w:val="none"/>
          <w:lang w:val="en-US" w:eastAsia="zh-CN"/>
        </w:rPr>
        <w:t>，由陕西华采招标有限公司组织竞争性磋商，</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(以下简称“甲方”)确定</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（以下简称“乙方”）为该项目的成交供应商。</w:t>
      </w:r>
    </w:p>
    <w:p w14:paraId="689DD4E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依据《中华人民共和国民法典》和《中华人民共和国政府采购法》之规定，经双方在平等、自愿、互利的基础上，签订本合同，共同信守。</w:t>
      </w:r>
    </w:p>
    <w:p w14:paraId="57F0A5E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一、合同价款</w:t>
      </w:r>
    </w:p>
    <w:p w14:paraId="4CD917F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（一）合同价款为人民币（大写）</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p>
    <w:p w14:paraId="42409D3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（二）合同价款是指本次服务内容所需的全部费用, 包括但不限于设备费、实施费、管理费、维保费、人员工资、税金及其它全部费用。</w:t>
      </w:r>
    </w:p>
    <w:p w14:paraId="1DCFEB1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（三）合同价款一次性包死，不受市场价格变化因素的影响。</w:t>
      </w:r>
    </w:p>
    <w:p w14:paraId="3F9549D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二、委托工作内容：</w:t>
      </w:r>
      <w:r>
        <w:rPr>
          <w:rFonts w:hint="eastAsia" w:ascii="仿宋_GB2312" w:hAnsi="仿宋_GB2312" w:eastAsia="仿宋_GB2312" w:cs="仿宋_GB2312"/>
          <w:b/>
          <w:bCs/>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p>
    <w:p w14:paraId="5B258B38">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三、款项结算</w:t>
      </w:r>
    </w:p>
    <w:p w14:paraId="178FF6D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（一）付款方式：</w:t>
      </w:r>
    </w:p>
    <w:p w14:paraId="76F7B4F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 合同签订后，达到付款条件起15个工作日内，支付合同总金额的60.0%。</w:t>
      </w:r>
    </w:p>
    <w:p w14:paraId="01DC7C9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2、相关服务工作完成并经甲方验收合格后，达到付款条件起15个工作日内，支付合同总金额的40.00%.</w:t>
      </w:r>
    </w:p>
    <w:p w14:paraId="1FC6062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（二）结算方式：银行转账。</w:t>
      </w:r>
      <w:bookmarkStart w:id="0" w:name="_GoBack"/>
      <w:bookmarkEnd w:id="0"/>
    </w:p>
    <w:p w14:paraId="0697184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（三）结算单位：由甲方负责结算，乙方开具合同价款的全额发票给甲方。</w:t>
      </w:r>
    </w:p>
    <w:p w14:paraId="78367984">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四、服务期及服务地点</w:t>
      </w:r>
    </w:p>
    <w:p w14:paraId="6D8D962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（一）服务期：自合同签订之日起一年。</w:t>
      </w:r>
    </w:p>
    <w:p w14:paraId="640DBBC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（二）服务地点：</w:t>
      </w:r>
      <w:r>
        <w:rPr>
          <w:rFonts w:hint="eastAsia" w:ascii="仿宋_GB2312" w:hAnsi="仿宋_GB2312" w:eastAsia="仿宋_GB2312" w:cs="仿宋_GB2312"/>
          <w:spacing w:val="-19"/>
          <w:sz w:val="28"/>
          <w:szCs w:val="28"/>
          <w:highlight w:val="none"/>
          <w:lang w:eastAsia="zh-CN"/>
        </w:rPr>
        <w:t>西安市鄠邑区人民法院</w:t>
      </w:r>
      <w:r>
        <w:rPr>
          <w:rFonts w:hint="eastAsia" w:ascii="仿宋_GB2312" w:hAnsi="仿宋_GB2312" w:eastAsia="仿宋_GB2312" w:cs="仿宋_GB2312"/>
          <w:color w:val="auto"/>
          <w:sz w:val="28"/>
          <w:szCs w:val="28"/>
          <w:highlight w:val="none"/>
          <w:lang w:val="en-US" w:eastAsia="zh-CN"/>
        </w:rPr>
        <w:t>。</w:t>
      </w:r>
    </w:p>
    <w:p w14:paraId="27E9002E">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五、双方的权利和义务</w:t>
      </w:r>
    </w:p>
    <w:p w14:paraId="075CA3B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（一）甲方的权利与义务</w:t>
      </w:r>
    </w:p>
    <w:p w14:paraId="240AC2E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0A633DA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2、甲方应按本合同的约定向乙方支付合同价款；</w:t>
      </w:r>
    </w:p>
    <w:p w14:paraId="2B3149B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3、甲方根据需要对乙方提供的实施方案进行审核，提供建议及意见，确定最终实施的服务方案，以便乙方遵照执行；</w:t>
      </w:r>
    </w:p>
    <w:p w14:paraId="3C0A733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4、甲方有权对乙方的工作进行监督和考核。</w:t>
      </w:r>
    </w:p>
    <w:p w14:paraId="410B48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（二）乙方的权利与义务</w:t>
      </w:r>
    </w:p>
    <w:p w14:paraId="0572BE8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1、乙方的工作人员必须严格遵守甲方的规章制度，以良好的形象和积极的工作态度，按甲方要求开展工作；</w:t>
      </w:r>
    </w:p>
    <w:p w14:paraId="170A28A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2、乙方应服从甲方统筹管理并按流程开展工作；</w:t>
      </w:r>
    </w:p>
    <w:p w14:paraId="34592FF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3、乙方提交的方案等应得到甲方确认再予以实施。</w:t>
      </w:r>
    </w:p>
    <w:p w14:paraId="50ADB99B">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六、服务质量保证</w:t>
      </w:r>
    </w:p>
    <w:p w14:paraId="4B17262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以磋商文件、澄清表、合同和服务承诺的相关文件为准，但至少应包括：</w:t>
      </w:r>
    </w:p>
    <w:p w14:paraId="195E900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（一）乙方需派一名常驻项目负责人，直接与甲方沟通，项目负责人接收甲方提出的问题与要求，并及时向公司申请调动资源，解决甲方在项目实施过程中遇到的问题。</w:t>
      </w:r>
    </w:p>
    <w:p w14:paraId="70B4696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（二）项目在实施过程中会出现不可预料的需求变更，乙方需积极配合甲方的需求变更，并按照变更后的需求继续制作。</w:t>
      </w:r>
    </w:p>
    <w:p w14:paraId="04D2C48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（三）对于重大故障或者需要较高技术的服务，乙方需根据甲方的具体情况，紧急成立由各专家和资深技术人员组成的专家服务组，为客户提供诊断和技术咨询服务，迅速排除故障。</w:t>
      </w:r>
    </w:p>
    <w:p w14:paraId="6F4082B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（四）乙方需设有详细的技术资料档案和服务档案，将保存项目的详细资料以便于更好地提供服务。</w:t>
      </w:r>
    </w:p>
    <w:p w14:paraId="215ADAC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（五）服务响应：提供7*24小时的服务响应，出现问题或意外情况时，乙方会及时派出相关人员1小时内解决问题。</w:t>
      </w:r>
    </w:p>
    <w:p w14:paraId="22C71CB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七、知识产权</w:t>
      </w:r>
    </w:p>
    <w:p w14:paraId="4BE3805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（一）本项目知识产权归甲方所有。</w:t>
      </w:r>
    </w:p>
    <w:p w14:paraId="3DC536C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（二）乙方无论出于任何目的如在其他地方使用该成果，必须经甲方同意方可使用。否则，甲方有权要求终止涉及到该中标知识产权的任何使用活动并保留追究卖方相应的法律责任的权利。 </w:t>
      </w:r>
    </w:p>
    <w:p w14:paraId="2561248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（三）乙方为执行本合同而提供的技术资料使用权归甲方所有。</w:t>
      </w:r>
    </w:p>
    <w:p w14:paraId="221710A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八、保密规定</w:t>
      </w:r>
    </w:p>
    <w:p w14:paraId="4A93A48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B849BCD">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九、其他事项</w:t>
      </w:r>
    </w:p>
    <w:p w14:paraId="3C7C7D1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（一）乙方不得转让给其它单位或个人。</w:t>
      </w:r>
    </w:p>
    <w:p w14:paraId="6D08110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（二）乙方的响应文件和承诺等内容将列入合同。</w:t>
      </w:r>
    </w:p>
    <w:p w14:paraId="5AF920CC">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十、验收</w:t>
      </w:r>
    </w:p>
    <w:p w14:paraId="67335BC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（一）本项目验收费用，由乙方自行承担。</w:t>
      </w:r>
    </w:p>
    <w:p w14:paraId="0098566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（二）服务期满后，由乙方向甲方递交验收通知书，经甲方确认后，组织乙方进行验收。验收合格后，填写政府采购项目验收单作为对本次服务的最终认可。</w:t>
      </w:r>
    </w:p>
    <w:p w14:paraId="45D86C2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（三）验收依据：</w:t>
      </w:r>
    </w:p>
    <w:p w14:paraId="0E58DFD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1、本合同及附加文本；</w:t>
      </w:r>
    </w:p>
    <w:p w14:paraId="0C14D67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2、磋商文件、成交供应商的响应文件及澄清（承诺）函；</w:t>
      </w:r>
    </w:p>
    <w:p w14:paraId="723228B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3、国家相应的标准、规范。</w:t>
      </w:r>
    </w:p>
    <w:p w14:paraId="1FDD303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十一、违约责任</w:t>
      </w:r>
    </w:p>
    <w:p w14:paraId="5EAB4DD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（一）按《中华人民共和国民法典》中的相关条款执行。</w:t>
      </w:r>
    </w:p>
    <w:p w14:paraId="2BB3051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（二）未按合同要求提供服务或服务质量不能满足本次招标要求，甲方会同监督机构、采购代理机构有权终止合同和对乙方违约行为进行追究，同时按政府采购法的有关规定进行相应的处罚。</w:t>
      </w:r>
    </w:p>
    <w:p w14:paraId="0B7766E3">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十二、合同争议解决的方式</w:t>
      </w:r>
    </w:p>
    <w:p w14:paraId="55EE25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本合同在履行过程中发生的争议，由甲、乙双方当事人协商解决，协商不成的按下列第</w:t>
      </w:r>
      <w:r>
        <w:rPr>
          <w:rFonts w:hint="eastAsia" w:ascii="仿宋_GB2312" w:hAnsi="仿宋_GB2312" w:eastAsia="仿宋_GB2312" w:cs="仿宋_GB2312"/>
          <w:color w:val="auto"/>
          <w:sz w:val="28"/>
          <w:szCs w:val="28"/>
          <w:highlight w:val="none"/>
          <w:u w:val="single"/>
          <w:lang w:val="en-US" w:eastAsia="zh-CN"/>
        </w:rPr>
        <w:t>（二）</w:t>
      </w:r>
      <w:r>
        <w:rPr>
          <w:rFonts w:hint="eastAsia" w:ascii="仿宋_GB2312" w:hAnsi="仿宋_GB2312" w:eastAsia="仿宋_GB2312" w:cs="仿宋_GB2312"/>
          <w:color w:val="auto"/>
          <w:sz w:val="28"/>
          <w:szCs w:val="28"/>
          <w:highlight w:val="none"/>
          <w:lang w:val="en-US" w:eastAsia="zh-CN"/>
        </w:rPr>
        <w:t>种方式解决：</w:t>
      </w:r>
    </w:p>
    <w:p w14:paraId="699CDC9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（一）提交西安仲裁委员会仲裁；</w:t>
      </w:r>
    </w:p>
    <w:p w14:paraId="131A4AE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（二）依法向乙方所在地人民法院起诉。</w:t>
      </w:r>
    </w:p>
    <w:p w14:paraId="6A48737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十三、合同生效</w:t>
      </w:r>
    </w:p>
    <w:p w14:paraId="5EF7A2C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（一）本合同须经甲、乙双方的法定代表人（授权代表）在合同书上签字并加盖本单位公章后正式生效。</w:t>
      </w:r>
    </w:p>
    <w:p w14:paraId="53161CE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（二）合同生效后，甲、乙双方须严格执行本合同条款的规定，全面履行合同，违者按《中华人民共和国民法典》的有关规定承担相应责任。</w:t>
      </w:r>
    </w:p>
    <w:p w14:paraId="42CCAD1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（三）本合同一式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份，甲乙双方各执</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w:t>
      </w:r>
    </w:p>
    <w:p w14:paraId="29D37115">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lang w:val="en-US" w:eastAsia="zh-CN"/>
        </w:rPr>
        <w:t>（四）本合同如有未尽事宜，甲、乙双方协商解决</w:t>
      </w:r>
      <w:r>
        <w:rPr>
          <w:rFonts w:hint="eastAsia" w:ascii="仿宋_GB2312" w:hAnsi="仿宋_GB2312" w:eastAsia="仿宋_GB2312" w:cs="仿宋_GB2312"/>
          <w:sz w:val="28"/>
          <w:szCs w:val="28"/>
        </w:rPr>
        <w:t>。</w:t>
      </w:r>
    </w:p>
    <w:tbl>
      <w:tblPr>
        <w:tblStyle w:val="14"/>
        <w:tblW w:w="0" w:type="auto"/>
        <w:jc w:val="center"/>
        <w:tblLayout w:type="fixed"/>
        <w:tblCellMar>
          <w:top w:w="0" w:type="dxa"/>
          <w:left w:w="108" w:type="dxa"/>
          <w:bottom w:w="0" w:type="dxa"/>
          <w:right w:w="108" w:type="dxa"/>
        </w:tblCellMar>
      </w:tblPr>
      <w:tblGrid>
        <w:gridCol w:w="4201"/>
        <w:gridCol w:w="4202"/>
      </w:tblGrid>
      <w:tr w14:paraId="510D694B">
        <w:tblPrEx>
          <w:tblCellMar>
            <w:top w:w="0" w:type="dxa"/>
            <w:left w:w="108" w:type="dxa"/>
            <w:bottom w:w="0" w:type="dxa"/>
            <w:right w:w="108" w:type="dxa"/>
          </w:tblCellMar>
        </w:tblPrEx>
        <w:trPr>
          <w:trHeight w:val="517" w:hRule="exact"/>
          <w:jc w:val="center"/>
        </w:trPr>
        <w:tc>
          <w:tcPr>
            <w:tcW w:w="4201" w:type="dxa"/>
            <w:noWrap w:val="0"/>
            <w:vAlign w:val="center"/>
          </w:tcPr>
          <w:p w14:paraId="44A4D27E">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39429AE">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4AEBB335">
        <w:tblPrEx>
          <w:tblCellMar>
            <w:top w:w="0" w:type="dxa"/>
            <w:left w:w="108" w:type="dxa"/>
            <w:bottom w:w="0" w:type="dxa"/>
            <w:right w:w="108" w:type="dxa"/>
          </w:tblCellMar>
        </w:tblPrEx>
        <w:trPr>
          <w:trHeight w:val="567" w:hRule="exact"/>
          <w:jc w:val="center"/>
        </w:trPr>
        <w:tc>
          <w:tcPr>
            <w:tcW w:w="4201" w:type="dxa"/>
            <w:noWrap w:val="0"/>
            <w:vAlign w:val="center"/>
          </w:tcPr>
          <w:p w14:paraId="342A2939">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6344007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B197558">
        <w:tblPrEx>
          <w:tblCellMar>
            <w:top w:w="0" w:type="dxa"/>
            <w:left w:w="108" w:type="dxa"/>
            <w:bottom w:w="0" w:type="dxa"/>
            <w:right w:w="108" w:type="dxa"/>
          </w:tblCellMar>
        </w:tblPrEx>
        <w:trPr>
          <w:trHeight w:val="567" w:hRule="exact"/>
          <w:jc w:val="center"/>
        </w:trPr>
        <w:tc>
          <w:tcPr>
            <w:tcW w:w="4201" w:type="dxa"/>
            <w:noWrap w:val="0"/>
            <w:vAlign w:val="center"/>
          </w:tcPr>
          <w:p w14:paraId="243EC35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7388E8D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499F728D">
        <w:tblPrEx>
          <w:tblCellMar>
            <w:top w:w="0" w:type="dxa"/>
            <w:left w:w="108" w:type="dxa"/>
            <w:bottom w:w="0" w:type="dxa"/>
            <w:right w:w="108" w:type="dxa"/>
          </w:tblCellMar>
        </w:tblPrEx>
        <w:trPr>
          <w:trHeight w:val="567" w:hRule="exact"/>
          <w:jc w:val="center"/>
        </w:trPr>
        <w:tc>
          <w:tcPr>
            <w:tcW w:w="4201" w:type="dxa"/>
            <w:noWrap w:val="0"/>
            <w:vAlign w:val="center"/>
          </w:tcPr>
          <w:p w14:paraId="00DEA82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600D4AC4">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0FC97CBC">
        <w:tblPrEx>
          <w:tblCellMar>
            <w:top w:w="0" w:type="dxa"/>
            <w:left w:w="108" w:type="dxa"/>
            <w:bottom w:w="0" w:type="dxa"/>
            <w:right w:w="108" w:type="dxa"/>
          </w:tblCellMar>
        </w:tblPrEx>
        <w:trPr>
          <w:trHeight w:val="567" w:hRule="exact"/>
          <w:jc w:val="center"/>
        </w:trPr>
        <w:tc>
          <w:tcPr>
            <w:tcW w:w="4201" w:type="dxa"/>
            <w:noWrap w:val="0"/>
            <w:vAlign w:val="center"/>
          </w:tcPr>
          <w:p w14:paraId="231BA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76474145">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61AC64F4">
        <w:tblPrEx>
          <w:tblCellMar>
            <w:top w:w="0" w:type="dxa"/>
            <w:left w:w="108" w:type="dxa"/>
            <w:bottom w:w="0" w:type="dxa"/>
            <w:right w:w="108" w:type="dxa"/>
          </w:tblCellMar>
        </w:tblPrEx>
        <w:trPr>
          <w:trHeight w:val="567" w:hRule="exact"/>
          <w:jc w:val="center"/>
        </w:trPr>
        <w:tc>
          <w:tcPr>
            <w:tcW w:w="4201" w:type="dxa"/>
            <w:noWrap w:val="0"/>
            <w:vAlign w:val="center"/>
          </w:tcPr>
          <w:p w14:paraId="05EB9EA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c>
          <w:tcPr>
            <w:tcW w:w="4202" w:type="dxa"/>
            <w:noWrap w:val="0"/>
            <w:vAlign w:val="center"/>
          </w:tcPr>
          <w:p w14:paraId="52BA904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r>
      <w:tr w14:paraId="574B66CD">
        <w:tblPrEx>
          <w:tblCellMar>
            <w:top w:w="0" w:type="dxa"/>
            <w:left w:w="108" w:type="dxa"/>
            <w:bottom w:w="0" w:type="dxa"/>
            <w:right w:w="108" w:type="dxa"/>
          </w:tblCellMar>
        </w:tblPrEx>
        <w:trPr>
          <w:trHeight w:val="567" w:hRule="exact"/>
          <w:jc w:val="center"/>
        </w:trPr>
        <w:tc>
          <w:tcPr>
            <w:tcW w:w="4201" w:type="dxa"/>
            <w:noWrap w:val="0"/>
            <w:vAlign w:val="center"/>
          </w:tcPr>
          <w:p w14:paraId="66DB16F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088A6BDB">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57759621">
        <w:tblPrEx>
          <w:tblCellMar>
            <w:top w:w="0" w:type="dxa"/>
            <w:left w:w="108" w:type="dxa"/>
            <w:bottom w:w="0" w:type="dxa"/>
            <w:right w:w="108" w:type="dxa"/>
          </w:tblCellMar>
        </w:tblPrEx>
        <w:trPr>
          <w:trHeight w:val="567" w:hRule="exact"/>
          <w:jc w:val="center"/>
        </w:trPr>
        <w:tc>
          <w:tcPr>
            <w:tcW w:w="4201" w:type="dxa"/>
            <w:noWrap w:val="0"/>
            <w:vAlign w:val="center"/>
          </w:tcPr>
          <w:p w14:paraId="6FA6E6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E36DE0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7B9AAB90">
        <w:tblPrEx>
          <w:tblCellMar>
            <w:top w:w="0" w:type="dxa"/>
            <w:left w:w="108" w:type="dxa"/>
            <w:bottom w:w="0" w:type="dxa"/>
            <w:right w:w="108" w:type="dxa"/>
          </w:tblCellMar>
        </w:tblPrEx>
        <w:trPr>
          <w:trHeight w:val="567" w:hRule="exact"/>
          <w:jc w:val="center"/>
        </w:trPr>
        <w:tc>
          <w:tcPr>
            <w:tcW w:w="4201" w:type="dxa"/>
            <w:noWrap w:val="0"/>
            <w:vAlign w:val="center"/>
          </w:tcPr>
          <w:p w14:paraId="3C5C7154">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0F302B0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7C56258">
        <w:tblPrEx>
          <w:tblCellMar>
            <w:top w:w="0" w:type="dxa"/>
            <w:left w:w="108" w:type="dxa"/>
            <w:bottom w:w="0" w:type="dxa"/>
            <w:right w:w="108" w:type="dxa"/>
          </w:tblCellMar>
        </w:tblPrEx>
        <w:trPr>
          <w:trHeight w:val="450" w:hRule="exact"/>
          <w:jc w:val="center"/>
        </w:trPr>
        <w:tc>
          <w:tcPr>
            <w:tcW w:w="4201" w:type="dxa"/>
            <w:noWrap w:val="0"/>
            <w:vAlign w:val="center"/>
          </w:tcPr>
          <w:p w14:paraId="6560321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168131D8">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68042C34"/>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82AA85D-A305-4732-8691-39048CD8771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1B1EF4BB-30EF-4460-A3E1-7099C9BBCAF3}"/>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34CD"/>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5B972A5"/>
    <w:rsid w:val="172B4FA4"/>
    <w:rsid w:val="192A37C4"/>
    <w:rsid w:val="198577DD"/>
    <w:rsid w:val="19966094"/>
    <w:rsid w:val="1CA80820"/>
    <w:rsid w:val="1D6E70FD"/>
    <w:rsid w:val="1E6D5F03"/>
    <w:rsid w:val="21665943"/>
    <w:rsid w:val="224F40A0"/>
    <w:rsid w:val="244871F4"/>
    <w:rsid w:val="25295AB7"/>
    <w:rsid w:val="274E2D73"/>
    <w:rsid w:val="27EF733B"/>
    <w:rsid w:val="292902AA"/>
    <w:rsid w:val="29BB6BC2"/>
    <w:rsid w:val="2C0F4050"/>
    <w:rsid w:val="2EAE2AA4"/>
    <w:rsid w:val="2EEA293E"/>
    <w:rsid w:val="2F1025C8"/>
    <w:rsid w:val="30104537"/>
    <w:rsid w:val="313868D1"/>
    <w:rsid w:val="325B49C3"/>
    <w:rsid w:val="326A7D77"/>
    <w:rsid w:val="33EF3E56"/>
    <w:rsid w:val="39094D4C"/>
    <w:rsid w:val="3CCE5611"/>
    <w:rsid w:val="3CE71A85"/>
    <w:rsid w:val="3DFD0512"/>
    <w:rsid w:val="3E487371"/>
    <w:rsid w:val="412A6A1E"/>
    <w:rsid w:val="414032D5"/>
    <w:rsid w:val="45684654"/>
    <w:rsid w:val="45FB0DB9"/>
    <w:rsid w:val="467E02E4"/>
    <w:rsid w:val="48401E0D"/>
    <w:rsid w:val="4EC118A7"/>
    <w:rsid w:val="4F1C52C5"/>
    <w:rsid w:val="4FDA2485"/>
    <w:rsid w:val="51B54CCB"/>
    <w:rsid w:val="528C1FD1"/>
    <w:rsid w:val="54F63A8A"/>
    <w:rsid w:val="57DF2953"/>
    <w:rsid w:val="5C7E1FD1"/>
    <w:rsid w:val="5D3B49BA"/>
    <w:rsid w:val="60E414E6"/>
    <w:rsid w:val="61E5759F"/>
    <w:rsid w:val="64A137DB"/>
    <w:rsid w:val="64F06EE7"/>
    <w:rsid w:val="67493010"/>
    <w:rsid w:val="696F3399"/>
    <w:rsid w:val="734E36BE"/>
    <w:rsid w:val="741C09D0"/>
    <w:rsid w:val="74343D24"/>
    <w:rsid w:val="764F97C9"/>
    <w:rsid w:val="78C53AE4"/>
    <w:rsid w:val="7A233FFE"/>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3"/>
    <w:basedOn w:val="1"/>
    <w:qFormat/>
    <w:uiPriority w:val="99"/>
    <w:pPr>
      <w:jc w:val="center"/>
    </w:pPr>
    <w:rPr>
      <w:kern w:val="0"/>
      <w:sz w:val="16"/>
      <w:szCs w:val="16"/>
    </w:r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6"/>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Pages>
  <Words>1907</Words>
  <Characters>1934</Characters>
  <Lines>12</Lines>
  <Paragraphs>3</Paragraphs>
  <TotalTime>1</TotalTime>
  <ScaleCrop>false</ScaleCrop>
  <LinksUpToDate>false</LinksUpToDate>
  <CharactersWithSpaces>2042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2026-06-04T06:11:07Z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