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版本号：【KRDL】K4-260609820260611001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金花校区经纬苑学生宿舍楼项目施工图设计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【KRDL】K4-2606098</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金花校区经纬苑学生宿舍楼项目施工图设计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【KRDL】K4-2606098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金花校区经纬苑学生宿舍楼项目施工图设计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工程大学金花校区经纬苑学生宿舍楼项目为剪力墙结构，建筑物总高度约50m，总建筑面积34981.18㎡，地上13层(局部6层)，地下一层(地下室为人防工程，平战结合，战时人防，平时车库)。主要使用功能为学生宿舍、地下车库及设备用房。地下5472.74㎡(含地下车库(兼战时人防工程)及室外配套工程等，具体服务内容及要求详见本项目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同时拟派项目负责人未被列入“信用中国”网站的“重点领域严重失信主体名单”中的“安全生产严重失信主体名单（自然人）”；未被“中国执行信息公开网”列入失信被执行人。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3、供应商资质要求：供应商须具有建设行政主管部门颁发的【工程设计综合甲级资质】或【建筑行业工程设计甲级资质】或【建筑行业（建筑工程）专业设计甲级资质】，并在人员、设备、资金等方面具备相应的能力；</w:t>
      </w:r>
    </w:p>
    <w:p>
      <w:pPr>
        <w:pStyle w:val="null3"/>
      </w:pPr>
      <w:r>
        <w:rPr>
          <w:rFonts w:ascii="仿宋_GB2312" w:hAnsi="仿宋_GB2312" w:cs="仿宋_GB2312" w:eastAsia="仿宋_GB2312"/>
        </w:rPr>
        <w:t>4、拟派项目负责人要求：拟派项目设计负责人须具备【一级注册建筑师】执业资格，并在本单位登记注册；</w:t>
      </w:r>
    </w:p>
    <w:p>
      <w:pPr>
        <w:pStyle w:val="null3"/>
      </w:pPr>
      <w:r>
        <w:rPr>
          <w:rFonts w:ascii="仿宋_GB2312" w:hAnsi="仿宋_GB2312" w:cs="仿宋_GB2312" w:eastAsia="仿宋_GB2312"/>
        </w:rPr>
        <w:t>5、其他要求：供应商基本信息及拟派项目负责人信息须在“陕西省住房和城乡建设厅官网”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说明：(1)成交供应商凭中标（成交）通知书向采购人缴纳合同暂定总金额的5%作为履约保证金； (2)履约保证金应使用人民币，可选择使用银行转账、支票、汇票、本票或者金融机构、担保机构出具的保函等非现金形式缴纳或提交； (3)成交供应商提交施工图设计文件并通过施工图审查后，成交供应商提出书面申请，采购人将履约保证金（无息）退还成交供应商。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代理服务费收费标准：参照国家计委颁布的《招标代理服务收费管理暂行办法》（计价格[2002]1980号）及发改办价格[2003]857号文件标准向采购代理机构一次付清代理服务费。 备注：在对采购代理服务费转账时需备注项目名称+代理服务费。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工程大学金花校区经纬苑学生宿舍楼项目为剪力墙结构，建筑物总高度约50m，总建筑面积34981.18㎡，地上13层(局部6层)，地下一层(地下室为人防工程，平战结合，战时人防，平时车库)。主要使用功能为学生宿舍、地下车库及设备用房。地下5472.74㎡(含地下车库(兼战时人防工程)及室外配套工程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金花校区经纬苑学生宿舍楼项目施工图设计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标的名称：金花校区经纬苑学生宿舍楼项目施工图设计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rPr>
              <w:t>项目位于西安工程大学金花校区最南端，北邻现状操场，南邻长兴路，西临复聪路，东临新光巷，拟用地面积</w:t>
            </w:r>
            <w:r>
              <w:rPr>
                <w:rFonts w:ascii="仿宋_GB2312" w:hAnsi="仿宋_GB2312" w:cs="仿宋_GB2312" w:eastAsia="仿宋_GB2312"/>
                <w:sz w:val="24"/>
                <w:color w:val="0000FF"/>
              </w:rPr>
              <w:t>11.97亩。项目规划总建筑面积约34981.18平方米，主要建设学生宿舍楼1栋，配套附属设施(包括普通机动车停车库、人防工程兼机动车停车库、设备用房等)，及道路、绿化、配套管网等室外工程。</w:t>
            </w:r>
          </w:p>
          <w:p>
            <w:pPr>
              <w:pStyle w:val="null3"/>
              <w:ind w:firstLine="480"/>
              <w:jc w:val="both"/>
            </w:pPr>
            <w:r>
              <w:rPr>
                <w:rFonts w:ascii="仿宋_GB2312" w:hAnsi="仿宋_GB2312" w:cs="仿宋_GB2312" w:eastAsia="仿宋_GB2312"/>
                <w:sz w:val="24"/>
                <w:color w:val="0000FF"/>
              </w:rPr>
              <w:t>在设计期限内完成本项目要求的施工图设计设计成果深度应满足国家、地方及行业标准，且完全响应委托方项目实际情况及进度需要。</w:t>
            </w:r>
          </w:p>
          <w:p>
            <w:pPr>
              <w:pStyle w:val="null3"/>
              <w:ind w:firstLine="482"/>
              <w:jc w:val="both"/>
            </w:pPr>
            <w:r>
              <w:rPr>
                <w:rFonts w:ascii="仿宋_GB2312" w:hAnsi="仿宋_GB2312" w:cs="仿宋_GB2312" w:eastAsia="仿宋_GB2312"/>
                <w:sz w:val="24"/>
                <w:b/>
                <w:color w:val="0000FF"/>
              </w:rPr>
              <w:t>二、设计依据及标准</w:t>
            </w:r>
          </w:p>
          <w:p>
            <w:pPr>
              <w:pStyle w:val="null3"/>
              <w:ind w:firstLine="480"/>
              <w:jc w:val="both"/>
            </w:pPr>
            <w:r>
              <w:rPr>
                <w:rFonts w:ascii="仿宋_GB2312" w:hAnsi="仿宋_GB2312" w:cs="仿宋_GB2312" w:eastAsia="仿宋_GB2312"/>
                <w:sz w:val="24"/>
                <w:color w:val="0000FF"/>
              </w:rPr>
              <w:t>严格按照现行的国家、行业和省市颁布的相关规范、标准和规定进行建筑、结构、水、暖、电、装饰装潢等专业设计，特别是必须满足有关强制条文之规定。此外，尚应满足下列文件要求：</w:t>
            </w:r>
          </w:p>
          <w:p>
            <w:pPr>
              <w:pStyle w:val="null3"/>
              <w:ind w:firstLine="480"/>
              <w:jc w:val="both"/>
            </w:pPr>
            <w:r>
              <w:rPr>
                <w:rFonts w:ascii="仿宋_GB2312" w:hAnsi="仿宋_GB2312" w:cs="仿宋_GB2312" w:eastAsia="仿宋_GB2312"/>
                <w:sz w:val="24"/>
                <w:color w:val="0000FF"/>
              </w:rPr>
              <w:t>1.《陕西省城乡规划管理技术规定》（试行一第二版）（市规发〔2018〕60号）；</w:t>
            </w:r>
          </w:p>
          <w:p>
            <w:pPr>
              <w:pStyle w:val="null3"/>
              <w:ind w:firstLine="480"/>
              <w:jc w:val="both"/>
            </w:pPr>
            <w:r>
              <w:rPr>
                <w:rFonts w:ascii="仿宋_GB2312" w:hAnsi="仿宋_GB2312" w:cs="仿宋_GB2312" w:eastAsia="仿宋_GB2312"/>
                <w:sz w:val="24"/>
                <w:color w:val="0000FF"/>
              </w:rPr>
              <w:t>2.《资源规划审批与不动产登记测量技术规程（试行）》市资源发〔2021〕147号；</w:t>
            </w:r>
          </w:p>
          <w:p>
            <w:pPr>
              <w:pStyle w:val="null3"/>
              <w:ind w:firstLine="480"/>
              <w:jc w:val="both"/>
            </w:pPr>
            <w:r>
              <w:rPr>
                <w:rFonts w:ascii="仿宋_GB2312" w:hAnsi="仿宋_GB2312" w:cs="仿宋_GB2312" w:eastAsia="仿宋_GB2312"/>
                <w:sz w:val="24"/>
                <w:color w:val="0000FF"/>
              </w:rPr>
              <w:t>3.《民用建筑统一设计标准》（GB50352-2019版）；</w:t>
            </w:r>
          </w:p>
          <w:p>
            <w:pPr>
              <w:pStyle w:val="null3"/>
              <w:ind w:firstLine="480"/>
              <w:jc w:val="both"/>
            </w:pPr>
            <w:r>
              <w:rPr>
                <w:rFonts w:ascii="仿宋_GB2312" w:hAnsi="仿宋_GB2312" w:cs="仿宋_GB2312" w:eastAsia="仿宋_GB2312"/>
                <w:sz w:val="24"/>
                <w:color w:val="0000FF"/>
              </w:rPr>
              <w:t>4.《民用建筑通用规范》（GB55031-2022）；</w:t>
            </w:r>
          </w:p>
          <w:p>
            <w:pPr>
              <w:pStyle w:val="null3"/>
              <w:ind w:firstLine="480"/>
              <w:jc w:val="both"/>
            </w:pPr>
            <w:r>
              <w:rPr>
                <w:rFonts w:ascii="仿宋_GB2312" w:hAnsi="仿宋_GB2312" w:cs="仿宋_GB2312" w:eastAsia="仿宋_GB2312"/>
                <w:sz w:val="24"/>
                <w:color w:val="0000FF"/>
              </w:rPr>
              <w:t>5.《建筑与市政工程无障碍通用规范》（GB55019-2021）；</w:t>
            </w:r>
          </w:p>
          <w:p>
            <w:pPr>
              <w:pStyle w:val="null3"/>
              <w:ind w:firstLine="480"/>
              <w:jc w:val="both"/>
            </w:pPr>
            <w:r>
              <w:rPr>
                <w:rFonts w:ascii="仿宋_GB2312" w:hAnsi="仿宋_GB2312" w:cs="仿宋_GB2312" w:eastAsia="仿宋_GB2312"/>
                <w:sz w:val="24"/>
                <w:color w:val="0000FF"/>
              </w:rPr>
              <w:t>6.《无障碍设计规范》（GB50763-2012）；</w:t>
            </w:r>
          </w:p>
          <w:p>
            <w:pPr>
              <w:pStyle w:val="null3"/>
              <w:ind w:firstLine="480"/>
              <w:jc w:val="both"/>
            </w:pPr>
            <w:r>
              <w:rPr>
                <w:rFonts w:ascii="仿宋_GB2312" w:hAnsi="仿宋_GB2312" w:cs="仿宋_GB2312" w:eastAsia="仿宋_GB2312"/>
                <w:sz w:val="24"/>
                <w:color w:val="0000FF"/>
              </w:rPr>
              <w:t>7</w:t>
            </w:r>
            <w:r>
              <w:rPr>
                <w:rFonts w:ascii="仿宋_GB2312" w:hAnsi="仿宋_GB2312" w:cs="仿宋_GB2312" w:eastAsia="仿宋_GB2312"/>
                <w:sz w:val="24"/>
                <w:color w:val="0000FF"/>
              </w:rPr>
              <w:t>.《建筑防火通用规范》（GB55037-2022）；</w:t>
            </w:r>
          </w:p>
          <w:p>
            <w:pPr>
              <w:pStyle w:val="null3"/>
              <w:ind w:firstLine="480"/>
              <w:jc w:val="both"/>
            </w:pPr>
            <w:r>
              <w:rPr>
                <w:rFonts w:ascii="仿宋_GB2312" w:hAnsi="仿宋_GB2312" w:cs="仿宋_GB2312" w:eastAsia="仿宋_GB2312"/>
                <w:sz w:val="24"/>
                <w:color w:val="0000FF"/>
              </w:rPr>
              <w:t>8.《建筑设计防火规范》（GB50016-2014）（2018年版）；</w:t>
            </w:r>
          </w:p>
          <w:p>
            <w:pPr>
              <w:pStyle w:val="null3"/>
              <w:ind w:firstLine="480"/>
              <w:jc w:val="both"/>
            </w:pPr>
            <w:r>
              <w:rPr>
                <w:rFonts w:ascii="仿宋_GB2312" w:hAnsi="仿宋_GB2312" w:cs="仿宋_GB2312" w:eastAsia="仿宋_GB2312"/>
                <w:sz w:val="24"/>
                <w:color w:val="0000FF"/>
              </w:rPr>
              <w:t>9.《建筑内部装修设计防火规范》（GB50222-2017）；</w:t>
            </w:r>
          </w:p>
          <w:p>
            <w:pPr>
              <w:pStyle w:val="null3"/>
              <w:ind w:firstLine="480"/>
              <w:jc w:val="both"/>
            </w:pPr>
            <w:r>
              <w:rPr>
                <w:rFonts w:ascii="仿宋_GB2312" w:hAnsi="仿宋_GB2312" w:cs="仿宋_GB2312" w:eastAsia="仿宋_GB2312"/>
                <w:sz w:val="24"/>
                <w:color w:val="0000FF"/>
              </w:rPr>
              <w:t>10.《建筑防烟排烟系统技术标准》（GB51251-2017）；</w:t>
            </w:r>
          </w:p>
          <w:p>
            <w:pPr>
              <w:pStyle w:val="null3"/>
              <w:ind w:firstLine="480"/>
              <w:jc w:val="both"/>
            </w:pPr>
            <w:r>
              <w:rPr>
                <w:rFonts w:ascii="仿宋_GB2312" w:hAnsi="仿宋_GB2312" w:cs="仿宋_GB2312" w:eastAsia="仿宋_GB2312"/>
                <w:sz w:val="24"/>
                <w:color w:val="0000FF"/>
              </w:rPr>
              <w:t>11.《地下工程防水技术规范》（GB 50108-2008）；</w:t>
            </w:r>
          </w:p>
          <w:p>
            <w:pPr>
              <w:pStyle w:val="null3"/>
              <w:ind w:firstLine="480"/>
              <w:jc w:val="both"/>
            </w:pPr>
            <w:r>
              <w:rPr>
                <w:rFonts w:ascii="仿宋_GB2312" w:hAnsi="仿宋_GB2312" w:cs="仿宋_GB2312" w:eastAsia="仿宋_GB2312"/>
                <w:sz w:val="24"/>
                <w:color w:val="0000FF"/>
              </w:rPr>
              <w:t>12.《建筑与市政工程防水通用规范》（GB55030-2022）；</w:t>
            </w:r>
          </w:p>
          <w:p>
            <w:pPr>
              <w:pStyle w:val="null3"/>
              <w:ind w:firstLine="480"/>
              <w:jc w:val="both"/>
            </w:pPr>
            <w:r>
              <w:rPr>
                <w:rFonts w:ascii="仿宋_GB2312" w:hAnsi="仿宋_GB2312" w:cs="仿宋_GB2312" w:eastAsia="仿宋_GB2312"/>
                <w:sz w:val="24"/>
                <w:color w:val="0000FF"/>
              </w:rPr>
              <w:t>13.《建筑环境通用规范》（GB55016-2021）；</w:t>
            </w:r>
          </w:p>
          <w:p>
            <w:pPr>
              <w:pStyle w:val="null3"/>
              <w:ind w:firstLine="480"/>
              <w:jc w:val="both"/>
            </w:pPr>
            <w:r>
              <w:rPr>
                <w:rFonts w:ascii="仿宋_GB2312" w:hAnsi="仿宋_GB2312" w:cs="仿宋_GB2312" w:eastAsia="仿宋_GB2312"/>
                <w:sz w:val="24"/>
                <w:color w:val="0000FF"/>
              </w:rPr>
              <w:t>14.《绿色建筑评价标准》（GB/T 50378-2019[2024年局部修订]）；</w:t>
            </w:r>
          </w:p>
          <w:p>
            <w:pPr>
              <w:pStyle w:val="null3"/>
              <w:ind w:firstLine="480"/>
              <w:jc w:val="both"/>
            </w:pPr>
            <w:r>
              <w:rPr>
                <w:rFonts w:ascii="仿宋_GB2312" w:hAnsi="仿宋_GB2312" w:cs="仿宋_GB2312" w:eastAsia="仿宋_GB2312"/>
                <w:sz w:val="24"/>
                <w:color w:val="0000FF"/>
              </w:rPr>
              <w:t>15.《民用建筑工程室内环境污染控制标准》（GB50325-2020）；</w:t>
            </w:r>
          </w:p>
          <w:p>
            <w:pPr>
              <w:pStyle w:val="null3"/>
              <w:ind w:firstLine="480"/>
              <w:jc w:val="both"/>
            </w:pPr>
            <w:r>
              <w:rPr>
                <w:rFonts w:ascii="仿宋_GB2312" w:hAnsi="仿宋_GB2312" w:cs="仿宋_GB2312" w:eastAsia="仿宋_GB2312"/>
                <w:sz w:val="24"/>
                <w:color w:val="0000FF"/>
              </w:rPr>
              <w:t>16.《建筑节能与可再生能源利用通用规范》（GB55015-2021）；</w:t>
            </w:r>
          </w:p>
          <w:p>
            <w:pPr>
              <w:pStyle w:val="null3"/>
              <w:ind w:firstLine="480"/>
              <w:jc w:val="both"/>
            </w:pPr>
            <w:r>
              <w:rPr>
                <w:rFonts w:ascii="仿宋_GB2312" w:hAnsi="仿宋_GB2312" w:cs="仿宋_GB2312" w:eastAsia="仿宋_GB2312"/>
                <w:sz w:val="24"/>
                <w:color w:val="0000FF"/>
              </w:rPr>
              <w:t>17.《公共建筑节能设计标准》（GB50189-2015）；</w:t>
            </w:r>
          </w:p>
          <w:p>
            <w:pPr>
              <w:pStyle w:val="null3"/>
              <w:ind w:firstLine="480"/>
              <w:jc w:val="both"/>
            </w:pPr>
            <w:r>
              <w:rPr>
                <w:rFonts w:ascii="仿宋_GB2312" w:hAnsi="仿宋_GB2312" w:cs="仿宋_GB2312" w:eastAsia="仿宋_GB2312"/>
                <w:sz w:val="24"/>
                <w:color w:val="0000FF"/>
              </w:rPr>
              <w:t>18.《民用建筑热工设计规范》（GB50176-2016）；</w:t>
            </w:r>
          </w:p>
          <w:p>
            <w:pPr>
              <w:pStyle w:val="null3"/>
              <w:ind w:firstLine="480"/>
              <w:jc w:val="both"/>
            </w:pPr>
            <w:r>
              <w:rPr>
                <w:rFonts w:ascii="仿宋_GB2312" w:hAnsi="仿宋_GB2312" w:cs="仿宋_GB2312" w:eastAsia="仿宋_GB2312"/>
                <w:sz w:val="24"/>
                <w:color w:val="0000FF"/>
              </w:rPr>
              <w:t>19.与本工程类型相应的国家和当地现行法律法规及设计规范规定；</w:t>
            </w:r>
          </w:p>
          <w:p>
            <w:pPr>
              <w:pStyle w:val="null3"/>
              <w:ind w:firstLine="480"/>
              <w:jc w:val="both"/>
            </w:pPr>
            <w:r>
              <w:rPr>
                <w:rFonts w:ascii="仿宋_GB2312" w:hAnsi="仿宋_GB2312" w:cs="仿宋_GB2312" w:eastAsia="仿宋_GB2312"/>
                <w:sz w:val="24"/>
                <w:color w:val="0000FF"/>
              </w:rPr>
              <w:t>20.国家及地方相关规范、规定。</w:t>
            </w:r>
          </w:p>
          <w:p>
            <w:pPr>
              <w:pStyle w:val="null3"/>
              <w:ind w:firstLine="482"/>
              <w:jc w:val="both"/>
            </w:pPr>
            <w:r>
              <w:rPr>
                <w:rFonts w:ascii="仿宋_GB2312" w:hAnsi="仿宋_GB2312" w:cs="仿宋_GB2312" w:eastAsia="仿宋_GB2312"/>
                <w:sz w:val="24"/>
                <w:b/>
                <w:color w:val="0000FF"/>
              </w:rPr>
              <w:t>三、设计服务内容及要求</w:t>
            </w:r>
          </w:p>
          <w:p>
            <w:pPr>
              <w:pStyle w:val="null3"/>
              <w:ind w:firstLine="482"/>
              <w:jc w:val="both"/>
            </w:pPr>
            <w:r>
              <w:rPr>
                <w:rFonts w:ascii="仿宋_GB2312" w:hAnsi="仿宋_GB2312" w:cs="仿宋_GB2312" w:eastAsia="仿宋_GB2312"/>
                <w:sz w:val="24"/>
                <w:b/>
                <w:color w:val="0000FF"/>
              </w:rPr>
              <w:t>（一）设计原则及要求</w:t>
            </w:r>
          </w:p>
          <w:p>
            <w:pPr>
              <w:pStyle w:val="null3"/>
              <w:ind w:firstLine="480"/>
              <w:jc w:val="both"/>
            </w:pPr>
            <w:r>
              <w:rPr>
                <w:rFonts w:ascii="仿宋_GB2312" w:hAnsi="仿宋_GB2312" w:cs="仿宋_GB2312" w:eastAsia="仿宋_GB2312"/>
                <w:sz w:val="24"/>
                <w:color w:val="0000FF"/>
              </w:rPr>
              <w:t>1.科学合理，适度超前。规划应本着满足现在、着眼将来，近期与远期发展相结合，适当超前，弹性灵活的原则。</w:t>
            </w:r>
          </w:p>
          <w:p>
            <w:pPr>
              <w:pStyle w:val="null3"/>
              <w:ind w:firstLine="480"/>
              <w:jc w:val="both"/>
            </w:pPr>
            <w:r>
              <w:rPr>
                <w:rFonts w:ascii="仿宋_GB2312" w:hAnsi="仿宋_GB2312" w:cs="仿宋_GB2312" w:eastAsia="仿宋_GB2312"/>
                <w:sz w:val="24"/>
                <w:color w:val="0000FF"/>
              </w:rPr>
              <w:t>2.室外工程设计应充分利用现状，因地制宜规划。利用地形现状与形状，与周边校园道路相协调。</w:t>
            </w:r>
          </w:p>
          <w:p>
            <w:pPr>
              <w:pStyle w:val="null3"/>
              <w:ind w:firstLine="480"/>
              <w:jc w:val="both"/>
            </w:pPr>
            <w:r>
              <w:rPr>
                <w:rFonts w:ascii="仿宋_GB2312" w:hAnsi="仿宋_GB2312" w:cs="仿宋_GB2312" w:eastAsia="仿宋_GB2312"/>
                <w:sz w:val="24"/>
                <w:color w:val="0000FF"/>
              </w:rPr>
              <w:t>3.严格控制施工过程中的图纸变更。</w:t>
            </w:r>
          </w:p>
          <w:p>
            <w:pPr>
              <w:pStyle w:val="null3"/>
              <w:ind w:firstLine="480"/>
              <w:jc w:val="both"/>
            </w:pPr>
            <w:r>
              <w:rPr>
                <w:rFonts w:ascii="仿宋_GB2312" w:hAnsi="仿宋_GB2312" w:cs="仿宋_GB2312" w:eastAsia="仿宋_GB2312"/>
                <w:sz w:val="24"/>
                <w:color w:val="0000FF"/>
              </w:rPr>
              <w:t>4.各专业要求：</w:t>
            </w:r>
          </w:p>
          <w:p>
            <w:pPr>
              <w:pStyle w:val="null3"/>
              <w:ind w:firstLine="480"/>
              <w:jc w:val="both"/>
            </w:pPr>
            <w:r>
              <w:rPr>
                <w:rFonts w:ascii="仿宋_GB2312" w:hAnsi="仿宋_GB2312" w:cs="仿宋_GB2312" w:eastAsia="仿宋_GB2312"/>
                <w:sz w:val="24"/>
                <w:color w:val="0000FF"/>
              </w:rPr>
              <w:t>4.1建筑专业：</w:t>
            </w:r>
          </w:p>
          <w:p>
            <w:pPr>
              <w:pStyle w:val="null3"/>
              <w:ind w:firstLine="480"/>
              <w:jc w:val="both"/>
            </w:pPr>
            <w:r>
              <w:rPr>
                <w:rFonts w:ascii="仿宋_GB2312" w:hAnsi="仿宋_GB2312" w:cs="仿宋_GB2312" w:eastAsia="仿宋_GB2312"/>
                <w:sz w:val="24"/>
                <w:color w:val="0000FF"/>
              </w:rPr>
              <w:t>项目总建筑面积为</w:t>
            </w:r>
            <w:r>
              <w:rPr>
                <w:rFonts w:ascii="仿宋_GB2312" w:hAnsi="仿宋_GB2312" w:cs="仿宋_GB2312" w:eastAsia="仿宋_GB2312"/>
                <w:sz w:val="24"/>
                <w:color w:val="0000FF"/>
              </w:rPr>
              <w:t>34981.18平方米，为地上13层（局部6层）、地下1层,建筑高度约50m。地上一层主要功能为学生宿舍、服务管理和公共活动用房，地上二层至十三层主要为学生宿舍；地下一层主要功能为地下车库（兼战时人防工程）及设备用房等。建筑设计主体风格及色调应当与校园其它建筑保持一致，并与周围环境协调一致（真石漆外墙涂料）；</w:t>
            </w:r>
          </w:p>
          <w:p>
            <w:pPr>
              <w:pStyle w:val="null3"/>
              <w:ind w:firstLine="480"/>
              <w:jc w:val="both"/>
            </w:pPr>
            <w:r>
              <w:rPr>
                <w:rFonts w:ascii="仿宋_GB2312" w:hAnsi="仿宋_GB2312" w:cs="仿宋_GB2312" w:eastAsia="仿宋_GB2312"/>
                <w:sz w:val="24"/>
                <w:color w:val="0000FF"/>
              </w:rPr>
              <w:t>除卫生间、楼梯间、前室、垃圾收集间、水箱间、风机房、电井等房间外，其余空间墙面、顶面均为乳胶漆，楼地面铺贴瓷砖，</w:t>
            </w:r>
            <w:r>
              <w:rPr>
                <w:rFonts w:ascii="仿宋_GB2312" w:hAnsi="仿宋_GB2312" w:cs="仿宋_GB2312" w:eastAsia="仿宋_GB2312"/>
                <w:sz w:val="24"/>
                <w:color w:val="0000FF"/>
              </w:rPr>
              <w:t>门厅、走道、电梯厅采用水磨石楼面</w:t>
            </w:r>
            <w:r>
              <w:rPr>
                <w:rFonts w:ascii="仿宋_GB2312" w:hAnsi="仿宋_GB2312" w:cs="仿宋_GB2312" w:eastAsia="仿宋_GB2312"/>
                <w:sz w:val="24"/>
                <w:color w:val="0000FF"/>
              </w:rPr>
              <w:t>，吊顶根据使用功能确定，通风机房等有噪音房间均采用吸声或隔声处理。外墙保温采用</w:t>
            </w:r>
            <w:r>
              <w:rPr>
                <w:rFonts w:ascii="仿宋_GB2312" w:hAnsi="仿宋_GB2312" w:cs="仿宋_GB2312" w:eastAsia="仿宋_GB2312"/>
                <w:sz w:val="24"/>
                <w:color w:val="0000FF"/>
              </w:rPr>
              <w:t>A级材料，外窗采用断桥铝合金，Low-E中空玻璃。楼梯扶手、栏杆、阳台、凸窗护栏均为不锈钢。屋面为上人屋面，面层铺100*100*10缸砖及屋面绿化种植，屋面防水按三道设防。</w:t>
            </w:r>
          </w:p>
          <w:p>
            <w:pPr>
              <w:pStyle w:val="null3"/>
              <w:ind w:firstLine="480"/>
              <w:jc w:val="both"/>
            </w:pPr>
            <w:r>
              <w:rPr>
                <w:rFonts w:ascii="仿宋_GB2312" w:hAnsi="仿宋_GB2312" w:cs="仿宋_GB2312" w:eastAsia="仿宋_GB2312"/>
                <w:sz w:val="24"/>
                <w:color w:val="0000FF"/>
              </w:rPr>
              <w:t>4.2结构专业：</w:t>
            </w:r>
          </w:p>
          <w:p>
            <w:pPr>
              <w:pStyle w:val="null3"/>
              <w:ind w:firstLine="480"/>
              <w:jc w:val="both"/>
            </w:pPr>
            <w:r>
              <w:rPr>
                <w:rFonts w:ascii="仿宋_GB2312" w:hAnsi="仿宋_GB2312" w:cs="仿宋_GB2312" w:eastAsia="仿宋_GB2312"/>
                <w:sz w:val="24"/>
                <w:color w:val="0000FF"/>
              </w:rPr>
              <w:t>结构设计需满足国家、陕西省及西安市现行结构设计规范要求，确保结构设计技术先进、安全可靠。需满足建筑功能要求，结构布置、结构构件尺寸需与建筑使用功能相适应，避免竖向构件局部突出影响使用，水平构件影响层高等。结构设计经济合理，结构体系受力明确，传力简洁。</w:t>
            </w:r>
          </w:p>
          <w:p>
            <w:pPr>
              <w:pStyle w:val="null3"/>
              <w:ind w:firstLine="480"/>
              <w:jc w:val="both"/>
            </w:pPr>
            <w:r>
              <w:rPr>
                <w:rFonts w:ascii="仿宋_GB2312" w:hAnsi="仿宋_GB2312" w:cs="仿宋_GB2312" w:eastAsia="仿宋_GB2312"/>
                <w:sz w:val="24"/>
                <w:color w:val="0000FF"/>
              </w:rPr>
              <w:t>结构设计根据国家发展改革委等部门关于加强高校学生宿舍建设的指导意见发改社会【</w:t>
            </w:r>
            <w:r>
              <w:rPr>
                <w:rFonts w:ascii="仿宋_GB2312" w:hAnsi="仿宋_GB2312" w:cs="仿宋_GB2312" w:eastAsia="仿宋_GB2312"/>
                <w:sz w:val="24"/>
                <w:color w:val="0000FF"/>
              </w:rPr>
              <w:t>2024】25号文的要求采用减隔震技术，保证发生本区域设防烈度的地震时能够满足正常使用要求，其中隔震层设置于地下室顶板，隔震支座采用橡胶支座。</w:t>
            </w:r>
          </w:p>
          <w:p>
            <w:pPr>
              <w:pStyle w:val="null3"/>
              <w:ind w:firstLine="480"/>
              <w:jc w:val="both"/>
            </w:pPr>
            <w:r>
              <w:rPr>
                <w:rFonts w:ascii="仿宋_GB2312" w:hAnsi="仿宋_GB2312" w:cs="仿宋_GB2312" w:eastAsia="仿宋_GB2312"/>
                <w:sz w:val="24"/>
                <w:color w:val="0000FF"/>
              </w:rPr>
              <w:t>结构设计使用年限</w:t>
            </w:r>
            <w:r>
              <w:rPr>
                <w:rFonts w:ascii="仿宋_GB2312" w:hAnsi="仿宋_GB2312" w:cs="仿宋_GB2312" w:eastAsia="仿宋_GB2312"/>
                <w:sz w:val="24"/>
                <w:color w:val="0000FF"/>
              </w:rPr>
              <w:t>50年，结构安全等级为一级，抗震设防烈度为8度，基本风压、基本雪压、活载标准值按现行规范，恒载标准值按照建筑使用需求确定。主体结构采用钢筋混凝土剪力墙结构，地下部分采用钢筋混凝土挡土墙+框架结构，基础形式为柱下（墙下）桩基承台+筏板。</w:t>
            </w:r>
          </w:p>
          <w:p>
            <w:pPr>
              <w:pStyle w:val="null3"/>
              <w:ind w:firstLine="480"/>
              <w:jc w:val="both"/>
            </w:pPr>
            <w:r>
              <w:rPr>
                <w:rFonts w:ascii="仿宋_GB2312" w:hAnsi="仿宋_GB2312" w:cs="仿宋_GB2312" w:eastAsia="仿宋_GB2312"/>
                <w:sz w:val="24"/>
                <w:color w:val="0000FF"/>
              </w:rPr>
              <w:t>4.3给排水专业：</w:t>
            </w:r>
          </w:p>
          <w:p>
            <w:pPr>
              <w:pStyle w:val="null3"/>
              <w:ind w:firstLine="480"/>
              <w:jc w:val="both"/>
            </w:pPr>
            <w:r>
              <w:rPr>
                <w:rFonts w:ascii="仿宋_GB2312" w:hAnsi="仿宋_GB2312" w:cs="仿宋_GB2312" w:eastAsia="仿宋_GB2312"/>
                <w:sz w:val="24"/>
                <w:color w:val="0000FF"/>
              </w:rPr>
              <w:t>给水水源由场地西侧市政（复聪路）接入的一根</w:t>
            </w:r>
            <w:r>
              <w:rPr>
                <w:rFonts w:ascii="仿宋_GB2312" w:hAnsi="仿宋_GB2312" w:cs="仿宋_GB2312" w:eastAsia="仿宋_GB2312"/>
                <w:sz w:val="24"/>
                <w:color w:val="0000FF"/>
              </w:rPr>
              <w:t>DN100的市政给水管供给；排水采用雨污分流制，雨水采用外排形式，经室外雨水口收集后排入室外雨水管网，室外雨水管网末端设置雨水回收池，超过雨水径流要求的降雨溢流排入南侧市政（长兴路）雨水管网；生活污废水直接排入室外污水管网，污水经化粪池处理后排至校区现有污水检查井。消防用水由本工程消防水泵房、消防水池、屋顶消防水箱、增压稳压设备等提供，设室内消火栓系统、室外消火栓系统、自动喷水灭火系统、气体灭火系统，灭火器等。</w:t>
            </w:r>
          </w:p>
          <w:p>
            <w:pPr>
              <w:pStyle w:val="null3"/>
              <w:ind w:firstLine="480"/>
              <w:jc w:val="both"/>
            </w:pPr>
            <w:r>
              <w:rPr>
                <w:rFonts w:ascii="仿宋_GB2312" w:hAnsi="仿宋_GB2312" w:cs="仿宋_GB2312" w:eastAsia="仿宋_GB2312"/>
                <w:sz w:val="24"/>
                <w:color w:val="0000FF"/>
              </w:rPr>
              <w:t>4.4 暖通专业：</w:t>
            </w:r>
          </w:p>
          <w:p>
            <w:pPr>
              <w:pStyle w:val="null3"/>
              <w:ind w:firstLine="480"/>
              <w:jc w:val="both"/>
            </w:pPr>
            <w:r>
              <w:rPr>
                <w:rFonts w:ascii="仿宋_GB2312" w:hAnsi="仿宋_GB2312" w:cs="仿宋_GB2312" w:eastAsia="仿宋_GB2312"/>
                <w:sz w:val="24"/>
                <w:color w:val="0000FF"/>
              </w:rPr>
              <w:t>供暖热源由市政供热提供，由项目南侧市政热力管道新开口接入，一次侧市政热水供回水温度</w:t>
            </w:r>
            <w:r>
              <w:rPr>
                <w:rFonts w:ascii="仿宋_GB2312" w:hAnsi="仿宋_GB2312" w:cs="仿宋_GB2312" w:eastAsia="仿宋_GB2312"/>
                <w:sz w:val="24"/>
                <w:color w:val="0000FF"/>
              </w:rPr>
              <w:t>95/60°C。供暖系统采用垂直双管上供下回式系统，钢制散热器供暖；夏季主要功能房间均预留分体空调条件，采用分体空调进行制冷。设机械排风系统、机械防排烟系统等。</w:t>
            </w:r>
          </w:p>
          <w:p>
            <w:pPr>
              <w:pStyle w:val="null3"/>
              <w:ind w:firstLine="480"/>
              <w:jc w:val="both"/>
            </w:pPr>
            <w:r>
              <w:rPr>
                <w:rFonts w:ascii="仿宋_GB2312" w:hAnsi="仿宋_GB2312" w:cs="仿宋_GB2312" w:eastAsia="仿宋_GB2312"/>
                <w:sz w:val="24"/>
                <w:color w:val="0000FF"/>
              </w:rPr>
              <w:t>4.5电气专业：</w:t>
            </w:r>
          </w:p>
          <w:p>
            <w:pPr>
              <w:pStyle w:val="null3"/>
              <w:ind w:firstLine="480"/>
              <w:jc w:val="both"/>
            </w:pPr>
            <w:r>
              <w:rPr>
                <w:rFonts w:ascii="仿宋_GB2312" w:hAnsi="仿宋_GB2312" w:cs="仿宋_GB2312" w:eastAsia="仿宋_GB2312"/>
                <w:sz w:val="24"/>
                <w:color w:val="0000FF"/>
              </w:rPr>
              <w:t>供电电源由校区既有中心配电所直埋敷设一路</w:t>
            </w:r>
            <w:r>
              <w:rPr>
                <w:rFonts w:ascii="仿宋_GB2312" w:hAnsi="仿宋_GB2312" w:cs="仿宋_GB2312" w:eastAsia="仿宋_GB2312"/>
                <w:sz w:val="24"/>
                <w:color w:val="0000FF"/>
              </w:rPr>
              <w:t>10kV电源至地下一层变电所，配10/0.4kV 1250kVA变压器2台。备用电源采用柴油发电机400KW，设于地下一层。本项目设置10/0.4kV 变配电系统、电力配电系统、照明系统、防雷、接地系统及安全措施、电气火灾监测系统、消防电源监测系统、火灾自动报警及联动系统、防火门监测系统、余压监测系统，气体灭火系统，人防设计、电能监测与计量系统等。弱电系统包括综合布线系统、计算机网络、视频监测系统、广播系统、门禁系统、五方对讲系统，CO监测系统、智能照明系统、信息导引与发布系统及停车场管理系统等。所有照明灯具均为LED节能灯具，公共区域照明采用集中照明控制。</w:t>
            </w:r>
          </w:p>
          <w:p>
            <w:pPr>
              <w:pStyle w:val="null3"/>
              <w:ind w:firstLine="480"/>
              <w:jc w:val="both"/>
            </w:pPr>
            <w:r>
              <w:rPr>
                <w:rFonts w:ascii="仿宋_GB2312" w:hAnsi="仿宋_GB2312" w:cs="仿宋_GB2312" w:eastAsia="仿宋_GB2312"/>
                <w:sz w:val="24"/>
                <w:color w:val="0000FF"/>
              </w:rPr>
              <w:t>4.6室外总体设计:</w:t>
            </w:r>
          </w:p>
          <w:p>
            <w:pPr>
              <w:pStyle w:val="null3"/>
              <w:ind w:firstLine="480"/>
              <w:jc w:val="both"/>
            </w:pPr>
            <w:r>
              <w:rPr>
                <w:rFonts w:ascii="仿宋_GB2312" w:hAnsi="仿宋_GB2312" w:cs="仿宋_GB2312" w:eastAsia="仿宋_GB2312"/>
                <w:sz w:val="24"/>
                <w:color w:val="0000FF"/>
              </w:rPr>
              <w:t>包含雨水、污水排水系统、室外消火栓系统、给水及热力管网，强电及弱电线路（包括因本工程需要的中心配电室改造等），建筑周边道路及地坪，景观及绿化用地设计等全部内容。</w:t>
            </w:r>
          </w:p>
          <w:p>
            <w:pPr>
              <w:pStyle w:val="null3"/>
              <w:ind w:firstLine="480"/>
              <w:jc w:val="both"/>
            </w:pPr>
            <w:r>
              <w:rPr>
                <w:rFonts w:ascii="仿宋_GB2312" w:hAnsi="仿宋_GB2312" w:cs="仿宋_GB2312" w:eastAsia="仿宋_GB2312"/>
                <w:sz w:val="24"/>
                <w:color w:val="0000FF"/>
              </w:rPr>
              <w:t>本项目的规划路标高、室外标高、室内标高按学校总体规划设计，室内外标高的确定必须满足雨、污水室外直埋管的坡度和深度。</w:t>
            </w:r>
          </w:p>
          <w:p>
            <w:pPr>
              <w:pStyle w:val="null3"/>
              <w:ind w:firstLine="480"/>
              <w:jc w:val="both"/>
            </w:pPr>
            <w:r>
              <w:rPr>
                <w:rFonts w:ascii="仿宋_GB2312" w:hAnsi="仿宋_GB2312" w:cs="仿宋_GB2312" w:eastAsia="仿宋_GB2312"/>
                <w:sz w:val="24"/>
                <w:color w:val="0000FF"/>
              </w:rPr>
              <w:t>4.7绿建方案：达到绿色建筑二星级。本项目立足于西安工程大学的发展规划，本着项目建设实施的可行性、持久性、实效性原则</w:t>
            </w:r>
          </w:p>
          <w:p>
            <w:pPr>
              <w:pStyle w:val="null3"/>
              <w:ind w:firstLine="480"/>
              <w:jc w:val="both"/>
            </w:pPr>
            <w:r>
              <w:rPr>
                <w:rFonts w:ascii="仿宋_GB2312" w:hAnsi="仿宋_GB2312" w:cs="仿宋_GB2312" w:eastAsia="仿宋_GB2312"/>
                <w:sz w:val="24"/>
                <w:color w:val="0000FF"/>
              </w:rPr>
              <w:t>4.8单体施工图设计：建筑物单体施工图设计，包括景观、总图（含内部道路及与项目衔接的周边道路出入口、管网）、建筑、消防、结构、给排水、暖通、电气（强弱电）、海绵城市、装配式、绿色建筑、减隔震、抗震支架设计等。</w:t>
            </w:r>
          </w:p>
          <w:p>
            <w:pPr>
              <w:pStyle w:val="null3"/>
              <w:ind w:firstLine="480"/>
              <w:jc w:val="both"/>
            </w:pPr>
            <w:r>
              <w:rPr>
                <w:rFonts w:ascii="仿宋_GB2312" w:hAnsi="仿宋_GB2312" w:cs="仿宋_GB2312" w:eastAsia="仿宋_GB2312"/>
                <w:sz w:val="24"/>
                <w:color w:val="0000FF"/>
              </w:rPr>
              <w:t>4.9海绵城市设计及评审：按规范和海绵城市要求完成项目海绵城市方案设计及评审、施工图设计及评审工作，达到当地政府要求，通过评审。</w:t>
            </w:r>
          </w:p>
          <w:p>
            <w:pPr>
              <w:pStyle w:val="null3"/>
              <w:ind w:firstLine="480"/>
              <w:jc w:val="both"/>
            </w:pPr>
            <w:r>
              <w:rPr>
                <w:rFonts w:ascii="仿宋_GB2312" w:hAnsi="仿宋_GB2312" w:cs="仿宋_GB2312" w:eastAsia="仿宋_GB2312"/>
                <w:sz w:val="24"/>
                <w:color w:val="0000FF"/>
              </w:rPr>
              <w:t>4.10装配式设计及评审：按规范和装配式要求完成项目装配式设计及评审工作，达到当地政府要求，通过评审。</w:t>
            </w:r>
          </w:p>
          <w:p>
            <w:pPr>
              <w:pStyle w:val="null3"/>
              <w:ind w:firstLine="480"/>
              <w:jc w:val="both"/>
            </w:pPr>
            <w:r>
              <w:rPr>
                <w:rFonts w:ascii="仿宋_GB2312" w:hAnsi="仿宋_GB2312" w:cs="仿宋_GB2312" w:eastAsia="仿宋_GB2312"/>
                <w:sz w:val="24"/>
                <w:color w:val="0000FF"/>
              </w:rPr>
              <w:t>4.11绿建设计、评审及咨询：完成政府对绿建设计及中期核查的要求。完成绿建二星设计、申报、评审及验收的全过程绿建咨询工作，包括但不限于绿建 申报书编制、专家论证会组织及召开、中期核查报告编写及验收等工作。</w:t>
            </w:r>
          </w:p>
          <w:p>
            <w:pPr>
              <w:pStyle w:val="null3"/>
              <w:ind w:firstLine="480"/>
              <w:jc w:val="both"/>
            </w:pPr>
            <w:r>
              <w:rPr>
                <w:rFonts w:ascii="仿宋_GB2312" w:hAnsi="仿宋_GB2312" w:cs="仿宋_GB2312" w:eastAsia="仿宋_GB2312"/>
                <w:sz w:val="24"/>
                <w:color w:val="0000FF"/>
              </w:rPr>
              <w:t>4.12抗震设计：按抗震规范要求完成各专业的专项抗震设计。</w:t>
            </w:r>
          </w:p>
          <w:p>
            <w:pPr>
              <w:pStyle w:val="null3"/>
              <w:ind w:firstLine="480"/>
              <w:jc w:val="both"/>
            </w:pPr>
            <w:r>
              <w:rPr>
                <w:rFonts w:ascii="仿宋_GB2312" w:hAnsi="仿宋_GB2312" w:cs="仿宋_GB2312" w:eastAsia="仿宋_GB2312"/>
                <w:sz w:val="24"/>
                <w:color w:val="0000FF"/>
              </w:rPr>
              <w:t>4.13配合施工招标：根据总体项目施工招标标段划分情况，配合建设方完成图纸的拆分、施工招标资料等配合工作。</w:t>
            </w:r>
          </w:p>
          <w:p>
            <w:pPr>
              <w:pStyle w:val="null3"/>
              <w:ind w:firstLine="480"/>
              <w:jc w:val="both"/>
            </w:pPr>
            <w:r>
              <w:rPr>
                <w:rFonts w:ascii="仿宋_GB2312" w:hAnsi="仿宋_GB2312" w:cs="仿宋_GB2312" w:eastAsia="仿宋_GB2312"/>
                <w:sz w:val="24"/>
                <w:color w:val="0000FF"/>
              </w:rPr>
              <w:t>设计单位在施工图设计时应充分理解熟悉现行规范标准及建设单位需求等设计基础文件，当设计任务书技术要求与其它文件矛盾时应及时提出并与建设单位沟通。</w:t>
            </w:r>
          </w:p>
          <w:p>
            <w:pPr>
              <w:pStyle w:val="null3"/>
              <w:ind w:firstLine="482"/>
              <w:jc w:val="both"/>
            </w:pPr>
            <w:r>
              <w:rPr>
                <w:rFonts w:ascii="仿宋_GB2312" w:hAnsi="仿宋_GB2312" w:cs="仿宋_GB2312" w:eastAsia="仿宋_GB2312"/>
                <w:sz w:val="24"/>
                <w:b/>
                <w:color w:val="0000FF"/>
              </w:rPr>
              <w:t>（二）设计深度要求</w:t>
            </w:r>
          </w:p>
          <w:p>
            <w:pPr>
              <w:pStyle w:val="null3"/>
              <w:ind w:firstLine="480"/>
              <w:jc w:val="both"/>
            </w:pPr>
            <w:r>
              <w:rPr>
                <w:rFonts w:ascii="仿宋_GB2312" w:hAnsi="仿宋_GB2312" w:cs="仿宋_GB2312" w:eastAsia="仿宋_GB2312"/>
                <w:sz w:val="24"/>
                <w:color w:val="0000FF"/>
              </w:rPr>
              <w:t>本项目方案及初步设计已完成，本次建设规模及内容为施工图设计阶段全部设计内容（包括建筑、结构、给排水、电气、暖通、消防、人防、海绵城市、装配式、减隔震、室外工程、景观绿化、配套动力设施等）及通过施工图审查。协助办理建设手续，做好施工配合服务等具体内容详见本项目竞争性磋商文件。</w:t>
            </w:r>
          </w:p>
          <w:p>
            <w:pPr>
              <w:pStyle w:val="null3"/>
              <w:ind w:firstLine="480"/>
              <w:jc w:val="both"/>
            </w:pPr>
            <w:r>
              <w:rPr>
                <w:rFonts w:ascii="仿宋_GB2312" w:hAnsi="仿宋_GB2312" w:cs="仿宋_GB2312" w:eastAsia="仿宋_GB2312"/>
                <w:sz w:val="24"/>
                <w:color w:val="0000FF"/>
              </w:rPr>
              <w:t>设计成果应达到国家、地方的相关标准及行业有关安全、环保等强制性要求且完全响应委托人要求，确保设计成果通过施工图审查。</w:t>
            </w:r>
          </w:p>
          <w:p>
            <w:pPr>
              <w:pStyle w:val="null3"/>
              <w:ind w:firstLine="480"/>
              <w:jc w:val="both"/>
            </w:pPr>
            <w:r>
              <w:rPr>
                <w:rFonts w:ascii="仿宋_GB2312" w:hAnsi="仿宋_GB2312" w:cs="仿宋_GB2312" w:eastAsia="仿宋_GB2312"/>
                <w:sz w:val="24"/>
                <w:color w:val="0000FF"/>
              </w:rPr>
              <w:t>1.应达到现行版《建筑工程设计文件编制深度规定》的施工图设计深度。</w:t>
            </w:r>
          </w:p>
          <w:p>
            <w:pPr>
              <w:pStyle w:val="null3"/>
              <w:ind w:firstLine="480"/>
              <w:jc w:val="both"/>
            </w:pPr>
            <w:r>
              <w:rPr>
                <w:rFonts w:ascii="仿宋_GB2312" w:hAnsi="仿宋_GB2312" w:cs="仿宋_GB2312" w:eastAsia="仿宋_GB2312"/>
                <w:sz w:val="24"/>
                <w:color w:val="0000FF"/>
              </w:rPr>
              <w:t>2.上述各专业设计范围（一）中的施工图设计应达到指导施工和编制工程量清单的深度要求。</w:t>
            </w:r>
          </w:p>
          <w:p>
            <w:pPr>
              <w:pStyle w:val="null3"/>
              <w:ind w:firstLine="480"/>
              <w:jc w:val="both"/>
            </w:pPr>
            <w:r>
              <w:rPr>
                <w:rFonts w:ascii="仿宋_GB2312" w:hAnsi="仿宋_GB2312" w:cs="仿宋_GB2312" w:eastAsia="仿宋_GB2312"/>
                <w:sz w:val="24"/>
                <w:color w:val="0000FF"/>
              </w:rPr>
              <w:t>3.抗震设计图纸应能达到清单编制深度，应具有各专业的抗震设计施工图并可作为施工指导，不应只在设计说明简单描述。</w:t>
            </w:r>
          </w:p>
          <w:p>
            <w:pPr>
              <w:pStyle w:val="null3"/>
              <w:ind w:firstLine="480"/>
              <w:jc w:val="both"/>
            </w:pPr>
            <w:r>
              <w:rPr>
                <w:rFonts w:ascii="仿宋_GB2312" w:hAnsi="仿宋_GB2312" w:cs="仿宋_GB2312" w:eastAsia="仿宋_GB2312"/>
                <w:sz w:val="24"/>
                <w:color w:val="0000FF"/>
              </w:rPr>
              <w:t>4.各专业给出的图集做法、节点做法应针对项目具体应用部位对图集中的做法明确其唯一性，必要时应对图集中的做法进行修改使其具有唯一性。</w:t>
            </w:r>
          </w:p>
          <w:p>
            <w:pPr>
              <w:pStyle w:val="null3"/>
              <w:ind w:firstLine="482"/>
              <w:jc w:val="both"/>
            </w:pPr>
            <w:r>
              <w:rPr>
                <w:rFonts w:ascii="仿宋_GB2312" w:hAnsi="仿宋_GB2312" w:cs="仿宋_GB2312" w:eastAsia="仿宋_GB2312"/>
                <w:sz w:val="24"/>
                <w:b/>
                <w:color w:val="0000FF"/>
              </w:rPr>
              <w:t>（三）配合及验收要求</w:t>
            </w:r>
          </w:p>
          <w:p>
            <w:pPr>
              <w:pStyle w:val="null3"/>
              <w:ind w:firstLine="480"/>
              <w:jc w:val="both"/>
            </w:pPr>
            <w:r>
              <w:rPr>
                <w:rFonts w:ascii="仿宋_GB2312" w:hAnsi="仿宋_GB2312" w:cs="仿宋_GB2312" w:eastAsia="仿宋_GB2312"/>
                <w:sz w:val="24"/>
                <w:color w:val="0000FF"/>
              </w:rPr>
              <w:t>1.针对采购人的审核意见进行图纸修改及完善，保证其设计意图的最终实现。</w:t>
            </w:r>
          </w:p>
          <w:p>
            <w:pPr>
              <w:pStyle w:val="null3"/>
              <w:ind w:firstLine="480"/>
              <w:jc w:val="both"/>
            </w:pPr>
            <w:r>
              <w:rPr>
                <w:rFonts w:ascii="仿宋_GB2312" w:hAnsi="仿宋_GB2312" w:cs="仿宋_GB2312" w:eastAsia="仿宋_GB2312"/>
                <w:sz w:val="24"/>
                <w:color w:val="0000FF"/>
              </w:rPr>
              <w:t>2.实时根据政府报建要求，协助采购人进行施工图审查及报建验收工作，包括规划、绿建、节能、人防、防雷接地、环保、装配式、海绵城市、二次供水、消防专项等内容的线上线下工作，根据政府要求在本合同约定的范围内进行修改调整，直至审查和验收通过，并最终向采购人提交正式的施工图及其他设计文件。</w:t>
            </w:r>
          </w:p>
          <w:p>
            <w:pPr>
              <w:pStyle w:val="null3"/>
              <w:ind w:firstLine="480"/>
              <w:jc w:val="both"/>
            </w:pPr>
            <w:r>
              <w:rPr>
                <w:rFonts w:ascii="仿宋_GB2312" w:hAnsi="仿宋_GB2312" w:cs="仿宋_GB2312" w:eastAsia="仿宋_GB2312"/>
                <w:sz w:val="24"/>
                <w:color w:val="0000FF"/>
              </w:rPr>
              <w:t>3.协助采购人进行现场和线上的工程招标答疑，并及时准确的将招标答疑中的图纸问题及回复意见修改进施工图，确保招标图纸及其答疑回复与最终施工蓝图一致。</w:t>
            </w:r>
          </w:p>
          <w:p>
            <w:pPr>
              <w:pStyle w:val="null3"/>
              <w:ind w:firstLine="480"/>
              <w:jc w:val="both"/>
            </w:pPr>
            <w:r>
              <w:rPr>
                <w:rFonts w:ascii="仿宋_GB2312" w:hAnsi="仿宋_GB2312" w:cs="仿宋_GB2312" w:eastAsia="仿宋_GB2312"/>
                <w:sz w:val="24"/>
                <w:color w:val="0000FF"/>
              </w:rPr>
              <w:t>4.协助采购人进行工程量清单中的项目特征和工作内容的核对，参加采购人组织的核对及答疑会，使工程量清单的项目特征和工作内容与施工蓝图内容一致。</w:t>
            </w:r>
          </w:p>
          <w:p>
            <w:pPr>
              <w:pStyle w:val="null3"/>
              <w:ind w:firstLine="480"/>
              <w:jc w:val="both"/>
            </w:pPr>
            <w:r>
              <w:rPr>
                <w:rFonts w:ascii="仿宋_GB2312" w:hAnsi="仿宋_GB2312" w:cs="仿宋_GB2312" w:eastAsia="仿宋_GB2312"/>
                <w:sz w:val="24"/>
                <w:color w:val="0000FF"/>
              </w:rPr>
              <w:t>5.负责工程设计交底答疑，解答施工过程中施工承包人有关施工图及现场出现的问题，项目负责人及各专业设计负责人及时对施工中与设计有关的问题做出回应并签署意见，保证设计满足施工要求。</w:t>
            </w:r>
          </w:p>
          <w:p>
            <w:pPr>
              <w:pStyle w:val="null3"/>
              <w:ind w:firstLine="480"/>
              <w:jc w:val="both"/>
            </w:pPr>
            <w:r>
              <w:rPr>
                <w:rFonts w:ascii="仿宋_GB2312" w:hAnsi="仿宋_GB2312" w:cs="仿宋_GB2312" w:eastAsia="仿宋_GB2312"/>
                <w:sz w:val="24"/>
                <w:color w:val="0000FF"/>
              </w:rPr>
              <w:t>6.根据采购人要求，及时参加与设计有关的项例会、专题会，现场解决技术问题。</w:t>
            </w:r>
          </w:p>
          <w:p>
            <w:pPr>
              <w:pStyle w:val="null3"/>
              <w:ind w:firstLine="480"/>
              <w:jc w:val="both"/>
            </w:pPr>
            <w:r>
              <w:rPr>
                <w:rFonts w:ascii="仿宋_GB2312" w:hAnsi="仿宋_GB2312" w:cs="仿宋_GB2312" w:eastAsia="仿宋_GB2312"/>
                <w:sz w:val="24"/>
                <w:color w:val="0000FF"/>
              </w:rPr>
              <w:t>7.协助采购人处理工程洽商和设计变更，负责有关设计修改，及时办理相关手续。</w:t>
            </w:r>
          </w:p>
          <w:p>
            <w:pPr>
              <w:pStyle w:val="null3"/>
              <w:ind w:firstLine="480"/>
              <w:jc w:val="both"/>
            </w:pPr>
            <w:r>
              <w:rPr>
                <w:rFonts w:ascii="仿宋_GB2312" w:hAnsi="仿宋_GB2312" w:cs="仿宋_GB2312" w:eastAsia="仿宋_GB2312"/>
                <w:sz w:val="24"/>
                <w:color w:val="0000FF"/>
              </w:rPr>
              <w:t>8.相关供应商参与验收以及协助项目竣工验收工作，并及时完成验收相关资料及图纸的准备及修改工作。</w:t>
            </w:r>
          </w:p>
          <w:p>
            <w:pPr>
              <w:pStyle w:val="null3"/>
              <w:ind w:firstLine="480"/>
              <w:jc w:val="both"/>
            </w:pPr>
            <w:r>
              <w:rPr>
                <w:rFonts w:ascii="仿宋_GB2312" w:hAnsi="仿宋_GB2312" w:cs="仿宋_GB2312" w:eastAsia="仿宋_GB2312"/>
                <w:sz w:val="24"/>
                <w:color w:val="0000FF"/>
              </w:rPr>
              <w:t>9.提供产品选型、设备加工订货、建筑材料选择以及分包商考察等技术咨询服务。</w:t>
            </w:r>
          </w:p>
          <w:p>
            <w:pPr>
              <w:pStyle w:val="null3"/>
              <w:ind w:firstLine="480"/>
              <w:jc w:val="both"/>
            </w:pPr>
            <w:r>
              <w:rPr>
                <w:rFonts w:ascii="仿宋_GB2312" w:hAnsi="仿宋_GB2312" w:cs="仿宋_GB2312" w:eastAsia="仿宋_GB2312"/>
                <w:sz w:val="24"/>
                <w:color w:val="0000FF"/>
              </w:rPr>
              <w:t>10.应采购人要求协助审核各分包商的设计文件是否满足要求并签署意见、审核 盖章确认，以保证其与总体设计协调一致，并满足工程要求。</w:t>
            </w:r>
          </w:p>
          <w:p>
            <w:pPr>
              <w:pStyle w:val="null3"/>
              <w:ind w:firstLine="480"/>
              <w:jc w:val="both"/>
            </w:pPr>
            <w:r>
              <w:rPr>
                <w:rFonts w:ascii="仿宋_GB2312" w:hAnsi="仿宋_GB2312" w:cs="仿宋_GB2312" w:eastAsia="仿宋_GB2312"/>
                <w:sz w:val="24"/>
                <w:color w:val="0000FF"/>
              </w:rPr>
              <w:t>11.根据项目需要，对项目实施过程中分包商的抗震支架深化图、人防划线深化图、地下交通工程划线深化图、钢结构深化图、与工艺和设备有关的深化图等资料签署意见，审核并盖章确认。</w:t>
            </w:r>
          </w:p>
          <w:p>
            <w:pPr>
              <w:pStyle w:val="null3"/>
              <w:ind w:firstLine="480"/>
              <w:jc w:val="both"/>
            </w:pPr>
            <w:r>
              <w:rPr>
                <w:rFonts w:ascii="仿宋_GB2312" w:hAnsi="仿宋_GB2312" w:cs="仿宋_GB2312" w:eastAsia="仿宋_GB2312"/>
                <w:sz w:val="24"/>
                <w:color w:val="0000FF"/>
              </w:rPr>
              <w:t>12.提供图纸中涉及的相关工程做法，材料表。</w:t>
            </w:r>
          </w:p>
          <w:p>
            <w:pPr>
              <w:pStyle w:val="null3"/>
              <w:ind w:firstLine="480"/>
              <w:jc w:val="both"/>
            </w:pPr>
            <w:r>
              <w:rPr>
                <w:rFonts w:ascii="仿宋_GB2312" w:hAnsi="仿宋_GB2312" w:cs="仿宋_GB2312" w:eastAsia="仿宋_GB2312"/>
                <w:sz w:val="24"/>
                <w:color w:val="0000FF"/>
              </w:rPr>
              <w:t>13.在施工过程中，采购人提出的技术问题能够及时响应、予以解决；对需要到施工现场开展工作的，经采购人提出要求，12小时内至现场解决问题。在施工中定期（不少于1月1次），安排供应商员前往施工现场查看、解决技术问题。</w:t>
            </w:r>
          </w:p>
          <w:p>
            <w:pPr>
              <w:pStyle w:val="null3"/>
              <w:ind w:firstLine="482"/>
              <w:jc w:val="both"/>
            </w:pPr>
            <w:r>
              <w:rPr>
                <w:rFonts w:ascii="仿宋_GB2312" w:hAnsi="仿宋_GB2312" w:cs="仿宋_GB2312" w:eastAsia="仿宋_GB2312"/>
                <w:sz w:val="24"/>
                <w:b/>
                <w:color w:val="0000FF"/>
              </w:rPr>
              <w:t>（四）最终成果资料要求</w:t>
            </w:r>
          </w:p>
          <w:p>
            <w:pPr>
              <w:pStyle w:val="null3"/>
              <w:ind w:firstLine="480"/>
              <w:jc w:val="both"/>
            </w:pPr>
            <w:r>
              <w:rPr>
                <w:rFonts w:ascii="仿宋_GB2312" w:hAnsi="仿宋_GB2312" w:cs="仿宋_GB2312" w:eastAsia="仿宋_GB2312"/>
                <w:sz w:val="24"/>
                <w:color w:val="0000FF"/>
              </w:rPr>
              <w:t>1.施工图文件：普通施工图10套。</w:t>
            </w:r>
          </w:p>
          <w:p>
            <w:pPr>
              <w:pStyle w:val="null3"/>
              <w:ind w:firstLine="480"/>
              <w:jc w:val="both"/>
            </w:pPr>
            <w:r>
              <w:rPr>
                <w:rFonts w:ascii="仿宋_GB2312" w:hAnsi="仿宋_GB2312" w:cs="仿宋_GB2312" w:eastAsia="仿宋_GB2312"/>
                <w:sz w:val="24"/>
                <w:color w:val="0000FF"/>
              </w:rPr>
              <w:t>2.电子版施工图：非加密电子版文件1套（.dwg格式刻盘）、盖章的施工图蓝图扫描PDF版文件（套数根据验收及政府要求确定）。</w:t>
            </w:r>
          </w:p>
          <w:p>
            <w:pPr>
              <w:pStyle w:val="null3"/>
              <w:ind w:firstLine="480"/>
              <w:jc w:val="both"/>
            </w:pPr>
            <w:r>
              <w:rPr>
                <w:rFonts w:ascii="仿宋_GB2312" w:hAnsi="仿宋_GB2312" w:cs="仿宋_GB2312" w:eastAsia="仿宋_GB2312"/>
                <w:sz w:val="24"/>
                <w:color w:val="0000FF"/>
              </w:rPr>
              <w:t>3.供应商提供给采购人用于采购的最终电子图纸后图纸不能再有任何修改。供应商提供给采购人的用于招标的最终版电子图纸必须保证与提供给采购人的最终纸质施工蓝图一致，否则由此造成的损失由供应商承担。</w:t>
            </w:r>
          </w:p>
          <w:p>
            <w:pPr>
              <w:pStyle w:val="null3"/>
              <w:ind w:firstLine="480"/>
              <w:jc w:val="both"/>
            </w:pPr>
            <w:r>
              <w:rPr>
                <w:rFonts w:ascii="仿宋_GB2312" w:hAnsi="仿宋_GB2312" w:cs="仿宋_GB2312" w:eastAsia="仿宋_GB2312"/>
                <w:sz w:val="24"/>
                <w:color w:val="0000FF"/>
              </w:rPr>
              <w:t>4.图纸交付地点：采购人指定地点。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自合同签订之日起30个日历天内完成设计任务。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预付款，合同签订后支付合同总价（暂定）的20%，达到付款条件起22个工作日内，支付合同总金额的20.0%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进度款，成交供应商提交施工图设计文件并通过施工图审查后，采购人向成交供应商支付合同总价（暂定）的60%，达到付款条件起22个工作日内，支付合同总金额的60.0%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进度款，主体工程竣工验收并取得验收报告后，采购人向成交供应商支付合同总价的10%（暂定），达到付款条件起22个工作日内，支付合同总金额的10.0%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室外工程验收完成后，采购人向成交供应商支付合同约定剩余设计费。建筑面积以施工图审查后的建筑面积为准，最终设计费以施工图审查合格后的建筑面积*成交单价金额（包含本项目响应报价范围内所有的费用）据实结算，最终结算总金额不超过本项目采购预算金额，采购人付款前，成交供应商应向采购人开具合法等额的增值税发票。成交供应商逾期未提供发票或提供发票不符合采购人要求的，采购人有权顺延付款时间且不承担任何违约责任，达到付款条件起22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预算为人民币陆拾贰万元整（￥620000.00元），单平方米设计费最高限价为人民币壹拾柒元柒角贰分/平方米（17.72元/㎡），本项目以34981.18㎡作为暂定建筑面积，评审时以响应总价（暂定）金额进行评审。各供应商在投标时综合考虑，自主填报设计费总报价（暂定）和单平方米设计费金额，但不得超出本项目的上述规定的最高限价金额，否则将按照无效磋商处理。 2.供应商所填报的响应报价（总价及单价）应是完成本项目设计服务范围内所需服务的全部费用。本项目方案及初步设计已完成，本次建设规模及内容为施工图设计阶段全部设计内容（包括建筑、结构、给排水、电气、暖通、消防、人防、海绵城市、装配式、减隔震、室外工程、景观绿化、配套动力设施等）及通过施工图审查。协助办理建设手续，做好施工配合服务等所需的全部费用，供应商在填报响应报价时应综合考虑在内，如未考虑的，视为已包含在本次响应报价中，采购人不再另行支付。 3.供应商需要在线提交所有通过电子化交易平台实施的政府采购项目的响应文件，同时，线下提交纸质响应文件正本壹份、副本壹份，纸质响应文件正副本分别胶装，标明供应商名称密封递交，递交截止时间同在线递交电子响应文件截止时间一致，线下递交文件地点：开瑞项目管理有限公司（陕西省西安市莲湖区高新二路1号招商银行大厦19层，联系人：刘如拉、代光艳，联系电话：15229797656、17302920968）,若电子响应文件与纸质响应文件不一致的，以电子响应文件为准。 4.响应保证金注意事项 （1）响应保证金须从供应商户名支付，如从个人户名或非供应商户名支付，将被拒绝，视为自动放弃投标权利（该个人是供应商的情形除外）；供应商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（2）响应保证金的提交金额、时间不满足采购文件要求的，响应无效。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同时拟派项目负责人未被列入“信用中国”网站的“重点领域严重失信主体名单”中的“安全生产严重失信主体名单（自然人）”；未被“中国执行信息公开网”列入失信被执行人。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供应商须具有建设行政主管部门颁发的【工程设计综合甲级资质】或【建筑行业工程设计甲级资质】或【建筑行业（建筑工程）专业设计甲级资质】，并在人员、设备、资金等方面具备相应的能力；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拟派项目设计负责人须具备【一级注册建筑师】执业资格，并在本单位登记注册；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供应商基本信息及拟派项目负责人信息须在“陕西省住房和城乡建设厅官网”可查询，如供应商为外省进陕企业，还须同时提供“陕西省住房和城乡建设厅”官网企业库外省进陕施工企业信息首页截图。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按竞争性磋商文件要求签署、盖章的</w:t>
            </w:r>
          </w:p>
        </w:tc>
        <w:tc>
          <w:tcPr>
            <w:tcW w:type="dxa" w:w="1661"/>
          </w:tcPr>
          <w:p>
            <w:pPr>
              <w:pStyle w:val="null3"/>
            </w:pPr>
            <w:r>
              <w:rPr>
                <w:rFonts w:ascii="仿宋_GB2312" w:hAnsi="仿宋_GB2312" w:cs="仿宋_GB2312" w:eastAsia="仿宋_GB2312"/>
              </w:rPr>
              <w:t>设计服务承诺及后续工作配合措施方案.docx 分项报价清单.docx 服务开展的组织措施及制度.docx 中小企业声明函 商务应答表 企业业绩.docx 服务内容及服务要求应答表 报价表 整体服务的思路及要点.docx 项目部人员构成人员.docx 响应文件封面 拟派项目设计负责人.docx 设计服务开展的流程及规范.docx 设计服务质量的保障措施.docx 增值服务.docx 设计服务方案.docx 残疾人福利性单位声明函 法定代表人证明书及授权书.docx 标的清单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设计服务承诺及后续工作配合措施方案.docx 分项报价清单.docx 服务开展的组织措施及制度.docx 中小企业声明函 商务应答表 企业业绩.docx 服务内容及服务要求应答表 报价表 整体服务的思路及要点.docx 项目部人员构成人员.docx 响应文件封面 拟派项目设计负责人.docx 设计服务开展的流程及规范.docx 设计服务质量的保障措施.docx 增值服务.docx 设计服务方案.docx 残疾人福利性单位声明函 法定代表人证明书及授权书.docx 标的清单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设计服务承诺及后续工作配合措施方案.docx 分项报价清单.docx 服务开展的组织措施及制度.docx 中小企业声明函 商务应答表 企业业绩.docx 服务内容及服务要求应答表 报价表 整体服务的思路及要点.docx 项目部人员构成人员.docx 响应文件封面 拟派项目设计负责人.docx 设计服务开展的流程及规范.docx 设计服务质量的保障措施.docx 增值服务.docx 设计服务方案.docx 残疾人福利性单位声明函 法定代表人证明书及授权书.docx 标的清单 资格证明材料.docx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供应商提供自2023年01月01日至本项目响应文件递交截止时间前的类似房屋建筑工程设计业绩证明材料，每提供1项得3分，最多得15分。未提供的或所提供资料不符合要求的不得分。 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拟派项目设计负责人1</w:t>
            </w:r>
          </w:p>
        </w:tc>
        <w:tc>
          <w:tcPr>
            <w:tcW w:type="dxa" w:w="2492"/>
          </w:tcPr>
          <w:p>
            <w:pPr>
              <w:pStyle w:val="null3"/>
            </w:pPr>
            <w:r>
              <w:rPr>
                <w:rFonts w:ascii="仿宋_GB2312" w:hAnsi="仿宋_GB2312" w:cs="仿宋_GB2312" w:eastAsia="仿宋_GB2312"/>
              </w:rPr>
              <w:t>1.拟派项目设计负责人职称 拟派项目设计负责人具备高级专业技术职称的得4分，中级职称的得2分，其余情况不得分。 评审依据：评审时以供应商提供的拟派项目设计负责人最高职称证书的扫描件或复印件为准，提供多个职称证明材料的，以最高职称材料为准，未提供的不得分。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拟派项目设计负责人.docx</w:t>
            </w:r>
          </w:p>
        </w:tc>
      </w:tr>
      <w:tr>
        <w:tc>
          <w:tcPr>
            <w:tcW w:type="dxa" w:w="831"/>
            <w:vMerge/>
          </w:tcPr>
          <w:p/>
        </w:tc>
        <w:tc>
          <w:tcPr>
            <w:tcW w:type="dxa" w:w="1661"/>
          </w:tcPr>
          <w:p>
            <w:pPr>
              <w:pStyle w:val="null3"/>
            </w:pPr>
            <w:r>
              <w:rPr>
                <w:rFonts w:ascii="仿宋_GB2312" w:hAnsi="仿宋_GB2312" w:cs="仿宋_GB2312" w:eastAsia="仿宋_GB2312"/>
              </w:rPr>
              <w:t>拟派项目设计负责人2</w:t>
            </w:r>
          </w:p>
        </w:tc>
        <w:tc>
          <w:tcPr>
            <w:tcW w:type="dxa" w:w="2492"/>
          </w:tcPr>
          <w:p>
            <w:pPr>
              <w:pStyle w:val="null3"/>
            </w:pPr>
            <w:r>
              <w:rPr>
                <w:rFonts w:ascii="仿宋_GB2312" w:hAnsi="仿宋_GB2312" w:cs="仿宋_GB2312" w:eastAsia="仿宋_GB2312"/>
              </w:rPr>
              <w:t>2.拟派项目设计负责人业绩 供应商提供自2023年01月01日至本项目响应文件递交截止时间前类似房屋建筑工程设计业绩证明材料，每提供1项得5分，最多得5分。未提供的不得分。 评审依据：提供合同的复印件或扫描件，时间以合同签订时间为准。上述证明文件中须体现项目设计负责人的姓名。（拟派设计项目负责人业绩与企业业绩可重复计分）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拟派项目设计负责人.docx</w:t>
            </w:r>
          </w:p>
        </w:tc>
      </w:tr>
      <w:tr>
        <w:tc>
          <w:tcPr>
            <w:tcW w:type="dxa" w:w="831"/>
            <w:vMerge/>
          </w:tcPr>
          <w:p/>
        </w:tc>
        <w:tc>
          <w:tcPr>
            <w:tcW w:type="dxa" w:w="1661"/>
          </w:tcPr>
          <w:p>
            <w:pPr>
              <w:pStyle w:val="null3"/>
            </w:pPr>
            <w:r>
              <w:rPr>
                <w:rFonts w:ascii="仿宋_GB2312" w:hAnsi="仿宋_GB2312" w:cs="仿宋_GB2312" w:eastAsia="仿宋_GB2312"/>
              </w:rPr>
              <w:t>项目部人员构成人员1</w:t>
            </w:r>
          </w:p>
        </w:tc>
        <w:tc>
          <w:tcPr>
            <w:tcW w:type="dxa" w:w="2492"/>
          </w:tcPr>
          <w:p>
            <w:pPr>
              <w:pStyle w:val="null3"/>
            </w:pPr>
            <w:r>
              <w:rPr>
                <w:rFonts w:ascii="仿宋_GB2312" w:hAnsi="仿宋_GB2312" w:cs="仿宋_GB2312" w:eastAsia="仿宋_GB2312"/>
              </w:rPr>
              <w:t>1.满足以下全部要求专业人员的得10分，提供不全或者未提供不得分。除项目设计负责人外，至少还应配备注册结构工程师1人、注册建筑师1人、注册给排水工程师1人、注册暖通工程师1人、注册电气工程师1人、造价工程师1人、景观工程相关专业技术人员1人。 评审依据：注册类应提供身份证及相应专业注册证书，其余应提供身份证及相应职称证书或毕业证书或其它相关证明材料，评审时以供应商提供的证书复印件或扫描件为准，未提供以上资料或提供不全的相应人员及资料不予认定和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项目部人员构成人员.docx</w:t>
            </w:r>
          </w:p>
        </w:tc>
      </w:tr>
      <w:tr>
        <w:tc>
          <w:tcPr>
            <w:tcW w:type="dxa" w:w="831"/>
            <w:vMerge/>
          </w:tcPr>
          <w:p/>
        </w:tc>
        <w:tc>
          <w:tcPr>
            <w:tcW w:type="dxa" w:w="1661"/>
          </w:tcPr>
          <w:p>
            <w:pPr>
              <w:pStyle w:val="null3"/>
            </w:pPr>
            <w:r>
              <w:rPr>
                <w:rFonts w:ascii="仿宋_GB2312" w:hAnsi="仿宋_GB2312" w:cs="仿宋_GB2312" w:eastAsia="仿宋_GB2312"/>
              </w:rPr>
              <w:t>项目部人员构成人员2</w:t>
            </w:r>
          </w:p>
        </w:tc>
        <w:tc>
          <w:tcPr>
            <w:tcW w:type="dxa" w:w="2492"/>
          </w:tcPr>
          <w:p>
            <w:pPr>
              <w:pStyle w:val="null3"/>
            </w:pPr>
            <w:r>
              <w:rPr>
                <w:rFonts w:ascii="仿宋_GB2312" w:hAnsi="仿宋_GB2312" w:cs="仿宋_GB2312" w:eastAsia="仿宋_GB2312"/>
              </w:rPr>
              <w:t>2.在满足上述基本人员配备的基础上每增加1位注册人员加1分，最多加4分； 评审依据：提供身份证和相应专业注册证书，评审时以供应商提供的证书复印件或扫描件为准，未提供以上资料的相应人员不予认定和赋分。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项目部人员构成人员.docx</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供应商提供的整体服务的思路及要点需包含①核心需求把握度；②重难点深度分析及需求适配针对性，共2项内容，每项满分3分，总分6分。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设计服务方案</w:t>
            </w:r>
          </w:p>
        </w:tc>
        <w:tc>
          <w:tcPr>
            <w:tcW w:type="dxa" w:w="2492"/>
          </w:tcPr>
          <w:p>
            <w:pPr>
              <w:pStyle w:val="null3"/>
            </w:pPr>
            <w:r>
              <w:rPr>
                <w:rFonts w:ascii="仿宋_GB2312" w:hAnsi="仿宋_GB2312" w:cs="仿宋_GB2312" w:eastAsia="仿宋_GB2312"/>
              </w:rPr>
              <w:t>供应商提供的设计服务方案需包含①总体设计方案；②各个专业设计功能方案，共2项内容，每项满分3分，总分6分。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设计服务方案.docx</w:t>
            </w:r>
          </w:p>
        </w:tc>
      </w:tr>
      <w:tr>
        <w:tc>
          <w:tcPr>
            <w:tcW w:type="dxa" w:w="831"/>
            <w:vMerge/>
          </w:tcPr>
          <w:p/>
        </w:tc>
        <w:tc>
          <w:tcPr>
            <w:tcW w:type="dxa" w:w="1661"/>
          </w:tcPr>
          <w:p>
            <w:pPr>
              <w:pStyle w:val="null3"/>
            </w:pPr>
            <w:r>
              <w:rPr>
                <w:rFonts w:ascii="仿宋_GB2312" w:hAnsi="仿宋_GB2312" w:cs="仿宋_GB2312" w:eastAsia="仿宋_GB2312"/>
              </w:rPr>
              <w:t>设计服务开展的流程及规范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供应商提供的服务开展的流程及规范方案需包含①服务流程及实施及各环节衔接进度保障措施；②内外部沟通机制，共2项内容，每项满分3分，总分6分。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设计服务开展的流程及规范.docx</w:t>
            </w:r>
          </w:p>
        </w:tc>
      </w:tr>
      <w:tr>
        <w:tc>
          <w:tcPr>
            <w:tcW w:type="dxa" w:w="831"/>
            <w:vMerge/>
          </w:tcPr>
          <w:p/>
        </w:tc>
        <w:tc>
          <w:tcPr>
            <w:tcW w:type="dxa" w:w="1661"/>
          </w:tcPr>
          <w:p>
            <w:pPr>
              <w:pStyle w:val="null3"/>
            </w:pPr>
            <w:r>
              <w:rPr>
                <w:rFonts w:ascii="仿宋_GB2312" w:hAnsi="仿宋_GB2312" w:cs="仿宋_GB2312" w:eastAsia="仿宋_GB2312"/>
              </w:rPr>
              <w:t>设计服务承诺及后续工作配合措施方案</w:t>
            </w:r>
          </w:p>
        </w:tc>
        <w:tc>
          <w:tcPr>
            <w:tcW w:type="dxa" w:w="2492"/>
          </w:tcPr>
          <w:p>
            <w:pPr>
              <w:pStyle w:val="null3"/>
            </w:pPr>
            <w:r>
              <w:rPr>
                <w:rFonts w:ascii="仿宋_GB2312" w:hAnsi="仿宋_GB2312" w:cs="仿宋_GB2312" w:eastAsia="仿宋_GB2312"/>
              </w:rPr>
              <w:t>供应商提供的设计服务承诺及后续工作配合措施方案需包含①修改深化服务承诺；②技术交底与配合方案；③技术咨询与验收配合方案，共3项内容，每项满分3分，总分9分。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设计服务承诺及后续工作配合措施方案.docx</w:t>
            </w:r>
          </w:p>
        </w:tc>
      </w:tr>
      <w:tr>
        <w:tc>
          <w:tcPr>
            <w:tcW w:type="dxa" w:w="831"/>
            <w:vMerge/>
          </w:tcPr>
          <w:p/>
        </w:tc>
        <w:tc>
          <w:tcPr>
            <w:tcW w:type="dxa" w:w="1661"/>
          </w:tcPr>
          <w:p>
            <w:pPr>
              <w:pStyle w:val="null3"/>
            </w:pPr>
            <w:r>
              <w:rPr>
                <w:rFonts w:ascii="仿宋_GB2312" w:hAnsi="仿宋_GB2312" w:cs="仿宋_GB2312" w:eastAsia="仿宋_GB2312"/>
              </w:rPr>
              <w:t>设计服务质量的保障措施</w:t>
            </w:r>
          </w:p>
        </w:tc>
        <w:tc>
          <w:tcPr>
            <w:tcW w:type="dxa" w:w="2492"/>
          </w:tcPr>
          <w:p>
            <w:pPr>
              <w:pStyle w:val="null3"/>
            </w:pPr>
            <w:r>
              <w:rPr>
                <w:rFonts w:ascii="仿宋_GB2312" w:hAnsi="仿宋_GB2312" w:cs="仿宋_GB2312" w:eastAsia="仿宋_GB2312"/>
              </w:rPr>
              <w:t>供应商提供的设计服务质量保障措施方案需包含①核心环节质量管控措施；②整改机制；③后期设计优化配合服务体系，共3项内容，每项满分3分，总分9分。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供应商提供的服务开展的组织措施及制度方案需包含：组织机构方案及有关管理制度及应急保障能力，总分3分。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磋商报价采用低价优先法计算，即满足磋商文件要求且最后磋商报价最低的报价为评审基准价，其价格分为满分。其他供应商的价格分统一按照下列公式计算：磋商报价得分=（评审基准价/最后磋商报价）×20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详见附件：拟派项目设计负责人.docx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详见附件：设计服务承诺及后续工作配合措施方案.docx</w:t>
      </w:r>
    </w:p>
    <w:p>
      <w:pPr>
        <w:pStyle w:val="null3"/>
        <w:ind w:firstLine="960"/>
      </w:pPr>
      <w:r>
        <w:rPr>
          <w:rFonts w:ascii="仿宋_GB2312" w:hAnsi="仿宋_GB2312" w:cs="仿宋_GB2312" w:eastAsia="仿宋_GB2312"/>
        </w:rPr>
        <w:t>详见附件：设计服务方案.docx</w:t>
      </w:r>
    </w:p>
    <w:p>
      <w:pPr>
        <w:pStyle w:val="null3"/>
        <w:ind w:firstLine="960"/>
      </w:pPr>
      <w:r>
        <w:rPr>
          <w:rFonts w:ascii="仿宋_GB2312" w:hAnsi="仿宋_GB2312" w:cs="仿宋_GB2312" w:eastAsia="仿宋_GB2312"/>
        </w:rPr>
        <w:t>详见附件：设计服务开展的流程及规范.docx</w:t>
      </w:r>
    </w:p>
    <w:p>
      <w:pPr>
        <w:pStyle w:val="null3"/>
        <w:ind w:firstLine="960"/>
      </w:pPr>
      <w:r>
        <w:rPr>
          <w:rFonts w:ascii="仿宋_GB2312" w:hAnsi="仿宋_GB2312" w:cs="仿宋_GB2312" w:eastAsia="仿宋_GB2312"/>
        </w:rPr>
        <w:t>详见附件：设计服务质量的保障措施.docx</w:t>
      </w:r>
    </w:p>
    <w:p>
      <w:pPr>
        <w:pStyle w:val="null3"/>
        <w:ind w:firstLine="960"/>
      </w:pPr>
      <w:r>
        <w:rPr>
          <w:rFonts w:ascii="仿宋_GB2312" w:hAnsi="仿宋_GB2312" w:cs="仿宋_GB2312" w:eastAsia="仿宋_GB2312"/>
        </w:rPr>
        <w:t>详见附件：项目部人员构成人员.docx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