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7865F62">
      <w:pPr>
        <w:pStyle w:val="4"/>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bCs/>
          <w:color w:val="000000" w:themeColor="text1"/>
          <w:sz w:val="36"/>
          <w:szCs w:val="36"/>
          <w:lang w:val="en-US" w:eastAsia="zh-CN"/>
          <w14:textFill>
            <w14:solidFill>
              <w14:schemeClr w14:val="tx1"/>
            </w14:solidFill>
          </w14:textFill>
        </w:rPr>
        <w:t>采购需求</w:t>
      </w:r>
    </w:p>
    <w:p w14:paraId="47FF740B">
      <w:pPr>
        <w:pStyle w:val="4"/>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1.项目概况及总体要求</w:t>
      </w:r>
    </w:p>
    <w:p w14:paraId="7575F06B">
      <w:pPr>
        <w:pStyle w:val="4"/>
        <w:keepNext w:val="0"/>
        <w:keepLines w:val="0"/>
        <w:pageBreakBefore w:val="0"/>
        <w:widowControl/>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根据相关质量标准，对陕西省行政执法和执法监督一体化平台（行政执法和执法监督一体化工作台、行政执法子系统、行政执法监督子系统、文件审查管理子系统、要素管理子系统、行政执法和执法监督数据分析监测子系统）开展商用密码应用安全性评估，通过测评发现系统存在的安全隐患和风险，提出可行性建议，并出具《商用密码应用安全性评估报告》。</w:t>
      </w:r>
    </w:p>
    <w:p w14:paraId="2295C580">
      <w:pPr>
        <w:pStyle w:val="4"/>
        <w:keepNext w:val="0"/>
        <w:keepLines w:val="0"/>
        <w:pageBreakBefore w:val="0"/>
        <w:widowControl/>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（1）根据评估对象实际情况以及系统使用的密码产品情况，评估密码保障是否安全有效；</w:t>
      </w:r>
    </w:p>
    <w:p w14:paraId="59C73D9E">
      <w:pPr>
        <w:pStyle w:val="4"/>
        <w:keepNext w:val="0"/>
        <w:keepLines w:val="0"/>
        <w:pageBreakBefore w:val="0"/>
        <w:widowControl/>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（2）通过测评发现系统存在的安全隐患和风险，提出可行性建议；</w:t>
      </w:r>
    </w:p>
    <w:p w14:paraId="0B823DC9">
      <w:pPr>
        <w:pStyle w:val="4"/>
        <w:keepNext w:val="0"/>
        <w:keepLines w:val="0"/>
        <w:pageBreakBefore w:val="0"/>
        <w:widowControl/>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（3）针对评估对象编制密码应用安全性评估报告，报告按照国家密码管理局要求包含的内容编制或参考模板编制，协助用户认清风险，查找漏洞，找出差距，提出有针对性</w:t>
      </w:r>
      <w:r>
        <w:rPr>
          <w:rFonts w:hint="eastAsia" w:ascii="宋体" w:hAnsi="宋体" w:eastAsia="宋体" w:cs="宋体"/>
          <w:color w:val="000000" w:themeColor="text1"/>
          <w:sz w:val="21"/>
          <w:szCs w:val="21"/>
          <w:lang w:eastAsia="zh-CN"/>
          <w14:textFill>
            <w14:solidFill>
              <w14:schemeClr w14:val="tx1"/>
            </w14:solidFill>
          </w14:textFill>
        </w:rPr>
        <w:t>地</w:t>
      </w:r>
      <w:r>
        <w:rPr>
          <w:rFonts w:hint="eastAsia" w:ascii="宋体" w:hAnsi="宋体" w:eastAsia="宋体" w:cs="宋体"/>
          <w:color w:val="000000" w:themeColor="text1"/>
          <w:sz w:val="21"/>
          <w:szCs w:val="21"/>
          <w14:textFill>
            <w14:solidFill>
              <w14:schemeClr w14:val="tx1"/>
            </w14:solidFill>
          </w14:textFill>
        </w:rPr>
        <w:t>加</w:t>
      </w:r>
      <w:r>
        <w:rPr>
          <w:rFonts w:hint="eastAsia" w:ascii="宋体" w:hAnsi="宋体" w:eastAsia="宋体" w:cs="宋体"/>
          <w:color w:val="000000" w:themeColor="text1"/>
          <w:sz w:val="21"/>
          <w:szCs w:val="21"/>
          <w:lang w:eastAsia="zh-CN"/>
          <w14:textFill>
            <w14:solidFill>
              <w14:schemeClr w14:val="tx1"/>
            </w14:solidFill>
          </w14:textFill>
        </w:rPr>
        <w:t>强和</w:t>
      </w:r>
      <w:r>
        <w:rPr>
          <w:rFonts w:hint="eastAsia" w:ascii="宋体" w:hAnsi="宋体" w:eastAsia="宋体" w:cs="宋体"/>
          <w:color w:val="000000" w:themeColor="text1"/>
          <w:sz w:val="21"/>
          <w:szCs w:val="21"/>
          <w14:textFill>
            <w14:solidFill>
              <w14:schemeClr w14:val="tx1"/>
            </w14:solidFill>
          </w14:textFill>
        </w:rPr>
        <w:t>完善密码安全管理和防护建议。</w:t>
      </w:r>
    </w:p>
    <w:p w14:paraId="67675992">
      <w:pPr>
        <w:pStyle w:val="4"/>
        <w:keepNext w:val="0"/>
        <w:keepLines w:val="0"/>
        <w:pageBreakBefore w:val="0"/>
        <w:widowControl/>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4）针对密码应用要求和密码评估提供相关咨询，从国家法规、国家密码标准、密码行业标准、密码要求规范等方面对被评估单位进行培训，包括密码应用要求、密码测评要求等，明确密码应用安全性评估的目的和意义。</w:t>
      </w:r>
    </w:p>
    <w:p w14:paraId="0BD61A81">
      <w:pPr>
        <w:pStyle w:val="4"/>
        <w:keepNext w:val="0"/>
        <w:keepLines w:val="0"/>
        <w:pageBreakBefore w:val="0"/>
        <w:widowControl/>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（5）密评报告提交至当地密码管理部门备案，并取得备案回执。</w:t>
      </w:r>
    </w:p>
    <w:p w14:paraId="006F288C">
      <w:pPr>
        <w:pStyle w:val="4"/>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2.密评依据标准</w:t>
      </w:r>
    </w:p>
    <w:p w14:paraId="23656BEC">
      <w:pPr>
        <w:pStyle w:val="4"/>
        <w:keepNext w:val="0"/>
        <w:keepLines w:val="0"/>
        <w:pageBreakBefore w:val="0"/>
        <w:widowControl/>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《GB/T 39786-2021 信息安全技术 信息系统密码应用基本要求》</w:t>
      </w:r>
    </w:p>
    <w:p w14:paraId="629A50C1">
      <w:pPr>
        <w:pStyle w:val="4"/>
        <w:keepNext w:val="0"/>
        <w:keepLines w:val="0"/>
        <w:pageBreakBefore w:val="0"/>
        <w:widowControl/>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《信息系统密码应用测评要求》</w:t>
      </w:r>
      <w:bookmarkStart w:id="0" w:name="_GoBack"/>
      <w:bookmarkEnd w:id="0"/>
    </w:p>
    <w:p w14:paraId="2EBE79B9">
      <w:pPr>
        <w:pStyle w:val="4"/>
        <w:keepNext w:val="0"/>
        <w:keepLines w:val="0"/>
        <w:pageBreakBefore w:val="0"/>
        <w:widowControl/>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《信息系统密码应用测评过程指南》</w:t>
      </w:r>
    </w:p>
    <w:p w14:paraId="20FC084E">
      <w:pPr>
        <w:pStyle w:val="4"/>
        <w:keepNext w:val="0"/>
        <w:keepLines w:val="0"/>
        <w:pageBreakBefore w:val="0"/>
        <w:widowControl/>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《信息系统密码应用高风险判定指引》</w:t>
      </w:r>
    </w:p>
    <w:p w14:paraId="5E198344">
      <w:pPr>
        <w:pStyle w:val="4"/>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3.工作内容</w:t>
      </w:r>
    </w:p>
    <w:p w14:paraId="1053EEA8">
      <w:pPr>
        <w:pStyle w:val="4"/>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3.1 总体测评</w:t>
      </w:r>
    </w:p>
    <w:p w14:paraId="7A02693C">
      <w:pPr>
        <w:pStyle w:val="4"/>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核查信息系统中使用的密码算法、密码技术、密码产品和密码服务是否满足相关标准规范要求。</w:t>
      </w:r>
    </w:p>
    <w:p w14:paraId="69B2298F">
      <w:pPr>
        <w:pStyle w:val="4"/>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3.2 密码应用技术测评</w:t>
      </w:r>
    </w:p>
    <w:p w14:paraId="5A4F97CD">
      <w:pPr>
        <w:pStyle w:val="4"/>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包括物理和环境安全测评、网络和通信安全测评、设备和计算安全测评、应用和数据安全测评，验证信息系统的密码应用是否达到相应安全等级的安全保护能力、是否满足相应安全等级的保护要求。</w:t>
      </w:r>
    </w:p>
    <w:p w14:paraId="0368A4C1">
      <w:pPr>
        <w:pStyle w:val="4"/>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3.3 密钥管理测评</w:t>
      </w:r>
    </w:p>
    <w:p w14:paraId="28562FFF">
      <w:pPr>
        <w:pStyle w:val="4"/>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测评密钥管理各个环节，包括对密钥生成、存储、分发、导入与导出、使用、备份与恢复、归档、销毁等环节进行管理和策略制定的全过程是否符合要求。</w:t>
      </w:r>
    </w:p>
    <w:p w14:paraId="65B08F77">
      <w:pPr>
        <w:pStyle w:val="4"/>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3.4 密码应用管理测评</w:t>
      </w:r>
    </w:p>
    <w:p w14:paraId="56E288E1">
      <w:pPr>
        <w:pStyle w:val="4"/>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从制度、人员、实施和应急四个方面进行安全管理测评，验证信息系统安全管理机制是否完善，是否能够确保密码技术被合规、正确、有效地实施。</w:t>
      </w:r>
    </w:p>
    <w:p w14:paraId="2D20B811">
      <w:pPr>
        <w:pStyle w:val="4"/>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4.</w:t>
      </w:r>
      <w:r>
        <w:rPr>
          <w:rFonts w:hint="eastAsia" w:ascii="宋体" w:hAnsi="宋体" w:eastAsia="宋体" w:cs="宋体"/>
          <w:color w:val="000000" w:themeColor="text1"/>
          <w:sz w:val="21"/>
          <w:szCs w:val="21"/>
          <w14:textFill>
            <w14:solidFill>
              <w14:schemeClr w14:val="tx1"/>
            </w14:solidFill>
          </w14:textFill>
        </w:rPr>
        <w:t>项目实施</w:t>
      </w:r>
    </w:p>
    <w:p w14:paraId="2248A124">
      <w:pPr>
        <w:pStyle w:val="4"/>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4</w:t>
      </w:r>
      <w:r>
        <w:rPr>
          <w:rFonts w:hint="eastAsia" w:ascii="宋体" w:hAnsi="宋体" w:eastAsia="宋体" w:cs="宋体"/>
          <w:color w:val="000000" w:themeColor="text1"/>
          <w:sz w:val="21"/>
          <w:szCs w:val="21"/>
          <w14:textFill>
            <w14:solidFill>
              <w14:schemeClr w14:val="tx1"/>
            </w14:solidFill>
          </w14:textFill>
        </w:rPr>
        <w:t>.1服务流程要求</w:t>
      </w:r>
    </w:p>
    <w:p w14:paraId="2C01452F">
      <w:pPr>
        <w:pStyle w:val="4"/>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密码应用安全性评估过程分为四个基本测评活动：测评准备活动、方案编制活动、现场测评活动、分析与报告编制活动。测评双方之间的沟通与访谈贯穿整个密码应用安全性评估过程。</w:t>
      </w:r>
    </w:p>
    <w:p w14:paraId="3FE75F1B">
      <w:pPr>
        <w:pStyle w:val="4"/>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4</w:t>
      </w:r>
      <w:r>
        <w:rPr>
          <w:rFonts w:hint="eastAsia" w:ascii="宋体" w:hAnsi="宋体" w:eastAsia="宋体" w:cs="宋体"/>
          <w:color w:val="000000" w:themeColor="text1"/>
          <w:sz w:val="21"/>
          <w:szCs w:val="21"/>
          <w14:textFill>
            <w14:solidFill>
              <w14:schemeClr w14:val="tx1"/>
            </w14:solidFill>
          </w14:textFill>
        </w:rPr>
        <w:t>.2 人员要求</w:t>
      </w:r>
    </w:p>
    <w:p w14:paraId="1E9EE4E7">
      <w:pPr>
        <w:pStyle w:val="4"/>
        <w:keepNext w:val="0"/>
        <w:keepLines w:val="0"/>
        <w:pageBreakBefore w:val="0"/>
        <w:widowControl/>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（1）供应商</w:t>
      </w:r>
      <w:r>
        <w:rPr>
          <w:rFonts w:hint="eastAsia" w:ascii="宋体" w:hAnsi="宋体" w:eastAsia="宋体" w:cs="宋体"/>
          <w:color w:val="000000" w:themeColor="text1"/>
          <w:sz w:val="21"/>
          <w:szCs w:val="21"/>
          <w:lang w:val="en-US" w:eastAsia="zh-CN"/>
          <w14:textFill>
            <w14:solidFill>
              <w14:schemeClr w14:val="tx1"/>
            </w14:solidFill>
          </w14:textFill>
        </w:rPr>
        <w:t>需</w:t>
      </w:r>
      <w:r>
        <w:rPr>
          <w:rFonts w:hint="eastAsia" w:ascii="宋体" w:hAnsi="宋体" w:eastAsia="宋体" w:cs="宋体"/>
          <w:color w:val="000000" w:themeColor="text1"/>
          <w:sz w:val="21"/>
          <w:szCs w:val="21"/>
          <w14:textFill>
            <w14:solidFill>
              <w14:schemeClr w14:val="tx1"/>
            </w14:solidFill>
          </w14:textFill>
        </w:rPr>
        <w:t>指定1名项目经理。项目经理要求：独立领导过团队实施密评项目，具有良好的沟通能力及表达能力，了解业内相关技术的发展方向。（以提供商用密码应用安全性评估从业人员能力考核合格证书为证明材料）</w:t>
      </w:r>
    </w:p>
    <w:p w14:paraId="5B4A6162">
      <w:pPr>
        <w:pStyle w:val="4"/>
        <w:keepNext w:val="0"/>
        <w:keepLines w:val="0"/>
        <w:pageBreakBefore w:val="0"/>
        <w:widowControl/>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（2）需至少派遣3名商用密码应用安全性评估人员（以提供商用密码应用安全性评估从业人员能力考核合格证书为证明材料）组成服务项目团队提供商用密码应用安全性评估工作。</w:t>
      </w:r>
    </w:p>
    <w:p w14:paraId="4BE3A6B4">
      <w:pPr>
        <w:pStyle w:val="4"/>
        <w:keepNext w:val="0"/>
        <w:keepLines w:val="0"/>
        <w:pageBreakBefore w:val="0"/>
        <w:widowControl/>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（3）供应商需提供项目组成员名单、职务、职责及相应的资格证书复印件(加盖公章)。</w:t>
      </w:r>
    </w:p>
    <w:p w14:paraId="6A9D1AA5">
      <w:pPr>
        <w:pStyle w:val="4"/>
        <w:keepNext w:val="0"/>
        <w:keepLines w:val="0"/>
        <w:pageBreakBefore w:val="0"/>
        <w:widowControl/>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4）项目启动后，原则上供应商不得在服务期内更换项目组人员，若需更换人员，供应商应提前一个月通知采购人，在采购人同意基础上方可更换。采购人认为供应商的项目组成员不符合要求时，供应商应当在采购人发出更换要求后5个工作日内，对人员进行替换。</w:t>
      </w:r>
    </w:p>
    <w:p w14:paraId="2D4C7BF7">
      <w:pPr>
        <w:pStyle w:val="4"/>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4</w:t>
      </w:r>
      <w:r>
        <w:rPr>
          <w:rFonts w:hint="eastAsia" w:ascii="宋体" w:hAnsi="宋体" w:eastAsia="宋体" w:cs="宋体"/>
          <w:color w:val="000000" w:themeColor="text1"/>
          <w:sz w:val="21"/>
          <w:szCs w:val="21"/>
          <w14:textFill>
            <w14:solidFill>
              <w14:schemeClr w14:val="tx1"/>
            </w14:solidFill>
          </w14:textFill>
        </w:rPr>
        <w:t>.</w:t>
      </w:r>
      <w:r>
        <w:rPr>
          <w:rFonts w:hint="eastAsia" w:ascii="宋体" w:hAnsi="宋体" w:eastAsia="宋体" w:cs="宋体"/>
          <w:color w:val="000000" w:themeColor="text1"/>
          <w:sz w:val="21"/>
          <w:szCs w:val="21"/>
          <w:lang w:val="en-US" w:eastAsia="zh-CN"/>
          <w14:textFill>
            <w14:solidFill>
              <w14:schemeClr w14:val="tx1"/>
            </w14:solidFill>
          </w14:textFill>
        </w:rPr>
        <w:t>3</w:t>
      </w:r>
      <w:r>
        <w:rPr>
          <w:rFonts w:hint="eastAsia" w:ascii="宋体" w:hAnsi="宋体" w:eastAsia="宋体" w:cs="宋体"/>
          <w:color w:val="000000" w:themeColor="text1"/>
          <w:sz w:val="21"/>
          <w:szCs w:val="21"/>
          <w14:textFill>
            <w14:solidFill>
              <w14:schemeClr w14:val="tx1"/>
            </w14:solidFill>
          </w14:textFill>
        </w:rPr>
        <w:t>服务质量</w:t>
      </w:r>
    </w:p>
    <w:p w14:paraId="686961FF">
      <w:pPr>
        <w:pStyle w:val="4"/>
        <w:keepNext w:val="0"/>
        <w:keepLines w:val="0"/>
        <w:pageBreakBefore w:val="0"/>
        <w:widowControl/>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（1）供应商建立有效的服务管理质量体系和流程文件，以保证服务过程实施规范性；</w:t>
      </w:r>
    </w:p>
    <w:p w14:paraId="16AD0EAB">
      <w:pPr>
        <w:pStyle w:val="4"/>
        <w:keepNext w:val="0"/>
        <w:keepLines w:val="0"/>
        <w:pageBreakBefore w:val="0"/>
        <w:widowControl/>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（2）供应商建立有效的交付管理流程；</w:t>
      </w:r>
    </w:p>
    <w:p w14:paraId="6F721557">
      <w:pPr>
        <w:pStyle w:val="4"/>
        <w:keepNext w:val="0"/>
        <w:keepLines w:val="0"/>
        <w:pageBreakBefore w:val="0"/>
        <w:widowControl/>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（3）供应商制定详细的实施方案；</w:t>
      </w:r>
    </w:p>
    <w:p w14:paraId="4288BDA2">
      <w:pPr>
        <w:pStyle w:val="4"/>
        <w:keepNext w:val="0"/>
        <w:keepLines w:val="0"/>
        <w:pageBreakBefore w:val="0"/>
        <w:widowControl/>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（4）供应商建立规范的文档管理体系；</w:t>
      </w:r>
    </w:p>
    <w:p w14:paraId="0AE41143">
      <w:pPr>
        <w:pStyle w:val="4"/>
        <w:keepNext w:val="0"/>
        <w:keepLines w:val="0"/>
        <w:pageBreakBefore w:val="0"/>
        <w:widowControl/>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（5）供应商服务过程中应严格按照相关安全标</w:t>
      </w:r>
      <w:r>
        <w:rPr>
          <w:rFonts w:hint="eastAsia" w:ascii="宋体" w:hAnsi="宋体" w:eastAsia="宋体" w:cs="宋体"/>
          <w:color w:val="000000" w:themeColor="text1"/>
          <w:sz w:val="21"/>
          <w:szCs w:val="21"/>
          <w:lang w:eastAsia="zh-CN"/>
          <w14:textFill>
            <w14:solidFill>
              <w14:schemeClr w14:val="tx1"/>
            </w14:solidFill>
          </w14:textFill>
        </w:rPr>
        <w:t>准和</w:t>
      </w:r>
      <w:r>
        <w:rPr>
          <w:rFonts w:hint="eastAsia" w:ascii="宋体" w:hAnsi="宋体" w:eastAsia="宋体" w:cs="宋体"/>
          <w:color w:val="000000" w:themeColor="text1"/>
          <w:sz w:val="21"/>
          <w:szCs w:val="21"/>
          <w14:textFill>
            <w14:solidFill>
              <w14:schemeClr w14:val="tx1"/>
            </w14:solidFill>
          </w14:textFill>
        </w:rPr>
        <w:t>要求，针对服务的各个环节，设置专门的项目质量管理保证措施。</w:t>
      </w:r>
    </w:p>
    <w:p w14:paraId="42E8800B">
      <w:pPr>
        <w:pStyle w:val="4"/>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4</w:t>
      </w:r>
      <w:r>
        <w:rPr>
          <w:rFonts w:hint="eastAsia" w:ascii="宋体" w:hAnsi="宋体" w:eastAsia="宋体" w:cs="宋体"/>
          <w:color w:val="000000" w:themeColor="text1"/>
          <w:sz w:val="21"/>
          <w:szCs w:val="21"/>
          <w14:textFill>
            <w14:solidFill>
              <w14:schemeClr w14:val="tx1"/>
            </w14:solidFill>
          </w14:textFill>
        </w:rPr>
        <w:t>.</w:t>
      </w:r>
      <w:r>
        <w:rPr>
          <w:rFonts w:hint="eastAsia" w:ascii="宋体" w:hAnsi="宋体" w:eastAsia="宋体" w:cs="宋体"/>
          <w:color w:val="000000" w:themeColor="text1"/>
          <w:sz w:val="21"/>
          <w:szCs w:val="21"/>
          <w:lang w:val="en-US" w:eastAsia="zh-CN"/>
          <w14:textFill>
            <w14:solidFill>
              <w14:schemeClr w14:val="tx1"/>
            </w14:solidFill>
          </w14:textFill>
        </w:rPr>
        <w:t>4</w:t>
      </w:r>
      <w:r>
        <w:rPr>
          <w:rFonts w:hint="eastAsia" w:ascii="宋体" w:hAnsi="宋体" w:eastAsia="宋体" w:cs="宋体"/>
          <w:color w:val="000000" w:themeColor="text1"/>
          <w:sz w:val="21"/>
          <w:szCs w:val="21"/>
          <w14:textFill>
            <w14:solidFill>
              <w14:schemeClr w14:val="tx1"/>
            </w14:solidFill>
          </w14:textFill>
        </w:rPr>
        <w:t>实施要求</w:t>
      </w:r>
    </w:p>
    <w:p w14:paraId="61A444BA">
      <w:pPr>
        <w:pStyle w:val="4"/>
        <w:keepNext w:val="0"/>
        <w:keepLines w:val="0"/>
        <w:pageBreakBefore w:val="0"/>
        <w:widowControl/>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客观性和公正性要求：在最小主观判断情形下，按照双方相互认可的方案，基于明确定义的测评方式和解释，实施评估活动。供应商应是独立的第三方，可以比较客观地开展工作，在利益和管理上不受外部的控制，使密评工作更为彻底。</w:t>
      </w:r>
    </w:p>
    <w:p w14:paraId="5C3FFF07">
      <w:pPr>
        <w:pStyle w:val="4"/>
        <w:keepNext w:val="0"/>
        <w:keepLines w:val="0"/>
        <w:pageBreakBefore w:val="0"/>
        <w:widowControl/>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信息安全要求：供应商对在工作中获取的采购人业务信息、数据、文件、数字以及项目成果承担保密义务。未经对方同意，供应商不得对采购人的资料及文件擅自修改、复制、传播、向第三方转让，如发生泄密情况，供应商需承担一切由此引起的后果并承担赔偿责任。</w:t>
      </w:r>
    </w:p>
    <w:p w14:paraId="70E08D0C">
      <w:pPr>
        <w:pStyle w:val="4"/>
        <w:keepNext w:val="0"/>
        <w:keepLines w:val="0"/>
        <w:pageBreakBefore w:val="0"/>
        <w:widowControl/>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3）最小影响要求：测评工作应该尽可能小地影响系统和网络的正常运行，不能对业务的正常运行产生明显的影响（包括系统性能明显下降、网络阻塞、服务中断等），如无法避免，则应预先作出说明并经采购人同意后实施，在项目实施过程中，需有可行性的风险规避处置措施。</w:t>
      </w:r>
    </w:p>
    <w:p w14:paraId="1F925A84">
      <w:pPr>
        <w:pStyle w:val="4"/>
        <w:keepNext w:val="0"/>
        <w:keepLines w:val="0"/>
        <w:pageBreakBefore w:val="0"/>
        <w:widowControl/>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（4）规范性要求：供应商应严格依据相关国家标准和行业标准开展规范的密评工作。</w:t>
      </w:r>
    </w:p>
    <w:p w14:paraId="6F2E07AF">
      <w:pPr>
        <w:pStyle w:val="4"/>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5.</w:t>
      </w:r>
      <w:r>
        <w:rPr>
          <w:rFonts w:hint="eastAsia" w:ascii="宋体" w:hAnsi="宋体" w:eastAsia="宋体" w:cs="宋体"/>
          <w:color w:val="000000" w:themeColor="text1"/>
          <w:sz w:val="21"/>
          <w:szCs w:val="21"/>
          <w14:textFill>
            <w14:solidFill>
              <w14:schemeClr w14:val="tx1"/>
            </w14:solidFill>
          </w14:textFill>
        </w:rPr>
        <w:t>服务响应时限要求</w:t>
      </w:r>
    </w:p>
    <w:p w14:paraId="031A727C">
      <w:pPr>
        <w:pStyle w:val="4"/>
        <w:keepNext w:val="0"/>
        <w:keepLines w:val="0"/>
        <w:pageBreakBefore w:val="0"/>
        <w:widowControl/>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（1）供应商针对信息系统密码应用要求和密码评估提供相关咨询、培训，对系统密码应用与方案提供咨询服务。</w:t>
      </w:r>
    </w:p>
    <w:p w14:paraId="63FCC33D">
      <w:pPr>
        <w:pStyle w:val="4"/>
        <w:keepNext w:val="0"/>
        <w:keepLines w:val="0"/>
        <w:pageBreakBefore w:val="0"/>
        <w:widowControl/>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（2）在服务期内，供应商技术支持人员在2小时内做好服务应答和反馈。必要情况下，技术人员</w:t>
      </w:r>
      <w:r>
        <w:rPr>
          <w:rFonts w:hint="eastAsia" w:ascii="宋体" w:hAnsi="宋体" w:eastAsia="宋体" w:cs="宋体"/>
          <w:color w:val="000000" w:themeColor="text1"/>
          <w:sz w:val="21"/>
          <w:szCs w:val="21"/>
          <w:lang w:val="en-US" w:eastAsia="zh-CN"/>
          <w14:textFill>
            <w14:solidFill>
              <w14:schemeClr w14:val="tx1"/>
            </w14:solidFill>
          </w14:textFill>
        </w:rPr>
        <w:t>需</w:t>
      </w:r>
      <w:r>
        <w:rPr>
          <w:rFonts w:hint="eastAsia" w:ascii="宋体" w:hAnsi="宋体" w:eastAsia="宋体" w:cs="宋体"/>
          <w:color w:val="000000" w:themeColor="text1"/>
          <w:sz w:val="21"/>
          <w:szCs w:val="21"/>
          <w14:textFill>
            <w14:solidFill>
              <w14:schemeClr w14:val="tx1"/>
            </w14:solidFill>
          </w14:textFill>
        </w:rPr>
        <w:t>在48小时内到达现场，对出现的问题进行现场分析、记录、处置和归档。</w:t>
      </w:r>
    </w:p>
    <w:p w14:paraId="4ABAE419">
      <w:pPr>
        <w:pStyle w:val="4"/>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6.</w:t>
      </w:r>
      <w:r>
        <w:rPr>
          <w:rFonts w:hint="eastAsia" w:ascii="宋体" w:hAnsi="宋体" w:eastAsia="宋体" w:cs="宋体"/>
          <w:color w:val="000000" w:themeColor="text1"/>
          <w:sz w:val="21"/>
          <w:szCs w:val="21"/>
          <w14:textFill>
            <w14:solidFill>
              <w14:schemeClr w14:val="tx1"/>
            </w14:solidFill>
          </w14:textFill>
        </w:rPr>
        <w:t>保密性要求</w:t>
      </w:r>
    </w:p>
    <w:p w14:paraId="0E1E71E9">
      <w:pPr>
        <w:pStyle w:val="4"/>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供应商在未经认可的情况下，不得将任何用户认为涉及数据安全的观点、数据、系统结构信息、测试结论以及测试记录传播、披露和使用；不得擅自修改任何程序和数据；供应商应保证严格遵守用户的保密要求，并签订保密协议；保证对于用户提供的资料（包括业务资料、技术资料、相关数据等），不得以任何形式向第三方传播；保证不向外（指用户规定范围以外）泄漏任何与本项目相关的保密技术资料。保密期限不受本项目期限的限制，在本项目履行完毕后，供应商继续承担保密义务。</w:t>
      </w:r>
    </w:p>
    <w:p w14:paraId="0C3CEB06">
      <w:pPr>
        <w:pStyle w:val="4"/>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7.</w:t>
      </w:r>
      <w:r>
        <w:rPr>
          <w:rFonts w:hint="eastAsia" w:ascii="宋体" w:hAnsi="宋体" w:eastAsia="宋体" w:cs="宋体"/>
          <w:color w:val="000000" w:themeColor="text1"/>
          <w:sz w:val="21"/>
          <w:szCs w:val="21"/>
          <w14:textFill>
            <w14:solidFill>
              <w14:schemeClr w14:val="tx1"/>
            </w14:solidFill>
          </w14:textFill>
        </w:rPr>
        <w:t>项目交付</w:t>
      </w:r>
    </w:p>
    <w:p w14:paraId="5435CF74">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rPr>
      </w:pPr>
      <w:r>
        <w:rPr>
          <w:rFonts w:hint="eastAsia" w:ascii="宋体" w:hAnsi="宋体" w:eastAsia="宋体" w:cs="宋体"/>
          <w:color w:val="000000" w:themeColor="text1"/>
          <w:sz w:val="21"/>
          <w:szCs w:val="21"/>
          <w14:textFill>
            <w14:solidFill>
              <w14:schemeClr w14:val="tx1"/>
            </w14:solidFill>
          </w14:textFill>
        </w:rPr>
        <w:t>依据《信息安全技术信息系统密码应用基本要求》（GB/T39786-2021）等技术标准对陕西省行政执法和执法监督一体化平台进行商用密码应用安全性评估工作，并出具符合要求的《商用密码应用安全性评估报告》（2023版），报告中应协助被评估单位认清风险，查找漏洞，找出差距，提出有针对性地加强和完善密码安全管理和防护建议，交付物包括但不限于《陕西省行政执法和执法监督一体化平台商用密码应用安全性评估实施方案》、《陕西省行政执法和执法监督一体化平台整改建议书》、《&lt;陕西省行政执法和执法监督一体化平台密码应用方案&gt;商用密码应用安全性评估报告》、《陕西省行政执法和执法监督一体化平台商用密码应用安全性评估报告》。</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A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48A061D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2026-07-16T00:54:21Z</dcterms:created>
  <dc:creator>LX</dc:creator>
  <cp:lastModifiedBy>哆啦A梦</cp:lastModifiedBy>
  <dcterms:modified xsi:type="dcterms:W3CDTF">2026-07-16T01:03:37Z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eyJoZGlkIjoiZjFhMjllM2U1MDBhZGU3NjVlNmFlNWU2YjFmZTUwZDQiLCJ1c2VySWQiOiIzMDU5ODIxMzEifQ==</vt:lpwstr>
  </property>
  <property fmtid="{D5CDD505-2E9C-101B-9397-08002B2CF9AE}" pid="4" name="ICV">
    <vt:lpwstr>3281298EE2DF49F19D061478671DE5DF_12</vt:lpwstr>
  </property>
</Properties>
</file>