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版本号：ZRDZB-2026-GC-01120260812001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ZRDZB-2026-GC-011</w:t>
      </w:r>
      <w:r>
        <w:br/>
      </w:r>
      <w:r>
        <w:br/>
      </w:r>
      <w:r>
        <w:br/>
      </w:r>
    </w:p>
    <w:p>
      <w:pPr>
        <w:pStyle w:val="null3"/>
        <w:jc w:val="center"/>
        <w:outlineLvl w:val="2"/>
      </w:pPr>
      <w:r>
        <w:rPr>
          <w:rFonts w:ascii="仿宋_GB2312" w:hAnsi="仿宋_GB2312" w:cs="仿宋_GB2312" w:eastAsia="仿宋_GB2312"/>
          <w:sz w:val="28"/>
          <w:b/>
        </w:rPr>
        <w:t>勉县勉阳街道办中心小学</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勉县勉阳街道办中心小学</w:t>
      </w:r>
      <w:r>
        <w:rPr>
          <w:rFonts w:ascii="仿宋_GB2312" w:hAnsi="仿宋_GB2312" w:cs="仿宋_GB2312" w:eastAsia="仿宋_GB2312"/>
        </w:rPr>
        <w:t>委托，拟对</w:t>
      </w:r>
      <w:r>
        <w:rPr>
          <w:rFonts w:ascii="仿宋_GB2312" w:hAnsi="仿宋_GB2312" w:cs="仿宋_GB2312" w:eastAsia="仿宋_GB2312"/>
        </w:rPr>
        <w:t>校舍维修改造项目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ZRDZB-2026-GC-011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勉县勉阳街道办中心小学校舍维修改造项目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采购包1（勉县勉阳街道办中心小学校舍维修改造项目）：属于专门面向中小企业采购。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2、企业资质：供应商应具备建设行政主管部门核发的建筑工程施工总承包三级及以上资质，并具有有效的安全生产许可证；</w:t>
      </w:r>
    </w:p>
    <w:p>
      <w:pPr>
        <w:pStyle w:val="null3"/>
      </w:pPr>
      <w:r>
        <w:rPr>
          <w:rFonts w:ascii="仿宋_GB2312" w:hAnsi="仿宋_GB2312" w:cs="仿宋_GB2312" w:eastAsia="仿宋_GB2312"/>
        </w:rPr>
        <w:t>3、拟派项目经理资质：拟派项目经理须具备建筑工程专业二级及以上注册建造师执业资格，具有有效的安全生产考核合格证书（建安B证），在本单位注册，无在建工程（提供无在建项目承诺书）；</w:t>
      </w:r>
    </w:p>
    <w:p>
      <w:pPr>
        <w:pStyle w:val="null3"/>
      </w:pPr>
      <w:r>
        <w:rPr>
          <w:rFonts w:ascii="仿宋_GB2312" w:hAnsi="仿宋_GB2312" w:cs="仿宋_GB2312" w:eastAsia="仿宋_GB2312"/>
        </w:rPr>
        <w:t>4、供应商信誉要求：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加盖单位公章的基本资格条件承诺函为准。</w:t>
      </w:r>
    </w:p>
    <w:p>
      <w:pPr>
        <w:pStyle w:val="null3"/>
      </w:pPr>
      <w:r>
        <w:rPr>
          <w:rFonts w:ascii="仿宋_GB2312" w:hAnsi="仿宋_GB2312" w:cs="仿宋_GB2312" w:eastAsia="仿宋_GB2312"/>
        </w:rPr>
        <w:t>5、非联合体磋商：本项目不接受联合体磋商（提供非联合体声明函）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勉县勉阳街道办中心小学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勉县勉阳街道办高潮社区二组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勉县勉阳街道办中心小学经办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13369245516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陕西省西安市经济技术开发区凤城五路与明光路十字西北角恒石国际中心B座9楼902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029-86263596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采购包1：1,090,259.12元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开户名称：中瑞达项目管理有限公司</w:t>
            </w:r>
          </w:p>
          <w:p>
            <w:pPr>
              <w:pStyle w:val="null3"/>
            </w:pPr>
            <w:r>
              <w:rPr>
                <w:rFonts w:ascii="仿宋_GB2312" w:hAnsi="仿宋_GB2312" w:cs="仿宋_GB2312" w:eastAsia="仿宋_GB2312"/>
              </w:rPr>
              <w:t>开户银行：中国建设银行股份有限公司西安海璟国际支行</w:t>
            </w:r>
          </w:p>
          <w:p>
            <w:pPr>
              <w:pStyle w:val="null3"/>
            </w:pPr>
            <w:r>
              <w:rPr>
                <w:rFonts w:ascii="仿宋_GB2312" w:hAnsi="仿宋_GB2312" w:cs="仿宋_GB2312" w:eastAsia="仿宋_GB2312"/>
              </w:rPr>
              <w:t>银行账号：61050174860000000509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代理服务费收费标准：采购代理服务费参照国家发展和改革委员会《招标代理服务收费管理暂行办法》(计价格(2002)1980号)文件规定计取，由成交供应商在领取成交通知书前向代理机构一次性足额支付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勉县勉阳街道办中心小学</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勉县勉阳街道办中心小学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勉县勉阳街道办中心小学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联系人：毛工</w:t>
      </w:r>
    </w:p>
    <w:p>
      <w:pPr>
        <w:pStyle w:val="null3"/>
      </w:pPr>
      <w:r>
        <w:rPr>
          <w:rFonts w:ascii="仿宋_GB2312" w:hAnsi="仿宋_GB2312" w:cs="仿宋_GB2312" w:eastAsia="仿宋_GB2312"/>
        </w:rPr>
        <w:t>联系电话：029-86263596</w:t>
      </w:r>
    </w:p>
    <w:p>
      <w:pPr>
        <w:pStyle w:val="null3"/>
      </w:pPr>
      <w:r>
        <w:rPr>
          <w:rFonts w:ascii="仿宋_GB2312" w:hAnsi="仿宋_GB2312" w:cs="仿宋_GB2312" w:eastAsia="仿宋_GB2312"/>
        </w:rPr>
        <w:t>地址：西安市经济技术开发区凤城五路与明光路十字西北角恒石国际中心B座9楼902</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1,090,259.12</w:t>
      </w:r>
    </w:p>
    <w:p>
      <w:pPr>
        <w:pStyle w:val="null3"/>
      </w:pPr>
      <w:r>
        <w:rPr>
          <w:rFonts w:ascii="仿宋_GB2312" w:hAnsi="仿宋_GB2312" w:cs="仿宋_GB2312" w:eastAsia="仿宋_GB2312"/>
        </w:rPr>
        <w:t>采购包最高限价（元）: 1,090,259.12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勉县勉阳街道办中心小学校舍维修改造项目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1,090,259.12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标的名称：勉县勉阳街道办中心小学校舍维修改造项目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FF"/>
              </w:rPr>
              <w:t>一、项目建设内容</w:t>
            </w:r>
          </w:p>
          <w:p>
            <w:pPr>
              <w:pStyle w:val="null3"/>
              <w:jc w:val="left"/>
            </w:pPr>
            <w:r>
              <w:rPr>
                <w:rFonts w:ascii="仿宋_GB2312" w:hAnsi="仿宋_GB2312" w:cs="仿宋_GB2312" w:eastAsia="仿宋_GB2312"/>
                <w:sz w:val="20"/>
                <w:color w:val="0000FF"/>
              </w:rPr>
              <w:t>勉县勉阳街道办中心小学校舍维修改造项目包含学校现有教学楼</w:t>
            </w:r>
            <w:r>
              <w:rPr>
                <w:rFonts w:ascii="仿宋_GB2312" w:hAnsi="仿宋_GB2312" w:cs="仿宋_GB2312" w:eastAsia="仿宋_GB2312"/>
                <w:sz w:val="20"/>
                <w:color w:val="0000FF"/>
              </w:rPr>
              <w:t>(正德楼、艺馨楼、绣山楼、笃志楼)及餐厅外墙饰面、屋顶破损修复及部分门窗更换、正德楼二层、三层电气改造内容。</w:t>
            </w:r>
          </w:p>
          <w:p>
            <w:pPr>
              <w:pStyle w:val="null3"/>
              <w:jc w:val="left"/>
            </w:pPr>
            <w:r>
              <w:rPr>
                <w:rFonts w:ascii="仿宋_GB2312" w:hAnsi="仿宋_GB2312" w:cs="仿宋_GB2312" w:eastAsia="仿宋_GB2312"/>
                <w:sz w:val="20"/>
                <w:color w:val="0000FF"/>
              </w:rPr>
              <w:t>二、工程量清单</w:t>
            </w:r>
            <w:r>
              <w:rPr>
                <w:rFonts w:ascii="仿宋_GB2312" w:hAnsi="仿宋_GB2312" w:cs="仿宋_GB2312" w:eastAsia="仿宋_GB2312"/>
                <w:sz w:val="20"/>
                <w:color w:val="0000FF"/>
              </w:rPr>
              <w:t>及图纸</w:t>
            </w:r>
            <w:r>
              <w:rPr>
                <w:rFonts w:ascii="仿宋_GB2312" w:hAnsi="仿宋_GB2312" w:cs="仿宋_GB2312" w:eastAsia="仿宋_GB2312"/>
                <w:sz w:val="20"/>
                <w:color w:val="0000FF"/>
              </w:rPr>
              <w:t>（详见附件）</w:t>
            </w:r>
          </w:p>
          <w:p>
            <w:pPr>
              <w:pStyle w:val="null3"/>
              <w:jc w:val="left"/>
            </w:pPr>
            <w:r>
              <w:rPr>
                <w:rFonts w:ascii="仿宋_GB2312" w:hAnsi="仿宋_GB2312" w:cs="仿宋_GB2312" w:eastAsia="仿宋_GB2312"/>
                <w:sz w:val="20"/>
                <w:color w:val="0000FF"/>
              </w:rPr>
              <w:t>三、建设地点：勉县勉阳街道办中心小学</w:t>
            </w:r>
          </w:p>
          <w:p>
            <w:pPr>
              <w:pStyle w:val="null3"/>
              <w:jc w:val="left"/>
            </w:pPr>
            <w:r>
              <w:rPr>
                <w:rFonts w:ascii="仿宋_GB2312" w:hAnsi="仿宋_GB2312" w:cs="仿宋_GB2312" w:eastAsia="仿宋_GB2312"/>
                <w:sz w:val="20"/>
                <w:color w:val="0000FF"/>
              </w:rPr>
              <w:t>四</w:t>
            </w:r>
            <w:r>
              <w:rPr>
                <w:rFonts w:ascii="仿宋_GB2312" w:hAnsi="仿宋_GB2312" w:cs="仿宋_GB2312" w:eastAsia="仿宋_GB2312"/>
                <w:sz w:val="20"/>
                <w:color w:val="0000FF"/>
              </w:rPr>
              <w:t>、质保期：验收合格之日起</w:t>
            </w:r>
            <w:r>
              <w:rPr>
                <w:rFonts w:ascii="仿宋_GB2312" w:hAnsi="仿宋_GB2312" w:cs="仿宋_GB2312" w:eastAsia="仿宋_GB2312"/>
                <w:sz w:val="20"/>
                <w:color w:val="0000FF"/>
              </w:rPr>
              <w:t>1年</w:t>
            </w:r>
          </w:p>
          <w:p>
            <w:pPr>
              <w:pStyle w:val="null3"/>
              <w:jc w:val="left"/>
            </w:pPr>
            <w:r>
              <w:rPr>
                <w:rFonts w:ascii="仿宋_GB2312" w:hAnsi="仿宋_GB2312" w:cs="仿宋_GB2312" w:eastAsia="仿宋_GB2312"/>
                <w:sz w:val="20"/>
                <w:color w:val="0000FF"/>
              </w:rPr>
              <w:t>四、质量标准：符合国家现行有关施工质量验收规范</w:t>
            </w:r>
            <w:r>
              <w:rPr>
                <w:rFonts w:ascii="仿宋_GB2312" w:hAnsi="仿宋_GB2312" w:cs="仿宋_GB2312" w:eastAsia="仿宋_GB2312"/>
                <w:sz w:val="20"/>
                <w:color w:val="0000FF"/>
              </w:rPr>
              <w:t>“合格”要求</w:t>
            </w:r>
          </w:p>
          <w:p>
            <w:pPr>
              <w:pStyle w:val="null3"/>
            </w:pPr>
            <w:r>
              <w:rPr>
                <w:rFonts w:ascii="仿宋_GB2312" w:hAnsi="仿宋_GB2312" w:cs="仿宋_GB2312" w:eastAsia="仿宋_GB2312"/>
                <w:sz w:val="20"/>
                <w:color w:val="0000FF"/>
              </w:rPr>
              <w:t>五、计划工期：</w:t>
            </w:r>
            <w:r>
              <w:rPr>
                <w:rFonts w:ascii="仿宋_GB2312" w:hAnsi="仿宋_GB2312" w:cs="仿宋_GB2312" w:eastAsia="仿宋_GB2312"/>
                <w:sz w:val="20"/>
                <w:color w:val="0000FF"/>
              </w:rPr>
              <w:t>合同</w:t>
            </w:r>
            <w:r>
              <w:rPr>
                <w:rFonts w:ascii="仿宋_GB2312" w:hAnsi="仿宋_GB2312" w:cs="仿宋_GB2312" w:eastAsia="仿宋_GB2312"/>
                <w:sz w:val="20"/>
                <w:color w:val="0000FF"/>
              </w:rPr>
              <w:t>签订后</w:t>
            </w:r>
            <w:r>
              <w:rPr>
                <w:rFonts w:ascii="仿宋_GB2312" w:hAnsi="仿宋_GB2312" w:cs="仿宋_GB2312" w:eastAsia="仿宋_GB2312"/>
                <w:sz w:val="20"/>
                <w:color w:val="0000FF"/>
              </w:rPr>
              <w:t>3</w:t>
            </w:r>
            <w:r>
              <w:rPr>
                <w:rFonts w:ascii="仿宋_GB2312" w:hAnsi="仿宋_GB2312" w:cs="仿宋_GB2312" w:eastAsia="仿宋_GB2312"/>
                <w:sz w:val="20"/>
                <w:color w:val="0000FF"/>
              </w:rPr>
              <w:t>个月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未成交供应商的保证金在成交通知书发出后五个工作日内退还，成交供应商的保证金在成交供应商与采购人合同签订后五个工作日内退还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供应商应具备建设行政主管部门核发的建筑工程施工总承包三级及以上资质，并具有有效的安全生产许可证；</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拟派项目经理须具备建筑工程专业二级及以上注册建造师执业资格，具有有效的安全生产考核合格证书（建安B证），在本单位注册，无在建工程（提供无在建项目承诺书）；</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加盖单位公章的基本资格条件承诺函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且身份信息与营业执照上对应信息一致。法定代表人授权代表参加磋商的，须出具法定代表人授权委托书及授权代表身份证复印件；自然人参加磋商的须提供身份证复印件； 注：以磋商响应文件中所附签章齐全的法定代表人身份证明或法定代表人授权委托书为准，被授权人参加磋商活动的须提供被授权人自2026年1月1日响应文件递交截止时间在供应商单位缴纳任意3个月的社会保障资金证明材料。</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投标函附录.docx 标的清单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投标函附录.docx 标的清单 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投标函附录.docx 标的清单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每轮总报价唯一且未超过本项目最高限价</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1.施工方案详细具体合理，衔接紧密且具有针对性，得9分； 2.施工方案详细具体且具有一定合理性，各阶段工作衔接基本紧密且具有一定针对性，得7分； 3.施工方案明确，各阶段工作有一定衔接性及针对性，得5分； 4.施工方案基本明确，各阶段工作衔接性及方案针对性不足，得3分； 5.施工方案含糊，各阶段工作无衔接无针对性，得1分；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确保施工进度的技术组织措施</w:t>
            </w:r>
          </w:p>
        </w:tc>
        <w:tc>
          <w:tcPr>
            <w:tcW w:type="dxa" w:w="2492"/>
          </w:tcPr>
          <w:p>
            <w:pPr>
              <w:pStyle w:val="null3"/>
            </w:pPr>
            <w:r>
              <w:rPr>
                <w:rFonts w:ascii="仿宋_GB2312" w:hAnsi="仿宋_GB2312" w:cs="仿宋_GB2312" w:eastAsia="仿宋_GB2312"/>
              </w:rPr>
              <w:t>1.施工进度计划详细具体，合理可行，施工进度表或施工网络图绘制规范、得当，有确保工期的技术组织措施且措施合理得当的，得7分； 2.施工进度计划明确且基本合理，有施工进度表或施工网络图，有确保工期的技术组织措施且措施内容基本合理的，得5分； 3.施工进度计划明确且基本合理，有施工进度表或施工网络图，确保工期的技术组织措施内容不全或不合理，且未贴合实际的，得3分。 4.施工进度计划含糊且合理性不足，无施工进度表或施工网络图，确保工期的技术组织措施内容不全或不合理，且未贴合实际的，得1分。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1.工程质量技术管理机构和制度完善，具有健全的质量管理体系，主要工序有完善合理的质量技术保证措施的，得7分； 2.工程质量技术管理机构和制度较完善，具有健全的质量管理体系，主要工序有较完善合理的质量技术保证措施的，得5分； 3.工程质量技术管理机构和制度明确，无质量管理体系，主要工序有较完善的质量技术保证措施的，得3分； 4.工程质量技术管理机构和制度含糊，无质量管理体系，主要工序无质量技术保证措施含糊或有实质性缺陷，得1分。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1.针对本项目安全生产的技术的组织措施详细具体切实可行的，得7分； 2.针对本项目安全生产的技术的组织措施明确且具有可行性，得5分； 3.针对本项目安全生产的技术的组织措施明确但可行性不足，得3分。 4.针对本项目安全生产的技术的组织措施粗略且可行性不足，得1分。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1.文明施工计划全面，文明施工组织措施合理可行的，得7分； 2.文明施工计划较全面，文明施工组织措施基本合理的，得5分； 3.文明施工计划较全面，文明施工组织措施不合理的，得3分。 4.文明施工计划不全面，文明施工组织措施不合理的，得1分。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确保施工环境保护措施</w:t>
            </w:r>
          </w:p>
        </w:tc>
        <w:tc>
          <w:tcPr>
            <w:tcW w:type="dxa" w:w="2492"/>
          </w:tcPr>
          <w:p>
            <w:pPr>
              <w:pStyle w:val="null3"/>
            </w:pPr>
            <w:r>
              <w:rPr>
                <w:rFonts w:ascii="仿宋_GB2312" w:hAnsi="仿宋_GB2312" w:cs="仿宋_GB2312" w:eastAsia="仿宋_GB2312"/>
              </w:rPr>
              <w:t>1.环境卫生管理制度及管理职责详细具体，施工环境保护措施完善的，得7分； 2.环境卫生管理制度及管理职责明确；施工环境保护措施较完善的，得5分； 3.环境卫生管理制度及管理职责较明确，施工环境保护措施不完善，得3分。 4.环境卫生管理制度及管理职责含糊，施工环境保护措施不完善，得1分。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1.施工机械配备投入计划详细全面、完善合理，得6分； 2.施工机械配备投入计划较为全面，基本合理，得5分； 3.施工机械配备投入计划基本明确，合理性不足，得3分； 4.施工机械配备投入计划粗略，合理性不足，无法满足项目需求，得1分。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1.项目经理具有建筑工程类中级及以上工程师职称证书者得3分，最高得3分； 2.提供项目经理2023年1月至今完成的类似业绩证明，每提供一份得3分，最高得3分； 注：①以响应文件中所附的合同协议书复印件为准，时间以合同签订时间为准，无签订日期、无项目经理名称、无关键页不得分； ②项目经理业绩可以与企业业绩重复计分；③类似业绩指建筑工程类项目业绩。④提供项目经理自2026年1月1日至今在供应商单位缴纳任意1个月的社会保障资金证明材料。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项目管理机构组成表及主要人员简历表.docx</w:t>
            </w:r>
          </w:p>
        </w:tc>
      </w:tr>
      <w:tr>
        <w:tc>
          <w:tcPr>
            <w:tcW w:type="dxa" w:w="831"/>
            <w:vMerge/>
          </w:tcPr>
          <w:p/>
        </w:tc>
        <w:tc>
          <w:tcPr>
            <w:tcW w:type="dxa" w:w="1661"/>
          </w:tcPr>
          <w:p>
            <w:pPr>
              <w:pStyle w:val="null3"/>
            </w:pPr>
            <w:r>
              <w:rPr>
                <w:rFonts w:ascii="仿宋_GB2312" w:hAnsi="仿宋_GB2312" w:cs="仿宋_GB2312" w:eastAsia="仿宋_GB2312"/>
              </w:rPr>
              <w:t>项目技术负责人</w:t>
            </w:r>
          </w:p>
        </w:tc>
        <w:tc>
          <w:tcPr>
            <w:tcW w:type="dxa" w:w="2492"/>
          </w:tcPr>
          <w:p>
            <w:pPr>
              <w:pStyle w:val="null3"/>
            </w:pPr>
            <w:r>
              <w:rPr>
                <w:rFonts w:ascii="仿宋_GB2312" w:hAnsi="仿宋_GB2312" w:cs="仿宋_GB2312" w:eastAsia="仿宋_GB2312"/>
              </w:rPr>
              <w:t>项目技术负责人具有建筑类中级及以上工程师职称证书者得3分。 注：供应商需提供的技术负责人的职称证及技术负责人自2026年1月1日至今在供应商单位缴纳任意1个月的社会保障资金证明材料。未提供不得分。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项目管理机构组成表及主要人员简历表.docx</w:t>
            </w:r>
          </w:p>
        </w:tc>
      </w:tr>
      <w:tr>
        <w:tc>
          <w:tcPr>
            <w:tcW w:type="dxa" w:w="831"/>
            <w:vMerge/>
          </w:tcPr>
          <w:p/>
        </w:tc>
        <w:tc>
          <w:tcPr>
            <w:tcW w:type="dxa" w:w="1661"/>
          </w:tcPr>
          <w:p>
            <w:pPr>
              <w:pStyle w:val="null3"/>
            </w:pPr>
            <w:r>
              <w:rPr>
                <w:rFonts w:ascii="仿宋_GB2312" w:hAnsi="仿宋_GB2312" w:cs="仿宋_GB2312" w:eastAsia="仿宋_GB2312"/>
              </w:rPr>
              <w:t>项目经理部其他人员</w:t>
            </w:r>
          </w:p>
        </w:tc>
        <w:tc>
          <w:tcPr>
            <w:tcW w:type="dxa" w:w="2492"/>
          </w:tcPr>
          <w:p>
            <w:pPr>
              <w:pStyle w:val="null3"/>
            </w:pPr>
            <w:r>
              <w:rPr>
                <w:rFonts w:ascii="仿宋_GB2312" w:hAnsi="仿宋_GB2312" w:cs="仿宋_GB2312" w:eastAsia="仿宋_GB2312"/>
              </w:rPr>
              <w:t>供应商拟配备其他人员如施工员、质量员、安全员、材料员、资料员等，每提供1人得1分，最高得5分； 注：供应商需提供的配备人员的岗位证书及自2026年1月1日至响应文件递交截止时间在供应商单位缴纳任意1个月的社会保障资金证明材料。未提供不得分。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项目管理机构组成表及主要人员简历表.docx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供应商提供2023年1月1日至响应文件递交截止时间完成的类似业绩证明，每提供一份得2.5分，最高得5分； 注：①以响应文件中所附的合同协议书复印件为准，时间以合同签订时间为准，无签订日期或无关键页不得分。②类似业绩指建筑工程类项目业绩。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1、评审范围：有效的磋商响应总报价（指经初审合格的供应商的磋商最终响应总报价）。 2、满足竞争性磋商文件要求且最终响应总报价价格最低的价格为磋商基准价，其价格分为满分。其他供应商的价格分统一按照下列公式计算： 磋商报价得分=（磋商基准价/最终响应总报价）×分值 3、评分分值计算保留小数点后两位，小数点后第三位“四舍五入”。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详见附件：投标函附录.docx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详见附件：项目管理机构组成表及主要人员简历表.docx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