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版本号：ZX-ZC-TG-2026-025.1B120260901001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陕西省渭南市潼关县2026年度中央财政国家重点保护野生动物资源调查与监测项目(二次)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ZX-ZC-TG-2026-025.1B1</w:t>
      </w:r>
      <w:r>
        <w:br/>
      </w:r>
      <w:r>
        <w:br/>
      </w:r>
      <w:r>
        <w:br/>
      </w:r>
    </w:p>
    <w:p>
      <w:pPr>
        <w:pStyle w:val="null3"/>
        <w:jc w:val="center"/>
        <w:outlineLvl w:val="2"/>
      </w:pPr>
      <w:r>
        <w:rPr>
          <w:rFonts w:ascii="仿宋_GB2312" w:hAnsi="仿宋_GB2312" w:cs="仿宋_GB2312" w:eastAsia="仿宋_GB2312"/>
          <w:sz w:val="28"/>
          <w:b/>
        </w:rPr>
        <w:t>潼关县林业局</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潼关县林业局</w:t>
      </w:r>
      <w:r>
        <w:rPr>
          <w:rFonts w:ascii="仿宋_GB2312" w:hAnsi="仿宋_GB2312" w:cs="仿宋_GB2312" w:eastAsia="仿宋_GB2312"/>
        </w:rPr>
        <w:t>委托，拟对</w:t>
      </w:r>
      <w:r>
        <w:rPr>
          <w:rFonts w:ascii="仿宋_GB2312" w:hAnsi="仿宋_GB2312" w:cs="仿宋_GB2312" w:eastAsia="仿宋_GB2312"/>
        </w:rPr>
        <w:t>陕西省渭南市潼关县2026年度中央财政国家重点保护野生动物资源调查与监测项目(二次)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ZX-ZC-TG-2026-025.1B1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陕西省渭南市潼关县2026年度中央财政国家重点保护野生动物资源调查与监测项目(二次)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渭南市潼关县2026年度中央财政国家重点保护野生动物资源调查与监测项目。项目主要建设内容：布设30条调查样线，设置12个固定监测点开展国家重点保护野生鸟类调查监测;调查监测数据处理及成果编制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采购包1（陕西省渭南市潼关县2026年度中央财政国家重点保护野生动物资源调查与监测项目）：属于专门面向中小企业采购。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1、营业执照：供应商应具备独立承担民事责任能力的法人、其他组织或自然人，提供合法有效的统一社会信用代码的营业执照副本或相关证明（自然人提供身份证复印件）；</w:t>
      </w:r>
    </w:p>
    <w:p>
      <w:pPr>
        <w:pStyle w:val="null3"/>
      </w:pPr>
      <w:r>
        <w:rPr>
          <w:rFonts w:ascii="仿宋_GB2312" w:hAnsi="仿宋_GB2312" w:cs="仿宋_GB2312" w:eastAsia="仿宋_GB2312"/>
        </w:rPr>
        <w:t>2、法定代表人授权书或法定代表人身份证明：供应商应授权合法的人员参加磋商全过程，其中法定代表人（或负责人）直接参加磋商的，须出具法定代表人（或负责人）身份证明，并与营业执照上信息一致；法定代表人（或负责人）授权代表参加磋商的，须出具法定代表人（或负责人）授权书及授权代表身份证明；</w:t>
      </w:r>
    </w:p>
    <w:p>
      <w:pPr>
        <w:pStyle w:val="null3"/>
      </w:pPr>
      <w:r>
        <w:rPr>
          <w:rFonts w:ascii="仿宋_GB2312" w:hAnsi="仿宋_GB2312" w:cs="仿宋_GB2312" w:eastAsia="仿宋_GB2312"/>
        </w:rPr>
        <w:t>3、财务状况报告：提供具有财务审计资质单位出具的2025年度的财务报告或响应文件提交截止时间前六个月内其基本账户银行出具的资信证明；</w:t>
      </w:r>
    </w:p>
    <w:p>
      <w:pPr>
        <w:pStyle w:val="null3"/>
      </w:pPr>
      <w:r>
        <w:rPr>
          <w:rFonts w:ascii="仿宋_GB2312" w:hAnsi="仿宋_GB2312" w:cs="仿宋_GB2312" w:eastAsia="仿宋_GB2312"/>
        </w:rPr>
        <w:t>4、社会保障资金缴存证明：供应商提供响应文件提交截止时间前一年内任意一个月的社会保障资金缴存证明或社保机构开具的社会保险参保缴费情况证明；</w:t>
      </w:r>
    </w:p>
    <w:p>
      <w:pPr>
        <w:pStyle w:val="null3"/>
      </w:pPr>
      <w:r>
        <w:rPr>
          <w:rFonts w:ascii="仿宋_GB2312" w:hAnsi="仿宋_GB2312" w:cs="仿宋_GB2312" w:eastAsia="仿宋_GB2312"/>
        </w:rPr>
        <w:t>5、税收证明：供应商提供响应文件提交截止时间前一年内任意一个月的依法缴纳税收的相关证明，依法免税需提供相关证明材料；</w:t>
      </w:r>
    </w:p>
    <w:p>
      <w:pPr>
        <w:pStyle w:val="null3"/>
      </w:pPr>
      <w:r>
        <w:rPr>
          <w:rFonts w:ascii="仿宋_GB2312" w:hAnsi="仿宋_GB2312" w:cs="仿宋_GB2312" w:eastAsia="仿宋_GB2312"/>
        </w:rPr>
        <w:t>6、没有重大违法记录的书面声明：提供供应商参加政府采购活动前三年内在经营活动中没有重大违法记录的声明；</w:t>
      </w:r>
    </w:p>
    <w:p>
      <w:pPr>
        <w:pStyle w:val="null3"/>
      </w:pPr>
      <w:r>
        <w:rPr>
          <w:rFonts w:ascii="仿宋_GB2312" w:hAnsi="仿宋_GB2312" w:cs="仿宋_GB2312" w:eastAsia="仿宋_GB2312"/>
        </w:rPr>
        <w:t>7、专业技术能力的书面声明：供应商提供具有履行合同所必需的设备和专业技术能力的书面声明。</w:t>
      </w:r>
    </w:p>
    <w:p>
      <w:pPr>
        <w:pStyle w:val="null3"/>
      </w:pPr>
      <w:r>
        <w:rPr>
          <w:rFonts w:ascii="仿宋_GB2312" w:hAnsi="仿宋_GB2312" w:cs="仿宋_GB2312" w:eastAsia="仿宋_GB2312"/>
        </w:rPr>
        <w:t>8、信用信息：供应商未列入“信用中国”网站(www.creditchina.gov.cn)失信被执行人、重大税收违法失信主体、政府采购严重违法失信行为记录名单和“中国政府采购网”(www.ccgp.gov.cn)政府采购严重违法失信行为信息记录；</w:t>
      </w:r>
    </w:p>
    <w:p>
      <w:pPr>
        <w:pStyle w:val="null3"/>
      </w:pPr>
      <w:r>
        <w:rPr>
          <w:rFonts w:ascii="仿宋_GB2312" w:hAnsi="仿宋_GB2312" w:cs="仿宋_GB2312" w:eastAsia="仿宋_GB2312"/>
        </w:rPr>
        <w:t>9、供应商不得存在的情形：单位负责人为同一人或者存在直接控股、管理关系的不同供应商，不得参加同一合同项下的政府采购活动。</w:t>
      </w:r>
    </w:p>
    <w:p>
      <w:pPr>
        <w:pStyle w:val="null3"/>
      </w:pPr>
      <w:r>
        <w:rPr>
          <w:rFonts w:ascii="仿宋_GB2312" w:hAnsi="仿宋_GB2312" w:cs="仿宋_GB2312" w:eastAsia="仿宋_GB2312"/>
        </w:rPr>
        <w:t>10、是否允许联合体投标：本项目不接受联合体投标。</w:t>
      </w:r>
    </w:p>
    <w:p>
      <w:pPr>
        <w:pStyle w:val="null3"/>
      </w:pPr>
      <w:r>
        <w:rPr>
          <w:rFonts w:ascii="仿宋_GB2312" w:hAnsi="仿宋_GB2312" w:cs="仿宋_GB2312" w:eastAsia="仿宋_GB2312"/>
        </w:rPr>
        <w:t>11、磋商保证金：磋商保证金缴纳凭证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潼关县林业局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潼关县中心街西段198号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18009137122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房雪姣、王海英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18706883731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南毅</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18309130933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开户名称：中昕国际项目管理有限公司</w:t>
            </w:r>
          </w:p>
          <w:p>
            <w:pPr>
              <w:pStyle w:val="null3"/>
            </w:pPr>
            <w:r>
              <w:rPr>
                <w:rFonts w:ascii="仿宋_GB2312" w:hAnsi="仿宋_GB2312" w:cs="仿宋_GB2312" w:eastAsia="仿宋_GB2312"/>
              </w:rPr>
              <w:t>开户银行：平安银行西安经济技术开发区支行</w:t>
            </w:r>
          </w:p>
          <w:p>
            <w:pPr>
              <w:pStyle w:val="null3"/>
            </w:pPr>
            <w:r>
              <w:rPr>
                <w:rFonts w:ascii="仿宋_GB2312" w:hAnsi="仿宋_GB2312" w:cs="仿宋_GB2312" w:eastAsia="仿宋_GB2312"/>
              </w:rPr>
              <w:t>银行账号：30201687008601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计价格﹝2002﹞1980号、发改价格﹝2011﹞534号⽂件的计费标准，以成交（成交）价为基数计算，按照标准收取。由成交供应商在领取成交通知书前，⼀次性向采购代理机构缴纳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潼关县林业局</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潼关县林业局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潼关县林业局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按照国家标准及合同要求执行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联系人：房雪姣、王海英</w:t>
      </w:r>
    </w:p>
    <w:p>
      <w:pPr>
        <w:pStyle w:val="null3"/>
      </w:pPr>
      <w:r>
        <w:rPr>
          <w:rFonts w:ascii="仿宋_GB2312" w:hAnsi="仿宋_GB2312" w:cs="仿宋_GB2312" w:eastAsia="仿宋_GB2312"/>
        </w:rPr>
        <w:t>联系电话：18706883731</w:t>
      </w:r>
    </w:p>
    <w:p>
      <w:pPr>
        <w:pStyle w:val="null3"/>
      </w:pPr>
      <w:r>
        <w:rPr>
          <w:rFonts w:ascii="仿宋_GB2312" w:hAnsi="仿宋_GB2312" w:cs="仿宋_GB2312" w:eastAsia="仿宋_GB2312"/>
        </w:rPr>
        <w:t>地址：陕西省西安市未央区西安经济技术开发区凤城十二路首创禧悦里25幢A座16层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渭南市潼关县2026年度中央财政国家重点保护野生动物资源调查与监测项目。项目主要建设内容：布设30条调查样线，设置12个固定监测点开展国家重点保护野生鸟类调查监测;调查监测数据处理及成果编制等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陕西省渭南市潼关县2026年度中央财政国家重点保护野生动物资源调查与监测项目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标的名称：陕西省渭南市潼关县2026年度中央财政国家重点保护野生动物资源调查与监测项目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1.服务地点</w:t>
            </w:r>
          </w:p>
          <w:p>
            <w:pPr>
              <w:pStyle w:val="null3"/>
              <w:jc w:val="both"/>
            </w:pPr>
            <w:r>
              <w:rPr>
                <w:rFonts w:ascii="仿宋_GB2312" w:hAnsi="仿宋_GB2312" w:cs="仿宋_GB2312" w:eastAsia="仿宋_GB2312"/>
                <w:sz w:val="21"/>
              </w:rPr>
              <w:t>潼关县辖区范围内，重点覆盖县域南部秦岭北麓潼关段的重点保护野生动物主要活动区域，东起西峪、西至华阴蒲峪，面积</w:t>
            </w:r>
            <w:r>
              <w:rPr>
                <w:rFonts w:ascii="仿宋_GB2312" w:hAnsi="仿宋_GB2312" w:cs="仿宋_GB2312" w:eastAsia="仿宋_GB2312"/>
                <w:sz w:val="21"/>
              </w:rPr>
              <w:t>223平方公里，涵盖城关街道、太要镇、桐峪镇等3个镇(街)。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2.项目内容及规模</w:t>
            </w:r>
          </w:p>
          <w:p>
            <w:pPr>
              <w:pStyle w:val="null3"/>
              <w:jc w:val="left"/>
            </w:pPr>
            <w:r>
              <w:rPr>
                <w:rFonts w:ascii="仿宋_GB2312" w:hAnsi="仿宋_GB2312" w:cs="仿宋_GB2312" w:eastAsia="仿宋_GB2312"/>
                <w:sz w:val="21"/>
              </w:rPr>
              <w:t>陕西省渭南市潼关县</w:t>
            </w:r>
            <w:r>
              <w:rPr>
                <w:rFonts w:ascii="仿宋_GB2312" w:hAnsi="仿宋_GB2312" w:cs="仿宋_GB2312" w:eastAsia="仿宋_GB2312"/>
                <w:sz w:val="21"/>
              </w:rPr>
              <w:t>2026年度中央财政国家重点保护野生动物资源调查与监测项目。项目主要建设内容：布设30条调查样线，设置12个固定监测点开展国家重点保护野生鸟类调查监测;调查监测数据处理及成果编制等内容。</w:t>
            </w:r>
          </w:p>
          <w:p>
            <w:pPr>
              <w:pStyle w:val="null3"/>
              <w:jc w:val="left"/>
            </w:pPr>
            <w:r>
              <w:rPr>
                <w:rFonts w:ascii="仿宋_GB2312" w:hAnsi="仿宋_GB2312" w:cs="仿宋_GB2312" w:eastAsia="仿宋_GB2312"/>
                <w:sz w:val="21"/>
              </w:rPr>
              <w:t>国家重点保护野生动物资源调查与监测</w:t>
            </w:r>
          </w:p>
          <w:p>
            <w:pPr>
              <w:pStyle w:val="null3"/>
              <w:jc w:val="left"/>
            </w:pPr>
            <w:r>
              <w:rPr>
                <w:rFonts w:ascii="仿宋_GB2312" w:hAnsi="仿宋_GB2312" w:cs="仿宋_GB2312" w:eastAsia="仿宋_GB2312"/>
                <w:sz w:val="21"/>
              </w:rPr>
              <w:t>(1)抽样网格布设</w:t>
            </w:r>
          </w:p>
          <w:p>
            <w:pPr>
              <w:pStyle w:val="null3"/>
              <w:jc w:val="left"/>
            </w:pPr>
            <w:r>
              <w:rPr>
                <w:rFonts w:ascii="仿宋_GB2312" w:hAnsi="仿宋_GB2312" w:cs="仿宋_GB2312" w:eastAsia="仿宋_GB2312"/>
                <w:sz w:val="21"/>
              </w:rPr>
              <w:t>本次调查区为秦岭北麓潼关段，面积</w:t>
            </w:r>
            <w:r>
              <w:rPr>
                <w:rFonts w:ascii="仿宋_GB2312" w:hAnsi="仿宋_GB2312" w:cs="仿宋_GB2312" w:eastAsia="仿宋_GB2312"/>
                <w:sz w:val="21"/>
              </w:rPr>
              <w:t>223平方公里，按照本方案1.9.3所引用技术规范与规程，本次调查为全域调查，调查监测对象为鸟类、兽类。结合秦岭北麓山地特征、生境异质性及野生动物活动习性，采用3kmx3km正方形网格进行系统全覆盖划分，共布设网格41个，覆盖全域223平方公里，网格无盲区、无重叠，符合“系统抽样、全域覆盖、生境代表性”的核心原则。</w:t>
            </w:r>
          </w:p>
          <w:p>
            <w:pPr>
              <w:pStyle w:val="null3"/>
              <w:jc w:val="left"/>
            </w:pPr>
            <w:r>
              <w:rPr>
                <w:rFonts w:ascii="仿宋_GB2312" w:hAnsi="仿宋_GB2312" w:cs="仿宋_GB2312" w:eastAsia="仿宋_GB2312"/>
                <w:sz w:val="21"/>
              </w:rPr>
              <w:t>网格尺度兼顾县域调查</w:t>
            </w:r>
            <w:r>
              <w:rPr>
                <w:rFonts w:ascii="仿宋_GB2312" w:hAnsi="仿宋_GB2312" w:cs="仿宋_GB2312" w:eastAsia="仿宋_GB2312"/>
                <w:sz w:val="21"/>
              </w:rPr>
              <w:t>10kmx10km基础网格的规范性与秦岭山地复杂地形的实操性，符合规范中“抽样网格需覆盖全部主要生境类型、海拔梯度及水系单元”的要求，同时适配中小型兽类活动领域(通常1-3km)，有效避免因网格过大导致生境代表性不足、或过小引发空间自相关干扰的问题。同时，3kmx3km网格可确保抽样单元内布设</w:t>
            </w:r>
            <w:r>
              <w:rPr>
                <w:rFonts w:ascii="仿宋_GB2312" w:hAnsi="仿宋_GB2312" w:cs="仿宋_GB2312" w:eastAsia="仿宋_GB2312"/>
                <w:sz w:val="24"/>
              </w:rPr>
              <w:t>≥</w:t>
            </w:r>
            <w:r>
              <w:rPr>
                <w:rFonts w:ascii="仿宋_GB2312" w:hAnsi="仿宋_GB2312" w:cs="仿宋_GB2312" w:eastAsia="仿宋_GB2312"/>
                <w:sz w:val="21"/>
              </w:rPr>
              <w:t>1条样线(单条长度</w:t>
            </w:r>
            <w:r>
              <w:rPr>
                <w:rFonts w:ascii="仿宋_GB2312" w:hAnsi="仿宋_GB2312" w:cs="仿宋_GB2312" w:eastAsia="仿宋_GB2312"/>
                <w:sz w:val="24"/>
              </w:rPr>
              <w:t>≥</w:t>
            </w:r>
            <w:r>
              <w:rPr>
                <w:rFonts w:ascii="仿宋_GB2312" w:hAnsi="仿宋_GB2312" w:cs="仿宋_GB2312" w:eastAsia="仿宋_GB2312"/>
                <w:sz w:val="21"/>
              </w:rPr>
              <w:t>3km，符合秦岭深山样线长度标准)，样线间距</w:t>
            </w:r>
            <w:r>
              <w:rPr>
                <w:rFonts w:ascii="仿宋_GB2312" w:hAnsi="仿宋_GB2312" w:cs="仿宋_GB2312" w:eastAsia="仿宋_GB2312"/>
                <w:sz w:val="24"/>
              </w:rPr>
              <w:t>≥</w:t>
            </w:r>
            <w:r>
              <w:rPr>
                <w:rFonts w:ascii="仿宋_GB2312" w:hAnsi="仿宋_GB2312" w:cs="仿宋_GB2312" w:eastAsia="仿宋_GB2312"/>
                <w:sz w:val="21"/>
              </w:rPr>
              <w:t>1km，满足森林景观样线布设密度与独立性要求，保障调查数据的科学性、可比性与完整性。</w:t>
            </w:r>
          </w:p>
          <w:p>
            <w:pPr>
              <w:pStyle w:val="null3"/>
              <w:jc w:val="left"/>
            </w:pPr>
            <w:r>
              <w:rPr>
                <w:rFonts w:ascii="仿宋_GB2312" w:hAnsi="仿宋_GB2312" w:cs="仿宋_GB2312" w:eastAsia="仿宋_GB2312"/>
                <w:sz w:val="21"/>
              </w:rPr>
              <w:t>本次抽样网格布设严格遵守现行国家及行业技术规范，充分匹配潼关县秦岭北麓的地形与生境特征，抽样强度与空间布局科学合理，能够全面、客观反映项目区野生动物现状与分布格局。抽样网格详见图</w:t>
            </w:r>
            <w:r>
              <w:rPr>
                <w:rFonts w:ascii="仿宋_GB2312" w:hAnsi="仿宋_GB2312" w:cs="仿宋_GB2312" w:eastAsia="仿宋_GB2312"/>
                <w:sz w:val="21"/>
              </w:rPr>
              <w:t>2。</w:t>
            </w:r>
          </w:p>
          <w:p>
            <w:pPr>
              <w:pStyle w:val="null3"/>
              <w:jc w:val="left"/>
            </w:pPr>
            <w:r>
              <w:rPr>
                <w:rFonts w:ascii="仿宋_GB2312" w:hAnsi="仿宋_GB2312" w:cs="仿宋_GB2312" w:eastAsia="仿宋_GB2312"/>
                <w:sz w:val="21"/>
              </w:rPr>
              <w:t>(2)预设调查样线</w:t>
            </w:r>
          </w:p>
          <w:p>
            <w:pPr>
              <w:pStyle w:val="null3"/>
              <w:jc w:val="left"/>
            </w:pPr>
            <w:r>
              <w:rPr>
                <w:rFonts w:ascii="仿宋_GB2312" w:hAnsi="仿宋_GB2312" w:cs="仿宋_GB2312" w:eastAsia="仿宋_GB2312"/>
                <w:sz w:val="21"/>
              </w:rPr>
              <w:t>采用系统抽样与典型抽样相结合的方式，共布设</w:t>
            </w:r>
            <w:r>
              <w:rPr>
                <w:rFonts w:ascii="仿宋_GB2312" w:hAnsi="仿宋_GB2312" w:cs="仿宋_GB2312" w:eastAsia="仿宋_GB2312"/>
                <w:sz w:val="21"/>
              </w:rPr>
              <w:t>30条调查样线，同时在样线上等间距或按关键生境斑块布设调查样点，每条样线布设3一6个调查样点，满足调查精度与代表性要求。</w:t>
            </w:r>
          </w:p>
          <w:p>
            <w:pPr>
              <w:pStyle w:val="null3"/>
              <w:jc w:val="left"/>
            </w:pPr>
            <w:r>
              <w:rPr>
                <w:rFonts w:ascii="仿宋_GB2312" w:hAnsi="仿宋_GB2312" w:cs="仿宋_GB2312" w:eastAsia="仿宋_GB2312"/>
                <w:sz w:val="21"/>
              </w:rPr>
              <w:t>典型抽样</w:t>
            </w:r>
            <w:r>
              <w:rPr>
                <w:rFonts w:ascii="仿宋_GB2312" w:hAnsi="仿宋_GB2312" w:cs="仿宋_GB2312" w:eastAsia="仿宋_GB2312"/>
                <w:sz w:val="21"/>
              </w:rPr>
              <w:t>:结合潼关县秦岭北麓山地地形特征及鸟类、兽类野生动物栖息习性，从布设的41个3kmx3km抽样网格中，重点筛选出含海拔1500米以上区域的网格共计20个。该海拔区域为秦岭北麓兽类(尤其是中小型兽类、林栖兽类)的核心栖息与活动区域，生境类型具有典型性和代表性，符合调查技术要求，每个筛选出的典型网格内布设1条调查样线，共计布设典型抽样样线20条。</w:t>
            </w:r>
          </w:p>
          <w:p>
            <w:pPr>
              <w:pStyle w:val="null3"/>
              <w:jc w:val="left"/>
            </w:pPr>
            <w:r>
              <w:rPr>
                <w:rFonts w:ascii="仿宋_GB2312" w:hAnsi="仿宋_GB2312" w:cs="仿宋_GB2312" w:eastAsia="仿宋_GB2312"/>
                <w:sz w:val="21"/>
              </w:rPr>
              <w:t>系统抽样</w:t>
            </w:r>
            <w:r>
              <w:rPr>
                <w:rFonts w:ascii="仿宋_GB2312" w:hAnsi="仿宋_GB2312" w:cs="仿宋_GB2312" w:eastAsia="仿宋_GB2312"/>
                <w:sz w:val="21"/>
              </w:rPr>
              <w:t>:针对剩余21个海拔1500米以下的网格，采用等间隔系统抽样法进行布设，确保样线空间分布均匀，避免抽样偏差。结合网格分布格局，按等间隔原则均匀抽取10个网格，每个抽取的网格内布设1条调查样线，严格遵循“同一生境类型样线间距</w:t>
            </w:r>
            <w:r>
              <w:rPr>
                <w:rFonts w:ascii="仿宋_GB2312" w:hAnsi="仿宋_GB2312" w:cs="仿宋_GB2312" w:eastAsia="仿宋_GB2312"/>
                <w:sz w:val="24"/>
              </w:rPr>
              <w:t>≥</w:t>
            </w:r>
            <w:r>
              <w:rPr>
                <w:rFonts w:ascii="仿宋_GB2312" w:hAnsi="仿宋_GB2312" w:cs="仿宋_GB2312" w:eastAsia="仿宋_GB2312"/>
                <w:sz w:val="21"/>
              </w:rPr>
              <w:t>1km”的规范要求，共计布设系统抽样样线10条。</w:t>
            </w:r>
          </w:p>
          <w:p>
            <w:pPr>
              <w:pStyle w:val="null3"/>
              <w:jc w:val="left"/>
            </w:pPr>
            <w:r>
              <w:rPr>
                <w:rFonts w:ascii="仿宋_GB2312" w:hAnsi="仿宋_GB2312" w:cs="仿宋_GB2312" w:eastAsia="仿宋_GB2312"/>
                <w:sz w:val="21"/>
              </w:rPr>
              <w:t>典型抽样与系统抽样相结合，重点覆盖项目区高海拔关键栖息区域，整体抽样设计符合全域调查要求，能够全面反映潼关县秦岭北麓不同海拔、不同生境下鸟类、兽类野生动物分布现状，确保调查数据的科学性、代表性和完整性。</w:t>
            </w:r>
          </w:p>
          <w:p>
            <w:pPr>
              <w:pStyle w:val="null3"/>
              <w:jc w:val="left"/>
            </w:pPr>
            <w:r>
              <w:rPr>
                <w:rFonts w:ascii="仿宋_GB2312" w:hAnsi="仿宋_GB2312" w:cs="仿宋_GB2312" w:eastAsia="仿宋_GB2312"/>
                <w:sz w:val="21"/>
              </w:rPr>
              <w:t>(3)调查频次</w:t>
            </w:r>
          </w:p>
          <w:p>
            <w:pPr>
              <w:pStyle w:val="null3"/>
              <w:jc w:val="left"/>
            </w:pPr>
            <w:r>
              <w:rPr>
                <w:rFonts w:ascii="仿宋_GB2312" w:hAnsi="仿宋_GB2312" w:cs="仿宋_GB2312" w:eastAsia="仿宋_GB2312"/>
                <w:sz w:val="21"/>
              </w:rPr>
              <w:t>调查频次</w:t>
            </w:r>
            <w:r>
              <w:rPr>
                <w:rFonts w:ascii="仿宋_GB2312" w:hAnsi="仿宋_GB2312" w:cs="仿宋_GB2312" w:eastAsia="仿宋_GB2312"/>
                <w:sz w:val="21"/>
              </w:rPr>
              <w:t>:结合物候特征与</w:t>
            </w:r>
            <w:r>
              <w:rPr>
                <w:rFonts w:ascii="仿宋_GB2312" w:hAnsi="仿宋_GB2312" w:cs="仿宋_GB2312" w:eastAsia="仿宋_GB2312"/>
                <w:sz w:val="21"/>
              </w:rPr>
              <w:t>鸟</w:t>
            </w:r>
            <w:r>
              <w:rPr>
                <w:rFonts w:ascii="仿宋_GB2312" w:hAnsi="仿宋_GB2312" w:cs="仿宋_GB2312" w:eastAsia="仿宋_GB2312"/>
                <w:sz w:val="21"/>
              </w:rPr>
              <w:t>类、兽类野生动物生活特点，</w:t>
            </w:r>
            <w:r>
              <w:rPr>
                <w:rFonts w:ascii="仿宋_GB2312" w:hAnsi="仿宋_GB2312" w:cs="仿宋_GB2312" w:eastAsia="仿宋_GB2312"/>
                <w:sz w:val="21"/>
              </w:rPr>
              <w:t>2026年6-8月开展夏季野生动物调查，2026年9-12月开展秋季及冬季野生动物调查。调查共2次，每次调查周期15一20天.</w:t>
            </w:r>
          </w:p>
          <w:p>
            <w:pPr>
              <w:pStyle w:val="null3"/>
              <w:jc w:val="left"/>
            </w:pPr>
            <w:r>
              <w:rPr>
                <w:rFonts w:ascii="仿宋_GB2312" w:hAnsi="仿宋_GB2312" w:cs="仿宋_GB2312" w:eastAsia="仿宋_GB2312"/>
                <w:sz w:val="21"/>
              </w:rPr>
              <w:t>(4)调查对象</w:t>
            </w:r>
          </w:p>
          <w:p>
            <w:pPr>
              <w:pStyle w:val="null3"/>
              <w:jc w:val="left"/>
            </w:pPr>
            <w:r>
              <w:rPr>
                <w:rFonts w:ascii="仿宋_GB2312" w:hAnsi="仿宋_GB2312" w:cs="仿宋_GB2312" w:eastAsia="仿宋_GB2312"/>
                <w:sz w:val="21"/>
              </w:rPr>
              <w:t>鸟类、兽类中的国家一级、二级重点保护野生动物</w:t>
            </w:r>
            <w:r>
              <w:rPr>
                <w:rFonts w:ascii="仿宋_GB2312" w:hAnsi="仿宋_GB2312" w:cs="仿宋_GB2312" w:eastAsia="仿宋_GB2312"/>
                <w:sz w:val="21"/>
              </w:rPr>
              <w:t>;</w:t>
            </w:r>
          </w:p>
          <w:p>
            <w:pPr>
              <w:pStyle w:val="null3"/>
            </w:pPr>
            <w:r>
              <w:rPr>
                <w:rFonts w:ascii="仿宋_GB2312" w:hAnsi="仿宋_GB2312" w:cs="仿宋_GB2312" w:eastAsia="仿宋_GB2312"/>
                <w:sz w:val="21"/>
              </w:rPr>
              <w:t>栖息地与威胁因素</w:t>
            </w:r>
            <w:r>
              <w:rPr>
                <w:rFonts w:ascii="仿宋_GB2312" w:hAnsi="仿宋_GB2312" w:cs="仿宋_GB2312" w:eastAsia="仿宋_GB2312"/>
                <w:sz w:val="21"/>
              </w:rPr>
              <w:t>:栖息地类型、分布、人为干扰来源与强度。</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3.监测体系建设</w:t>
            </w:r>
          </w:p>
          <w:p>
            <w:pPr>
              <w:pStyle w:val="null3"/>
              <w:jc w:val="left"/>
            </w:pPr>
            <w:r>
              <w:rPr>
                <w:rFonts w:ascii="仿宋_GB2312" w:hAnsi="仿宋_GB2312" w:cs="仿宋_GB2312" w:eastAsia="仿宋_GB2312"/>
                <w:sz w:val="21"/>
              </w:rPr>
              <w:t>（1）红外相机监测</w:t>
            </w:r>
          </w:p>
          <w:p>
            <w:pPr>
              <w:pStyle w:val="null3"/>
              <w:jc w:val="left"/>
            </w:pPr>
            <w:r>
              <w:rPr>
                <w:rFonts w:ascii="仿宋_GB2312" w:hAnsi="仿宋_GB2312" w:cs="仿宋_GB2312" w:eastAsia="仿宋_GB2312"/>
                <w:sz w:val="21"/>
              </w:rPr>
              <w:t>在中山区高度</w:t>
            </w:r>
            <w:r>
              <w:rPr>
                <w:rFonts w:ascii="仿宋_GB2312" w:hAnsi="仿宋_GB2312" w:cs="仿宋_GB2312" w:eastAsia="仿宋_GB2312"/>
                <w:sz w:val="21"/>
              </w:rPr>
              <w:t>1500米以上的野生动物集中活动区域，设置12个固定监测点，每个监测点配备红外相机1台(续航</w:t>
            </w:r>
            <w:r>
              <w:rPr>
                <w:rFonts w:ascii="仿宋_GB2312" w:hAnsi="仿宋_GB2312" w:cs="仿宋_GB2312" w:eastAsia="仿宋_GB2312"/>
                <w:sz w:val="24"/>
              </w:rPr>
              <w:t>≥</w:t>
            </w:r>
            <w:r>
              <w:rPr>
                <w:rFonts w:ascii="仿宋_GB2312" w:hAnsi="仿宋_GB2312" w:cs="仿宋_GB2312" w:eastAsia="仿宋_GB2312"/>
                <w:sz w:val="21"/>
              </w:rPr>
              <w:t>6个月，支持实时触发和红外夜视)，监测点位置见图4，具体包括:</w:t>
            </w:r>
          </w:p>
          <w:p>
            <w:pPr>
              <w:pStyle w:val="null3"/>
              <w:jc w:val="left"/>
            </w:pPr>
            <w:r>
              <w:rPr>
                <w:rFonts w:ascii="仿宋_GB2312" w:hAnsi="仿宋_GB2312" w:cs="仿宋_GB2312" w:eastAsia="仿宋_GB2312"/>
                <w:sz w:val="21"/>
                <w:color w:val="000000"/>
              </w:rPr>
              <w:t>西峪</w:t>
            </w:r>
            <w:r>
              <w:rPr>
                <w:rFonts w:ascii="仿宋_GB2312" w:hAnsi="仿宋_GB2312" w:cs="仿宋_GB2312" w:eastAsia="仿宋_GB2312"/>
                <w:sz w:val="21"/>
                <w:color w:val="000000"/>
              </w:rPr>
              <w:t>:布设1个监测点，位于蛇沟附近;</w:t>
            </w:r>
          </w:p>
          <w:p>
            <w:pPr>
              <w:pStyle w:val="null3"/>
              <w:jc w:val="left"/>
            </w:pPr>
            <w:r>
              <w:rPr>
                <w:rFonts w:ascii="仿宋_GB2312" w:hAnsi="仿宋_GB2312" w:cs="仿宋_GB2312" w:eastAsia="仿宋_GB2312"/>
                <w:sz w:val="21"/>
                <w:color w:val="000000"/>
              </w:rPr>
              <w:t>东桐峪</w:t>
            </w:r>
            <w:r>
              <w:rPr>
                <w:rFonts w:ascii="仿宋_GB2312" w:hAnsi="仿宋_GB2312" w:cs="仿宋_GB2312" w:eastAsia="仿宋_GB2312"/>
                <w:sz w:val="21"/>
                <w:color w:val="000000"/>
              </w:rPr>
              <w:t>:布设3个监测点，1个位于八道脑峰附近，1个位于烧粟沟附近，1个位于北赵村与梯子沟之间;</w:t>
            </w:r>
          </w:p>
          <w:p>
            <w:pPr>
              <w:pStyle w:val="null3"/>
              <w:jc w:val="left"/>
            </w:pPr>
            <w:r>
              <w:rPr>
                <w:rFonts w:ascii="仿宋_GB2312" w:hAnsi="仿宋_GB2312" w:cs="仿宋_GB2312" w:eastAsia="仿宋_GB2312"/>
                <w:sz w:val="21"/>
                <w:color w:val="000000"/>
              </w:rPr>
              <w:t>善车峪</w:t>
            </w:r>
            <w:r>
              <w:rPr>
                <w:rFonts w:ascii="仿宋_GB2312" w:hAnsi="仿宋_GB2312" w:cs="仿宋_GB2312" w:eastAsia="仿宋_GB2312"/>
                <w:sz w:val="21"/>
                <w:color w:val="000000"/>
              </w:rPr>
              <w:t>:布设2个监测点，1个位于槐树沟口附近，一个位于东沟;</w:t>
            </w:r>
          </w:p>
          <w:p>
            <w:pPr>
              <w:pStyle w:val="null3"/>
              <w:jc w:val="left"/>
            </w:pPr>
            <w:r>
              <w:rPr>
                <w:rFonts w:ascii="仿宋_GB2312" w:hAnsi="仿宋_GB2312" w:cs="仿宋_GB2312" w:eastAsia="仿宋_GB2312"/>
                <w:sz w:val="21"/>
                <w:color w:val="000000"/>
              </w:rPr>
              <w:t>太峪</w:t>
            </w:r>
            <w:r>
              <w:rPr>
                <w:rFonts w:ascii="仿宋_GB2312" w:hAnsi="仿宋_GB2312" w:cs="仿宋_GB2312" w:eastAsia="仿宋_GB2312"/>
                <w:sz w:val="21"/>
                <w:color w:val="000000"/>
              </w:rPr>
              <w:t>:布设1个监测点，位于槐树店附近;</w:t>
            </w:r>
          </w:p>
          <w:p>
            <w:pPr>
              <w:pStyle w:val="null3"/>
              <w:jc w:val="left"/>
            </w:pPr>
            <w:r>
              <w:rPr>
                <w:rFonts w:ascii="仿宋_GB2312" w:hAnsi="仿宋_GB2312" w:cs="仿宋_GB2312" w:eastAsia="仿宋_GB2312"/>
                <w:sz w:val="21"/>
                <w:color w:val="000000"/>
              </w:rPr>
              <w:t>麻峪</w:t>
            </w:r>
            <w:r>
              <w:rPr>
                <w:rFonts w:ascii="仿宋_GB2312" w:hAnsi="仿宋_GB2312" w:cs="仿宋_GB2312" w:eastAsia="仿宋_GB2312"/>
                <w:sz w:val="21"/>
                <w:color w:val="000000"/>
              </w:rPr>
              <w:t>:布设1个监测点，位于大岔附近;</w:t>
            </w:r>
          </w:p>
          <w:p>
            <w:pPr>
              <w:pStyle w:val="null3"/>
              <w:jc w:val="left"/>
            </w:pPr>
            <w:r>
              <w:rPr>
                <w:rFonts w:ascii="仿宋_GB2312" w:hAnsi="仿宋_GB2312" w:cs="仿宋_GB2312" w:eastAsia="仿宋_GB2312"/>
                <w:sz w:val="21"/>
                <w:color w:val="000000"/>
              </w:rPr>
              <w:t>蒿岔峪</w:t>
            </w:r>
            <w:r>
              <w:rPr>
                <w:rFonts w:ascii="仿宋_GB2312" w:hAnsi="仿宋_GB2312" w:cs="仿宋_GB2312" w:eastAsia="仿宋_GB2312"/>
                <w:sz w:val="21"/>
                <w:color w:val="000000"/>
              </w:rPr>
              <w:t>:布设1个监测点，位于甘斜洼附近;</w:t>
            </w:r>
          </w:p>
          <w:p>
            <w:pPr>
              <w:pStyle w:val="null3"/>
              <w:jc w:val="left"/>
            </w:pPr>
            <w:r>
              <w:rPr>
                <w:rFonts w:ascii="仿宋_GB2312" w:hAnsi="仿宋_GB2312" w:cs="仿宋_GB2312" w:eastAsia="仿宋_GB2312"/>
                <w:sz w:val="21"/>
                <w:color w:val="000000"/>
              </w:rPr>
              <w:t>西潼峪</w:t>
            </w:r>
            <w:r>
              <w:rPr>
                <w:rFonts w:ascii="仿宋_GB2312" w:hAnsi="仿宋_GB2312" w:cs="仿宋_GB2312" w:eastAsia="仿宋_GB2312"/>
                <w:sz w:val="21"/>
                <w:color w:val="000000"/>
              </w:rPr>
              <w:t>:布设3个监测点，1个位于南岔附近，1个位于北岔口附近，1个位于七岔峪西侧。</w:t>
            </w:r>
          </w:p>
          <w:p>
            <w:pPr>
              <w:pStyle w:val="null3"/>
              <w:jc w:val="left"/>
            </w:pPr>
            <w:r>
              <w:rPr>
                <w:rFonts w:ascii="仿宋_GB2312" w:hAnsi="仿宋_GB2312" w:cs="仿宋_GB2312" w:eastAsia="仿宋_GB2312"/>
                <w:sz w:val="21"/>
                <w:color w:val="000000"/>
              </w:rPr>
              <w:t>秦岭北麓潼关段主要范围被</w:t>
            </w:r>
            <w:r>
              <w:rPr>
                <w:rFonts w:ascii="仿宋_GB2312" w:hAnsi="仿宋_GB2312" w:cs="仿宋_GB2312" w:eastAsia="仿宋_GB2312"/>
                <w:sz w:val="21"/>
                <w:color w:val="000000"/>
              </w:rPr>
              <w:t>7条峪道(西峪、东桐峪、善车峪、太峪、麻峪、蒿岔峪、西潼峪)覆盖，以上固定监测点依托峪道检查站和国有林场管护站靠前设置，充分考虑地貌特征、生境类型及人为活动因素，监测点的布置基本覆盖7条峪道的中山区鸟类、兽类野生动物活动通道、水源地、觅食区等典型区域，重点监测野生动物活动、人为活动对野生动物栖息地的潜在干扰、省际边界野生动物活动及栖息地连通等状况，实现对野生动物栖息繁衍地、集中分布地、迁徙通道的有效监测，为秦岭潼关段生物多样性保护提供科学数据支撑。</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2）设备购置</w:t>
            </w:r>
          </w:p>
          <w:p>
            <w:pPr>
              <w:pStyle w:val="null3"/>
            </w:pPr>
            <w:r>
              <w:rPr>
                <w:rFonts w:ascii="仿宋_GB2312" w:hAnsi="仿宋_GB2312" w:cs="仿宋_GB2312" w:eastAsia="仿宋_GB2312"/>
                <w:sz w:val="21"/>
                <w:color w:val="000000"/>
              </w:rPr>
              <w:t>购置调查与监测设备共</w:t>
            </w:r>
            <w:r>
              <w:rPr>
                <w:rFonts w:ascii="仿宋_GB2312" w:hAnsi="仿宋_GB2312" w:cs="仿宋_GB2312" w:eastAsia="仿宋_GB2312"/>
                <w:sz w:val="21"/>
                <w:color w:val="000000"/>
              </w:rPr>
              <w:t>12</w:t>
            </w:r>
            <w:r>
              <w:rPr>
                <w:rFonts w:ascii="仿宋_GB2312" w:hAnsi="仿宋_GB2312" w:cs="仿宋_GB2312" w:eastAsia="仿宋_GB2312"/>
                <w:sz w:val="21"/>
                <w:color w:val="000000"/>
              </w:rPr>
              <w:t>台</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19"/>
              </w:rPr>
              <w:t>4.</w:t>
            </w:r>
            <w:r>
              <w:rPr>
                <w:rFonts w:ascii="仿宋_GB2312" w:hAnsi="仿宋_GB2312" w:cs="仿宋_GB2312" w:eastAsia="仿宋_GB2312"/>
                <w:sz w:val="21"/>
              </w:rPr>
              <w:t>数据处理与成果编制</w:t>
            </w:r>
          </w:p>
          <w:p>
            <w:pPr>
              <w:pStyle w:val="null3"/>
              <w:jc w:val="left"/>
            </w:pPr>
            <w:r>
              <w:rPr>
                <w:rFonts w:ascii="仿宋_GB2312" w:hAnsi="仿宋_GB2312" w:cs="仿宋_GB2312" w:eastAsia="仿宋_GB2312"/>
                <w:sz w:val="21"/>
              </w:rPr>
              <w:t>数据处理与分析</w:t>
            </w:r>
            <w:r>
              <w:rPr>
                <w:rFonts w:ascii="仿宋_GB2312" w:hAnsi="仿宋_GB2312" w:cs="仿宋_GB2312" w:eastAsia="仿宋_GB2312"/>
                <w:sz w:val="21"/>
              </w:rPr>
              <w:t>:对野外调查数据(物种数量、分布坐标、生境参数、威胁因素)进行录入、清洗与校验，采用GIS技术进行空间分析，绘制物种分布地图;运用统计软件进行种群数量统计、栖息地适宜性评价，识别关键保护区域。</w:t>
            </w:r>
          </w:p>
          <w:p>
            <w:pPr>
              <w:pStyle w:val="null3"/>
            </w:pPr>
            <w:r>
              <w:rPr>
                <w:rFonts w:ascii="仿宋_GB2312" w:hAnsi="仿宋_GB2312" w:cs="仿宋_GB2312" w:eastAsia="仿宋_GB2312"/>
                <w:sz w:val="21"/>
              </w:rPr>
              <w:t>成果编制</w:t>
            </w:r>
            <w:r>
              <w:rPr>
                <w:rFonts w:ascii="仿宋_GB2312" w:hAnsi="仿宋_GB2312" w:cs="仿宋_GB2312" w:eastAsia="仿宋_GB2312"/>
                <w:sz w:val="21"/>
              </w:rPr>
              <w:t>:编制《潼关县秦岭区域2026年度国家重点保护野生动物资源调查监测报告》，内容包括调查方法、物种本底现状、栖息地评估、威胁因素分析及保护建议，并附调查原始数据、影像资料(物种照片、视频、样线轨迹)及相关图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需执行的国家相关标准、行业标准或者其他标准、规范标准 1.法律法 （1）《中华人民共和国野生动物保护法》（2022年修订）; （2）《中华人民共和国森林法》（2019年修订）; （3）《中华人民共和国环境保护法》（2014年修订）; （4）《陕西省秦岭生态环境保护条例》（2019年修订）; （5）《陕西省实施&lt;中华人民共和国野生动物保护法&gt;办法》（2023年修订）。 2.政策文件 （1）《国家重点保护野生动物名录》（国家林业和草原局、农业农村部公告 2021年第3号）; （2）《陕西省重点保护野生动物名录》（陕政函[2022]55号）; （3）《有重要生态科学社会价值的陆生野生动物名录》（国家林业和草原局公告2023年第17号）。 3.技术规范与规程 （1）《陆生野生动物及其栖息地调查技术规程第1部分:导则》（GB/T37364.1-2019）; （2）《陆生野生动物及其栖息地调查技术规程第2部分:调查区划》（GB/T 37364.2-2024）; （3）《陆生野生动物及其栖息地调查技术规程第3部分:兽类》（GB/T37364.3-2024）; （4）《陆生野生动物及其栖息地调查技术规程第4部分:鸟类》GB/T37364.4-2024）； （5）《生物多样性观测技术导则 红外相机技术》（HJ710.15-2023）; （6）《生物多样性观测技术导则 陆生哺乳动物》（HJ710.3-2014）; （7）《县域陆生哺乳动物多样性调查与评估技术规定》（公告 2017年第84号，附件3，中华人民共和国生态环境部）; （8）《全国动物物种资源调查技术规定（试行）》（环境保护部[2010]27号）; （9）相应国家及地方的规范、规程。</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按照国家标准及合同要求执行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进度款，当服务任务完成50%以上，达到付款条件起7个工作日内，支付合同总金额的40.0%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进度款，经主管部门审核通过后，达到付款条件起7个工作日内，支付合同总金额的30.0%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按照国家标准及合同要求执行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1、供应商应保证其提供的资料真实有效。 2、中标（成交）供应商在领取中标（成交）通知书时提供一正两副纸质投标文件（与电子投标文件一致的签字、盖章的完整版本），纸质投标文件采用书籍（胶装）方式装订成册。 3、若采用保函形式缴纳保证金的供应商，需在文件递交截止之日前，将保函原件交至代理公司。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供应商应具备独立承担民事责任能力的法人、其他组织或自然人，提供合法有效的统一社会信用代码的营业执照副本或相关证明（自然人提供身份证复印件）；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明，并与营业执照上信息一致；法定代表人（或负责人）授权代表参加磋商的，须出具法定代表人（或负责人）授权书及授权代表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提供具有财务审计资质单位出具的2025年度的财务报告或响应文件提交截止时间前六个月内其基本账户银行出具的资信证明；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供应商提供响应文件提交截止时间前一年内任意一个月的社会保障资金缴存证明或社保机构开具的社会保险参保缴费情况证明；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税收证明</w:t>
            </w:r>
          </w:p>
        </w:tc>
        <w:tc>
          <w:tcPr>
            <w:tcW w:type="dxa" w:w="3322"/>
          </w:tcPr>
          <w:p>
            <w:pPr>
              <w:pStyle w:val="null3"/>
            </w:pPr>
            <w:r>
              <w:rPr>
                <w:rFonts w:ascii="仿宋_GB2312" w:hAnsi="仿宋_GB2312" w:cs="仿宋_GB2312" w:eastAsia="仿宋_GB2312"/>
              </w:rPr>
              <w:t>供应商提供响应文件提交截止时间前一年内任意一个月的依法缴纳税收的相关证明，依法免税需提供相关证明材料；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提供供应商参加政府采购活动前三年内在经营活动中没有重大违法记录的声明；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专业技术能力的书面声明</w:t>
            </w:r>
          </w:p>
        </w:tc>
        <w:tc>
          <w:tcPr>
            <w:tcW w:type="dxa" w:w="3322"/>
          </w:tcPr>
          <w:p>
            <w:pPr>
              <w:pStyle w:val="null3"/>
            </w:pPr>
            <w:r>
              <w:rPr>
                <w:rFonts w:ascii="仿宋_GB2312" w:hAnsi="仿宋_GB2312" w:cs="仿宋_GB2312" w:eastAsia="仿宋_GB2312"/>
              </w:rPr>
              <w:t>供应商提供具有履行合同所必需的设备和专业技术能力的书面声明。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供应商未列入“信用中国”网站(www.creditchina.gov.cn)失信被执行人、重大税收违法失信主体、政府采购严重违法失信行为记录名单和“中国政府采购网”(www.ccgp.gov.cn)政府采购严重违法失信行为信息记录；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供应商不得存在的情形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是否允许联合体投标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磋商保证金缴纳凭证</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磋商响应文件签字、盖章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供应商磋商报价未出现选择性报价，未超出采购最高限价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响应有效期满足磋商文件的要求</w:t>
            </w:r>
          </w:p>
        </w:tc>
        <w:tc>
          <w:tcPr>
            <w:tcW w:type="dxa" w:w="1661"/>
          </w:tcPr>
          <w:p>
            <w:pPr>
              <w:pStyle w:val="null3"/>
            </w:pPr>
            <w:r>
              <w:rPr>
                <w:rFonts w:ascii="仿宋_GB2312" w:hAnsi="仿宋_GB2312" w:cs="仿宋_GB2312" w:eastAsia="仿宋_GB2312"/>
              </w:rPr>
              <w:t>响应文件封面 商务应答表 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服务期满足或优于采购要求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除明确允许供应商可以自行编写的外，磋商响应文件是否按照磋商文件给定的格式和要求编制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 报价明细表.docx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评审得分相同的，按照最后报价由低到高的顺序推荐。评审得分且最后报价相同的，按照技术指标优劣顺序推荐。评审得分且最后报价且技术指标得分均相同的，由评审专家无记名投票决定。</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对本项目的理解与重难点分析</w:t>
            </w:r>
          </w:p>
        </w:tc>
        <w:tc>
          <w:tcPr>
            <w:tcW w:type="dxa" w:w="2492"/>
          </w:tcPr>
          <w:p>
            <w:pPr>
              <w:pStyle w:val="null3"/>
            </w:pPr>
            <w:r>
              <w:rPr>
                <w:rFonts w:ascii="仿宋_GB2312" w:hAnsi="仿宋_GB2312" w:cs="仿宋_GB2312" w:eastAsia="仿宋_GB2312"/>
              </w:rPr>
              <w:t>一、评审内容：对本项目的理解与重难点分析，包括不限于：①对项目的理解和认识；②项目重难点分析；③合理化建议等。 二、评审标准：以上3项，以序号①、②、③为项数，内容无缺项且无缺陷的得9分，其中每有一项内容存在缺项扣3分，每项内容中每有一处存在缺陷的扣0.5分，该项分值扣完为止，未提供不得分。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一、评审内容：针对本项目的总体服务方案，包括不限于：①调查方式；②监测范围；③服务内容；④工作流程；⑤具体监测技术方案；⑥管理制度等。 二、评审标准：以上6项，以序号①、②、③、④、⑤、⑥为项数，内容无缺项、无漏项且无缺陷的得18分，其中每有一项内容存在缺项或漏项的扣3分，每项内容中每有一处存在缺陷的扣0.5分，该项分值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一、评审内容：针对本项目的质量保障措施，包含不限于：①质量管理体系及措施；②项目进度保障措施；③安全保证措施等。 二、评审标准：以上3项，以序号①、②、③为项数，内容无缺项、无漏项且无缺陷的得9分，其中每有一项内容存在缺项或漏项的扣3分，每项内容中每有一处存在缺陷的扣1分，该项分值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供应商提供具有针对突发特殊情况的应急保障措施。确保在发生紧急事件及其他问题时，能够及时、有效地解决问题，保证本项目顺利进行。二、评审标准：提供详细、合理、科学可行的方案，方案符合本项目采购需求有针对性，得4分；内容存在缺陷扣1分；该项分值扣完为止，未提供不得分。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1、本项目配备作业人员不少于 4 人，人员须具有专科及以上学历。满足 4 人得 8 分，每少 1 人扣 2 分，扣至本小项 0 分为止。（注：①学历以毕业证书为准，须提供毕业证书复印件或扫描件并加盖供应商公章，②"作业人员" 指直接从事本项目野外调查、监测及数据处理的专职人员，项目负责人可计入作业人员。）2、每提供 1 名相关专业中级及以上职称人员得 2 分，最高得 8 分。职称以响应文件中所附职称证书复印件或扫描件（加盖供应商公章）为准；同一人员持有多个职称证书的，仅计 1 次，不重复计分。 本小项累计最高 16 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人员配置（2）</w:t>
            </w:r>
          </w:p>
        </w:tc>
        <w:tc>
          <w:tcPr>
            <w:tcW w:type="dxa" w:w="2492"/>
          </w:tcPr>
          <w:p>
            <w:pPr>
              <w:pStyle w:val="null3"/>
            </w:pPr>
            <w:r>
              <w:rPr>
                <w:rFonts w:ascii="仿宋_GB2312" w:hAnsi="仿宋_GB2312" w:cs="仿宋_GB2312" w:eastAsia="仿宋_GB2312"/>
              </w:rPr>
              <w:t>1、项目负责人具有大学本科及以上学历得 2 分；大学专科学历得 1 分；其他得 0 分。须提供毕业证书复印件或扫描件（加盖供应商公章），未提供本小项不得分。 2、项目负责人具备相关专业中级及以上职称得 2 分。须同时提供：①职称证书复印件或扫描件；②项目负责人近 1 年内任意 1 个月交纳社会保险的凭据复印件或劳动合同复印件；全部资料齐全并加盖供应商单位公章方可得分，提供不全或未提供不得分。 本小项累计最高 4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9月1日起至今类似项目业绩，每提供一项得2.5分，最高得10分。（提供合同复印件或中标（成交）通知书复印件加盖公章。如提供中标（成交）通知书，以中标（成交）通知书发放时间为准；如提供合同，以合同签订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 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