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版本号：ZX2026-04-2220260525001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2026年医疗废物集中处置服务项目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ZX2026-04-22</w:t>
      </w:r>
      <w:r>
        <w:br/>
      </w:r>
      <w:r>
        <w:br/>
      </w:r>
      <w:r>
        <w:br/>
      </w:r>
    </w:p>
    <w:p>
      <w:pPr>
        <w:pStyle w:val="null3"/>
        <w:jc w:val="center"/>
        <w:outlineLvl w:val="5"/>
      </w:pPr>
      <w:r>
        <w:rPr>
          <w:rFonts w:ascii="仿宋_GB2312" w:hAnsi="仿宋_GB2312" w:cs="仿宋_GB2312" w:eastAsia="仿宋_GB2312"/>
          <w:sz w:val="15"/>
          <w:b/>
        </w:rPr>
        <w:t>陕西省康复医院</w:t>
      </w:r>
    </w:p>
    <w:p>
      <w:pPr>
        <w:pStyle w:val="null3"/>
        <w:jc w:val="center"/>
        <w:outlineLvl w:val="5"/>
      </w:pPr>
      <w:r>
        <w:rPr>
          <w:rFonts w:ascii="仿宋_GB2312" w:hAnsi="仿宋_GB2312" w:cs="仿宋_GB2312" w:eastAsia="仿宋_GB2312"/>
          <w:sz w:val="15"/>
          <w:b/>
        </w:rPr>
        <w:t>陕西正信招标有限公司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陕西省康复医院</w:t>
      </w:r>
      <w:r>
        <w:rPr>
          <w:rFonts w:ascii="仿宋_GB2312" w:hAnsi="仿宋_GB2312" w:cs="仿宋_GB2312" w:eastAsia="仿宋_GB2312"/>
        </w:rPr>
        <w:t>委托，拟对</w:t>
      </w:r>
      <w:r>
        <w:rPr>
          <w:rFonts w:ascii="仿宋_GB2312" w:hAnsi="仿宋_GB2312" w:cs="仿宋_GB2312" w:eastAsia="仿宋_GB2312"/>
        </w:rPr>
        <w:t>2026年医疗废物集中处置服务项目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ZX2026-04-22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2026年医疗废物集中处置服务项目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本项目为2026年医疗废物集中处置服务项目，1项，具体内容详见单一来源采购文件第三章。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1、法定代表人授权委托书：法定代表人参加协商的，须提供身份证复印件；法定代表人授权他人参加协商的，须提供法定代表人授权委托书及被授权人身份证复印件。</w:t>
      </w:r>
    </w:p>
    <w:p>
      <w:pPr>
        <w:pStyle w:val="null3"/>
      </w:pPr>
      <w:r>
        <w:rPr>
          <w:rFonts w:ascii="仿宋_GB2312" w:hAnsi="仿宋_GB2312" w:cs="仿宋_GB2312" w:eastAsia="仿宋_GB2312"/>
        </w:rPr>
        <w:t>2、危险废物经营许可证（医疗废物类别）：提供供应商有效期内的环境主管部门颁发的危险废物许可证，核准经营的危险废物类别应包含医疗废物（HW01）</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陕西省康复医院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029-89288722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马演 曹婷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陕西省康复医院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陕西省康复医院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符合《医疗废物管理条例》及合同约定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确保陕西省康复医院生产过程中产生的医疗废物符合《中华人民共和国环境保护法》、《中华人民共和国固体废物污染环境防治法》、《医疗废物管理条例》等环保法律法规的处置要求，陕西省康复医院拟委托有资质危险废物处置单位，按照国家相关规范标准的要求，对我院相关科室（包括一分院）产生的医疗废物（危险废物）进行合法合规处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2026年医疗废物集中处置服务项目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标的名称：2026年医疗废物集中处置服务项目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本项目为固定价格</w:t>
            </w:r>
            <w:r>
              <w:rPr>
                <w:rFonts w:ascii="仿宋_GB2312" w:hAnsi="仿宋_GB2312" w:cs="仿宋_GB2312" w:eastAsia="仿宋_GB2312"/>
                <w:sz w:val="24"/>
              </w:rPr>
              <w:t>采购</w:t>
            </w:r>
            <w:r>
              <w:rPr>
                <w:rFonts w:ascii="仿宋_GB2312" w:hAnsi="仿宋_GB2312" w:cs="仿宋_GB2312" w:eastAsia="仿宋_GB2312"/>
                <w:sz w:val="24"/>
              </w:rPr>
              <w:t>，</w:t>
            </w:r>
            <w:r>
              <w:rPr>
                <w:rFonts w:ascii="仿宋_GB2312" w:hAnsi="仿宋_GB2312" w:cs="仿宋_GB2312" w:eastAsia="仿宋_GB2312"/>
                <w:sz w:val="24"/>
              </w:rPr>
              <w:t>单价</w:t>
            </w:r>
            <w:r>
              <w:rPr>
                <w:rFonts w:ascii="仿宋_GB2312" w:hAnsi="仿宋_GB2312" w:cs="仿宋_GB2312" w:eastAsia="仿宋_GB2312"/>
                <w:sz w:val="24"/>
              </w:rPr>
              <w:t>为：</w:t>
            </w:r>
            <w:r>
              <w:rPr>
                <w:rFonts w:ascii="仿宋_GB2312" w:hAnsi="仿宋_GB2312" w:cs="仿宋_GB2312" w:eastAsia="仿宋_GB2312"/>
                <w:sz w:val="24"/>
              </w:rPr>
              <w:t>2</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床</w:t>
            </w:r>
            <w:r>
              <w:rPr>
                <w:rFonts w:ascii="仿宋_GB2312" w:hAnsi="仿宋_GB2312" w:cs="仿宋_GB2312" w:eastAsia="仿宋_GB2312"/>
                <w:sz w:val="24"/>
              </w:rPr>
              <w:t>。</w:t>
            </w:r>
            <w:r>
              <w:rPr>
                <w:rFonts w:ascii="仿宋_GB2312" w:hAnsi="仿宋_GB2312" w:cs="仿宋_GB2312" w:eastAsia="仿宋_GB2312"/>
                <w:sz w:val="24"/>
              </w:rPr>
              <w:t>据实结算。供应商无需另行报价。</w:t>
            </w:r>
          </w:p>
          <w:p>
            <w:pPr>
              <w:pStyle w:val="null3"/>
            </w:pPr>
            <w:r>
              <w:rPr>
                <w:rFonts w:ascii="仿宋_GB2312" w:hAnsi="仿宋_GB2312" w:cs="仿宋_GB2312" w:eastAsia="仿宋_GB2312"/>
                <w:sz w:val="24"/>
              </w:rPr>
              <w:t>2.</w:t>
            </w:r>
            <w:r>
              <w:rPr>
                <w:rFonts w:ascii="仿宋_GB2312" w:hAnsi="仿宋_GB2312" w:cs="仿宋_GB2312" w:eastAsia="仿宋_GB2312"/>
                <w:sz w:val="24"/>
              </w:rPr>
              <w:t>开标一览表填写本项目预算：</w:t>
            </w:r>
            <w:r>
              <w:rPr>
                <w:rFonts w:ascii="仿宋_GB2312" w:hAnsi="仿宋_GB2312" w:cs="仿宋_GB2312" w:eastAsia="仿宋_GB2312"/>
                <w:sz w:val="24"/>
              </w:rPr>
              <w:t>750000元。</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left"/>
            </w:pPr>
            <w:r>
              <w:rPr>
                <w:rFonts w:ascii="仿宋_GB2312" w:hAnsi="仿宋_GB2312" w:cs="仿宋_GB2312" w:eastAsia="仿宋_GB2312"/>
                <w:sz w:val="24"/>
              </w:rPr>
              <w:t>1.供应商</w:t>
            </w:r>
            <w:r>
              <w:rPr>
                <w:rFonts w:ascii="仿宋_GB2312" w:hAnsi="仿宋_GB2312" w:cs="仿宋_GB2312" w:eastAsia="仿宋_GB2312"/>
                <w:sz w:val="24"/>
              </w:rPr>
              <w:t>具备西安市内医疗废物处置资质，处置能力满足</w:t>
            </w:r>
            <w:r>
              <w:rPr>
                <w:rFonts w:ascii="仿宋_GB2312" w:hAnsi="仿宋_GB2312" w:cs="仿宋_GB2312" w:eastAsia="仿宋_GB2312"/>
                <w:sz w:val="24"/>
              </w:rPr>
              <w:t>医院</w:t>
            </w:r>
            <w:r>
              <w:rPr>
                <w:rFonts w:ascii="仿宋_GB2312" w:hAnsi="仿宋_GB2312" w:cs="仿宋_GB2312" w:eastAsia="仿宋_GB2312"/>
                <w:sz w:val="24"/>
              </w:rPr>
              <w:t>日产医疗废需求。</w:t>
            </w:r>
          </w:p>
          <w:p>
            <w:pPr>
              <w:pStyle w:val="null3"/>
              <w:ind w:firstLine="400"/>
              <w:jc w:val="left"/>
            </w:pPr>
            <w:r>
              <w:rPr>
                <w:rFonts w:ascii="仿宋_GB2312" w:hAnsi="仿宋_GB2312" w:cs="仿宋_GB2312" w:eastAsia="仿宋_GB2312"/>
                <w:sz w:val="24"/>
              </w:rPr>
              <w:t>2.供应商在服务期内应</w:t>
            </w:r>
            <w:r>
              <w:rPr>
                <w:rFonts w:ascii="仿宋_GB2312" w:hAnsi="仿宋_GB2312" w:cs="仿宋_GB2312" w:eastAsia="仿宋_GB2312"/>
                <w:sz w:val="24"/>
              </w:rPr>
              <w:t>严格按照《医疗废物管理条例》《医疗卫生机构医疗废物管理办法》执行收集、转运、处置</w:t>
            </w:r>
            <w:r>
              <w:rPr>
                <w:rFonts w:ascii="仿宋_GB2312" w:hAnsi="仿宋_GB2312" w:cs="仿宋_GB2312" w:eastAsia="仿宋_GB2312"/>
                <w:sz w:val="24"/>
              </w:rPr>
              <w:t>。</w:t>
            </w:r>
          </w:p>
          <w:p>
            <w:pPr>
              <w:pStyle w:val="null3"/>
              <w:ind w:firstLine="400"/>
              <w:jc w:val="left"/>
            </w:pPr>
            <w:r>
              <w:rPr>
                <w:rFonts w:ascii="仿宋_GB2312" w:hAnsi="仿宋_GB2312" w:cs="仿宋_GB2312" w:eastAsia="仿宋_GB2312"/>
                <w:sz w:val="24"/>
              </w:rPr>
              <w:t>3.供应商在服务期内应</w:t>
            </w:r>
            <w:r>
              <w:rPr>
                <w:rFonts w:ascii="仿宋_GB2312" w:hAnsi="仿宋_GB2312" w:cs="仿宋_GB2312" w:eastAsia="仿宋_GB2312"/>
                <w:sz w:val="24"/>
              </w:rPr>
              <w:t>提供专用密闭转运车辆，转运全程可追溯。</w:t>
            </w:r>
          </w:p>
          <w:p>
            <w:pPr>
              <w:pStyle w:val="null3"/>
              <w:ind w:firstLine="400"/>
              <w:jc w:val="left"/>
            </w:pPr>
            <w:r>
              <w:rPr>
                <w:rFonts w:ascii="仿宋_GB2312" w:hAnsi="仿宋_GB2312" w:cs="仿宋_GB2312" w:eastAsia="仿宋_GB2312"/>
                <w:sz w:val="24"/>
              </w:rPr>
              <w:t>4.项目服务期内供应商至少48小时内进行一次上门收集，节假日正常服务；</w:t>
            </w:r>
          </w:p>
          <w:p>
            <w:pPr>
              <w:pStyle w:val="null3"/>
              <w:ind w:firstLine="400"/>
              <w:jc w:val="left"/>
            </w:pPr>
            <w:r>
              <w:rPr>
                <w:rFonts w:ascii="仿宋_GB2312" w:hAnsi="仿宋_GB2312" w:cs="仿宋_GB2312" w:eastAsia="仿宋_GB2312"/>
                <w:sz w:val="24"/>
              </w:rPr>
              <w:t>5.供应商应保留合同期间完整的转运联单</w:t>
            </w:r>
            <w:r>
              <w:rPr>
                <w:rFonts w:ascii="仿宋_GB2312" w:hAnsi="仿宋_GB2312" w:cs="仿宋_GB2312" w:eastAsia="仿宋_GB2312"/>
                <w:sz w:val="24"/>
              </w:rPr>
              <w:t>；</w:t>
            </w:r>
          </w:p>
          <w:p>
            <w:pPr>
              <w:pStyle w:val="null3"/>
              <w:ind w:firstLine="400"/>
              <w:jc w:val="left"/>
            </w:pPr>
            <w:r>
              <w:rPr>
                <w:rFonts w:ascii="仿宋_GB2312" w:hAnsi="仿宋_GB2312" w:cs="仿宋_GB2312" w:eastAsia="仿宋_GB2312"/>
                <w:sz w:val="24"/>
              </w:rPr>
              <w:t>6.供应商应</w:t>
            </w:r>
            <w:r>
              <w:rPr>
                <w:rFonts w:ascii="仿宋_GB2312" w:hAnsi="仿宋_GB2312" w:cs="仿宋_GB2312" w:eastAsia="仿宋_GB2312"/>
                <w:sz w:val="24"/>
              </w:rPr>
              <w:t>具备应急处置预案，突发情况</w:t>
            </w:r>
            <w:r>
              <w:rPr>
                <w:rFonts w:ascii="仿宋_GB2312" w:hAnsi="仿宋_GB2312" w:cs="仿宋_GB2312" w:eastAsia="仿宋_GB2312"/>
                <w:sz w:val="24"/>
              </w:rPr>
              <w:t>2小时内响应。</w:t>
            </w:r>
          </w:p>
          <w:p>
            <w:pPr>
              <w:pStyle w:val="null3"/>
              <w:jc w:val="both"/>
            </w:pPr>
            <w:r>
              <w:rPr>
                <w:rFonts w:ascii="仿宋_GB2312" w:hAnsi="仿宋_GB2312" w:cs="仿宋_GB2312" w:eastAsia="仿宋_GB2312"/>
                <w:sz w:val="24"/>
              </w:rPr>
              <w:t>上述</w:t>
            </w:r>
            <w:r>
              <w:rPr>
                <w:rFonts w:ascii="仿宋_GB2312" w:hAnsi="仿宋_GB2312" w:cs="仿宋_GB2312" w:eastAsia="仿宋_GB2312"/>
                <w:sz w:val="24"/>
              </w:rPr>
              <w:t>1-6项内容，供应商必须完全响应，不允许负偏离，否则按无效文件处理。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本次采购活动完整服务期限为三年，自首份合同生效之日起连续计算，三年服务期通过分期订立合同的方式履行，每期合同期限为一年。 本合同为基于本次采购结果签订的首期☑续签第二年度□续签第三年度□服务合同，服务期限一年。 根据《财政部关于推进和完善服务项目政府采购有关问题的通知》(财库[2014]37号)有关规定，采购人将依据合同约定的考核办法，在每期合同期满前对供应商履约情况进行年度考核。（考核见附件一）供应商经考核，服务质量被评定为合格或以上等级，采购人有权决定是否续签下一期合同。本次采购活动累计合同履行期限（即首次合同期限与所有后续续签合同期限之和）不超过3年，采购人享有是否续签的最终决定权。</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陕西省康复医院指定地点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为系统固定描述，实际付款方式以下列描述为准：乙方于每(月、季度、半年)开始后10日内向甲方提供上(月、季度、半年)处置费发票，甲方于收到发票后10日内将处置费一次性全额支付给乙方。如甲方未按时足额支付乙方处置费的，乙方有权停止收运、处置甲方的医疗废物，造成医疗废物无法规范处置、环境污染的事实，视同甲方违约，一切责任由甲方承担，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（1）按国家医疗废物管理相关法规、合同约定及台账、联单、处置证明进行月度核对、年度验收。（2）根据协商文件、响应文件、合同约定及相关法律法规。</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按《民法典》及政府采购相关规定执行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电子化系统格式限制，本项目最终签订合同的付款方式为：乙方于每季度开始后10日内向甲方提供上季度处置费发票，甲方于收到发票后10日内将处置费一次性全额支付给乙方。如甲方未按时足额支付乙方处置费的，乙方有权停止收运、处置甲方的医疗废物，造成医疗废物无法规范处置、环境污染的事实，视同甲方违约，一切责任由甲方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2025年5月1日以来至少一个月的纳税证明或完税证明，纳税证明或完税证明上应有代收机构或税务机关的公章或业务专用章；其他组织和自然人提供自2025年5月1日以来至少一个月缴纳税收的凭据；依法免税的或者依法不需缴税的供应商应提供相关文件证明； ③社会保障资金缴纳证明：提供自2025年5月1日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法定代表人参加协商的，须提供身份证复印件；法定代表人授权他人参加协商的，须提供法定代表人授权委托书及被授权人身份证复印件。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危险废物经营许可证（医疗废物类别）</w:t>
            </w:r>
          </w:p>
        </w:tc>
        <w:tc>
          <w:tcPr>
            <w:tcW w:type="dxa" w:w="3322"/>
          </w:tcPr>
          <w:p>
            <w:pPr>
              <w:pStyle w:val="null3"/>
            </w:pPr>
            <w:r>
              <w:rPr>
                <w:rFonts w:ascii="仿宋_GB2312" w:hAnsi="仿宋_GB2312" w:cs="仿宋_GB2312" w:eastAsia="仿宋_GB2312"/>
              </w:rPr>
              <w:t>提供供应商有效期内的环境主管部门颁发的危险废物许可证，核准经营的危险废物类别应包含医疗废物（HW01）</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满足本单一来源采购文件中“3.4商务要求中服务期、服务地点、支付约定以及3.5其他要求中支付约定要求”的实质性条款要求的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2组织机构.docx 3供应商服务承诺.docx 7供应商认为需提供的其他资料.docx 供应商基本情况表.docx 服务响应偏离表.docx 承诺书.docx 1服务方案.docx 5同类项目合同价格说明.docx 6采购标的成本说明.docx 4供应商相关专利、专有技术情况说明.docx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投标有效期满足单一来源文件要求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响应函 资格证明文件.docx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详见附件：1服务方案.docx</w:t>
      </w:r>
    </w:p>
    <w:p>
      <w:pPr>
        <w:pStyle w:val="null3"/>
        <w:ind w:firstLine="960"/>
      </w:pPr>
      <w:r>
        <w:rPr>
          <w:rFonts w:ascii="仿宋_GB2312" w:hAnsi="仿宋_GB2312" w:cs="仿宋_GB2312" w:eastAsia="仿宋_GB2312"/>
        </w:rPr>
        <w:t>详见附件：2组织机构.docx</w:t>
      </w:r>
    </w:p>
    <w:p>
      <w:pPr>
        <w:pStyle w:val="null3"/>
        <w:ind w:firstLine="960"/>
      </w:pPr>
      <w:r>
        <w:rPr>
          <w:rFonts w:ascii="仿宋_GB2312" w:hAnsi="仿宋_GB2312" w:cs="仿宋_GB2312" w:eastAsia="仿宋_GB2312"/>
        </w:rPr>
        <w:t>详见附件：3供应商服务承诺.docx</w:t>
      </w:r>
    </w:p>
    <w:p>
      <w:pPr>
        <w:pStyle w:val="null3"/>
        <w:ind w:firstLine="960"/>
      </w:pPr>
      <w:r>
        <w:rPr>
          <w:rFonts w:ascii="仿宋_GB2312" w:hAnsi="仿宋_GB2312" w:cs="仿宋_GB2312" w:eastAsia="仿宋_GB2312"/>
        </w:rPr>
        <w:t>详见附件：4供应商相关专利、专有技术情况说明.docx</w:t>
      </w:r>
    </w:p>
    <w:p>
      <w:pPr>
        <w:pStyle w:val="null3"/>
        <w:ind w:firstLine="960"/>
      </w:pPr>
      <w:r>
        <w:rPr>
          <w:rFonts w:ascii="仿宋_GB2312" w:hAnsi="仿宋_GB2312" w:cs="仿宋_GB2312" w:eastAsia="仿宋_GB2312"/>
        </w:rPr>
        <w:t>详见附件：5同类项目合同价格说明.docx</w:t>
      </w:r>
    </w:p>
    <w:p>
      <w:pPr>
        <w:pStyle w:val="null3"/>
        <w:ind w:firstLine="960"/>
      </w:pPr>
      <w:r>
        <w:rPr>
          <w:rFonts w:ascii="仿宋_GB2312" w:hAnsi="仿宋_GB2312" w:cs="仿宋_GB2312" w:eastAsia="仿宋_GB2312"/>
        </w:rPr>
        <w:t>详见附件：6采购标的成本说明.docx</w:t>
      </w:r>
    </w:p>
    <w:p>
      <w:pPr>
        <w:pStyle w:val="null3"/>
        <w:ind w:firstLine="960"/>
      </w:pPr>
      <w:r>
        <w:rPr>
          <w:rFonts w:ascii="仿宋_GB2312" w:hAnsi="仿宋_GB2312" w:cs="仿宋_GB2312" w:eastAsia="仿宋_GB2312"/>
        </w:rPr>
        <w:t>详见附件：7供应商认为需提供的其他资料.docx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