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C0FE9">
      <w:pPr>
        <w:ind w:firstLine="442" w:firstLineChars="100"/>
        <w:rPr>
          <w:rFonts w:hint="eastAsia" w:ascii="仿宋" w:hAnsi="仿宋" w:eastAsia="仿宋"/>
          <w:b/>
          <w:bCs/>
          <w:color w:val="auto"/>
          <w:sz w:val="44"/>
          <w:highlight w:val="none"/>
        </w:rPr>
      </w:pPr>
      <w:r>
        <w:rPr>
          <w:rFonts w:hint="eastAsia" w:ascii="仿宋" w:hAnsi="仿宋" w:eastAsia="仿宋"/>
          <w:b/>
          <w:bCs/>
          <w:color w:val="auto"/>
          <w:sz w:val="44"/>
          <w:highlight w:val="none"/>
        </w:rPr>
        <w:t>NO:YY</w:t>
      </w:r>
    </w:p>
    <w:p w14:paraId="4FCD1632">
      <w:pPr>
        <w:rPr>
          <w:rFonts w:hint="eastAsia" w:ascii="仿宋" w:hAnsi="仿宋" w:eastAsia="仿宋"/>
          <w:b/>
          <w:bCs/>
          <w:color w:val="auto"/>
          <w:sz w:val="44"/>
          <w:highlight w:val="none"/>
        </w:rPr>
      </w:pPr>
    </w:p>
    <w:p w14:paraId="7F85A183">
      <w:pPr>
        <w:spacing w:line="1200" w:lineRule="exact"/>
        <w:jc w:val="center"/>
        <w:rPr>
          <w:rFonts w:hint="eastAsia" w:ascii="黑体" w:hAnsi="黑体" w:eastAsia="黑体"/>
          <w:b/>
          <w:bCs/>
          <w:color w:val="auto"/>
          <w:sz w:val="52"/>
          <w:highlight w:val="none"/>
        </w:rPr>
      </w:pPr>
      <w:r>
        <w:rPr>
          <w:rFonts w:hint="eastAsia" w:ascii="黑体" w:hAnsi="黑体" w:eastAsia="黑体"/>
          <w:b/>
          <w:bCs/>
          <w:color w:val="auto"/>
          <w:sz w:val="52"/>
          <w:highlight w:val="none"/>
        </w:rPr>
        <w:t>西安市医疗废物集中处置</w:t>
      </w:r>
    </w:p>
    <w:p w14:paraId="0B5D5DA9">
      <w:pPr>
        <w:spacing w:line="1200" w:lineRule="exact"/>
        <w:jc w:val="center"/>
        <w:rPr>
          <w:rFonts w:hint="eastAsia" w:ascii="仿宋" w:hAnsi="仿宋" w:eastAsia="仿宋"/>
          <w:b/>
          <w:bCs/>
          <w:color w:val="auto"/>
          <w:sz w:val="52"/>
          <w:highlight w:val="none"/>
        </w:rPr>
      </w:pPr>
      <w:r>
        <w:rPr>
          <w:rFonts w:hint="eastAsia" w:ascii="黑体" w:hAnsi="黑体" w:eastAsia="黑体"/>
          <w:b/>
          <w:bCs/>
          <w:color w:val="auto"/>
          <w:sz w:val="52"/>
          <w:highlight w:val="none"/>
        </w:rPr>
        <w:t>委 托 合 同</w:t>
      </w:r>
    </w:p>
    <w:p w14:paraId="2BCE073E">
      <w:pPr>
        <w:jc w:val="center"/>
        <w:rPr>
          <w:rFonts w:hint="eastAsia" w:ascii="仿宋" w:hAnsi="仿宋" w:eastAsia="仿宋"/>
          <w:color w:val="auto"/>
          <w:sz w:val="32"/>
          <w:highlight w:val="none"/>
        </w:rPr>
      </w:pPr>
      <w:r>
        <w:rPr>
          <w:rFonts w:hint="eastAsia" w:ascii="仿宋" w:hAnsi="仿宋" w:eastAsia="仿宋"/>
          <w:color w:val="auto"/>
          <w:sz w:val="32"/>
          <w:highlight w:val="none"/>
        </w:rPr>
        <w:t>(一级以上（含一级）医院专用)</w:t>
      </w:r>
    </w:p>
    <w:p w14:paraId="6D45FB33">
      <w:pPr>
        <w:spacing w:line="1020" w:lineRule="exact"/>
        <w:jc w:val="center"/>
        <w:rPr>
          <w:rFonts w:hint="eastAsia" w:ascii="仿宋" w:hAnsi="仿宋" w:eastAsia="仿宋"/>
          <w:b/>
          <w:bCs/>
          <w:color w:val="auto"/>
          <w:sz w:val="52"/>
          <w:highlight w:val="none"/>
        </w:rPr>
      </w:pPr>
    </w:p>
    <w:p w14:paraId="6FF507EA">
      <w:pPr>
        <w:jc w:val="center"/>
        <w:rPr>
          <w:rFonts w:hint="eastAsia" w:ascii="仿宋" w:hAnsi="仿宋" w:eastAsia="仿宋"/>
          <w:b/>
          <w:bCs/>
          <w:color w:val="auto"/>
          <w:sz w:val="52"/>
          <w:highlight w:val="none"/>
        </w:rPr>
      </w:pPr>
    </w:p>
    <w:p w14:paraId="5DFB7CD7">
      <w:pPr>
        <w:jc w:val="center"/>
        <w:rPr>
          <w:rFonts w:hint="eastAsia" w:ascii="仿宋" w:hAnsi="仿宋" w:eastAsia="仿宋"/>
          <w:b/>
          <w:bCs/>
          <w:color w:val="auto"/>
          <w:sz w:val="44"/>
          <w:highlight w:val="none"/>
        </w:rPr>
      </w:pPr>
    </w:p>
    <w:p w14:paraId="49DA5251">
      <w:pPr>
        <w:rPr>
          <w:rFonts w:hint="eastAsia" w:ascii="仿宋" w:hAnsi="仿宋" w:eastAsia="仿宋"/>
          <w:color w:val="auto"/>
          <w:sz w:val="32"/>
          <w:highlight w:val="none"/>
        </w:rPr>
      </w:pPr>
    </w:p>
    <w:p w14:paraId="4DB99C7C">
      <w:pPr>
        <w:rPr>
          <w:rFonts w:hint="eastAsia" w:ascii="仿宋" w:hAnsi="仿宋" w:eastAsia="仿宋"/>
          <w:color w:val="auto"/>
          <w:sz w:val="32"/>
          <w:highlight w:val="none"/>
        </w:rPr>
      </w:pPr>
    </w:p>
    <w:p w14:paraId="40E8636F">
      <w:pPr>
        <w:rPr>
          <w:rFonts w:hint="eastAsia" w:ascii="仿宋" w:hAnsi="仿宋" w:eastAsia="仿宋"/>
          <w:color w:val="auto"/>
          <w:sz w:val="32"/>
          <w:highlight w:val="none"/>
        </w:rPr>
      </w:pPr>
    </w:p>
    <w:p w14:paraId="54767D5E">
      <w:pPr>
        <w:rPr>
          <w:rFonts w:hint="eastAsia" w:ascii="仿宋" w:hAnsi="仿宋" w:eastAsia="仿宋"/>
          <w:color w:val="auto"/>
          <w:sz w:val="32"/>
          <w:highlight w:val="none"/>
        </w:rPr>
      </w:pPr>
    </w:p>
    <w:p w14:paraId="6162F0D2">
      <w:pPr>
        <w:ind w:firstLine="280" w:firstLineChars="100"/>
        <w:rPr>
          <w:rFonts w:hint="eastAsia" w:ascii="仿宋" w:hAnsi="仿宋" w:eastAsia="仿宋"/>
          <w:color w:val="auto"/>
          <w:sz w:val="28"/>
          <w:highlight w:val="none"/>
        </w:rPr>
      </w:pPr>
    </w:p>
    <w:p w14:paraId="41E52DEE">
      <w:pPr>
        <w:ind w:firstLine="280" w:firstLineChars="100"/>
        <w:rPr>
          <w:rFonts w:hint="eastAsia" w:ascii="仿宋" w:hAnsi="仿宋" w:eastAsia="仿宋"/>
          <w:color w:val="auto"/>
          <w:sz w:val="28"/>
          <w:highlight w:val="none"/>
        </w:rPr>
      </w:pPr>
    </w:p>
    <w:p w14:paraId="5753BE23">
      <w:pPr>
        <w:ind w:firstLine="1280" w:firstLineChars="400"/>
        <w:rPr>
          <w:rFonts w:hint="eastAsia" w:ascii="仿宋" w:hAnsi="仿宋" w:eastAsia="仿宋"/>
          <w:color w:val="auto"/>
          <w:sz w:val="32"/>
          <w:highlight w:val="none"/>
          <w:u w:val="single"/>
        </w:rPr>
      </w:pPr>
      <w:r>
        <w:rPr>
          <w:rFonts w:hint="eastAsia" w:ascii="仿宋" w:hAnsi="仿宋" w:eastAsia="仿宋"/>
          <w:color w:val="auto"/>
          <w:sz w:val="32"/>
          <w:highlight w:val="none"/>
        </w:rPr>
        <w:t>甲方:</w:t>
      </w:r>
      <w:r>
        <w:rPr>
          <w:rFonts w:hint="eastAsia" w:ascii="仿宋" w:hAnsi="仿宋" w:eastAsia="仿宋"/>
          <w:color w:val="auto"/>
          <w:sz w:val="32"/>
          <w:highlight w:val="none"/>
          <w:u w:val="single"/>
        </w:rPr>
        <w:t xml:space="preserve">                               </w:t>
      </w:r>
    </w:p>
    <w:p w14:paraId="17054FE8">
      <w:pPr>
        <w:ind w:firstLine="1280" w:firstLineChars="400"/>
        <w:rPr>
          <w:rFonts w:hint="eastAsia" w:ascii="仿宋" w:hAnsi="仿宋" w:eastAsia="仿宋"/>
          <w:color w:val="auto"/>
          <w:sz w:val="32"/>
          <w:highlight w:val="none"/>
        </w:rPr>
      </w:pPr>
      <w:r>
        <w:rPr>
          <w:rFonts w:hint="eastAsia" w:ascii="仿宋" w:hAnsi="仿宋" w:eastAsia="仿宋"/>
          <w:color w:val="auto"/>
          <w:sz w:val="32"/>
          <w:highlight w:val="none"/>
        </w:rPr>
        <w:t>乙方:</w:t>
      </w:r>
      <w:r>
        <w:rPr>
          <w:rFonts w:hint="eastAsia" w:ascii="仿宋" w:hAnsi="仿宋" w:eastAsia="仿宋"/>
          <w:color w:val="auto"/>
          <w:sz w:val="32"/>
          <w:highlight w:val="none"/>
          <w:u w:val="single"/>
        </w:rPr>
        <w:t xml:space="preserve">                               </w:t>
      </w:r>
    </w:p>
    <w:p w14:paraId="6ED12232">
      <w:pPr>
        <w:ind w:firstLine="2240" w:firstLineChars="700"/>
        <w:rPr>
          <w:rFonts w:hint="eastAsia" w:ascii="仿宋" w:hAnsi="仿宋" w:eastAsia="仿宋"/>
          <w:color w:val="auto"/>
          <w:sz w:val="32"/>
          <w:highlight w:val="none"/>
        </w:rPr>
      </w:pPr>
    </w:p>
    <w:p w14:paraId="3B1DF4C8">
      <w:pPr>
        <w:widowControl w:val="0"/>
        <w:numPr>
          <w:ilvl w:val="0"/>
          <w:numId w:val="0"/>
        </w:numPr>
        <w:kinsoku/>
        <w:topLinePunct/>
        <w:autoSpaceDE/>
        <w:autoSpaceDN/>
        <w:adjustRightInd/>
        <w:snapToGrid/>
        <w:spacing w:line="360" w:lineRule="auto"/>
        <w:jc w:val="left"/>
        <w:textAlignment w:val="auto"/>
        <w:rPr>
          <w:rFonts w:hint="eastAsia" w:ascii="宋体" w:hAnsi="宋体" w:eastAsia="宋体" w:cs="宋体"/>
          <w:highlight w:val="none"/>
        </w:rPr>
      </w:pPr>
    </w:p>
    <w:p w14:paraId="7AB50A8E">
      <w:pPr>
        <w:widowControl w:val="0"/>
        <w:numPr>
          <w:ilvl w:val="0"/>
          <w:numId w:val="0"/>
        </w:numPr>
        <w:kinsoku/>
        <w:topLinePunct/>
        <w:autoSpaceDE/>
        <w:autoSpaceDN/>
        <w:adjustRightInd/>
        <w:snapToGrid/>
        <w:spacing w:line="360" w:lineRule="auto"/>
        <w:jc w:val="center"/>
        <w:textAlignment w:val="auto"/>
        <w:rPr>
          <w:rFonts w:hint="eastAsia"/>
          <w:color w:val="auto"/>
          <w:szCs w:val="21"/>
          <w:highlight w:val="none"/>
        </w:rPr>
      </w:pPr>
      <w:r>
        <w:rPr>
          <w:rFonts w:hint="eastAsia" w:ascii="宋体" w:hAnsi="宋体" w:eastAsia="宋体" w:cs="宋体"/>
          <w:highlight w:val="none"/>
        </w:rPr>
        <w:br w:type="page"/>
      </w:r>
      <w:r>
        <w:rPr>
          <w:rFonts w:hint="eastAsia" w:ascii="新宋体" w:hAnsi="新宋体" w:eastAsia="新宋体"/>
          <w:b/>
          <w:color w:val="auto"/>
          <w:spacing w:val="20"/>
          <w:sz w:val="44"/>
          <w:szCs w:val="44"/>
          <w:highlight w:val="none"/>
          <w14:shadow w14:blurRad="50800" w14:dist="38100" w14:dir="2700000" w14:sx="100000" w14:sy="100000" w14:kx="0" w14:ky="0" w14:algn="tl">
            <w14:srgbClr w14:val="000000">
              <w14:alpha w14:val="60000"/>
            </w14:srgbClr>
          </w14:shadow>
        </w:rPr>
        <w:t>医疗废物集中处置合同</w:t>
      </w:r>
    </w:p>
    <w:p w14:paraId="34D52560">
      <w:pPr>
        <w:keepNext w:val="0"/>
        <w:keepLines w:val="0"/>
        <w:pageBreakBefore w:val="0"/>
        <w:widowControl w:val="0"/>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甲  方：</w:t>
      </w:r>
      <w:r>
        <w:rPr>
          <w:rFonts w:hint="eastAsia" w:ascii="仿宋" w:hAnsi="仿宋" w:eastAsia="仿宋" w:cs="仿宋"/>
          <w:color w:val="auto"/>
          <w:sz w:val="30"/>
          <w:szCs w:val="30"/>
          <w:highlight w:val="none"/>
        </w:rPr>
        <w:t xml:space="preserve"> </w:t>
      </w:r>
    </w:p>
    <w:p w14:paraId="2673FD6D">
      <w:pPr>
        <w:keepNext w:val="0"/>
        <w:keepLines w:val="0"/>
        <w:pageBreakBefore w:val="0"/>
        <w:widowControl w:val="0"/>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b/>
          <w:color w:val="auto"/>
          <w:sz w:val="30"/>
          <w:szCs w:val="30"/>
          <w:highlight w:val="none"/>
        </w:rPr>
        <w:t>住所地：</w:t>
      </w:r>
      <w:r>
        <w:rPr>
          <w:rFonts w:hint="eastAsia" w:ascii="仿宋" w:hAnsi="仿宋" w:eastAsia="仿宋" w:cs="仿宋"/>
          <w:color w:val="auto"/>
          <w:sz w:val="30"/>
          <w:szCs w:val="30"/>
          <w:highlight w:val="none"/>
        </w:rPr>
        <w:t xml:space="preserve">                                </w:t>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rPr>
        <w:tab/>
      </w:r>
      <w:r>
        <w:rPr>
          <w:rFonts w:hint="eastAsia" w:ascii="仿宋" w:hAnsi="仿宋" w:eastAsia="仿宋" w:cs="仿宋"/>
          <w:color w:val="auto"/>
          <w:sz w:val="30"/>
          <w:szCs w:val="30"/>
          <w:highlight w:val="none"/>
          <w:lang w:val="en-US" w:eastAsia="zh-CN"/>
        </w:rPr>
        <w:t xml:space="preserve">  </w:t>
      </w:r>
    </w:p>
    <w:p w14:paraId="08D4487C">
      <w:pPr>
        <w:keepNext w:val="0"/>
        <w:keepLines w:val="0"/>
        <w:pageBreakBefore w:val="0"/>
        <w:widowControl w:val="0"/>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乙  方：</w:t>
      </w:r>
    </w:p>
    <w:p w14:paraId="5F8C6F7A">
      <w:pPr>
        <w:keepNext w:val="0"/>
        <w:keepLines w:val="0"/>
        <w:pageBreakBefore w:val="0"/>
        <w:widowControl w:val="0"/>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i w:val="0"/>
          <w:iCs w:val="0"/>
          <w:caps w:val="0"/>
          <w:color w:val="auto"/>
          <w:spacing w:val="0"/>
          <w:sz w:val="30"/>
          <w:szCs w:val="30"/>
          <w:highlight w:val="none"/>
          <w:shd w:val="clear" w:fill="FFFFFF"/>
          <w:lang w:val="en-US" w:eastAsia="zh-CN"/>
        </w:rPr>
      </w:pPr>
      <w:r>
        <w:rPr>
          <w:rFonts w:hint="eastAsia" w:ascii="仿宋" w:hAnsi="仿宋" w:eastAsia="仿宋" w:cs="仿宋"/>
          <w:b/>
          <w:color w:val="auto"/>
          <w:sz w:val="30"/>
          <w:szCs w:val="30"/>
          <w:highlight w:val="none"/>
        </w:rPr>
        <w:t>住所地：</w:t>
      </w:r>
      <w:r>
        <w:rPr>
          <w:rFonts w:hint="eastAsia" w:ascii="仿宋" w:hAnsi="仿宋" w:eastAsia="仿宋" w:cs="仿宋"/>
          <w:i w:val="0"/>
          <w:iCs w:val="0"/>
          <w:caps w:val="0"/>
          <w:color w:val="auto"/>
          <w:spacing w:val="0"/>
          <w:sz w:val="30"/>
          <w:szCs w:val="30"/>
          <w:highlight w:val="none"/>
          <w:shd w:val="clear" w:fill="FFFFFF"/>
          <w:lang w:val="en-US" w:eastAsia="zh-CN"/>
        </w:rPr>
        <w:t xml:space="preserve"> </w:t>
      </w:r>
    </w:p>
    <w:p w14:paraId="72465A8C">
      <w:pPr>
        <w:keepNext w:val="0"/>
        <w:keepLines w:val="0"/>
        <w:pageBreakBefore w:val="0"/>
        <w:widowControl w:val="0"/>
        <w:kinsoku/>
        <w:wordWrap/>
        <w:overflowPunct/>
        <w:topLinePunct w:val="0"/>
        <w:autoSpaceDE/>
        <w:autoSpaceDN/>
        <w:bidi w:val="0"/>
        <w:adjustRightInd/>
        <w:snapToGrid/>
        <w:spacing w:line="240" w:lineRule="auto"/>
        <w:ind w:right="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i w:val="0"/>
          <w:iCs w:val="0"/>
          <w:caps w:val="0"/>
          <w:color w:val="auto"/>
          <w:spacing w:val="0"/>
          <w:sz w:val="32"/>
          <w:szCs w:val="32"/>
          <w:highlight w:val="none"/>
          <w:shd w:val="clear" w:fill="FFFFFF"/>
          <w:lang w:val="en-US" w:eastAsia="zh-CN"/>
        </w:rPr>
        <w:t xml:space="preserve">   </w:t>
      </w:r>
      <w:r>
        <w:rPr>
          <w:rFonts w:hint="eastAsia" w:ascii="仿宋" w:hAnsi="仿宋" w:eastAsia="仿宋" w:cs="仿宋"/>
          <w:b/>
          <w:color w:val="auto"/>
          <w:sz w:val="32"/>
          <w:szCs w:val="32"/>
          <w:highlight w:val="none"/>
        </w:rPr>
        <w:t>一、鉴于：</w:t>
      </w:r>
    </w:p>
    <w:p w14:paraId="6553DC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left"/>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甲方是一家在中国依法注册并合法存续的企业，有合法签订并履行本合同的资格，且具有《营业执照》、《医疗机构执业许可证》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诊所备案证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等相关经营许可资质。</w:t>
      </w:r>
    </w:p>
    <w:p w14:paraId="3CD1FC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乙方是一家在中国依法注册并合法存续的企业，有合法签订并履行本合同的资格，且具有“危险废物经营许可”的资格。</w:t>
      </w:r>
    </w:p>
    <w:p w14:paraId="65228F0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为保障人民群众的身体健康，防止医疗废物污染事故的发生，根据《中华人民共和国固体废物污染环境防治法》、《医疗废物管理条例》（2011修订）等相关法律规定，</w:t>
      </w:r>
      <w:r>
        <w:rPr>
          <w:rFonts w:hint="eastAsia" w:ascii="仿宋" w:hAnsi="仿宋" w:eastAsia="仿宋" w:cs="仿宋"/>
          <w:color w:val="auto"/>
          <w:sz w:val="30"/>
          <w:szCs w:val="30"/>
          <w:highlight w:val="none"/>
          <w:lang w:val="en-US" w:eastAsia="zh-CN"/>
        </w:rPr>
        <w:t>为</w:t>
      </w:r>
      <w:r>
        <w:rPr>
          <w:rFonts w:hint="eastAsia" w:ascii="仿宋" w:hAnsi="仿宋" w:eastAsia="仿宋" w:cs="仿宋"/>
          <w:color w:val="auto"/>
          <w:sz w:val="30"/>
          <w:szCs w:val="30"/>
          <w:highlight w:val="none"/>
        </w:rPr>
        <w:t>实现医疗废物集中处置，甲方与乙方经共同协商，同意由</w:t>
      </w:r>
      <w:r>
        <w:rPr>
          <w:rFonts w:hint="eastAsia" w:ascii="仿宋" w:hAnsi="仿宋" w:eastAsia="仿宋" w:cs="仿宋"/>
          <w:color w:val="auto"/>
          <w:sz w:val="30"/>
          <w:szCs w:val="30"/>
          <w:highlight w:val="none"/>
          <w:u w:val="single"/>
          <w:lang w:val="en-US" w:eastAsia="zh-CN"/>
        </w:rPr>
        <w:t xml:space="preserve">     （乙方名称）        </w:t>
      </w:r>
      <w:r>
        <w:rPr>
          <w:rFonts w:hint="eastAsia" w:ascii="仿宋" w:hAnsi="仿宋" w:eastAsia="仿宋" w:cs="仿宋"/>
          <w:color w:val="auto"/>
          <w:sz w:val="30"/>
          <w:szCs w:val="30"/>
          <w:highlight w:val="none"/>
        </w:rPr>
        <w:t>负责处置甲方产生的医疗废物。为明确双方的权利、义务和责任，签订如下合同：</w:t>
      </w:r>
    </w:p>
    <w:p w14:paraId="01E2AB6F">
      <w:pPr>
        <w:keepNext w:val="0"/>
        <w:keepLines w:val="0"/>
        <w:pageBreakBefore w:val="0"/>
        <w:widowControl w:val="0"/>
        <w:kinsoku/>
        <w:wordWrap/>
        <w:overflowPunct/>
        <w:topLinePunct w:val="0"/>
        <w:autoSpaceDE/>
        <w:autoSpaceDN/>
        <w:bidi w:val="0"/>
        <w:adjustRightInd/>
        <w:snapToGrid/>
        <w:spacing w:line="240" w:lineRule="auto"/>
        <w:ind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二、委托处置的范围及地址：</w:t>
      </w:r>
    </w:p>
    <w:p w14:paraId="0118EC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甲方委托乙方处置的危险废物为： HW01 即甲方在医疗、预防、保健以及相关活动中产生的具有直接或者间接感染性、毒性及其他危害性废物</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是《医疗废物分类目录》中所规定的除化学性废物之外的各项医疗废物。</w:t>
      </w:r>
    </w:p>
    <w:p w14:paraId="60CC88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bCs/>
          <w:color w:val="auto"/>
          <w:sz w:val="32"/>
          <w:szCs w:val="32"/>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乙方负责在约定的医疗废物交接地点接收甲方产生的医疗废物，运送至乙方工厂进行无害化处置。</w:t>
      </w:r>
    </w:p>
    <w:p w14:paraId="5FEA0B8B">
      <w:pPr>
        <w:keepNext w:val="0"/>
        <w:keepLines w:val="0"/>
        <w:pageBreakBefore w:val="0"/>
        <w:widowControl w:val="0"/>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三、甲方的权利义务：</w:t>
      </w:r>
    </w:p>
    <w:p w14:paraId="01BEC3B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指定</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rPr>
        <w:t>负责衔接、配合乙方的收运及处置工作</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联系电话：</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 xml:space="preserve">   </w:t>
      </w:r>
    </w:p>
    <w:p w14:paraId="5065FE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甲方应严格按照国家相关的法律法规将医疗废物进行分类、收集、转送、计量、包装、贮存，使用黄色专用包装袋密封，包装后再放置于专用周转桶中，并保证包装袋完整不破损。损伤性医疗废物必须使用“利器盒”包装；液体医疗废物必须使用专用“塑料桶”盛装，并单独存放。</w:t>
      </w:r>
    </w:p>
    <w:p w14:paraId="643D5D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甲方应按国家相关规范设立医疗废物暂存点，暂存点中不得存放除医疗废物外的其他废物，禁止存放其他危险废物，医疗废物周转桶必须集中放置在其医疗废物暂存点待运。</w:t>
      </w:r>
    </w:p>
    <w:p w14:paraId="248B53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对于设立在一楼以上、地下室等不方便运送人员及运送工具、车辆出入的暂存点，甲方须安排人员配合转运工作，如甲方未安排人员或未及时安排人员配合转运，所造成的漏接、漏拖由甲方承担责任。</w:t>
      </w:r>
    </w:p>
    <w:p w14:paraId="11288F3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甲方须在盛装液体医疗废物的“塑料桶”明显位置上粘贴包含废物名称、主要成分、危险特性等内容的标签，并加盖单位印章，同时，双方交接前须向乙方提供有检测资质单位出具的检测报告。</w:t>
      </w:r>
    </w:p>
    <w:p w14:paraId="14F8A0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甲方确保医疗废物中不混入其他危险废物，若混入，乙方有权拒收医疗废物，同时乙方不因拒绝收集医疗废物承担任何责任，甲方仍应按本合同约定支付医疗废物处置费用。如因此引发环境等问题，由甲方承担所有责任，并赔偿乙方因此遭受的所有损失。如因甲方隐瞒违规将其他危险废物混入医疗废物，造成乙方车辆、处置设施损毁、人员伤亡等安全环保责任事故，甲方承担全部责任并赔偿乙方损失。同时，乙方可即刻停止收运处置服务直至甲方履行完毕赔偿责任及完成相关整改工作后，经卫健委、生态环境行政主管部门批准，方可恢复收运处置服务。</w:t>
      </w:r>
    </w:p>
    <w:p w14:paraId="14628C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甲方的医疗废物负责人员应提前做好准备等待清运，并按照《医疗废物集中处置技术规范》填写和保存《危险废物转移联单》（医疗废物专用）、《医疗废物运送登记卡》，如当次无废物交接，也必须在联单、登记卡上如实记录。如车到医疗废物暂存处无人配合，发生漏接、漏拖由甲方承担责任。</w:t>
      </w:r>
    </w:p>
    <w:p w14:paraId="5ADAD1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根据国家相关的法律法规规定，甲方保证产生的医疗废物，不得擅自自行处置、丢弃、买卖或委托未取得经营许可的第三方处置，如经查实有此现象发生，乙方有权向卫健委、生态环境行政主管部门报告，由此产生的一切后果甲方自行承担。</w:t>
      </w:r>
    </w:p>
    <w:p w14:paraId="1B9B19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甲方有义务将其内部有关交通、安全及管理规定告知乙方，保障乙方的医疗废物转运车辆在其院内的运输通道通畅和安全，并在其医疗废物贮存点附近无偿提供停车点位。</w:t>
      </w:r>
    </w:p>
    <w:p w14:paraId="4C5F62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甲方有处置需求时，须及时通知乙方，如因甲方未及时通知乙方，造成未及时收运和处置，甲方承担相应责任</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如由于乙方未能及时响应收运，对甲方产生的损失，由乙方承担相应责任。</w:t>
      </w:r>
    </w:p>
    <w:p w14:paraId="36084D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11.</w:t>
      </w:r>
      <w:r>
        <w:rPr>
          <w:rFonts w:hint="eastAsia" w:ascii="仿宋" w:hAnsi="仿宋" w:eastAsia="仿宋" w:cs="仿宋"/>
          <w:color w:val="auto"/>
          <w:sz w:val="30"/>
          <w:szCs w:val="30"/>
          <w:highlight w:val="none"/>
        </w:rPr>
        <w:t>合同签订，甲方须向乙方提供有效期内的《营业执照》、《医疗机构执业许可证》副本</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诊所备案证</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法人身份证复印件》</w:t>
      </w:r>
      <w:r>
        <w:rPr>
          <w:rFonts w:hint="eastAsia" w:ascii="仿宋" w:hAnsi="仿宋" w:eastAsia="仿宋" w:cs="仿宋"/>
          <w:color w:val="auto"/>
          <w:sz w:val="30"/>
          <w:szCs w:val="30"/>
          <w:highlight w:val="none"/>
        </w:rPr>
        <w:t>或其他经营许可资质复印件，并对其有效性及真实性负责，供乙方存档。</w:t>
      </w:r>
    </w:p>
    <w:p w14:paraId="376630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12.</w:t>
      </w:r>
      <w:r>
        <w:rPr>
          <w:rFonts w:hint="eastAsia" w:ascii="仿宋" w:hAnsi="仿宋" w:eastAsia="仿宋" w:cs="仿宋"/>
          <w:color w:val="auto"/>
          <w:sz w:val="30"/>
          <w:szCs w:val="30"/>
          <w:highlight w:val="none"/>
        </w:rPr>
        <w:t>指定专人负责乙方提供的专用包装容器的接收及管理工作。</w:t>
      </w:r>
    </w:p>
    <w:p w14:paraId="196E2F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13.</w:t>
      </w:r>
      <w:r>
        <w:rPr>
          <w:rFonts w:hint="eastAsia" w:ascii="仿宋" w:hAnsi="仿宋" w:eastAsia="仿宋" w:cs="仿宋"/>
          <w:color w:val="auto"/>
          <w:sz w:val="30"/>
          <w:szCs w:val="30"/>
          <w:highlight w:val="none"/>
        </w:rPr>
        <w:t>甲方应根据本合同条款按期</w:t>
      </w:r>
      <w:r>
        <w:rPr>
          <w:rFonts w:hint="eastAsia" w:ascii="仿宋" w:hAnsi="仿宋" w:eastAsia="仿宋" w:cs="仿宋"/>
          <w:color w:val="auto"/>
          <w:sz w:val="30"/>
          <w:szCs w:val="30"/>
          <w:highlight w:val="none"/>
          <w:lang w:val="en-US" w:eastAsia="zh-CN"/>
        </w:rPr>
        <w:t>足额</w:t>
      </w:r>
      <w:r>
        <w:rPr>
          <w:rFonts w:hint="eastAsia" w:ascii="仿宋" w:hAnsi="仿宋" w:eastAsia="仿宋" w:cs="仿宋"/>
          <w:color w:val="auto"/>
          <w:sz w:val="30"/>
          <w:szCs w:val="30"/>
          <w:highlight w:val="none"/>
        </w:rPr>
        <w:t>支付医疗废物处置费用。</w:t>
      </w:r>
    </w:p>
    <w:p w14:paraId="28B505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14.</w:t>
      </w:r>
      <w:r>
        <w:rPr>
          <w:rFonts w:hint="eastAsia" w:ascii="仿宋" w:hAnsi="仿宋" w:eastAsia="仿宋" w:cs="仿宋"/>
          <w:color w:val="auto"/>
          <w:sz w:val="30"/>
          <w:szCs w:val="30"/>
          <w:highlight w:val="none"/>
        </w:rPr>
        <w:t>甲方如擅自接收非本单位产生且没有与乙方签订补充协议并缴纳此类医疗废物处置费用的，乙方有权拒收此类医疗废物并向生态环境局、卫健局报告，同时有权向甲方索取因此造成的</w:t>
      </w:r>
      <w:r>
        <w:rPr>
          <w:rFonts w:hint="eastAsia" w:ascii="仿宋" w:hAnsi="仿宋" w:eastAsia="仿宋" w:cs="仿宋"/>
          <w:color w:val="auto"/>
          <w:sz w:val="30"/>
          <w:szCs w:val="30"/>
          <w:highlight w:val="none"/>
          <w:lang w:val="en-US" w:eastAsia="zh-CN"/>
        </w:rPr>
        <w:t>全部</w:t>
      </w:r>
      <w:r>
        <w:rPr>
          <w:rFonts w:hint="eastAsia" w:ascii="仿宋" w:hAnsi="仿宋" w:eastAsia="仿宋" w:cs="仿宋"/>
          <w:color w:val="auto"/>
          <w:sz w:val="30"/>
          <w:szCs w:val="30"/>
          <w:highlight w:val="none"/>
        </w:rPr>
        <w:t>经济损失。</w:t>
      </w:r>
    </w:p>
    <w:p w14:paraId="136B09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 15.</w:t>
      </w:r>
      <w:r>
        <w:rPr>
          <w:rFonts w:hint="eastAsia" w:ascii="仿宋" w:hAnsi="仿宋" w:eastAsia="仿宋" w:cs="仿宋"/>
          <w:color w:val="auto"/>
          <w:sz w:val="30"/>
          <w:szCs w:val="30"/>
          <w:highlight w:val="none"/>
        </w:rPr>
        <w:t>甲方应在每月初及时向乙方如实提供上月住院病人实际占用床位日数及上月每天住院病人实际占用床位日数清单，不得少报（虚报），否则，甲方应根据本合同第</w:t>
      </w:r>
      <w:r>
        <w:rPr>
          <w:rFonts w:hint="eastAsia" w:ascii="仿宋" w:hAnsi="仿宋" w:eastAsia="仿宋" w:cs="仿宋"/>
          <w:color w:val="auto"/>
          <w:sz w:val="30"/>
          <w:szCs w:val="30"/>
          <w:highlight w:val="none"/>
          <w:lang w:val="en-US" w:eastAsia="zh-CN"/>
        </w:rPr>
        <w:t>六</w:t>
      </w:r>
      <w:r>
        <w:rPr>
          <w:rFonts w:hint="eastAsia" w:ascii="仿宋" w:hAnsi="仿宋" w:eastAsia="仿宋" w:cs="仿宋"/>
          <w:color w:val="auto"/>
          <w:sz w:val="30"/>
          <w:szCs w:val="30"/>
          <w:highlight w:val="none"/>
        </w:rPr>
        <w:t>条</w:t>
      </w:r>
      <w:r>
        <w:rPr>
          <w:rFonts w:hint="eastAsia" w:ascii="仿宋" w:hAnsi="仿宋" w:eastAsia="仿宋" w:cs="仿宋"/>
          <w:color w:val="auto"/>
          <w:sz w:val="30"/>
          <w:szCs w:val="30"/>
          <w:highlight w:val="none"/>
          <w:lang w:val="en-US" w:eastAsia="zh-CN"/>
        </w:rPr>
        <w:t>第6款</w:t>
      </w:r>
      <w:r>
        <w:rPr>
          <w:rFonts w:hint="eastAsia" w:ascii="仿宋" w:hAnsi="仿宋" w:eastAsia="仿宋" w:cs="仿宋"/>
          <w:color w:val="auto"/>
          <w:sz w:val="30"/>
          <w:szCs w:val="30"/>
          <w:highlight w:val="none"/>
        </w:rPr>
        <w:t>承担相应的责任。</w:t>
      </w:r>
    </w:p>
    <w:p w14:paraId="69B1E60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16.</w:t>
      </w:r>
      <w:r>
        <w:rPr>
          <w:rFonts w:hint="eastAsia" w:ascii="仿宋" w:hAnsi="仿宋" w:eastAsia="仿宋" w:cs="仿宋"/>
          <w:color w:val="auto"/>
          <w:sz w:val="30"/>
          <w:szCs w:val="30"/>
          <w:highlight w:val="none"/>
        </w:rPr>
        <w:t>出现经营地址变更、经营人变更、暂停营业、营业范围变更等要及时通知乙方，因医疗机构类别变更导致对应的收费标准类别变更从《医疗机构执业许可证》发证日期之日起变更对应的收费标准。</w:t>
      </w:r>
    </w:p>
    <w:p w14:paraId="01B139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四、乙方的权利义务：</w:t>
      </w:r>
    </w:p>
    <w:p w14:paraId="2FFF8AB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乙方应向甲方提供其有效期内的《营业执照》、《危险废物经营许可证》复印件，并保证该材料正规有效，同时交由甲方存档。</w:t>
      </w:r>
    </w:p>
    <w:p w14:paraId="2A8AA35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rPr>
        <w:t>乙方负责及时按甲方实际需要，</w:t>
      </w:r>
      <w:r>
        <w:rPr>
          <w:rFonts w:hint="eastAsia" w:ascii="仿宋" w:hAnsi="仿宋" w:eastAsia="仿宋" w:cs="仿宋"/>
          <w:color w:val="auto"/>
          <w:sz w:val="30"/>
          <w:szCs w:val="30"/>
          <w:highlight w:val="none"/>
          <w:lang w:val="en-US" w:eastAsia="zh-CN"/>
        </w:rPr>
        <w:t>定量</w:t>
      </w:r>
      <w:r>
        <w:rPr>
          <w:rFonts w:hint="eastAsia" w:ascii="仿宋" w:hAnsi="仿宋" w:eastAsia="仿宋" w:cs="仿宋"/>
          <w:color w:val="auto"/>
          <w:sz w:val="30"/>
          <w:szCs w:val="30"/>
          <w:highlight w:val="none"/>
        </w:rPr>
        <w:t>向甲方提供专用包装袋、利器盒、周转箱，周转桶应存放在甲方的医疗废物暂存点，并仅用于存放医疗废物。甲方有责任妥善保管医疗废物周转桶，如有遗失或人为损坏，按照周转桶（240L）420元／个进行赔偿。</w:t>
      </w:r>
    </w:p>
    <w:p w14:paraId="69AD39B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乙方在接收医疗废物时有权对移交的医疗废物的标识、包装、数量和重量等进行核实，经核实无误，双方共同填写《危险废物转移联单》（医疗废物专用）和《医疗废物运送登记卡》并签字确认，若乙方对其类型、数量、重量有异议或包装、标识不符合规定的，要求甲方更正，甲方拒绝更正时，乙方可拒收，并将有关情况于《医疗废物运送登记卡》上注明，上报卫健委、生态环境行政主管部门，由此引起的责任由甲方承担。</w:t>
      </w:r>
    </w:p>
    <w:p w14:paraId="68B7EE4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对于设立在一楼以上、地下室等不方便运送人员及运送工具、车辆出入的暂存点，乙方可要求甲方安排人员配合转运工作，甲方拒绝配合时，乙方可拒收，并将有关情况于《医疗废物运送登记卡》上注明，上报卫健委、生态环境行政主管部门，由此引起的责任由甲方承担。</w:t>
      </w:r>
    </w:p>
    <w:p w14:paraId="647B8A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乙方保证遵守甲方内部有关交通、安全及规章制度，如有违反，按甲方的管理规定处理。</w:t>
      </w:r>
    </w:p>
    <w:p w14:paraId="2AF1D0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乙方应做好医疗废物安全运输工作，使用专用车辆收运并防止运输途中出现医疗废物流失、扩散造成环境污染。</w:t>
      </w:r>
    </w:p>
    <w:p w14:paraId="701365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乙方派专用医疗废物转运车在甲方指定的医疗废物暂存点清运，在装车、运输过程中杜绝跑、冒、滴、漏，对转运过程中的交通安全及环保安全负责。</w:t>
      </w:r>
    </w:p>
    <w:p w14:paraId="754C75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根据《医疗废物管理条例》和《医疗废物集中处置技术规范》等相关要求对接收的医疗废物进行无害化处置</w:t>
      </w:r>
      <w:r>
        <w:rPr>
          <w:rFonts w:hint="eastAsia" w:ascii="仿宋" w:hAnsi="仿宋" w:eastAsia="仿宋" w:cs="仿宋"/>
          <w:color w:val="auto"/>
          <w:sz w:val="30"/>
          <w:szCs w:val="30"/>
          <w:highlight w:val="none"/>
          <w:lang w:eastAsia="zh-CN"/>
        </w:rPr>
        <w:t>，如乙方未按规范收运、处置甲方的医疗废物，造成二次污染的事实，乙方承担</w:t>
      </w:r>
      <w:r>
        <w:rPr>
          <w:rFonts w:hint="eastAsia" w:ascii="仿宋" w:hAnsi="仿宋" w:eastAsia="仿宋" w:cs="仿宋"/>
          <w:color w:val="auto"/>
          <w:sz w:val="30"/>
          <w:szCs w:val="30"/>
          <w:highlight w:val="none"/>
          <w:lang w:val="en-US" w:eastAsia="zh-CN"/>
        </w:rPr>
        <w:t>相应责任</w:t>
      </w:r>
      <w:r>
        <w:rPr>
          <w:rFonts w:hint="eastAsia" w:ascii="仿宋" w:hAnsi="仿宋" w:eastAsia="仿宋" w:cs="仿宋"/>
          <w:color w:val="auto"/>
          <w:sz w:val="30"/>
          <w:szCs w:val="30"/>
          <w:highlight w:val="none"/>
        </w:rPr>
        <w:t>。</w:t>
      </w:r>
    </w:p>
    <w:p w14:paraId="41F6D6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9.</w:t>
      </w:r>
      <w:r>
        <w:rPr>
          <w:rFonts w:hint="eastAsia" w:ascii="仿宋" w:hAnsi="仿宋" w:eastAsia="仿宋" w:cs="仿宋"/>
          <w:color w:val="auto"/>
          <w:sz w:val="30"/>
          <w:szCs w:val="30"/>
          <w:highlight w:val="none"/>
        </w:rPr>
        <w:t>乙方有义务接受甲方对处置医疗危险废物过程的监督，如乙方对医疗废物的处置不符合国家及生态环境部门的相关规定，甲方有权向卫健委、生态环境行政主管部门举报。</w:t>
      </w:r>
    </w:p>
    <w:p w14:paraId="7033D4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rPr>
        <w:t>对于甲方的收运需求，乙方承诺，接甲方通知后两个工作日内进行清运。</w:t>
      </w:r>
    </w:p>
    <w:p w14:paraId="29CA47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费用及结算方式：</w:t>
      </w:r>
    </w:p>
    <w:p w14:paraId="23FAF9D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依据《西安市医疗废物集中处置实施方案》：“为了确保医疗废物集中处置中心的正常运转，医疗废物处置收费由医疗废物集中处置中心和医疗废物产生单位通过签订协议，采取先收后结的收费结算方式”、“对一级以上(含一级)的医院按实际使用床位数收费，每张床位每日收取2元医疗废物处置费”，结合甲方医疗废物收运和处置的实际情况，本着“污染付费、公平负担、平等自愿、协商一致”的原则，甲乙双方经协商确定合同期内：</w:t>
      </w:r>
    </w:p>
    <w:p w14:paraId="7ADC0B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（一）根据</w:t>
      </w:r>
      <w:r>
        <w:rPr>
          <w:rFonts w:hint="eastAsia" w:ascii="仿宋" w:hAnsi="仿宋" w:eastAsia="仿宋" w:cs="仿宋"/>
          <w:color w:val="auto"/>
          <w:sz w:val="30"/>
          <w:szCs w:val="30"/>
          <w:highlight w:val="none"/>
          <w:lang w:val="en-US" w:eastAsia="zh-CN"/>
        </w:rPr>
        <w:t>甲方医务科</w:t>
      </w:r>
      <w:r>
        <w:rPr>
          <w:rFonts w:hint="eastAsia" w:ascii="仿宋" w:hAnsi="仿宋" w:eastAsia="仿宋" w:cs="仿宋"/>
          <w:color w:val="auto"/>
          <w:sz w:val="30"/>
          <w:szCs w:val="30"/>
          <w:highlight w:val="none"/>
          <w:lang w:eastAsia="zh-CN"/>
        </w:rPr>
        <w:t>提供的</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年度甲方实际使用床位总数</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lang w:eastAsia="zh-CN"/>
        </w:rPr>
        <w:t>张（</w:t>
      </w:r>
      <w:r>
        <w:rPr>
          <w:rFonts w:hint="eastAsia" w:ascii="仿宋" w:hAnsi="仿宋" w:eastAsia="仿宋" w:cs="仿宋"/>
          <w:color w:val="auto"/>
          <w:sz w:val="30"/>
          <w:szCs w:val="30"/>
          <w:highlight w:val="none"/>
          <w:lang w:val="en-US" w:eastAsia="zh-CN"/>
        </w:rPr>
        <w:t>包含一分院全年实际使用床位数</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lang w:eastAsia="zh-CN"/>
        </w:rPr>
        <w:t>年度甲方全年预付乙方处置费总计</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lang w:eastAsia="zh-CN"/>
        </w:rPr>
        <w:t>元（大写：人民币</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万</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仟</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佰</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拾</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元整）；平均每(月、</w:t>
      </w:r>
      <w:r>
        <w:rPr>
          <w:rFonts w:hint="eastAsia" w:ascii="仿宋" w:hAnsi="仿宋" w:eastAsia="仿宋" w:cs="仿宋"/>
          <w:color w:val="auto"/>
          <w:sz w:val="30"/>
          <w:szCs w:val="30"/>
          <w:highlight w:val="none"/>
          <w:lang w:eastAsia="zh-CN"/>
        </w:rPr>
        <w:sym w:font="Wingdings" w:char="00A8"/>
      </w:r>
      <w:r>
        <w:rPr>
          <w:rFonts w:hint="eastAsia" w:ascii="仿宋" w:hAnsi="仿宋" w:eastAsia="仿宋" w:cs="仿宋"/>
          <w:color w:val="auto"/>
          <w:sz w:val="30"/>
          <w:szCs w:val="30"/>
          <w:highlight w:val="none"/>
          <w:lang w:eastAsia="zh-CN"/>
        </w:rPr>
        <w:t>季度、半年)应支付处置费</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元（大写：人民币</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万</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仟</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佰</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拾</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 xml:space="preserve">元整）。    </w:t>
      </w:r>
    </w:p>
    <w:p w14:paraId="2A733A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（二）双方商定于</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年第</w:t>
      </w:r>
      <w:r>
        <w:rPr>
          <w:rFonts w:hint="eastAsia" w:ascii="仿宋" w:hAnsi="仿宋" w:eastAsia="仿宋" w:cs="仿宋"/>
          <w:color w:val="auto"/>
          <w:sz w:val="30"/>
          <w:szCs w:val="30"/>
          <w:highlight w:val="none"/>
          <w:lang w:val="en-US" w:eastAsia="zh-CN"/>
        </w:rPr>
        <w:t>二</w:t>
      </w:r>
      <w:r>
        <w:rPr>
          <w:rFonts w:hint="eastAsia" w:ascii="仿宋" w:hAnsi="仿宋" w:eastAsia="仿宋" w:cs="仿宋"/>
          <w:color w:val="auto"/>
          <w:sz w:val="30"/>
          <w:szCs w:val="30"/>
          <w:highlight w:val="none"/>
          <w:lang w:eastAsia="zh-CN"/>
        </w:rPr>
        <w:t>季度，根据</w:t>
      </w:r>
      <w:r>
        <w:rPr>
          <w:rFonts w:hint="eastAsia" w:ascii="仿宋" w:hAnsi="仿宋" w:eastAsia="仿宋" w:cs="仿宋"/>
          <w:color w:val="auto"/>
          <w:sz w:val="30"/>
          <w:szCs w:val="30"/>
          <w:highlight w:val="none"/>
          <w:lang w:val="en-US" w:eastAsia="zh-CN"/>
        </w:rPr>
        <w:t>西安</w:t>
      </w:r>
      <w:r>
        <w:rPr>
          <w:rFonts w:hint="eastAsia" w:ascii="仿宋" w:hAnsi="仿宋" w:eastAsia="仿宋" w:cs="仿宋"/>
          <w:color w:val="auto"/>
          <w:sz w:val="30"/>
          <w:szCs w:val="30"/>
          <w:highlight w:val="none"/>
          <w:lang w:eastAsia="zh-CN"/>
        </w:rPr>
        <w:t>市卫生健康委员会提供的</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年度甲方实际使用正式床位总数，按市物价局核定的收费标准，对</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single"/>
          <w:lang w:eastAsia="zh-CN"/>
        </w:rPr>
        <w:t xml:space="preserve"> </w:t>
      </w:r>
      <w:r>
        <w:rPr>
          <w:rFonts w:hint="eastAsia" w:ascii="仿宋" w:hAnsi="仿宋" w:eastAsia="仿宋" w:cs="仿宋"/>
          <w:color w:val="auto"/>
          <w:sz w:val="30"/>
          <w:szCs w:val="30"/>
          <w:highlight w:val="none"/>
          <w:lang w:eastAsia="zh-CN"/>
        </w:rPr>
        <w:t>年度全年处置费进行</w:t>
      </w:r>
      <w:r>
        <w:rPr>
          <w:rFonts w:hint="eastAsia" w:ascii="仿宋" w:hAnsi="仿宋" w:eastAsia="仿宋" w:cs="仿宋"/>
          <w:color w:val="auto"/>
          <w:sz w:val="30"/>
          <w:szCs w:val="30"/>
          <w:highlight w:val="none"/>
          <w:lang w:val="en-US" w:eastAsia="zh-CN"/>
        </w:rPr>
        <w:t>据实</w:t>
      </w:r>
      <w:r>
        <w:rPr>
          <w:rFonts w:hint="eastAsia" w:ascii="仿宋" w:hAnsi="仿宋" w:eastAsia="仿宋" w:cs="仿宋"/>
          <w:color w:val="auto"/>
          <w:sz w:val="30"/>
          <w:szCs w:val="30"/>
          <w:highlight w:val="none"/>
          <w:lang w:eastAsia="zh-CN"/>
        </w:rPr>
        <w:t>结算。</w:t>
      </w:r>
    </w:p>
    <w:p w14:paraId="0505E744">
      <w:pPr>
        <w:keepNext w:val="0"/>
        <w:keepLines w:val="0"/>
        <w:pageBreakBefore w:val="0"/>
        <w:widowControl w:val="0"/>
        <w:numPr>
          <w:ilvl w:val="0"/>
          <w:numId w:val="0"/>
        </w:numPr>
        <w:tabs>
          <w:tab w:val="left" w:pos="513"/>
        </w:tabs>
        <w:kinsoku/>
        <w:wordWrap/>
        <w:overflowPunct/>
        <w:topLinePunct w:val="0"/>
        <w:autoSpaceDE/>
        <w:autoSpaceDN/>
        <w:bidi w:val="0"/>
        <w:adjustRightInd/>
        <w:snapToGrid/>
        <w:spacing w:line="240" w:lineRule="auto"/>
        <w:ind w:right="0"/>
        <w:jc w:val="both"/>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0"/>
          <w:szCs w:val="30"/>
          <w:highlight w:val="none"/>
          <w:lang w:val="en-US" w:eastAsia="zh-CN"/>
        </w:rPr>
        <w:t>注：依照本合同第五条第(二)款约定，乙方应补收</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u w:val="none"/>
          <w:lang w:val="en-US" w:eastAsia="zh-CN"/>
        </w:rPr>
        <w:t>上</w:t>
      </w:r>
      <w:r>
        <w:rPr>
          <w:rFonts w:hint="eastAsia" w:ascii="仿宋" w:hAnsi="仿宋" w:eastAsia="仿宋" w:cs="仿宋"/>
          <w:color w:val="auto"/>
          <w:sz w:val="30"/>
          <w:szCs w:val="30"/>
          <w:highlight w:val="none"/>
          <w:lang w:val="en-US" w:eastAsia="zh-CN"/>
        </w:rPr>
        <w:t>年度医疗废物处置费按西安</w:t>
      </w:r>
      <w:r>
        <w:rPr>
          <w:rFonts w:hint="eastAsia" w:ascii="仿宋" w:hAnsi="仿宋" w:eastAsia="仿宋" w:cs="仿宋"/>
          <w:color w:val="auto"/>
          <w:sz w:val="30"/>
          <w:szCs w:val="30"/>
          <w:highlight w:val="none"/>
          <w:lang w:eastAsia="zh-CN"/>
        </w:rPr>
        <w:t>市卫生健康委员会提供的</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eastAsia="zh-CN"/>
        </w:rPr>
        <w:t>年度甲方实际使用正式床位总数</w:t>
      </w:r>
      <w:r>
        <w:rPr>
          <w:rFonts w:hint="eastAsia" w:ascii="仿宋" w:hAnsi="仿宋" w:eastAsia="仿宋" w:cs="仿宋"/>
          <w:color w:val="auto"/>
          <w:sz w:val="30"/>
          <w:szCs w:val="30"/>
          <w:highlight w:val="none"/>
          <w:lang w:val="en-US" w:eastAsia="zh-CN"/>
        </w:rPr>
        <w:t>据实结算。</w:t>
      </w:r>
    </w:p>
    <w:p w14:paraId="0349499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收费方式：甲、乙双方商定：乙方于每(月、</w:t>
      </w:r>
      <w:r>
        <w:rPr>
          <w:rFonts w:hint="eastAsia" w:ascii="仿宋" w:hAnsi="仿宋" w:eastAsia="仿宋" w:cs="仿宋"/>
          <w:color w:val="auto"/>
          <w:sz w:val="30"/>
          <w:szCs w:val="30"/>
          <w:highlight w:val="none"/>
          <w:lang w:val="en-US" w:eastAsia="zh-CN"/>
        </w:rPr>
        <w:sym w:font="Wingdings" w:char="00FE"/>
      </w:r>
      <w:r>
        <w:rPr>
          <w:rFonts w:hint="eastAsia" w:ascii="仿宋" w:hAnsi="仿宋" w:eastAsia="仿宋" w:cs="仿宋"/>
          <w:color w:val="auto"/>
          <w:sz w:val="30"/>
          <w:szCs w:val="30"/>
          <w:highlight w:val="none"/>
          <w:lang w:val="en-US" w:eastAsia="zh-CN"/>
        </w:rPr>
        <w:t>季度、半年)开始后10日内向甲方提供上(月、</w:t>
      </w:r>
      <w:r>
        <w:rPr>
          <w:rFonts w:hint="eastAsia" w:ascii="仿宋" w:hAnsi="仿宋" w:eastAsia="仿宋" w:cs="仿宋"/>
          <w:color w:val="auto"/>
          <w:sz w:val="30"/>
          <w:szCs w:val="30"/>
          <w:highlight w:val="none"/>
          <w:lang w:val="en-US" w:eastAsia="zh-CN"/>
        </w:rPr>
        <w:sym w:font="Wingdings" w:char="00FE"/>
      </w:r>
      <w:r>
        <w:rPr>
          <w:rFonts w:hint="eastAsia" w:ascii="仿宋" w:hAnsi="仿宋" w:eastAsia="仿宋" w:cs="仿宋"/>
          <w:color w:val="auto"/>
          <w:sz w:val="30"/>
          <w:szCs w:val="30"/>
          <w:highlight w:val="none"/>
          <w:lang w:val="en-US" w:eastAsia="zh-CN"/>
        </w:rPr>
        <w:t>季度、半年)处置费发票，甲方于收到发票后10日内将处置费一次性全额支付给乙方。如甲方未按时足额支付乙方处置费的，乙方有权停止收运、处置甲方的医疗废物，造成医疗废物无法规范处置、环境污染的事实，视同甲方违约，一切责任由甲方承担。</w:t>
      </w:r>
    </w:p>
    <w:p w14:paraId="609F0DF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本次采购活动完整服务期限为三年，自首份合同生效之日起连续计算，三年服务期通过分期订立合同的方式履行，每期合同期限为一年。</w:t>
      </w:r>
    </w:p>
    <w:p w14:paraId="241FF8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本合同为基于本次采购结果签订的首期☑续签第二年度□续签第三年度□服务合同，服务期自   年  月   日起至   年  月 日止，期限一年。</w:t>
      </w:r>
    </w:p>
    <w:p w14:paraId="7A551D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根据《财政部关于推进和完善服务项目政府采购有关问题的通知》(财库[2014]37号)有关规定，采购人将依据合同约定的考核办法，在每期合同期满前对供应商履约情况进行年度考核。（考核见附件一）供应商经考核，服务质量被评定为合格或以上等级，采购人有权决定是否续签下一期合同。本次采购活动累计合同履行期限（即首次合同期限与所有后续续签合同期限之和）不超过3年，采购人享有是否续签的最终决定权。</w:t>
      </w:r>
    </w:p>
    <w:p w14:paraId="0903737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（五）乙方收款账户如下：</w:t>
      </w:r>
    </w:p>
    <w:p w14:paraId="053C337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账户名：</w:t>
      </w:r>
    </w:p>
    <w:p w14:paraId="5A9317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开户行：</w:t>
      </w:r>
    </w:p>
    <w:p w14:paraId="3E6FDA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账  号：</w:t>
      </w:r>
    </w:p>
    <w:p w14:paraId="16F2B7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（六）甲方开票信息</w:t>
      </w:r>
    </w:p>
    <w:p w14:paraId="295F19B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公司名称：</w:t>
      </w:r>
    </w:p>
    <w:p w14:paraId="66BFAA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统一社会信用代码：</w:t>
      </w:r>
    </w:p>
    <w:p w14:paraId="3BDFE7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经营场所：</w:t>
      </w:r>
    </w:p>
    <w:p w14:paraId="3290BE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电话：</w:t>
      </w:r>
    </w:p>
    <w:p w14:paraId="52A5D45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银行信息：</w:t>
      </w:r>
    </w:p>
    <w:p w14:paraId="45DAAD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lang w:val="en-US" w:eastAsia="zh-CN"/>
        </w:rPr>
      </w:pPr>
    </w:p>
    <w:p w14:paraId="5F5939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其它约定</w:t>
      </w:r>
    </w:p>
    <w:p w14:paraId="7C5F50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textAlignment w:val="auto"/>
        <w:rPr>
          <w:rFonts w:hint="eastAsia"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u w:val="single"/>
          <w:lang w:val="en-US" w:eastAsia="zh-CN"/>
        </w:rPr>
        <w:t>1.</w:t>
      </w:r>
      <w:r>
        <w:rPr>
          <w:rFonts w:hint="eastAsia" w:ascii="仿宋" w:hAnsi="仿宋" w:eastAsia="仿宋" w:cs="仿宋"/>
          <w:color w:val="auto"/>
          <w:sz w:val="30"/>
          <w:szCs w:val="30"/>
          <w:highlight w:val="none"/>
          <w:u w:val="single"/>
        </w:rPr>
        <w:t>在本合同有效期</w:t>
      </w:r>
      <w:r>
        <w:rPr>
          <w:rFonts w:hint="eastAsia" w:ascii="仿宋" w:hAnsi="仿宋" w:eastAsia="仿宋" w:cs="仿宋"/>
          <w:color w:val="auto"/>
          <w:sz w:val="30"/>
          <w:szCs w:val="30"/>
          <w:highlight w:val="none"/>
          <w:u w:val="single"/>
          <w:lang w:val="en-US" w:eastAsia="zh-CN"/>
        </w:rPr>
        <w:t>届</w:t>
      </w:r>
      <w:r>
        <w:rPr>
          <w:rFonts w:hint="eastAsia" w:ascii="仿宋" w:hAnsi="仿宋" w:eastAsia="仿宋" w:cs="仿宋"/>
          <w:color w:val="auto"/>
          <w:sz w:val="30"/>
          <w:szCs w:val="30"/>
          <w:highlight w:val="none"/>
          <w:u w:val="single"/>
        </w:rPr>
        <w:t>满前 1 个月内，双方协商续签合同事宜。若甲方到期不续签，则乙方有权终止合同，并报送卫健委、生态环境行政主管部门。</w:t>
      </w:r>
    </w:p>
    <w:p w14:paraId="30B7CD0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2.国家有关医疗废物的法律、法规、规范性文件若发生变更修订，甲乙双方应根据变更后的要求对本合同进行修订。</w:t>
      </w:r>
    </w:p>
    <w:p w14:paraId="2FD768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3.西安市医疗废物处置收费标准发生变更时，甲乙双方应执行新的物价收费标准，甲、乙双方应重新签订《医疗废物集中处置合同》，本合同自行终止。</w:t>
      </w:r>
    </w:p>
    <w:p w14:paraId="7CCFB45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4.甲方对床位使用率、费用有异议，应当在接到乙方通知后7日内以书面方式提出，否则视为双方一致认可。</w:t>
      </w:r>
    </w:p>
    <w:p w14:paraId="0859E03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5.若甲方在规定期限内未结清款项，按应结未结款项的万分之五每日支付违约金。乙方同时上报卫健委、生态环境行政主管部门，并有权即刻停止服务直至结清所有款项再恢复服务，所造成全部责任由甲方承担。</w:t>
      </w:r>
    </w:p>
    <w:p w14:paraId="166D26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6.甲方如果故意少报实际住院床日数，少付处置费，不按时付款，经查实，则由卫健、生态环境等部门责令缴交所欠费用。如有三个月未付款，乙方有权停止对甲方医疗废物的上门收运服务，并有权收取甲方涉及的医疗废物处置费一倍的违约金。</w:t>
      </w:r>
    </w:p>
    <w:p w14:paraId="60678C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7.甲方拖欠医疗废物处置费三个月以上造成一切后果（包括医疗废物流失、渗漏、遗撒导致传染病传播及环境污染事故等）均由甲方承担。</w:t>
      </w:r>
    </w:p>
    <w:p w14:paraId="50ABAB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8.如果乙方违反有关法规以及未及时到甲方收运医疗废物，无理拒收医疗废物，在运送处置医疗废物过程中出现医疗废物流失、扩散，则由生态环境部门责令整改及依法处罚。</w:t>
      </w:r>
    </w:p>
    <w:p w14:paraId="5B6676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七、自媒体宣传禁止条款</w:t>
      </w:r>
    </w:p>
    <w:p w14:paraId="2D62C75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未经甲方（陕西省康复医院）加盖公章的书面同意，任何个人口头或书面授权均无效，乙方及其关联方（母公司、子公司、分公司、代理商、经销商、授权服务商等）、法定代表人、授权代表、合作第三方，不得在任何自媒体矩阵及公开平台发布、转载、传播任何与甲方相关的信息。</w:t>
      </w:r>
    </w:p>
    <w:p w14:paraId="442691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2.前款所称 "自媒体矩阵及公开平台" 包括但不限于：微信公众号、视频号、抖音、快手、小红书、微博、B 站、知乎、今日头条、企业官网、行业网站、电子期刊、直播平台、短视频平台、各类社交群组及其他互联网信息发布渠道。</w:t>
      </w:r>
    </w:p>
    <w:p w14:paraId="47A5D3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3.前款所称 "与甲方相关的信息" 包括但不限于：甲方名称、LOGO、院容院貌、科室标识、医护人员肖像、姓名、职称、诊疗活动、设备安装使用场景、药品及耗材临床应用案例、双方合作关系、项目信息、患者任何信息（含匿名化信息）、任何带有甲方标识的内容，以及任何可能被公众误认为是甲方官方宣传或认可的内容。</w:t>
      </w:r>
    </w:p>
    <w:p w14:paraId="62D8F85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4.若乙方违反本条约定，甲方有权同时采取以下全部或部分措施：</w:t>
      </w:r>
    </w:p>
    <w:p w14:paraId="4B301E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（1）立即单方解除全部合同，且不承担任何违约责任；</w:t>
      </w:r>
    </w:p>
    <w:p w14:paraId="7835349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（2）要求乙方支付合同总金额15%的违约金，违约金不足以弥补甲方损失的，乙方还应赔偿全部差额（包括但不限于名誉损失、法律费用、整改费用等）；</w:t>
      </w:r>
    </w:p>
    <w:p w14:paraId="5B0FBE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（3）要求乙方立即删除所有违规内容，并在全国性主流媒体及涉事平台首页显著位置发布经甲方审核同意的公开致歉声明，消除影响；</w:t>
      </w:r>
    </w:p>
    <w:p w14:paraId="03992D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（4）将乙方及其所有关联方永久列入我院供应商黑名单，禁止其今后参与我院任何采购项目；</w:t>
      </w:r>
    </w:p>
    <w:p w14:paraId="766A9F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（5）保留追究乙方其他法律责任的权利（包括但不限于名誉权侵权、不正当竞争、侵犯公民个人信息、泄露商业秘密等）。</w:t>
      </w:r>
    </w:p>
    <w:p w14:paraId="3D6427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本条款效力独立于主合同，主合同无效、被撤销或终止，本条款仍然有效。</w:t>
      </w:r>
    </w:p>
    <w:p w14:paraId="3D2C30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43" w:firstLineChars="200"/>
        <w:textAlignment w:val="auto"/>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八、争议的解决：</w:t>
      </w:r>
    </w:p>
    <w:p w14:paraId="7A5E01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1.本合同执行过程中未尽之事宜，应经双方共同协商，签署补充协议，补充协议和本合同具有同等法律效力。</w:t>
      </w:r>
    </w:p>
    <w:p w14:paraId="15910E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firstLine="600" w:firstLineChars="20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2.双方在合同履行过程中产生争议应友好协商，如协商不成，报请卫健委、生态环境行政主管部门进行协调，协调不成，可以向乙方所在地人民法院提起诉讼。    </w:t>
      </w:r>
    </w:p>
    <w:p w14:paraId="411B0973">
      <w:pPr>
        <w:keepNext w:val="0"/>
        <w:keepLines w:val="0"/>
        <w:pageBreakBefore w:val="0"/>
        <w:widowControl w:val="0"/>
        <w:kinsoku/>
        <w:wordWrap/>
        <w:overflowPunct/>
        <w:topLinePunct w:val="0"/>
        <w:autoSpaceDE/>
        <w:autoSpaceDN/>
        <w:bidi w:val="0"/>
        <w:adjustRightInd/>
        <w:snapToGrid/>
        <w:spacing w:line="240" w:lineRule="auto"/>
        <w:ind w:left="0" w:leftChars="0" w:right="0" w:firstLine="602" w:firstLineChars="200"/>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val="en-US" w:eastAsia="zh-CN"/>
        </w:rPr>
        <w:t>九</w:t>
      </w:r>
      <w:r>
        <w:rPr>
          <w:rFonts w:hint="eastAsia" w:ascii="仿宋" w:hAnsi="仿宋" w:eastAsia="仿宋" w:cs="仿宋"/>
          <w:b/>
          <w:color w:val="auto"/>
          <w:sz w:val="30"/>
          <w:szCs w:val="30"/>
          <w:highlight w:val="none"/>
        </w:rPr>
        <w:t>、合同生效日及有效期：</w:t>
      </w:r>
    </w:p>
    <w:p w14:paraId="2A5DEB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1.本合同一式</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val="en-US" w:eastAsia="zh-CN"/>
        </w:rPr>
        <w:t>份，甲方执</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val="en-US" w:eastAsia="zh-CN"/>
        </w:rPr>
        <w:t>份，乙方</w:t>
      </w:r>
      <w:r>
        <w:rPr>
          <w:rFonts w:hint="eastAsia" w:ascii="仿宋" w:hAnsi="仿宋" w:eastAsia="仿宋" w:cs="仿宋"/>
          <w:color w:val="auto"/>
          <w:sz w:val="30"/>
          <w:szCs w:val="30"/>
          <w:highlight w:val="none"/>
          <w:u w:val="none"/>
          <w:lang w:val="en-US" w:eastAsia="zh-CN"/>
        </w:rPr>
        <w:t>执</w:t>
      </w:r>
      <w:r>
        <w:rPr>
          <w:rFonts w:hint="eastAsia" w:ascii="仿宋" w:hAnsi="仿宋" w:eastAsia="仿宋" w:cs="仿宋"/>
          <w:color w:val="auto"/>
          <w:sz w:val="30"/>
          <w:szCs w:val="30"/>
          <w:highlight w:val="none"/>
          <w:u w:val="single"/>
          <w:lang w:val="en-US" w:eastAsia="zh-CN"/>
        </w:rPr>
        <w:t xml:space="preserve">    </w:t>
      </w:r>
      <w:r>
        <w:rPr>
          <w:rFonts w:hint="eastAsia" w:ascii="仿宋" w:hAnsi="仿宋" w:eastAsia="仿宋" w:cs="仿宋"/>
          <w:color w:val="auto"/>
          <w:sz w:val="30"/>
          <w:szCs w:val="30"/>
          <w:highlight w:val="none"/>
          <w:lang w:val="en-US" w:eastAsia="zh-CN"/>
        </w:rPr>
        <w:t>份，每份具有同等法律效力；经双方法定代表人或授权代表签字并加盖印章生效。</w:t>
      </w:r>
    </w:p>
    <w:p w14:paraId="68191A06">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仿宋" w:hAnsi="仿宋" w:eastAsia="仿宋"/>
          <w:b w:val="0"/>
          <w:bCs/>
          <w:color w:val="auto"/>
          <w:sz w:val="30"/>
          <w:szCs w:val="30"/>
          <w:highlight w:val="none"/>
        </w:rPr>
      </w:pPr>
      <w:r>
        <w:rPr>
          <w:rFonts w:hint="eastAsia" w:ascii="仿宋" w:hAnsi="仿宋" w:eastAsia="仿宋"/>
          <w:b w:val="0"/>
          <w:bCs/>
          <w:color w:val="auto"/>
          <w:sz w:val="30"/>
          <w:szCs w:val="30"/>
          <w:highlight w:val="none"/>
          <w:lang w:val="en-US" w:eastAsia="zh-CN"/>
        </w:rPr>
        <w:t>2.</w:t>
      </w:r>
      <w:r>
        <w:rPr>
          <w:rFonts w:hint="eastAsia" w:ascii="仿宋" w:hAnsi="仿宋" w:eastAsia="仿宋"/>
          <w:b w:val="0"/>
          <w:bCs/>
          <w:color w:val="auto"/>
          <w:sz w:val="30"/>
          <w:szCs w:val="30"/>
          <w:highlight w:val="none"/>
        </w:rPr>
        <w:t>合同有效期：</w:t>
      </w:r>
    </w:p>
    <w:p w14:paraId="3752442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b w:val="0"/>
          <w:bCs/>
          <w:color w:val="auto"/>
          <w:sz w:val="30"/>
          <w:szCs w:val="30"/>
          <w:highlight w:val="none"/>
        </w:rPr>
      </w:pPr>
      <w:r>
        <w:rPr>
          <w:rFonts w:hint="eastAsia" w:ascii="仿宋" w:hAnsi="仿宋" w:eastAsia="仿宋"/>
          <w:b w:val="0"/>
          <w:bCs/>
          <w:color w:val="auto"/>
          <w:sz w:val="30"/>
          <w:szCs w:val="30"/>
          <w:highlight w:val="none"/>
          <w:lang w:val="en-US" w:eastAsia="zh-CN"/>
        </w:rPr>
        <w:t xml:space="preserve">自       </w:t>
      </w:r>
      <w:r>
        <w:rPr>
          <w:rFonts w:hint="eastAsia" w:ascii="仿宋" w:hAnsi="仿宋" w:eastAsia="仿宋"/>
          <w:b w:val="0"/>
          <w:bCs/>
          <w:color w:val="auto"/>
          <w:sz w:val="30"/>
          <w:szCs w:val="30"/>
          <w:highlight w:val="none"/>
        </w:rPr>
        <w:t>年</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月</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日</w:t>
      </w:r>
      <w:r>
        <w:rPr>
          <w:rFonts w:hint="eastAsia" w:ascii="仿宋" w:hAnsi="仿宋" w:eastAsia="仿宋"/>
          <w:b w:val="0"/>
          <w:bCs/>
          <w:color w:val="auto"/>
          <w:sz w:val="30"/>
          <w:szCs w:val="30"/>
          <w:highlight w:val="none"/>
          <w:lang w:val="en-US" w:eastAsia="zh-CN"/>
        </w:rPr>
        <w:t>起</w:t>
      </w:r>
      <w:r>
        <w:rPr>
          <w:rFonts w:hint="eastAsia" w:ascii="仿宋" w:hAnsi="仿宋" w:eastAsia="仿宋"/>
          <w:b w:val="0"/>
          <w:bCs/>
          <w:color w:val="auto"/>
          <w:sz w:val="30"/>
          <w:szCs w:val="30"/>
          <w:highlight w:val="none"/>
        </w:rPr>
        <w:t>至</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年</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月</w:t>
      </w:r>
      <w:r>
        <w:rPr>
          <w:rFonts w:hint="eastAsia" w:ascii="仿宋" w:hAnsi="仿宋" w:eastAsia="仿宋"/>
          <w:b w:val="0"/>
          <w:bCs/>
          <w:color w:val="auto"/>
          <w:sz w:val="30"/>
          <w:szCs w:val="30"/>
          <w:highlight w:val="none"/>
          <w:lang w:val="en-US" w:eastAsia="zh-CN"/>
        </w:rPr>
        <w:t xml:space="preserve">     </w:t>
      </w:r>
      <w:r>
        <w:rPr>
          <w:rFonts w:hint="eastAsia" w:ascii="仿宋" w:hAnsi="仿宋" w:eastAsia="仿宋"/>
          <w:b w:val="0"/>
          <w:bCs/>
          <w:color w:val="auto"/>
          <w:sz w:val="30"/>
          <w:szCs w:val="30"/>
          <w:highlight w:val="none"/>
        </w:rPr>
        <w:t>日</w:t>
      </w:r>
    </w:p>
    <w:p w14:paraId="0CB23D3A">
      <w:pPr>
        <w:keepNext w:val="0"/>
        <w:keepLines w:val="0"/>
        <w:pageBreakBefore w:val="0"/>
        <w:widowControl w:val="0"/>
        <w:kinsoku/>
        <w:wordWrap/>
        <w:overflowPunct/>
        <w:topLinePunct w:val="0"/>
        <w:autoSpaceDE/>
        <w:autoSpaceDN/>
        <w:bidi w:val="0"/>
        <w:adjustRightInd/>
        <w:snapToGrid/>
        <w:textAlignment w:val="auto"/>
        <w:rPr>
          <w:rFonts w:hint="default" w:ascii="仿宋" w:hAnsi="仿宋" w:eastAsia="仿宋"/>
          <w:b w:val="0"/>
          <w:bCs/>
          <w:color w:val="auto"/>
          <w:sz w:val="30"/>
          <w:szCs w:val="30"/>
          <w:highlight w:val="none"/>
          <w:lang w:val="en-US" w:eastAsia="zh-CN"/>
        </w:rPr>
      </w:pPr>
      <w:r>
        <w:rPr>
          <w:rFonts w:hint="eastAsia" w:ascii="仿宋" w:hAnsi="仿宋" w:eastAsia="仿宋"/>
          <w:b w:val="0"/>
          <w:bCs/>
          <w:color w:val="auto"/>
          <w:sz w:val="30"/>
          <w:szCs w:val="30"/>
          <w:highlight w:val="none"/>
          <w:lang w:val="en-US" w:eastAsia="zh-CN"/>
        </w:rPr>
        <w:t>(以下无正文)</w:t>
      </w:r>
    </w:p>
    <w:p w14:paraId="35B0575E">
      <w:pPr>
        <w:keepNext w:val="0"/>
        <w:keepLines w:val="0"/>
        <w:pageBreakBefore w:val="0"/>
        <w:kinsoku/>
        <w:wordWrap/>
        <w:overflowPunct/>
        <w:topLinePunct w:val="0"/>
        <w:autoSpaceDE/>
        <w:autoSpaceDN/>
        <w:bidi w:val="0"/>
        <w:adjustRightInd/>
        <w:snapToGrid/>
        <w:spacing w:after="156" w:afterLines="50" w:line="240" w:lineRule="auto"/>
        <w:ind w:right="0"/>
        <w:textAlignment w:val="auto"/>
        <w:rPr>
          <w:rFonts w:hint="eastAsia" w:ascii="仿宋" w:hAnsi="仿宋" w:eastAsia="仿宋" w:cs="仿宋"/>
          <w:color w:val="auto"/>
          <w:kern w:val="24"/>
          <w:sz w:val="30"/>
          <w:szCs w:val="30"/>
          <w:highlight w:val="none"/>
          <w:lang w:eastAsia="zh-CN"/>
        </w:rPr>
      </w:pPr>
    </w:p>
    <w:p w14:paraId="07913574">
      <w:pPr>
        <w:keepNext w:val="0"/>
        <w:keepLines w:val="0"/>
        <w:pageBreakBefore w:val="0"/>
        <w:kinsoku/>
        <w:wordWrap/>
        <w:overflowPunct/>
        <w:topLinePunct w:val="0"/>
        <w:autoSpaceDE/>
        <w:autoSpaceDN/>
        <w:bidi w:val="0"/>
        <w:adjustRightInd/>
        <w:snapToGrid/>
        <w:spacing w:after="156" w:afterLines="50" w:line="240" w:lineRule="auto"/>
        <w:ind w:right="0"/>
        <w:textAlignment w:val="auto"/>
        <w:rPr>
          <w:rFonts w:hint="eastAsia" w:ascii="仿宋" w:hAnsi="仿宋" w:eastAsia="仿宋" w:cs="仿宋"/>
          <w:color w:val="auto"/>
          <w:kern w:val="24"/>
          <w:sz w:val="30"/>
          <w:szCs w:val="30"/>
          <w:highlight w:val="none"/>
          <w:lang w:eastAsia="zh-CN"/>
        </w:rPr>
      </w:pPr>
      <w:r>
        <w:rPr>
          <w:rFonts w:hint="eastAsia" w:ascii="仿宋" w:hAnsi="仿宋" w:eastAsia="仿宋" w:cs="仿宋"/>
          <w:color w:val="auto"/>
          <w:kern w:val="24"/>
          <w:sz w:val="30"/>
          <w:szCs w:val="30"/>
          <w:highlight w:val="none"/>
          <w:lang w:eastAsia="zh-CN"/>
        </w:rPr>
        <w:t>（</w:t>
      </w:r>
      <w:r>
        <w:rPr>
          <w:rFonts w:hint="eastAsia" w:ascii="仿宋" w:hAnsi="仿宋" w:eastAsia="仿宋" w:cs="仿宋"/>
          <w:color w:val="auto"/>
          <w:kern w:val="24"/>
          <w:sz w:val="30"/>
          <w:szCs w:val="30"/>
          <w:highlight w:val="none"/>
          <w:lang w:val="en-US" w:eastAsia="zh-CN"/>
        </w:rPr>
        <w:t>以下是医废合同（编号：     ）的签署页</w:t>
      </w:r>
      <w:r>
        <w:rPr>
          <w:rFonts w:hint="eastAsia" w:ascii="仿宋" w:hAnsi="仿宋" w:eastAsia="仿宋" w:cs="仿宋"/>
          <w:color w:val="auto"/>
          <w:kern w:val="24"/>
          <w:sz w:val="30"/>
          <w:szCs w:val="30"/>
          <w:highlight w:val="none"/>
          <w:lang w:eastAsia="zh-CN"/>
        </w:rPr>
        <w:t>）</w:t>
      </w:r>
    </w:p>
    <w:p w14:paraId="0DDD6B78">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6ECF0A37">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甲方（章）：</w:t>
      </w:r>
      <w:r>
        <w:rPr>
          <w:rFonts w:hint="eastAsia" w:ascii="仿宋" w:hAnsi="仿宋" w:eastAsia="仿宋" w:cs="仿宋"/>
          <w:color w:val="auto"/>
          <w:sz w:val="30"/>
          <w:szCs w:val="30"/>
          <w:highlight w:val="none"/>
        </w:rPr>
        <w:t xml:space="preserve">        </w:t>
      </w:r>
    </w:p>
    <w:p w14:paraId="07A64E2C">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 xml:space="preserve">法定代表人或授权代表：                   </w:t>
      </w:r>
      <w:r>
        <w:rPr>
          <w:rFonts w:hint="eastAsia" w:ascii="仿宋" w:hAnsi="仿宋" w:eastAsia="仿宋" w:cs="仿宋"/>
          <w:color w:val="auto"/>
          <w:kern w:val="24"/>
          <w:sz w:val="30"/>
          <w:szCs w:val="30"/>
          <w:highlight w:val="none"/>
          <w:lang w:val="en-US" w:eastAsia="zh-CN"/>
        </w:rPr>
        <w:t xml:space="preserve"> </w:t>
      </w:r>
    </w:p>
    <w:p w14:paraId="62F30614">
      <w:pPr>
        <w:keepNext w:val="0"/>
        <w:keepLines w:val="0"/>
        <w:pageBreakBefore w:val="0"/>
        <w:widowControl w:val="0"/>
        <w:tabs>
          <w:tab w:val="left" w:pos="4840"/>
          <w:tab w:val="left" w:pos="5040"/>
          <w:tab w:val="left" w:pos="5250"/>
        </w:tabs>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 xml:space="preserve">签订时间：                 </w:t>
      </w:r>
      <w:r>
        <w:rPr>
          <w:rFonts w:hint="eastAsia" w:ascii="仿宋" w:hAnsi="仿宋" w:eastAsia="仿宋" w:cs="仿宋"/>
          <w:color w:val="auto"/>
          <w:kern w:val="24"/>
          <w:sz w:val="30"/>
          <w:szCs w:val="30"/>
          <w:highlight w:val="none"/>
        </w:rPr>
        <w:tab/>
      </w:r>
      <w:r>
        <w:rPr>
          <w:rFonts w:hint="eastAsia" w:ascii="仿宋" w:hAnsi="仿宋" w:eastAsia="仿宋" w:cs="仿宋"/>
          <w:color w:val="auto"/>
          <w:kern w:val="24"/>
          <w:sz w:val="30"/>
          <w:szCs w:val="30"/>
          <w:highlight w:val="none"/>
        </w:rPr>
        <w:t xml:space="preserve">          </w:t>
      </w:r>
    </w:p>
    <w:p w14:paraId="14FC1169">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 xml:space="preserve">电    话：                      </w:t>
      </w:r>
    </w:p>
    <w:p w14:paraId="17B0911B">
      <w:pPr>
        <w:keepNext w:val="0"/>
        <w:keepLines w:val="0"/>
        <w:pageBreakBefore w:val="0"/>
        <w:widowControl w:val="0"/>
        <w:kinsoku/>
        <w:wordWrap/>
        <w:overflowPunct/>
        <w:topLinePunct w:val="0"/>
        <w:autoSpaceDE/>
        <w:autoSpaceDN/>
        <w:bidi w:val="0"/>
        <w:adjustRightInd/>
        <w:snapToGrid/>
        <w:spacing w:line="240" w:lineRule="auto"/>
        <w:ind w:left="6600" w:leftChars="0" w:right="0" w:hanging="6600" w:hangingChars="2200"/>
        <w:jc w:val="left"/>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24"/>
          <w:sz w:val="30"/>
          <w:szCs w:val="30"/>
          <w:highlight w:val="none"/>
        </w:rPr>
        <w:t>地    址：</w:t>
      </w:r>
      <w:r>
        <w:rPr>
          <w:rFonts w:hint="eastAsia" w:ascii="仿宋" w:hAnsi="仿宋" w:eastAsia="仿宋" w:cs="仿宋"/>
          <w:b/>
          <w:color w:val="auto"/>
          <w:sz w:val="30"/>
          <w:szCs w:val="30"/>
          <w:highlight w:val="none"/>
        </w:rPr>
        <w:t xml:space="preserve">       </w:t>
      </w:r>
    </w:p>
    <w:p w14:paraId="0D3CD373">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60E4E4E9">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p>
    <w:p w14:paraId="6DA8464C">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乙方（章）：</w:t>
      </w:r>
    </w:p>
    <w:p w14:paraId="2A764CAA">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kern w:val="24"/>
          <w:sz w:val="30"/>
          <w:szCs w:val="30"/>
          <w:highlight w:val="none"/>
        </w:rPr>
      </w:pPr>
      <w:r>
        <w:rPr>
          <w:rFonts w:hint="eastAsia" w:ascii="仿宋" w:hAnsi="仿宋" w:eastAsia="仿宋" w:cs="仿宋"/>
          <w:color w:val="auto"/>
          <w:kern w:val="24"/>
          <w:sz w:val="30"/>
          <w:szCs w:val="30"/>
          <w:highlight w:val="none"/>
        </w:rPr>
        <w:t>法定代表人或授权代表：</w:t>
      </w:r>
    </w:p>
    <w:p w14:paraId="59214DE5">
      <w:pPr>
        <w:keepNext w:val="0"/>
        <w:keepLines w:val="0"/>
        <w:pageBreakBefore w:val="0"/>
        <w:widowControl w:val="0"/>
        <w:kinsoku/>
        <w:wordWrap/>
        <w:overflowPunct/>
        <w:topLinePunct w:val="0"/>
        <w:autoSpaceDE/>
        <w:autoSpaceDN/>
        <w:bidi w:val="0"/>
        <w:adjustRightInd/>
        <w:snapToGrid/>
        <w:spacing w:line="240" w:lineRule="auto"/>
        <w:ind w:left="0" w:leftChars="0" w:right="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 xml:space="preserve">签订时间： </w:t>
      </w:r>
    </w:p>
    <w:p w14:paraId="78FC53E5">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kern w:val="24"/>
          <w:sz w:val="30"/>
          <w:szCs w:val="30"/>
          <w:highlight w:val="none"/>
        </w:rPr>
        <w:t>电    话：</w:t>
      </w:r>
    </w:p>
    <w:p w14:paraId="34C99DDA">
      <w:pPr>
        <w:pStyle w:val="8"/>
        <w:rPr>
          <w:rFonts w:hint="eastAsia" w:ascii="仿宋" w:hAnsi="仿宋" w:eastAsia="仿宋" w:cs="仿宋"/>
          <w:i w:val="0"/>
          <w:iCs w:val="0"/>
          <w:caps w:val="0"/>
          <w:color w:val="auto"/>
          <w:spacing w:val="0"/>
          <w:sz w:val="30"/>
          <w:szCs w:val="30"/>
          <w:highlight w:val="none"/>
          <w:shd w:val="clear" w:fill="FFFFFF"/>
          <w:lang w:val="en-US" w:eastAsia="zh-CN"/>
        </w:rPr>
      </w:pPr>
      <w:r>
        <w:rPr>
          <w:rFonts w:hint="eastAsia" w:ascii="仿宋" w:hAnsi="仿宋" w:eastAsia="仿宋" w:cs="仿宋"/>
          <w:color w:val="auto"/>
          <w:kern w:val="24"/>
          <w:sz w:val="30"/>
          <w:szCs w:val="30"/>
          <w:highlight w:val="none"/>
        </w:rPr>
        <w:t>地    址：</w:t>
      </w:r>
    </w:p>
    <w:p w14:paraId="6D03CB3C">
      <w:pPr>
        <w:pStyle w:val="8"/>
        <w:rPr>
          <w:rFonts w:hint="eastAsia" w:ascii="仿宋" w:hAnsi="仿宋" w:eastAsia="仿宋" w:cs="仿宋"/>
          <w:i w:val="0"/>
          <w:iCs w:val="0"/>
          <w:caps w:val="0"/>
          <w:color w:val="auto"/>
          <w:spacing w:val="0"/>
          <w:sz w:val="30"/>
          <w:szCs w:val="30"/>
          <w:highlight w:val="none"/>
          <w:shd w:val="clear" w:fill="FFFFFF"/>
          <w:lang w:val="en-US" w:eastAsia="zh-CN"/>
        </w:rPr>
      </w:pPr>
    </w:p>
    <w:p w14:paraId="2A53446F">
      <w:pP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br w:type="page"/>
      </w:r>
    </w:p>
    <w:p w14:paraId="1D75B730">
      <w:pPr>
        <w:bidi w:val="0"/>
        <w:jc w:val="both"/>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附件一：</w:t>
      </w:r>
    </w:p>
    <w:p w14:paraId="4A63A34C">
      <w:pPr>
        <w:bidi w:val="0"/>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医院医疗废物第三方转运服务考核表</w:t>
      </w:r>
    </w:p>
    <w:p w14:paraId="335D8984">
      <w:pPr>
        <w:bidi w:val="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考核说明：1. 本考核表依据《医疗废物管理条例》《医疗卫生机构医疗废物管理办法》《医疗废物分类目录（2026年版）》及医院与第三方转运公司签订的服务合同制定，适用于为医院提供医疗废物转运服务的第三方公司及相关转运人员；2. 考核采用百分制，90分及以上为优秀，80-89分为良好，70-79分为合格，70分以下为不合格，不合格者需限期整改，整改后仍不合格，医院有权终止服务合同；3. 考核方式结合现场检查、资料核查、全程追溯核查，关键指标实行“零容忍”，出现1次不符合即扣对应全部分值，情节严重（如医疗废物流失、泄漏未及时处置）者直接判定不合格并追究相关责任。</w:t>
      </w:r>
    </w:p>
    <w:tbl>
      <w:tblPr>
        <w:tblStyle w:val="5"/>
        <w:tblW w:w="8547" w:type="dxa"/>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fixed"/>
        <w:tblCellMar>
          <w:top w:w="0" w:type="dxa"/>
          <w:left w:w="10" w:type="dxa"/>
          <w:bottom w:w="0" w:type="dxa"/>
          <w:right w:w="10" w:type="dxa"/>
        </w:tblCellMar>
      </w:tblPr>
      <w:tblGrid>
        <w:gridCol w:w="479"/>
        <w:gridCol w:w="683"/>
        <w:gridCol w:w="5050"/>
        <w:gridCol w:w="570"/>
        <w:gridCol w:w="479"/>
        <w:gridCol w:w="473"/>
        <w:gridCol w:w="813"/>
      </w:tblGrid>
      <w:tr w14:paraId="732BC7AC">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479E1C5E">
            <w:pPr>
              <w:bidi w:val="0"/>
              <w:spacing w:line="240" w:lineRule="auto"/>
              <w:jc w:val="center"/>
              <w:rPr>
                <w:color w:val="auto"/>
                <w:highlight w:val="none"/>
              </w:rPr>
            </w:pPr>
            <w:r>
              <w:rPr>
                <w:color w:val="auto"/>
                <w:highlight w:val="none"/>
              </w:rPr>
              <w:t>序号</w:t>
            </w:r>
          </w:p>
        </w:tc>
        <w:tc>
          <w:tcPr>
            <w:tcW w:w="683" w:type="dxa"/>
            <w:tcBorders>
              <w:tl2br w:val="nil"/>
              <w:tr2bl w:val="nil"/>
            </w:tcBorders>
            <w:tcMar>
              <w:top w:w="60" w:type="dxa"/>
              <w:left w:w="120" w:type="dxa"/>
              <w:bottom w:w="30" w:type="dxa"/>
              <w:right w:w="120" w:type="dxa"/>
            </w:tcMar>
            <w:vAlign w:val="center"/>
          </w:tcPr>
          <w:p w14:paraId="6BB27A81">
            <w:pPr>
              <w:bidi w:val="0"/>
              <w:spacing w:line="240" w:lineRule="auto"/>
              <w:jc w:val="center"/>
              <w:rPr>
                <w:color w:val="auto"/>
                <w:highlight w:val="none"/>
              </w:rPr>
            </w:pPr>
            <w:r>
              <w:rPr>
                <w:color w:val="auto"/>
                <w:highlight w:val="none"/>
              </w:rPr>
              <w:t>考核项目</w:t>
            </w:r>
          </w:p>
        </w:tc>
        <w:tc>
          <w:tcPr>
            <w:tcW w:w="5050" w:type="dxa"/>
            <w:tcBorders>
              <w:tl2br w:val="nil"/>
              <w:tr2bl w:val="nil"/>
            </w:tcBorders>
            <w:tcMar>
              <w:top w:w="60" w:type="dxa"/>
              <w:left w:w="120" w:type="dxa"/>
              <w:bottom w:w="30" w:type="dxa"/>
              <w:right w:w="120" w:type="dxa"/>
            </w:tcMar>
            <w:vAlign w:val="center"/>
          </w:tcPr>
          <w:p w14:paraId="6328F8E5">
            <w:pPr>
              <w:bidi w:val="0"/>
              <w:spacing w:line="240" w:lineRule="auto"/>
              <w:jc w:val="center"/>
              <w:rPr>
                <w:color w:val="auto"/>
                <w:highlight w:val="none"/>
              </w:rPr>
            </w:pPr>
            <w:r>
              <w:rPr>
                <w:color w:val="auto"/>
                <w:highlight w:val="none"/>
              </w:rPr>
              <w:t>考核内容及评分标准</w:t>
            </w:r>
          </w:p>
        </w:tc>
        <w:tc>
          <w:tcPr>
            <w:tcW w:w="570" w:type="dxa"/>
            <w:tcBorders>
              <w:tl2br w:val="nil"/>
              <w:tr2bl w:val="nil"/>
            </w:tcBorders>
            <w:tcMar>
              <w:top w:w="60" w:type="dxa"/>
              <w:left w:w="120" w:type="dxa"/>
              <w:bottom w:w="30" w:type="dxa"/>
              <w:right w:w="120" w:type="dxa"/>
            </w:tcMar>
            <w:vAlign w:val="center"/>
          </w:tcPr>
          <w:p w14:paraId="1891B270">
            <w:pPr>
              <w:bidi w:val="0"/>
              <w:spacing w:line="240" w:lineRule="auto"/>
              <w:jc w:val="center"/>
              <w:rPr>
                <w:color w:val="auto"/>
                <w:highlight w:val="none"/>
              </w:rPr>
            </w:pPr>
            <w:r>
              <w:rPr>
                <w:color w:val="auto"/>
                <w:highlight w:val="none"/>
              </w:rPr>
              <w:t>分值</w:t>
            </w:r>
          </w:p>
        </w:tc>
        <w:tc>
          <w:tcPr>
            <w:tcW w:w="479" w:type="dxa"/>
            <w:tcBorders>
              <w:tl2br w:val="nil"/>
              <w:tr2bl w:val="nil"/>
            </w:tcBorders>
            <w:tcMar>
              <w:top w:w="60" w:type="dxa"/>
              <w:left w:w="120" w:type="dxa"/>
              <w:bottom w:w="30" w:type="dxa"/>
              <w:right w:w="120" w:type="dxa"/>
            </w:tcMar>
            <w:vAlign w:val="center"/>
          </w:tcPr>
          <w:p w14:paraId="752AECA9">
            <w:pPr>
              <w:bidi w:val="0"/>
              <w:spacing w:line="240" w:lineRule="auto"/>
              <w:jc w:val="center"/>
              <w:rPr>
                <w:color w:val="auto"/>
                <w:highlight w:val="none"/>
              </w:rPr>
            </w:pPr>
            <w:r>
              <w:rPr>
                <w:color w:val="auto"/>
                <w:highlight w:val="none"/>
              </w:rPr>
              <w:t>扣分</w:t>
            </w:r>
          </w:p>
        </w:tc>
        <w:tc>
          <w:tcPr>
            <w:tcW w:w="473" w:type="dxa"/>
            <w:tcBorders>
              <w:tl2br w:val="nil"/>
              <w:tr2bl w:val="nil"/>
            </w:tcBorders>
            <w:tcMar>
              <w:top w:w="60" w:type="dxa"/>
              <w:left w:w="120" w:type="dxa"/>
              <w:bottom w:w="30" w:type="dxa"/>
              <w:right w:w="120" w:type="dxa"/>
            </w:tcMar>
            <w:vAlign w:val="center"/>
          </w:tcPr>
          <w:p w14:paraId="4DF6DD60">
            <w:pPr>
              <w:bidi w:val="0"/>
              <w:spacing w:line="240" w:lineRule="auto"/>
              <w:jc w:val="center"/>
              <w:rPr>
                <w:color w:val="auto"/>
                <w:highlight w:val="none"/>
              </w:rPr>
            </w:pPr>
            <w:r>
              <w:rPr>
                <w:color w:val="auto"/>
                <w:highlight w:val="none"/>
              </w:rPr>
              <w:t>得分</w:t>
            </w:r>
          </w:p>
        </w:tc>
        <w:tc>
          <w:tcPr>
            <w:tcW w:w="813" w:type="dxa"/>
            <w:tcBorders>
              <w:tl2br w:val="nil"/>
              <w:tr2bl w:val="nil"/>
            </w:tcBorders>
            <w:tcMar>
              <w:top w:w="60" w:type="dxa"/>
              <w:left w:w="120" w:type="dxa"/>
              <w:bottom w:w="30" w:type="dxa"/>
              <w:right w:w="120" w:type="dxa"/>
            </w:tcMar>
            <w:vAlign w:val="center"/>
          </w:tcPr>
          <w:p w14:paraId="08E4C36C">
            <w:pPr>
              <w:bidi w:val="0"/>
              <w:spacing w:line="240" w:lineRule="auto"/>
              <w:jc w:val="center"/>
              <w:rPr>
                <w:color w:val="auto"/>
                <w:highlight w:val="none"/>
              </w:rPr>
            </w:pPr>
            <w:r>
              <w:rPr>
                <w:color w:val="auto"/>
                <w:highlight w:val="none"/>
              </w:rPr>
              <w:t>责任主体</w:t>
            </w:r>
          </w:p>
        </w:tc>
      </w:tr>
      <w:tr w14:paraId="2EF00B5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11ADD457">
            <w:pPr>
              <w:bidi w:val="0"/>
              <w:jc w:val="center"/>
              <w:rPr>
                <w:color w:val="auto"/>
                <w:highlight w:val="none"/>
              </w:rPr>
            </w:pPr>
            <w:r>
              <w:rPr>
                <w:color w:val="auto"/>
                <w:highlight w:val="none"/>
              </w:rPr>
              <w:t>1</w:t>
            </w:r>
          </w:p>
        </w:tc>
        <w:tc>
          <w:tcPr>
            <w:tcW w:w="683" w:type="dxa"/>
            <w:tcBorders>
              <w:tl2br w:val="nil"/>
              <w:tr2bl w:val="nil"/>
            </w:tcBorders>
            <w:tcMar>
              <w:top w:w="60" w:type="dxa"/>
              <w:left w:w="120" w:type="dxa"/>
              <w:bottom w:w="30" w:type="dxa"/>
              <w:right w:w="120" w:type="dxa"/>
            </w:tcMar>
            <w:vAlign w:val="center"/>
          </w:tcPr>
          <w:p w14:paraId="5BE816DF">
            <w:pPr>
              <w:bidi w:val="0"/>
              <w:jc w:val="center"/>
              <w:rPr>
                <w:color w:val="auto"/>
                <w:highlight w:val="none"/>
              </w:rPr>
            </w:pPr>
            <w:r>
              <w:rPr>
                <w:color w:val="auto"/>
                <w:highlight w:val="none"/>
              </w:rPr>
              <w:t>资质与合规性</w:t>
            </w:r>
          </w:p>
        </w:tc>
        <w:tc>
          <w:tcPr>
            <w:tcW w:w="5050" w:type="dxa"/>
            <w:tcBorders>
              <w:tl2br w:val="nil"/>
              <w:tr2bl w:val="nil"/>
            </w:tcBorders>
            <w:tcMar>
              <w:top w:w="60" w:type="dxa"/>
              <w:left w:w="120" w:type="dxa"/>
              <w:bottom w:w="30" w:type="dxa"/>
              <w:right w:w="120" w:type="dxa"/>
            </w:tcMar>
            <w:vAlign w:val="center"/>
          </w:tcPr>
          <w:p w14:paraId="0A424B16">
            <w:pPr>
              <w:bidi w:val="0"/>
              <w:jc w:val="left"/>
              <w:rPr>
                <w:color w:val="auto"/>
                <w:highlight w:val="none"/>
              </w:rPr>
            </w:pPr>
            <w:r>
              <w:rPr>
                <w:color w:val="auto"/>
                <w:highlight w:val="none"/>
              </w:rPr>
              <w:t>1. 持有有效的《危险废物经营许可证》《道路危险货物运输许可证》，资质齐全且在有效期内（</w:t>
            </w:r>
            <w:r>
              <w:rPr>
                <w:rFonts w:hint="eastAsia"/>
                <w:color w:val="auto"/>
                <w:highlight w:val="none"/>
                <w:lang w:val="en-US" w:eastAsia="zh-CN"/>
              </w:rPr>
              <w:t>10</w:t>
            </w:r>
            <w:r>
              <w:rPr>
                <w:color w:val="auto"/>
                <w:highlight w:val="none"/>
              </w:rPr>
              <w:t>分），缺1项或过期扣5分；2. 转运车辆、容器符合国家医疗废物转运标准，车辆具备防渗漏、防遗撒、密闭功能，容器为专用合格产品（</w:t>
            </w:r>
            <w:r>
              <w:rPr>
                <w:rFonts w:hint="eastAsia"/>
                <w:color w:val="auto"/>
                <w:highlight w:val="none"/>
                <w:lang w:val="en-US" w:eastAsia="zh-CN"/>
              </w:rPr>
              <w:t>6</w:t>
            </w:r>
            <w:r>
              <w:rPr>
                <w:color w:val="auto"/>
                <w:highlight w:val="none"/>
              </w:rPr>
              <w:t>分），每处不符合扣2分；3. 严格遵守国家及地方医疗废物转运相关法律法规，无违规转运行为（4分），出现1次违规扣4分。</w:t>
            </w:r>
          </w:p>
        </w:tc>
        <w:tc>
          <w:tcPr>
            <w:tcW w:w="570" w:type="dxa"/>
            <w:tcBorders>
              <w:tl2br w:val="nil"/>
              <w:tr2bl w:val="nil"/>
            </w:tcBorders>
            <w:tcMar>
              <w:top w:w="60" w:type="dxa"/>
              <w:left w:w="120" w:type="dxa"/>
              <w:bottom w:w="30" w:type="dxa"/>
              <w:right w:w="120" w:type="dxa"/>
            </w:tcMar>
            <w:vAlign w:val="center"/>
          </w:tcPr>
          <w:p w14:paraId="2E704733">
            <w:pPr>
              <w:bidi w:val="0"/>
              <w:jc w:val="center"/>
              <w:rPr>
                <w:rFonts w:hint="default" w:eastAsiaTheme="minorEastAsia"/>
                <w:color w:val="auto"/>
                <w:highlight w:val="none"/>
                <w:lang w:val="en-US" w:eastAsia="zh-CN"/>
              </w:rPr>
            </w:pPr>
            <w:r>
              <w:rPr>
                <w:rFonts w:hint="eastAsia"/>
                <w:color w:val="auto"/>
                <w:highlight w:val="none"/>
                <w:lang w:val="en-US" w:eastAsia="zh-CN"/>
              </w:rPr>
              <w:t>20</w:t>
            </w:r>
          </w:p>
        </w:tc>
        <w:tc>
          <w:tcPr>
            <w:tcW w:w="479" w:type="dxa"/>
            <w:tcBorders>
              <w:tl2br w:val="nil"/>
              <w:tr2bl w:val="nil"/>
            </w:tcBorders>
            <w:tcMar>
              <w:top w:w="60" w:type="dxa"/>
              <w:left w:w="120" w:type="dxa"/>
              <w:bottom w:w="30" w:type="dxa"/>
              <w:right w:w="120" w:type="dxa"/>
            </w:tcMar>
            <w:vAlign w:val="center"/>
          </w:tcPr>
          <w:p w14:paraId="656EA496">
            <w:pPr>
              <w:bidi w:val="0"/>
              <w:jc w:val="center"/>
              <w:rPr>
                <w:color w:val="auto"/>
                <w:highlight w:val="none"/>
              </w:rPr>
            </w:pPr>
          </w:p>
        </w:tc>
        <w:tc>
          <w:tcPr>
            <w:tcW w:w="473" w:type="dxa"/>
            <w:tcBorders>
              <w:tl2br w:val="nil"/>
              <w:tr2bl w:val="nil"/>
            </w:tcBorders>
            <w:tcMar>
              <w:top w:w="60" w:type="dxa"/>
              <w:left w:w="120" w:type="dxa"/>
              <w:bottom w:w="30" w:type="dxa"/>
              <w:right w:w="120" w:type="dxa"/>
            </w:tcMar>
            <w:vAlign w:val="center"/>
          </w:tcPr>
          <w:p w14:paraId="140F297A">
            <w:pPr>
              <w:bidi w:val="0"/>
              <w:jc w:val="center"/>
              <w:rPr>
                <w:color w:val="auto"/>
                <w:highlight w:val="none"/>
              </w:rPr>
            </w:pPr>
          </w:p>
        </w:tc>
        <w:tc>
          <w:tcPr>
            <w:tcW w:w="813" w:type="dxa"/>
            <w:tcBorders>
              <w:tl2br w:val="nil"/>
              <w:tr2bl w:val="nil"/>
            </w:tcBorders>
            <w:tcMar>
              <w:top w:w="60" w:type="dxa"/>
              <w:left w:w="120" w:type="dxa"/>
              <w:bottom w:w="30" w:type="dxa"/>
              <w:right w:w="120" w:type="dxa"/>
            </w:tcMar>
            <w:vAlign w:val="center"/>
          </w:tcPr>
          <w:p w14:paraId="57FDA1D4">
            <w:pPr>
              <w:bidi w:val="0"/>
              <w:jc w:val="center"/>
              <w:rPr>
                <w:color w:val="auto"/>
                <w:highlight w:val="none"/>
              </w:rPr>
            </w:pPr>
            <w:r>
              <w:rPr>
                <w:color w:val="auto"/>
                <w:highlight w:val="none"/>
              </w:rPr>
              <w:t>第三方转运公司</w:t>
            </w:r>
          </w:p>
        </w:tc>
      </w:tr>
      <w:tr w14:paraId="07349545">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4D60958D">
            <w:pPr>
              <w:bidi w:val="0"/>
              <w:jc w:val="center"/>
              <w:rPr>
                <w:color w:val="auto"/>
                <w:highlight w:val="none"/>
              </w:rPr>
            </w:pPr>
            <w:r>
              <w:rPr>
                <w:color w:val="auto"/>
                <w:highlight w:val="none"/>
              </w:rPr>
              <w:t>2</w:t>
            </w:r>
          </w:p>
        </w:tc>
        <w:tc>
          <w:tcPr>
            <w:tcW w:w="683" w:type="dxa"/>
            <w:tcBorders>
              <w:tl2br w:val="nil"/>
              <w:tr2bl w:val="nil"/>
            </w:tcBorders>
            <w:tcMar>
              <w:top w:w="60" w:type="dxa"/>
              <w:left w:w="120" w:type="dxa"/>
              <w:bottom w:w="30" w:type="dxa"/>
              <w:right w:w="120" w:type="dxa"/>
            </w:tcMar>
            <w:vAlign w:val="center"/>
          </w:tcPr>
          <w:p w14:paraId="7BE13A43">
            <w:pPr>
              <w:bidi w:val="0"/>
              <w:jc w:val="center"/>
              <w:rPr>
                <w:color w:val="auto"/>
                <w:highlight w:val="none"/>
              </w:rPr>
            </w:pPr>
            <w:r>
              <w:rPr>
                <w:color w:val="auto"/>
                <w:highlight w:val="none"/>
              </w:rPr>
              <w:t>转运人员管理</w:t>
            </w:r>
          </w:p>
        </w:tc>
        <w:tc>
          <w:tcPr>
            <w:tcW w:w="5050" w:type="dxa"/>
            <w:tcBorders>
              <w:tl2br w:val="nil"/>
              <w:tr2bl w:val="nil"/>
            </w:tcBorders>
            <w:tcMar>
              <w:top w:w="60" w:type="dxa"/>
              <w:left w:w="120" w:type="dxa"/>
              <w:bottom w:w="30" w:type="dxa"/>
              <w:right w:w="120" w:type="dxa"/>
            </w:tcMar>
            <w:vAlign w:val="center"/>
          </w:tcPr>
          <w:p w14:paraId="11E55647">
            <w:pPr>
              <w:bidi w:val="0"/>
              <w:jc w:val="left"/>
              <w:rPr>
                <w:color w:val="auto"/>
                <w:highlight w:val="none"/>
              </w:rPr>
            </w:pPr>
            <w:r>
              <w:rPr>
                <w:color w:val="auto"/>
                <w:highlight w:val="none"/>
              </w:rPr>
              <w:t>1. 转运人员经专业培训合格后上岗（4分），每人次未培训扣2分；2. 上岗时按规范穿戴防护用品（手套、口罩、防护服、防滑鞋等），防护到位（3分），每人次防护不当扣1分；3. 掌握医疗废物安全转运、防护知识及泄漏应急处置流程（3分），访谈或现场考核不合格每人次扣3分。</w:t>
            </w:r>
          </w:p>
        </w:tc>
        <w:tc>
          <w:tcPr>
            <w:tcW w:w="570" w:type="dxa"/>
            <w:tcBorders>
              <w:tl2br w:val="nil"/>
              <w:tr2bl w:val="nil"/>
            </w:tcBorders>
            <w:tcMar>
              <w:top w:w="60" w:type="dxa"/>
              <w:left w:w="120" w:type="dxa"/>
              <w:bottom w:w="30" w:type="dxa"/>
              <w:right w:w="120" w:type="dxa"/>
            </w:tcMar>
            <w:vAlign w:val="center"/>
          </w:tcPr>
          <w:p w14:paraId="5621A025">
            <w:pPr>
              <w:bidi w:val="0"/>
              <w:jc w:val="center"/>
              <w:rPr>
                <w:color w:val="auto"/>
                <w:highlight w:val="none"/>
              </w:rPr>
            </w:pPr>
            <w:r>
              <w:rPr>
                <w:color w:val="auto"/>
                <w:highlight w:val="none"/>
              </w:rPr>
              <w:t>10</w:t>
            </w:r>
          </w:p>
        </w:tc>
        <w:tc>
          <w:tcPr>
            <w:tcW w:w="479" w:type="dxa"/>
            <w:tcBorders>
              <w:tl2br w:val="nil"/>
              <w:tr2bl w:val="nil"/>
            </w:tcBorders>
            <w:tcMar>
              <w:top w:w="60" w:type="dxa"/>
              <w:left w:w="120" w:type="dxa"/>
              <w:bottom w:w="30" w:type="dxa"/>
              <w:right w:w="120" w:type="dxa"/>
            </w:tcMar>
            <w:vAlign w:val="center"/>
          </w:tcPr>
          <w:p w14:paraId="0A6AB4FB">
            <w:pPr>
              <w:bidi w:val="0"/>
              <w:jc w:val="center"/>
              <w:rPr>
                <w:color w:val="auto"/>
                <w:highlight w:val="none"/>
              </w:rPr>
            </w:pPr>
          </w:p>
        </w:tc>
        <w:tc>
          <w:tcPr>
            <w:tcW w:w="473" w:type="dxa"/>
            <w:tcBorders>
              <w:tl2br w:val="nil"/>
              <w:tr2bl w:val="nil"/>
            </w:tcBorders>
            <w:tcMar>
              <w:top w:w="60" w:type="dxa"/>
              <w:left w:w="120" w:type="dxa"/>
              <w:bottom w:w="30" w:type="dxa"/>
              <w:right w:w="120" w:type="dxa"/>
            </w:tcMar>
            <w:vAlign w:val="center"/>
          </w:tcPr>
          <w:p w14:paraId="42571106">
            <w:pPr>
              <w:bidi w:val="0"/>
              <w:jc w:val="center"/>
              <w:rPr>
                <w:color w:val="auto"/>
                <w:highlight w:val="none"/>
              </w:rPr>
            </w:pPr>
          </w:p>
        </w:tc>
        <w:tc>
          <w:tcPr>
            <w:tcW w:w="813" w:type="dxa"/>
            <w:tcBorders>
              <w:tl2br w:val="nil"/>
              <w:tr2bl w:val="nil"/>
            </w:tcBorders>
            <w:tcMar>
              <w:top w:w="60" w:type="dxa"/>
              <w:left w:w="120" w:type="dxa"/>
              <w:bottom w:w="30" w:type="dxa"/>
              <w:right w:w="120" w:type="dxa"/>
            </w:tcMar>
            <w:vAlign w:val="center"/>
          </w:tcPr>
          <w:p w14:paraId="2F30BC62">
            <w:pPr>
              <w:bidi w:val="0"/>
              <w:jc w:val="center"/>
              <w:rPr>
                <w:color w:val="auto"/>
                <w:highlight w:val="none"/>
              </w:rPr>
            </w:pPr>
            <w:r>
              <w:rPr>
                <w:color w:val="auto"/>
                <w:highlight w:val="none"/>
              </w:rPr>
              <w:t>第三方转运公司</w:t>
            </w:r>
          </w:p>
        </w:tc>
      </w:tr>
      <w:tr w14:paraId="067FB16C">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50F45E5F">
            <w:pPr>
              <w:bidi w:val="0"/>
              <w:jc w:val="center"/>
              <w:rPr>
                <w:color w:val="auto"/>
                <w:highlight w:val="none"/>
              </w:rPr>
            </w:pPr>
            <w:r>
              <w:rPr>
                <w:color w:val="auto"/>
                <w:highlight w:val="none"/>
              </w:rPr>
              <w:t>3</w:t>
            </w:r>
          </w:p>
        </w:tc>
        <w:tc>
          <w:tcPr>
            <w:tcW w:w="683" w:type="dxa"/>
            <w:tcBorders>
              <w:tl2br w:val="nil"/>
              <w:tr2bl w:val="nil"/>
            </w:tcBorders>
            <w:tcMar>
              <w:top w:w="60" w:type="dxa"/>
              <w:left w:w="120" w:type="dxa"/>
              <w:bottom w:w="30" w:type="dxa"/>
              <w:right w:w="120" w:type="dxa"/>
            </w:tcMar>
            <w:vAlign w:val="center"/>
          </w:tcPr>
          <w:p w14:paraId="76AA6F7B">
            <w:pPr>
              <w:bidi w:val="0"/>
              <w:jc w:val="center"/>
              <w:rPr>
                <w:color w:val="auto"/>
                <w:highlight w:val="none"/>
              </w:rPr>
            </w:pPr>
            <w:r>
              <w:rPr>
                <w:color w:val="auto"/>
                <w:highlight w:val="none"/>
              </w:rPr>
              <w:t>转运计划与执行</w:t>
            </w:r>
          </w:p>
        </w:tc>
        <w:tc>
          <w:tcPr>
            <w:tcW w:w="5050" w:type="dxa"/>
            <w:tcBorders>
              <w:tl2br w:val="nil"/>
              <w:tr2bl w:val="nil"/>
            </w:tcBorders>
            <w:tcMar>
              <w:top w:w="60" w:type="dxa"/>
              <w:left w:w="120" w:type="dxa"/>
              <w:bottom w:w="30" w:type="dxa"/>
              <w:right w:w="120" w:type="dxa"/>
            </w:tcMar>
            <w:vAlign w:val="center"/>
          </w:tcPr>
          <w:p w14:paraId="5C96B55C">
            <w:pPr>
              <w:bidi w:val="0"/>
              <w:jc w:val="left"/>
              <w:rPr>
                <w:color w:val="auto"/>
                <w:highlight w:val="none"/>
              </w:rPr>
            </w:pPr>
            <w:r>
              <w:rPr>
                <w:color w:val="auto"/>
                <w:highlight w:val="none"/>
              </w:rPr>
              <w:t>1. 严格按照医院约定时间转运（</w:t>
            </w:r>
            <w:r>
              <w:rPr>
                <w:rFonts w:hint="eastAsia"/>
                <w:color w:val="auto"/>
                <w:highlight w:val="none"/>
                <w:lang w:val="en-US" w:eastAsia="zh-CN"/>
              </w:rPr>
              <w:t>两天内至少转运一次</w:t>
            </w:r>
            <w:r>
              <w:rPr>
                <w:color w:val="auto"/>
                <w:highlight w:val="none"/>
              </w:rPr>
              <w:t>，传染病疫情期间按医院要求增加频次），</w:t>
            </w:r>
            <w:r>
              <w:rPr>
                <w:color w:val="000000" w:themeColor="text1"/>
                <w:highlight w:val="none"/>
                <w14:textFill>
                  <w14:solidFill>
                    <w14:schemeClr w14:val="tx1"/>
                  </w14:solidFill>
                </w14:textFill>
              </w:rPr>
              <w:t>无迟到、早退、漏运（</w:t>
            </w:r>
            <w:r>
              <w:rPr>
                <w:rFonts w:hint="eastAsia"/>
                <w:color w:val="000000" w:themeColor="text1"/>
                <w:highlight w:val="none"/>
                <w:lang w:val="en-US" w:eastAsia="zh-CN"/>
                <w14:textFill>
                  <w14:solidFill>
                    <w14:schemeClr w14:val="tx1"/>
                  </w14:solidFill>
                </w14:textFill>
              </w:rPr>
              <w:t>10</w:t>
            </w:r>
            <w:r>
              <w:rPr>
                <w:color w:val="000000" w:themeColor="text1"/>
                <w:highlight w:val="none"/>
                <w14:textFill>
                  <w14:solidFill>
                    <w14:schemeClr w14:val="tx1"/>
                  </w14:solidFill>
                </w14:textFill>
              </w:rPr>
              <w:t>分），每迟到/早退1次扣2分</w:t>
            </w:r>
            <w:r>
              <w:rPr>
                <w:color w:val="auto"/>
                <w:highlight w:val="none"/>
              </w:rPr>
              <w:t>，漏运1次扣6分；2. 转运路线严格遵循医院指定路线，避开清洁区、人员密集区及就诊高峰路线（</w:t>
            </w:r>
            <w:r>
              <w:rPr>
                <w:rFonts w:hint="eastAsia"/>
                <w:color w:val="auto"/>
                <w:highlight w:val="none"/>
                <w:lang w:val="en-US" w:eastAsia="zh-CN"/>
              </w:rPr>
              <w:t>5</w:t>
            </w:r>
            <w:r>
              <w:rPr>
                <w:color w:val="auto"/>
                <w:highlight w:val="none"/>
              </w:rPr>
              <w:t>分），路线不符每次扣2分；3. 转运过程中无医疗废物流失、遗撒、泄漏（</w:t>
            </w:r>
            <w:r>
              <w:rPr>
                <w:rFonts w:hint="eastAsia"/>
                <w:color w:val="auto"/>
                <w:highlight w:val="none"/>
                <w:lang w:val="en-US" w:eastAsia="zh-CN"/>
              </w:rPr>
              <w:t>5</w:t>
            </w:r>
            <w:r>
              <w:rPr>
                <w:color w:val="auto"/>
                <w:highlight w:val="none"/>
              </w:rPr>
              <w:t>分），出现1次扣</w:t>
            </w:r>
            <w:r>
              <w:rPr>
                <w:rFonts w:hint="eastAsia"/>
                <w:color w:val="auto"/>
                <w:highlight w:val="none"/>
                <w:lang w:val="en-US" w:eastAsia="zh-CN"/>
              </w:rPr>
              <w:t>3</w:t>
            </w:r>
            <w:r>
              <w:rPr>
                <w:color w:val="auto"/>
                <w:highlight w:val="none"/>
              </w:rPr>
              <w:t>分，未及时处置加扣2分。</w:t>
            </w:r>
          </w:p>
        </w:tc>
        <w:tc>
          <w:tcPr>
            <w:tcW w:w="570" w:type="dxa"/>
            <w:tcBorders>
              <w:tl2br w:val="nil"/>
              <w:tr2bl w:val="nil"/>
            </w:tcBorders>
            <w:tcMar>
              <w:top w:w="60" w:type="dxa"/>
              <w:left w:w="120" w:type="dxa"/>
              <w:bottom w:w="30" w:type="dxa"/>
              <w:right w:w="120" w:type="dxa"/>
            </w:tcMar>
            <w:vAlign w:val="center"/>
          </w:tcPr>
          <w:p w14:paraId="2B5BAB7F">
            <w:pPr>
              <w:bidi w:val="0"/>
              <w:jc w:val="center"/>
              <w:rPr>
                <w:rFonts w:hint="default" w:eastAsiaTheme="minorEastAsia"/>
                <w:color w:val="auto"/>
                <w:highlight w:val="none"/>
                <w:lang w:val="en-US" w:eastAsia="zh-CN"/>
              </w:rPr>
            </w:pPr>
            <w:r>
              <w:rPr>
                <w:rFonts w:hint="eastAsia"/>
                <w:color w:val="auto"/>
                <w:highlight w:val="none"/>
                <w:lang w:val="en-US" w:eastAsia="zh-CN"/>
              </w:rPr>
              <w:t>20</w:t>
            </w:r>
          </w:p>
        </w:tc>
        <w:tc>
          <w:tcPr>
            <w:tcW w:w="479" w:type="dxa"/>
            <w:tcBorders>
              <w:tl2br w:val="nil"/>
              <w:tr2bl w:val="nil"/>
            </w:tcBorders>
            <w:tcMar>
              <w:top w:w="60" w:type="dxa"/>
              <w:left w:w="120" w:type="dxa"/>
              <w:bottom w:w="30" w:type="dxa"/>
              <w:right w:w="120" w:type="dxa"/>
            </w:tcMar>
            <w:vAlign w:val="center"/>
          </w:tcPr>
          <w:p w14:paraId="0A45AFCB">
            <w:pPr>
              <w:bidi w:val="0"/>
              <w:jc w:val="center"/>
              <w:rPr>
                <w:color w:val="auto"/>
                <w:highlight w:val="none"/>
              </w:rPr>
            </w:pPr>
          </w:p>
        </w:tc>
        <w:tc>
          <w:tcPr>
            <w:tcW w:w="473" w:type="dxa"/>
            <w:tcBorders>
              <w:tl2br w:val="nil"/>
              <w:tr2bl w:val="nil"/>
            </w:tcBorders>
            <w:tcMar>
              <w:top w:w="60" w:type="dxa"/>
              <w:left w:w="120" w:type="dxa"/>
              <w:bottom w:w="30" w:type="dxa"/>
              <w:right w:w="120" w:type="dxa"/>
            </w:tcMar>
            <w:vAlign w:val="center"/>
          </w:tcPr>
          <w:p w14:paraId="240725BB">
            <w:pPr>
              <w:bidi w:val="0"/>
              <w:jc w:val="center"/>
              <w:rPr>
                <w:color w:val="auto"/>
                <w:highlight w:val="none"/>
              </w:rPr>
            </w:pPr>
          </w:p>
        </w:tc>
        <w:tc>
          <w:tcPr>
            <w:tcW w:w="813" w:type="dxa"/>
            <w:tcBorders>
              <w:tl2br w:val="nil"/>
              <w:tr2bl w:val="nil"/>
            </w:tcBorders>
            <w:tcMar>
              <w:top w:w="60" w:type="dxa"/>
              <w:left w:w="120" w:type="dxa"/>
              <w:bottom w:w="30" w:type="dxa"/>
              <w:right w:w="120" w:type="dxa"/>
            </w:tcMar>
            <w:vAlign w:val="center"/>
          </w:tcPr>
          <w:p w14:paraId="475E07F4">
            <w:pPr>
              <w:bidi w:val="0"/>
              <w:jc w:val="center"/>
              <w:rPr>
                <w:color w:val="auto"/>
                <w:highlight w:val="none"/>
              </w:rPr>
            </w:pPr>
            <w:r>
              <w:rPr>
                <w:color w:val="auto"/>
                <w:highlight w:val="none"/>
              </w:rPr>
              <w:t>第三方转运公司</w:t>
            </w:r>
          </w:p>
        </w:tc>
      </w:tr>
      <w:tr w14:paraId="78F5972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3C0292FF">
            <w:pPr>
              <w:bidi w:val="0"/>
              <w:jc w:val="center"/>
              <w:rPr>
                <w:color w:val="auto"/>
                <w:highlight w:val="none"/>
              </w:rPr>
            </w:pPr>
            <w:r>
              <w:rPr>
                <w:color w:val="auto"/>
                <w:highlight w:val="none"/>
              </w:rPr>
              <w:t>4</w:t>
            </w:r>
          </w:p>
        </w:tc>
        <w:tc>
          <w:tcPr>
            <w:tcW w:w="683" w:type="dxa"/>
            <w:tcBorders>
              <w:tl2br w:val="nil"/>
              <w:tr2bl w:val="nil"/>
            </w:tcBorders>
            <w:tcMar>
              <w:top w:w="60" w:type="dxa"/>
              <w:left w:w="120" w:type="dxa"/>
              <w:bottom w:w="30" w:type="dxa"/>
              <w:right w:w="120" w:type="dxa"/>
            </w:tcMar>
            <w:vAlign w:val="center"/>
          </w:tcPr>
          <w:p w14:paraId="169B2363">
            <w:pPr>
              <w:bidi w:val="0"/>
              <w:jc w:val="center"/>
              <w:rPr>
                <w:color w:val="auto"/>
                <w:highlight w:val="none"/>
              </w:rPr>
            </w:pPr>
            <w:r>
              <w:rPr>
                <w:color w:val="auto"/>
                <w:highlight w:val="none"/>
              </w:rPr>
              <w:t>转运设备与容器管理</w:t>
            </w:r>
          </w:p>
        </w:tc>
        <w:tc>
          <w:tcPr>
            <w:tcW w:w="5050" w:type="dxa"/>
            <w:tcBorders>
              <w:tl2br w:val="nil"/>
              <w:tr2bl w:val="nil"/>
            </w:tcBorders>
            <w:tcMar>
              <w:top w:w="60" w:type="dxa"/>
              <w:left w:w="120" w:type="dxa"/>
              <w:bottom w:w="30" w:type="dxa"/>
              <w:right w:w="120" w:type="dxa"/>
            </w:tcMar>
            <w:vAlign w:val="center"/>
          </w:tcPr>
          <w:p w14:paraId="0B6125D6">
            <w:pPr>
              <w:bidi w:val="0"/>
              <w:jc w:val="left"/>
              <w:rPr>
                <w:color w:val="auto"/>
                <w:highlight w:val="none"/>
              </w:rPr>
            </w:pPr>
            <w:r>
              <w:rPr>
                <w:color w:val="auto"/>
                <w:highlight w:val="none"/>
              </w:rPr>
              <w:t>1. 转运车辆每日清洁消毒，有消毒记录，定期维护保养，车况良好（4分），无消毒记录扣2分，车况不佳扣2分；2. 医疗废物转运容器专用，无破损、渗漏，标识清晰（标注医疗废物类别、警示标识）（</w:t>
            </w:r>
            <w:r>
              <w:rPr>
                <w:rFonts w:hint="eastAsia"/>
                <w:color w:val="auto"/>
                <w:highlight w:val="none"/>
                <w:lang w:val="en-US" w:eastAsia="zh-CN"/>
              </w:rPr>
              <w:t>6</w:t>
            </w:r>
            <w:r>
              <w:rPr>
                <w:color w:val="auto"/>
                <w:highlight w:val="none"/>
              </w:rPr>
              <w:t>分），每处不符合扣1分。</w:t>
            </w:r>
          </w:p>
        </w:tc>
        <w:tc>
          <w:tcPr>
            <w:tcW w:w="570" w:type="dxa"/>
            <w:tcBorders>
              <w:tl2br w:val="nil"/>
              <w:tr2bl w:val="nil"/>
            </w:tcBorders>
            <w:tcMar>
              <w:top w:w="60" w:type="dxa"/>
              <w:left w:w="120" w:type="dxa"/>
              <w:bottom w:w="30" w:type="dxa"/>
              <w:right w:w="120" w:type="dxa"/>
            </w:tcMar>
            <w:vAlign w:val="center"/>
          </w:tcPr>
          <w:p w14:paraId="20B2A816">
            <w:pPr>
              <w:bidi w:val="0"/>
              <w:jc w:val="center"/>
              <w:rPr>
                <w:color w:val="auto"/>
                <w:highlight w:val="none"/>
              </w:rPr>
            </w:pPr>
            <w:r>
              <w:rPr>
                <w:color w:val="auto"/>
                <w:highlight w:val="none"/>
              </w:rPr>
              <w:t>10</w:t>
            </w:r>
          </w:p>
        </w:tc>
        <w:tc>
          <w:tcPr>
            <w:tcW w:w="479" w:type="dxa"/>
            <w:tcBorders>
              <w:tl2br w:val="nil"/>
              <w:tr2bl w:val="nil"/>
            </w:tcBorders>
            <w:tcMar>
              <w:top w:w="60" w:type="dxa"/>
              <w:left w:w="120" w:type="dxa"/>
              <w:bottom w:w="30" w:type="dxa"/>
              <w:right w:w="120" w:type="dxa"/>
            </w:tcMar>
            <w:vAlign w:val="center"/>
          </w:tcPr>
          <w:p w14:paraId="240D2BDC">
            <w:pPr>
              <w:bidi w:val="0"/>
              <w:jc w:val="center"/>
              <w:rPr>
                <w:color w:val="auto"/>
                <w:highlight w:val="none"/>
              </w:rPr>
            </w:pPr>
          </w:p>
        </w:tc>
        <w:tc>
          <w:tcPr>
            <w:tcW w:w="473" w:type="dxa"/>
            <w:tcBorders>
              <w:tl2br w:val="nil"/>
              <w:tr2bl w:val="nil"/>
            </w:tcBorders>
            <w:tcMar>
              <w:top w:w="60" w:type="dxa"/>
              <w:left w:w="120" w:type="dxa"/>
              <w:bottom w:w="30" w:type="dxa"/>
              <w:right w:w="120" w:type="dxa"/>
            </w:tcMar>
            <w:vAlign w:val="center"/>
          </w:tcPr>
          <w:p w14:paraId="7DC6CB1E">
            <w:pPr>
              <w:bidi w:val="0"/>
              <w:jc w:val="center"/>
              <w:rPr>
                <w:color w:val="auto"/>
                <w:highlight w:val="none"/>
              </w:rPr>
            </w:pPr>
          </w:p>
        </w:tc>
        <w:tc>
          <w:tcPr>
            <w:tcW w:w="813" w:type="dxa"/>
            <w:tcBorders>
              <w:tl2br w:val="nil"/>
              <w:tr2bl w:val="nil"/>
            </w:tcBorders>
            <w:tcMar>
              <w:top w:w="60" w:type="dxa"/>
              <w:left w:w="120" w:type="dxa"/>
              <w:bottom w:w="30" w:type="dxa"/>
              <w:right w:w="120" w:type="dxa"/>
            </w:tcMar>
            <w:vAlign w:val="center"/>
          </w:tcPr>
          <w:p w14:paraId="548C4C3B">
            <w:pPr>
              <w:bidi w:val="0"/>
              <w:jc w:val="center"/>
              <w:rPr>
                <w:color w:val="auto"/>
                <w:highlight w:val="none"/>
              </w:rPr>
            </w:pPr>
            <w:r>
              <w:rPr>
                <w:color w:val="auto"/>
                <w:highlight w:val="none"/>
              </w:rPr>
              <w:t>第三方转运公司</w:t>
            </w:r>
          </w:p>
        </w:tc>
      </w:tr>
      <w:tr w14:paraId="3BB394B0">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3BDA773B">
            <w:pPr>
              <w:bidi w:val="0"/>
              <w:jc w:val="center"/>
              <w:rPr>
                <w:color w:val="auto"/>
                <w:highlight w:val="none"/>
              </w:rPr>
            </w:pPr>
            <w:r>
              <w:rPr>
                <w:color w:val="auto"/>
                <w:highlight w:val="none"/>
              </w:rPr>
              <w:t>5</w:t>
            </w:r>
          </w:p>
        </w:tc>
        <w:tc>
          <w:tcPr>
            <w:tcW w:w="683" w:type="dxa"/>
            <w:tcBorders>
              <w:tl2br w:val="nil"/>
              <w:tr2bl w:val="nil"/>
            </w:tcBorders>
            <w:tcMar>
              <w:top w:w="60" w:type="dxa"/>
              <w:left w:w="120" w:type="dxa"/>
              <w:bottom w:w="30" w:type="dxa"/>
              <w:right w:w="120" w:type="dxa"/>
            </w:tcMar>
            <w:vAlign w:val="center"/>
          </w:tcPr>
          <w:p w14:paraId="2F66DE59">
            <w:pPr>
              <w:bidi w:val="0"/>
              <w:jc w:val="center"/>
              <w:rPr>
                <w:color w:val="auto"/>
                <w:highlight w:val="none"/>
              </w:rPr>
            </w:pPr>
            <w:r>
              <w:rPr>
                <w:color w:val="auto"/>
                <w:highlight w:val="none"/>
              </w:rPr>
              <w:t>交接管理</w:t>
            </w:r>
          </w:p>
        </w:tc>
        <w:tc>
          <w:tcPr>
            <w:tcW w:w="5050" w:type="dxa"/>
            <w:tcBorders>
              <w:tl2br w:val="nil"/>
              <w:tr2bl w:val="nil"/>
            </w:tcBorders>
            <w:tcMar>
              <w:top w:w="60" w:type="dxa"/>
              <w:left w:w="120" w:type="dxa"/>
              <w:bottom w:w="30" w:type="dxa"/>
              <w:right w:w="120" w:type="dxa"/>
            </w:tcMar>
            <w:vAlign w:val="center"/>
          </w:tcPr>
          <w:p w14:paraId="5DBC8DAE">
            <w:pPr>
              <w:bidi w:val="0"/>
              <w:jc w:val="left"/>
              <w:rPr>
                <w:color w:val="auto"/>
                <w:highlight w:val="none"/>
              </w:rPr>
            </w:pPr>
            <w:r>
              <w:rPr>
                <w:color w:val="auto"/>
                <w:highlight w:val="none"/>
              </w:rPr>
              <w:t>1. 与医院暂存点管理人员交接时，核对医疗废物类别、数量、重量，填写交接联单（4分），联单缺项、信息不符每处扣1分；2. 交接联单双方签字确认，按要求留存（医院留存3年以上，第三方留存5年以上）（3分），未签字或留存不符合要求扣3分；3. 交接过程规范，无随意堆放、倾倒医疗废物行为（3分），出现1次违规扣</w:t>
            </w:r>
            <w:r>
              <w:rPr>
                <w:rFonts w:hint="eastAsia"/>
                <w:color w:val="auto"/>
                <w:highlight w:val="none"/>
                <w:lang w:eastAsia="zh-CN"/>
              </w:rPr>
              <w:t>（</w:t>
            </w:r>
            <w:r>
              <w:rPr>
                <w:color w:val="auto"/>
                <w:highlight w:val="none"/>
              </w:rPr>
              <w:t>3分</w:t>
            </w:r>
            <w:r>
              <w:rPr>
                <w:rFonts w:hint="eastAsia"/>
                <w:color w:val="auto"/>
                <w:highlight w:val="none"/>
                <w:lang w:eastAsia="zh-CN"/>
              </w:rPr>
              <w:t>）</w:t>
            </w:r>
            <w:r>
              <w:rPr>
                <w:color w:val="auto"/>
                <w:highlight w:val="none"/>
              </w:rPr>
              <w:t>。</w:t>
            </w:r>
          </w:p>
        </w:tc>
        <w:tc>
          <w:tcPr>
            <w:tcW w:w="570" w:type="dxa"/>
            <w:tcBorders>
              <w:tl2br w:val="nil"/>
              <w:tr2bl w:val="nil"/>
            </w:tcBorders>
            <w:tcMar>
              <w:top w:w="60" w:type="dxa"/>
              <w:left w:w="120" w:type="dxa"/>
              <w:bottom w:w="30" w:type="dxa"/>
              <w:right w:w="120" w:type="dxa"/>
            </w:tcMar>
            <w:vAlign w:val="center"/>
          </w:tcPr>
          <w:p w14:paraId="48085ABA">
            <w:pPr>
              <w:bidi w:val="0"/>
              <w:jc w:val="center"/>
              <w:rPr>
                <w:color w:val="auto"/>
                <w:highlight w:val="none"/>
              </w:rPr>
            </w:pPr>
            <w:r>
              <w:rPr>
                <w:color w:val="auto"/>
                <w:highlight w:val="none"/>
              </w:rPr>
              <w:t>10</w:t>
            </w:r>
          </w:p>
        </w:tc>
        <w:tc>
          <w:tcPr>
            <w:tcW w:w="479" w:type="dxa"/>
            <w:tcBorders>
              <w:tl2br w:val="nil"/>
              <w:tr2bl w:val="nil"/>
            </w:tcBorders>
            <w:tcMar>
              <w:top w:w="60" w:type="dxa"/>
              <w:left w:w="120" w:type="dxa"/>
              <w:bottom w:w="30" w:type="dxa"/>
              <w:right w:w="120" w:type="dxa"/>
            </w:tcMar>
            <w:vAlign w:val="center"/>
          </w:tcPr>
          <w:p w14:paraId="6D506C91">
            <w:pPr>
              <w:bidi w:val="0"/>
              <w:jc w:val="center"/>
              <w:rPr>
                <w:color w:val="auto"/>
                <w:highlight w:val="none"/>
              </w:rPr>
            </w:pPr>
          </w:p>
        </w:tc>
        <w:tc>
          <w:tcPr>
            <w:tcW w:w="473" w:type="dxa"/>
            <w:tcBorders>
              <w:tl2br w:val="nil"/>
              <w:tr2bl w:val="nil"/>
            </w:tcBorders>
            <w:tcMar>
              <w:top w:w="60" w:type="dxa"/>
              <w:left w:w="120" w:type="dxa"/>
              <w:bottom w:w="30" w:type="dxa"/>
              <w:right w:w="120" w:type="dxa"/>
            </w:tcMar>
            <w:vAlign w:val="center"/>
          </w:tcPr>
          <w:p w14:paraId="4995ED25">
            <w:pPr>
              <w:bidi w:val="0"/>
              <w:jc w:val="center"/>
              <w:rPr>
                <w:color w:val="auto"/>
                <w:highlight w:val="none"/>
              </w:rPr>
            </w:pPr>
          </w:p>
        </w:tc>
        <w:tc>
          <w:tcPr>
            <w:tcW w:w="813" w:type="dxa"/>
            <w:tcBorders>
              <w:tl2br w:val="nil"/>
              <w:tr2bl w:val="nil"/>
            </w:tcBorders>
            <w:tcMar>
              <w:top w:w="60" w:type="dxa"/>
              <w:left w:w="120" w:type="dxa"/>
              <w:bottom w:w="30" w:type="dxa"/>
              <w:right w:w="120" w:type="dxa"/>
            </w:tcMar>
            <w:vAlign w:val="center"/>
          </w:tcPr>
          <w:p w14:paraId="2E25E06F">
            <w:pPr>
              <w:bidi w:val="0"/>
              <w:jc w:val="center"/>
              <w:rPr>
                <w:color w:val="auto"/>
                <w:highlight w:val="none"/>
              </w:rPr>
            </w:pPr>
            <w:r>
              <w:rPr>
                <w:color w:val="auto"/>
                <w:highlight w:val="none"/>
              </w:rPr>
              <w:t>第三方转运公司</w:t>
            </w:r>
          </w:p>
        </w:tc>
      </w:tr>
      <w:tr w14:paraId="72C2C37B">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55789865">
            <w:pPr>
              <w:bidi w:val="0"/>
              <w:jc w:val="center"/>
              <w:rPr>
                <w:color w:val="auto"/>
                <w:highlight w:val="none"/>
              </w:rPr>
            </w:pPr>
            <w:r>
              <w:rPr>
                <w:color w:val="auto"/>
                <w:highlight w:val="none"/>
              </w:rPr>
              <w:t>6</w:t>
            </w:r>
          </w:p>
        </w:tc>
        <w:tc>
          <w:tcPr>
            <w:tcW w:w="683" w:type="dxa"/>
            <w:tcBorders>
              <w:tl2br w:val="nil"/>
              <w:tr2bl w:val="nil"/>
            </w:tcBorders>
            <w:tcMar>
              <w:top w:w="60" w:type="dxa"/>
              <w:left w:w="120" w:type="dxa"/>
              <w:bottom w:w="30" w:type="dxa"/>
              <w:right w:w="120" w:type="dxa"/>
            </w:tcMar>
            <w:vAlign w:val="center"/>
          </w:tcPr>
          <w:p w14:paraId="4C7A6BAB">
            <w:pPr>
              <w:bidi w:val="0"/>
              <w:jc w:val="center"/>
              <w:rPr>
                <w:color w:val="auto"/>
                <w:highlight w:val="none"/>
              </w:rPr>
            </w:pPr>
            <w:r>
              <w:rPr>
                <w:color w:val="auto"/>
                <w:highlight w:val="none"/>
              </w:rPr>
              <w:t>追溯与台账管理</w:t>
            </w:r>
          </w:p>
        </w:tc>
        <w:tc>
          <w:tcPr>
            <w:tcW w:w="5050" w:type="dxa"/>
            <w:tcBorders>
              <w:tl2br w:val="nil"/>
              <w:tr2bl w:val="nil"/>
            </w:tcBorders>
            <w:tcMar>
              <w:top w:w="60" w:type="dxa"/>
              <w:left w:w="120" w:type="dxa"/>
              <w:bottom w:w="30" w:type="dxa"/>
              <w:right w:w="120" w:type="dxa"/>
            </w:tcMar>
            <w:vAlign w:val="center"/>
          </w:tcPr>
          <w:p w14:paraId="62FCC2C2">
            <w:pPr>
              <w:bidi w:val="0"/>
              <w:jc w:val="left"/>
              <w:rPr>
                <w:color w:val="auto"/>
                <w:highlight w:val="none"/>
              </w:rPr>
            </w:pPr>
            <w:r>
              <w:rPr>
                <w:rFonts w:hint="eastAsia"/>
                <w:color w:val="auto"/>
                <w:highlight w:val="none"/>
                <w:lang w:val="en-US" w:eastAsia="zh-CN"/>
              </w:rPr>
              <w:t>1</w:t>
            </w:r>
            <w:r>
              <w:rPr>
                <w:color w:val="auto"/>
                <w:highlight w:val="none"/>
              </w:rPr>
              <w:t>. 配合医院及相关监管部门的追溯核查，及时提供转运相关记录（</w:t>
            </w:r>
            <w:r>
              <w:rPr>
                <w:rFonts w:hint="eastAsia"/>
                <w:color w:val="auto"/>
                <w:highlight w:val="none"/>
                <w:lang w:val="en-US" w:eastAsia="zh-CN"/>
              </w:rPr>
              <w:t>6</w:t>
            </w:r>
            <w:r>
              <w:rPr>
                <w:color w:val="auto"/>
                <w:highlight w:val="none"/>
              </w:rPr>
              <w:t>分），不配合或无法提供记录扣</w:t>
            </w:r>
            <w:r>
              <w:rPr>
                <w:rFonts w:hint="eastAsia"/>
                <w:color w:val="auto"/>
                <w:highlight w:val="none"/>
                <w:lang w:val="en-US" w:eastAsia="zh-CN"/>
              </w:rPr>
              <w:t>每次扣</w:t>
            </w:r>
            <w:r>
              <w:rPr>
                <w:color w:val="auto"/>
                <w:highlight w:val="none"/>
              </w:rPr>
              <w:t>3分；</w:t>
            </w:r>
            <w:r>
              <w:rPr>
                <w:rFonts w:hint="eastAsia"/>
                <w:color w:val="auto"/>
                <w:highlight w:val="none"/>
                <w:lang w:val="en-US" w:eastAsia="zh-CN"/>
              </w:rPr>
              <w:t>2</w:t>
            </w:r>
            <w:r>
              <w:rPr>
                <w:color w:val="auto"/>
                <w:highlight w:val="none"/>
              </w:rPr>
              <w:t>. 转运记录保存符合规定，无缺失、涂改（</w:t>
            </w:r>
            <w:r>
              <w:rPr>
                <w:rFonts w:hint="eastAsia"/>
                <w:color w:val="auto"/>
                <w:highlight w:val="none"/>
                <w:lang w:val="en-US" w:eastAsia="zh-CN"/>
              </w:rPr>
              <w:t>4</w:t>
            </w:r>
            <w:r>
              <w:rPr>
                <w:color w:val="auto"/>
                <w:highlight w:val="none"/>
              </w:rPr>
              <w:t>分），出现缺失、涂改每处扣1分。</w:t>
            </w:r>
          </w:p>
        </w:tc>
        <w:tc>
          <w:tcPr>
            <w:tcW w:w="570" w:type="dxa"/>
            <w:tcBorders>
              <w:tl2br w:val="nil"/>
              <w:tr2bl w:val="nil"/>
            </w:tcBorders>
            <w:tcMar>
              <w:top w:w="60" w:type="dxa"/>
              <w:left w:w="120" w:type="dxa"/>
              <w:bottom w:w="30" w:type="dxa"/>
              <w:right w:w="120" w:type="dxa"/>
            </w:tcMar>
            <w:vAlign w:val="center"/>
          </w:tcPr>
          <w:p w14:paraId="4F9B7B4B">
            <w:pPr>
              <w:bidi w:val="0"/>
              <w:jc w:val="center"/>
              <w:rPr>
                <w:color w:val="auto"/>
                <w:highlight w:val="none"/>
              </w:rPr>
            </w:pPr>
            <w:r>
              <w:rPr>
                <w:color w:val="auto"/>
                <w:highlight w:val="none"/>
              </w:rPr>
              <w:t>10</w:t>
            </w:r>
          </w:p>
        </w:tc>
        <w:tc>
          <w:tcPr>
            <w:tcW w:w="479" w:type="dxa"/>
            <w:tcBorders>
              <w:tl2br w:val="nil"/>
              <w:tr2bl w:val="nil"/>
            </w:tcBorders>
            <w:tcMar>
              <w:top w:w="60" w:type="dxa"/>
              <w:left w:w="120" w:type="dxa"/>
              <w:bottom w:w="30" w:type="dxa"/>
              <w:right w:w="120" w:type="dxa"/>
            </w:tcMar>
            <w:vAlign w:val="center"/>
          </w:tcPr>
          <w:p w14:paraId="7B8378F0">
            <w:pPr>
              <w:bidi w:val="0"/>
              <w:jc w:val="center"/>
              <w:rPr>
                <w:color w:val="auto"/>
                <w:highlight w:val="none"/>
              </w:rPr>
            </w:pPr>
          </w:p>
        </w:tc>
        <w:tc>
          <w:tcPr>
            <w:tcW w:w="473" w:type="dxa"/>
            <w:tcBorders>
              <w:tl2br w:val="nil"/>
              <w:tr2bl w:val="nil"/>
            </w:tcBorders>
            <w:tcMar>
              <w:top w:w="60" w:type="dxa"/>
              <w:left w:w="120" w:type="dxa"/>
              <w:bottom w:w="30" w:type="dxa"/>
              <w:right w:w="120" w:type="dxa"/>
            </w:tcMar>
            <w:vAlign w:val="center"/>
          </w:tcPr>
          <w:p w14:paraId="50C3F39E">
            <w:pPr>
              <w:bidi w:val="0"/>
              <w:jc w:val="center"/>
              <w:rPr>
                <w:color w:val="auto"/>
                <w:highlight w:val="none"/>
              </w:rPr>
            </w:pPr>
          </w:p>
        </w:tc>
        <w:tc>
          <w:tcPr>
            <w:tcW w:w="813" w:type="dxa"/>
            <w:tcBorders>
              <w:tl2br w:val="nil"/>
              <w:tr2bl w:val="nil"/>
            </w:tcBorders>
            <w:tcMar>
              <w:top w:w="60" w:type="dxa"/>
              <w:left w:w="120" w:type="dxa"/>
              <w:bottom w:w="30" w:type="dxa"/>
              <w:right w:w="120" w:type="dxa"/>
            </w:tcMar>
            <w:vAlign w:val="center"/>
          </w:tcPr>
          <w:p w14:paraId="4309D306">
            <w:pPr>
              <w:bidi w:val="0"/>
              <w:jc w:val="center"/>
              <w:rPr>
                <w:color w:val="auto"/>
                <w:highlight w:val="none"/>
              </w:rPr>
            </w:pPr>
            <w:r>
              <w:rPr>
                <w:color w:val="auto"/>
                <w:highlight w:val="none"/>
              </w:rPr>
              <w:t>第三方转运公司</w:t>
            </w:r>
          </w:p>
        </w:tc>
      </w:tr>
      <w:tr w14:paraId="5751DB57">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479" w:type="dxa"/>
            <w:tcBorders>
              <w:tl2br w:val="nil"/>
              <w:tr2bl w:val="nil"/>
            </w:tcBorders>
            <w:tcMar>
              <w:top w:w="60" w:type="dxa"/>
              <w:left w:w="120" w:type="dxa"/>
              <w:bottom w:w="30" w:type="dxa"/>
              <w:right w:w="120" w:type="dxa"/>
            </w:tcMar>
            <w:vAlign w:val="center"/>
          </w:tcPr>
          <w:p w14:paraId="14CB4245">
            <w:pPr>
              <w:bidi w:val="0"/>
              <w:jc w:val="center"/>
              <w:rPr>
                <w:rFonts w:hint="eastAsia" w:eastAsia="宋体"/>
                <w:color w:val="auto"/>
                <w:highlight w:val="none"/>
                <w:lang w:val="en-US" w:eastAsia="zh-CN"/>
              </w:rPr>
            </w:pPr>
            <w:r>
              <w:rPr>
                <w:rFonts w:hint="eastAsia"/>
                <w:color w:val="auto"/>
                <w:highlight w:val="none"/>
                <w:lang w:val="en-US" w:eastAsia="zh-CN"/>
              </w:rPr>
              <w:t>7</w:t>
            </w:r>
          </w:p>
        </w:tc>
        <w:tc>
          <w:tcPr>
            <w:tcW w:w="683" w:type="dxa"/>
            <w:tcBorders>
              <w:tl2br w:val="nil"/>
              <w:tr2bl w:val="nil"/>
            </w:tcBorders>
            <w:tcMar>
              <w:top w:w="60" w:type="dxa"/>
              <w:left w:w="120" w:type="dxa"/>
              <w:bottom w:w="30" w:type="dxa"/>
              <w:right w:w="120" w:type="dxa"/>
            </w:tcMar>
            <w:vAlign w:val="center"/>
          </w:tcPr>
          <w:p w14:paraId="2352B905">
            <w:pPr>
              <w:bidi w:val="0"/>
              <w:jc w:val="center"/>
              <w:rPr>
                <w:color w:val="auto"/>
                <w:highlight w:val="none"/>
              </w:rPr>
            </w:pPr>
            <w:r>
              <w:rPr>
                <w:color w:val="auto"/>
                <w:highlight w:val="none"/>
              </w:rPr>
              <w:t>服务配合度</w:t>
            </w:r>
          </w:p>
        </w:tc>
        <w:tc>
          <w:tcPr>
            <w:tcW w:w="5050" w:type="dxa"/>
            <w:tcBorders>
              <w:tl2br w:val="nil"/>
              <w:tr2bl w:val="nil"/>
            </w:tcBorders>
            <w:tcMar>
              <w:top w:w="60" w:type="dxa"/>
              <w:left w:w="120" w:type="dxa"/>
              <w:bottom w:w="30" w:type="dxa"/>
              <w:right w:w="120" w:type="dxa"/>
            </w:tcMar>
            <w:vAlign w:val="center"/>
          </w:tcPr>
          <w:p w14:paraId="5422AA59">
            <w:pPr>
              <w:bidi w:val="0"/>
              <w:jc w:val="left"/>
              <w:rPr>
                <w:color w:val="auto"/>
                <w:highlight w:val="none"/>
              </w:rPr>
            </w:pPr>
            <w:r>
              <w:rPr>
                <w:color w:val="auto"/>
                <w:highlight w:val="none"/>
              </w:rPr>
              <w:t>1. 及时响应医院的合理转运需求，主动沟通转运过程中的问题（</w:t>
            </w:r>
            <w:r>
              <w:rPr>
                <w:rFonts w:hint="eastAsia"/>
                <w:color w:val="auto"/>
                <w:highlight w:val="none"/>
                <w:lang w:val="en-US" w:eastAsia="zh-CN"/>
              </w:rPr>
              <w:t>10</w:t>
            </w:r>
            <w:r>
              <w:rPr>
                <w:color w:val="auto"/>
                <w:highlight w:val="none"/>
              </w:rPr>
              <w:t>分），响应不及时或沟通不畅每次扣1分；</w:t>
            </w:r>
            <w:r>
              <w:rPr>
                <w:rFonts w:hint="eastAsia"/>
                <w:color w:val="auto"/>
                <w:highlight w:val="none"/>
                <w:lang w:val="en-US" w:eastAsia="zh-CN"/>
              </w:rPr>
              <w:t>2</w:t>
            </w:r>
            <w:r>
              <w:rPr>
                <w:color w:val="auto"/>
                <w:highlight w:val="none"/>
              </w:rPr>
              <w:t>. 无投诉、无违规通报，服务态度良好（</w:t>
            </w:r>
            <w:r>
              <w:rPr>
                <w:rFonts w:hint="eastAsia"/>
                <w:color w:val="auto"/>
                <w:highlight w:val="none"/>
                <w:lang w:val="en-US" w:eastAsia="zh-CN"/>
              </w:rPr>
              <w:t>10</w:t>
            </w:r>
            <w:r>
              <w:rPr>
                <w:color w:val="auto"/>
                <w:highlight w:val="none"/>
              </w:rPr>
              <w:t>分），出现1次有效投诉或违规通报扣</w:t>
            </w:r>
            <w:r>
              <w:rPr>
                <w:rFonts w:hint="eastAsia"/>
                <w:color w:val="auto"/>
                <w:highlight w:val="none"/>
                <w:lang w:val="en-US" w:eastAsia="zh-CN"/>
              </w:rPr>
              <w:t>5</w:t>
            </w:r>
            <w:r>
              <w:rPr>
                <w:color w:val="auto"/>
                <w:highlight w:val="none"/>
              </w:rPr>
              <w:t>分。</w:t>
            </w:r>
          </w:p>
        </w:tc>
        <w:tc>
          <w:tcPr>
            <w:tcW w:w="570" w:type="dxa"/>
            <w:tcBorders>
              <w:tl2br w:val="nil"/>
              <w:tr2bl w:val="nil"/>
            </w:tcBorders>
            <w:tcMar>
              <w:top w:w="60" w:type="dxa"/>
              <w:left w:w="120" w:type="dxa"/>
              <w:bottom w:w="30" w:type="dxa"/>
              <w:right w:w="120" w:type="dxa"/>
            </w:tcMar>
            <w:vAlign w:val="center"/>
          </w:tcPr>
          <w:p w14:paraId="07CDA5E7">
            <w:pPr>
              <w:bidi w:val="0"/>
              <w:jc w:val="center"/>
              <w:rPr>
                <w:rFonts w:hint="default" w:eastAsia="宋体"/>
                <w:color w:val="auto"/>
                <w:highlight w:val="none"/>
                <w:lang w:val="en-US" w:eastAsia="zh-CN"/>
              </w:rPr>
            </w:pPr>
            <w:r>
              <w:rPr>
                <w:rFonts w:hint="eastAsia"/>
                <w:color w:val="auto"/>
                <w:highlight w:val="none"/>
                <w:lang w:val="en-US" w:eastAsia="zh-CN"/>
              </w:rPr>
              <w:t>20</w:t>
            </w:r>
          </w:p>
        </w:tc>
        <w:tc>
          <w:tcPr>
            <w:tcW w:w="479" w:type="dxa"/>
            <w:tcBorders>
              <w:tl2br w:val="nil"/>
              <w:tr2bl w:val="nil"/>
            </w:tcBorders>
            <w:tcMar>
              <w:top w:w="60" w:type="dxa"/>
              <w:left w:w="120" w:type="dxa"/>
              <w:bottom w:w="30" w:type="dxa"/>
              <w:right w:w="120" w:type="dxa"/>
            </w:tcMar>
            <w:vAlign w:val="center"/>
          </w:tcPr>
          <w:p w14:paraId="419BA00A">
            <w:pPr>
              <w:bidi w:val="0"/>
              <w:jc w:val="center"/>
              <w:rPr>
                <w:color w:val="auto"/>
                <w:highlight w:val="none"/>
              </w:rPr>
            </w:pPr>
          </w:p>
        </w:tc>
        <w:tc>
          <w:tcPr>
            <w:tcW w:w="473" w:type="dxa"/>
            <w:tcBorders>
              <w:tl2br w:val="nil"/>
              <w:tr2bl w:val="nil"/>
            </w:tcBorders>
            <w:tcMar>
              <w:top w:w="60" w:type="dxa"/>
              <w:left w:w="120" w:type="dxa"/>
              <w:bottom w:w="30" w:type="dxa"/>
              <w:right w:w="120" w:type="dxa"/>
            </w:tcMar>
            <w:vAlign w:val="center"/>
          </w:tcPr>
          <w:p w14:paraId="269226F6">
            <w:pPr>
              <w:bidi w:val="0"/>
              <w:jc w:val="center"/>
              <w:rPr>
                <w:color w:val="auto"/>
                <w:highlight w:val="none"/>
              </w:rPr>
            </w:pPr>
          </w:p>
        </w:tc>
        <w:tc>
          <w:tcPr>
            <w:tcW w:w="813" w:type="dxa"/>
            <w:tcBorders>
              <w:tl2br w:val="nil"/>
              <w:tr2bl w:val="nil"/>
            </w:tcBorders>
            <w:tcMar>
              <w:top w:w="60" w:type="dxa"/>
              <w:left w:w="120" w:type="dxa"/>
              <w:bottom w:w="30" w:type="dxa"/>
              <w:right w:w="120" w:type="dxa"/>
            </w:tcMar>
            <w:vAlign w:val="center"/>
          </w:tcPr>
          <w:p w14:paraId="435439FF">
            <w:pPr>
              <w:bidi w:val="0"/>
              <w:jc w:val="center"/>
              <w:rPr>
                <w:color w:val="auto"/>
                <w:highlight w:val="none"/>
              </w:rPr>
            </w:pPr>
            <w:r>
              <w:rPr>
                <w:color w:val="auto"/>
                <w:highlight w:val="none"/>
              </w:rPr>
              <w:t>第三方转运公司</w:t>
            </w:r>
          </w:p>
        </w:tc>
      </w:tr>
      <w:tr w14:paraId="4393CFAC">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6212" w:type="dxa"/>
            <w:gridSpan w:val="3"/>
            <w:tcBorders>
              <w:tl2br w:val="nil"/>
              <w:tr2bl w:val="nil"/>
            </w:tcBorders>
            <w:tcMar>
              <w:top w:w="60" w:type="dxa"/>
              <w:left w:w="120" w:type="dxa"/>
              <w:bottom w:w="30" w:type="dxa"/>
              <w:right w:w="120" w:type="dxa"/>
            </w:tcMar>
            <w:vAlign w:val="center"/>
          </w:tcPr>
          <w:p w14:paraId="68617FDB">
            <w:pPr>
              <w:bidi w:val="0"/>
              <w:jc w:val="left"/>
              <w:rPr>
                <w:color w:val="auto"/>
                <w:highlight w:val="none"/>
              </w:rPr>
            </w:pPr>
            <w:r>
              <w:rPr>
                <w:color w:val="auto"/>
                <w:highlight w:val="none"/>
              </w:rPr>
              <w:t>合计</w:t>
            </w:r>
          </w:p>
        </w:tc>
        <w:tc>
          <w:tcPr>
            <w:tcW w:w="570" w:type="dxa"/>
            <w:tcBorders>
              <w:tl2br w:val="nil"/>
              <w:tr2bl w:val="nil"/>
            </w:tcBorders>
            <w:tcMar>
              <w:top w:w="60" w:type="dxa"/>
              <w:left w:w="120" w:type="dxa"/>
              <w:bottom w:w="30" w:type="dxa"/>
              <w:right w:w="120" w:type="dxa"/>
            </w:tcMar>
            <w:vAlign w:val="center"/>
          </w:tcPr>
          <w:p w14:paraId="7ABCCA0D">
            <w:pPr>
              <w:bidi w:val="0"/>
              <w:jc w:val="left"/>
              <w:rPr>
                <w:rFonts w:hint="eastAsia" w:eastAsia="宋体"/>
                <w:color w:val="auto"/>
                <w:highlight w:val="none"/>
                <w:lang w:eastAsia="zh-CN"/>
              </w:rPr>
            </w:pPr>
            <w:r>
              <w:rPr>
                <w:color w:val="auto"/>
                <w:highlight w:val="none"/>
              </w:rPr>
              <w:t>10</w:t>
            </w:r>
            <w:r>
              <w:rPr>
                <w:rFonts w:hint="eastAsia"/>
                <w:color w:val="auto"/>
                <w:highlight w:val="none"/>
                <w:lang w:val="en-US" w:eastAsia="zh-CN"/>
              </w:rPr>
              <w:t>0</w:t>
            </w:r>
          </w:p>
        </w:tc>
        <w:tc>
          <w:tcPr>
            <w:tcW w:w="1765" w:type="dxa"/>
            <w:gridSpan w:val="3"/>
            <w:tcBorders>
              <w:tl2br w:val="nil"/>
              <w:tr2bl w:val="nil"/>
            </w:tcBorders>
            <w:tcMar>
              <w:top w:w="60" w:type="dxa"/>
              <w:left w:w="120" w:type="dxa"/>
              <w:bottom w:w="30" w:type="dxa"/>
              <w:right w:w="120" w:type="dxa"/>
            </w:tcMar>
            <w:vAlign w:val="center"/>
          </w:tcPr>
          <w:p w14:paraId="7E2CA8B4">
            <w:pPr>
              <w:bidi w:val="0"/>
              <w:jc w:val="left"/>
              <w:rPr>
                <w:color w:val="auto"/>
                <w:highlight w:val="none"/>
              </w:rPr>
            </w:pPr>
          </w:p>
        </w:tc>
      </w:tr>
      <w:tr w14:paraId="58B865B2">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rPr>
          <w:trHeight w:val="757" w:hRule="atLeast"/>
        </w:trPr>
        <w:tc>
          <w:tcPr>
            <w:tcW w:w="8547" w:type="dxa"/>
            <w:gridSpan w:val="7"/>
            <w:tcBorders>
              <w:tl2br w:val="nil"/>
              <w:tr2bl w:val="nil"/>
            </w:tcBorders>
            <w:tcMar>
              <w:top w:w="60" w:type="dxa"/>
              <w:left w:w="120" w:type="dxa"/>
              <w:bottom w:w="30" w:type="dxa"/>
              <w:right w:w="120" w:type="dxa"/>
            </w:tcMar>
            <w:vAlign w:val="center"/>
          </w:tcPr>
          <w:p w14:paraId="07B74C4F">
            <w:pPr>
              <w:bidi w:val="0"/>
              <w:jc w:val="left"/>
              <w:rPr>
                <w:color w:val="auto"/>
                <w:highlight w:val="none"/>
              </w:rPr>
            </w:pPr>
            <w:r>
              <w:rPr>
                <w:color w:val="auto"/>
                <w:highlight w:val="none"/>
              </w:rPr>
              <w:t>存在问题及整改建议</w:t>
            </w:r>
          </w:p>
        </w:tc>
      </w:tr>
      <w:tr w14:paraId="3D706A48">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rPr>
          <w:trHeight w:val="874" w:hRule="atLeast"/>
        </w:trPr>
        <w:tc>
          <w:tcPr>
            <w:tcW w:w="6212" w:type="dxa"/>
            <w:gridSpan w:val="3"/>
            <w:tcBorders>
              <w:tl2br w:val="nil"/>
              <w:tr2bl w:val="nil"/>
            </w:tcBorders>
            <w:tcMar>
              <w:top w:w="60" w:type="dxa"/>
              <w:left w:w="120" w:type="dxa"/>
              <w:bottom w:w="30" w:type="dxa"/>
              <w:right w:w="120" w:type="dxa"/>
            </w:tcMar>
            <w:vAlign w:val="center"/>
          </w:tcPr>
          <w:p w14:paraId="086120D6">
            <w:pPr>
              <w:bidi w:val="0"/>
              <w:jc w:val="left"/>
              <w:rPr>
                <w:color w:val="auto"/>
                <w:highlight w:val="none"/>
              </w:rPr>
            </w:pPr>
            <w:r>
              <w:rPr>
                <w:color w:val="auto"/>
                <w:highlight w:val="none"/>
              </w:rPr>
              <w:t>医院考核人员签字</w:t>
            </w:r>
          </w:p>
        </w:tc>
        <w:tc>
          <w:tcPr>
            <w:tcW w:w="1522" w:type="dxa"/>
            <w:gridSpan w:val="3"/>
            <w:tcBorders>
              <w:tl2br w:val="nil"/>
              <w:tr2bl w:val="nil"/>
            </w:tcBorders>
            <w:tcMar>
              <w:top w:w="60" w:type="dxa"/>
              <w:left w:w="120" w:type="dxa"/>
              <w:bottom w:w="30" w:type="dxa"/>
              <w:right w:w="120" w:type="dxa"/>
            </w:tcMar>
            <w:vAlign w:val="center"/>
          </w:tcPr>
          <w:p w14:paraId="78E3A422">
            <w:pPr>
              <w:bidi w:val="0"/>
              <w:jc w:val="left"/>
              <w:rPr>
                <w:color w:val="auto"/>
                <w:highlight w:val="none"/>
              </w:rPr>
            </w:pPr>
            <w:r>
              <w:rPr>
                <w:color w:val="auto"/>
                <w:highlight w:val="none"/>
              </w:rPr>
              <w:t>考核日期</w:t>
            </w:r>
          </w:p>
        </w:tc>
        <w:tc>
          <w:tcPr>
            <w:tcW w:w="813" w:type="dxa"/>
            <w:tcBorders>
              <w:tl2br w:val="nil"/>
              <w:tr2bl w:val="nil"/>
            </w:tcBorders>
            <w:tcMar>
              <w:top w:w="60" w:type="dxa"/>
              <w:left w:w="120" w:type="dxa"/>
              <w:bottom w:w="30" w:type="dxa"/>
              <w:right w:w="120" w:type="dxa"/>
            </w:tcMar>
            <w:vAlign w:val="center"/>
          </w:tcPr>
          <w:p w14:paraId="4125B4E3">
            <w:pPr>
              <w:bidi w:val="0"/>
              <w:jc w:val="left"/>
              <w:rPr>
                <w:color w:val="auto"/>
                <w:highlight w:val="none"/>
              </w:rPr>
            </w:pPr>
          </w:p>
        </w:tc>
      </w:tr>
    </w:tbl>
    <w:p w14:paraId="2B3DB1B1">
      <w:pPr>
        <w:pStyle w:val="8"/>
        <w:rPr>
          <w:rFonts w:hint="eastAsia" w:ascii="仿宋" w:hAnsi="仿宋" w:eastAsia="仿宋" w:cs="仿宋"/>
          <w:i w:val="0"/>
          <w:iCs w:val="0"/>
          <w:caps w:val="0"/>
          <w:color w:val="auto"/>
          <w:spacing w:val="0"/>
          <w:sz w:val="30"/>
          <w:szCs w:val="30"/>
          <w:highlight w:val="none"/>
          <w:shd w:val="clear" w:fill="FFFFFF"/>
          <w:lang w:val="en-US" w:eastAsia="zh-Hans"/>
        </w:rPr>
      </w:pPr>
    </w:p>
    <w:p w14:paraId="614C4F09">
      <w:pPr>
        <w:rPr>
          <w:highlight w:val="none"/>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6DAEA">
    <w:pPr>
      <w:pStyle w:val="4"/>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2415DE">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2415DE">
                    <w:pPr>
                      <w:pStyle w:val="4"/>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51626"/>
    <w:multiLevelType w:val="singleLevel"/>
    <w:tmpl w:val="9715162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FB2CC0"/>
    <w:rsid w:val="03A02E2C"/>
    <w:rsid w:val="06360D73"/>
    <w:rsid w:val="12775C33"/>
    <w:rsid w:val="194702D9"/>
    <w:rsid w:val="19AF5431"/>
    <w:rsid w:val="1FF817D7"/>
    <w:rsid w:val="20353FDE"/>
    <w:rsid w:val="26093577"/>
    <w:rsid w:val="280E316D"/>
    <w:rsid w:val="372F00FC"/>
    <w:rsid w:val="37AD46D3"/>
    <w:rsid w:val="4B010D46"/>
    <w:rsid w:val="56116B96"/>
    <w:rsid w:val="6E7625FD"/>
    <w:rsid w:val="70BF608B"/>
    <w:rsid w:val="71DD525F"/>
    <w:rsid w:val="738D3920"/>
    <w:rsid w:val="74463F93"/>
    <w:rsid w:val="75FB2CC0"/>
    <w:rsid w:val="7B203D0C"/>
    <w:rsid w:val="7F1E0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before="156" w:beforeLines="0" w:after="156" w:afterLines="0" w:line="360" w:lineRule="auto"/>
      <w:jc w:val="center"/>
      <w:outlineLvl w:val="0"/>
    </w:pPr>
    <w:rPr>
      <w:rFonts w:ascii="Times New Roman" w:hAnsi="Times New Roman" w:eastAsia="宋体" w:cs="Times New Roman"/>
      <w:b/>
      <w:bCs/>
      <w:kern w:val="44"/>
      <w:sz w:val="32"/>
      <w:szCs w:val="44"/>
      <w:lang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eastAsia="宋体" w:cs="Times New Roman"/>
      <w:sz w:val="32"/>
    </w:rPr>
  </w:style>
  <w:style w:type="paragraph" w:styleId="4">
    <w:name w:val="footer"/>
    <w:basedOn w:val="1"/>
    <w:qFormat/>
    <w:uiPriority w:val="0"/>
    <w:pPr>
      <w:tabs>
        <w:tab w:val="center" w:pos="4153"/>
        <w:tab w:val="right" w:pos="8306"/>
      </w:tabs>
      <w:snapToGrid w:val="0"/>
      <w:jc w:val="left"/>
    </w:pPr>
    <w:rPr>
      <w:rFonts w:ascii="宋体" w:hAnsi="宋体" w:eastAsia="宋体" w:cs="宋体"/>
      <w:kern w:val="2"/>
      <w:sz w:val="21"/>
      <w:lang w:eastAsia="zh-CN"/>
    </w:rPr>
  </w:style>
  <w:style w:type="character" w:customStyle="1" w:styleId="7">
    <w:name w:val="标题 1 字符"/>
    <w:link w:val="2"/>
    <w:qFormat/>
    <w:uiPriority w:val="99"/>
    <w:rPr>
      <w:rFonts w:ascii="Times New Roman" w:hAnsi="Times New Roman" w:eastAsia="宋体" w:cs="Times New Roman"/>
      <w:b/>
      <w:bCs/>
      <w:kern w:val="44"/>
      <w:sz w:val="32"/>
      <w:szCs w:val="4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2026-05-25T07:00:00Z</dcterms:created>
  <dc:creator>H</dc:creator>
  <cp:lastModifiedBy>H</cp:lastModifiedBy>
  <dcterms:modified xsi:type="dcterms:W3CDTF">2026-05-25T07:08:20Z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1F95709EFE8544A6B87D0B6129CC9B53_11</vt:lpwstr>
  </property>
  <property fmtid="{D5CDD505-2E9C-101B-9397-08002B2CF9AE}" pid="4" name="KSOTemplateDocerSaveRecord">
    <vt:lpwstr>eyJoZGlkIjoiNWVlZWQ2MGQxNmE1ODQyMmRiYjA3Yzk4MTMyMWVjOGQiLCJ1c2VySWQiOiI1MjUwOTc0MjQifQ==</vt:lpwstr>
  </property>
</Properties>
</file>