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C6692">
      <w:pPr>
        <w:adjustRightInd w:val="0"/>
        <w:snapToGrid w:val="0"/>
        <w:spacing w:line="348" w:lineRule="auto"/>
        <w:ind w:firstLine="2120" w:firstLineChars="400"/>
        <w:rPr>
          <w:rFonts w:hint="eastAsia" w:eastAsia="黑体"/>
          <w:b/>
          <w:spacing w:val="-20"/>
          <w:sz w:val="96"/>
          <w:szCs w:val="58"/>
        </w:rPr>
      </w:pPr>
      <w:bookmarkStart w:id="1" w:name="_GoBack"/>
      <w:bookmarkEnd w:id="1"/>
      <w:r>
        <w:rPr>
          <w:rFonts w:hint="eastAsia" w:ascii="黑体" w:hAnsi="宋体" w:eastAsia="黑体"/>
          <w:b/>
          <w:color w:val="000000"/>
          <w:spacing w:val="4"/>
          <w:sz w:val="52"/>
          <w:szCs w:val="48"/>
        </w:rPr>
        <w:t>西安市中心医院服务类</w:t>
      </w:r>
    </w:p>
    <w:p w14:paraId="39588A3D">
      <w:pPr>
        <w:adjustRightInd w:val="0"/>
        <w:snapToGrid w:val="0"/>
        <w:spacing w:line="348" w:lineRule="auto"/>
        <w:jc w:val="center"/>
        <w:rPr>
          <w:rFonts w:hint="eastAsia" w:eastAsia="黑体"/>
          <w:b/>
          <w:spacing w:val="-20"/>
          <w:sz w:val="96"/>
          <w:szCs w:val="58"/>
        </w:rPr>
      </w:pPr>
      <w:r>
        <w:rPr>
          <w:rFonts w:hint="eastAsia" w:ascii="黑体" w:eastAsia="黑体"/>
          <w:b/>
          <w:sz w:val="72"/>
          <w:szCs w:val="72"/>
        </w:rPr>
        <w:t xml:space="preserve"> 合 同</w:t>
      </w:r>
    </w:p>
    <w:p w14:paraId="58D6E1C3">
      <w:pPr>
        <w:adjustRightInd w:val="0"/>
        <w:snapToGrid w:val="0"/>
        <w:spacing w:line="348" w:lineRule="auto"/>
        <w:jc w:val="center"/>
        <w:rPr>
          <w:rFonts w:hint="eastAsia" w:ascii="黑体" w:hAnsi="宋体" w:eastAsia="黑体"/>
          <w:b/>
          <w:color w:val="000000"/>
          <w:spacing w:val="4"/>
          <w:sz w:val="48"/>
          <w:szCs w:val="48"/>
        </w:rPr>
      </w:pPr>
    </w:p>
    <w:p w14:paraId="274DA626">
      <w:pPr>
        <w:pStyle w:val="2"/>
        <w:rPr>
          <w:rFonts w:hint="eastAsia"/>
        </w:rPr>
      </w:pPr>
    </w:p>
    <w:p w14:paraId="1EB72C3C">
      <w:pPr>
        <w:adjustRightInd w:val="0"/>
        <w:snapToGrid w:val="0"/>
        <w:spacing w:line="348" w:lineRule="auto"/>
        <w:jc w:val="center"/>
        <w:rPr>
          <w:rFonts w:hint="eastAsia" w:ascii="黑体" w:hAnsi="宋体" w:eastAsia="黑体"/>
          <w:color w:val="000000"/>
          <w:spacing w:val="4"/>
          <w:sz w:val="36"/>
          <w:szCs w:val="36"/>
          <w:u w:val="single"/>
        </w:rPr>
      </w:pPr>
      <w:r>
        <w:rPr>
          <w:rFonts w:hint="eastAsia" w:ascii="黑体" w:eastAsia="黑体"/>
          <w:sz w:val="36"/>
          <w:szCs w:val="36"/>
          <w:lang w:val="en-US" w:eastAsia="zh-CN"/>
        </w:rPr>
        <w:t xml:space="preserve">     </w:t>
      </w:r>
      <w:r>
        <w:rPr>
          <w:rFonts w:hint="eastAsia" w:ascii="黑体" w:eastAsia="黑体"/>
          <w:sz w:val="36"/>
          <w:szCs w:val="36"/>
        </w:rPr>
        <w:t>项目名称：</w:t>
      </w:r>
      <w:r>
        <w:rPr>
          <w:rFonts w:hint="eastAsia" w:ascii="黑体" w:hAnsi="宋体" w:eastAsia="黑体"/>
          <w:color w:val="000000"/>
          <w:spacing w:val="4"/>
          <w:sz w:val="36"/>
          <w:szCs w:val="48"/>
          <w:u w:val="single"/>
          <w:lang w:val="zh-TW"/>
        </w:rPr>
        <w:t>北大街南院、北院及糖坊街共三个院区后勤动力运维服务外包</w:t>
      </w:r>
    </w:p>
    <w:p w14:paraId="2BC2B849">
      <w:pPr>
        <w:adjustRightInd w:val="0"/>
        <w:snapToGrid w:val="0"/>
        <w:spacing w:line="348" w:lineRule="auto"/>
        <w:rPr>
          <w:rFonts w:ascii="黑体"/>
          <w:sz w:val="36"/>
          <w:szCs w:val="36"/>
          <w:u w:val="single"/>
        </w:rPr>
      </w:pPr>
      <w:r>
        <w:rPr>
          <w:rFonts w:hint="eastAsia" w:ascii="黑体" w:eastAsia="黑体"/>
          <w:sz w:val="36"/>
          <w:szCs w:val="36"/>
        </w:rPr>
        <w:t>　　 项目编号：</w:t>
      </w:r>
      <w:r>
        <w:rPr>
          <w:rFonts w:hint="eastAsia" w:ascii="黑体" w:eastAsia="黑体"/>
          <w:sz w:val="36"/>
          <w:szCs w:val="36"/>
          <w:u w:val="single"/>
        </w:rPr>
        <w:t xml:space="preserve"> 　　　</w:t>
      </w:r>
      <w:r>
        <w:rPr>
          <w:rFonts w:hint="eastAsia" w:ascii="黑体" w:eastAsia="黑体"/>
          <w:sz w:val="36"/>
          <w:szCs w:val="36"/>
          <w:u w:val="single"/>
          <w:lang w:val="en-US" w:eastAsia="zh-CN"/>
        </w:rPr>
        <w:t xml:space="preserve"> </w:t>
      </w:r>
      <w:r>
        <w:rPr>
          <w:rFonts w:hint="eastAsia" w:ascii="黑体" w:hAnsi="宋体" w:eastAsia="黑体"/>
          <w:color w:val="000000"/>
          <w:spacing w:val="4"/>
          <w:sz w:val="36"/>
          <w:szCs w:val="48"/>
          <w:u w:val="single"/>
        </w:rPr>
        <w:t xml:space="preserve">　　　  </w:t>
      </w:r>
    </w:p>
    <w:p w14:paraId="41B402D1">
      <w:pPr>
        <w:adjustRightInd w:val="0"/>
        <w:snapToGrid w:val="0"/>
        <w:spacing w:line="348" w:lineRule="auto"/>
        <w:rPr>
          <w:rFonts w:hint="eastAsia" w:ascii="黑体" w:eastAsia="黑体"/>
          <w:b/>
          <w:sz w:val="72"/>
          <w:szCs w:val="72"/>
        </w:rPr>
      </w:pPr>
      <w:r>
        <w:rPr>
          <w:rFonts w:hint="eastAsia" w:ascii="黑体" w:eastAsia="黑体"/>
          <w:b/>
          <w:sz w:val="72"/>
          <w:szCs w:val="72"/>
        </w:rPr>
        <w:t>　</w:t>
      </w:r>
    </w:p>
    <w:p w14:paraId="20B58389">
      <w:pPr>
        <w:jc w:val="both"/>
        <w:rPr>
          <w:rFonts w:hint="eastAsia" w:ascii="黑体" w:eastAsia="黑体"/>
          <w:sz w:val="28"/>
          <w:szCs w:val="30"/>
        </w:rPr>
      </w:pPr>
    </w:p>
    <w:p w14:paraId="3E83BCBA">
      <w:pPr>
        <w:rPr>
          <w:rFonts w:hint="eastAsia" w:ascii="黑体" w:eastAsia="黑体"/>
          <w:sz w:val="28"/>
          <w:szCs w:val="30"/>
        </w:rPr>
      </w:pPr>
    </w:p>
    <w:p w14:paraId="5918AA34">
      <w:pPr>
        <w:jc w:val="center"/>
        <w:rPr>
          <w:rFonts w:hint="eastAsia" w:ascii="黑体" w:eastAsia="黑体"/>
          <w:sz w:val="28"/>
          <w:szCs w:val="30"/>
        </w:rPr>
      </w:pPr>
    </w:p>
    <w:p w14:paraId="0797696F">
      <w:pPr>
        <w:jc w:val="left"/>
        <w:rPr>
          <w:rFonts w:hint="eastAsia" w:ascii="黑体" w:hAnsi="宋体" w:eastAsia="黑体"/>
          <w:sz w:val="32"/>
          <w:szCs w:val="32"/>
        </w:rPr>
      </w:pPr>
      <w:r>
        <w:rPr>
          <w:rFonts w:hint="eastAsia" w:ascii="黑体" w:eastAsia="黑体"/>
          <w:sz w:val="32"/>
          <w:szCs w:val="32"/>
        </w:rPr>
        <w:t>　　　　　　 甲  方：</w:t>
      </w:r>
      <w:r>
        <w:rPr>
          <w:rFonts w:hint="eastAsia" w:ascii="黑体" w:hAnsi="宋体" w:eastAsia="黑体"/>
          <w:sz w:val="32"/>
          <w:szCs w:val="32"/>
        </w:rPr>
        <w:t>西安市中心医院</w:t>
      </w:r>
    </w:p>
    <w:p w14:paraId="4900361C">
      <w:pPr>
        <w:ind w:firstLine="2240" w:firstLineChars="700"/>
        <w:jc w:val="left"/>
        <w:rPr>
          <w:rFonts w:hint="eastAsia" w:ascii="黑体" w:eastAsia="黑体"/>
          <w:sz w:val="32"/>
          <w:szCs w:val="32"/>
          <w:lang w:eastAsia="zh-CN"/>
        </w:rPr>
      </w:pPr>
      <w:r>
        <w:rPr>
          <w:rFonts w:hint="eastAsia" w:ascii="黑体" w:eastAsia="黑体"/>
          <w:sz w:val="32"/>
          <w:szCs w:val="32"/>
        </w:rPr>
        <w:t>乙  方</w:t>
      </w:r>
      <w:r>
        <w:rPr>
          <w:rFonts w:hint="eastAsia" w:ascii="黑体" w:eastAsia="黑体"/>
          <w:sz w:val="32"/>
          <w:szCs w:val="32"/>
          <w:lang w:eastAsia="zh-CN"/>
        </w:rPr>
        <w:t>：</w:t>
      </w:r>
    </w:p>
    <w:p w14:paraId="074B97AC">
      <w:pPr>
        <w:tabs>
          <w:tab w:val="left" w:pos="480"/>
        </w:tabs>
        <w:jc w:val="left"/>
        <w:rPr>
          <w:rFonts w:hint="eastAsia" w:ascii="黑体" w:eastAsia="黑体"/>
          <w:sz w:val="32"/>
          <w:szCs w:val="32"/>
        </w:rPr>
      </w:pPr>
      <w:r>
        <w:rPr>
          <w:rFonts w:hint="eastAsia" w:ascii="黑体" w:eastAsia="黑体"/>
          <w:sz w:val="32"/>
          <w:szCs w:val="32"/>
        </w:rPr>
        <w:t xml:space="preserve">　　　　　　             </w:t>
      </w:r>
    </w:p>
    <w:p w14:paraId="6EC4ABE5">
      <w:pPr>
        <w:rPr>
          <w:rFonts w:hint="eastAsia" w:ascii="黑体" w:hAnsi="宋体" w:eastAsia="黑体"/>
          <w:sz w:val="32"/>
          <w:szCs w:val="32"/>
        </w:rPr>
      </w:pPr>
    </w:p>
    <w:p w14:paraId="49E3B5A3">
      <w:pPr>
        <w:pStyle w:val="2"/>
        <w:snapToGrid w:val="0"/>
        <w:spacing w:line="120" w:lineRule="auto"/>
        <w:rPr>
          <w:rFonts w:hint="eastAsia" w:eastAsia="黑体"/>
        </w:rPr>
      </w:pPr>
    </w:p>
    <w:p w14:paraId="0FE3A994">
      <w:pPr>
        <w:jc w:val="center"/>
        <w:rPr>
          <w:rFonts w:hint="eastAsia" w:ascii="黑体" w:hAnsi="宋体" w:eastAsia="黑体"/>
          <w:sz w:val="32"/>
          <w:szCs w:val="32"/>
        </w:rPr>
      </w:pPr>
      <w:r>
        <w:rPr>
          <w:rFonts w:hint="eastAsia" w:ascii="黑体" w:hAnsi="宋体" w:eastAsia="黑体"/>
          <w:sz w:val="32"/>
          <w:szCs w:val="32"/>
        </w:rPr>
        <w:t>二○二</w:t>
      </w:r>
      <w:r>
        <w:rPr>
          <w:rFonts w:hint="eastAsia" w:ascii="黑体" w:hAnsi="宋体" w:eastAsia="黑体"/>
          <w:sz w:val="32"/>
          <w:szCs w:val="32"/>
          <w:lang w:eastAsia="zh-CN"/>
        </w:rPr>
        <w:t>六</w:t>
      </w:r>
      <w:r>
        <w:rPr>
          <w:rFonts w:hint="eastAsia" w:ascii="黑体" w:hAnsi="宋体" w:eastAsia="黑体"/>
          <w:sz w:val="32"/>
          <w:szCs w:val="32"/>
        </w:rPr>
        <w:t>年</w:t>
      </w:r>
      <w:r>
        <w:rPr>
          <w:rFonts w:hint="eastAsia" w:ascii="黑体" w:hAnsi="宋体" w:eastAsia="黑体"/>
          <w:sz w:val="32"/>
          <w:szCs w:val="32"/>
          <w:lang w:eastAsia="zh-CN"/>
        </w:rPr>
        <w:t>六</w:t>
      </w:r>
      <w:r>
        <w:rPr>
          <w:rFonts w:hint="eastAsia" w:ascii="黑体" w:hAnsi="宋体" w:eastAsia="黑体"/>
          <w:sz w:val="32"/>
          <w:szCs w:val="32"/>
        </w:rPr>
        <w:t>月</w:t>
      </w:r>
    </w:p>
    <w:p w14:paraId="61C09A26">
      <w:pPr>
        <w:jc w:val="center"/>
        <w:rPr>
          <w:rFonts w:hint="eastAsia" w:ascii="黑体" w:hAnsi="宋体" w:eastAsia="黑体"/>
          <w:sz w:val="32"/>
          <w:szCs w:val="32"/>
        </w:rPr>
      </w:pPr>
    </w:p>
    <w:p w14:paraId="7C0E1589">
      <w:pPr>
        <w:jc w:val="both"/>
        <w:rPr>
          <w:rFonts w:hint="eastAsia" w:ascii="宋体" w:hAnsi="宋体"/>
          <w:b/>
          <w:sz w:val="36"/>
          <w:szCs w:val="36"/>
        </w:rPr>
      </w:pPr>
    </w:p>
    <w:p w14:paraId="42E773B8">
      <w:pPr>
        <w:ind w:firstLine="723" w:firstLineChars="200"/>
        <w:jc w:val="center"/>
        <w:rPr>
          <w:rFonts w:hint="eastAsia" w:ascii="宋体" w:hAnsi="宋体"/>
          <w:b/>
          <w:sz w:val="36"/>
          <w:szCs w:val="36"/>
        </w:rPr>
      </w:pPr>
      <w:r>
        <w:rPr>
          <w:rFonts w:hint="eastAsia" w:ascii="宋体" w:hAnsi="宋体"/>
          <w:b/>
          <w:sz w:val="36"/>
          <w:szCs w:val="36"/>
        </w:rPr>
        <w:t>西安市中心医院</w:t>
      </w:r>
    </w:p>
    <w:p w14:paraId="5037979E">
      <w:pPr>
        <w:ind w:firstLine="723" w:firstLineChars="200"/>
        <w:jc w:val="center"/>
        <w:rPr>
          <w:rFonts w:hint="eastAsia" w:ascii="宋体" w:hAnsi="宋体"/>
          <w:b/>
          <w:sz w:val="36"/>
          <w:szCs w:val="36"/>
        </w:rPr>
      </w:pPr>
      <w:r>
        <w:rPr>
          <w:rFonts w:hint="eastAsia" w:ascii="宋体" w:hAnsi="宋体"/>
          <w:b/>
          <w:sz w:val="36"/>
          <w:szCs w:val="36"/>
        </w:rPr>
        <w:t>北大街南院、北院及糖坊街共三个院区</w:t>
      </w:r>
    </w:p>
    <w:p w14:paraId="00CD5C57">
      <w:pPr>
        <w:ind w:firstLine="723" w:firstLineChars="200"/>
        <w:jc w:val="center"/>
        <w:rPr>
          <w:rFonts w:hint="eastAsia" w:ascii="宋体" w:hAnsi="宋体"/>
          <w:b/>
          <w:sz w:val="36"/>
          <w:szCs w:val="36"/>
        </w:rPr>
      </w:pPr>
      <w:r>
        <w:rPr>
          <w:rFonts w:hint="eastAsia" w:ascii="宋体" w:hAnsi="宋体"/>
          <w:b/>
          <w:sz w:val="36"/>
          <w:szCs w:val="36"/>
        </w:rPr>
        <w:t>后勤动力运维服务外包</w:t>
      </w:r>
    </w:p>
    <w:p w14:paraId="331674B1">
      <w:pPr>
        <w:ind w:firstLine="723" w:firstLineChars="200"/>
        <w:jc w:val="center"/>
        <w:rPr>
          <w:rFonts w:hint="eastAsia" w:ascii="宋体" w:hAnsi="宋体"/>
          <w:b/>
          <w:sz w:val="36"/>
          <w:szCs w:val="36"/>
        </w:rPr>
      </w:pPr>
      <w:r>
        <w:rPr>
          <w:rFonts w:hint="eastAsia" w:ascii="宋体" w:hAnsi="宋体"/>
          <w:b/>
          <w:sz w:val="36"/>
          <w:szCs w:val="36"/>
        </w:rPr>
        <w:t>合</w:t>
      </w:r>
      <w:r>
        <w:rPr>
          <w:rFonts w:hint="eastAsia" w:ascii="宋体" w:hAnsi="宋体"/>
          <w:b/>
          <w:sz w:val="36"/>
          <w:szCs w:val="36"/>
          <w:lang w:val="en-US" w:eastAsia="zh-CN"/>
        </w:rPr>
        <w:t xml:space="preserve"> </w:t>
      </w:r>
      <w:r>
        <w:rPr>
          <w:rFonts w:hint="eastAsia" w:ascii="宋体" w:hAnsi="宋体"/>
          <w:b/>
          <w:sz w:val="36"/>
          <w:szCs w:val="36"/>
        </w:rPr>
        <w:t>同</w:t>
      </w:r>
    </w:p>
    <w:p w14:paraId="6FFC9CAD">
      <w:pPr>
        <w:ind w:firstLine="723" w:firstLineChars="200"/>
        <w:jc w:val="center"/>
        <w:rPr>
          <w:rFonts w:hint="eastAsia" w:ascii="宋体" w:hAnsi="宋体"/>
          <w:b/>
          <w:sz w:val="36"/>
          <w:szCs w:val="36"/>
        </w:rPr>
      </w:pPr>
    </w:p>
    <w:p w14:paraId="4EEE1EE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    方（发包方）：西安市中心医院</w:t>
      </w:r>
    </w:p>
    <w:p w14:paraId="65CC7531">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乙    方（承包方）：</w:t>
      </w:r>
    </w:p>
    <w:p w14:paraId="6B6D2D0B">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按照《中华人民共和国民法典》、《中华人民共和国建筑法》及其他有关法律、行政法规，遵循平等、自愿、公平和诚实信用的原则，双方就西安市中心医院北大街南院、北院及糖坊街共三个院区后勤动力运维服务外包项目协商一致，签订本合同。</w:t>
      </w:r>
    </w:p>
    <w:p w14:paraId="30880D8C">
      <w:pPr>
        <w:numPr>
          <w:ilvl w:val="0"/>
          <w:numId w:val="0"/>
        </w:numPr>
        <w:adjustRightInd w:val="0"/>
        <w:snapToGrid w:val="0"/>
        <w:spacing w:line="360" w:lineRule="auto"/>
        <w:ind w:leftChars="0"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合同概况：</w:t>
      </w:r>
    </w:p>
    <w:p w14:paraId="0E6A4F9C">
      <w:pPr>
        <w:adjustRightInd w:val="0"/>
        <w:snapToGrid w:val="0"/>
        <w:spacing w:line="360" w:lineRule="auto"/>
        <w:ind w:left="1679" w:leftChars="228" w:hanging="1200" w:hangingChars="500"/>
        <w:rPr>
          <w:rFonts w:hint="eastAsia" w:ascii="宋体" w:hAnsi="宋体" w:eastAsia="宋体" w:cs="宋体"/>
          <w:sz w:val="24"/>
          <w:szCs w:val="24"/>
        </w:rPr>
      </w:pPr>
      <w:r>
        <w:rPr>
          <w:rFonts w:hint="eastAsia" w:ascii="宋体" w:hAnsi="宋体" w:eastAsia="宋体" w:cs="宋体"/>
          <w:sz w:val="24"/>
          <w:szCs w:val="24"/>
        </w:rPr>
        <w:t>项目名称：西安市中心医院北大街南院、北院及糖坊街共三个院区后勤动力运维服务外包</w:t>
      </w:r>
    </w:p>
    <w:p w14:paraId="25738DD4">
      <w:pPr>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项目地点：</w:t>
      </w:r>
      <w:r>
        <w:rPr>
          <w:rFonts w:hint="eastAsia" w:ascii="宋体" w:hAnsi="宋体" w:eastAsia="宋体" w:cs="宋体"/>
          <w:spacing w:val="14"/>
          <w:sz w:val="24"/>
          <w:szCs w:val="24"/>
        </w:rPr>
        <w:t>西安市中心医院北大街南院、北院及</w:t>
      </w:r>
      <w:r>
        <w:rPr>
          <w:rFonts w:hint="eastAsia" w:ascii="宋体" w:hAnsi="宋体" w:eastAsia="宋体" w:cs="宋体"/>
          <w:spacing w:val="14"/>
          <w:sz w:val="24"/>
          <w:szCs w:val="24"/>
          <w:lang w:eastAsia="zh-CN"/>
        </w:rPr>
        <w:t>糖坊街院区</w:t>
      </w:r>
    </w:p>
    <w:p w14:paraId="54DDC904">
      <w:pPr>
        <w:adjustRightInd w:val="0"/>
        <w:snapToGrid w:val="0"/>
        <w:spacing w:line="360" w:lineRule="auto"/>
        <w:ind w:left="1273" w:leftChars="227" w:hanging="796" w:hangingChars="332"/>
        <w:rPr>
          <w:rFonts w:hint="eastAsia" w:ascii="宋体" w:hAnsi="宋体" w:eastAsia="宋体" w:cs="宋体"/>
          <w:sz w:val="24"/>
          <w:szCs w:val="24"/>
        </w:rPr>
      </w:pPr>
      <w:r>
        <w:rPr>
          <w:rFonts w:hint="eastAsia" w:ascii="宋体" w:hAnsi="宋体" w:eastAsia="宋体" w:cs="宋体"/>
          <w:sz w:val="24"/>
          <w:szCs w:val="24"/>
        </w:rPr>
        <w:t>承包形式：本项目承包形式为包工包料。</w:t>
      </w:r>
    </w:p>
    <w:p w14:paraId="07AEC5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项目内容</w:t>
      </w:r>
      <w:r>
        <w:rPr>
          <w:rFonts w:hint="eastAsia" w:ascii="宋体" w:hAnsi="宋体" w:cs="宋体"/>
          <w:spacing w:val="14"/>
          <w:sz w:val="24"/>
          <w:szCs w:val="24"/>
          <w:lang w:eastAsia="zh-CN"/>
        </w:rPr>
        <w:t>（</w:t>
      </w:r>
      <w:r>
        <w:rPr>
          <w:rFonts w:hint="eastAsia" w:ascii="宋体" w:hAnsi="宋体" w:cs="宋体"/>
          <w:spacing w:val="14"/>
          <w:sz w:val="24"/>
          <w:szCs w:val="24"/>
          <w:lang w:val="en-US" w:eastAsia="zh-CN"/>
        </w:rPr>
        <w:t>具体服务内容及服务要求详见本项目采购文件要求及乙方投标文件正本</w:t>
      </w:r>
      <w:r>
        <w:rPr>
          <w:rFonts w:hint="eastAsia" w:ascii="宋体" w:hAnsi="宋体" w:cs="宋体"/>
          <w:spacing w:val="14"/>
          <w:sz w:val="24"/>
          <w:szCs w:val="24"/>
          <w:lang w:eastAsia="zh-CN"/>
        </w:rPr>
        <w:t>）</w:t>
      </w:r>
      <w:r>
        <w:rPr>
          <w:rFonts w:hint="eastAsia" w:ascii="宋体" w:hAnsi="宋体" w:eastAsia="宋体" w:cs="宋体"/>
          <w:spacing w:val="14"/>
          <w:sz w:val="24"/>
          <w:szCs w:val="24"/>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605"/>
        <w:gridCol w:w="6128"/>
      </w:tblGrid>
      <w:tr w14:paraId="2033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89" w:type="dxa"/>
            <w:noWrap w:val="0"/>
            <w:vAlign w:val="center"/>
          </w:tcPr>
          <w:p w14:paraId="40F234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1DEDC8F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序号</w:t>
            </w:r>
          </w:p>
        </w:tc>
        <w:tc>
          <w:tcPr>
            <w:tcW w:w="1605" w:type="dxa"/>
            <w:noWrap w:val="0"/>
            <w:vAlign w:val="center"/>
          </w:tcPr>
          <w:p w14:paraId="2CC4C5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432AE9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区域</w:t>
            </w:r>
          </w:p>
        </w:tc>
        <w:tc>
          <w:tcPr>
            <w:tcW w:w="6128" w:type="dxa"/>
            <w:noWrap w:val="0"/>
            <w:vAlign w:val="center"/>
          </w:tcPr>
          <w:p w14:paraId="18696F5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服务内容</w:t>
            </w:r>
          </w:p>
          <w:p w14:paraId="104430D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（详见各分项业务）</w:t>
            </w:r>
          </w:p>
        </w:tc>
      </w:tr>
      <w:tr w14:paraId="17F6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4114601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p>
        </w:tc>
        <w:tc>
          <w:tcPr>
            <w:tcW w:w="1605" w:type="dxa"/>
            <w:vMerge w:val="restart"/>
            <w:noWrap w:val="0"/>
            <w:vAlign w:val="center"/>
          </w:tcPr>
          <w:p w14:paraId="4FECB6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112EDA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0CD076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037A5FC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17FF69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北大街南院、北院区</w:t>
            </w:r>
          </w:p>
        </w:tc>
        <w:tc>
          <w:tcPr>
            <w:tcW w:w="6128" w:type="dxa"/>
            <w:noWrap w:val="0"/>
            <w:vAlign w:val="center"/>
          </w:tcPr>
          <w:p w14:paraId="404235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技工组</w:t>
            </w:r>
          </w:p>
        </w:tc>
      </w:tr>
      <w:tr w14:paraId="5DFE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2B2A09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w:t>
            </w:r>
          </w:p>
        </w:tc>
        <w:tc>
          <w:tcPr>
            <w:tcW w:w="1605" w:type="dxa"/>
            <w:vMerge w:val="continue"/>
            <w:noWrap w:val="0"/>
            <w:vAlign w:val="center"/>
          </w:tcPr>
          <w:p w14:paraId="4518ABC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22A32DA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电工组</w:t>
            </w:r>
          </w:p>
        </w:tc>
      </w:tr>
      <w:tr w14:paraId="464C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3671BC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w:t>
            </w:r>
          </w:p>
        </w:tc>
        <w:tc>
          <w:tcPr>
            <w:tcW w:w="1605" w:type="dxa"/>
            <w:vMerge w:val="continue"/>
            <w:noWrap w:val="0"/>
            <w:vAlign w:val="center"/>
          </w:tcPr>
          <w:p w14:paraId="28CB8F4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7B0EE0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中央空调组</w:t>
            </w:r>
          </w:p>
        </w:tc>
      </w:tr>
      <w:tr w14:paraId="565C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696846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w:t>
            </w:r>
          </w:p>
        </w:tc>
        <w:tc>
          <w:tcPr>
            <w:tcW w:w="1605" w:type="dxa"/>
            <w:vMerge w:val="continue"/>
            <w:noWrap w:val="0"/>
            <w:vAlign w:val="center"/>
          </w:tcPr>
          <w:p w14:paraId="162509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25C467C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层流净化组</w:t>
            </w:r>
          </w:p>
        </w:tc>
      </w:tr>
      <w:tr w14:paraId="1C63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2AC293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w:t>
            </w:r>
          </w:p>
        </w:tc>
        <w:tc>
          <w:tcPr>
            <w:tcW w:w="1605" w:type="dxa"/>
            <w:vMerge w:val="continue"/>
            <w:noWrap w:val="0"/>
            <w:vAlign w:val="center"/>
          </w:tcPr>
          <w:p w14:paraId="14DD81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164C68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电梯班</w:t>
            </w:r>
          </w:p>
        </w:tc>
      </w:tr>
      <w:tr w14:paraId="3869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3FD186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w:t>
            </w:r>
          </w:p>
        </w:tc>
        <w:tc>
          <w:tcPr>
            <w:tcW w:w="1605" w:type="dxa"/>
            <w:vMerge w:val="continue"/>
            <w:noWrap w:val="0"/>
            <w:vAlign w:val="center"/>
          </w:tcPr>
          <w:p w14:paraId="29E1D4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7FED929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锅炉房运维</w:t>
            </w:r>
          </w:p>
        </w:tc>
      </w:tr>
      <w:tr w14:paraId="495E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4EABAC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7</w:t>
            </w:r>
          </w:p>
        </w:tc>
        <w:tc>
          <w:tcPr>
            <w:tcW w:w="1605" w:type="dxa"/>
            <w:vMerge w:val="continue"/>
            <w:noWrap w:val="0"/>
            <w:vAlign w:val="center"/>
          </w:tcPr>
          <w:p w14:paraId="7FBB94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258B9C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污水站运维</w:t>
            </w:r>
          </w:p>
        </w:tc>
      </w:tr>
      <w:tr w14:paraId="325C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4BAE04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8</w:t>
            </w:r>
          </w:p>
        </w:tc>
        <w:tc>
          <w:tcPr>
            <w:tcW w:w="1605" w:type="dxa"/>
            <w:vMerge w:val="continue"/>
            <w:noWrap w:val="0"/>
            <w:vAlign w:val="center"/>
          </w:tcPr>
          <w:p w14:paraId="6BA278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p>
        </w:tc>
        <w:tc>
          <w:tcPr>
            <w:tcW w:w="6128" w:type="dxa"/>
            <w:noWrap w:val="0"/>
            <w:vAlign w:val="center"/>
          </w:tcPr>
          <w:p w14:paraId="6E09E4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北大街院区污水排放在线监测站</w:t>
            </w:r>
          </w:p>
        </w:tc>
      </w:tr>
      <w:tr w14:paraId="038D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4007E0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9</w:t>
            </w:r>
          </w:p>
        </w:tc>
        <w:tc>
          <w:tcPr>
            <w:tcW w:w="1605" w:type="dxa"/>
            <w:vMerge w:val="continue"/>
            <w:noWrap w:val="0"/>
            <w:vAlign w:val="center"/>
          </w:tcPr>
          <w:p w14:paraId="76B116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p>
        </w:tc>
        <w:tc>
          <w:tcPr>
            <w:tcW w:w="6128" w:type="dxa"/>
            <w:noWrap w:val="0"/>
            <w:vAlign w:val="center"/>
          </w:tcPr>
          <w:p w14:paraId="3AD28A1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锅炉污染物排放检测</w:t>
            </w:r>
          </w:p>
        </w:tc>
      </w:tr>
      <w:tr w14:paraId="60EB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39BD6D1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10</w:t>
            </w:r>
          </w:p>
        </w:tc>
        <w:tc>
          <w:tcPr>
            <w:tcW w:w="1605" w:type="dxa"/>
            <w:vMerge w:val="continue"/>
            <w:noWrap w:val="0"/>
            <w:vAlign w:val="center"/>
          </w:tcPr>
          <w:p w14:paraId="2B2AA9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6128" w:type="dxa"/>
            <w:noWrap w:val="0"/>
            <w:vAlign w:val="center"/>
          </w:tcPr>
          <w:p w14:paraId="094F0F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val="en-US" w:eastAsia="zh-CN"/>
              </w:rPr>
              <w:t>二次供水清洗消毒</w:t>
            </w:r>
          </w:p>
        </w:tc>
      </w:tr>
      <w:tr w14:paraId="63E4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9" w:type="dxa"/>
            <w:noWrap w:val="0"/>
            <w:vAlign w:val="center"/>
          </w:tcPr>
          <w:p w14:paraId="6FC518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11</w:t>
            </w:r>
          </w:p>
        </w:tc>
        <w:tc>
          <w:tcPr>
            <w:tcW w:w="1605" w:type="dxa"/>
            <w:vMerge w:val="continue"/>
            <w:noWrap w:val="0"/>
            <w:vAlign w:val="center"/>
          </w:tcPr>
          <w:p w14:paraId="59AF4C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tc>
        <w:tc>
          <w:tcPr>
            <w:tcW w:w="6128" w:type="dxa"/>
            <w:noWrap w:val="0"/>
            <w:vAlign w:val="center"/>
          </w:tcPr>
          <w:p w14:paraId="67D0359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eastAsia="zh-CN"/>
              </w:rPr>
              <w:t>防雷检测</w:t>
            </w:r>
          </w:p>
        </w:tc>
      </w:tr>
      <w:tr w14:paraId="31EB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89" w:type="dxa"/>
            <w:noWrap w:val="0"/>
            <w:vAlign w:val="center"/>
          </w:tcPr>
          <w:p w14:paraId="7291002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cs="宋体"/>
                <w:spacing w:val="14"/>
                <w:sz w:val="21"/>
                <w:szCs w:val="21"/>
                <w:lang w:val="en-US" w:eastAsia="zh-CN"/>
              </w:rPr>
              <w:t>12</w:t>
            </w:r>
          </w:p>
        </w:tc>
        <w:tc>
          <w:tcPr>
            <w:tcW w:w="1605" w:type="dxa"/>
            <w:noWrap w:val="0"/>
            <w:vAlign w:val="center"/>
          </w:tcPr>
          <w:p w14:paraId="572E077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tc>
        <w:tc>
          <w:tcPr>
            <w:tcW w:w="6128" w:type="dxa"/>
            <w:noWrap w:val="0"/>
            <w:vAlign w:val="center"/>
          </w:tcPr>
          <w:p w14:paraId="700555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cs="宋体"/>
                <w:spacing w:val="14"/>
                <w:sz w:val="21"/>
                <w:szCs w:val="21"/>
                <w:lang w:eastAsia="zh-CN"/>
              </w:rPr>
              <w:t>北大街、糖坊街清掏化粪池</w:t>
            </w:r>
          </w:p>
        </w:tc>
      </w:tr>
      <w:tr w14:paraId="13B4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789" w:type="dxa"/>
            <w:noWrap w:val="0"/>
            <w:vAlign w:val="center"/>
          </w:tcPr>
          <w:p w14:paraId="535EA5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27B2A6E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ascii="宋体" w:hAnsi="宋体" w:cs="宋体"/>
                <w:spacing w:val="14"/>
                <w:sz w:val="21"/>
                <w:szCs w:val="21"/>
                <w:lang w:val="en-US" w:eastAsia="zh-CN"/>
              </w:rPr>
              <w:t>3</w:t>
            </w:r>
          </w:p>
        </w:tc>
        <w:tc>
          <w:tcPr>
            <w:tcW w:w="1605" w:type="dxa"/>
            <w:noWrap w:val="0"/>
            <w:vAlign w:val="center"/>
          </w:tcPr>
          <w:p w14:paraId="074DC1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p>
          <w:p w14:paraId="29EA2C1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糖坊街院区</w:t>
            </w:r>
          </w:p>
        </w:tc>
        <w:tc>
          <w:tcPr>
            <w:tcW w:w="6128" w:type="dxa"/>
            <w:noWrap w:val="0"/>
            <w:vAlign w:val="center"/>
          </w:tcPr>
          <w:p w14:paraId="11669E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水、电、木、直燃机（中央空调系统）、净化、电梯、污水、防雷检测、锅炉污染物等运维</w:t>
            </w:r>
          </w:p>
        </w:tc>
      </w:tr>
    </w:tbl>
    <w:p w14:paraId="170AE0DF">
      <w:pPr>
        <w:keepNext w:val="0"/>
        <w:keepLines w:val="0"/>
        <w:pageBreakBefore w:val="0"/>
        <w:widowControl/>
        <w:kinsoku/>
        <w:wordWrap/>
        <w:overflowPunct/>
        <w:topLinePunct w:val="0"/>
        <w:autoSpaceDE w:val="0"/>
        <w:autoSpaceDN w:val="0"/>
        <w:bidi w:val="0"/>
        <w:adjustRightInd w:val="0"/>
        <w:snapToGrid w:val="0"/>
        <w:spacing w:line="360" w:lineRule="auto"/>
        <w:ind w:right="0" w:firstLine="538" w:firstLineChars="200"/>
        <w:jc w:val="left"/>
        <w:textAlignment w:val="baseline"/>
        <w:rPr>
          <w:rFonts w:hint="eastAsia" w:ascii="宋体" w:hAnsi="宋体" w:eastAsia="宋体" w:cs="宋体"/>
          <w:spacing w:val="14"/>
          <w:sz w:val="24"/>
          <w:szCs w:val="24"/>
        </w:rPr>
      </w:pPr>
      <w:r>
        <w:rPr>
          <w:rFonts w:hint="eastAsia" w:ascii="宋体" w:hAnsi="宋体" w:eastAsia="宋体" w:cs="宋体"/>
          <w:b/>
          <w:bCs/>
          <w:spacing w:val="14"/>
          <w:sz w:val="24"/>
          <w:szCs w:val="24"/>
        </w:rPr>
        <w:t>二</w:t>
      </w:r>
      <w:r>
        <w:rPr>
          <w:rFonts w:hint="eastAsia" w:ascii="宋体" w:hAnsi="宋体" w:eastAsia="宋体" w:cs="宋体"/>
          <w:b/>
          <w:bCs/>
          <w:spacing w:val="14"/>
          <w:sz w:val="24"/>
          <w:szCs w:val="24"/>
          <w:lang w:eastAsia="zh-CN"/>
        </w:rPr>
        <w:t>、</w:t>
      </w:r>
      <w:r>
        <w:rPr>
          <w:rFonts w:hint="eastAsia" w:ascii="宋体" w:hAnsi="宋体" w:eastAsia="宋体" w:cs="宋体"/>
          <w:b/>
          <w:bCs/>
          <w:spacing w:val="14"/>
          <w:sz w:val="24"/>
          <w:szCs w:val="24"/>
        </w:rPr>
        <w:t>服务期限：</w:t>
      </w:r>
    </w:p>
    <w:p w14:paraId="4BF511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服务起始时间：</w:t>
      </w:r>
      <w:r>
        <w:rPr>
          <w:rFonts w:hint="eastAsia" w:ascii="宋体" w:hAnsi="宋体" w:eastAsia="宋体" w:cs="宋体"/>
          <w:spacing w:val="14"/>
          <w:sz w:val="24"/>
          <w:szCs w:val="24"/>
          <w:lang w:eastAsia="zh-CN"/>
        </w:rPr>
        <w:t>合同之日起计壹年</w:t>
      </w:r>
      <w:r>
        <w:rPr>
          <w:rFonts w:hint="eastAsia" w:ascii="宋体" w:hAnsi="宋体" w:eastAsia="宋体" w:cs="宋体"/>
          <w:spacing w:val="14"/>
          <w:sz w:val="24"/>
          <w:szCs w:val="24"/>
        </w:rPr>
        <w:t>。</w:t>
      </w:r>
    </w:p>
    <w:p w14:paraId="0C7249CC">
      <w:pPr>
        <w:keepNext w:val="0"/>
        <w:keepLines w:val="0"/>
        <w:pageBreakBefore w:val="0"/>
        <w:widowControl/>
        <w:kinsoku/>
        <w:wordWrap/>
        <w:overflowPunct/>
        <w:topLinePunct w:val="0"/>
        <w:autoSpaceDE w:val="0"/>
        <w:autoSpaceDN w:val="0"/>
        <w:bidi w:val="0"/>
        <w:adjustRightInd w:val="0"/>
        <w:snapToGrid w:val="0"/>
        <w:spacing w:line="360" w:lineRule="auto"/>
        <w:ind w:right="0" w:firstLine="538" w:firstLineChars="200"/>
        <w:jc w:val="left"/>
        <w:textAlignment w:val="baseline"/>
        <w:rPr>
          <w:rFonts w:hint="eastAsia" w:ascii="宋体" w:hAnsi="宋体" w:eastAsia="宋体" w:cs="宋体"/>
          <w:b/>
          <w:bCs/>
          <w:spacing w:val="14"/>
          <w:sz w:val="24"/>
          <w:szCs w:val="24"/>
        </w:rPr>
      </w:pPr>
      <w:r>
        <w:rPr>
          <w:rFonts w:hint="eastAsia" w:ascii="宋体" w:hAnsi="宋体" w:eastAsia="宋体" w:cs="宋体"/>
          <w:b/>
          <w:bCs/>
          <w:spacing w:val="14"/>
          <w:sz w:val="24"/>
          <w:szCs w:val="24"/>
        </w:rPr>
        <w:t>三</w:t>
      </w:r>
      <w:r>
        <w:rPr>
          <w:rFonts w:hint="eastAsia" w:ascii="宋体" w:hAnsi="宋体" w:eastAsia="宋体" w:cs="宋体"/>
          <w:b/>
          <w:bCs/>
          <w:spacing w:val="14"/>
          <w:sz w:val="24"/>
          <w:szCs w:val="24"/>
          <w:lang w:eastAsia="zh-CN"/>
        </w:rPr>
        <w:t>、</w:t>
      </w:r>
      <w:r>
        <w:rPr>
          <w:rFonts w:hint="eastAsia" w:ascii="宋体" w:hAnsi="宋体" w:cs="宋体"/>
          <w:b/>
          <w:bCs/>
          <w:spacing w:val="14"/>
          <w:sz w:val="24"/>
          <w:szCs w:val="24"/>
          <w:lang w:val="en-US" w:eastAsia="zh-CN"/>
        </w:rPr>
        <w:t>服务</w:t>
      </w:r>
      <w:r>
        <w:rPr>
          <w:rFonts w:hint="eastAsia" w:ascii="宋体" w:hAnsi="宋体" w:eastAsia="宋体" w:cs="宋体"/>
          <w:b/>
          <w:bCs/>
          <w:spacing w:val="14"/>
          <w:sz w:val="24"/>
          <w:szCs w:val="24"/>
        </w:rPr>
        <w:t>内容：</w:t>
      </w:r>
    </w:p>
    <w:p w14:paraId="1C2638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（一）北大街</w:t>
      </w:r>
      <w:r>
        <w:rPr>
          <w:rFonts w:hint="eastAsia" w:ascii="宋体" w:hAnsi="宋体" w:eastAsia="宋体" w:cs="宋体"/>
          <w:spacing w:val="14"/>
          <w:sz w:val="24"/>
          <w:szCs w:val="24"/>
        </w:rPr>
        <w:t>南院、北院</w:t>
      </w:r>
      <w:r>
        <w:rPr>
          <w:rFonts w:hint="eastAsia" w:ascii="宋体" w:hAnsi="宋体" w:eastAsia="宋体" w:cs="宋体"/>
          <w:spacing w:val="14"/>
          <w:sz w:val="24"/>
          <w:szCs w:val="24"/>
          <w:lang w:eastAsia="zh-CN"/>
        </w:rPr>
        <w:t>区</w:t>
      </w:r>
    </w:p>
    <w:p w14:paraId="24E5C62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1、技工组业务：</w:t>
      </w:r>
    </w:p>
    <w:p w14:paraId="506F60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①24小时值守。</w:t>
      </w:r>
    </w:p>
    <w:p w14:paraId="767AAC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②供排水设施的维修维护、卫生洁具、门窗及门窗帘、各类隔断、家具、锁具、吊顶、装饰等维修。</w:t>
      </w:r>
    </w:p>
    <w:p w14:paraId="7C2128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2、电工班业务：</w:t>
      </w:r>
    </w:p>
    <w:p w14:paraId="59E2F6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①24小时值守。</w:t>
      </w:r>
    </w:p>
    <w:p w14:paraId="2361A93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②电工班业务包括原医院电工组和变配电室的所有业务范围，即负责全院三座变配电室的操作、值守、维护、保养维修、完成配电室设备的继电保护及预防性耐压试验等工作。</w:t>
      </w:r>
    </w:p>
    <w:p w14:paraId="4DE60EB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3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③</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全院电路和电箱、配电间设备、全院灯具、插座、发光字、电子门禁、排气扇等小电器维修</w:t>
      </w:r>
      <w:r>
        <w:rPr>
          <w:rFonts w:hint="eastAsia" w:ascii="宋体" w:hAnsi="宋体" w:eastAsia="宋体" w:cs="宋体"/>
          <w:spacing w:val="14"/>
          <w:sz w:val="24"/>
          <w:szCs w:val="24"/>
          <w:lang w:eastAsia="zh-CN"/>
        </w:rPr>
        <w:t>、更换</w:t>
      </w:r>
      <w:r>
        <w:rPr>
          <w:rFonts w:hint="eastAsia" w:ascii="宋体" w:hAnsi="宋体" w:eastAsia="宋体" w:cs="宋体"/>
          <w:spacing w:val="14"/>
          <w:sz w:val="24"/>
          <w:szCs w:val="24"/>
        </w:rPr>
        <w:t>。</w:t>
      </w:r>
    </w:p>
    <w:p w14:paraId="479410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3、中央空调组</w:t>
      </w:r>
      <w:r>
        <w:rPr>
          <w:rFonts w:hint="eastAsia" w:ascii="宋体" w:hAnsi="宋体" w:eastAsia="宋体" w:cs="宋体"/>
          <w:spacing w:val="14"/>
          <w:sz w:val="24"/>
          <w:szCs w:val="24"/>
          <w:lang w:eastAsia="zh-CN"/>
        </w:rPr>
        <w:t>业务</w:t>
      </w:r>
      <w:r>
        <w:rPr>
          <w:rFonts w:hint="eastAsia" w:ascii="宋体" w:hAnsi="宋体" w:eastAsia="宋体" w:cs="宋体"/>
          <w:spacing w:val="14"/>
          <w:sz w:val="24"/>
          <w:szCs w:val="24"/>
        </w:rPr>
        <w:t>：</w:t>
      </w:r>
    </w:p>
    <w:p w14:paraId="1C02F2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①24小时值守。</w:t>
      </w:r>
    </w:p>
    <w:p w14:paraId="40E39B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②负责三座中央空调机房</w:t>
      </w:r>
      <w:r>
        <w:rPr>
          <w:rFonts w:hint="eastAsia" w:ascii="宋体" w:hAnsi="宋体" w:eastAsia="宋体" w:cs="宋体"/>
          <w:spacing w:val="14"/>
          <w:sz w:val="24"/>
          <w:szCs w:val="24"/>
          <w:lang w:eastAsia="zh-CN"/>
        </w:rPr>
        <w:t>设备</w:t>
      </w:r>
      <w:r>
        <w:rPr>
          <w:rFonts w:hint="eastAsia" w:ascii="宋体" w:hAnsi="宋体" w:eastAsia="宋体" w:cs="宋体"/>
          <w:spacing w:val="14"/>
          <w:sz w:val="24"/>
          <w:szCs w:val="24"/>
        </w:rPr>
        <w:t>及全院中央空调系统的操作、维护</w:t>
      </w:r>
      <w:r>
        <w:rPr>
          <w:rFonts w:hint="eastAsia" w:ascii="宋体" w:hAnsi="宋体" w:eastAsia="宋体" w:cs="宋体"/>
          <w:spacing w:val="14"/>
          <w:sz w:val="24"/>
          <w:szCs w:val="24"/>
          <w:lang w:eastAsia="zh-CN"/>
        </w:rPr>
        <w:t>保养</w:t>
      </w:r>
      <w:r>
        <w:rPr>
          <w:rFonts w:hint="eastAsia" w:ascii="宋体" w:hAnsi="宋体" w:eastAsia="宋体" w:cs="宋体"/>
          <w:spacing w:val="14"/>
          <w:sz w:val="24"/>
          <w:szCs w:val="24"/>
        </w:rPr>
        <w:t>、管理，集中供应式开水器、钢制连椅、走廊扶手、铁质护栏等的维修，二次供水设备的操作维护，钢制货架、防护网等维修，应急事件的抢险抢修（如停电时发电、跑水时抽水等）等工作。</w:t>
      </w:r>
    </w:p>
    <w:p w14:paraId="023CF92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p>
    <w:p w14:paraId="77740F2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lang w:eastAsia="zh-CN"/>
        </w:rPr>
        <w:t>净化层流组业务：</w:t>
      </w:r>
    </w:p>
    <w:p w14:paraId="462683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rPr>
        <w:t>净化组</w:t>
      </w:r>
      <w:r>
        <w:rPr>
          <w:rFonts w:hint="eastAsia" w:ascii="宋体" w:hAnsi="宋体" w:eastAsia="宋体" w:cs="宋体"/>
          <w:spacing w:val="14"/>
          <w:sz w:val="24"/>
          <w:szCs w:val="24"/>
          <w:lang w:eastAsia="zh-CN"/>
        </w:rPr>
        <w:t>层流包括</w:t>
      </w:r>
      <w:r>
        <w:rPr>
          <w:rFonts w:hint="eastAsia" w:ascii="宋体" w:hAnsi="宋体" w:eastAsia="宋体" w:cs="宋体"/>
          <w:spacing w:val="14"/>
          <w:sz w:val="24"/>
          <w:szCs w:val="24"/>
        </w:rPr>
        <w:t>洁净手术室、门诊手术室、血液层流室、压缩空气站、纯水机房、二氧化碳气站的管理、操作、维护、保养等日常工作</w:t>
      </w:r>
      <w:r>
        <w:rPr>
          <w:rFonts w:hint="eastAsia" w:ascii="宋体" w:hAnsi="宋体" w:eastAsia="宋体" w:cs="宋体"/>
          <w:spacing w:val="14"/>
          <w:sz w:val="24"/>
          <w:szCs w:val="24"/>
          <w:lang w:eastAsia="zh-CN"/>
        </w:rPr>
        <w:t>。</w:t>
      </w:r>
    </w:p>
    <w:tbl>
      <w:tblPr>
        <w:tblStyle w:val="6"/>
        <w:tblW w:w="9531" w:type="dxa"/>
        <w:tblInd w:w="-188" w:type="dxa"/>
        <w:tblLayout w:type="fixed"/>
        <w:tblCellMar>
          <w:top w:w="0" w:type="dxa"/>
          <w:left w:w="108" w:type="dxa"/>
          <w:bottom w:w="0" w:type="dxa"/>
          <w:right w:w="108" w:type="dxa"/>
        </w:tblCellMar>
      </w:tblPr>
      <w:tblGrid>
        <w:gridCol w:w="822"/>
        <w:gridCol w:w="1329"/>
        <w:gridCol w:w="2010"/>
        <w:gridCol w:w="2160"/>
        <w:gridCol w:w="3210"/>
      </w:tblGrid>
      <w:tr w14:paraId="28DFA7CF">
        <w:tblPrEx>
          <w:tblCellMar>
            <w:top w:w="0" w:type="dxa"/>
            <w:left w:w="108" w:type="dxa"/>
            <w:bottom w:w="0" w:type="dxa"/>
            <w:right w:w="108" w:type="dxa"/>
          </w:tblCellMar>
        </w:tblPrEx>
        <w:trPr>
          <w:trHeight w:val="362" w:hRule="atLeast"/>
        </w:trPr>
        <w:tc>
          <w:tcPr>
            <w:tcW w:w="9531" w:type="dxa"/>
            <w:gridSpan w:val="5"/>
            <w:tcBorders>
              <w:top w:val="single" w:color="auto" w:sz="4" w:space="0"/>
              <w:left w:val="single" w:color="auto" w:sz="4" w:space="0"/>
              <w:bottom w:val="single" w:color="auto" w:sz="4" w:space="0"/>
              <w:right w:val="single" w:color="auto" w:sz="4" w:space="0"/>
            </w:tcBorders>
            <w:noWrap/>
            <w:vAlign w:val="center"/>
          </w:tcPr>
          <w:p w14:paraId="6BBE92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洁净手术室维保维保清单</w:t>
            </w:r>
          </w:p>
        </w:tc>
      </w:tr>
      <w:tr w14:paraId="30C3A1B6">
        <w:tblPrEx>
          <w:tblCellMar>
            <w:top w:w="0" w:type="dxa"/>
            <w:left w:w="108" w:type="dxa"/>
            <w:bottom w:w="0" w:type="dxa"/>
            <w:right w:w="108" w:type="dxa"/>
          </w:tblCellMar>
        </w:tblPrEx>
        <w:trPr>
          <w:trHeight w:val="540" w:hRule="atLeast"/>
        </w:trPr>
        <w:tc>
          <w:tcPr>
            <w:tcW w:w="822" w:type="dxa"/>
            <w:tcBorders>
              <w:top w:val="single" w:color="auto" w:sz="4" w:space="0"/>
              <w:left w:val="single" w:color="auto" w:sz="4" w:space="0"/>
              <w:bottom w:val="single" w:color="auto" w:sz="4" w:space="0"/>
              <w:right w:val="single" w:color="auto" w:sz="4" w:space="0"/>
            </w:tcBorders>
            <w:noWrap/>
            <w:vAlign w:val="center"/>
          </w:tcPr>
          <w:p w14:paraId="2E40D980">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序号</w:t>
            </w:r>
          </w:p>
        </w:tc>
        <w:tc>
          <w:tcPr>
            <w:tcW w:w="1329" w:type="dxa"/>
            <w:tcBorders>
              <w:top w:val="single" w:color="auto" w:sz="4" w:space="0"/>
              <w:left w:val="nil"/>
              <w:bottom w:val="single" w:color="auto" w:sz="4" w:space="0"/>
              <w:right w:val="single" w:color="auto" w:sz="4" w:space="0"/>
            </w:tcBorders>
            <w:noWrap w:val="0"/>
            <w:vAlign w:val="center"/>
          </w:tcPr>
          <w:p w14:paraId="57F34DB3">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项目</w:t>
            </w:r>
          </w:p>
          <w:p w14:paraId="167573B4">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名称</w:t>
            </w:r>
          </w:p>
        </w:tc>
        <w:tc>
          <w:tcPr>
            <w:tcW w:w="2010" w:type="dxa"/>
            <w:tcBorders>
              <w:top w:val="single" w:color="auto" w:sz="4" w:space="0"/>
              <w:left w:val="nil"/>
              <w:bottom w:val="single" w:color="auto" w:sz="4" w:space="0"/>
              <w:right w:val="single" w:color="auto" w:sz="4" w:space="0"/>
            </w:tcBorders>
            <w:noWrap/>
            <w:vAlign w:val="center"/>
          </w:tcPr>
          <w:p w14:paraId="415DDC33">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位置/数量</w:t>
            </w:r>
          </w:p>
        </w:tc>
        <w:tc>
          <w:tcPr>
            <w:tcW w:w="2160" w:type="dxa"/>
            <w:tcBorders>
              <w:top w:val="single" w:color="auto" w:sz="4" w:space="0"/>
              <w:left w:val="nil"/>
              <w:bottom w:val="single" w:color="auto" w:sz="4" w:space="0"/>
              <w:right w:val="single" w:color="auto" w:sz="4" w:space="0"/>
            </w:tcBorders>
            <w:noWrap/>
            <w:vAlign w:val="center"/>
          </w:tcPr>
          <w:p w14:paraId="74F72A3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范围</w:t>
            </w:r>
          </w:p>
        </w:tc>
        <w:tc>
          <w:tcPr>
            <w:tcW w:w="3210" w:type="dxa"/>
            <w:tcBorders>
              <w:top w:val="single" w:color="auto" w:sz="4" w:space="0"/>
              <w:left w:val="nil"/>
              <w:bottom w:val="single" w:color="auto" w:sz="4" w:space="0"/>
              <w:right w:val="single" w:color="auto" w:sz="4" w:space="0"/>
            </w:tcBorders>
            <w:noWrap w:val="0"/>
            <w:vAlign w:val="center"/>
          </w:tcPr>
          <w:p w14:paraId="503B79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技术要求</w:t>
            </w:r>
          </w:p>
        </w:tc>
      </w:tr>
      <w:tr w14:paraId="148286A2">
        <w:tblPrEx>
          <w:tblCellMar>
            <w:top w:w="0" w:type="dxa"/>
            <w:left w:w="108" w:type="dxa"/>
            <w:bottom w:w="0" w:type="dxa"/>
            <w:right w:w="108" w:type="dxa"/>
          </w:tblCellMar>
        </w:tblPrEx>
        <w:trPr>
          <w:trHeight w:val="1128" w:hRule="atLeast"/>
        </w:trPr>
        <w:tc>
          <w:tcPr>
            <w:tcW w:w="822" w:type="dxa"/>
            <w:tcBorders>
              <w:top w:val="nil"/>
              <w:left w:val="single" w:color="auto" w:sz="4" w:space="0"/>
              <w:bottom w:val="single" w:color="auto" w:sz="4" w:space="0"/>
              <w:right w:val="single" w:color="auto" w:sz="4" w:space="0"/>
            </w:tcBorders>
            <w:noWrap/>
            <w:vAlign w:val="center"/>
          </w:tcPr>
          <w:p w14:paraId="70DD2B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w:t>
            </w:r>
          </w:p>
        </w:tc>
        <w:tc>
          <w:tcPr>
            <w:tcW w:w="1329" w:type="dxa"/>
            <w:tcBorders>
              <w:top w:val="nil"/>
              <w:left w:val="nil"/>
              <w:bottom w:val="single" w:color="auto" w:sz="4" w:space="0"/>
              <w:right w:val="single" w:color="auto" w:sz="4" w:space="0"/>
            </w:tcBorders>
            <w:noWrap w:val="0"/>
            <w:vAlign w:val="center"/>
          </w:tcPr>
          <w:p w14:paraId="09EE9549">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装饰维护修缮</w:t>
            </w:r>
          </w:p>
        </w:tc>
        <w:tc>
          <w:tcPr>
            <w:tcW w:w="2010" w:type="dxa"/>
            <w:tcBorders>
              <w:top w:val="single" w:color="auto" w:sz="4" w:space="0"/>
              <w:left w:val="nil"/>
              <w:bottom w:val="single" w:color="auto" w:sz="4" w:space="0"/>
              <w:right w:val="single" w:color="auto" w:sz="4" w:space="0"/>
            </w:tcBorders>
            <w:noWrap/>
            <w:vAlign w:val="center"/>
          </w:tcPr>
          <w:p w14:paraId="00F8549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门诊洁净手术区、手术楼6层手术区</w:t>
            </w:r>
          </w:p>
        </w:tc>
        <w:tc>
          <w:tcPr>
            <w:tcW w:w="2160" w:type="dxa"/>
            <w:tcBorders>
              <w:top w:val="single" w:color="auto" w:sz="4" w:space="0"/>
              <w:left w:val="nil"/>
              <w:bottom w:val="single" w:color="auto" w:sz="4" w:space="0"/>
              <w:right w:val="single" w:color="auto" w:sz="4" w:space="0"/>
            </w:tcBorders>
            <w:noWrap/>
            <w:vAlign w:val="center"/>
          </w:tcPr>
          <w:p w14:paraId="14812CD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包含墙、地、顶、门、窗、柜等</w:t>
            </w:r>
          </w:p>
        </w:tc>
        <w:tc>
          <w:tcPr>
            <w:tcW w:w="3210" w:type="dxa"/>
            <w:tcBorders>
              <w:top w:val="nil"/>
              <w:left w:val="nil"/>
              <w:bottom w:val="single" w:color="auto" w:sz="4" w:space="0"/>
              <w:right w:val="single" w:color="auto" w:sz="4" w:space="0"/>
            </w:tcBorders>
            <w:noWrap w:val="0"/>
            <w:vAlign w:val="center"/>
          </w:tcPr>
          <w:p w14:paraId="4C546E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定期检查维护，接到医院维修要求后1小时内到达现场，24小时内修复。</w:t>
            </w:r>
          </w:p>
        </w:tc>
      </w:tr>
      <w:tr w14:paraId="3A678AFD">
        <w:tblPrEx>
          <w:tblCellMar>
            <w:top w:w="0" w:type="dxa"/>
            <w:left w:w="108" w:type="dxa"/>
            <w:bottom w:w="0" w:type="dxa"/>
            <w:right w:w="108" w:type="dxa"/>
          </w:tblCellMar>
        </w:tblPrEx>
        <w:trPr>
          <w:trHeight w:val="540" w:hRule="atLeast"/>
        </w:trPr>
        <w:tc>
          <w:tcPr>
            <w:tcW w:w="822" w:type="dxa"/>
            <w:tcBorders>
              <w:top w:val="nil"/>
              <w:left w:val="single" w:color="auto" w:sz="4" w:space="0"/>
              <w:bottom w:val="single" w:color="auto" w:sz="4" w:space="0"/>
              <w:right w:val="single" w:color="auto" w:sz="4" w:space="0"/>
            </w:tcBorders>
            <w:noWrap/>
            <w:vAlign w:val="center"/>
          </w:tcPr>
          <w:p w14:paraId="4FC232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1329" w:type="dxa"/>
            <w:tcBorders>
              <w:top w:val="nil"/>
              <w:left w:val="nil"/>
              <w:bottom w:val="single" w:color="auto" w:sz="4" w:space="0"/>
              <w:right w:val="single" w:color="auto" w:sz="4" w:space="0"/>
            </w:tcBorders>
            <w:noWrap w:val="0"/>
            <w:vAlign w:val="center"/>
          </w:tcPr>
          <w:p w14:paraId="5B497F7D">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净化空调机组</w:t>
            </w:r>
          </w:p>
        </w:tc>
        <w:tc>
          <w:tcPr>
            <w:tcW w:w="2010" w:type="dxa"/>
            <w:tcBorders>
              <w:top w:val="single" w:color="auto" w:sz="4" w:space="0"/>
              <w:left w:val="nil"/>
              <w:bottom w:val="single" w:color="auto" w:sz="4" w:space="0"/>
              <w:right w:val="single" w:color="auto" w:sz="4" w:space="0"/>
            </w:tcBorders>
            <w:noWrap/>
            <w:vAlign w:val="center"/>
          </w:tcPr>
          <w:p w14:paraId="24B9FD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23台</w:t>
            </w:r>
          </w:p>
        </w:tc>
        <w:tc>
          <w:tcPr>
            <w:tcW w:w="2160" w:type="dxa"/>
            <w:tcBorders>
              <w:top w:val="single" w:color="auto" w:sz="4" w:space="0"/>
              <w:left w:val="nil"/>
              <w:bottom w:val="single" w:color="auto" w:sz="4" w:space="0"/>
              <w:right w:val="single" w:color="auto" w:sz="4" w:space="0"/>
            </w:tcBorders>
            <w:noWrap/>
            <w:vAlign w:val="center"/>
          </w:tcPr>
          <w:p w14:paraId="5CA151E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定期加脂、维修保养、调整</w:t>
            </w:r>
            <w:r>
              <w:rPr>
                <w:rFonts w:hint="eastAsia" w:ascii="宋体" w:hAnsi="宋体" w:eastAsia="宋体" w:cs="宋体"/>
                <w:spacing w:val="14"/>
                <w:sz w:val="21"/>
                <w:szCs w:val="21"/>
                <w:lang w:eastAsia="zh-CN"/>
              </w:rPr>
              <w:t>、漏风检测</w:t>
            </w:r>
            <w:r>
              <w:rPr>
                <w:rFonts w:hint="eastAsia" w:ascii="宋体" w:hAnsi="宋体" w:eastAsia="宋体" w:cs="宋体"/>
                <w:spacing w:val="14"/>
                <w:sz w:val="21"/>
                <w:szCs w:val="21"/>
              </w:rPr>
              <w:t>等</w:t>
            </w:r>
          </w:p>
        </w:tc>
        <w:tc>
          <w:tcPr>
            <w:tcW w:w="3210" w:type="dxa"/>
            <w:tcBorders>
              <w:top w:val="nil"/>
              <w:left w:val="nil"/>
              <w:bottom w:val="single" w:color="auto" w:sz="4" w:space="0"/>
              <w:right w:val="single" w:color="auto" w:sz="4" w:space="0"/>
            </w:tcBorders>
            <w:noWrap w:val="0"/>
            <w:vAlign w:val="center"/>
          </w:tcPr>
          <w:p w14:paraId="5007B8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定期检查维护，接到医院维修要求后1小时内到达现场，24小时内修复。</w:t>
            </w:r>
          </w:p>
        </w:tc>
      </w:tr>
      <w:tr w14:paraId="626231F7">
        <w:tblPrEx>
          <w:tblCellMar>
            <w:top w:w="0" w:type="dxa"/>
            <w:left w:w="108" w:type="dxa"/>
            <w:bottom w:w="0" w:type="dxa"/>
            <w:right w:w="108" w:type="dxa"/>
          </w:tblCellMar>
        </w:tblPrEx>
        <w:trPr>
          <w:trHeight w:val="540" w:hRule="atLeast"/>
        </w:trPr>
        <w:tc>
          <w:tcPr>
            <w:tcW w:w="822" w:type="dxa"/>
            <w:tcBorders>
              <w:top w:val="nil"/>
              <w:left w:val="single" w:color="auto" w:sz="4" w:space="0"/>
              <w:bottom w:val="single" w:color="auto" w:sz="4" w:space="0"/>
              <w:right w:val="single" w:color="auto" w:sz="4" w:space="0"/>
            </w:tcBorders>
            <w:noWrap/>
            <w:vAlign w:val="center"/>
          </w:tcPr>
          <w:p w14:paraId="39B858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w:t>
            </w:r>
          </w:p>
        </w:tc>
        <w:tc>
          <w:tcPr>
            <w:tcW w:w="1329" w:type="dxa"/>
            <w:tcBorders>
              <w:top w:val="nil"/>
              <w:left w:val="nil"/>
              <w:bottom w:val="single" w:color="auto" w:sz="4" w:space="0"/>
              <w:right w:val="single" w:color="auto" w:sz="4" w:space="0"/>
            </w:tcBorders>
            <w:noWrap w:val="0"/>
            <w:vAlign w:val="center"/>
          </w:tcPr>
          <w:p w14:paraId="2E586462">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净化系统</w:t>
            </w:r>
          </w:p>
        </w:tc>
        <w:tc>
          <w:tcPr>
            <w:tcW w:w="2010" w:type="dxa"/>
            <w:tcBorders>
              <w:top w:val="single" w:color="auto" w:sz="4" w:space="0"/>
              <w:left w:val="nil"/>
              <w:bottom w:val="single" w:color="auto" w:sz="4" w:space="0"/>
              <w:right w:val="single" w:color="auto" w:sz="4" w:space="0"/>
            </w:tcBorders>
            <w:noWrap/>
            <w:vAlign w:val="center"/>
          </w:tcPr>
          <w:p w14:paraId="65A530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门诊洁净手术区、手术楼6层手术室及5层辅房</w:t>
            </w:r>
          </w:p>
        </w:tc>
        <w:tc>
          <w:tcPr>
            <w:tcW w:w="2160" w:type="dxa"/>
            <w:tcBorders>
              <w:top w:val="single" w:color="auto" w:sz="4" w:space="0"/>
              <w:left w:val="nil"/>
              <w:bottom w:val="single" w:color="auto" w:sz="4" w:space="0"/>
              <w:right w:val="single" w:color="auto" w:sz="4" w:space="0"/>
            </w:tcBorders>
            <w:noWrap/>
            <w:vAlign w:val="center"/>
          </w:tcPr>
          <w:p w14:paraId="5C5F8B1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定期维护、调整、检测</w:t>
            </w:r>
          </w:p>
        </w:tc>
        <w:tc>
          <w:tcPr>
            <w:tcW w:w="3210" w:type="dxa"/>
            <w:tcBorders>
              <w:top w:val="nil"/>
              <w:left w:val="nil"/>
              <w:bottom w:val="single" w:color="auto" w:sz="4" w:space="0"/>
              <w:right w:val="single" w:color="auto" w:sz="4" w:space="0"/>
            </w:tcBorders>
            <w:noWrap w:val="0"/>
            <w:vAlign w:val="center"/>
          </w:tcPr>
          <w:p w14:paraId="4264AF8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净化区域内过滤器，检查出风量及漏风情况。</w:t>
            </w:r>
          </w:p>
        </w:tc>
      </w:tr>
      <w:tr w14:paraId="54DF0B91">
        <w:tblPrEx>
          <w:tblCellMar>
            <w:top w:w="0" w:type="dxa"/>
            <w:left w:w="108" w:type="dxa"/>
            <w:bottom w:w="0" w:type="dxa"/>
            <w:right w:w="108" w:type="dxa"/>
          </w:tblCellMar>
        </w:tblPrEx>
        <w:trPr>
          <w:trHeight w:val="540" w:hRule="atLeast"/>
        </w:trPr>
        <w:tc>
          <w:tcPr>
            <w:tcW w:w="822" w:type="dxa"/>
            <w:tcBorders>
              <w:top w:val="nil"/>
              <w:left w:val="single" w:color="auto" w:sz="4" w:space="0"/>
              <w:bottom w:val="single" w:color="auto" w:sz="4" w:space="0"/>
              <w:right w:val="single" w:color="auto" w:sz="4" w:space="0"/>
            </w:tcBorders>
            <w:noWrap/>
            <w:vAlign w:val="center"/>
          </w:tcPr>
          <w:p w14:paraId="4351C5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w:t>
            </w:r>
          </w:p>
        </w:tc>
        <w:tc>
          <w:tcPr>
            <w:tcW w:w="1329" w:type="dxa"/>
            <w:tcBorders>
              <w:top w:val="nil"/>
              <w:left w:val="nil"/>
              <w:bottom w:val="single" w:color="auto" w:sz="4" w:space="0"/>
              <w:right w:val="single" w:color="auto" w:sz="4" w:space="0"/>
            </w:tcBorders>
            <w:noWrap w:val="0"/>
            <w:vAlign w:val="center"/>
          </w:tcPr>
          <w:p w14:paraId="59A0DBD8">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中央空调系统</w:t>
            </w:r>
          </w:p>
        </w:tc>
        <w:tc>
          <w:tcPr>
            <w:tcW w:w="2010" w:type="dxa"/>
            <w:tcBorders>
              <w:top w:val="single" w:color="auto" w:sz="4" w:space="0"/>
              <w:left w:val="nil"/>
              <w:bottom w:val="single" w:color="auto" w:sz="4" w:space="0"/>
              <w:right w:val="single" w:color="auto" w:sz="4" w:space="0"/>
            </w:tcBorders>
            <w:noWrap/>
            <w:vAlign w:val="center"/>
          </w:tcPr>
          <w:p w14:paraId="125874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eastAsia="zh-CN"/>
              </w:rPr>
              <w:t>三</w:t>
            </w:r>
            <w:r>
              <w:rPr>
                <w:rFonts w:hint="eastAsia" w:ascii="宋体" w:hAnsi="宋体" w:eastAsia="宋体" w:cs="宋体"/>
                <w:spacing w:val="14"/>
                <w:sz w:val="21"/>
                <w:szCs w:val="21"/>
              </w:rPr>
              <w:t>套</w:t>
            </w:r>
          </w:p>
        </w:tc>
        <w:tc>
          <w:tcPr>
            <w:tcW w:w="2160" w:type="dxa"/>
            <w:tcBorders>
              <w:top w:val="single" w:color="auto" w:sz="4" w:space="0"/>
              <w:left w:val="nil"/>
              <w:bottom w:val="single" w:color="auto" w:sz="4" w:space="0"/>
              <w:right w:val="single" w:color="auto" w:sz="4" w:space="0"/>
            </w:tcBorders>
            <w:noWrap w:val="0"/>
            <w:vAlign w:val="center"/>
          </w:tcPr>
          <w:p w14:paraId="2262E2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空调主机及所有循环水泵及室内外管道等维护保养</w:t>
            </w:r>
          </w:p>
        </w:tc>
        <w:tc>
          <w:tcPr>
            <w:tcW w:w="3210" w:type="dxa"/>
            <w:tcBorders>
              <w:top w:val="nil"/>
              <w:left w:val="nil"/>
              <w:bottom w:val="single" w:color="auto" w:sz="4" w:space="0"/>
              <w:right w:val="single" w:color="auto" w:sz="4" w:space="0"/>
            </w:tcBorders>
            <w:noWrap w:val="0"/>
            <w:vAlign w:val="center"/>
          </w:tcPr>
          <w:p w14:paraId="093F6D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定期检查维护，出现故障和问题后，24小时内解决</w:t>
            </w:r>
            <w:r>
              <w:rPr>
                <w:rFonts w:hint="eastAsia" w:ascii="宋体" w:hAnsi="宋体" w:cs="宋体"/>
                <w:spacing w:val="14"/>
                <w:sz w:val="21"/>
                <w:szCs w:val="21"/>
                <w:lang w:eastAsia="zh-CN"/>
              </w:rPr>
              <w:t>。</w:t>
            </w:r>
            <w:r>
              <w:rPr>
                <w:rFonts w:hint="eastAsia" w:ascii="宋体" w:hAnsi="宋体" w:eastAsia="宋体" w:cs="宋体"/>
                <w:spacing w:val="14"/>
                <w:sz w:val="21"/>
                <w:szCs w:val="21"/>
                <w:lang w:eastAsia="zh-CN"/>
              </w:rPr>
              <w:t>（</w:t>
            </w:r>
            <w:r>
              <w:rPr>
                <w:rFonts w:hint="eastAsia" w:ascii="宋体" w:hAnsi="宋体" w:cs="宋体"/>
                <w:spacing w:val="14"/>
                <w:sz w:val="21"/>
                <w:szCs w:val="21"/>
                <w:lang w:val="en-US" w:eastAsia="zh-CN"/>
              </w:rPr>
              <w:t>更</w:t>
            </w:r>
            <w:r>
              <w:rPr>
                <w:rFonts w:hint="eastAsia" w:ascii="宋体" w:hAnsi="宋体" w:eastAsia="宋体" w:cs="宋体"/>
                <w:spacing w:val="14"/>
                <w:sz w:val="21"/>
                <w:szCs w:val="21"/>
                <w:lang w:eastAsia="zh-CN"/>
              </w:rPr>
              <w:t>换冷媒、冷冻机油）</w:t>
            </w:r>
            <w:r>
              <w:rPr>
                <w:rFonts w:hint="eastAsia" w:ascii="宋体" w:hAnsi="宋体" w:eastAsia="宋体" w:cs="宋体"/>
                <w:spacing w:val="14"/>
                <w:sz w:val="21"/>
                <w:szCs w:val="21"/>
              </w:rPr>
              <w:t>。</w:t>
            </w:r>
          </w:p>
        </w:tc>
      </w:tr>
      <w:tr w14:paraId="234958AD">
        <w:tblPrEx>
          <w:tblCellMar>
            <w:top w:w="0" w:type="dxa"/>
            <w:left w:w="108" w:type="dxa"/>
            <w:bottom w:w="0" w:type="dxa"/>
            <w:right w:w="108" w:type="dxa"/>
          </w:tblCellMar>
        </w:tblPrEx>
        <w:trPr>
          <w:trHeight w:val="540" w:hRule="atLeast"/>
        </w:trPr>
        <w:tc>
          <w:tcPr>
            <w:tcW w:w="822" w:type="dxa"/>
            <w:tcBorders>
              <w:top w:val="nil"/>
              <w:left w:val="single" w:color="auto" w:sz="4" w:space="0"/>
              <w:bottom w:val="single" w:color="auto" w:sz="4" w:space="0"/>
              <w:right w:val="single" w:color="auto" w:sz="4" w:space="0"/>
            </w:tcBorders>
            <w:noWrap/>
            <w:vAlign w:val="center"/>
          </w:tcPr>
          <w:p w14:paraId="6624FB5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w:t>
            </w:r>
          </w:p>
        </w:tc>
        <w:tc>
          <w:tcPr>
            <w:tcW w:w="1329" w:type="dxa"/>
            <w:tcBorders>
              <w:top w:val="nil"/>
              <w:left w:val="nil"/>
              <w:bottom w:val="single" w:color="auto" w:sz="4" w:space="0"/>
              <w:right w:val="single" w:color="auto" w:sz="4" w:space="0"/>
            </w:tcBorders>
            <w:noWrap w:val="0"/>
            <w:vAlign w:val="center"/>
          </w:tcPr>
          <w:p w14:paraId="4B105F11">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水、电设施</w:t>
            </w:r>
          </w:p>
        </w:tc>
        <w:tc>
          <w:tcPr>
            <w:tcW w:w="2010" w:type="dxa"/>
            <w:tcBorders>
              <w:top w:val="single" w:color="auto" w:sz="4" w:space="0"/>
              <w:left w:val="nil"/>
              <w:bottom w:val="single" w:color="auto" w:sz="4" w:space="0"/>
              <w:right w:val="single" w:color="000000" w:sz="4" w:space="0"/>
            </w:tcBorders>
            <w:noWrap w:val="0"/>
            <w:vAlign w:val="center"/>
          </w:tcPr>
          <w:p w14:paraId="0A869A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门诊洁净手术区及5层机房、配电间、手术楼6层手术区及7层机房等水电设施</w:t>
            </w:r>
          </w:p>
        </w:tc>
        <w:tc>
          <w:tcPr>
            <w:tcW w:w="2160" w:type="dxa"/>
            <w:tcBorders>
              <w:top w:val="single" w:color="auto" w:sz="4" w:space="0"/>
              <w:left w:val="nil"/>
              <w:bottom w:val="single" w:color="auto" w:sz="4" w:space="0"/>
              <w:right w:val="single" w:color="auto" w:sz="4" w:space="0"/>
            </w:tcBorders>
            <w:noWrap w:val="0"/>
            <w:vAlign w:val="center"/>
          </w:tcPr>
          <w:p w14:paraId="6BDD2A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各类水池、电动门、控制柜（箱）、配电柜、配电和给排水等设施设备、线路、管路维护修缮。</w:t>
            </w:r>
          </w:p>
        </w:tc>
        <w:tc>
          <w:tcPr>
            <w:tcW w:w="3210" w:type="dxa"/>
            <w:tcBorders>
              <w:top w:val="nil"/>
              <w:left w:val="nil"/>
              <w:bottom w:val="single" w:color="auto" w:sz="4" w:space="0"/>
              <w:right w:val="single" w:color="auto" w:sz="4" w:space="0"/>
            </w:tcBorders>
            <w:noWrap w:val="0"/>
            <w:vAlign w:val="center"/>
          </w:tcPr>
          <w:p w14:paraId="3D8D10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定期检查维护，接到医院维修要求后1小时内到达现场，24小时内修复。</w:t>
            </w:r>
          </w:p>
        </w:tc>
      </w:tr>
      <w:tr w14:paraId="52F3A87E">
        <w:tblPrEx>
          <w:tblCellMar>
            <w:top w:w="0" w:type="dxa"/>
            <w:left w:w="108" w:type="dxa"/>
            <w:bottom w:w="0" w:type="dxa"/>
            <w:right w:w="108" w:type="dxa"/>
          </w:tblCellMar>
        </w:tblPrEx>
        <w:trPr>
          <w:trHeight w:val="540" w:hRule="atLeast"/>
        </w:trPr>
        <w:tc>
          <w:tcPr>
            <w:tcW w:w="822" w:type="dxa"/>
            <w:tcBorders>
              <w:top w:val="nil"/>
              <w:left w:val="single" w:color="auto" w:sz="4" w:space="0"/>
              <w:bottom w:val="single" w:color="auto" w:sz="4" w:space="0"/>
              <w:right w:val="single" w:color="auto" w:sz="4" w:space="0"/>
            </w:tcBorders>
            <w:noWrap/>
            <w:vAlign w:val="center"/>
          </w:tcPr>
          <w:p w14:paraId="67986C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w:t>
            </w:r>
          </w:p>
        </w:tc>
        <w:tc>
          <w:tcPr>
            <w:tcW w:w="1329" w:type="dxa"/>
            <w:tcBorders>
              <w:top w:val="nil"/>
              <w:left w:val="nil"/>
              <w:bottom w:val="single" w:color="auto" w:sz="4" w:space="0"/>
              <w:right w:val="single" w:color="auto" w:sz="4" w:space="0"/>
            </w:tcBorders>
            <w:noWrap w:val="0"/>
            <w:vAlign w:val="center"/>
          </w:tcPr>
          <w:p w14:paraId="554D33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自控系统</w:t>
            </w:r>
          </w:p>
        </w:tc>
        <w:tc>
          <w:tcPr>
            <w:tcW w:w="2010" w:type="dxa"/>
            <w:tcBorders>
              <w:top w:val="single" w:color="auto" w:sz="4" w:space="0"/>
              <w:left w:val="nil"/>
              <w:bottom w:val="single" w:color="auto" w:sz="4" w:space="0"/>
              <w:right w:val="single" w:color="auto" w:sz="4" w:space="0"/>
            </w:tcBorders>
            <w:noWrap/>
            <w:vAlign w:val="center"/>
          </w:tcPr>
          <w:p w14:paraId="771C534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门诊洁净手术室、洁净手术部</w:t>
            </w:r>
          </w:p>
        </w:tc>
        <w:tc>
          <w:tcPr>
            <w:tcW w:w="2160" w:type="dxa"/>
            <w:tcBorders>
              <w:top w:val="single" w:color="auto" w:sz="4" w:space="0"/>
              <w:left w:val="nil"/>
              <w:bottom w:val="single" w:color="auto" w:sz="4" w:space="0"/>
              <w:right w:val="single" w:color="auto" w:sz="4" w:space="0"/>
            </w:tcBorders>
            <w:noWrap w:val="0"/>
            <w:vAlign w:val="center"/>
          </w:tcPr>
          <w:p w14:paraId="257C661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中央控制、呼叫、报警、监控系统及附属设备的维护维修。</w:t>
            </w:r>
          </w:p>
        </w:tc>
        <w:tc>
          <w:tcPr>
            <w:tcW w:w="3210" w:type="dxa"/>
            <w:tcBorders>
              <w:top w:val="nil"/>
              <w:left w:val="nil"/>
              <w:bottom w:val="single" w:color="auto" w:sz="4" w:space="0"/>
              <w:right w:val="single" w:color="auto" w:sz="4" w:space="0"/>
            </w:tcBorders>
            <w:noWrap w:val="0"/>
            <w:vAlign w:val="center"/>
          </w:tcPr>
          <w:p w14:paraId="37B1AF6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定期检查维护，出现故障和问题后，24小时内解决。</w:t>
            </w:r>
          </w:p>
        </w:tc>
      </w:tr>
      <w:tr w14:paraId="34E5484C">
        <w:tblPrEx>
          <w:tblCellMar>
            <w:top w:w="0" w:type="dxa"/>
            <w:left w:w="108" w:type="dxa"/>
            <w:bottom w:w="0" w:type="dxa"/>
            <w:right w:w="108" w:type="dxa"/>
          </w:tblCellMar>
        </w:tblPrEx>
        <w:trPr>
          <w:trHeight w:val="810" w:hRule="atLeast"/>
        </w:trPr>
        <w:tc>
          <w:tcPr>
            <w:tcW w:w="822" w:type="dxa"/>
            <w:tcBorders>
              <w:top w:val="nil"/>
              <w:left w:val="single" w:color="auto" w:sz="4" w:space="0"/>
              <w:bottom w:val="single" w:color="auto" w:sz="4" w:space="0"/>
              <w:right w:val="single" w:color="auto" w:sz="4" w:space="0"/>
            </w:tcBorders>
            <w:noWrap/>
            <w:vAlign w:val="center"/>
          </w:tcPr>
          <w:p w14:paraId="55EEEE9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7</w:t>
            </w:r>
          </w:p>
        </w:tc>
        <w:tc>
          <w:tcPr>
            <w:tcW w:w="1329" w:type="dxa"/>
            <w:tcBorders>
              <w:top w:val="nil"/>
              <w:left w:val="nil"/>
              <w:bottom w:val="single" w:color="auto" w:sz="4" w:space="0"/>
              <w:right w:val="single" w:color="auto" w:sz="4" w:space="0"/>
            </w:tcBorders>
            <w:noWrap w:val="0"/>
            <w:vAlign w:val="center"/>
          </w:tcPr>
          <w:p w14:paraId="65FD53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全面检测</w:t>
            </w:r>
          </w:p>
        </w:tc>
        <w:tc>
          <w:tcPr>
            <w:tcW w:w="2010" w:type="dxa"/>
            <w:tcBorders>
              <w:top w:val="single" w:color="auto" w:sz="4" w:space="0"/>
              <w:left w:val="nil"/>
              <w:bottom w:val="single" w:color="auto" w:sz="4" w:space="0"/>
              <w:right w:val="single" w:color="auto" w:sz="4" w:space="0"/>
            </w:tcBorders>
            <w:noWrap/>
            <w:vAlign w:val="center"/>
          </w:tcPr>
          <w:p w14:paraId="371D9C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门诊洁净手术室、洁净手术部</w:t>
            </w:r>
          </w:p>
        </w:tc>
        <w:tc>
          <w:tcPr>
            <w:tcW w:w="2160" w:type="dxa"/>
            <w:tcBorders>
              <w:top w:val="single" w:color="auto" w:sz="4" w:space="0"/>
              <w:left w:val="nil"/>
              <w:bottom w:val="single" w:color="auto" w:sz="4" w:space="0"/>
              <w:right w:val="single" w:color="auto" w:sz="4" w:space="0"/>
            </w:tcBorders>
            <w:noWrap w:val="0"/>
            <w:vAlign w:val="center"/>
          </w:tcPr>
          <w:p w14:paraId="018440B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需按照国家有关规定，聘请具备相关资质的检测单位，于合同签订后壹月内和维保结束前壹月内各进行一次全面检测，并出具合格的检测报告。（费用由维保单位承担）</w:t>
            </w:r>
          </w:p>
        </w:tc>
        <w:tc>
          <w:tcPr>
            <w:tcW w:w="3210" w:type="dxa"/>
            <w:tcBorders>
              <w:top w:val="nil"/>
              <w:left w:val="nil"/>
              <w:bottom w:val="single" w:color="auto" w:sz="4" w:space="0"/>
              <w:right w:val="single" w:color="auto" w:sz="4" w:space="0"/>
            </w:tcBorders>
            <w:noWrap w:val="0"/>
            <w:vAlign w:val="center"/>
          </w:tcPr>
          <w:p w14:paraId="1D3136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检测项目需含风速、风压、风量、沉降菌、洁净度（粒子数）、照度、温湿度、噪声等。</w:t>
            </w:r>
          </w:p>
        </w:tc>
      </w:tr>
    </w:tbl>
    <w:p w14:paraId="5911A768">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①</w:t>
      </w:r>
      <w:r>
        <w:rPr>
          <w:rFonts w:hint="eastAsia" w:ascii="宋体" w:hAnsi="宋体" w:eastAsia="宋体" w:cs="宋体"/>
          <w:spacing w:val="14"/>
          <w:sz w:val="24"/>
          <w:szCs w:val="24"/>
          <w:lang w:eastAsia="zh-CN"/>
        </w:rPr>
        <w:t>手术室五楼半洁净区域的监控设施维护保养、六台监控设备维护、维修、换灯等日常修缮。</w:t>
      </w:r>
    </w:p>
    <w:p w14:paraId="29034D2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对手术室内的回风（每周一次）、排风（每月一次）、过滤器进行清洗消毒。</w:t>
      </w:r>
    </w:p>
    <w:p w14:paraId="5C8808B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室内照明灯具、门（含电动门）、窗、柜、地、墙、顶等维修和各类水路、水池（含自动刷手池）的维修</w:t>
      </w:r>
      <w:r>
        <w:rPr>
          <w:rFonts w:hint="eastAsia" w:ascii="宋体" w:hAnsi="宋体" w:eastAsia="宋体" w:cs="宋体"/>
          <w:spacing w:val="14"/>
          <w:sz w:val="24"/>
          <w:szCs w:val="24"/>
          <w:lang w:eastAsia="zh-CN"/>
        </w:rPr>
        <w:t>及灯具更换</w:t>
      </w:r>
      <w:r>
        <w:rPr>
          <w:rFonts w:hint="eastAsia" w:ascii="宋体" w:hAnsi="宋体" w:eastAsia="宋体" w:cs="宋体"/>
          <w:spacing w:val="14"/>
          <w:sz w:val="24"/>
          <w:szCs w:val="24"/>
        </w:rPr>
        <w:t>。</w:t>
      </w:r>
    </w:p>
    <w:p w14:paraId="4CEC06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净化系统的</w:t>
      </w:r>
      <w:r>
        <w:rPr>
          <w:rFonts w:hint="eastAsia" w:ascii="宋体" w:hAnsi="宋体" w:eastAsia="宋体" w:cs="宋体"/>
          <w:spacing w:val="14"/>
          <w:sz w:val="24"/>
          <w:szCs w:val="24"/>
          <w:lang w:eastAsia="zh-CN"/>
        </w:rPr>
        <w:t>操作、</w:t>
      </w:r>
      <w:r>
        <w:rPr>
          <w:rFonts w:hint="eastAsia" w:ascii="宋体" w:hAnsi="宋体" w:eastAsia="宋体" w:cs="宋体"/>
          <w:spacing w:val="14"/>
          <w:sz w:val="24"/>
          <w:szCs w:val="24"/>
        </w:rPr>
        <w:t>维护</w:t>
      </w:r>
      <w:r>
        <w:rPr>
          <w:rFonts w:hint="eastAsia" w:ascii="宋体" w:hAnsi="宋体" w:eastAsia="宋体" w:cs="宋体"/>
          <w:spacing w:val="14"/>
          <w:sz w:val="24"/>
          <w:szCs w:val="24"/>
          <w:lang w:eastAsia="zh-CN"/>
        </w:rPr>
        <w:t>、保养</w:t>
      </w:r>
      <w:r>
        <w:rPr>
          <w:rFonts w:hint="eastAsia" w:ascii="宋体" w:hAnsi="宋体" w:eastAsia="宋体" w:cs="宋体"/>
          <w:spacing w:val="14"/>
          <w:sz w:val="24"/>
          <w:szCs w:val="24"/>
        </w:rPr>
        <w:t>。</w:t>
      </w:r>
    </w:p>
    <w:p w14:paraId="67A973F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20台净化机组的清洗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消毒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lang w:val="en-US" w:eastAsia="zh-CN"/>
        </w:rPr>
        <w:t>2周1次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。初（1－2次/周）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中（15天－1个月1次）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亚高（1－3个月1次）</w:t>
      </w:r>
      <w:r>
        <w:rPr>
          <w:rFonts w:hint="eastAsia" w:ascii="宋体" w:hAnsi="宋体" w:eastAsia="宋体" w:cs="宋体"/>
          <w:spacing w:val="14"/>
          <w:sz w:val="24"/>
          <w:szCs w:val="24"/>
          <w:lang w:eastAsia="zh-CN"/>
        </w:rPr>
        <w:t>等各效空气净化过滤器</w:t>
      </w:r>
      <w:r>
        <w:rPr>
          <w:rFonts w:hint="eastAsia" w:ascii="宋体" w:hAnsi="宋体" w:eastAsia="宋体" w:cs="宋体"/>
          <w:spacing w:val="14"/>
          <w:sz w:val="24"/>
          <w:szCs w:val="24"/>
        </w:rPr>
        <w:t>的清洗消毒</w:t>
      </w:r>
      <w:r>
        <w:rPr>
          <w:rFonts w:hint="eastAsia" w:ascii="宋体" w:hAnsi="宋体" w:cs="宋体"/>
          <w:spacing w:val="14"/>
          <w:sz w:val="24"/>
          <w:szCs w:val="24"/>
          <w:lang w:eastAsia="zh-CN"/>
        </w:rPr>
        <w:t>检查</w:t>
      </w:r>
      <w:r>
        <w:rPr>
          <w:rFonts w:hint="eastAsia" w:ascii="宋体" w:hAnsi="宋体" w:eastAsia="宋体" w:cs="宋体"/>
          <w:spacing w:val="14"/>
          <w:sz w:val="24"/>
          <w:szCs w:val="24"/>
        </w:rPr>
        <w:t>等。</w:t>
      </w:r>
    </w:p>
    <w:p w14:paraId="24AC09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室内层流天花</w:t>
      </w:r>
      <w:r>
        <w:rPr>
          <w:rFonts w:hint="eastAsia" w:ascii="宋体" w:hAnsi="宋体" w:eastAsia="宋体" w:cs="宋体"/>
          <w:spacing w:val="14"/>
          <w:sz w:val="24"/>
          <w:szCs w:val="24"/>
          <w:lang w:val="en-US" w:eastAsia="zh-CN"/>
        </w:rPr>
        <w:t>板</w:t>
      </w:r>
      <w:r>
        <w:rPr>
          <w:rFonts w:hint="eastAsia" w:ascii="宋体" w:hAnsi="宋体" w:eastAsia="宋体" w:cs="宋体"/>
          <w:spacing w:val="14"/>
          <w:sz w:val="24"/>
          <w:szCs w:val="24"/>
          <w:lang w:eastAsia="zh-CN"/>
        </w:rPr>
        <w:t>的清洗消毒（</w:t>
      </w:r>
      <w:r>
        <w:rPr>
          <w:rFonts w:hint="eastAsia" w:ascii="宋体" w:hAnsi="宋体" w:eastAsia="宋体" w:cs="宋体"/>
          <w:spacing w:val="14"/>
          <w:sz w:val="24"/>
          <w:szCs w:val="24"/>
          <w:lang w:val="en-US" w:eastAsia="zh-CN"/>
        </w:rPr>
        <w:t>3个月1次</w:t>
      </w:r>
      <w:r>
        <w:rPr>
          <w:rFonts w:hint="eastAsia" w:ascii="宋体" w:hAnsi="宋体" w:eastAsia="宋体" w:cs="宋体"/>
          <w:spacing w:val="14"/>
          <w:sz w:val="24"/>
          <w:szCs w:val="24"/>
          <w:lang w:eastAsia="zh-CN"/>
        </w:rPr>
        <w:t>）。</w:t>
      </w:r>
    </w:p>
    <w:p w14:paraId="08CFD1F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eastAsia="zh-CN"/>
        </w:rPr>
        <w:t>对手术区（</w:t>
      </w:r>
      <w:r>
        <w:rPr>
          <w:rFonts w:hint="eastAsia" w:ascii="宋体" w:hAnsi="宋体" w:eastAsia="宋体" w:cs="宋体"/>
          <w:spacing w:val="14"/>
          <w:sz w:val="24"/>
          <w:szCs w:val="24"/>
          <w:lang w:val="en-US" w:eastAsia="zh-CN"/>
        </w:rPr>
        <w:t>1次/天</w:t>
      </w:r>
      <w:r>
        <w:rPr>
          <w:rFonts w:hint="eastAsia" w:ascii="宋体" w:hAnsi="宋体" w:eastAsia="宋体" w:cs="宋体"/>
          <w:spacing w:val="14"/>
          <w:sz w:val="24"/>
          <w:szCs w:val="24"/>
          <w:lang w:eastAsia="zh-CN"/>
        </w:rPr>
        <w:t>）、泵房（</w:t>
      </w:r>
      <w:r>
        <w:rPr>
          <w:rFonts w:hint="eastAsia" w:ascii="宋体" w:hAnsi="宋体" w:eastAsia="宋体" w:cs="宋体"/>
          <w:spacing w:val="14"/>
          <w:sz w:val="24"/>
          <w:szCs w:val="24"/>
          <w:lang w:val="en-US" w:eastAsia="zh-CN"/>
        </w:rPr>
        <w:t>1次/小时</w:t>
      </w:r>
      <w:r>
        <w:rPr>
          <w:rFonts w:hint="eastAsia" w:ascii="宋体" w:hAnsi="宋体" w:eastAsia="宋体" w:cs="宋体"/>
          <w:spacing w:val="14"/>
          <w:sz w:val="24"/>
          <w:szCs w:val="24"/>
          <w:lang w:eastAsia="zh-CN"/>
        </w:rPr>
        <w:t>）、净化机房（</w:t>
      </w:r>
      <w:r>
        <w:rPr>
          <w:rFonts w:hint="eastAsia" w:ascii="宋体" w:hAnsi="宋体" w:eastAsia="宋体" w:cs="宋体"/>
          <w:spacing w:val="14"/>
          <w:sz w:val="24"/>
          <w:szCs w:val="24"/>
          <w:lang w:val="en-US" w:eastAsia="zh-CN"/>
        </w:rPr>
        <w:t>1次/小时</w:t>
      </w:r>
      <w:r>
        <w:rPr>
          <w:rFonts w:hint="eastAsia" w:ascii="宋体" w:hAnsi="宋体" w:eastAsia="宋体" w:cs="宋体"/>
          <w:spacing w:val="14"/>
          <w:sz w:val="24"/>
          <w:szCs w:val="24"/>
          <w:lang w:eastAsia="zh-CN"/>
        </w:rPr>
        <w:t>）等进行巡视检查</w:t>
      </w:r>
      <w:r>
        <w:rPr>
          <w:rFonts w:hint="eastAsia" w:ascii="宋体" w:hAnsi="宋体" w:eastAsia="宋体" w:cs="宋体"/>
          <w:spacing w:val="14"/>
          <w:sz w:val="24"/>
          <w:szCs w:val="24"/>
        </w:rPr>
        <w:t>。</w:t>
      </w:r>
    </w:p>
    <w:p w14:paraId="0E4594A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定期检测手术室的各项</w:t>
      </w:r>
      <w:r>
        <w:rPr>
          <w:rFonts w:hint="eastAsia" w:ascii="宋体" w:hAnsi="宋体" w:eastAsia="宋体" w:cs="宋体"/>
          <w:spacing w:val="14"/>
          <w:sz w:val="24"/>
          <w:szCs w:val="24"/>
          <w:lang w:eastAsia="zh-CN"/>
        </w:rPr>
        <w:t>运行</w:t>
      </w:r>
      <w:r>
        <w:rPr>
          <w:rFonts w:hint="eastAsia" w:ascii="宋体" w:hAnsi="宋体" w:eastAsia="宋体" w:cs="宋体"/>
          <w:spacing w:val="14"/>
          <w:sz w:val="24"/>
          <w:szCs w:val="24"/>
        </w:rPr>
        <w:t>指标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如温度、湿度、洁净度、沉降面、照度、压差等</w:t>
      </w:r>
      <w:r>
        <w:rPr>
          <w:rFonts w:hint="eastAsia" w:ascii="宋体" w:hAnsi="宋体" w:eastAsia="宋体" w:cs="宋体"/>
          <w:spacing w:val="14"/>
          <w:sz w:val="24"/>
          <w:szCs w:val="24"/>
          <w:lang w:eastAsia="zh-CN"/>
        </w:rPr>
        <w:t>。</w:t>
      </w:r>
    </w:p>
    <w:p w14:paraId="3BECBF0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对手术室中央空调系统进行操作、维护、保养。</w:t>
      </w:r>
      <w:r>
        <w:rPr>
          <w:rFonts w:hint="eastAsia" w:ascii="宋体" w:hAnsi="宋体" w:eastAsia="宋体" w:cs="宋体"/>
          <w:spacing w:val="14"/>
          <w:sz w:val="24"/>
          <w:szCs w:val="24"/>
          <w:lang w:val="en-US" w:eastAsia="zh-CN"/>
        </w:rPr>
        <w:t>配电系统和自控系统的维修及</w:t>
      </w:r>
      <w:r>
        <w:rPr>
          <w:rFonts w:hint="eastAsia" w:ascii="宋体" w:hAnsi="宋体" w:eastAsia="宋体" w:cs="宋体"/>
          <w:spacing w:val="14"/>
          <w:sz w:val="24"/>
          <w:szCs w:val="24"/>
        </w:rPr>
        <w:t>其它的一</w:t>
      </w:r>
      <w:r>
        <w:rPr>
          <w:rFonts w:hint="eastAsia" w:ascii="宋体" w:hAnsi="宋体" w:eastAsia="宋体" w:cs="宋体"/>
          <w:spacing w:val="14"/>
          <w:sz w:val="24"/>
          <w:szCs w:val="24"/>
          <w:lang w:eastAsia="zh-CN"/>
        </w:rPr>
        <w:t>些</w:t>
      </w:r>
      <w:r>
        <w:rPr>
          <w:rFonts w:hint="eastAsia" w:ascii="宋体" w:hAnsi="宋体" w:eastAsia="宋体" w:cs="宋体"/>
          <w:spacing w:val="14"/>
          <w:sz w:val="24"/>
          <w:szCs w:val="24"/>
        </w:rPr>
        <w:t>水、电、装饰维修。</w:t>
      </w:r>
    </w:p>
    <w:p w14:paraId="716000A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②</w:t>
      </w:r>
      <w:r>
        <w:rPr>
          <w:rFonts w:hint="eastAsia" w:ascii="宋体" w:hAnsi="宋体" w:eastAsia="宋体" w:cs="宋体"/>
          <w:spacing w:val="14"/>
          <w:sz w:val="24"/>
          <w:szCs w:val="24"/>
          <w:lang w:eastAsia="zh-CN"/>
        </w:rPr>
        <w:t>手术楼六楼中央控制24小时值守</w:t>
      </w:r>
    </w:p>
    <w:p w14:paraId="7AD790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根据当日手术工作安排及各手术间的净化级别，按照相关流           程提前开启相关手术室的净化、照明等，确保在手术开展前手术间室内具备使用条件。</w:t>
      </w:r>
    </w:p>
    <w:p w14:paraId="76EB55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在手术中根据不同的手术要求及时调整温度、湿度等指标。</w:t>
      </w:r>
    </w:p>
    <w:p w14:paraId="6C2E2F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在手术结束后，待手术室清洁完毕后，按照各手术室的净化级别分别对手术室进行自净运行。</w:t>
      </w:r>
    </w:p>
    <w:p w14:paraId="41F390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对手术室的运行状态进行时实监控和修正调整，并每小时抄表记录一次。</w:t>
      </w:r>
    </w:p>
    <w:p w14:paraId="76617F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手术监控录像系统的操作。</w:t>
      </w:r>
    </w:p>
    <w:p w14:paraId="2AD2AA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3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③</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lang w:eastAsia="zh-CN"/>
        </w:rPr>
        <w:t>二氧化碳气站监管和日常更换。</w:t>
      </w:r>
    </w:p>
    <w:p w14:paraId="6B131C9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4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rPr>
        <w:t>④</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eastAsia="zh-CN"/>
        </w:rPr>
        <w:t>手术楼七楼泵房软化水两套设备处理维护。</w:t>
      </w:r>
    </w:p>
    <w:p w14:paraId="12A971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5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⑤</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血液科层流病房：工作内容与普通手术室相同。</w:t>
      </w:r>
    </w:p>
    <w:p w14:paraId="651F56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6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⑥</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门诊手术间（手术室3间及辅房、辅助区等）：工作内容与普通手术室相同。</w:t>
      </w:r>
    </w:p>
    <w:p w14:paraId="227064F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7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rPr>
        <w:t>⑦</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val="en-US" w:eastAsia="zh-CN"/>
        </w:rPr>
        <w:t>压缩空气站：</w:t>
      </w:r>
    </w:p>
    <w:p w14:paraId="7A2636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压缩空气站内所有设备设施的管理、操作、巡视、维护、保养等。</w:t>
      </w:r>
    </w:p>
    <w:p w14:paraId="1FF646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 xml:space="preserve">所有设备即减压阀到压缩机之间的所有设备（含减压阀及压缩机两台）、干燥机所有的管道、储气罐安全审验，维保期间提供全面维修保养，更换三滤及整机全面检查、拆机进行全面维护一年一次、拆机进行维修维护解决故障、保证设备机组正常良好连续运行所需的一切工作；及时进行维修维护排除预见故障及现场故障，应在早期及时发现故障并以书面形式及时通知甲方（电机加脂属于乙方维保责任）；保证设备及系统工作运行良好无故障。  </w:t>
      </w:r>
    </w:p>
    <w:p w14:paraId="38E17F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  </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 xml:space="preserve"> 备件清单（以下备件所标均为玛泰原厂原装备件）</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2720"/>
        <w:gridCol w:w="2352"/>
        <w:gridCol w:w="2293"/>
      </w:tblGrid>
      <w:tr w14:paraId="4DB73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exact"/>
        </w:trPr>
        <w:tc>
          <w:tcPr>
            <w:tcW w:w="677" w:type="pct"/>
            <w:noWrap w:val="0"/>
            <w:vAlign w:val="center"/>
          </w:tcPr>
          <w:p w14:paraId="71DEC5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序号</w:t>
            </w:r>
          </w:p>
        </w:tc>
        <w:tc>
          <w:tcPr>
            <w:tcW w:w="1596" w:type="pct"/>
            <w:noWrap w:val="0"/>
            <w:vAlign w:val="center"/>
          </w:tcPr>
          <w:p w14:paraId="6744E5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备件名称</w:t>
            </w:r>
          </w:p>
        </w:tc>
        <w:tc>
          <w:tcPr>
            <w:tcW w:w="1380" w:type="pct"/>
            <w:noWrap w:val="0"/>
            <w:vAlign w:val="center"/>
          </w:tcPr>
          <w:p w14:paraId="7DC671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型  号</w:t>
            </w:r>
          </w:p>
        </w:tc>
        <w:tc>
          <w:tcPr>
            <w:tcW w:w="1345" w:type="pct"/>
            <w:noWrap w:val="0"/>
            <w:vAlign w:val="center"/>
          </w:tcPr>
          <w:p w14:paraId="03A8801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 xml:space="preserve">   数  量</w:t>
            </w:r>
          </w:p>
        </w:tc>
      </w:tr>
      <w:tr w14:paraId="78DB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794A051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w:t>
            </w:r>
          </w:p>
        </w:tc>
        <w:tc>
          <w:tcPr>
            <w:tcW w:w="1596" w:type="pct"/>
            <w:noWrap w:val="0"/>
            <w:vAlign w:val="center"/>
          </w:tcPr>
          <w:p w14:paraId="02E865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油过滤器</w:t>
            </w:r>
          </w:p>
        </w:tc>
        <w:tc>
          <w:tcPr>
            <w:tcW w:w="1380" w:type="pct"/>
            <w:vMerge w:val="restart"/>
            <w:noWrap w:val="0"/>
            <w:vAlign w:val="center"/>
          </w:tcPr>
          <w:p w14:paraId="56C7E8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ERC507L</w:t>
            </w:r>
          </w:p>
        </w:tc>
        <w:tc>
          <w:tcPr>
            <w:tcW w:w="1345" w:type="pct"/>
            <w:noWrap w:val="0"/>
            <w:vAlign w:val="center"/>
          </w:tcPr>
          <w:p w14:paraId="163117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2只</w:t>
            </w:r>
          </w:p>
        </w:tc>
      </w:tr>
      <w:tr w14:paraId="043B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5D7464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1596" w:type="pct"/>
            <w:noWrap w:val="0"/>
            <w:vAlign w:val="center"/>
          </w:tcPr>
          <w:p w14:paraId="7CB62A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空滤</w:t>
            </w:r>
          </w:p>
        </w:tc>
        <w:tc>
          <w:tcPr>
            <w:tcW w:w="1380" w:type="pct"/>
            <w:vMerge w:val="continue"/>
            <w:noWrap w:val="0"/>
            <w:vAlign w:val="center"/>
          </w:tcPr>
          <w:p w14:paraId="3F6BFF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407B51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2只</w:t>
            </w:r>
          </w:p>
        </w:tc>
      </w:tr>
      <w:tr w14:paraId="163E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4C2D17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w:t>
            </w:r>
          </w:p>
        </w:tc>
        <w:tc>
          <w:tcPr>
            <w:tcW w:w="1596" w:type="pct"/>
            <w:noWrap w:val="0"/>
            <w:vAlign w:val="center"/>
          </w:tcPr>
          <w:p w14:paraId="52ED2AF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回油滤网</w:t>
            </w:r>
          </w:p>
        </w:tc>
        <w:tc>
          <w:tcPr>
            <w:tcW w:w="1380" w:type="pct"/>
            <w:vMerge w:val="continue"/>
            <w:noWrap w:val="0"/>
            <w:vAlign w:val="center"/>
          </w:tcPr>
          <w:p w14:paraId="4F07042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44778A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4个</w:t>
            </w:r>
          </w:p>
        </w:tc>
      </w:tr>
      <w:tr w14:paraId="322B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2279A2A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w:t>
            </w:r>
          </w:p>
        </w:tc>
        <w:tc>
          <w:tcPr>
            <w:tcW w:w="1596" w:type="pct"/>
            <w:noWrap w:val="0"/>
            <w:vAlign w:val="center"/>
          </w:tcPr>
          <w:p w14:paraId="03EE07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油气分离器芯</w:t>
            </w:r>
          </w:p>
        </w:tc>
        <w:tc>
          <w:tcPr>
            <w:tcW w:w="1380" w:type="pct"/>
            <w:vMerge w:val="restart"/>
            <w:noWrap w:val="0"/>
            <w:vAlign w:val="center"/>
          </w:tcPr>
          <w:p w14:paraId="081D8E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1BB06A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2只</w:t>
            </w:r>
          </w:p>
        </w:tc>
      </w:tr>
      <w:tr w14:paraId="02B6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2FF7CB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w:t>
            </w:r>
          </w:p>
        </w:tc>
        <w:tc>
          <w:tcPr>
            <w:tcW w:w="1596" w:type="pct"/>
            <w:noWrap w:val="0"/>
            <w:vAlign w:val="center"/>
          </w:tcPr>
          <w:p w14:paraId="61DCE99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 xml:space="preserve">  </w:t>
            </w:r>
            <w:r>
              <w:rPr>
                <w:rFonts w:hint="eastAsia" w:ascii="宋体" w:hAnsi="宋体" w:eastAsia="宋体" w:cs="宋体"/>
                <w:spacing w:val="14"/>
                <w:sz w:val="21"/>
                <w:szCs w:val="21"/>
                <w:lang w:val="en-US" w:eastAsia="zh-CN"/>
              </w:rPr>
              <w:t xml:space="preserve">  温控阀芯</w:t>
            </w:r>
          </w:p>
        </w:tc>
        <w:tc>
          <w:tcPr>
            <w:tcW w:w="1380" w:type="pct"/>
            <w:vMerge w:val="continue"/>
            <w:noWrap w:val="0"/>
            <w:vAlign w:val="center"/>
          </w:tcPr>
          <w:p w14:paraId="19977F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682C08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rPr>
              <w:t>2</w:t>
            </w:r>
            <w:r>
              <w:rPr>
                <w:rFonts w:hint="eastAsia" w:ascii="宋体" w:hAnsi="宋体" w:eastAsia="宋体" w:cs="宋体"/>
                <w:spacing w:val="14"/>
                <w:sz w:val="21"/>
                <w:szCs w:val="21"/>
                <w:lang w:val="en-US" w:eastAsia="zh-CN"/>
              </w:rPr>
              <w:t>只</w:t>
            </w:r>
          </w:p>
        </w:tc>
      </w:tr>
      <w:tr w14:paraId="472A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219B1C8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w:t>
            </w:r>
          </w:p>
        </w:tc>
        <w:tc>
          <w:tcPr>
            <w:tcW w:w="1596" w:type="pct"/>
            <w:noWrap w:val="0"/>
            <w:vAlign w:val="center"/>
          </w:tcPr>
          <w:p w14:paraId="5CD85D8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卸载阀组件</w:t>
            </w:r>
          </w:p>
        </w:tc>
        <w:tc>
          <w:tcPr>
            <w:tcW w:w="1380" w:type="pct"/>
            <w:vMerge w:val="continue"/>
            <w:noWrap w:val="0"/>
            <w:vAlign w:val="center"/>
          </w:tcPr>
          <w:p w14:paraId="2E76F52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4E5D9B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2套</w:t>
            </w:r>
          </w:p>
        </w:tc>
      </w:tr>
      <w:tr w14:paraId="75AC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4BEA1A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7</w:t>
            </w:r>
          </w:p>
        </w:tc>
        <w:tc>
          <w:tcPr>
            <w:tcW w:w="1596" w:type="pct"/>
            <w:noWrap w:val="0"/>
            <w:vAlign w:val="center"/>
          </w:tcPr>
          <w:p w14:paraId="0908D1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伺服阀组件</w:t>
            </w:r>
          </w:p>
        </w:tc>
        <w:tc>
          <w:tcPr>
            <w:tcW w:w="1380" w:type="pct"/>
            <w:vMerge w:val="continue"/>
            <w:noWrap w:val="0"/>
            <w:vAlign w:val="center"/>
          </w:tcPr>
          <w:p w14:paraId="36167F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050EB4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2套</w:t>
            </w:r>
          </w:p>
        </w:tc>
      </w:tr>
      <w:tr w14:paraId="690A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73A974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w:t>
            </w:r>
          </w:p>
        </w:tc>
        <w:tc>
          <w:tcPr>
            <w:tcW w:w="1596" w:type="pct"/>
            <w:noWrap w:val="0"/>
            <w:vAlign w:val="center"/>
          </w:tcPr>
          <w:p w14:paraId="7748D7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弹性体</w:t>
            </w:r>
          </w:p>
        </w:tc>
        <w:tc>
          <w:tcPr>
            <w:tcW w:w="1380" w:type="pct"/>
            <w:vMerge w:val="continue"/>
            <w:noWrap w:val="0"/>
            <w:vAlign w:val="center"/>
          </w:tcPr>
          <w:p w14:paraId="251693B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0D08B7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2个</w:t>
            </w:r>
          </w:p>
        </w:tc>
      </w:tr>
      <w:tr w14:paraId="48B0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31F0BB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9</w:t>
            </w:r>
          </w:p>
        </w:tc>
        <w:tc>
          <w:tcPr>
            <w:tcW w:w="1596" w:type="pct"/>
            <w:noWrap w:val="0"/>
            <w:vAlign w:val="center"/>
          </w:tcPr>
          <w:p w14:paraId="2B19D6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油分密封组立</w:t>
            </w:r>
          </w:p>
        </w:tc>
        <w:tc>
          <w:tcPr>
            <w:tcW w:w="1380" w:type="pct"/>
            <w:vMerge w:val="continue"/>
            <w:noWrap w:val="0"/>
            <w:vAlign w:val="center"/>
          </w:tcPr>
          <w:p w14:paraId="2EEA21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345" w:type="pct"/>
            <w:noWrap w:val="0"/>
            <w:vAlign w:val="center"/>
          </w:tcPr>
          <w:p w14:paraId="7C2E35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rPr>
              <w:t>2</w:t>
            </w:r>
            <w:r>
              <w:rPr>
                <w:rFonts w:hint="eastAsia" w:ascii="宋体" w:hAnsi="宋体" w:eastAsia="宋体" w:cs="宋体"/>
                <w:spacing w:val="14"/>
                <w:sz w:val="21"/>
                <w:szCs w:val="21"/>
                <w:lang w:val="en-US" w:eastAsia="zh-CN"/>
              </w:rPr>
              <w:t>套</w:t>
            </w:r>
          </w:p>
        </w:tc>
      </w:tr>
      <w:tr w14:paraId="45CC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3DF560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w:t>
            </w:r>
          </w:p>
        </w:tc>
        <w:tc>
          <w:tcPr>
            <w:tcW w:w="1596" w:type="pct"/>
            <w:noWrap w:val="0"/>
            <w:vAlign w:val="center"/>
          </w:tcPr>
          <w:p w14:paraId="7C7BA5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滑片机专用油</w:t>
            </w:r>
          </w:p>
        </w:tc>
        <w:tc>
          <w:tcPr>
            <w:tcW w:w="1380" w:type="pct"/>
            <w:noWrap w:val="0"/>
            <w:vAlign w:val="center"/>
          </w:tcPr>
          <w:p w14:paraId="5036EA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V-OIL2000-10</w:t>
            </w:r>
          </w:p>
        </w:tc>
        <w:tc>
          <w:tcPr>
            <w:tcW w:w="1345" w:type="pct"/>
            <w:noWrap w:val="0"/>
            <w:vAlign w:val="center"/>
          </w:tcPr>
          <w:p w14:paraId="4EA80AA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2桶</w:t>
            </w:r>
          </w:p>
        </w:tc>
      </w:tr>
      <w:tr w14:paraId="0F37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7C6A16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11</w:t>
            </w:r>
          </w:p>
        </w:tc>
        <w:tc>
          <w:tcPr>
            <w:tcW w:w="1596" w:type="pct"/>
            <w:noWrap w:val="0"/>
            <w:vAlign w:val="center"/>
          </w:tcPr>
          <w:p w14:paraId="6E9D1E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定子总成保养包</w:t>
            </w:r>
          </w:p>
        </w:tc>
        <w:tc>
          <w:tcPr>
            <w:tcW w:w="1380" w:type="pct"/>
            <w:noWrap w:val="0"/>
            <w:vAlign w:val="center"/>
          </w:tcPr>
          <w:p w14:paraId="22CBE5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500系列</w:t>
            </w:r>
          </w:p>
        </w:tc>
        <w:tc>
          <w:tcPr>
            <w:tcW w:w="1345" w:type="pct"/>
            <w:noWrap w:val="0"/>
            <w:vAlign w:val="center"/>
          </w:tcPr>
          <w:p w14:paraId="7489068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2套</w:t>
            </w:r>
          </w:p>
        </w:tc>
      </w:tr>
      <w:tr w14:paraId="0CA1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77296C0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w:t>
            </w:r>
          </w:p>
        </w:tc>
        <w:tc>
          <w:tcPr>
            <w:tcW w:w="1596" w:type="pct"/>
            <w:noWrap w:val="0"/>
            <w:vAlign w:val="center"/>
          </w:tcPr>
          <w:p w14:paraId="05CA7D9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前置过滤器滤芯</w:t>
            </w:r>
          </w:p>
        </w:tc>
        <w:tc>
          <w:tcPr>
            <w:tcW w:w="1380" w:type="pct"/>
            <w:noWrap w:val="0"/>
            <w:vAlign w:val="center"/>
          </w:tcPr>
          <w:p w14:paraId="4AFD129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XF2-9</w:t>
            </w:r>
          </w:p>
        </w:tc>
        <w:tc>
          <w:tcPr>
            <w:tcW w:w="1345" w:type="pct"/>
            <w:noWrap w:val="0"/>
            <w:vAlign w:val="center"/>
          </w:tcPr>
          <w:p w14:paraId="3FC39FC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1只</w:t>
            </w:r>
          </w:p>
        </w:tc>
      </w:tr>
      <w:tr w14:paraId="6C33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2623A0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13</w:t>
            </w:r>
          </w:p>
        </w:tc>
        <w:tc>
          <w:tcPr>
            <w:tcW w:w="1596" w:type="pct"/>
            <w:noWrap w:val="0"/>
            <w:vAlign w:val="center"/>
          </w:tcPr>
          <w:p w14:paraId="3534BEB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后置过滤器滤芯</w:t>
            </w:r>
          </w:p>
        </w:tc>
        <w:tc>
          <w:tcPr>
            <w:tcW w:w="1380" w:type="pct"/>
            <w:noWrap w:val="0"/>
            <w:vAlign w:val="center"/>
          </w:tcPr>
          <w:p w14:paraId="3DECEF0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XF2-7</w:t>
            </w:r>
          </w:p>
        </w:tc>
        <w:tc>
          <w:tcPr>
            <w:tcW w:w="1345" w:type="pct"/>
            <w:noWrap w:val="0"/>
            <w:vAlign w:val="center"/>
          </w:tcPr>
          <w:p w14:paraId="084FD5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1只</w:t>
            </w:r>
          </w:p>
        </w:tc>
      </w:tr>
      <w:tr w14:paraId="4602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574BA3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14</w:t>
            </w:r>
          </w:p>
        </w:tc>
        <w:tc>
          <w:tcPr>
            <w:tcW w:w="1596" w:type="pct"/>
            <w:noWrap w:val="0"/>
            <w:vAlign w:val="center"/>
          </w:tcPr>
          <w:p w14:paraId="0A1177D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精密过滤器滤芯</w:t>
            </w:r>
          </w:p>
        </w:tc>
        <w:tc>
          <w:tcPr>
            <w:tcW w:w="1380" w:type="pct"/>
            <w:noWrap w:val="0"/>
            <w:vAlign w:val="center"/>
          </w:tcPr>
          <w:p w14:paraId="30085BA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XF2-5</w:t>
            </w:r>
          </w:p>
        </w:tc>
        <w:tc>
          <w:tcPr>
            <w:tcW w:w="1345" w:type="pct"/>
            <w:noWrap w:val="0"/>
            <w:vAlign w:val="center"/>
          </w:tcPr>
          <w:p w14:paraId="1C459A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1只</w:t>
            </w:r>
          </w:p>
        </w:tc>
      </w:tr>
      <w:tr w14:paraId="7FC5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627BB4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15</w:t>
            </w:r>
          </w:p>
        </w:tc>
        <w:tc>
          <w:tcPr>
            <w:tcW w:w="1596" w:type="pct"/>
            <w:noWrap w:val="0"/>
            <w:vAlign w:val="center"/>
          </w:tcPr>
          <w:p w14:paraId="737739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超精密过滤器滤芯</w:t>
            </w:r>
          </w:p>
        </w:tc>
        <w:tc>
          <w:tcPr>
            <w:tcW w:w="1380" w:type="pct"/>
            <w:noWrap w:val="0"/>
            <w:vAlign w:val="center"/>
          </w:tcPr>
          <w:p w14:paraId="114322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XF2-3</w:t>
            </w:r>
          </w:p>
        </w:tc>
        <w:tc>
          <w:tcPr>
            <w:tcW w:w="1345" w:type="pct"/>
            <w:noWrap w:val="0"/>
            <w:vAlign w:val="center"/>
          </w:tcPr>
          <w:p w14:paraId="203165F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1只</w:t>
            </w:r>
          </w:p>
        </w:tc>
      </w:tr>
      <w:tr w14:paraId="3A82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677" w:type="pct"/>
            <w:noWrap w:val="0"/>
            <w:vAlign w:val="center"/>
          </w:tcPr>
          <w:p w14:paraId="36A1FF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w:t>
            </w:r>
          </w:p>
        </w:tc>
        <w:tc>
          <w:tcPr>
            <w:tcW w:w="1596" w:type="pct"/>
            <w:noWrap w:val="0"/>
            <w:vAlign w:val="center"/>
          </w:tcPr>
          <w:p w14:paraId="7F31288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 xml:space="preserve"> 活性炭过滤器滤芯</w:t>
            </w:r>
          </w:p>
        </w:tc>
        <w:tc>
          <w:tcPr>
            <w:tcW w:w="1380" w:type="pct"/>
            <w:noWrap w:val="0"/>
            <w:vAlign w:val="center"/>
          </w:tcPr>
          <w:p w14:paraId="30A402A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XF2-1</w:t>
            </w:r>
          </w:p>
        </w:tc>
        <w:tc>
          <w:tcPr>
            <w:tcW w:w="1345" w:type="pct"/>
            <w:noWrap w:val="0"/>
            <w:vAlign w:val="center"/>
          </w:tcPr>
          <w:p w14:paraId="510A2B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1只</w:t>
            </w:r>
          </w:p>
        </w:tc>
      </w:tr>
      <w:tr w14:paraId="6758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exact"/>
        </w:trPr>
        <w:tc>
          <w:tcPr>
            <w:tcW w:w="677" w:type="pct"/>
            <w:tcBorders>
              <w:bottom w:val="single" w:color="auto" w:sz="4" w:space="0"/>
            </w:tcBorders>
            <w:noWrap w:val="0"/>
            <w:vAlign w:val="center"/>
          </w:tcPr>
          <w:p w14:paraId="7E06C7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17</w:t>
            </w:r>
          </w:p>
        </w:tc>
        <w:tc>
          <w:tcPr>
            <w:tcW w:w="1596" w:type="pct"/>
            <w:tcBorders>
              <w:bottom w:val="single" w:color="auto" w:sz="4" w:space="0"/>
            </w:tcBorders>
            <w:noWrap w:val="0"/>
            <w:vAlign w:val="center"/>
          </w:tcPr>
          <w:p w14:paraId="239D7B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全年维保托管</w:t>
            </w:r>
          </w:p>
        </w:tc>
        <w:tc>
          <w:tcPr>
            <w:tcW w:w="1380" w:type="pct"/>
            <w:noWrap w:val="0"/>
            <w:vAlign w:val="center"/>
          </w:tcPr>
          <w:p w14:paraId="073AB6D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ERC507L</w:t>
            </w:r>
          </w:p>
        </w:tc>
        <w:tc>
          <w:tcPr>
            <w:tcW w:w="1345" w:type="pct"/>
            <w:tcBorders>
              <w:bottom w:val="single" w:color="auto" w:sz="4" w:space="0"/>
            </w:tcBorders>
            <w:noWrap w:val="0"/>
            <w:vAlign w:val="center"/>
          </w:tcPr>
          <w:p w14:paraId="27FF3A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2台套</w:t>
            </w:r>
          </w:p>
        </w:tc>
      </w:tr>
    </w:tbl>
    <w:p w14:paraId="079BE8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所有检测、更换、维修费用均由乙方承担。</w:t>
      </w:r>
    </w:p>
    <w:p w14:paraId="3704FED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5、电梯班业务：</w:t>
      </w:r>
    </w:p>
    <w:p w14:paraId="18312F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1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①</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南院、北院区共计26部电梯维保的日常管理、维修保养（包含年保养、季度保养、月保养、周保等）、年检、审验等。</w:t>
      </w:r>
    </w:p>
    <w:p w14:paraId="6B2D69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2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②</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乙方提供月检、年检所有服务、包含全院电梯125载荷试验及限速器效验。</w:t>
      </w:r>
    </w:p>
    <w:p w14:paraId="76B96A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3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③</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所有审验费用均由乙方承担。</w:t>
      </w:r>
    </w:p>
    <w:p w14:paraId="5031C1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保证门诊楼扶梯及直梯、手术楼直梯、北院直梯人员操作值守。</w:t>
      </w:r>
    </w:p>
    <w:p w14:paraId="01A646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5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⑤</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rPr>
        <w:t>维保期内乙方需派驻甲方至少</w:t>
      </w:r>
      <w:r>
        <w:rPr>
          <w:rFonts w:hint="eastAsia" w:ascii="宋体" w:hAnsi="宋体" w:cs="宋体"/>
          <w:spacing w:val="14"/>
          <w:sz w:val="24"/>
          <w:szCs w:val="24"/>
          <w:lang w:val="en-US" w:eastAsia="zh-CN"/>
        </w:rPr>
        <w:t>2</w:t>
      </w:r>
      <w:r>
        <w:rPr>
          <w:rFonts w:hint="eastAsia" w:ascii="宋体" w:hAnsi="宋体" w:eastAsia="宋体" w:cs="宋体"/>
          <w:spacing w:val="14"/>
          <w:sz w:val="24"/>
          <w:szCs w:val="24"/>
        </w:rPr>
        <w:t>名专业人员24小时全天值守</w:t>
      </w:r>
      <w:r>
        <w:rPr>
          <w:rFonts w:hint="eastAsia" w:ascii="宋体" w:hAnsi="宋体" w:eastAsia="宋体" w:cs="宋体"/>
          <w:spacing w:val="14"/>
          <w:sz w:val="24"/>
          <w:szCs w:val="24"/>
          <w:lang w:eastAsia="zh-CN"/>
        </w:rPr>
        <w:t>。</w:t>
      </w:r>
    </w:p>
    <w:p w14:paraId="71E7FB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6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⑥</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一般维修事件，乙方需确保6小时维修完毕确保电梯正常运行。如维修需购入配件，则需确保3天内维修完毕确保电梯正常运行。</w:t>
      </w:r>
    </w:p>
    <w:p w14:paraId="554F8FA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⑦如电梯出现故障、意外、停电时，乙方维修人员须在接到甲方通知后的15分钟内到达现场处理，排除故障时间不得超过【24】小时；电梯困人时，应当在【10】分钟内抵达现场处理，在抵达现场后【10】分钟内救出被困乘客。</w:t>
      </w:r>
    </w:p>
    <w:p w14:paraId="4E3483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8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⑧</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26部电梯清单如下：</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766"/>
        <w:gridCol w:w="1305"/>
        <w:gridCol w:w="1245"/>
        <w:gridCol w:w="1230"/>
        <w:gridCol w:w="959"/>
        <w:gridCol w:w="2209"/>
      </w:tblGrid>
      <w:tr w14:paraId="49AE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1" w:type="pct"/>
            <w:noWrap w:val="0"/>
            <w:vAlign w:val="center"/>
          </w:tcPr>
          <w:p w14:paraId="7EE656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安装地点</w:t>
            </w:r>
          </w:p>
        </w:tc>
        <w:tc>
          <w:tcPr>
            <w:tcW w:w="449" w:type="pct"/>
            <w:noWrap w:val="0"/>
            <w:vAlign w:val="center"/>
          </w:tcPr>
          <w:p w14:paraId="427481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生产厂家</w:t>
            </w:r>
          </w:p>
        </w:tc>
        <w:tc>
          <w:tcPr>
            <w:tcW w:w="766" w:type="pct"/>
            <w:noWrap w:val="0"/>
            <w:vAlign w:val="center"/>
          </w:tcPr>
          <w:p w14:paraId="7B9292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30" w:type="pct"/>
            <w:noWrap w:val="0"/>
            <w:vAlign w:val="center"/>
          </w:tcPr>
          <w:p w14:paraId="46BE5E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层站</w:t>
            </w:r>
          </w:p>
        </w:tc>
        <w:tc>
          <w:tcPr>
            <w:tcW w:w="722" w:type="pct"/>
            <w:noWrap w:val="0"/>
            <w:vAlign w:val="center"/>
          </w:tcPr>
          <w:p w14:paraId="4F4443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使用日期</w:t>
            </w:r>
          </w:p>
        </w:tc>
        <w:tc>
          <w:tcPr>
            <w:tcW w:w="562" w:type="pct"/>
            <w:noWrap w:val="0"/>
            <w:vAlign w:val="center"/>
          </w:tcPr>
          <w:p w14:paraId="103E9E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载重量（KG）</w:t>
            </w:r>
          </w:p>
        </w:tc>
        <w:tc>
          <w:tcPr>
            <w:tcW w:w="1296" w:type="pct"/>
            <w:noWrap w:val="0"/>
            <w:vAlign w:val="center"/>
          </w:tcPr>
          <w:p w14:paraId="2AFE35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型号规格</w:t>
            </w:r>
          </w:p>
        </w:tc>
      </w:tr>
      <w:tr w14:paraId="6084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71" w:type="pct"/>
            <w:vMerge w:val="restart"/>
            <w:noWrap w:val="0"/>
            <w:vAlign w:val="center"/>
          </w:tcPr>
          <w:p w14:paraId="6EEE09E3">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门诊楼</w:t>
            </w:r>
          </w:p>
          <w:p w14:paraId="7166F0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restart"/>
            <w:noWrap w:val="0"/>
            <w:vAlign w:val="center"/>
          </w:tcPr>
          <w:p w14:paraId="2438250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东芝电梯</w:t>
            </w:r>
          </w:p>
          <w:p w14:paraId="2EB012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（中国）</w:t>
            </w:r>
          </w:p>
        </w:tc>
        <w:tc>
          <w:tcPr>
            <w:tcW w:w="766" w:type="pct"/>
            <w:noWrap w:val="0"/>
            <w:vAlign w:val="center"/>
          </w:tcPr>
          <w:p w14:paraId="0CE8C4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1#客梯</w:t>
            </w:r>
          </w:p>
        </w:tc>
        <w:tc>
          <w:tcPr>
            <w:tcW w:w="730" w:type="pct"/>
            <w:noWrap w:val="0"/>
            <w:vAlign w:val="center"/>
          </w:tcPr>
          <w:p w14:paraId="4B0344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1645AE1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2016.08</w:t>
            </w:r>
          </w:p>
        </w:tc>
        <w:tc>
          <w:tcPr>
            <w:tcW w:w="562" w:type="pct"/>
            <w:noWrap w:val="0"/>
            <w:vAlign w:val="center"/>
          </w:tcPr>
          <w:p w14:paraId="7B788E5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1350</w:t>
            </w:r>
          </w:p>
        </w:tc>
        <w:tc>
          <w:tcPr>
            <w:tcW w:w="1296" w:type="pct"/>
            <w:noWrap w:val="0"/>
            <w:vAlign w:val="center"/>
          </w:tcPr>
          <w:p w14:paraId="14FB9C2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2F3C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71" w:type="pct"/>
            <w:vMerge w:val="continue"/>
            <w:noWrap w:val="0"/>
            <w:vAlign w:val="center"/>
          </w:tcPr>
          <w:p w14:paraId="2877A0D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472553E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2C11DC1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2#客梯</w:t>
            </w:r>
          </w:p>
        </w:tc>
        <w:tc>
          <w:tcPr>
            <w:tcW w:w="730" w:type="pct"/>
            <w:noWrap w:val="0"/>
            <w:vAlign w:val="center"/>
          </w:tcPr>
          <w:p w14:paraId="3DDD61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46A9F3A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2016.08</w:t>
            </w:r>
          </w:p>
        </w:tc>
        <w:tc>
          <w:tcPr>
            <w:tcW w:w="562" w:type="pct"/>
            <w:noWrap w:val="0"/>
            <w:vAlign w:val="center"/>
          </w:tcPr>
          <w:p w14:paraId="7322F2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1350</w:t>
            </w:r>
          </w:p>
        </w:tc>
        <w:tc>
          <w:tcPr>
            <w:tcW w:w="1296" w:type="pct"/>
            <w:noWrap w:val="0"/>
            <w:vAlign w:val="center"/>
          </w:tcPr>
          <w:p w14:paraId="3F527F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732B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71" w:type="pct"/>
            <w:vMerge w:val="continue"/>
            <w:noWrap w:val="0"/>
            <w:vAlign w:val="center"/>
          </w:tcPr>
          <w:p w14:paraId="5145FB4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4260EF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4FA5C1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3#客梯</w:t>
            </w:r>
          </w:p>
        </w:tc>
        <w:tc>
          <w:tcPr>
            <w:tcW w:w="730" w:type="pct"/>
            <w:noWrap w:val="0"/>
            <w:vAlign w:val="center"/>
          </w:tcPr>
          <w:p w14:paraId="64770AC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27AC19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2014.05</w:t>
            </w:r>
          </w:p>
        </w:tc>
        <w:tc>
          <w:tcPr>
            <w:tcW w:w="562" w:type="pct"/>
            <w:noWrap w:val="0"/>
            <w:vAlign w:val="center"/>
          </w:tcPr>
          <w:p w14:paraId="0AA633C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1350</w:t>
            </w:r>
          </w:p>
        </w:tc>
        <w:tc>
          <w:tcPr>
            <w:tcW w:w="1296" w:type="pct"/>
            <w:noWrap w:val="0"/>
            <w:vAlign w:val="center"/>
          </w:tcPr>
          <w:p w14:paraId="11597A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ELCOSMO—LL</w:t>
            </w:r>
          </w:p>
        </w:tc>
      </w:tr>
      <w:tr w14:paraId="4FD9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71" w:type="pct"/>
            <w:vMerge w:val="continue"/>
            <w:noWrap w:val="0"/>
            <w:vAlign w:val="center"/>
          </w:tcPr>
          <w:p w14:paraId="1ACAAE2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3C29FB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7B5056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4#医梯</w:t>
            </w:r>
          </w:p>
        </w:tc>
        <w:tc>
          <w:tcPr>
            <w:tcW w:w="730" w:type="pct"/>
            <w:noWrap w:val="0"/>
            <w:vAlign w:val="center"/>
          </w:tcPr>
          <w:p w14:paraId="3E3937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412C039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2014.05</w:t>
            </w:r>
          </w:p>
        </w:tc>
        <w:tc>
          <w:tcPr>
            <w:tcW w:w="562" w:type="pct"/>
            <w:noWrap w:val="0"/>
            <w:vAlign w:val="center"/>
          </w:tcPr>
          <w:p w14:paraId="3B1413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1C7113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ELCOSMO—LL</w:t>
            </w:r>
          </w:p>
        </w:tc>
      </w:tr>
      <w:tr w14:paraId="09DB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471" w:type="pct"/>
            <w:vMerge w:val="continue"/>
            <w:noWrap w:val="0"/>
            <w:vAlign w:val="center"/>
          </w:tcPr>
          <w:p w14:paraId="29E7B6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01679D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039108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5#医梯</w:t>
            </w:r>
          </w:p>
        </w:tc>
        <w:tc>
          <w:tcPr>
            <w:tcW w:w="730" w:type="pct"/>
            <w:noWrap w:val="0"/>
            <w:vAlign w:val="center"/>
          </w:tcPr>
          <w:p w14:paraId="7C9DDCE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750E50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2016.10</w:t>
            </w:r>
          </w:p>
        </w:tc>
        <w:tc>
          <w:tcPr>
            <w:tcW w:w="562" w:type="pct"/>
            <w:noWrap w:val="0"/>
            <w:vAlign w:val="center"/>
          </w:tcPr>
          <w:p w14:paraId="729604F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20A2B0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5B87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71" w:type="pct"/>
            <w:vMerge w:val="continue"/>
            <w:noWrap w:val="0"/>
            <w:vAlign w:val="center"/>
          </w:tcPr>
          <w:p w14:paraId="2C2442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7C81BB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238D72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6#医梯</w:t>
            </w:r>
          </w:p>
        </w:tc>
        <w:tc>
          <w:tcPr>
            <w:tcW w:w="730" w:type="pct"/>
            <w:noWrap w:val="0"/>
            <w:vAlign w:val="center"/>
          </w:tcPr>
          <w:p w14:paraId="33F4F66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12层12站</w:t>
            </w:r>
          </w:p>
        </w:tc>
        <w:tc>
          <w:tcPr>
            <w:tcW w:w="722" w:type="pct"/>
            <w:noWrap w:val="0"/>
            <w:vAlign w:val="center"/>
          </w:tcPr>
          <w:p w14:paraId="27BC4D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2016.10</w:t>
            </w:r>
          </w:p>
        </w:tc>
        <w:tc>
          <w:tcPr>
            <w:tcW w:w="562" w:type="pct"/>
            <w:noWrap w:val="0"/>
            <w:vAlign w:val="center"/>
          </w:tcPr>
          <w:p w14:paraId="2BF5BE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745DE09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71AE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71" w:type="pct"/>
            <w:vMerge w:val="continue"/>
            <w:noWrap w:val="0"/>
            <w:vAlign w:val="center"/>
          </w:tcPr>
          <w:p w14:paraId="439A31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546E171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47ACDF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自动扶梯</w:t>
            </w:r>
          </w:p>
        </w:tc>
        <w:tc>
          <w:tcPr>
            <w:tcW w:w="730" w:type="pct"/>
            <w:noWrap w:val="0"/>
            <w:vAlign w:val="center"/>
          </w:tcPr>
          <w:p w14:paraId="42B18E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22" w:type="pct"/>
            <w:noWrap w:val="0"/>
            <w:vAlign w:val="center"/>
          </w:tcPr>
          <w:p w14:paraId="2CE9F58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2017.04</w:t>
            </w:r>
          </w:p>
        </w:tc>
        <w:tc>
          <w:tcPr>
            <w:tcW w:w="562" w:type="pct"/>
            <w:noWrap w:val="0"/>
            <w:vAlign w:val="center"/>
          </w:tcPr>
          <w:p w14:paraId="208B7E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1296" w:type="pct"/>
            <w:noWrap w:val="0"/>
            <w:vAlign w:val="center"/>
          </w:tcPr>
          <w:p w14:paraId="4ACDF3D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TE</w:t>
            </w:r>
          </w:p>
        </w:tc>
      </w:tr>
      <w:tr w14:paraId="1379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71" w:type="pct"/>
            <w:vMerge w:val="continue"/>
            <w:noWrap w:val="0"/>
            <w:vAlign w:val="center"/>
          </w:tcPr>
          <w:p w14:paraId="163FD66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59F57DE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7FCADDE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自动扶梯</w:t>
            </w:r>
          </w:p>
        </w:tc>
        <w:tc>
          <w:tcPr>
            <w:tcW w:w="730" w:type="pct"/>
            <w:noWrap w:val="0"/>
            <w:vAlign w:val="center"/>
          </w:tcPr>
          <w:p w14:paraId="205B06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22" w:type="pct"/>
            <w:noWrap w:val="0"/>
            <w:vAlign w:val="center"/>
          </w:tcPr>
          <w:p w14:paraId="40F2FF4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2017.04</w:t>
            </w:r>
          </w:p>
        </w:tc>
        <w:tc>
          <w:tcPr>
            <w:tcW w:w="562" w:type="pct"/>
            <w:noWrap w:val="0"/>
            <w:vAlign w:val="center"/>
          </w:tcPr>
          <w:p w14:paraId="72B3749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1296" w:type="pct"/>
            <w:noWrap w:val="0"/>
            <w:vAlign w:val="center"/>
          </w:tcPr>
          <w:p w14:paraId="49C51C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TE</w:t>
            </w:r>
          </w:p>
        </w:tc>
      </w:tr>
      <w:tr w14:paraId="68BF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71" w:type="pct"/>
            <w:vMerge w:val="continue"/>
            <w:noWrap w:val="0"/>
            <w:vAlign w:val="center"/>
          </w:tcPr>
          <w:p w14:paraId="6D70BD5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71FF0A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447D38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自动扶梯</w:t>
            </w:r>
          </w:p>
        </w:tc>
        <w:tc>
          <w:tcPr>
            <w:tcW w:w="730" w:type="pct"/>
            <w:noWrap w:val="0"/>
            <w:vAlign w:val="center"/>
          </w:tcPr>
          <w:p w14:paraId="0BD8C4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22" w:type="pct"/>
            <w:noWrap w:val="0"/>
            <w:vAlign w:val="center"/>
          </w:tcPr>
          <w:p w14:paraId="44BC20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2017.04</w:t>
            </w:r>
          </w:p>
        </w:tc>
        <w:tc>
          <w:tcPr>
            <w:tcW w:w="562" w:type="pct"/>
            <w:noWrap w:val="0"/>
            <w:vAlign w:val="center"/>
          </w:tcPr>
          <w:p w14:paraId="2445EC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1296" w:type="pct"/>
            <w:noWrap w:val="0"/>
            <w:vAlign w:val="center"/>
          </w:tcPr>
          <w:p w14:paraId="4568E8C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TE</w:t>
            </w:r>
          </w:p>
        </w:tc>
      </w:tr>
      <w:tr w14:paraId="7701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71" w:type="pct"/>
            <w:vMerge w:val="continue"/>
            <w:noWrap w:val="0"/>
            <w:vAlign w:val="center"/>
          </w:tcPr>
          <w:p w14:paraId="25771E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22A19B8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67DCC8F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自动扶梯</w:t>
            </w:r>
          </w:p>
        </w:tc>
        <w:tc>
          <w:tcPr>
            <w:tcW w:w="730" w:type="pct"/>
            <w:noWrap w:val="0"/>
            <w:vAlign w:val="center"/>
          </w:tcPr>
          <w:p w14:paraId="5E562FB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22" w:type="pct"/>
            <w:noWrap w:val="0"/>
            <w:vAlign w:val="center"/>
          </w:tcPr>
          <w:p w14:paraId="7E3878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2017.04</w:t>
            </w:r>
          </w:p>
        </w:tc>
        <w:tc>
          <w:tcPr>
            <w:tcW w:w="562" w:type="pct"/>
            <w:noWrap w:val="0"/>
            <w:vAlign w:val="center"/>
          </w:tcPr>
          <w:p w14:paraId="0B5432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1296" w:type="pct"/>
            <w:noWrap w:val="0"/>
            <w:vAlign w:val="center"/>
          </w:tcPr>
          <w:p w14:paraId="22834BE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TE</w:t>
            </w:r>
          </w:p>
        </w:tc>
      </w:tr>
      <w:tr w14:paraId="3871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71" w:type="pct"/>
            <w:vMerge w:val="restart"/>
            <w:noWrap w:val="0"/>
            <w:vAlign w:val="center"/>
          </w:tcPr>
          <w:p w14:paraId="605F14A9">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外科楼</w:t>
            </w:r>
          </w:p>
        </w:tc>
        <w:tc>
          <w:tcPr>
            <w:tcW w:w="449" w:type="pct"/>
            <w:noWrap w:val="0"/>
            <w:vAlign w:val="center"/>
          </w:tcPr>
          <w:p w14:paraId="0C19AB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东芝</w:t>
            </w:r>
          </w:p>
        </w:tc>
        <w:tc>
          <w:tcPr>
            <w:tcW w:w="766" w:type="pct"/>
            <w:noWrap w:val="0"/>
            <w:vAlign w:val="center"/>
          </w:tcPr>
          <w:p w14:paraId="66275E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1#医梯</w:t>
            </w:r>
          </w:p>
        </w:tc>
        <w:tc>
          <w:tcPr>
            <w:tcW w:w="730" w:type="pct"/>
            <w:noWrap w:val="0"/>
            <w:vAlign w:val="center"/>
          </w:tcPr>
          <w:p w14:paraId="50F06BC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4层4站</w:t>
            </w:r>
          </w:p>
        </w:tc>
        <w:tc>
          <w:tcPr>
            <w:tcW w:w="722" w:type="pct"/>
            <w:noWrap w:val="0"/>
            <w:vAlign w:val="center"/>
          </w:tcPr>
          <w:p w14:paraId="493F95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2019.01</w:t>
            </w:r>
          </w:p>
        </w:tc>
        <w:tc>
          <w:tcPr>
            <w:tcW w:w="562" w:type="pct"/>
            <w:noWrap w:val="0"/>
            <w:vAlign w:val="center"/>
          </w:tcPr>
          <w:p w14:paraId="4EBA0FB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019084B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2242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71" w:type="pct"/>
            <w:vMerge w:val="continue"/>
            <w:noWrap w:val="0"/>
            <w:vAlign w:val="center"/>
          </w:tcPr>
          <w:p w14:paraId="4584C74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noWrap w:val="0"/>
            <w:vAlign w:val="center"/>
          </w:tcPr>
          <w:p w14:paraId="332305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东芝</w:t>
            </w:r>
          </w:p>
        </w:tc>
        <w:tc>
          <w:tcPr>
            <w:tcW w:w="766" w:type="pct"/>
            <w:noWrap w:val="0"/>
            <w:vAlign w:val="center"/>
          </w:tcPr>
          <w:p w14:paraId="22FF1AF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2#医梯</w:t>
            </w:r>
          </w:p>
        </w:tc>
        <w:tc>
          <w:tcPr>
            <w:tcW w:w="730" w:type="pct"/>
            <w:noWrap w:val="0"/>
            <w:vAlign w:val="center"/>
          </w:tcPr>
          <w:p w14:paraId="6AB89B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4层4站</w:t>
            </w:r>
          </w:p>
        </w:tc>
        <w:tc>
          <w:tcPr>
            <w:tcW w:w="722" w:type="pct"/>
            <w:noWrap w:val="0"/>
            <w:vAlign w:val="center"/>
          </w:tcPr>
          <w:p w14:paraId="5294B4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2019.01</w:t>
            </w:r>
          </w:p>
        </w:tc>
        <w:tc>
          <w:tcPr>
            <w:tcW w:w="562" w:type="pct"/>
            <w:noWrap w:val="0"/>
            <w:vAlign w:val="center"/>
          </w:tcPr>
          <w:p w14:paraId="3BE8BF1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197F86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r w14:paraId="5B2D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71" w:type="pct"/>
            <w:vMerge w:val="restart"/>
            <w:noWrap w:val="0"/>
            <w:vAlign w:val="center"/>
          </w:tcPr>
          <w:p w14:paraId="405CA7B1">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手术楼</w:t>
            </w:r>
          </w:p>
        </w:tc>
        <w:tc>
          <w:tcPr>
            <w:tcW w:w="449" w:type="pct"/>
            <w:noWrap w:val="0"/>
            <w:vAlign w:val="center"/>
          </w:tcPr>
          <w:p w14:paraId="2A760C4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肇庆肇凌电梯</w:t>
            </w:r>
          </w:p>
        </w:tc>
        <w:tc>
          <w:tcPr>
            <w:tcW w:w="766" w:type="pct"/>
            <w:noWrap w:val="0"/>
            <w:vAlign w:val="center"/>
          </w:tcPr>
          <w:p w14:paraId="51B4319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货梯</w:t>
            </w:r>
          </w:p>
        </w:tc>
        <w:tc>
          <w:tcPr>
            <w:tcW w:w="730" w:type="pct"/>
            <w:noWrap w:val="0"/>
            <w:vAlign w:val="center"/>
          </w:tcPr>
          <w:p w14:paraId="38FCF4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722" w:type="pct"/>
            <w:noWrap w:val="0"/>
            <w:vAlign w:val="center"/>
          </w:tcPr>
          <w:p w14:paraId="45194A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2005.04</w:t>
            </w:r>
          </w:p>
        </w:tc>
        <w:tc>
          <w:tcPr>
            <w:tcW w:w="562" w:type="pct"/>
            <w:noWrap w:val="0"/>
            <w:vAlign w:val="center"/>
          </w:tcPr>
          <w:p w14:paraId="25C389B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1000</w:t>
            </w:r>
          </w:p>
        </w:tc>
        <w:tc>
          <w:tcPr>
            <w:tcW w:w="1296" w:type="pct"/>
            <w:noWrap w:val="0"/>
            <w:vAlign w:val="center"/>
          </w:tcPr>
          <w:p w14:paraId="348A9E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THJ1000/0.5—VVVF</w:t>
            </w:r>
          </w:p>
        </w:tc>
      </w:tr>
      <w:tr w14:paraId="643B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71" w:type="pct"/>
            <w:vMerge w:val="continue"/>
            <w:noWrap w:val="0"/>
            <w:vAlign w:val="center"/>
          </w:tcPr>
          <w:p w14:paraId="48F6ACD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restart"/>
            <w:noWrap w:val="0"/>
            <w:vAlign w:val="center"/>
          </w:tcPr>
          <w:p w14:paraId="28BC624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巨人通力</w:t>
            </w:r>
          </w:p>
        </w:tc>
        <w:tc>
          <w:tcPr>
            <w:tcW w:w="766" w:type="pct"/>
            <w:noWrap w:val="0"/>
            <w:vAlign w:val="center"/>
          </w:tcPr>
          <w:p w14:paraId="0FDD596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1#南医梯</w:t>
            </w:r>
          </w:p>
        </w:tc>
        <w:tc>
          <w:tcPr>
            <w:tcW w:w="730" w:type="pct"/>
            <w:noWrap w:val="0"/>
            <w:vAlign w:val="center"/>
          </w:tcPr>
          <w:p w14:paraId="013A590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722" w:type="pct"/>
            <w:noWrap w:val="0"/>
            <w:vAlign w:val="center"/>
          </w:tcPr>
          <w:p w14:paraId="52E9AC8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2013.02</w:t>
            </w:r>
          </w:p>
        </w:tc>
        <w:tc>
          <w:tcPr>
            <w:tcW w:w="562" w:type="pct"/>
            <w:noWrap w:val="0"/>
            <w:vAlign w:val="center"/>
          </w:tcPr>
          <w:p w14:paraId="0957BF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3F390E3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GPS20K（G78616）</w:t>
            </w:r>
          </w:p>
        </w:tc>
      </w:tr>
      <w:tr w14:paraId="46AE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71" w:type="pct"/>
            <w:vMerge w:val="continue"/>
            <w:noWrap w:val="0"/>
            <w:vAlign w:val="center"/>
          </w:tcPr>
          <w:p w14:paraId="2121135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2BD2A9D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noWrap w:val="0"/>
            <w:vAlign w:val="center"/>
          </w:tcPr>
          <w:p w14:paraId="0F8FA6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2#北医梯</w:t>
            </w:r>
          </w:p>
        </w:tc>
        <w:tc>
          <w:tcPr>
            <w:tcW w:w="730" w:type="pct"/>
            <w:noWrap w:val="0"/>
            <w:vAlign w:val="center"/>
          </w:tcPr>
          <w:p w14:paraId="2B99FC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722" w:type="pct"/>
            <w:noWrap w:val="0"/>
            <w:vAlign w:val="center"/>
          </w:tcPr>
          <w:p w14:paraId="5A592D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2013.02</w:t>
            </w:r>
          </w:p>
        </w:tc>
        <w:tc>
          <w:tcPr>
            <w:tcW w:w="562" w:type="pct"/>
            <w:noWrap w:val="0"/>
            <w:vAlign w:val="center"/>
          </w:tcPr>
          <w:p w14:paraId="7ADCFD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4D4DC8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GPS20K（G78615）</w:t>
            </w:r>
          </w:p>
        </w:tc>
      </w:tr>
      <w:tr w14:paraId="24626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71" w:type="pct"/>
            <w:vMerge w:val="continue"/>
            <w:noWrap w:val="0"/>
            <w:vAlign w:val="center"/>
          </w:tcPr>
          <w:p w14:paraId="5BBC18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restart"/>
            <w:noWrap w:val="0"/>
            <w:vAlign w:val="center"/>
          </w:tcPr>
          <w:p w14:paraId="56E66A4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广州东森</w:t>
            </w:r>
          </w:p>
        </w:tc>
        <w:tc>
          <w:tcPr>
            <w:tcW w:w="766" w:type="pct"/>
            <w:vMerge w:val="restart"/>
            <w:noWrap w:val="0"/>
            <w:vAlign w:val="center"/>
          </w:tcPr>
          <w:p w14:paraId="41251B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窗口</w:t>
            </w:r>
          </w:p>
          <w:p w14:paraId="4505A7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杂物梯</w:t>
            </w:r>
          </w:p>
        </w:tc>
        <w:tc>
          <w:tcPr>
            <w:tcW w:w="730" w:type="pct"/>
            <w:noWrap w:val="0"/>
            <w:vAlign w:val="center"/>
          </w:tcPr>
          <w:p w14:paraId="376E40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2层2站</w:t>
            </w:r>
          </w:p>
        </w:tc>
        <w:tc>
          <w:tcPr>
            <w:tcW w:w="722" w:type="pct"/>
            <w:noWrap w:val="0"/>
            <w:vAlign w:val="center"/>
          </w:tcPr>
          <w:p w14:paraId="44741F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2019.04</w:t>
            </w:r>
          </w:p>
        </w:tc>
        <w:tc>
          <w:tcPr>
            <w:tcW w:w="562" w:type="pct"/>
            <w:noWrap w:val="0"/>
            <w:vAlign w:val="center"/>
          </w:tcPr>
          <w:p w14:paraId="76827F8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w:t>
            </w:r>
          </w:p>
        </w:tc>
        <w:tc>
          <w:tcPr>
            <w:tcW w:w="1296" w:type="pct"/>
            <w:noWrap w:val="0"/>
            <w:vAlign w:val="center"/>
          </w:tcPr>
          <w:p w14:paraId="08401F0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TWJ－200</w:t>
            </w:r>
          </w:p>
        </w:tc>
      </w:tr>
      <w:tr w14:paraId="291E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71" w:type="pct"/>
            <w:vMerge w:val="continue"/>
            <w:noWrap w:val="0"/>
            <w:vAlign w:val="center"/>
          </w:tcPr>
          <w:p w14:paraId="104976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2B2933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vMerge w:val="continue"/>
            <w:noWrap w:val="0"/>
            <w:vAlign w:val="center"/>
          </w:tcPr>
          <w:p w14:paraId="556A651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30" w:type="pct"/>
            <w:noWrap w:val="0"/>
            <w:vAlign w:val="center"/>
          </w:tcPr>
          <w:p w14:paraId="4668680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2层2站</w:t>
            </w:r>
          </w:p>
        </w:tc>
        <w:tc>
          <w:tcPr>
            <w:tcW w:w="722" w:type="pct"/>
            <w:noWrap w:val="0"/>
            <w:vAlign w:val="center"/>
          </w:tcPr>
          <w:p w14:paraId="77D067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2019.04</w:t>
            </w:r>
          </w:p>
        </w:tc>
        <w:tc>
          <w:tcPr>
            <w:tcW w:w="562" w:type="pct"/>
            <w:noWrap w:val="0"/>
            <w:vAlign w:val="center"/>
          </w:tcPr>
          <w:p w14:paraId="359F2D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w:t>
            </w:r>
          </w:p>
        </w:tc>
        <w:tc>
          <w:tcPr>
            <w:tcW w:w="1296" w:type="pct"/>
            <w:noWrap w:val="0"/>
            <w:vAlign w:val="center"/>
          </w:tcPr>
          <w:p w14:paraId="6FCFA6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TWJ－200</w:t>
            </w:r>
          </w:p>
        </w:tc>
      </w:tr>
      <w:tr w14:paraId="6F71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71" w:type="pct"/>
            <w:vMerge w:val="continue"/>
            <w:noWrap w:val="0"/>
            <w:vAlign w:val="center"/>
          </w:tcPr>
          <w:p w14:paraId="3834AE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vMerge w:val="continue"/>
            <w:noWrap w:val="0"/>
            <w:vAlign w:val="center"/>
          </w:tcPr>
          <w:p w14:paraId="681692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66" w:type="pct"/>
            <w:vMerge w:val="continue"/>
            <w:noWrap w:val="0"/>
            <w:vAlign w:val="center"/>
          </w:tcPr>
          <w:p w14:paraId="068B424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730" w:type="pct"/>
            <w:noWrap w:val="0"/>
            <w:vAlign w:val="center"/>
          </w:tcPr>
          <w:p w14:paraId="41288E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6层2站</w:t>
            </w:r>
          </w:p>
        </w:tc>
        <w:tc>
          <w:tcPr>
            <w:tcW w:w="722" w:type="pct"/>
            <w:noWrap w:val="0"/>
            <w:vAlign w:val="center"/>
          </w:tcPr>
          <w:p w14:paraId="35E653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2019.04</w:t>
            </w:r>
          </w:p>
        </w:tc>
        <w:tc>
          <w:tcPr>
            <w:tcW w:w="562" w:type="pct"/>
            <w:noWrap w:val="0"/>
            <w:vAlign w:val="center"/>
          </w:tcPr>
          <w:p w14:paraId="04EA33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w:t>
            </w:r>
          </w:p>
        </w:tc>
        <w:tc>
          <w:tcPr>
            <w:tcW w:w="1296" w:type="pct"/>
            <w:noWrap w:val="0"/>
            <w:vAlign w:val="center"/>
          </w:tcPr>
          <w:p w14:paraId="0DCAEA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TWJ－200</w:t>
            </w:r>
          </w:p>
        </w:tc>
      </w:tr>
      <w:tr w14:paraId="5714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71" w:type="pct"/>
            <w:vMerge w:val="restart"/>
            <w:noWrap w:val="0"/>
            <w:vAlign w:val="center"/>
          </w:tcPr>
          <w:p w14:paraId="7010F4B6">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北院1#楼</w:t>
            </w:r>
          </w:p>
        </w:tc>
        <w:tc>
          <w:tcPr>
            <w:tcW w:w="449" w:type="pct"/>
            <w:noWrap w:val="0"/>
            <w:vAlign w:val="center"/>
          </w:tcPr>
          <w:p w14:paraId="19C72D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山东百斯特</w:t>
            </w:r>
          </w:p>
        </w:tc>
        <w:tc>
          <w:tcPr>
            <w:tcW w:w="766" w:type="pct"/>
            <w:noWrap w:val="0"/>
            <w:vAlign w:val="center"/>
          </w:tcPr>
          <w:p w14:paraId="3A213F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1#北医梯</w:t>
            </w:r>
          </w:p>
        </w:tc>
        <w:tc>
          <w:tcPr>
            <w:tcW w:w="730" w:type="pct"/>
            <w:noWrap w:val="0"/>
            <w:vAlign w:val="center"/>
          </w:tcPr>
          <w:p w14:paraId="35E02CB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8层8站</w:t>
            </w:r>
          </w:p>
        </w:tc>
        <w:tc>
          <w:tcPr>
            <w:tcW w:w="722" w:type="pct"/>
            <w:noWrap w:val="0"/>
            <w:vAlign w:val="center"/>
          </w:tcPr>
          <w:p w14:paraId="4C68A5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2008.03</w:t>
            </w:r>
          </w:p>
        </w:tc>
        <w:tc>
          <w:tcPr>
            <w:tcW w:w="562" w:type="pct"/>
            <w:noWrap w:val="0"/>
            <w:vAlign w:val="center"/>
          </w:tcPr>
          <w:p w14:paraId="039D631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0CDB37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BBCW1600/1.5VJX</w:t>
            </w:r>
          </w:p>
        </w:tc>
      </w:tr>
      <w:tr w14:paraId="6567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71" w:type="pct"/>
            <w:vMerge w:val="continue"/>
            <w:noWrap w:val="0"/>
            <w:vAlign w:val="center"/>
          </w:tcPr>
          <w:p w14:paraId="1F73C8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tc>
        <w:tc>
          <w:tcPr>
            <w:tcW w:w="449" w:type="pct"/>
            <w:noWrap w:val="0"/>
            <w:vAlign w:val="center"/>
          </w:tcPr>
          <w:p w14:paraId="074FB9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山东百斯特</w:t>
            </w:r>
          </w:p>
        </w:tc>
        <w:tc>
          <w:tcPr>
            <w:tcW w:w="766" w:type="pct"/>
            <w:noWrap w:val="0"/>
            <w:vAlign w:val="center"/>
          </w:tcPr>
          <w:p w14:paraId="21DEB4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2#北医梯</w:t>
            </w:r>
          </w:p>
        </w:tc>
        <w:tc>
          <w:tcPr>
            <w:tcW w:w="730" w:type="pct"/>
            <w:noWrap w:val="0"/>
            <w:vAlign w:val="center"/>
          </w:tcPr>
          <w:p w14:paraId="4E244F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8层8站</w:t>
            </w:r>
          </w:p>
        </w:tc>
        <w:tc>
          <w:tcPr>
            <w:tcW w:w="722" w:type="pct"/>
            <w:noWrap w:val="0"/>
            <w:vAlign w:val="center"/>
          </w:tcPr>
          <w:p w14:paraId="5B954FD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2008.03</w:t>
            </w:r>
          </w:p>
        </w:tc>
        <w:tc>
          <w:tcPr>
            <w:tcW w:w="562" w:type="pct"/>
            <w:noWrap w:val="0"/>
            <w:vAlign w:val="center"/>
          </w:tcPr>
          <w:p w14:paraId="4CA4AC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6685C9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BBCW1600/1.5VJX</w:t>
            </w:r>
          </w:p>
        </w:tc>
      </w:tr>
      <w:tr w14:paraId="2CFA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471" w:type="pct"/>
            <w:noWrap w:val="0"/>
            <w:vAlign w:val="center"/>
          </w:tcPr>
          <w:p w14:paraId="478E0112">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制剂楼</w:t>
            </w:r>
          </w:p>
        </w:tc>
        <w:tc>
          <w:tcPr>
            <w:tcW w:w="449" w:type="pct"/>
            <w:noWrap w:val="0"/>
            <w:vAlign w:val="center"/>
          </w:tcPr>
          <w:p w14:paraId="0E5C86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山东百斯特</w:t>
            </w:r>
          </w:p>
        </w:tc>
        <w:tc>
          <w:tcPr>
            <w:tcW w:w="766" w:type="pct"/>
            <w:noWrap w:val="0"/>
            <w:vAlign w:val="center"/>
          </w:tcPr>
          <w:p w14:paraId="5BD036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货梯</w:t>
            </w:r>
          </w:p>
        </w:tc>
        <w:tc>
          <w:tcPr>
            <w:tcW w:w="730" w:type="pct"/>
            <w:noWrap w:val="0"/>
            <w:vAlign w:val="center"/>
          </w:tcPr>
          <w:p w14:paraId="2C9419C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5层5站</w:t>
            </w:r>
          </w:p>
        </w:tc>
        <w:tc>
          <w:tcPr>
            <w:tcW w:w="722" w:type="pct"/>
            <w:noWrap w:val="0"/>
            <w:vAlign w:val="center"/>
          </w:tcPr>
          <w:p w14:paraId="03B2BA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2009.10</w:t>
            </w:r>
          </w:p>
        </w:tc>
        <w:tc>
          <w:tcPr>
            <w:tcW w:w="562" w:type="pct"/>
            <w:noWrap w:val="0"/>
            <w:vAlign w:val="center"/>
          </w:tcPr>
          <w:p w14:paraId="41F50EF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630</w:t>
            </w:r>
          </w:p>
        </w:tc>
        <w:tc>
          <w:tcPr>
            <w:tcW w:w="1296" w:type="pct"/>
            <w:noWrap w:val="0"/>
            <w:vAlign w:val="center"/>
          </w:tcPr>
          <w:p w14:paraId="17A4CC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BMEV3.0</w:t>
            </w:r>
          </w:p>
        </w:tc>
      </w:tr>
      <w:tr w14:paraId="5004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1" w:type="pct"/>
            <w:noWrap w:val="0"/>
            <w:vAlign w:val="center"/>
          </w:tcPr>
          <w:p w14:paraId="30666E0B">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康复楼</w:t>
            </w:r>
          </w:p>
        </w:tc>
        <w:tc>
          <w:tcPr>
            <w:tcW w:w="449" w:type="pct"/>
            <w:noWrap w:val="0"/>
            <w:vAlign w:val="center"/>
          </w:tcPr>
          <w:p w14:paraId="765795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通力电梯</w:t>
            </w:r>
          </w:p>
        </w:tc>
        <w:tc>
          <w:tcPr>
            <w:tcW w:w="766" w:type="pct"/>
            <w:noWrap w:val="0"/>
            <w:vAlign w:val="center"/>
          </w:tcPr>
          <w:p w14:paraId="2381E3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730" w:type="pct"/>
            <w:noWrap w:val="0"/>
            <w:vAlign w:val="center"/>
          </w:tcPr>
          <w:p w14:paraId="6C1D64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722" w:type="pct"/>
            <w:noWrap w:val="0"/>
            <w:vAlign w:val="center"/>
          </w:tcPr>
          <w:p w14:paraId="6792CE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2015.08</w:t>
            </w:r>
          </w:p>
        </w:tc>
        <w:tc>
          <w:tcPr>
            <w:tcW w:w="562" w:type="pct"/>
            <w:noWrap w:val="0"/>
            <w:vAlign w:val="center"/>
          </w:tcPr>
          <w:p w14:paraId="3E7468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296" w:type="pct"/>
            <w:noWrap w:val="0"/>
            <w:vAlign w:val="center"/>
          </w:tcPr>
          <w:p w14:paraId="233859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KONEMINISPACE</w:t>
            </w:r>
          </w:p>
        </w:tc>
      </w:tr>
      <w:tr w14:paraId="4522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71" w:type="pct"/>
            <w:noWrap w:val="0"/>
            <w:vAlign w:val="center"/>
          </w:tcPr>
          <w:p w14:paraId="1AF91FE2">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北院食堂</w:t>
            </w:r>
          </w:p>
        </w:tc>
        <w:tc>
          <w:tcPr>
            <w:tcW w:w="449" w:type="pct"/>
            <w:noWrap w:val="0"/>
            <w:vAlign w:val="center"/>
          </w:tcPr>
          <w:p w14:paraId="3E4FA9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苏州巨立</w:t>
            </w:r>
          </w:p>
        </w:tc>
        <w:tc>
          <w:tcPr>
            <w:tcW w:w="766" w:type="pct"/>
            <w:noWrap w:val="0"/>
            <w:vAlign w:val="center"/>
          </w:tcPr>
          <w:p w14:paraId="4D4DE5F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客梯</w:t>
            </w:r>
          </w:p>
        </w:tc>
        <w:tc>
          <w:tcPr>
            <w:tcW w:w="730" w:type="pct"/>
            <w:noWrap w:val="0"/>
            <w:vAlign w:val="center"/>
          </w:tcPr>
          <w:p w14:paraId="282AC4D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3层3站</w:t>
            </w:r>
          </w:p>
        </w:tc>
        <w:tc>
          <w:tcPr>
            <w:tcW w:w="722" w:type="pct"/>
            <w:noWrap w:val="0"/>
            <w:vAlign w:val="center"/>
          </w:tcPr>
          <w:p w14:paraId="57ADA3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2015.06</w:t>
            </w:r>
          </w:p>
        </w:tc>
        <w:tc>
          <w:tcPr>
            <w:tcW w:w="562" w:type="pct"/>
            <w:noWrap w:val="0"/>
            <w:vAlign w:val="center"/>
          </w:tcPr>
          <w:p w14:paraId="48CC5B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1000</w:t>
            </w:r>
          </w:p>
        </w:tc>
        <w:tc>
          <w:tcPr>
            <w:tcW w:w="1296" w:type="pct"/>
            <w:noWrap w:val="0"/>
            <w:vAlign w:val="center"/>
          </w:tcPr>
          <w:p w14:paraId="6A653AF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GP30（1000/1.5）</w:t>
            </w:r>
          </w:p>
        </w:tc>
      </w:tr>
      <w:tr w14:paraId="2493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71" w:type="pct"/>
            <w:noWrap w:val="0"/>
            <w:vAlign w:val="center"/>
          </w:tcPr>
          <w:p w14:paraId="3447825C">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出版社北楼</w:t>
            </w:r>
          </w:p>
        </w:tc>
        <w:tc>
          <w:tcPr>
            <w:tcW w:w="449" w:type="pct"/>
            <w:noWrap w:val="0"/>
            <w:vAlign w:val="center"/>
          </w:tcPr>
          <w:p w14:paraId="5946A63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浙江梅伦电梯</w:t>
            </w:r>
          </w:p>
        </w:tc>
        <w:tc>
          <w:tcPr>
            <w:tcW w:w="766" w:type="pct"/>
            <w:noWrap w:val="0"/>
            <w:vAlign w:val="center"/>
          </w:tcPr>
          <w:p w14:paraId="7BC691E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客梯</w:t>
            </w:r>
          </w:p>
        </w:tc>
        <w:tc>
          <w:tcPr>
            <w:tcW w:w="730" w:type="pct"/>
            <w:noWrap w:val="0"/>
            <w:vAlign w:val="center"/>
          </w:tcPr>
          <w:p w14:paraId="388BE9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8层8站</w:t>
            </w:r>
          </w:p>
        </w:tc>
        <w:tc>
          <w:tcPr>
            <w:tcW w:w="722" w:type="pct"/>
            <w:noWrap w:val="0"/>
            <w:vAlign w:val="center"/>
          </w:tcPr>
          <w:p w14:paraId="2FC9577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2016.11</w:t>
            </w:r>
          </w:p>
        </w:tc>
        <w:tc>
          <w:tcPr>
            <w:tcW w:w="562" w:type="pct"/>
            <w:noWrap w:val="0"/>
            <w:vAlign w:val="center"/>
          </w:tcPr>
          <w:p w14:paraId="05B861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1000</w:t>
            </w:r>
          </w:p>
        </w:tc>
        <w:tc>
          <w:tcPr>
            <w:tcW w:w="1296" w:type="pct"/>
            <w:noWrap w:val="0"/>
            <w:vAlign w:val="center"/>
          </w:tcPr>
          <w:p w14:paraId="20E3D27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FSLK</w:t>
            </w:r>
          </w:p>
        </w:tc>
      </w:tr>
      <w:tr w14:paraId="0FBD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71" w:type="pct"/>
            <w:noWrap w:val="0"/>
            <w:vAlign w:val="center"/>
          </w:tcPr>
          <w:p w14:paraId="6AF51AC7">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出版社北楼</w:t>
            </w:r>
          </w:p>
        </w:tc>
        <w:tc>
          <w:tcPr>
            <w:tcW w:w="449" w:type="pct"/>
            <w:noWrap w:val="0"/>
            <w:vAlign w:val="center"/>
          </w:tcPr>
          <w:p w14:paraId="6DC1F8D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浙江梅伦电梯</w:t>
            </w:r>
          </w:p>
        </w:tc>
        <w:tc>
          <w:tcPr>
            <w:tcW w:w="766" w:type="pct"/>
            <w:noWrap w:val="0"/>
            <w:vAlign w:val="center"/>
          </w:tcPr>
          <w:p w14:paraId="0C9E85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客梯</w:t>
            </w:r>
          </w:p>
        </w:tc>
        <w:tc>
          <w:tcPr>
            <w:tcW w:w="730" w:type="pct"/>
            <w:noWrap w:val="0"/>
            <w:vAlign w:val="center"/>
          </w:tcPr>
          <w:p w14:paraId="5323A6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10层10站</w:t>
            </w:r>
          </w:p>
        </w:tc>
        <w:tc>
          <w:tcPr>
            <w:tcW w:w="722" w:type="pct"/>
            <w:noWrap w:val="0"/>
            <w:vAlign w:val="center"/>
          </w:tcPr>
          <w:p w14:paraId="001E28B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2016.11</w:t>
            </w:r>
          </w:p>
        </w:tc>
        <w:tc>
          <w:tcPr>
            <w:tcW w:w="562" w:type="pct"/>
            <w:noWrap w:val="0"/>
            <w:vAlign w:val="center"/>
          </w:tcPr>
          <w:p w14:paraId="55ECA8E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1000</w:t>
            </w:r>
          </w:p>
        </w:tc>
        <w:tc>
          <w:tcPr>
            <w:tcW w:w="1296" w:type="pct"/>
            <w:noWrap w:val="0"/>
            <w:vAlign w:val="center"/>
          </w:tcPr>
          <w:p w14:paraId="34FA25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FSLK</w:t>
            </w:r>
          </w:p>
        </w:tc>
      </w:tr>
      <w:tr w14:paraId="4D94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71" w:type="pct"/>
            <w:noWrap w:val="0"/>
            <w:vAlign w:val="center"/>
          </w:tcPr>
          <w:p w14:paraId="3F760D40">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出版社楼</w:t>
            </w:r>
          </w:p>
        </w:tc>
        <w:tc>
          <w:tcPr>
            <w:tcW w:w="449" w:type="pct"/>
            <w:noWrap w:val="0"/>
            <w:vAlign w:val="center"/>
          </w:tcPr>
          <w:p w14:paraId="3B1D47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东芝电梯</w:t>
            </w:r>
          </w:p>
        </w:tc>
        <w:tc>
          <w:tcPr>
            <w:tcW w:w="766" w:type="pct"/>
            <w:noWrap w:val="0"/>
            <w:vAlign w:val="center"/>
          </w:tcPr>
          <w:p w14:paraId="46477F4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730" w:type="pct"/>
            <w:noWrap w:val="0"/>
            <w:vAlign w:val="center"/>
          </w:tcPr>
          <w:p w14:paraId="3F3615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9层9站</w:t>
            </w:r>
          </w:p>
        </w:tc>
        <w:tc>
          <w:tcPr>
            <w:tcW w:w="722" w:type="pct"/>
            <w:noWrap w:val="0"/>
            <w:vAlign w:val="center"/>
          </w:tcPr>
          <w:p w14:paraId="2A5676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2021.08</w:t>
            </w:r>
          </w:p>
        </w:tc>
        <w:tc>
          <w:tcPr>
            <w:tcW w:w="562" w:type="pct"/>
            <w:noWrap w:val="0"/>
            <w:vAlign w:val="center"/>
          </w:tcPr>
          <w:p w14:paraId="370452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2000</w:t>
            </w:r>
          </w:p>
        </w:tc>
        <w:tc>
          <w:tcPr>
            <w:tcW w:w="1296" w:type="pct"/>
            <w:noWrap w:val="0"/>
            <w:vAlign w:val="center"/>
          </w:tcPr>
          <w:p w14:paraId="5B03730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ELCOSMO－Ⅲ</w:t>
            </w:r>
          </w:p>
        </w:tc>
      </w:tr>
    </w:tbl>
    <w:p w14:paraId="0679AB0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p>
    <w:p w14:paraId="3D9B9C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p>
    <w:p w14:paraId="632AE1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6、锅炉房运维业务：</w:t>
      </w:r>
    </w:p>
    <w:p w14:paraId="3D6340C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①北院区三台6T蒸汽锅炉及其辅机、前端燃气系统设备设施的操作、运行、管理、保养、维护、维修、年检、审验等服务。</w:t>
      </w:r>
    </w:p>
    <w:p w14:paraId="657BF12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②北院家属区换热站设备设施的运行、操作、维修、维护、保养等工作。</w:t>
      </w:r>
    </w:p>
    <w:p w14:paraId="67D651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③锅炉房年检、审验、</w:t>
      </w:r>
      <w:r>
        <w:rPr>
          <w:rFonts w:hint="eastAsia" w:ascii="宋体" w:hAnsi="宋体" w:eastAsia="宋体" w:cs="宋体"/>
          <w:spacing w:val="14"/>
          <w:sz w:val="24"/>
          <w:szCs w:val="24"/>
        </w:rPr>
        <w:t>工业用盐、化验试剂等耗材</w:t>
      </w:r>
      <w:r>
        <w:rPr>
          <w:rFonts w:hint="eastAsia" w:ascii="宋体" w:hAnsi="宋体" w:eastAsia="宋体" w:cs="宋体"/>
          <w:spacing w:val="14"/>
          <w:sz w:val="24"/>
          <w:szCs w:val="24"/>
          <w:lang w:eastAsia="zh-CN"/>
        </w:rPr>
        <w:t>费用均由乙方承担。</w:t>
      </w:r>
    </w:p>
    <w:tbl>
      <w:tblPr>
        <w:tblStyle w:val="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13"/>
        <w:gridCol w:w="6006"/>
      </w:tblGrid>
      <w:tr w14:paraId="20989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5" w:type="pct"/>
            <w:noWrap w:val="0"/>
            <w:vAlign w:val="center"/>
          </w:tcPr>
          <w:p w14:paraId="49A7489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岗位名称</w:t>
            </w:r>
          </w:p>
        </w:tc>
        <w:tc>
          <w:tcPr>
            <w:tcW w:w="3524" w:type="pct"/>
            <w:noWrap w:val="0"/>
            <w:vAlign w:val="center"/>
          </w:tcPr>
          <w:p w14:paraId="29A003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资格要求</w:t>
            </w:r>
          </w:p>
        </w:tc>
      </w:tr>
      <w:tr w14:paraId="6EF4B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5" w:type="pct"/>
            <w:noWrap w:val="0"/>
            <w:vAlign w:val="center"/>
          </w:tcPr>
          <w:p w14:paraId="5C226C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现场负责人</w:t>
            </w:r>
          </w:p>
        </w:tc>
        <w:tc>
          <w:tcPr>
            <w:tcW w:w="3524" w:type="pct"/>
            <w:noWrap w:val="0"/>
            <w:vAlign w:val="center"/>
          </w:tcPr>
          <w:p w14:paraId="2540808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西安市</w:t>
            </w:r>
            <w:r>
              <w:rPr>
                <w:rFonts w:hint="eastAsia" w:ascii="宋体" w:hAnsi="宋体" w:eastAsia="宋体" w:cs="宋体"/>
                <w:spacing w:val="14"/>
                <w:sz w:val="21"/>
                <w:szCs w:val="21"/>
                <w:lang w:eastAsia="zh-CN"/>
              </w:rPr>
              <w:t>市场监督管理局</w:t>
            </w:r>
            <w:r>
              <w:rPr>
                <w:rFonts w:hint="eastAsia" w:ascii="宋体" w:hAnsi="宋体" w:eastAsia="宋体" w:cs="宋体"/>
                <w:spacing w:val="14"/>
                <w:sz w:val="21"/>
                <w:szCs w:val="21"/>
              </w:rPr>
              <w:t>颁发《特种设备作业人员证》作业项目代号：G1和A两证。</w:t>
            </w:r>
          </w:p>
        </w:tc>
      </w:tr>
      <w:tr w14:paraId="5D148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5" w:type="pct"/>
            <w:noWrap w:val="0"/>
            <w:vAlign w:val="center"/>
          </w:tcPr>
          <w:p w14:paraId="68B7742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化验员</w:t>
            </w:r>
          </w:p>
        </w:tc>
        <w:tc>
          <w:tcPr>
            <w:tcW w:w="3524" w:type="pct"/>
            <w:noWrap w:val="0"/>
            <w:vAlign w:val="center"/>
          </w:tcPr>
          <w:p w14:paraId="3C6ED8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西安市</w:t>
            </w:r>
            <w:r>
              <w:rPr>
                <w:rFonts w:hint="eastAsia" w:ascii="宋体" w:hAnsi="宋体" w:eastAsia="宋体" w:cs="宋体"/>
                <w:spacing w:val="14"/>
                <w:sz w:val="21"/>
                <w:szCs w:val="21"/>
                <w:lang w:eastAsia="zh-CN"/>
              </w:rPr>
              <w:t>市场监督管理局</w:t>
            </w:r>
            <w:r>
              <w:rPr>
                <w:rFonts w:hint="eastAsia" w:ascii="宋体" w:hAnsi="宋体" w:eastAsia="宋体" w:cs="宋体"/>
                <w:spacing w:val="14"/>
                <w:sz w:val="21"/>
                <w:szCs w:val="21"/>
              </w:rPr>
              <w:t>颁发《特种设备作业人员证》作业项目代号：G3</w:t>
            </w:r>
          </w:p>
        </w:tc>
      </w:tr>
      <w:tr w14:paraId="188C4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5" w:type="pct"/>
            <w:noWrap w:val="0"/>
            <w:vAlign w:val="center"/>
          </w:tcPr>
          <w:p w14:paraId="1999196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锅炉工</w:t>
            </w:r>
          </w:p>
        </w:tc>
        <w:tc>
          <w:tcPr>
            <w:tcW w:w="3524" w:type="pct"/>
            <w:noWrap w:val="0"/>
            <w:vAlign w:val="center"/>
          </w:tcPr>
          <w:p w14:paraId="47FABE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西安市</w:t>
            </w:r>
            <w:r>
              <w:rPr>
                <w:rFonts w:hint="eastAsia" w:ascii="宋体" w:hAnsi="宋体" w:eastAsia="宋体" w:cs="宋体"/>
                <w:spacing w:val="14"/>
                <w:sz w:val="21"/>
                <w:szCs w:val="21"/>
                <w:lang w:eastAsia="zh-CN"/>
              </w:rPr>
              <w:t>市场监督管理局</w:t>
            </w:r>
            <w:r>
              <w:rPr>
                <w:rFonts w:hint="eastAsia" w:ascii="宋体" w:hAnsi="宋体" w:eastAsia="宋体" w:cs="宋体"/>
                <w:spacing w:val="14"/>
                <w:sz w:val="21"/>
                <w:szCs w:val="21"/>
              </w:rPr>
              <w:t>颁发《特种设备作业人员证》作业项目代号：G1</w:t>
            </w:r>
          </w:p>
        </w:tc>
      </w:tr>
      <w:tr w14:paraId="08535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75" w:type="pct"/>
            <w:noWrap w:val="0"/>
            <w:vAlign w:val="center"/>
          </w:tcPr>
          <w:p w14:paraId="41D6A38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换热站操作工</w:t>
            </w:r>
          </w:p>
        </w:tc>
        <w:tc>
          <w:tcPr>
            <w:tcW w:w="3524" w:type="pct"/>
            <w:noWrap w:val="0"/>
            <w:vAlign w:val="center"/>
          </w:tcPr>
          <w:p w14:paraId="6AC5500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p>
          <w:p w14:paraId="148749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有两年以上机电设备操作的从业经验</w:t>
            </w:r>
          </w:p>
        </w:tc>
      </w:tr>
    </w:tbl>
    <w:p w14:paraId="6E7F705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val="en-US" w:eastAsia="zh-CN"/>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换热站</w:t>
      </w:r>
      <w:r>
        <w:rPr>
          <w:rFonts w:hint="eastAsia" w:ascii="宋体" w:hAnsi="宋体" w:eastAsia="宋体" w:cs="宋体"/>
          <w:spacing w:val="14"/>
          <w:sz w:val="24"/>
          <w:szCs w:val="24"/>
        </w:rPr>
        <w:t>热站及锅炉的用途：冬季供暖</w:t>
      </w:r>
      <w:r>
        <w:rPr>
          <w:rFonts w:hint="eastAsia" w:ascii="宋体" w:hAnsi="宋体" w:eastAsia="宋体" w:cs="宋体"/>
          <w:spacing w:val="14"/>
          <w:sz w:val="24"/>
          <w:szCs w:val="24"/>
          <w:lang w:eastAsia="zh-CN"/>
        </w:rPr>
        <w:t>。</w:t>
      </w:r>
    </w:p>
    <w:p w14:paraId="703F31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⑤</w:t>
      </w:r>
      <w:r>
        <w:rPr>
          <w:rFonts w:hint="eastAsia" w:ascii="宋体" w:hAnsi="宋体" w:cs="宋体"/>
          <w:b w:val="0"/>
          <w:bCs/>
          <w:color w:val="auto"/>
          <w:sz w:val="24"/>
          <w:szCs w:val="24"/>
          <w:highlight w:val="none"/>
          <w:lang w:val="en-US" w:eastAsia="zh-CN"/>
        </w:rPr>
        <w:t>运行期间乙方需派驻甲方至少2名专业人员24小时全天值守</w:t>
      </w:r>
      <w:r>
        <w:rPr>
          <w:rFonts w:hint="eastAsia" w:ascii="宋体" w:hAnsi="宋体" w:eastAsia="宋体" w:cs="宋体"/>
          <w:spacing w:val="14"/>
          <w:sz w:val="24"/>
          <w:szCs w:val="24"/>
          <w:lang w:val="en-US" w:eastAsia="zh-CN"/>
        </w:rPr>
        <w:t>。</w:t>
      </w:r>
    </w:p>
    <w:p w14:paraId="4028ED8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7、污水站运维业务：</w:t>
      </w:r>
    </w:p>
    <w:p w14:paraId="204CC08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1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①</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南院区及糖坊街院区的两个污水</w:t>
      </w:r>
      <w:r>
        <w:rPr>
          <w:rFonts w:hint="eastAsia" w:ascii="宋体" w:hAnsi="宋体" w:eastAsia="宋体" w:cs="宋体"/>
          <w:spacing w:val="14"/>
          <w:sz w:val="24"/>
          <w:szCs w:val="24"/>
        </w:rPr>
        <w:t>处理站服务、操作、维修、维护、保养等工作</w:t>
      </w:r>
      <w:r>
        <w:rPr>
          <w:rFonts w:hint="eastAsia" w:ascii="宋体" w:hAnsi="宋体" w:eastAsia="宋体" w:cs="宋体"/>
          <w:spacing w:val="14"/>
          <w:sz w:val="24"/>
          <w:szCs w:val="24"/>
          <w:lang w:eastAsia="zh-CN"/>
        </w:rPr>
        <w:t>。</w:t>
      </w:r>
    </w:p>
    <w:p w14:paraId="030F13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2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rPr>
        <w:t>②</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eastAsia="zh-CN"/>
        </w:rPr>
        <w:t>设备维护保养、环保运行管理费、院区危险废物管理处置、水质监测及平台填报、药剂采购。</w:t>
      </w:r>
    </w:p>
    <w:p w14:paraId="74D959C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3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③</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保证甲方污水处理设备全年365天正常运行，在环保部门检查中能够达到环保要求。保证甲方原有污水处理设备的完整性，不得私自改动任何设备。</w:t>
      </w:r>
    </w:p>
    <w:p w14:paraId="5BDD76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val="en-US" w:eastAsia="zh-CN"/>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rPr>
        <w:t>要求达到《医疗机构水污染物排放标准》（GB18466-2005）中预处理标准和《黄河流域（陕西段）污水综合排放标准》（DB61/224-2011）中二级标准，《污水排入城镇下水道水质标准》（GBT31962-2015）标准，或最新的污水排放标准。</w:t>
      </w:r>
    </w:p>
    <w:p w14:paraId="3A6F72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主要指标如下表：</w:t>
      </w:r>
    </w:p>
    <w:p w14:paraId="085545B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单位：mg/L</w:t>
      </w:r>
    </w:p>
    <w:tbl>
      <w:tblPr>
        <w:tblStyle w:val="6"/>
        <w:tblW w:w="0" w:type="auto"/>
        <w:jc w:val="center"/>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1691"/>
        <w:gridCol w:w="1123"/>
        <w:gridCol w:w="936"/>
        <w:gridCol w:w="936"/>
        <w:gridCol w:w="701"/>
        <w:gridCol w:w="1076"/>
        <w:gridCol w:w="2463"/>
      </w:tblGrid>
      <w:tr w14:paraId="0ECCA66D">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755" w:hRule="atLeast"/>
          <w:jc w:val="center"/>
        </w:trPr>
        <w:tc>
          <w:tcPr>
            <w:tcW w:w="1691" w:type="dxa"/>
            <w:tcBorders>
              <w:left w:val="single" w:color="auto" w:sz="4" w:space="0"/>
            </w:tcBorders>
            <w:noWrap w:val="0"/>
            <w:vAlign w:val="center"/>
          </w:tcPr>
          <w:p w14:paraId="1E366E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指标</w:t>
            </w:r>
          </w:p>
        </w:tc>
        <w:tc>
          <w:tcPr>
            <w:tcW w:w="1123" w:type="dxa"/>
            <w:noWrap w:val="0"/>
            <w:vAlign w:val="center"/>
          </w:tcPr>
          <w:p w14:paraId="3DB2FE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PH</w:t>
            </w:r>
          </w:p>
        </w:tc>
        <w:tc>
          <w:tcPr>
            <w:tcW w:w="936" w:type="dxa"/>
            <w:noWrap w:val="0"/>
            <w:vAlign w:val="center"/>
          </w:tcPr>
          <w:p w14:paraId="790F6C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CODcr</w:t>
            </w:r>
          </w:p>
        </w:tc>
        <w:tc>
          <w:tcPr>
            <w:tcW w:w="936" w:type="dxa"/>
            <w:noWrap w:val="0"/>
            <w:vAlign w:val="center"/>
          </w:tcPr>
          <w:p w14:paraId="360915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BOD5</w:t>
            </w:r>
          </w:p>
        </w:tc>
        <w:tc>
          <w:tcPr>
            <w:tcW w:w="701" w:type="dxa"/>
            <w:noWrap w:val="0"/>
            <w:vAlign w:val="center"/>
          </w:tcPr>
          <w:p w14:paraId="6B130F6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SS</w:t>
            </w:r>
          </w:p>
        </w:tc>
        <w:tc>
          <w:tcPr>
            <w:tcW w:w="1076" w:type="dxa"/>
            <w:noWrap w:val="0"/>
            <w:vAlign w:val="center"/>
          </w:tcPr>
          <w:p w14:paraId="114D8F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NH3-N</w:t>
            </w:r>
          </w:p>
        </w:tc>
        <w:tc>
          <w:tcPr>
            <w:tcW w:w="2463" w:type="dxa"/>
            <w:tcBorders>
              <w:right w:val="single" w:color="auto" w:sz="4" w:space="0"/>
            </w:tcBorders>
            <w:noWrap w:val="0"/>
            <w:vAlign w:val="center"/>
          </w:tcPr>
          <w:p w14:paraId="50FCF0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粪大肠菌群(个/L)</w:t>
            </w:r>
          </w:p>
        </w:tc>
      </w:tr>
      <w:tr w14:paraId="044EFFCF">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606" w:hRule="atLeast"/>
          <w:jc w:val="center"/>
        </w:trPr>
        <w:tc>
          <w:tcPr>
            <w:tcW w:w="1691" w:type="dxa"/>
            <w:tcBorders>
              <w:left w:val="single" w:color="auto" w:sz="4" w:space="0"/>
            </w:tcBorders>
            <w:noWrap w:val="0"/>
            <w:vAlign w:val="center"/>
          </w:tcPr>
          <w:p w14:paraId="73ECEA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排放标准</w:t>
            </w:r>
          </w:p>
        </w:tc>
        <w:tc>
          <w:tcPr>
            <w:tcW w:w="1123" w:type="dxa"/>
            <w:noWrap w:val="0"/>
            <w:vAlign w:val="center"/>
          </w:tcPr>
          <w:p w14:paraId="568205F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6～9</w:t>
            </w:r>
          </w:p>
        </w:tc>
        <w:tc>
          <w:tcPr>
            <w:tcW w:w="936" w:type="dxa"/>
            <w:noWrap w:val="0"/>
            <w:vAlign w:val="center"/>
          </w:tcPr>
          <w:p w14:paraId="0653C8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250</w:t>
            </w:r>
          </w:p>
        </w:tc>
        <w:tc>
          <w:tcPr>
            <w:tcW w:w="936" w:type="dxa"/>
            <w:noWrap w:val="0"/>
            <w:vAlign w:val="center"/>
          </w:tcPr>
          <w:p w14:paraId="2848B9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100</w:t>
            </w:r>
          </w:p>
        </w:tc>
        <w:tc>
          <w:tcPr>
            <w:tcW w:w="701" w:type="dxa"/>
            <w:noWrap w:val="0"/>
            <w:vAlign w:val="center"/>
          </w:tcPr>
          <w:p w14:paraId="16676DB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60</w:t>
            </w:r>
          </w:p>
        </w:tc>
        <w:tc>
          <w:tcPr>
            <w:tcW w:w="1076" w:type="dxa"/>
            <w:noWrap w:val="0"/>
            <w:vAlign w:val="center"/>
          </w:tcPr>
          <w:p w14:paraId="0FEB31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25</w:t>
            </w:r>
          </w:p>
        </w:tc>
        <w:tc>
          <w:tcPr>
            <w:tcW w:w="2463" w:type="dxa"/>
            <w:tcBorders>
              <w:right w:val="single" w:color="auto" w:sz="4" w:space="0"/>
            </w:tcBorders>
            <w:noWrap w:val="0"/>
            <w:vAlign w:val="center"/>
          </w:tcPr>
          <w:p w14:paraId="1AD5927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5000</w:t>
            </w:r>
          </w:p>
        </w:tc>
      </w:tr>
    </w:tbl>
    <w:p w14:paraId="1D14B4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注：当地方标准与国家标准不一致时，以最高标准为最终标准。</w:t>
      </w:r>
    </w:p>
    <w:p w14:paraId="582F439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此外按照新的排污许可证要求，医院需要开展污水、臭气、噪音等方面的检测均</w:t>
      </w:r>
      <w:r>
        <w:rPr>
          <w:rFonts w:hint="eastAsia" w:ascii="宋体" w:hAnsi="宋体" w:eastAsia="宋体" w:cs="宋体"/>
          <w:spacing w:val="14"/>
          <w:sz w:val="24"/>
          <w:szCs w:val="24"/>
          <w:lang w:eastAsia="zh-CN"/>
        </w:rPr>
        <w:t>由</w:t>
      </w:r>
      <w:r>
        <w:rPr>
          <w:rFonts w:hint="eastAsia" w:ascii="宋体" w:hAnsi="宋体" w:eastAsia="宋体" w:cs="宋体"/>
          <w:spacing w:val="14"/>
          <w:sz w:val="24"/>
          <w:szCs w:val="24"/>
        </w:rPr>
        <w:t>乙方进行，乙方需达到自行检测方案中与污水站相关的各项指标要求。</w:t>
      </w:r>
    </w:p>
    <w:p w14:paraId="2040B9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5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⑤</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确保环保部门检查及抽样检测结果均达标，若因乙方原因导致污水排放未达到《黄河流域（陕西段）污水综合排放标准》（DB61／224-2011）中二级标准，《医疗机构水污染物排放标准》（GB18466-2005）中预处理标准和《污水排入城镇下水道水质标准》（GBT31962-2015）等标准所带来的后果及处罚均由乙方承担。</w:t>
      </w:r>
    </w:p>
    <w:p w14:paraId="7B2127B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6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⑥</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按照排污许可证相关要求及规定按时完成水质的日检、周检、月检、季检的检测工作，整理保存相关的检测报告并将检测报告的副本交至</w:t>
      </w:r>
      <w:r>
        <w:rPr>
          <w:rFonts w:hint="eastAsia" w:ascii="宋体" w:hAnsi="宋体" w:cs="宋体"/>
          <w:spacing w:val="14"/>
          <w:sz w:val="24"/>
          <w:szCs w:val="24"/>
          <w:lang w:val="en-US" w:eastAsia="zh-CN"/>
        </w:rPr>
        <w:t>动力办</w:t>
      </w:r>
      <w:r>
        <w:rPr>
          <w:rFonts w:hint="eastAsia" w:ascii="宋体" w:hAnsi="宋体" w:eastAsia="宋体" w:cs="宋体"/>
          <w:spacing w:val="14"/>
          <w:sz w:val="24"/>
          <w:szCs w:val="24"/>
        </w:rPr>
        <w:t>，并按照环保局相关规定按时完成网上的各项数据的填报工作。</w:t>
      </w:r>
    </w:p>
    <w:p w14:paraId="441062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fldChar w:fldCharType="begin"/>
      </w:r>
      <w:r>
        <w:rPr>
          <w:rFonts w:hint="eastAsia" w:ascii="宋体" w:hAnsi="宋体" w:eastAsia="宋体" w:cs="宋体"/>
          <w:spacing w:val="14"/>
          <w:sz w:val="24"/>
          <w:szCs w:val="24"/>
          <w:highlight w:val="none"/>
        </w:rPr>
        <w:instrText xml:space="preserve"> = 7 \* GB3 \* MERGEFORMAT </w:instrText>
      </w:r>
      <w:r>
        <w:rPr>
          <w:rFonts w:hint="eastAsia" w:ascii="宋体" w:hAnsi="宋体" w:eastAsia="宋体" w:cs="宋体"/>
          <w:spacing w:val="14"/>
          <w:sz w:val="24"/>
          <w:szCs w:val="24"/>
          <w:highlight w:val="none"/>
        </w:rPr>
        <w:fldChar w:fldCharType="separate"/>
      </w:r>
      <w:r>
        <w:rPr>
          <w:rFonts w:hint="eastAsia" w:ascii="宋体" w:hAnsi="宋体" w:eastAsia="宋体" w:cs="宋体"/>
          <w:spacing w:val="14"/>
          <w:sz w:val="24"/>
          <w:szCs w:val="24"/>
          <w:highlight w:val="none"/>
        </w:rPr>
        <w:t>⑦</w:t>
      </w:r>
      <w:r>
        <w:rPr>
          <w:rFonts w:hint="eastAsia" w:ascii="宋体" w:hAnsi="宋体" w:eastAsia="宋体" w:cs="宋体"/>
          <w:spacing w:val="14"/>
          <w:sz w:val="24"/>
          <w:szCs w:val="24"/>
          <w:highlight w:val="none"/>
        </w:rPr>
        <w:fldChar w:fldCharType="end"/>
      </w:r>
      <w:r>
        <w:rPr>
          <w:rFonts w:hint="eastAsia" w:ascii="宋体" w:hAnsi="宋体" w:eastAsia="宋体" w:cs="宋体"/>
          <w:spacing w:val="14"/>
          <w:sz w:val="24"/>
          <w:szCs w:val="24"/>
          <w:highlight w:val="none"/>
        </w:rPr>
        <w:t>托管期间水质监测由</w:t>
      </w:r>
      <w:r>
        <w:rPr>
          <w:rFonts w:hint="eastAsia" w:ascii="宋体" w:hAnsi="宋体" w:eastAsia="宋体" w:cs="宋体"/>
          <w:spacing w:val="14"/>
          <w:sz w:val="24"/>
          <w:szCs w:val="24"/>
          <w:highlight w:val="none"/>
          <w:lang w:eastAsia="zh-CN"/>
        </w:rPr>
        <w:t>乙方</w:t>
      </w:r>
      <w:r>
        <w:rPr>
          <w:rFonts w:hint="eastAsia" w:ascii="宋体" w:hAnsi="宋体" w:eastAsia="宋体" w:cs="宋体"/>
          <w:spacing w:val="14"/>
          <w:sz w:val="24"/>
          <w:szCs w:val="24"/>
          <w:highlight w:val="none"/>
        </w:rPr>
        <w:t>进行监测，并按季度提供具有CMA的检测报告。</w:t>
      </w:r>
    </w:p>
    <w:p w14:paraId="1546E94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highlight w:val="none"/>
          <w:lang w:val="en-US" w:eastAsia="zh-CN"/>
        </w:rPr>
      </w:pPr>
      <w:r>
        <w:rPr>
          <w:rFonts w:hint="eastAsia" w:ascii="宋体" w:hAnsi="宋体" w:eastAsia="宋体" w:cs="宋体"/>
          <w:spacing w:val="14"/>
          <w:sz w:val="24"/>
          <w:szCs w:val="24"/>
          <w:highlight w:val="none"/>
          <w:lang w:val="en-US" w:eastAsia="zh-CN"/>
        </w:rPr>
        <w:fldChar w:fldCharType="begin"/>
      </w:r>
      <w:r>
        <w:rPr>
          <w:rFonts w:hint="eastAsia" w:ascii="宋体" w:hAnsi="宋体" w:eastAsia="宋体" w:cs="宋体"/>
          <w:spacing w:val="14"/>
          <w:sz w:val="24"/>
          <w:szCs w:val="24"/>
          <w:highlight w:val="none"/>
          <w:lang w:val="en-US" w:eastAsia="zh-CN"/>
        </w:rPr>
        <w:instrText xml:space="preserve"> = 8 \* GB3 \* MERGEFORMAT </w:instrText>
      </w:r>
      <w:r>
        <w:rPr>
          <w:rFonts w:hint="eastAsia" w:ascii="宋体" w:hAnsi="宋体" w:eastAsia="宋体" w:cs="宋体"/>
          <w:spacing w:val="14"/>
          <w:sz w:val="24"/>
          <w:szCs w:val="24"/>
          <w:highlight w:val="none"/>
          <w:lang w:val="en-US" w:eastAsia="zh-CN"/>
        </w:rPr>
        <w:fldChar w:fldCharType="separate"/>
      </w:r>
      <w:r>
        <w:rPr>
          <w:rFonts w:hint="eastAsia" w:ascii="宋体" w:hAnsi="宋体" w:eastAsia="宋体" w:cs="宋体"/>
          <w:spacing w:val="14"/>
          <w:sz w:val="24"/>
          <w:szCs w:val="24"/>
          <w:highlight w:val="none"/>
          <w:lang w:val="en-US" w:eastAsia="zh-CN"/>
        </w:rPr>
        <w:t>⑧</w:t>
      </w:r>
      <w:r>
        <w:rPr>
          <w:rFonts w:hint="eastAsia" w:ascii="宋体" w:hAnsi="宋体" w:eastAsia="宋体" w:cs="宋体"/>
          <w:spacing w:val="14"/>
          <w:sz w:val="24"/>
          <w:szCs w:val="24"/>
          <w:highlight w:val="none"/>
          <w:lang w:val="en-US" w:eastAsia="zh-CN"/>
        </w:rPr>
        <w:fldChar w:fldCharType="end"/>
      </w:r>
      <w:r>
        <w:rPr>
          <w:rFonts w:hint="eastAsia" w:ascii="宋体" w:hAnsi="宋体" w:eastAsia="宋体" w:cs="宋体"/>
          <w:spacing w:val="14"/>
          <w:sz w:val="24"/>
          <w:szCs w:val="24"/>
          <w:highlight w:val="none"/>
          <w:lang w:val="en-US" w:eastAsia="zh-CN"/>
        </w:rPr>
        <w:t>人工、设备维护、环保运行管理和院区危险废物处置、水质监测、平台填报等其他费用</w:t>
      </w:r>
      <w:r>
        <w:rPr>
          <w:rFonts w:hint="eastAsia" w:ascii="宋体" w:hAnsi="宋体" w:eastAsia="宋体" w:cs="宋体"/>
          <w:spacing w:val="14"/>
          <w:sz w:val="24"/>
          <w:szCs w:val="24"/>
          <w:highlight w:val="none"/>
          <w:lang w:eastAsia="zh-CN"/>
        </w:rPr>
        <w:t>均由乙方承担</w:t>
      </w:r>
      <w:r>
        <w:rPr>
          <w:rFonts w:hint="eastAsia" w:ascii="宋体" w:hAnsi="宋体" w:eastAsia="宋体" w:cs="宋体"/>
          <w:spacing w:val="14"/>
          <w:sz w:val="24"/>
          <w:szCs w:val="24"/>
          <w:highlight w:val="none"/>
          <w:lang w:val="en-US" w:eastAsia="zh-CN"/>
        </w:rPr>
        <w:t>。</w:t>
      </w:r>
    </w:p>
    <w:p w14:paraId="301B1A8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附件一</w:t>
      </w:r>
    </w:p>
    <w:tbl>
      <w:tblPr>
        <w:tblStyle w:val="6"/>
        <w:tblW w:w="90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1"/>
        <w:gridCol w:w="8390"/>
      </w:tblGrid>
      <w:tr w14:paraId="1C0CF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9031" w:type="dxa"/>
            <w:gridSpan w:val="2"/>
            <w:tcBorders>
              <w:tl2br w:val="nil"/>
              <w:tr2bl w:val="nil"/>
            </w:tcBorders>
            <w:noWrap w:val="0"/>
            <w:tcMar>
              <w:top w:w="0" w:type="dxa"/>
              <w:left w:w="105" w:type="dxa"/>
              <w:bottom w:w="0" w:type="dxa"/>
              <w:right w:w="105" w:type="dxa"/>
            </w:tcMar>
            <w:vAlign w:val="top"/>
          </w:tcPr>
          <w:p w14:paraId="0CDAEA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服务内容</w:t>
            </w:r>
          </w:p>
        </w:tc>
      </w:tr>
      <w:tr w14:paraId="1BD5A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641" w:type="dxa"/>
            <w:tcBorders>
              <w:tl2br w:val="nil"/>
              <w:tr2bl w:val="nil"/>
            </w:tcBorders>
            <w:noWrap w:val="0"/>
            <w:tcMar>
              <w:top w:w="0" w:type="dxa"/>
              <w:left w:w="105" w:type="dxa"/>
              <w:bottom w:w="0" w:type="dxa"/>
              <w:right w:w="105" w:type="dxa"/>
            </w:tcMar>
            <w:vAlign w:val="top"/>
          </w:tcPr>
          <w:p w14:paraId="4D083B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w:t>
            </w:r>
          </w:p>
        </w:tc>
        <w:tc>
          <w:tcPr>
            <w:tcW w:w="8390" w:type="dxa"/>
            <w:tcBorders>
              <w:tl2br w:val="nil"/>
              <w:tr2bl w:val="nil"/>
            </w:tcBorders>
            <w:noWrap w:val="0"/>
            <w:tcMar>
              <w:top w:w="0" w:type="dxa"/>
              <w:left w:w="105" w:type="dxa"/>
              <w:bottom w:w="0" w:type="dxa"/>
              <w:right w:w="105" w:type="dxa"/>
            </w:tcMar>
            <w:vAlign w:val="top"/>
          </w:tcPr>
          <w:p w14:paraId="57AF092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对污水站各项设施进行日常管理维护，保证处理设施正常运行，污水排放达到国家有关标准要求。</w:t>
            </w:r>
          </w:p>
          <w:p w14:paraId="758BAD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（1）定期清理格栅池垃圾；</w:t>
            </w:r>
          </w:p>
          <w:p w14:paraId="4F06C6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（2）定期检查出水池液位是否正常；</w:t>
            </w:r>
          </w:p>
          <w:p w14:paraId="091E0A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（3）定期检查设备调节池内的水位控制器动作是否正常，一旦发现问题应及时修复调整；</w:t>
            </w:r>
          </w:p>
          <w:p w14:paraId="6514D8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（4）定期检查“手动”功能是否正常，如有故障及时排除；</w:t>
            </w:r>
          </w:p>
          <w:p w14:paraId="473DA7D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（5）定期检查控制柜内的电子元件技术性能是否良好，如有误差及时维修或调整；</w:t>
            </w:r>
          </w:p>
          <w:p w14:paraId="1409FE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（6）定期检查控制柜的液位信号、工作指示信号及报警信号是否正常，如发现问题及时修复或更换；</w:t>
            </w:r>
          </w:p>
          <w:p w14:paraId="44F595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（7）定期检测机电设备的工作运行电流并做记录，如有异常应及时检查原因并作相应处理；</w:t>
            </w:r>
          </w:p>
          <w:p w14:paraId="636428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（8）检查污水消毒设备是否正常，消毒剂是否有效，如发现问题及时修复或更换；</w:t>
            </w:r>
          </w:p>
          <w:p w14:paraId="0904A3B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（9）做好工作记录，日常的维修保养记录；</w:t>
            </w:r>
          </w:p>
          <w:p w14:paraId="22E25D5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（10）工艺技术工程师对污水站定期巡检；</w:t>
            </w:r>
          </w:p>
          <w:p w14:paraId="544B276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（11）每日对水质进行自检，检测项目有：PH、余氯等并做好记录；</w:t>
            </w:r>
          </w:p>
          <w:p w14:paraId="782C39E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（12）其他与污水站质量相关的临时性工作。</w:t>
            </w:r>
          </w:p>
        </w:tc>
      </w:tr>
      <w:tr w14:paraId="050F8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8" w:hRule="atLeast"/>
        </w:trPr>
        <w:tc>
          <w:tcPr>
            <w:tcW w:w="641" w:type="dxa"/>
            <w:tcBorders>
              <w:tl2br w:val="nil"/>
              <w:tr2bl w:val="nil"/>
            </w:tcBorders>
            <w:noWrap w:val="0"/>
            <w:tcMar>
              <w:top w:w="0" w:type="dxa"/>
              <w:left w:w="105" w:type="dxa"/>
              <w:bottom w:w="0" w:type="dxa"/>
              <w:right w:w="105" w:type="dxa"/>
            </w:tcMar>
            <w:vAlign w:val="top"/>
          </w:tcPr>
          <w:p w14:paraId="1CF732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8390" w:type="dxa"/>
            <w:tcBorders>
              <w:tl2br w:val="nil"/>
              <w:tr2bl w:val="nil"/>
            </w:tcBorders>
            <w:noWrap w:val="0"/>
            <w:tcMar>
              <w:top w:w="0" w:type="dxa"/>
              <w:left w:w="105" w:type="dxa"/>
              <w:bottom w:w="0" w:type="dxa"/>
              <w:right w:w="105" w:type="dxa"/>
            </w:tcMar>
            <w:vAlign w:val="top"/>
          </w:tcPr>
          <w:p w14:paraId="4910F9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每月工作项目</w:t>
            </w:r>
          </w:p>
          <w:p w14:paraId="40D305F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（1）清理水泵内的污物以防堵塞；</w:t>
            </w:r>
          </w:p>
          <w:p w14:paraId="67C70C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（2）调整和加固水泵底座螺丝；</w:t>
            </w:r>
          </w:p>
          <w:p w14:paraId="42EBE5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（3）检测电机绝缘电阻并做记录；</w:t>
            </w:r>
          </w:p>
          <w:p w14:paraId="43A103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（4）检查水泵提升链条是否牢固可行，如发现问题应及时更换。</w:t>
            </w:r>
          </w:p>
        </w:tc>
      </w:tr>
      <w:tr w14:paraId="5E4B3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5" w:hRule="atLeast"/>
        </w:trPr>
        <w:tc>
          <w:tcPr>
            <w:tcW w:w="641" w:type="dxa"/>
            <w:tcBorders>
              <w:tl2br w:val="nil"/>
              <w:tr2bl w:val="nil"/>
            </w:tcBorders>
            <w:noWrap w:val="0"/>
            <w:tcMar>
              <w:top w:w="0" w:type="dxa"/>
              <w:left w:w="105" w:type="dxa"/>
              <w:bottom w:w="0" w:type="dxa"/>
              <w:right w:w="105" w:type="dxa"/>
            </w:tcMar>
            <w:vAlign w:val="top"/>
          </w:tcPr>
          <w:p w14:paraId="009E2B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w:t>
            </w:r>
          </w:p>
        </w:tc>
        <w:tc>
          <w:tcPr>
            <w:tcW w:w="8390" w:type="dxa"/>
            <w:tcBorders>
              <w:tl2br w:val="nil"/>
              <w:tr2bl w:val="nil"/>
            </w:tcBorders>
            <w:noWrap w:val="0"/>
            <w:tcMar>
              <w:top w:w="0" w:type="dxa"/>
              <w:left w:w="105" w:type="dxa"/>
              <w:bottom w:w="0" w:type="dxa"/>
              <w:right w:w="105" w:type="dxa"/>
            </w:tcMar>
            <w:vAlign w:val="top"/>
          </w:tcPr>
          <w:p w14:paraId="699516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每年/半年工作项目</w:t>
            </w:r>
          </w:p>
          <w:p w14:paraId="55CE56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（1）对污水站内所有设备、系统每半年进行一次大保养，以确保运行正常；</w:t>
            </w:r>
          </w:p>
          <w:p w14:paraId="0C57CD7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（2）对所有污水池每年一次彻底清污；</w:t>
            </w:r>
          </w:p>
          <w:p w14:paraId="0E25BDB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（3）污水处理站设施设备的日常保养及设施设备损坏维修均由甲方负责解决；</w:t>
            </w:r>
          </w:p>
          <w:p w14:paraId="0C9B899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（4）所有污水站在院工作人员资料及设备保养维护资料交医院存档。</w:t>
            </w:r>
          </w:p>
          <w:p w14:paraId="3CAE954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（5）污水站台账记录整理装订交医院存档</w:t>
            </w:r>
          </w:p>
        </w:tc>
      </w:tr>
    </w:tbl>
    <w:p w14:paraId="111DC8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附件二</w:t>
      </w:r>
    </w:p>
    <w:p w14:paraId="7D31CCF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危险废物处置清单：</w:t>
      </w:r>
    </w:p>
    <w:tbl>
      <w:tblPr>
        <w:tblStyle w:val="6"/>
        <w:tblW w:w="4998" w:type="pct"/>
        <w:jc w:val="center"/>
        <w:tblLayout w:type="autofit"/>
        <w:tblCellMar>
          <w:top w:w="0" w:type="dxa"/>
          <w:left w:w="108" w:type="dxa"/>
          <w:bottom w:w="0" w:type="dxa"/>
          <w:right w:w="108" w:type="dxa"/>
        </w:tblCellMar>
      </w:tblPr>
      <w:tblGrid>
        <w:gridCol w:w="1017"/>
        <w:gridCol w:w="3159"/>
        <w:gridCol w:w="4343"/>
      </w:tblGrid>
      <w:tr w14:paraId="03BA3BF4">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2601636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序号</w:t>
            </w:r>
          </w:p>
        </w:tc>
        <w:tc>
          <w:tcPr>
            <w:tcW w:w="1854" w:type="pct"/>
            <w:tcBorders>
              <w:top w:val="single" w:color="auto" w:sz="4" w:space="0"/>
              <w:left w:val="nil"/>
              <w:bottom w:val="single" w:color="auto" w:sz="4" w:space="0"/>
              <w:right w:val="single" w:color="auto" w:sz="4" w:space="0"/>
            </w:tcBorders>
            <w:noWrap w:val="0"/>
            <w:vAlign w:val="center"/>
          </w:tcPr>
          <w:p w14:paraId="6EB7827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危废名称</w:t>
            </w:r>
          </w:p>
        </w:tc>
        <w:tc>
          <w:tcPr>
            <w:tcW w:w="2548" w:type="pct"/>
            <w:tcBorders>
              <w:top w:val="single" w:color="auto" w:sz="4" w:space="0"/>
              <w:left w:val="nil"/>
              <w:bottom w:val="single" w:color="auto" w:sz="4" w:space="0"/>
              <w:right w:val="single" w:color="auto" w:sz="4" w:space="0"/>
            </w:tcBorders>
            <w:noWrap w:val="0"/>
            <w:vAlign w:val="center"/>
          </w:tcPr>
          <w:p w14:paraId="23C444B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危废代码</w:t>
            </w:r>
          </w:p>
        </w:tc>
      </w:tr>
      <w:tr w14:paraId="27187914">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2C68791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69EDA5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污泥</w:t>
            </w:r>
          </w:p>
        </w:tc>
        <w:tc>
          <w:tcPr>
            <w:tcW w:w="2548" w:type="pct"/>
            <w:tcBorders>
              <w:top w:val="single" w:color="auto" w:sz="4" w:space="0"/>
              <w:left w:val="nil"/>
              <w:bottom w:val="single" w:color="auto" w:sz="4" w:space="0"/>
              <w:right w:val="single" w:color="auto" w:sz="4" w:space="0"/>
            </w:tcBorders>
            <w:noWrap w:val="0"/>
            <w:vAlign w:val="center"/>
          </w:tcPr>
          <w:p w14:paraId="000C62A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772-006-49</w:t>
            </w:r>
          </w:p>
        </w:tc>
      </w:tr>
      <w:tr w14:paraId="575D4F87">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169DA44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4AE048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废液</w:t>
            </w:r>
          </w:p>
        </w:tc>
        <w:tc>
          <w:tcPr>
            <w:tcW w:w="2548" w:type="pct"/>
            <w:tcBorders>
              <w:top w:val="single" w:color="auto" w:sz="4" w:space="0"/>
              <w:left w:val="nil"/>
              <w:bottom w:val="single" w:color="auto" w:sz="4" w:space="0"/>
              <w:right w:val="single" w:color="auto" w:sz="4" w:space="0"/>
            </w:tcBorders>
            <w:noWrap w:val="0"/>
            <w:vAlign w:val="center"/>
          </w:tcPr>
          <w:p w14:paraId="5A7634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841-00</w:t>
            </w:r>
            <w:r>
              <w:rPr>
                <w:rFonts w:hint="eastAsia" w:ascii="宋体" w:hAnsi="宋体" w:eastAsia="宋体" w:cs="宋体"/>
                <w:spacing w:val="14"/>
                <w:sz w:val="21"/>
                <w:szCs w:val="21"/>
                <w:lang w:val="en-US" w:eastAsia="zh-CN"/>
              </w:rPr>
              <w:t>4</w:t>
            </w:r>
            <w:r>
              <w:rPr>
                <w:rFonts w:hint="eastAsia" w:ascii="宋体" w:hAnsi="宋体" w:eastAsia="宋体" w:cs="宋体"/>
                <w:spacing w:val="14"/>
                <w:sz w:val="21"/>
                <w:szCs w:val="21"/>
              </w:rPr>
              <w:t>-01</w:t>
            </w:r>
          </w:p>
        </w:tc>
      </w:tr>
      <w:tr w14:paraId="692F9641">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6C70E2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26E56CC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矿物油</w:t>
            </w:r>
          </w:p>
        </w:tc>
        <w:tc>
          <w:tcPr>
            <w:tcW w:w="2548" w:type="pct"/>
            <w:tcBorders>
              <w:top w:val="single" w:color="auto" w:sz="4" w:space="0"/>
              <w:left w:val="nil"/>
              <w:bottom w:val="single" w:color="auto" w:sz="4" w:space="0"/>
              <w:right w:val="single" w:color="auto" w:sz="4" w:space="0"/>
            </w:tcBorders>
            <w:noWrap w:val="0"/>
            <w:vAlign w:val="center"/>
          </w:tcPr>
          <w:p w14:paraId="4AA9F76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900-214-08</w:t>
            </w:r>
          </w:p>
        </w:tc>
      </w:tr>
      <w:tr w14:paraId="1790B649">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7557CD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0B6426D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含汞废物</w:t>
            </w:r>
          </w:p>
        </w:tc>
        <w:tc>
          <w:tcPr>
            <w:tcW w:w="2548" w:type="pct"/>
            <w:tcBorders>
              <w:top w:val="single" w:color="auto" w:sz="4" w:space="0"/>
              <w:left w:val="nil"/>
              <w:bottom w:val="single" w:color="auto" w:sz="4" w:space="0"/>
              <w:right w:val="single" w:color="auto" w:sz="4" w:space="0"/>
            </w:tcBorders>
            <w:noWrap w:val="0"/>
            <w:vAlign w:val="center"/>
          </w:tcPr>
          <w:p w14:paraId="3802A79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900-023-29</w:t>
            </w:r>
          </w:p>
        </w:tc>
      </w:tr>
      <w:tr w14:paraId="4F7996A2">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5D08BF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194E22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eastAsia="zh-CN"/>
              </w:rPr>
              <w:t>废</w:t>
            </w:r>
            <w:r>
              <w:rPr>
                <w:rFonts w:hint="eastAsia" w:ascii="宋体" w:hAnsi="宋体" w:eastAsia="宋体" w:cs="宋体"/>
                <w:spacing w:val="14"/>
                <w:sz w:val="21"/>
                <w:szCs w:val="21"/>
              </w:rPr>
              <w:t>活性炭</w:t>
            </w:r>
          </w:p>
        </w:tc>
        <w:tc>
          <w:tcPr>
            <w:tcW w:w="2548" w:type="pct"/>
            <w:tcBorders>
              <w:top w:val="single" w:color="auto" w:sz="4" w:space="0"/>
              <w:left w:val="nil"/>
              <w:bottom w:val="single" w:color="auto" w:sz="4" w:space="0"/>
              <w:right w:val="single" w:color="auto" w:sz="4" w:space="0"/>
            </w:tcBorders>
            <w:noWrap w:val="0"/>
            <w:vAlign w:val="center"/>
          </w:tcPr>
          <w:p w14:paraId="5A007C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rPr>
              <w:t>900-0</w:t>
            </w:r>
            <w:r>
              <w:rPr>
                <w:rFonts w:hint="eastAsia" w:ascii="宋体" w:hAnsi="宋体" w:eastAsia="宋体" w:cs="宋体"/>
                <w:spacing w:val="14"/>
                <w:sz w:val="21"/>
                <w:szCs w:val="21"/>
                <w:lang w:val="en-US" w:eastAsia="zh-CN"/>
              </w:rPr>
              <w:t>39</w:t>
            </w:r>
            <w:r>
              <w:rPr>
                <w:rFonts w:hint="eastAsia" w:ascii="宋体" w:hAnsi="宋体" w:eastAsia="宋体" w:cs="宋体"/>
                <w:spacing w:val="14"/>
                <w:sz w:val="21"/>
                <w:szCs w:val="21"/>
              </w:rPr>
              <w:t>-49</w:t>
            </w:r>
          </w:p>
        </w:tc>
      </w:tr>
      <w:tr w14:paraId="483CF002">
        <w:tblPrEx>
          <w:tblCellMar>
            <w:top w:w="0" w:type="dxa"/>
            <w:left w:w="108" w:type="dxa"/>
            <w:bottom w:w="0" w:type="dxa"/>
            <w:right w:w="108" w:type="dxa"/>
          </w:tblCellMar>
        </w:tblPrEx>
        <w:trPr>
          <w:trHeight w:val="446" w:hRule="atLeast"/>
          <w:jc w:val="center"/>
        </w:trPr>
        <w:tc>
          <w:tcPr>
            <w:tcW w:w="597" w:type="pct"/>
            <w:tcBorders>
              <w:top w:val="single" w:color="auto" w:sz="4" w:space="0"/>
              <w:left w:val="single" w:color="auto" w:sz="4" w:space="0"/>
              <w:bottom w:val="single" w:color="auto" w:sz="4" w:space="0"/>
              <w:right w:val="single" w:color="auto" w:sz="4" w:space="0"/>
            </w:tcBorders>
            <w:noWrap w:val="0"/>
            <w:vAlign w:val="center"/>
          </w:tcPr>
          <w:p w14:paraId="64360CC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w:t>
            </w:r>
          </w:p>
        </w:tc>
        <w:tc>
          <w:tcPr>
            <w:tcW w:w="1854" w:type="pct"/>
            <w:tcBorders>
              <w:top w:val="single" w:color="auto" w:sz="4" w:space="0"/>
              <w:left w:val="single" w:color="auto" w:sz="4" w:space="0"/>
              <w:bottom w:val="single" w:color="auto" w:sz="4" w:space="0"/>
              <w:right w:val="single" w:color="auto" w:sz="4" w:space="0"/>
            </w:tcBorders>
            <w:noWrap w:val="0"/>
            <w:vAlign w:val="center"/>
          </w:tcPr>
          <w:p w14:paraId="753F41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其他废物</w:t>
            </w:r>
          </w:p>
        </w:tc>
        <w:tc>
          <w:tcPr>
            <w:tcW w:w="2548" w:type="pct"/>
            <w:tcBorders>
              <w:top w:val="single" w:color="auto" w:sz="4" w:space="0"/>
              <w:left w:val="nil"/>
              <w:bottom w:val="single" w:color="auto" w:sz="4" w:space="0"/>
              <w:right w:val="single" w:color="auto" w:sz="4" w:space="0"/>
            </w:tcBorders>
            <w:noWrap w:val="0"/>
            <w:vAlign w:val="center"/>
          </w:tcPr>
          <w:p w14:paraId="769050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900-047-49</w:t>
            </w:r>
          </w:p>
        </w:tc>
      </w:tr>
      <w:tr w14:paraId="0D4681B1">
        <w:tblPrEx>
          <w:tblCellMar>
            <w:top w:w="0" w:type="dxa"/>
            <w:left w:w="108" w:type="dxa"/>
            <w:bottom w:w="0" w:type="dxa"/>
            <w:right w:w="108" w:type="dxa"/>
          </w:tblCellMar>
        </w:tblPrEx>
        <w:trPr>
          <w:trHeight w:val="446"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06E67F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备注：按照甲方要求及科室危险废物产生情况及时上报清运处置并按照危险废物处置相关规定执行。</w:t>
            </w:r>
          </w:p>
        </w:tc>
      </w:tr>
    </w:tbl>
    <w:p w14:paraId="2F3F0E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p>
    <w:p w14:paraId="4746E4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p>
    <w:p w14:paraId="56D86B4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附件三</w:t>
      </w:r>
    </w:p>
    <w:tbl>
      <w:tblPr>
        <w:tblStyle w:val="9"/>
        <w:tblW w:w="8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7"/>
        <w:gridCol w:w="415"/>
        <w:gridCol w:w="11"/>
        <w:gridCol w:w="1148"/>
        <w:gridCol w:w="195"/>
        <w:gridCol w:w="641"/>
        <w:gridCol w:w="734"/>
        <w:gridCol w:w="245"/>
        <w:gridCol w:w="13"/>
        <w:gridCol w:w="21"/>
        <w:gridCol w:w="1156"/>
        <w:gridCol w:w="241"/>
        <w:gridCol w:w="1199"/>
        <w:gridCol w:w="218"/>
        <w:gridCol w:w="1397"/>
      </w:tblGrid>
      <w:tr w14:paraId="0C9E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jc w:val="center"/>
        </w:trPr>
        <w:tc>
          <w:tcPr>
            <w:tcW w:w="8661" w:type="dxa"/>
            <w:gridSpan w:val="15"/>
            <w:noWrap w:val="0"/>
            <w:vAlign w:val="center"/>
          </w:tcPr>
          <w:p w14:paraId="23CF0D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r>
              <w:rPr>
                <w:rFonts w:hint="eastAsia" w:ascii="宋体" w:hAnsi="宋体" w:eastAsia="宋体" w:cs="宋体"/>
                <w:spacing w:val="14"/>
                <w:sz w:val="20"/>
                <w:szCs w:val="20"/>
                <w:lang w:eastAsia="zh-CN"/>
              </w:rPr>
              <w:t>西安市中心医院北大街院区及糖坊街院区水质及环境检测项目</w:t>
            </w:r>
          </w:p>
        </w:tc>
      </w:tr>
      <w:tr w14:paraId="15DF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jc w:val="center"/>
        </w:trPr>
        <w:tc>
          <w:tcPr>
            <w:tcW w:w="1442" w:type="dxa"/>
            <w:gridSpan w:val="2"/>
            <w:noWrap w:val="0"/>
            <w:vAlign w:val="center"/>
          </w:tcPr>
          <w:p w14:paraId="53BC6BB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废水类型</w:t>
            </w:r>
          </w:p>
        </w:tc>
        <w:tc>
          <w:tcPr>
            <w:tcW w:w="1995" w:type="dxa"/>
            <w:gridSpan w:val="4"/>
            <w:noWrap w:val="0"/>
            <w:vAlign w:val="center"/>
          </w:tcPr>
          <w:p w14:paraId="0BFB18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监测项目</w:t>
            </w:r>
          </w:p>
        </w:tc>
        <w:tc>
          <w:tcPr>
            <w:tcW w:w="1013" w:type="dxa"/>
            <w:gridSpan w:val="4"/>
            <w:noWrap w:val="0"/>
            <w:vAlign w:val="center"/>
          </w:tcPr>
          <w:p w14:paraId="5006B9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监测点位</w:t>
            </w:r>
          </w:p>
        </w:tc>
        <w:tc>
          <w:tcPr>
            <w:tcW w:w="1397" w:type="dxa"/>
            <w:gridSpan w:val="2"/>
            <w:noWrap w:val="0"/>
            <w:vAlign w:val="center"/>
          </w:tcPr>
          <w:p w14:paraId="0DF2489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监测频次</w:t>
            </w:r>
          </w:p>
        </w:tc>
        <w:tc>
          <w:tcPr>
            <w:tcW w:w="1417" w:type="dxa"/>
            <w:gridSpan w:val="2"/>
            <w:noWrap w:val="0"/>
            <w:vAlign w:val="center"/>
          </w:tcPr>
          <w:p w14:paraId="79D529D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监测方式</w:t>
            </w:r>
          </w:p>
        </w:tc>
        <w:tc>
          <w:tcPr>
            <w:tcW w:w="1397" w:type="dxa"/>
            <w:noWrap w:val="0"/>
            <w:vAlign w:val="center"/>
          </w:tcPr>
          <w:p w14:paraId="01389AD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质控方案</w:t>
            </w:r>
          </w:p>
        </w:tc>
      </w:tr>
      <w:tr w14:paraId="186E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restart"/>
            <w:noWrap w:val="0"/>
            <w:vAlign w:val="center"/>
          </w:tcPr>
          <w:p w14:paraId="7C6DEE4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医疗废水</w:t>
            </w:r>
          </w:p>
        </w:tc>
        <w:tc>
          <w:tcPr>
            <w:tcW w:w="1995" w:type="dxa"/>
            <w:gridSpan w:val="4"/>
            <w:noWrap w:val="0"/>
            <w:vAlign w:val="center"/>
          </w:tcPr>
          <w:p w14:paraId="7EF313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PH/总余氯</w:t>
            </w:r>
          </w:p>
        </w:tc>
        <w:tc>
          <w:tcPr>
            <w:tcW w:w="1013" w:type="dxa"/>
            <w:gridSpan w:val="4"/>
            <w:vMerge w:val="restart"/>
            <w:noWrap w:val="0"/>
            <w:vAlign w:val="center"/>
          </w:tcPr>
          <w:p w14:paraId="5C12B18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污水排放口</w:t>
            </w:r>
          </w:p>
        </w:tc>
        <w:tc>
          <w:tcPr>
            <w:tcW w:w="1397" w:type="dxa"/>
            <w:gridSpan w:val="2"/>
            <w:noWrap w:val="0"/>
            <w:vAlign w:val="center"/>
          </w:tcPr>
          <w:p w14:paraId="1F3FB4D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2 次/日</w:t>
            </w:r>
          </w:p>
        </w:tc>
        <w:tc>
          <w:tcPr>
            <w:tcW w:w="1417" w:type="dxa"/>
            <w:gridSpan w:val="2"/>
            <w:noWrap w:val="0"/>
            <w:vAlign w:val="center"/>
          </w:tcPr>
          <w:p w14:paraId="602A15C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230C4AA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设备校准</w:t>
            </w:r>
          </w:p>
        </w:tc>
      </w:tr>
      <w:tr w14:paraId="761C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01C3A1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782D03E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悬浮物</w:t>
            </w:r>
          </w:p>
        </w:tc>
        <w:tc>
          <w:tcPr>
            <w:tcW w:w="1013" w:type="dxa"/>
            <w:gridSpan w:val="4"/>
            <w:vMerge w:val="continue"/>
            <w:noWrap w:val="0"/>
            <w:vAlign w:val="center"/>
          </w:tcPr>
          <w:p w14:paraId="3D4BA1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restart"/>
            <w:noWrap w:val="0"/>
            <w:vAlign w:val="center"/>
          </w:tcPr>
          <w:p w14:paraId="4E5D6D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次/周</w:t>
            </w:r>
          </w:p>
        </w:tc>
        <w:tc>
          <w:tcPr>
            <w:tcW w:w="1417" w:type="dxa"/>
            <w:gridSpan w:val="2"/>
            <w:vMerge w:val="restart"/>
            <w:noWrap w:val="0"/>
            <w:vAlign w:val="center"/>
          </w:tcPr>
          <w:p w14:paraId="1588D5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1E59704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平行样</w:t>
            </w:r>
          </w:p>
        </w:tc>
      </w:tr>
      <w:tr w14:paraId="0D41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499D66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30D2D3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COD</w:t>
            </w:r>
          </w:p>
        </w:tc>
        <w:tc>
          <w:tcPr>
            <w:tcW w:w="1013" w:type="dxa"/>
            <w:gridSpan w:val="4"/>
            <w:vMerge w:val="continue"/>
            <w:noWrap w:val="0"/>
            <w:vAlign w:val="center"/>
          </w:tcPr>
          <w:p w14:paraId="23B41EB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5F7A66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62E005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73BCD8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233A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1442" w:type="dxa"/>
            <w:gridSpan w:val="2"/>
            <w:vMerge w:val="continue"/>
            <w:noWrap w:val="0"/>
            <w:vAlign w:val="center"/>
          </w:tcPr>
          <w:p w14:paraId="672946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0261C6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五日生化需氧量</w:t>
            </w:r>
          </w:p>
        </w:tc>
        <w:tc>
          <w:tcPr>
            <w:tcW w:w="1013" w:type="dxa"/>
            <w:gridSpan w:val="4"/>
            <w:vMerge w:val="continue"/>
            <w:noWrap w:val="0"/>
            <w:vAlign w:val="center"/>
          </w:tcPr>
          <w:p w14:paraId="735E6C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restart"/>
            <w:noWrap w:val="0"/>
            <w:vAlign w:val="center"/>
          </w:tcPr>
          <w:p w14:paraId="02038C4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vMerge w:val="restart"/>
            <w:noWrap w:val="0"/>
            <w:vAlign w:val="center"/>
          </w:tcPr>
          <w:p w14:paraId="289AC48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6F2B33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495D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1D931E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020DA5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动植物油</w:t>
            </w:r>
          </w:p>
        </w:tc>
        <w:tc>
          <w:tcPr>
            <w:tcW w:w="1013" w:type="dxa"/>
            <w:gridSpan w:val="4"/>
            <w:vMerge w:val="continue"/>
            <w:noWrap w:val="0"/>
            <w:vAlign w:val="center"/>
          </w:tcPr>
          <w:p w14:paraId="5220E50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388B8AB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5AF97F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20FFB1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空白</w:t>
            </w:r>
          </w:p>
        </w:tc>
      </w:tr>
      <w:tr w14:paraId="6E11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5138062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7D97E3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氨氮</w:t>
            </w:r>
          </w:p>
        </w:tc>
        <w:tc>
          <w:tcPr>
            <w:tcW w:w="1013" w:type="dxa"/>
            <w:gridSpan w:val="4"/>
            <w:vMerge w:val="continue"/>
            <w:noWrap w:val="0"/>
            <w:vAlign w:val="center"/>
          </w:tcPr>
          <w:p w14:paraId="1C9989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7BE3C4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342864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0A4B66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2C50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335506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1B2D23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色度</w:t>
            </w:r>
          </w:p>
        </w:tc>
        <w:tc>
          <w:tcPr>
            <w:tcW w:w="1013" w:type="dxa"/>
            <w:gridSpan w:val="4"/>
            <w:vMerge w:val="continue"/>
            <w:noWrap w:val="0"/>
            <w:vAlign w:val="center"/>
          </w:tcPr>
          <w:p w14:paraId="7B7EB52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78467D9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4B4EA04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3942C8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平行</w:t>
            </w:r>
          </w:p>
        </w:tc>
      </w:tr>
      <w:tr w14:paraId="3C3D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1E8F34F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547DF7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总氰化物</w:t>
            </w:r>
          </w:p>
        </w:tc>
        <w:tc>
          <w:tcPr>
            <w:tcW w:w="1013" w:type="dxa"/>
            <w:gridSpan w:val="4"/>
            <w:vMerge w:val="continue"/>
            <w:noWrap w:val="0"/>
            <w:vAlign w:val="center"/>
          </w:tcPr>
          <w:p w14:paraId="500D76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072326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3CC485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7CBB7E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1958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36D91E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35E89B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石油类</w:t>
            </w:r>
          </w:p>
        </w:tc>
        <w:tc>
          <w:tcPr>
            <w:tcW w:w="1013" w:type="dxa"/>
            <w:gridSpan w:val="4"/>
            <w:vMerge w:val="continue"/>
            <w:noWrap w:val="0"/>
            <w:vAlign w:val="center"/>
          </w:tcPr>
          <w:p w14:paraId="6D520B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16F0EE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586EAF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7627F1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空白</w:t>
            </w:r>
          </w:p>
        </w:tc>
      </w:tr>
      <w:tr w14:paraId="5B6C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1442" w:type="dxa"/>
            <w:gridSpan w:val="2"/>
            <w:vMerge w:val="continue"/>
            <w:noWrap w:val="0"/>
            <w:vAlign w:val="center"/>
          </w:tcPr>
          <w:p w14:paraId="302693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40862A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挥发酚</w:t>
            </w:r>
          </w:p>
        </w:tc>
        <w:tc>
          <w:tcPr>
            <w:tcW w:w="1013" w:type="dxa"/>
            <w:gridSpan w:val="4"/>
            <w:vMerge w:val="continue"/>
            <w:noWrap w:val="0"/>
            <w:vAlign w:val="center"/>
          </w:tcPr>
          <w:p w14:paraId="7E43D7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7114F3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1FE454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2F79042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0580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restart"/>
            <w:noWrap w:val="0"/>
            <w:vAlign w:val="center"/>
          </w:tcPr>
          <w:p w14:paraId="7FE8376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p>
        </w:tc>
        <w:tc>
          <w:tcPr>
            <w:tcW w:w="1995" w:type="dxa"/>
            <w:gridSpan w:val="4"/>
            <w:noWrap w:val="0"/>
            <w:vAlign w:val="center"/>
          </w:tcPr>
          <w:p w14:paraId="17094C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阴离子表面活性剂</w:t>
            </w:r>
          </w:p>
        </w:tc>
        <w:tc>
          <w:tcPr>
            <w:tcW w:w="1013" w:type="dxa"/>
            <w:gridSpan w:val="4"/>
            <w:vMerge w:val="restart"/>
            <w:noWrap w:val="0"/>
            <w:vAlign w:val="center"/>
          </w:tcPr>
          <w:p w14:paraId="512995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p>
        </w:tc>
        <w:tc>
          <w:tcPr>
            <w:tcW w:w="1397" w:type="dxa"/>
            <w:gridSpan w:val="2"/>
            <w:vMerge w:val="restart"/>
            <w:noWrap w:val="0"/>
            <w:vAlign w:val="center"/>
          </w:tcPr>
          <w:p w14:paraId="54621E4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vMerge w:val="restart"/>
            <w:noWrap w:val="0"/>
            <w:vAlign w:val="center"/>
          </w:tcPr>
          <w:p w14:paraId="2B1E93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3B78344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7D40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38FB9A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0F196A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沙门氏菌</w:t>
            </w:r>
          </w:p>
        </w:tc>
        <w:tc>
          <w:tcPr>
            <w:tcW w:w="1013" w:type="dxa"/>
            <w:gridSpan w:val="4"/>
            <w:vMerge w:val="continue"/>
            <w:noWrap w:val="0"/>
            <w:vAlign w:val="center"/>
          </w:tcPr>
          <w:p w14:paraId="6C4E2B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vMerge w:val="continue"/>
            <w:noWrap w:val="0"/>
            <w:vAlign w:val="center"/>
          </w:tcPr>
          <w:p w14:paraId="184E70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vMerge w:val="continue"/>
            <w:noWrap w:val="0"/>
            <w:vAlign w:val="center"/>
          </w:tcPr>
          <w:p w14:paraId="6BCE805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noWrap w:val="0"/>
            <w:vAlign w:val="center"/>
          </w:tcPr>
          <w:p w14:paraId="3A3B254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阳性对照</w:t>
            </w:r>
          </w:p>
        </w:tc>
      </w:tr>
      <w:tr w14:paraId="1C7F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57D74B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37A091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粪大肠菌群</w:t>
            </w:r>
          </w:p>
        </w:tc>
        <w:tc>
          <w:tcPr>
            <w:tcW w:w="1013" w:type="dxa"/>
            <w:gridSpan w:val="4"/>
            <w:vMerge w:val="continue"/>
            <w:noWrap w:val="0"/>
            <w:vAlign w:val="center"/>
          </w:tcPr>
          <w:p w14:paraId="41E1998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noWrap w:val="0"/>
            <w:vAlign w:val="center"/>
          </w:tcPr>
          <w:p w14:paraId="3BF7A1B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次/月</w:t>
            </w:r>
          </w:p>
        </w:tc>
        <w:tc>
          <w:tcPr>
            <w:tcW w:w="1417" w:type="dxa"/>
            <w:gridSpan w:val="2"/>
            <w:noWrap w:val="0"/>
            <w:vAlign w:val="center"/>
          </w:tcPr>
          <w:p w14:paraId="551E2AE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10BE5C7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阳性对照</w:t>
            </w:r>
          </w:p>
        </w:tc>
      </w:tr>
      <w:tr w14:paraId="620D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1442" w:type="dxa"/>
            <w:gridSpan w:val="2"/>
            <w:vMerge w:val="continue"/>
            <w:noWrap w:val="0"/>
            <w:vAlign w:val="center"/>
          </w:tcPr>
          <w:p w14:paraId="47AD302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708497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志贺氏菌</w:t>
            </w:r>
          </w:p>
        </w:tc>
        <w:tc>
          <w:tcPr>
            <w:tcW w:w="1013" w:type="dxa"/>
            <w:gridSpan w:val="4"/>
            <w:vMerge w:val="continue"/>
            <w:noWrap w:val="0"/>
            <w:vAlign w:val="center"/>
          </w:tcPr>
          <w:p w14:paraId="0D7997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noWrap w:val="0"/>
            <w:vAlign w:val="center"/>
          </w:tcPr>
          <w:p w14:paraId="7C923B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次/半年</w:t>
            </w:r>
          </w:p>
        </w:tc>
        <w:tc>
          <w:tcPr>
            <w:tcW w:w="1417" w:type="dxa"/>
            <w:gridSpan w:val="2"/>
            <w:noWrap w:val="0"/>
            <w:vAlign w:val="center"/>
          </w:tcPr>
          <w:p w14:paraId="640205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09046B0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阳性对照</w:t>
            </w:r>
          </w:p>
        </w:tc>
      </w:tr>
      <w:tr w14:paraId="35AE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restart"/>
            <w:noWrap w:val="0"/>
            <w:vAlign w:val="center"/>
          </w:tcPr>
          <w:p w14:paraId="52153C0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低放射废水</w:t>
            </w:r>
          </w:p>
        </w:tc>
        <w:tc>
          <w:tcPr>
            <w:tcW w:w="1995" w:type="dxa"/>
            <w:gridSpan w:val="4"/>
            <w:noWrap w:val="0"/>
            <w:vAlign w:val="center"/>
          </w:tcPr>
          <w:p w14:paraId="743FD92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总α</w:t>
            </w:r>
          </w:p>
        </w:tc>
        <w:tc>
          <w:tcPr>
            <w:tcW w:w="1013" w:type="dxa"/>
            <w:gridSpan w:val="4"/>
            <w:vMerge w:val="restart"/>
            <w:noWrap w:val="0"/>
            <w:vAlign w:val="center"/>
          </w:tcPr>
          <w:p w14:paraId="46D8B5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p>
          <w:p w14:paraId="3B535D6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衰变池排放口</w:t>
            </w:r>
          </w:p>
        </w:tc>
        <w:tc>
          <w:tcPr>
            <w:tcW w:w="1397" w:type="dxa"/>
            <w:gridSpan w:val="2"/>
            <w:noWrap w:val="0"/>
            <w:vAlign w:val="center"/>
          </w:tcPr>
          <w:p w14:paraId="4C4656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noWrap w:val="0"/>
            <w:vAlign w:val="center"/>
          </w:tcPr>
          <w:p w14:paraId="0AFA27D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12BCB9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42D6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vMerge w:val="continue"/>
            <w:noWrap w:val="0"/>
            <w:vAlign w:val="center"/>
          </w:tcPr>
          <w:p w14:paraId="608D95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95" w:type="dxa"/>
            <w:gridSpan w:val="4"/>
            <w:noWrap w:val="0"/>
            <w:vAlign w:val="center"/>
          </w:tcPr>
          <w:p w14:paraId="01DFBCA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总β</w:t>
            </w:r>
          </w:p>
        </w:tc>
        <w:tc>
          <w:tcPr>
            <w:tcW w:w="1013" w:type="dxa"/>
            <w:gridSpan w:val="4"/>
            <w:vMerge w:val="continue"/>
            <w:noWrap w:val="0"/>
            <w:vAlign w:val="center"/>
          </w:tcPr>
          <w:p w14:paraId="5F9B168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97" w:type="dxa"/>
            <w:gridSpan w:val="2"/>
            <w:noWrap w:val="0"/>
            <w:vAlign w:val="center"/>
          </w:tcPr>
          <w:p w14:paraId="59C880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noWrap w:val="0"/>
            <w:vAlign w:val="center"/>
          </w:tcPr>
          <w:p w14:paraId="1E92EC4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79E24B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67E8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42" w:type="dxa"/>
            <w:gridSpan w:val="2"/>
            <w:noWrap w:val="0"/>
            <w:vAlign w:val="center"/>
          </w:tcPr>
          <w:p w14:paraId="15D4E6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锅炉废水</w:t>
            </w:r>
          </w:p>
        </w:tc>
        <w:tc>
          <w:tcPr>
            <w:tcW w:w="1995" w:type="dxa"/>
            <w:gridSpan w:val="4"/>
            <w:noWrap w:val="0"/>
            <w:vAlign w:val="center"/>
          </w:tcPr>
          <w:p w14:paraId="52A1776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r>
              <w:rPr>
                <w:rFonts w:hint="eastAsia" w:ascii="宋体" w:hAnsi="宋体" w:eastAsia="宋体" w:cs="宋体"/>
                <w:spacing w:val="14"/>
                <w:sz w:val="20"/>
                <w:szCs w:val="20"/>
                <w:lang w:eastAsia="zh-CN"/>
              </w:rPr>
              <w:t>溶解性总（全盐类）</w:t>
            </w:r>
          </w:p>
        </w:tc>
        <w:tc>
          <w:tcPr>
            <w:tcW w:w="1013" w:type="dxa"/>
            <w:gridSpan w:val="4"/>
            <w:noWrap w:val="0"/>
            <w:vAlign w:val="center"/>
          </w:tcPr>
          <w:p w14:paraId="7722A0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污水总</w:t>
            </w:r>
          </w:p>
          <w:p w14:paraId="478AA58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排口</w:t>
            </w:r>
          </w:p>
        </w:tc>
        <w:tc>
          <w:tcPr>
            <w:tcW w:w="1397" w:type="dxa"/>
            <w:gridSpan w:val="2"/>
            <w:noWrap w:val="0"/>
            <w:vAlign w:val="center"/>
          </w:tcPr>
          <w:p w14:paraId="1A2AA6D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noWrap w:val="0"/>
            <w:vAlign w:val="center"/>
          </w:tcPr>
          <w:p w14:paraId="1C885E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w:t>
            </w:r>
          </w:p>
        </w:tc>
        <w:tc>
          <w:tcPr>
            <w:tcW w:w="1397" w:type="dxa"/>
            <w:noWrap w:val="0"/>
            <w:vAlign w:val="center"/>
          </w:tcPr>
          <w:p w14:paraId="42FF06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14CC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453" w:type="dxa"/>
            <w:gridSpan w:val="3"/>
            <w:noWrap w:val="0"/>
            <w:vAlign w:val="center"/>
          </w:tcPr>
          <w:p w14:paraId="43AA074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类型</w:t>
            </w:r>
          </w:p>
        </w:tc>
        <w:tc>
          <w:tcPr>
            <w:tcW w:w="1984" w:type="dxa"/>
            <w:gridSpan w:val="3"/>
            <w:noWrap w:val="0"/>
            <w:vAlign w:val="center"/>
          </w:tcPr>
          <w:p w14:paraId="35DAB50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监测项目</w:t>
            </w:r>
          </w:p>
        </w:tc>
        <w:tc>
          <w:tcPr>
            <w:tcW w:w="992" w:type="dxa"/>
            <w:gridSpan w:val="3"/>
            <w:noWrap w:val="0"/>
            <w:vAlign w:val="center"/>
          </w:tcPr>
          <w:p w14:paraId="367743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监测点位</w:t>
            </w:r>
          </w:p>
        </w:tc>
        <w:tc>
          <w:tcPr>
            <w:tcW w:w="1418" w:type="dxa"/>
            <w:gridSpan w:val="3"/>
            <w:noWrap w:val="0"/>
            <w:vAlign w:val="center"/>
          </w:tcPr>
          <w:p w14:paraId="163FA12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监测频次</w:t>
            </w:r>
          </w:p>
        </w:tc>
        <w:tc>
          <w:tcPr>
            <w:tcW w:w="1417" w:type="dxa"/>
            <w:gridSpan w:val="2"/>
            <w:noWrap w:val="0"/>
            <w:vAlign w:val="center"/>
          </w:tcPr>
          <w:p w14:paraId="220AE0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监测方式</w:t>
            </w:r>
          </w:p>
        </w:tc>
        <w:tc>
          <w:tcPr>
            <w:tcW w:w="1397" w:type="dxa"/>
            <w:noWrap w:val="0"/>
            <w:vAlign w:val="center"/>
          </w:tcPr>
          <w:p w14:paraId="5E39A4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质控方案</w:t>
            </w:r>
          </w:p>
        </w:tc>
      </w:tr>
      <w:tr w14:paraId="20A2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jc w:val="center"/>
        </w:trPr>
        <w:tc>
          <w:tcPr>
            <w:tcW w:w="1453" w:type="dxa"/>
            <w:gridSpan w:val="3"/>
            <w:vMerge w:val="restart"/>
            <w:noWrap w:val="0"/>
            <w:vAlign w:val="center"/>
          </w:tcPr>
          <w:p w14:paraId="28E35A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厂界废气无组织</w:t>
            </w:r>
          </w:p>
        </w:tc>
        <w:tc>
          <w:tcPr>
            <w:tcW w:w="1984" w:type="dxa"/>
            <w:gridSpan w:val="3"/>
            <w:noWrap w:val="0"/>
            <w:vAlign w:val="center"/>
          </w:tcPr>
          <w:p w14:paraId="31A1DF9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甲烷</w:t>
            </w:r>
          </w:p>
        </w:tc>
        <w:tc>
          <w:tcPr>
            <w:tcW w:w="992" w:type="dxa"/>
            <w:gridSpan w:val="3"/>
            <w:vMerge w:val="restart"/>
            <w:noWrap w:val="0"/>
            <w:vAlign w:val="center"/>
          </w:tcPr>
          <w:p w14:paraId="628B849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厂界四周 4 个监测点位</w:t>
            </w:r>
          </w:p>
        </w:tc>
        <w:tc>
          <w:tcPr>
            <w:tcW w:w="1418" w:type="dxa"/>
            <w:gridSpan w:val="3"/>
            <w:vMerge w:val="restart"/>
            <w:noWrap w:val="0"/>
            <w:vAlign w:val="center"/>
          </w:tcPr>
          <w:p w14:paraId="70E080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17" w:type="dxa"/>
            <w:gridSpan w:val="2"/>
            <w:noWrap w:val="0"/>
            <w:vAlign w:val="center"/>
          </w:tcPr>
          <w:p w14:paraId="05A3C5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397" w:type="dxa"/>
            <w:noWrap w:val="0"/>
            <w:vAlign w:val="center"/>
          </w:tcPr>
          <w:p w14:paraId="2C30FA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中间点校准</w:t>
            </w:r>
          </w:p>
        </w:tc>
      </w:tr>
      <w:tr w14:paraId="385B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453" w:type="dxa"/>
            <w:gridSpan w:val="3"/>
            <w:vMerge w:val="continue"/>
            <w:noWrap w:val="0"/>
            <w:vAlign w:val="center"/>
          </w:tcPr>
          <w:p w14:paraId="05BBCB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84" w:type="dxa"/>
            <w:gridSpan w:val="3"/>
            <w:noWrap w:val="0"/>
            <w:vAlign w:val="center"/>
          </w:tcPr>
          <w:p w14:paraId="237F384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臭气浓度</w:t>
            </w:r>
          </w:p>
        </w:tc>
        <w:tc>
          <w:tcPr>
            <w:tcW w:w="992" w:type="dxa"/>
            <w:gridSpan w:val="3"/>
            <w:vMerge w:val="continue"/>
            <w:noWrap w:val="0"/>
            <w:vAlign w:val="center"/>
          </w:tcPr>
          <w:p w14:paraId="1BCABBE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8" w:type="dxa"/>
            <w:gridSpan w:val="3"/>
            <w:vMerge w:val="continue"/>
            <w:noWrap w:val="0"/>
            <w:vAlign w:val="center"/>
          </w:tcPr>
          <w:p w14:paraId="11E9971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noWrap w:val="0"/>
            <w:vAlign w:val="center"/>
          </w:tcPr>
          <w:p w14:paraId="182ECD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397" w:type="dxa"/>
            <w:noWrap w:val="0"/>
            <w:vAlign w:val="center"/>
          </w:tcPr>
          <w:p w14:paraId="11F0E0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w:t>
            </w:r>
          </w:p>
        </w:tc>
      </w:tr>
      <w:tr w14:paraId="3B34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453" w:type="dxa"/>
            <w:gridSpan w:val="3"/>
            <w:vMerge w:val="continue"/>
            <w:noWrap w:val="0"/>
            <w:vAlign w:val="center"/>
          </w:tcPr>
          <w:p w14:paraId="63F9E8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84" w:type="dxa"/>
            <w:gridSpan w:val="3"/>
            <w:noWrap w:val="0"/>
            <w:vAlign w:val="center"/>
          </w:tcPr>
          <w:p w14:paraId="0872FA6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氨气</w:t>
            </w:r>
          </w:p>
        </w:tc>
        <w:tc>
          <w:tcPr>
            <w:tcW w:w="992" w:type="dxa"/>
            <w:gridSpan w:val="3"/>
            <w:vMerge w:val="continue"/>
            <w:noWrap w:val="0"/>
            <w:vAlign w:val="center"/>
          </w:tcPr>
          <w:p w14:paraId="7C2508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8" w:type="dxa"/>
            <w:gridSpan w:val="3"/>
            <w:vMerge w:val="continue"/>
            <w:noWrap w:val="0"/>
            <w:vAlign w:val="center"/>
          </w:tcPr>
          <w:p w14:paraId="60FF49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noWrap w:val="0"/>
            <w:vAlign w:val="center"/>
          </w:tcPr>
          <w:p w14:paraId="42CEEF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397" w:type="dxa"/>
            <w:noWrap w:val="0"/>
            <w:vAlign w:val="center"/>
          </w:tcPr>
          <w:p w14:paraId="2CAC2D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50A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453" w:type="dxa"/>
            <w:gridSpan w:val="3"/>
            <w:vMerge w:val="continue"/>
            <w:noWrap w:val="0"/>
            <w:vAlign w:val="center"/>
          </w:tcPr>
          <w:p w14:paraId="23DC64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84" w:type="dxa"/>
            <w:gridSpan w:val="3"/>
            <w:noWrap w:val="0"/>
            <w:vAlign w:val="center"/>
          </w:tcPr>
          <w:p w14:paraId="521399F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氯气</w:t>
            </w:r>
          </w:p>
        </w:tc>
        <w:tc>
          <w:tcPr>
            <w:tcW w:w="992" w:type="dxa"/>
            <w:gridSpan w:val="3"/>
            <w:vMerge w:val="continue"/>
            <w:noWrap w:val="0"/>
            <w:vAlign w:val="center"/>
          </w:tcPr>
          <w:p w14:paraId="16D8A36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8" w:type="dxa"/>
            <w:gridSpan w:val="3"/>
            <w:vMerge w:val="continue"/>
            <w:noWrap w:val="0"/>
            <w:vAlign w:val="center"/>
          </w:tcPr>
          <w:p w14:paraId="6B3B55A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noWrap w:val="0"/>
            <w:vAlign w:val="center"/>
          </w:tcPr>
          <w:p w14:paraId="122F0C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397" w:type="dxa"/>
            <w:noWrap w:val="0"/>
            <w:vAlign w:val="center"/>
          </w:tcPr>
          <w:p w14:paraId="1F9EF3A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w:t>
            </w:r>
          </w:p>
        </w:tc>
      </w:tr>
      <w:tr w14:paraId="22CC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atLeast"/>
          <w:jc w:val="center"/>
        </w:trPr>
        <w:tc>
          <w:tcPr>
            <w:tcW w:w="1453" w:type="dxa"/>
            <w:gridSpan w:val="3"/>
            <w:vMerge w:val="continue"/>
            <w:noWrap w:val="0"/>
            <w:vAlign w:val="center"/>
          </w:tcPr>
          <w:p w14:paraId="60D36D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984" w:type="dxa"/>
            <w:gridSpan w:val="3"/>
            <w:noWrap w:val="0"/>
            <w:vAlign w:val="center"/>
          </w:tcPr>
          <w:p w14:paraId="2577510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硫化氢</w:t>
            </w:r>
          </w:p>
        </w:tc>
        <w:tc>
          <w:tcPr>
            <w:tcW w:w="992" w:type="dxa"/>
            <w:gridSpan w:val="3"/>
            <w:vMerge w:val="continue"/>
            <w:noWrap w:val="0"/>
            <w:vAlign w:val="center"/>
          </w:tcPr>
          <w:p w14:paraId="3BA2D6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8" w:type="dxa"/>
            <w:gridSpan w:val="3"/>
            <w:vMerge w:val="continue"/>
            <w:noWrap w:val="0"/>
            <w:vAlign w:val="center"/>
          </w:tcPr>
          <w:p w14:paraId="7B277E9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17" w:type="dxa"/>
            <w:gridSpan w:val="2"/>
            <w:noWrap w:val="0"/>
            <w:vAlign w:val="center"/>
          </w:tcPr>
          <w:p w14:paraId="17EC7F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397" w:type="dxa"/>
            <w:noWrap w:val="0"/>
            <w:vAlign w:val="center"/>
          </w:tcPr>
          <w:p w14:paraId="2E04B98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25C2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atLeast"/>
          <w:jc w:val="center"/>
        </w:trPr>
        <w:tc>
          <w:tcPr>
            <w:tcW w:w="2796" w:type="dxa"/>
            <w:gridSpan w:val="5"/>
            <w:noWrap w:val="0"/>
            <w:vAlign w:val="center"/>
          </w:tcPr>
          <w:p w14:paraId="4D3F54A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r>
              <w:rPr>
                <w:rFonts w:hint="eastAsia" w:ascii="宋体" w:hAnsi="宋体" w:eastAsia="宋体" w:cs="宋体"/>
                <w:spacing w:val="14"/>
                <w:sz w:val="20"/>
                <w:szCs w:val="20"/>
              </w:rPr>
              <w:t>类型</w:t>
            </w:r>
          </w:p>
        </w:tc>
        <w:tc>
          <w:tcPr>
            <w:tcW w:w="1375" w:type="dxa"/>
            <w:gridSpan w:val="2"/>
            <w:noWrap w:val="0"/>
            <w:vAlign w:val="center"/>
          </w:tcPr>
          <w:p w14:paraId="6E083EC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监测项目</w:t>
            </w:r>
          </w:p>
        </w:tc>
        <w:tc>
          <w:tcPr>
            <w:tcW w:w="1435" w:type="dxa"/>
            <w:gridSpan w:val="4"/>
            <w:noWrap w:val="0"/>
            <w:vAlign w:val="center"/>
          </w:tcPr>
          <w:p w14:paraId="4ED30C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监测频次</w:t>
            </w:r>
          </w:p>
        </w:tc>
        <w:tc>
          <w:tcPr>
            <w:tcW w:w="1440" w:type="dxa"/>
            <w:gridSpan w:val="2"/>
            <w:noWrap w:val="0"/>
            <w:vAlign w:val="center"/>
          </w:tcPr>
          <w:p w14:paraId="776F305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监测方式</w:t>
            </w:r>
          </w:p>
        </w:tc>
        <w:tc>
          <w:tcPr>
            <w:tcW w:w="1615" w:type="dxa"/>
            <w:gridSpan w:val="2"/>
            <w:noWrap w:val="0"/>
            <w:vAlign w:val="center"/>
          </w:tcPr>
          <w:p w14:paraId="3E0A894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质控方案</w:t>
            </w:r>
          </w:p>
        </w:tc>
      </w:tr>
      <w:tr w14:paraId="2BE0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jc w:val="center"/>
        </w:trPr>
        <w:tc>
          <w:tcPr>
            <w:tcW w:w="2796" w:type="dxa"/>
            <w:gridSpan w:val="5"/>
            <w:vMerge w:val="restart"/>
            <w:noWrap w:val="0"/>
            <w:vAlign w:val="center"/>
          </w:tcPr>
          <w:p w14:paraId="4A79162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p>
          <w:p w14:paraId="78655D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r>
              <w:rPr>
                <w:rFonts w:hint="eastAsia" w:ascii="宋体" w:hAnsi="宋体" w:eastAsia="宋体" w:cs="宋体"/>
                <w:spacing w:val="14"/>
                <w:sz w:val="20"/>
                <w:szCs w:val="20"/>
              </w:rPr>
              <w:t>废气有组织</w:t>
            </w:r>
          </w:p>
          <w:p w14:paraId="25DFB36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zh-CN"/>
              </w:rPr>
            </w:pPr>
            <w:r>
              <w:rPr>
                <w:rFonts w:hint="eastAsia" w:ascii="宋体" w:hAnsi="宋体" w:eastAsia="宋体" w:cs="宋体"/>
                <w:spacing w:val="14"/>
                <w:sz w:val="20"/>
                <w:szCs w:val="20"/>
                <w:lang w:eastAsia="zh-CN"/>
              </w:rPr>
              <w:t>DA001</w:t>
            </w:r>
          </w:p>
        </w:tc>
        <w:tc>
          <w:tcPr>
            <w:tcW w:w="1375" w:type="dxa"/>
            <w:gridSpan w:val="2"/>
            <w:noWrap w:val="0"/>
            <w:vAlign w:val="center"/>
          </w:tcPr>
          <w:p w14:paraId="200F5A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臭气浓度</w:t>
            </w:r>
          </w:p>
        </w:tc>
        <w:tc>
          <w:tcPr>
            <w:tcW w:w="1435" w:type="dxa"/>
            <w:gridSpan w:val="4"/>
            <w:vMerge w:val="restart"/>
            <w:noWrap w:val="0"/>
            <w:vAlign w:val="center"/>
          </w:tcPr>
          <w:p w14:paraId="0B90A6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次/季度</w:t>
            </w:r>
          </w:p>
        </w:tc>
        <w:tc>
          <w:tcPr>
            <w:tcW w:w="1440" w:type="dxa"/>
            <w:gridSpan w:val="2"/>
            <w:vMerge w:val="restart"/>
            <w:noWrap w:val="0"/>
            <w:vAlign w:val="center"/>
          </w:tcPr>
          <w:p w14:paraId="755D3A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c>
          <w:tcPr>
            <w:tcW w:w="1615" w:type="dxa"/>
            <w:gridSpan w:val="2"/>
            <w:noWrap w:val="0"/>
            <w:vAlign w:val="center"/>
          </w:tcPr>
          <w:p w14:paraId="15B757A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w:t>
            </w:r>
          </w:p>
        </w:tc>
      </w:tr>
      <w:tr w14:paraId="312B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atLeast"/>
          <w:jc w:val="center"/>
        </w:trPr>
        <w:tc>
          <w:tcPr>
            <w:tcW w:w="2796" w:type="dxa"/>
            <w:gridSpan w:val="5"/>
            <w:vMerge w:val="continue"/>
            <w:noWrap w:val="0"/>
            <w:vAlign w:val="center"/>
          </w:tcPr>
          <w:p w14:paraId="021CD2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75" w:type="dxa"/>
            <w:gridSpan w:val="2"/>
            <w:noWrap w:val="0"/>
            <w:vAlign w:val="center"/>
          </w:tcPr>
          <w:p w14:paraId="4F9C90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氨气</w:t>
            </w:r>
          </w:p>
        </w:tc>
        <w:tc>
          <w:tcPr>
            <w:tcW w:w="1435" w:type="dxa"/>
            <w:gridSpan w:val="4"/>
            <w:vMerge w:val="continue"/>
            <w:noWrap w:val="0"/>
            <w:vAlign w:val="center"/>
          </w:tcPr>
          <w:p w14:paraId="613125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40" w:type="dxa"/>
            <w:gridSpan w:val="2"/>
            <w:vMerge w:val="continue"/>
            <w:noWrap w:val="0"/>
            <w:vAlign w:val="center"/>
          </w:tcPr>
          <w:p w14:paraId="5F1FE27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615" w:type="dxa"/>
            <w:gridSpan w:val="2"/>
            <w:noWrap w:val="0"/>
            <w:vAlign w:val="center"/>
          </w:tcPr>
          <w:p w14:paraId="576D26C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0376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jc w:val="center"/>
        </w:trPr>
        <w:tc>
          <w:tcPr>
            <w:tcW w:w="2796" w:type="dxa"/>
            <w:gridSpan w:val="5"/>
            <w:vMerge w:val="continue"/>
            <w:noWrap w:val="0"/>
            <w:vAlign w:val="center"/>
          </w:tcPr>
          <w:p w14:paraId="07E511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375" w:type="dxa"/>
            <w:gridSpan w:val="2"/>
            <w:noWrap w:val="0"/>
            <w:vAlign w:val="center"/>
          </w:tcPr>
          <w:p w14:paraId="481D5B8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硫化氢</w:t>
            </w:r>
          </w:p>
        </w:tc>
        <w:tc>
          <w:tcPr>
            <w:tcW w:w="1435" w:type="dxa"/>
            <w:gridSpan w:val="4"/>
            <w:vMerge w:val="continue"/>
            <w:noWrap w:val="0"/>
            <w:vAlign w:val="center"/>
          </w:tcPr>
          <w:p w14:paraId="3850D1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440" w:type="dxa"/>
            <w:gridSpan w:val="2"/>
            <w:vMerge w:val="continue"/>
            <w:noWrap w:val="0"/>
            <w:vAlign w:val="center"/>
          </w:tcPr>
          <w:p w14:paraId="2768E1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615" w:type="dxa"/>
            <w:gridSpan w:val="2"/>
            <w:noWrap w:val="0"/>
            <w:vAlign w:val="center"/>
          </w:tcPr>
          <w:p w14:paraId="5A30FD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质控样</w:t>
            </w:r>
          </w:p>
        </w:tc>
      </w:tr>
      <w:tr w14:paraId="005D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027" w:type="dxa"/>
            <w:noWrap w:val="0"/>
            <w:vAlign w:val="center"/>
          </w:tcPr>
          <w:p w14:paraId="6A15C9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类型</w:t>
            </w:r>
          </w:p>
        </w:tc>
        <w:tc>
          <w:tcPr>
            <w:tcW w:w="1574" w:type="dxa"/>
            <w:gridSpan w:val="3"/>
            <w:noWrap w:val="0"/>
            <w:vAlign w:val="center"/>
          </w:tcPr>
          <w:p w14:paraId="7D1AD8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监测项目</w:t>
            </w:r>
          </w:p>
        </w:tc>
        <w:tc>
          <w:tcPr>
            <w:tcW w:w="1815" w:type="dxa"/>
            <w:gridSpan w:val="4"/>
            <w:noWrap w:val="0"/>
            <w:vAlign w:val="center"/>
          </w:tcPr>
          <w:p w14:paraId="7B53C62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监测点位</w:t>
            </w:r>
          </w:p>
        </w:tc>
        <w:tc>
          <w:tcPr>
            <w:tcW w:w="2630" w:type="dxa"/>
            <w:gridSpan w:val="5"/>
            <w:noWrap w:val="0"/>
            <w:vAlign w:val="center"/>
          </w:tcPr>
          <w:p w14:paraId="630EF7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监测频次</w:t>
            </w:r>
          </w:p>
        </w:tc>
        <w:tc>
          <w:tcPr>
            <w:tcW w:w="1615" w:type="dxa"/>
            <w:gridSpan w:val="2"/>
            <w:noWrap w:val="0"/>
            <w:vAlign w:val="center"/>
          </w:tcPr>
          <w:p w14:paraId="3A98CCA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监测方式</w:t>
            </w:r>
          </w:p>
        </w:tc>
      </w:tr>
      <w:tr w14:paraId="73F9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4" w:hRule="atLeast"/>
          <w:jc w:val="center"/>
        </w:trPr>
        <w:tc>
          <w:tcPr>
            <w:tcW w:w="1027" w:type="dxa"/>
            <w:vMerge w:val="restart"/>
            <w:noWrap w:val="0"/>
            <w:vAlign w:val="center"/>
          </w:tcPr>
          <w:p w14:paraId="0403CDA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厂界噪声</w:t>
            </w:r>
          </w:p>
        </w:tc>
        <w:tc>
          <w:tcPr>
            <w:tcW w:w="1574" w:type="dxa"/>
            <w:gridSpan w:val="3"/>
            <w:noWrap w:val="0"/>
            <w:vAlign w:val="center"/>
          </w:tcPr>
          <w:p w14:paraId="6E5282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LeqA</w:t>
            </w:r>
          </w:p>
        </w:tc>
        <w:tc>
          <w:tcPr>
            <w:tcW w:w="1815" w:type="dxa"/>
            <w:gridSpan w:val="4"/>
            <w:noWrap w:val="0"/>
            <w:vAlign w:val="center"/>
          </w:tcPr>
          <w:p w14:paraId="01C79A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厂东界外 1 米</w:t>
            </w:r>
          </w:p>
        </w:tc>
        <w:tc>
          <w:tcPr>
            <w:tcW w:w="2630" w:type="dxa"/>
            <w:gridSpan w:val="5"/>
            <w:noWrap w:val="0"/>
            <w:vAlign w:val="center"/>
          </w:tcPr>
          <w:p w14:paraId="29FCF4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 昼、夜各一次</w:t>
            </w:r>
          </w:p>
        </w:tc>
        <w:tc>
          <w:tcPr>
            <w:tcW w:w="1615" w:type="dxa"/>
            <w:gridSpan w:val="2"/>
            <w:noWrap w:val="0"/>
            <w:vAlign w:val="center"/>
          </w:tcPr>
          <w:p w14:paraId="6E1DA9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r>
      <w:tr w14:paraId="52F9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27" w:type="dxa"/>
            <w:vMerge w:val="continue"/>
            <w:noWrap w:val="0"/>
            <w:vAlign w:val="center"/>
          </w:tcPr>
          <w:p w14:paraId="123F7B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574" w:type="dxa"/>
            <w:gridSpan w:val="3"/>
            <w:noWrap w:val="0"/>
            <w:vAlign w:val="center"/>
          </w:tcPr>
          <w:p w14:paraId="0487385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LeqA</w:t>
            </w:r>
          </w:p>
        </w:tc>
        <w:tc>
          <w:tcPr>
            <w:tcW w:w="1815" w:type="dxa"/>
            <w:gridSpan w:val="4"/>
            <w:noWrap w:val="0"/>
            <w:vAlign w:val="center"/>
          </w:tcPr>
          <w:p w14:paraId="77E3E0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厂南界外 1 米</w:t>
            </w:r>
          </w:p>
        </w:tc>
        <w:tc>
          <w:tcPr>
            <w:tcW w:w="2630" w:type="dxa"/>
            <w:gridSpan w:val="5"/>
            <w:noWrap w:val="0"/>
            <w:vAlign w:val="center"/>
          </w:tcPr>
          <w:p w14:paraId="03429EF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 昼、夜各一次</w:t>
            </w:r>
          </w:p>
        </w:tc>
        <w:tc>
          <w:tcPr>
            <w:tcW w:w="1615" w:type="dxa"/>
            <w:gridSpan w:val="2"/>
            <w:noWrap w:val="0"/>
            <w:vAlign w:val="center"/>
          </w:tcPr>
          <w:p w14:paraId="4B1FE3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r>
      <w:tr w14:paraId="7451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jc w:val="center"/>
        </w:trPr>
        <w:tc>
          <w:tcPr>
            <w:tcW w:w="1027" w:type="dxa"/>
            <w:vMerge w:val="continue"/>
            <w:noWrap w:val="0"/>
            <w:vAlign w:val="center"/>
          </w:tcPr>
          <w:p w14:paraId="23C231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574" w:type="dxa"/>
            <w:gridSpan w:val="3"/>
            <w:noWrap w:val="0"/>
            <w:vAlign w:val="center"/>
          </w:tcPr>
          <w:p w14:paraId="5D51BC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LeqA</w:t>
            </w:r>
          </w:p>
        </w:tc>
        <w:tc>
          <w:tcPr>
            <w:tcW w:w="1815" w:type="dxa"/>
            <w:gridSpan w:val="4"/>
            <w:noWrap w:val="0"/>
            <w:vAlign w:val="center"/>
          </w:tcPr>
          <w:p w14:paraId="669B3B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厂西界外 1 米</w:t>
            </w:r>
          </w:p>
        </w:tc>
        <w:tc>
          <w:tcPr>
            <w:tcW w:w="2630" w:type="dxa"/>
            <w:gridSpan w:val="5"/>
            <w:noWrap w:val="0"/>
            <w:vAlign w:val="center"/>
          </w:tcPr>
          <w:p w14:paraId="4C34B8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 昼、夜各一次</w:t>
            </w:r>
          </w:p>
        </w:tc>
        <w:tc>
          <w:tcPr>
            <w:tcW w:w="1615" w:type="dxa"/>
            <w:gridSpan w:val="2"/>
            <w:noWrap w:val="0"/>
            <w:vAlign w:val="center"/>
          </w:tcPr>
          <w:p w14:paraId="6550E8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r>
      <w:tr w14:paraId="3086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27" w:type="dxa"/>
            <w:vMerge w:val="continue"/>
            <w:noWrap w:val="0"/>
            <w:vAlign w:val="center"/>
          </w:tcPr>
          <w:p w14:paraId="774317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lang w:eastAsia="en-US"/>
              </w:rPr>
            </w:pPr>
          </w:p>
        </w:tc>
        <w:tc>
          <w:tcPr>
            <w:tcW w:w="1574" w:type="dxa"/>
            <w:gridSpan w:val="3"/>
            <w:noWrap w:val="0"/>
            <w:vAlign w:val="center"/>
          </w:tcPr>
          <w:p w14:paraId="1EE7E46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LeqA</w:t>
            </w:r>
          </w:p>
        </w:tc>
        <w:tc>
          <w:tcPr>
            <w:tcW w:w="1815" w:type="dxa"/>
            <w:gridSpan w:val="4"/>
            <w:noWrap w:val="0"/>
            <w:vAlign w:val="center"/>
          </w:tcPr>
          <w:p w14:paraId="5FCAB9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厂北界外 1 米</w:t>
            </w:r>
          </w:p>
        </w:tc>
        <w:tc>
          <w:tcPr>
            <w:tcW w:w="2630" w:type="dxa"/>
            <w:gridSpan w:val="5"/>
            <w:noWrap w:val="0"/>
            <w:vAlign w:val="center"/>
          </w:tcPr>
          <w:p w14:paraId="1FFBF3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1 次/季， 昼、夜各一次</w:t>
            </w:r>
          </w:p>
        </w:tc>
        <w:tc>
          <w:tcPr>
            <w:tcW w:w="1615" w:type="dxa"/>
            <w:gridSpan w:val="2"/>
            <w:noWrap w:val="0"/>
            <w:vAlign w:val="center"/>
          </w:tcPr>
          <w:p w14:paraId="1EED71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14"/>
                <w:sz w:val="20"/>
                <w:szCs w:val="20"/>
              </w:rPr>
            </w:pPr>
            <w:r>
              <w:rPr>
                <w:rFonts w:hint="eastAsia" w:ascii="宋体" w:hAnsi="宋体" w:eastAsia="宋体" w:cs="宋体"/>
                <w:spacing w:val="14"/>
                <w:sz w:val="20"/>
                <w:szCs w:val="20"/>
              </w:rPr>
              <w:t>手工监测</w:t>
            </w:r>
          </w:p>
        </w:tc>
      </w:tr>
    </w:tbl>
    <w:p w14:paraId="4DDA4E2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注：须完成我院核医学科要求的各项检测。</w:t>
      </w:r>
    </w:p>
    <w:p w14:paraId="1E8E0D9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10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val="en-US" w:eastAsia="zh-CN"/>
        </w:rPr>
        <w:t>⑩</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24小时值守。</w:t>
      </w:r>
    </w:p>
    <w:p w14:paraId="075468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⑪维保期内，如有环保等上级部门下发新的环保要求及检测内容，所新增的费用均由乙方承担。</w:t>
      </w:r>
    </w:p>
    <w:p w14:paraId="247109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p>
    <w:p w14:paraId="4F72546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北大街院区污水排放在线监测站</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2094"/>
        <w:gridCol w:w="1189"/>
        <w:gridCol w:w="1796"/>
        <w:gridCol w:w="2474"/>
      </w:tblGrid>
      <w:tr w14:paraId="5A1B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7E2AB4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序号</w:t>
            </w:r>
          </w:p>
        </w:tc>
        <w:tc>
          <w:tcPr>
            <w:tcW w:w="124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3D9B1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项目名称</w:t>
            </w:r>
          </w:p>
        </w:tc>
        <w:tc>
          <w:tcPr>
            <w:tcW w:w="70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0A0D78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服务期</w:t>
            </w: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2828C5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服务要求</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3E47732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备注</w:t>
            </w:r>
          </w:p>
        </w:tc>
      </w:tr>
      <w:tr w14:paraId="7D3A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335DF72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w:t>
            </w:r>
          </w:p>
        </w:tc>
        <w:tc>
          <w:tcPr>
            <w:tcW w:w="1243" w:type="pct"/>
            <w:vMerge w:val="restart"/>
            <w:tcBorders>
              <w:top w:val="single" w:color="auto" w:sz="4" w:space="0"/>
              <w:left w:val="single" w:color="auto" w:sz="4" w:space="0"/>
              <w:right w:val="single" w:color="auto" w:sz="4" w:space="0"/>
            </w:tcBorders>
            <w:noWrap w:val="0"/>
            <w:tcMar>
              <w:left w:w="57" w:type="dxa"/>
              <w:right w:w="57" w:type="dxa"/>
            </w:tcMar>
            <w:vAlign w:val="center"/>
          </w:tcPr>
          <w:p w14:paraId="650250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主院区在线监测站运维外包项目</w:t>
            </w:r>
          </w:p>
        </w:tc>
        <w:tc>
          <w:tcPr>
            <w:tcW w:w="706" w:type="pct"/>
            <w:vMerge w:val="restart"/>
            <w:tcBorders>
              <w:top w:val="single" w:color="auto" w:sz="4" w:space="0"/>
              <w:left w:val="single" w:color="auto" w:sz="4" w:space="0"/>
              <w:right w:val="single" w:color="auto" w:sz="4" w:space="0"/>
            </w:tcBorders>
            <w:noWrap w:val="0"/>
            <w:tcMar>
              <w:left w:w="57" w:type="dxa"/>
              <w:right w:w="57" w:type="dxa"/>
            </w:tcMar>
            <w:vAlign w:val="center"/>
          </w:tcPr>
          <w:p w14:paraId="748B26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1年</w:t>
            </w: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2F4DB7D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运维管理</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AB55E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倒班</w:t>
            </w:r>
          </w:p>
        </w:tc>
      </w:tr>
      <w:tr w14:paraId="3C3D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1651D6D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1243" w:type="pct"/>
            <w:vMerge w:val="continue"/>
            <w:tcBorders>
              <w:left w:val="single" w:color="auto" w:sz="4" w:space="0"/>
              <w:right w:val="single" w:color="auto" w:sz="4" w:space="0"/>
            </w:tcBorders>
            <w:noWrap w:val="0"/>
            <w:tcMar>
              <w:left w:w="57" w:type="dxa"/>
              <w:right w:w="57" w:type="dxa"/>
            </w:tcMar>
            <w:vAlign w:val="center"/>
          </w:tcPr>
          <w:p w14:paraId="6A3F6B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706" w:type="pct"/>
            <w:vMerge w:val="continue"/>
            <w:tcBorders>
              <w:left w:val="single" w:color="auto" w:sz="4" w:space="0"/>
              <w:right w:val="single" w:color="auto" w:sz="4" w:space="0"/>
            </w:tcBorders>
            <w:noWrap w:val="0"/>
            <w:tcMar>
              <w:left w:w="57" w:type="dxa"/>
              <w:right w:w="57" w:type="dxa"/>
            </w:tcMar>
            <w:vAlign w:val="center"/>
          </w:tcPr>
          <w:p w14:paraId="283EE85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7EE4FC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手工检测</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17BF32A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数据异常时对比检测</w:t>
            </w:r>
          </w:p>
        </w:tc>
      </w:tr>
      <w:tr w14:paraId="59B5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3F58B0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w:t>
            </w:r>
          </w:p>
        </w:tc>
        <w:tc>
          <w:tcPr>
            <w:tcW w:w="1243" w:type="pct"/>
            <w:vMerge w:val="continue"/>
            <w:tcBorders>
              <w:left w:val="single" w:color="auto" w:sz="4" w:space="0"/>
              <w:right w:val="single" w:color="auto" w:sz="4" w:space="0"/>
            </w:tcBorders>
            <w:noWrap w:val="0"/>
            <w:tcMar>
              <w:left w:w="57" w:type="dxa"/>
              <w:right w:w="57" w:type="dxa"/>
            </w:tcMar>
            <w:vAlign w:val="center"/>
          </w:tcPr>
          <w:p w14:paraId="036DC62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706" w:type="pct"/>
            <w:vMerge w:val="continue"/>
            <w:tcBorders>
              <w:left w:val="single" w:color="auto" w:sz="4" w:space="0"/>
              <w:right w:val="single" w:color="auto" w:sz="4" w:space="0"/>
            </w:tcBorders>
            <w:noWrap w:val="0"/>
            <w:tcMar>
              <w:left w:w="57" w:type="dxa"/>
              <w:right w:w="57" w:type="dxa"/>
            </w:tcMar>
            <w:vAlign w:val="center"/>
          </w:tcPr>
          <w:p w14:paraId="2C1E228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01FD089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PH 标液</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B0EC8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6931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5D78EA9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w:t>
            </w:r>
          </w:p>
        </w:tc>
        <w:tc>
          <w:tcPr>
            <w:tcW w:w="1243" w:type="pct"/>
            <w:vMerge w:val="continue"/>
            <w:tcBorders>
              <w:left w:val="single" w:color="auto" w:sz="4" w:space="0"/>
              <w:right w:val="single" w:color="auto" w:sz="4" w:space="0"/>
            </w:tcBorders>
            <w:noWrap w:val="0"/>
            <w:tcMar>
              <w:left w:w="57" w:type="dxa"/>
              <w:right w:w="57" w:type="dxa"/>
            </w:tcMar>
            <w:vAlign w:val="center"/>
          </w:tcPr>
          <w:p w14:paraId="28594C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706" w:type="pct"/>
            <w:vMerge w:val="continue"/>
            <w:tcBorders>
              <w:left w:val="single" w:color="auto" w:sz="4" w:space="0"/>
              <w:right w:val="single" w:color="auto" w:sz="4" w:space="0"/>
            </w:tcBorders>
            <w:noWrap w:val="0"/>
            <w:tcMar>
              <w:left w:w="57" w:type="dxa"/>
              <w:right w:w="57" w:type="dxa"/>
            </w:tcMar>
            <w:vAlign w:val="center"/>
          </w:tcPr>
          <w:p w14:paraId="3C070B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09DFD2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检测试剂</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3C3303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A\B\C试剂</w:t>
            </w:r>
          </w:p>
        </w:tc>
      </w:tr>
      <w:tr w14:paraId="0E10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557C0C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w:t>
            </w:r>
          </w:p>
        </w:tc>
        <w:tc>
          <w:tcPr>
            <w:tcW w:w="1243" w:type="pct"/>
            <w:vMerge w:val="continue"/>
            <w:tcBorders>
              <w:left w:val="single" w:color="auto" w:sz="4" w:space="0"/>
              <w:right w:val="single" w:color="auto" w:sz="4" w:space="0"/>
            </w:tcBorders>
            <w:noWrap w:val="0"/>
            <w:tcMar>
              <w:left w:w="57" w:type="dxa"/>
              <w:right w:w="57" w:type="dxa"/>
            </w:tcMar>
            <w:vAlign w:val="center"/>
          </w:tcPr>
          <w:p w14:paraId="3F5ECC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706" w:type="pct"/>
            <w:vMerge w:val="continue"/>
            <w:tcBorders>
              <w:left w:val="single" w:color="auto" w:sz="4" w:space="0"/>
              <w:right w:val="single" w:color="auto" w:sz="4" w:space="0"/>
            </w:tcBorders>
            <w:noWrap w:val="0"/>
            <w:tcMar>
              <w:left w:w="57" w:type="dxa"/>
              <w:right w:w="57" w:type="dxa"/>
            </w:tcMar>
            <w:vAlign w:val="center"/>
          </w:tcPr>
          <w:p w14:paraId="79528F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5B08BDC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纯水</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2C5AC55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lang w:val="en-US" w:eastAsia="zh-CN"/>
              </w:rPr>
              <w:t>由乙方免费提供合同履行过程中所需全部纯水</w:t>
            </w:r>
          </w:p>
        </w:tc>
      </w:tr>
      <w:tr w14:paraId="1240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C02B14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w:t>
            </w:r>
          </w:p>
        </w:tc>
        <w:tc>
          <w:tcPr>
            <w:tcW w:w="1243" w:type="pct"/>
            <w:vMerge w:val="continue"/>
            <w:tcBorders>
              <w:left w:val="single" w:color="auto" w:sz="4" w:space="0"/>
              <w:bottom w:val="single" w:color="auto" w:sz="4" w:space="0"/>
              <w:right w:val="single" w:color="auto" w:sz="4" w:space="0"/>
            </w:tcBorders>
            <w:noWrap w:val="0"/>
            <w:tcMar>
              <w:left w:w="57" w:type="dxa"/>
              <w:right w:w="57" w:type="dxa"/>
            </w:tcMar>
            <w:vAlign w:val="center"/>
          </w:tcPr>
          <w:p w14:paraId="304479C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706" w:type="pct"/>
            <w:vMerge w:val="continue"/>
            <w:tcBorders>
              <w:left w:val="single" w:color="auto" w:sz="4" w:space="0"/>
              <w:bottom w:val="single" w:color="auto" w:sz="4" w:space="0"/>
              <w:right w:val="single" w:color="auto" w:sz="4" w:space="0"/>
            </w:tcBorders>
            <w:noWrap w:val="0"/>
            <w:tcMar>
              <w:left w:w="57" w:type="dxa"/>
              <w:right w:w="57" w:type="dxa"/>
            </w:tcMar>
            <w:vAlign w:val="center"/>
          </w:tcPr>
          <w:p w14:paraId="4D7906E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066"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16E2E21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对比报告</w:t>
            </w:r>
          </w:p>
        </w:tc>
        <w:tc>
          <w:tcPr>
            <w:tcW w:w="1469" w:type="pct"/>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14:paraId="41FE7CE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提供第三方出具的官方认可的对比报告</w:t>
            </w:r>
          </w:p>
        </w:tc>
      </w:tr>
    </w:tbl>
    <w:p w14:paraId="53CF45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24小时在线监控</w:t>
      </w:r>
    </w:p>
    <w:p w14:paraId="549E20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9、锅炉污染物排放检测业务：</w:t>
      </w:r>
    </w:p>
    <w:p w14:paraId="1D3E1EF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检测内容为北院区锅炉及糖坊街院区直燃机污染物排放检测，并及时按环保要求及时上传数据并提供检测报告，</w:t>
      </w:r>
      <w:r>
        <w:rPr>
          <w:rFonts w:hint="eastAsia" w:ascii="宋体" w:hAnsi="宋体" w:eastAsia="宋体" w:cs="宋体"/>
          <w:spacing w:val="14"/>
          <w:sz w:val="24"/>
          <w:szCs w:val="24"/>
          <w:lang w:eastAsia="zh-CN"/>
        </w:rPr>
        <w:t>如未按时或延迟上传数据导致甲方造成的损失，由乙方承担一切后果。</w:t>
      </w:r>
    </w:p>
    <w:p w14:paraId="5D3987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检测内容：</w:t>
      </w:r>
    </w:p>
    <w:p w14:paraId="78EB56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1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lang w:eastAsia="zh-CN"/>
        </w:rPr>
        <w:t>①</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val="en-US" w:eastAsia="zh-CN"/>
        </w:rPr>
        <w:t>氮氧化物：固定污染源废气、氮氧化物的测定、定电位电解法 HJ693-2014</w:t>
      </w:r>
    </w:p>
    <w:p w14:paraId="7AC79E3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2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lang w:eastAsia="zh-CN"/>
        </w:rPr>
        <w:t>②</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val="en-US" w:eastAsia="zh-CN"/>
        </w:rPr>
        <w:t>二氧化硫：固定污染源废气、二氧化硫的测定、定电位电解法 HJ57-2017</w:t>
      </w:r>
    </w:p>
    <w:p w14:paraId="5F3DD1D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3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eastAsia="zh-CN"/>
        </w:rPr>
        <w:t>③</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烟气黑度：固定污染源排放烟气黑度的测定、林格曼烟气黑度图法 HJ/T398-2007</w:t>
      </w:r>
    </w:p>
    <w:p w14:paraId="1B45F5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val="en-US" w:eastAsia="zh-CN"/>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颗粒物：固定污染源废气、低浓度颗粒物的测定、重量法 HJ 836-2017固定污染源排气中颗粒物测定与气态污染物采样方法 GB/T 16157-1996</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998"/>
        <w:gridCol w:w="1207"/>
        <w:gridCol w:w="1724"/>
        <w:gridCol w:w="2879"/>
      </w:tblGrid>
      <w:tr w14:paraId="69F2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top"/>
          </w:tcPr>
          <w:p w14:paraId="6BD739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序号</w:t>
            </w:r>
          </w:p>
        </w:tc>
        <w:tc>
          <w:tcPr>
            <w:tcW w:w="1172" w:type="pct"/>
            <w:noWrap w:val="0"/>
            <w:vAlign w:val="top"/>
          </w:tcPr>
          <w:p w14:paraId="020FA42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监测类别</w:t>
            </w:r>
          </w:p>
        </w:tc>
        <w:tc>
          <w:tcPr>
            <w:tcW w:w="708" w:type="pct"/>
            <w:noWrap w:val="0"/>
            <w:vAlign w:val="top"/>
          </w:tcPr>
          <w:p w14:paraId="722CD0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点位数</w:t>
            </w:r>
          </w:p>
        </w:tc>
        <w:tc>
          <w:tcPr>
            <w:tcW w:w="1011" w:type="pct"/>
            <w:noWrap w:val="0"/>
            <w:vAlign w:val="top"/>
          </w:tcPr>
          <w:p w14:paraId="0FE59C9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监测项目及点位</w:t>
            </w:r>
          </w:p>
        </w:tc>
        <w:tc>
          <w:tcPr>
            <w:tcW w:w="1689" w:type="pct"/>
            <w:noWrap w:val="0"/>
            <w:vAlign w:val="top"/>
          </w:tcPr>
          <w:p w14:paraId="177FF2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18"/>
                <w:szCs w:val="18"/>
                <w:lang w:val="en-US" w:eastAsia="zh-CN"/>
              </w:rPr>
            </w:pPr>
            <w:r>
              <w:rPr>
                <w:rFonts w:hint="eastAsia" w:ascii="宋体" w:hAnsi="宋体" w:eastAsia="宋体" w:cs="宋体"/>
                <w:spacing w:val="14"/>
                <w:sz w:val="18"/>
                <w:szCs w:val="18"/>
                <w:lang w:val="en-US" w:eastAsia="zh-CN"/>
              </w:rPr>
              <w:t>监测点位/项目/频次</w:t>
            </w:r>
          </w:p>
        </w:tc>
      </w:tr>
      <w:tr w14:paraId="6C02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center"/>
          </w:tcPr>
          <w:p w14:paraId="0DC47101">
            <w:pPr>
              <w:pStyle w:val="10"/>
              <w:keepNext w:val="0"/>
              <w:keepLines w:val="0"/>
              <w:pageBreakBefore w:val="0"/>
              <w:widowControl w:val="0"/>
              <w:shd w:val="clear" w:color="auto" w:fill="auto"/>
              <w:kinsoku/>
              <w:wordWrap/>
              <w:overflowPunct/>
              <w:topLinePunct w:val="0"/>
              <w:autoSpaceDE/>
              <w:autoSpaceDN/>
              <w:bidi w:val="0"/>
              <w:adjustRightInd w:val="0"/>
              <w:snapToGrid w:val="0"/>
              <w:spacing w:after="220" w:line="80" w:lineRule="atLeast"/>
              <w:ind w:left="0" w:leftChars="0"/>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1</w:t>
            </w:r>
          </w:p>
        </w:tc>
        <w:tc>
          <w:tcPr>
            <w:tcW w:w="1172" w:type="pct"/>
            <w:noWrap w:val="0"/>
            <w:vAlign w:val="center"/>
          </w:tcPr>
          <w:p w14:paraId="4F140E1B">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锅炉废气排放口</w:t>
            </w:r>
          </w:p>
        </w:tc>
        <w:tc>
          <w:tcPr>
            <w:tcW w:w="708" w:type="pct"/>
            <w:noWrap w:val="0"/>
            <w:vAlign w:val="center"/>
          </w:tcPr>
          <w:p w14:paraId="59F2C7DE">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3个点位</w:t>
            </w:r>
          </w:p>
        </w:tc>
        <w:tc>
          <w:tcPr>
            <w:tcW w:w="1011" w:type="pct"/>
            <w:noWrap w:val="0"/>
            <w:vAlign w:val="center"/>
          </w:tcPr>
          <w:p w14:paraId="2F197E17">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颗粒物、二氧化硫、烟气黑度</w:t>
            </w:r>
          </w:p>
        </w:tc>
        <w:tc>
          <w:tcPr>
            <w:tcW w:w="1689" w:type="pct"/>
            <w:noWrap w:val="0"/>
            <w:vAlign w:val="center"/>
          </w:tcPr>
          <w:p w14:paraId="399401DB">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3个点位/3个项目/2次/年</w:t>
            </w:r>
          </w:p>
        </w:tc>
      </w:tr>
      <w:tr w14:paraId="2388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center"/>
          </w:tcPr>
          <w:p w14:paraId="744C64DB">
            <w:pPr>
              <w:pStyle w:val="10"/>
              <w:keepNext w:val="0"/>
              <w:keepLines w:val="0"/>
              <w:pageBreakBefore w:val="0"/>
              <w:widowControl w:val="0"/>
              <w:shd w:val="clear" w:color="auto" w:fill="auto"/>
              <w:kinsoku/>
              <w:wordWrap/>
              <w:overflowPunct/>
              <w:topLinePunct w:val="0"/>
              <w:autoSpaceDE/>
              <w:autoSpaceDN/>
              <w:bidi w:val="0"/>
              <w:adjustRightInd w:val="0"/>
              <w:snapToGrid w:val="0"/>
              <w:spacing w:after="220" w:line="80" w:lineRule="atLeast"/>
              <w:ind w:left="0" w:leftChars="0"/>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2</w:t>
            </w:r>
          </w:p>
        </w:tc>
        <w:tc>
          <w:tcPr>
            <w:tcW w:w="1172" w:type="pct"/>
            <w:noWrap w:val="0"/>
            <w:vAlign w:val="center"/>
          </w:tcPr>
          <w:p w14:paraId="4B688F8D">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锅炉废气排放口</w:t>
            </w:r>
          </w:p>
        </w:tc>
        <w:tc>
          <w:tcPr>
            <w:tcW w:w="708" w:type="pct"/>
            <w:noWrap w:val="0"/>
            <w:vAlign w:val="center"/>
          </w:tcPr>
          <w:p w14:paraId="70358063">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3个点位</w:t>
            </w:r>
          </w:p>
        </w:tc>
        <w:tc>
          <w:tcPr>
            <w:tcW w:w="1011" w:type="pct"/>
            <w:noWrap w:val="0"/>
            <w:vAlign w:val="center"/>
          </w:tcPr>
          <w:p w14:paraId="640153FD">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氮氧化物</w:t>
            </w:r>
          </w:p>
        </w:tc>
        <w:tc>
          <w:tcPr>
            <w:tcW w:w="1689" w:type="pct"/>
            <w:noWrap w:val="0"/>
            <w:vAlign w:val="center"/>
          </w:tcPr>
          <w:p w14:paraId="05E22758">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3个点位/1个项目/5次/年</w:t>
            </w:r>
          </w:p>
        </w:tc>
      </w:tr>
      <w:tr w14:paraId="67D2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center"/>
          </w:tcPr>
          <w:p w14:paraId="33616B4F">
            <w:pPr>
              <w:pStyle w:val="10"/>
              <w:keepNext w:val="0"/>
              <w:keepLines w:val="0"/>
              <w:pageBreakBefore w:val="0"/>
              <w:widowControl w:val="0"/>
              <w:shd w:val="clear" w:color="auto" w:fill="auto"/>
              <w:kinsoku/>
              <w:wordWrap/>
              <w:overflowPunct/>
              <w:topLinePunct w:val="0"/>
              <w:autoSpaceDE/>
              <w:autoSpaceDN/>
              <w:bidi w:val="0"/>
              <w:adjustRightInd w:val="0"/>
              <w:snapToGrid w:val="0"/>
              <w:spacing w:after="220" w:line="80" w:lineRule="atLeast"/>
              <w:ind w:left="0" w:leftChars="0"/>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3</w:t>
            </w:r>
          </w:p>
        </w:tc>
        <w:tc>
          <w:tcPr>
            <w:tcW w:w="1172" w:type="pct"/>
            <w:noWrap w:val="0"/>
            <w:vAlign w:val="center"/>
          </w:tcPr>
          <w:p w14:paraId="078B510E">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直燃机废气排放口</w:t>
            </w:r>
          </w:p>
        </w:tc>
        <w:tc>
          <w:tcPr>
            <w:tcW w:w="708" w:type="pct"/>
            <w:noWrap w:val="0"/>
            <w:vAlign w:val="center"/>
          </w:tcPr>
          <w:p w14:paraId="7E256969">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1个点位</w:t>
            </w:r>
          </w:p>
        </w:tc>
        <w:tc>
          <w:tcPr>
            <w:tcW w:w="1011" w:type="pct"/>
            <w:noWrap w:val="0"/>
            <w:vAlign w:val="center"/>
          </w:tcPr>
          <w:p w14:paraId="7D8495FF">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颗粒物、二氧化硫、烟气黑度</w:t>
            </w:r>
          </w:p>
        </w:tc>
        <w:tc>
          <w:tcPr>
            <w:tcW w:w="1689" w:type="pct"/>
            <w:noWrap w:val="0"/>
            <w:vAlign w:val="center"/>
          </w:tcPr>
          <w:p w14:paraId="43C82578">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1个点位/3个项目/4次/年</w:t>
            </w:r>
          </w:p>
        </w:tc>
      </w:tr>
      <w:tr w14:paraId="187C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17" w:type="pct"/>
            <w:noWrap w:val="0"/>
            <w:vAlign w:val="center"/>
          </w:tcPr>
          <w:p w14:paraId="176995B4">
            <w:pPr>
              <w:pStyle w:val="10"/>
              <w:keepNext w:val="0"/>
              <w:keepLines w:val="0"/>
              <w:pageBreakBefore w:val="0"/>
              <w:widowControl w:val="0"/>
              <w:shd w:val="clear" w:color="auto" w:fill="auto"/>
              <w:kinsoku/>
              <w:wordWrap/>
              <w:overflowPunct/>
              <w:topLinePunct w:val="0"/>
              <w:autoSpaceDE/>
              <w:autoSpaceDN/>
              <w:bidi w:val="0"/>
              <w:adjustRightInd w:val="0"/>
              <w:snapToGrid w:val="0"/>
              <w:spacing w:after="220" w:line="80" w:lineRule="atLeast"/>
              <w:ind w:left="0" w:leftChars="0"/>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4</w:t>
            </w:r>
          </w:p>
        </w:tc>
        <w:tc>
          <w:tcPr>
            <w:tcW w:w="1172" w:type="pct"/>
            <w:noWrap w:val="0"/>
            <w:vAlign w:val="center"/>
          </w:tcPr>
          <w:p w14:paraId="0CE15A78">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直燃机废气排放口</w:t>
            </w:r>
          </w:p>
        </w:tc>
        <w:tc>
          <w:tcPr>
            <w:tcW w:w="708" w:type="pct"/>
            <w:noWrap w:val="0"/>
            <w:vAlign w:val="center"/>
          </w:tcPr>
          <w:p w14:paraId="7D702450">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1个点位</w:t>
            </w:r>
          </w:p>
        </w:tc>
        <w:tc>
          <w:tcPr>
            <w:tcW w:w="1011" w:type="pct"/>
            <w:noWrap w:val="0"/>
            <w:vAlign w:val="center"/>
          </w:tcPr>
          <w:p w14:paraId="20C7D453">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氮氧化物</w:t>
            </w:r>
          </w:p>
        </w:tc>
        <w:tc>
          <w:tcPr>
            <w:tcW w:w="1689" w:type="pct"/>
            <w:noWrap w:val="0"/>
            <w:vAlign w:val="center"/>
          </w:tcPr>
          <w:p w14:paraId="48607691">
            <w:pPr>
              <w:pStyle w:val="10"/>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pacing w:val="14"/>
                <w:kern w:val="2"/>
                <w:sz w:val="18"/>
                <w:szCs w:val="18"/>
                <w:lang w:val="en-US" w:eastAsia="zh-CN" w:bidi="ar-SA"/>
              </w:rPr>
            </w:pPr>
            <w:r>
              <w:rPr>
                <w:rFonts w:hint="eastAsia" w:ascii="宋体" w:hAnsi="宋体" w:eastAsia="宋体" w:cs="宋体"/>
                <w:spacing w:val="14"/>
                <w:kern w:val="2"/>
                <w:sz w:val="18"/>
                <w:szCs w:val="18"/>
                <w:lang w:val="en-US" w:eastAsia="zh-CN" w:bidi="ar-SA"/>
              </w:rPr>
              <w:t>1个点位/1个项目/10次/年</w:t>
            </w:r>
          </w:p>
        </w:tc>
      </w:tr>
    </w:tbl>
    <w:p w14:paraId="1ED548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注：</w:t>
      </w:r>
      <w:r>
        <w:rPr>
          <w:rFonts w:hint="eastAsia" w:ascii="宋体" w:hAnsi="宋体" w:eastAsia="宋体" w:cs="宋体"/>
          <w:spacing w:val="14"/>
          <w:sz w:val="24"/>
          <w:szCs w:val="24"/>
          <w:lang w:eastAsia="zh-CN"/>
        </w:rPr>
        <w:t>乙方应按环保要求及时上传数据，如未按时或延迟上传数据导致甲方造成的损失，由乙方承担一切后果。</w:t>
      </w:r>
    </w:p>
    <w:p w14:paraId="1782866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5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⑤</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及时按月提供检测报告。</w:t>
      </w:r>
    </w:p>
    <w:p w14:paraId="4D7492B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6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⑥</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lang w:val="en-US" w:eastAsia="zh-CN"/>
        </w:rPr>
        <w:t>维保期内，如有环保等上级部门下发新的环保要求及检测内容，所新增的费用均由乙方承担。</w:t>
      </w:r>
    </w:p>
    <w:p w14:paraId="3E986A6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10、二次供水清洗消毒业务：</w:t>
      </w:r>
    </w:p>
    <w:p w14:paraId="096A52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清洗内容</w:t>
      </w:r>
    </w:p>
    <w:p w14:paraId="241A9F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①500m³生活水蓄水池壹座，80m³、40m³、30m³、25m³、20 m³生活水箱各壹台的清洗消毒。</w:t>
      </w:r>
    </w:p>
    <w:p w14:paraId="005DD4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2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lang w:eastAsia="zh-CN"/>
        </w:rPr>
        <w:t>②</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val="en-US" w:eastAsia="zh-CN"/>
        </w:rPr>
        <w:t>二次供水设施清洗消毒时间：保证一年两次清洗消毒。</w:t>
      </w:r>
    </w:p>
    <w:p w14:paraId="0A2048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3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eastAsia="zh-CN"/>
        </w:rPr>
        <w:t>③</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代办医院年度二次供水设施年审手续。</w:t>
      </w:r>
    </w:p>
    <w:p w14:paraId="21DA5A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lang w:val="en-US" w:eastAsia="zh-CN"/>
        </w:rPr>
        <w:t>所有审验费用均由乙方承担。</w:t>
      </w:r>
    </w:p>
    <w:p w14:paraId="1FBF3CC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质量技术要求</w:t>
      </w:r>
    </w:p>
    <w:p w14:paraId="5B3F3C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val="en-US" w:eastAsia="zh-CN"/>
        </w:rPr>
        <w:t>①</w:t>
      </w:r>
      <w:r>
        <w:rPr>
          <w:rFonts w:hint="eastAsia" w:ascii="宋体" w:hAnsi="宋体" w:eastAsia="宋体" w:cs="宋体"/>
          <w:spacing w:val="14"/>
          <w:sz w:val="24"/>
          <w:szCs w:val="24"/>
        </w:rPr>
        <w:t>按照甲方要求的时间对二次供水设施进行清洗消毒，消毒工艺流程等符合国家相关要求。</w:t>
      </w:r>
    </w:p>
    <w:p w14:paraId="695E959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mc:AlternateContent>
          <mc:Choice Requires="wps">
            <w:drawing>
              <wp:anchor distT="0" distB="0" distL="114300" distR="114300" simplePos="0" relativeHeight="251661312" behindDoc="0" locked="0" layoutInCell="1" allowOverlap="1">
                <wp:simplePos x="0" y="0"/>
                <wp:positionH relativeFrom="column">
                  <wp:posOffset>2958465</wp:posOffset>
                </wp:positionH>
                <wp:positionV relativeFrom="paragraph">
                  <wp:posOffset>395605</wp:posOffset>
                </wp:positionV>
                <wp:extent cx="266700" cy="635"/>
                <wp:effectExtent l="0" t="37465" r="0" b="38100"/>
                <wp:wrapNone/>
                <wp:docPr id="12" name="直接箭头连接符 12"/>
                <wp:cNvGraphicFramePr/>
                <a:graphic xmlns:a="http://schemas.openxmlformats.org/drawingml/2006/main">
                  <a:graphicData uri="http://schemas.microsoft.com/office/word/2010/wordprocessingShape">
                    <wps:wsp>
                      <wps:cNvCnPr/>
                      <wps:spPr>
                        <a:xfrm>
                          <a:off x="0" y="0"/>
                          <a:ext cx="266700" cy="63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32.95pt;margin-top:31.15pt;height:0.05pt;width:21pt;z-index:251661312;mso-width-relative:page;mso-height-relative:page;" filled="f" stroked="t" coordsize="21600,21600" o:gfxdata="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40DS7ZAAAACQEAAA8AAAAAAAAAAQAgAAAA&#10;IgAAAGRycy9kb3ducmV2LnhtbFBLAQIUABQAAAAIAIdO4kCnxep3CgIAAAEEAAAOAAAAAAAAAAEA&#10;IAAAACgBAABkcnMvZTJvRG9jLnhtbFBLBQYAAAAABgAGAFkBAACkBQ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64384" behindDoc="0" locked="0" layoutInCell="1" allowOverlap="1">
                <wp:simplePos x="0" y="0"/>
                <wp:positionH relativeFrom="column">
                  <wp:posOffset>775335</wp:posOffset>
                </wp:positionH>
                <wp:positionV relativeFrom="paragraph">
                  <wp:posOffset>393700</wp:posOffset>
                </wp:positionV>
                <wp:extent cx="266700" cy="0"/>
                <wp:effectExtent l="0" t="38100" r="0" b="38100"/>
                <wp:wrapNone/>
                <wp:docPr id="15" name="直接箭头连接符 15"/>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61.05pt;margin-top:31pt;height:0pt;width:21pt;z-index:251664384;mso-width-relative:page;mso-height-relative:page;" filled="f" stroked="t" coordsize="21600,21600" o:gfxdata="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8l7Bm1gAAAAkBAAAPAAAAAAAAAAEAIAAAACIAAABk&#10;cnMvZG93bnJldi54bWxQSwECFAAUAAAACACHTuJAxaGvqQgCAAD/AwAADgAAAAAAAAABACAAAAAl&#10;AQAAZHJzL2Uyb0RvYy54bWxQSwUGAAAAAAYABgBZAQAAnwU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63360" behindDoc="0" locked="0" layoutInCell="1" allowOverlap="1">
                <wp:simplePos x="0" y="0"/>
                <wp:positionH relativeFrom="column">
                  <wp:posOffset>1950085</wp:posOffset>
                </wp:positionH>
                <wp:positionV relativeFrom="paragraph">
                  <wp:posOffset>381000</wp:posOffset>
                </wp:positionV>
                <wp:extent cx="266700" cy="0"/>
                <wp:effectExtent l="0" t="38100" r="0" b="38100"/>
                <wp:wrapNone/>
                <wp:docPr id="14" name="直接箭头连接符 14"/>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53.55pt;margin-top:30pt;height:0pt;width:21pt;z-index:251663360;mso-width-relative:page;mso-height-relative:page;" filled="f" stroked="t" coordsize="21600,21600" o:gfxdata="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F/tCv1wAAAAkBAAAPAAAAAAAAAAEAIAAAACIA&#10;AABkcnMvZG93bnJldi54bWxQSwECFAAUAAAACACHTuJA7SiICAoCAAD/AwAADgAAAAAAAAABACAA&#10;AAAmAQAAZHJzL2Uyb0RvYy54bWxQSwUGAAAAAAYABgBZAQAAogU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62336" behindDoc="0" locked="0" layoutInCell="1" allowOverlap="1">
                <wp:simplePos x="0" y="0"/>
                <wp:positionH relativeFrom="column">
                  <wp:posOffset>4777105</wp:posOffset>
                </wp:positionH>
                <wp:positionV relativeFrom="paragraph">
                  <wp:posOffset>98425</wp:posOffset>
                </wp:positionV>
                <wp:extent cx="266700" cy="0"/>
                <wp:effectExtent l="0" t="38100" r="0" b="38100"/>
                <wp:wrapNone/>
                <wp:docPr id="13" name="直接箭头连接符 13"/>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376.15pt;margin-top:7.75pt;height:0pt;width:21pt;z-index:251662336;mso-width-relative:page;mso-height-relative:page;" filled="f" stroked="t" coordsize="21600,21600" o:gfxdata="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hsJC9gAAAAJAQAADwAAAAAAAAABACAAAAAi&#10;AAAAZHJzL2Rvd25yZXYueG1sUEsBAhQAFAAAAAgAh07iQLebnNkKAgAA/wMAAA4AAAAAAAAAAQAg&#10;AAAAJwEAAGRycy9lMm9Eb2MueG1sUEsFBgAAAAAGAAYAWQEAAKMFA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65408" behindDoc="0" locked="0" layoutInCell="1" allowOverlap="1">
                <wp:simplePos x="0" y="0"/>
                <wp:positionH relativeFrom="column">
                  <wp:posOffset>3556635</wp:posOffset>
                </wp:positionH>
                <wp:positionV relativeFrom="paragraph">
                  <wp:posOffset>113030</wp:posOffset>
                </wp:positionV>
                <wp:extent cx="266700" cy="0"/>
                <wp:effectExtent l="0" t="38100" r="0" b="38100"/>
                <wp:wrapNone/>
                <wp:docPr id="16" name="直接箭头连接符 16"/>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80.05pt;margin-top:8.9pt;height:0pt;width:21pt;z-index:251665408;mso-width-relative:page;mso-height-relative:page;" filled="f" stroked="t" coordsize="21600,21600" o:gfxdata="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rNHQtYAAAAJAQAADwAAAAAAAAABACAAAAAiAAAA&#10;ZHJzL2Rvd25yZXYueG1sUEsBAhQAFAAAAAgAh07iQPw8tpEJAgAA/wMAAA4AAAAAAAAAAQAgAAAA&#10;JQEAAGRycy9lMm9Eb2MueG1sUEsFBgAAAAAGAAYAWQEAAKAFA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60288" behindDoc="0" locked="0" layoutInCell="1" allowOverlap="1">
                <wp:simplePos x="0" y="0"/>
                <wp:positionH relativeFrom="column">
                  <wp:posOffset>2455545</wp:posOffset>
                </wp:positionH>
                <wp:positionV relativeFrom="paragraph">
                  <wp:posOffset>75565</wp:posOffset>
                </wp:positionV>
                <wp:extent cx="266700" cy="0"/>
                <wp:effectExtent l="0" t="38100" r="0" b="38100"/>
                <wp:wrapNone/>
                <wp:docPr id="10" name="直接箭头连接符 10"/>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93.35pt;margin-top:5.95pt;height:0pt;width:21pt;z-index:251660288;mso-width-relative:page;mso-height-relative:page;" filled="f" stroked="t" coordsize="21600,21600" o:gfxdata="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hDIDYAAAACQEAAA8AAAAAAAAAAQAgAAAAIgAA&#10;AGRycy9kb3ducmV2LnhtbFBLAQIUABQAAAAIAIdO4kCOBoXhCAIAAP8DAAAOAAAAAAAAAAEAIAAA&#10;ACcBAABkcnMvZTJvRG9jLnhtbFBLBQYAAAAABgAGAFkBAAChBQ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rPr>
        <mc:AlternateContent>
          <mc:Choice Requires="wps">
            <w:drawing>
              <wp:anchor distT="0" distB="0" distL="114300" distR="114300" simplePos="0" relativeHeight="251659264" behindDoc="0" locked="0" layoutInCell="1" allowOverlap="1">
                <wp:simplePos x="0" y="0"/>
                <wp:positionH relativeFrom="column">
                  <wp:posOffset>1670050</wp:posOffset>
                </wp:positionH>
                <wp:positionV relativeFrom="paragraph">
                  <wp:posOffset>93345</wp:posOffset>
                </wp:positionV>
                <wp:extent cx="266700" cy="0"/>
                <wp:effectExtent l="0" t="38100" r="0" b="38100"/>
                <wp:wrapNone/>
                <wp:docPr id="11" name="直接箭头连接符 11"/>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31.5pt;margin-top:7.35pt;height:0pt;width:21pt;z-index:251659264;mso-width-relative:page;mso-height-relative:page;" filled="f" stroked="t" coordsize="21600,21600" o:gfxdata="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mMpuv2AAAAAkBAAAPAAAAAAAAAAEAIAAAACIA&#10;AABkcnMvZG93bnJldi54bWxQSwECFAAUAAAACACHTuJApo+iQAkCAAD/AwAADgAAAAAAAAABACAA&#10;AAAnAQAAZHJzL2Uyb0RvYy54bWxQSwUGAAAAAAYABgBZAQAAogUAAAAA&#10;">
                <v:fill on="f" focussize="0,0"/>
                <v:stroke color="#000000" joinstyle="round" endarrow="block"/>
                <v:imagedata o:title=""/>
                <o:lock v:ext="edit" aspectratio="f"/>
              </v:shape>
            </w:pict>
          </mc:Fallback>
        </mc:AlternateContent>
      </w:r>
      <w:r>
        <w:rPr>
          <w:rFonts w:hint="eastAsia" w:ascii="宋体" w:hAnsi="宋体" w:eastAsia="宋体" w:cs="宋体"/>
          <w:spacing w:val="14"/>
          <w:sz w:val="24"/>
          <w:szCs w:val="24"/>
          <w:lang w:eastAsia="zh-CN"/>
        </w:rPr>
        <w:fldChar w:fldCharType="begin"/>
      </w:r>
      <w:r>
        <w:rPr>
          <w:rFonts w:hint="eastAsia" w:ascii="宋体" w:hAnsi="宋体" w:eastAsia="宋体" w:cs="宋体"/>
          <w:spacing w:val="14"/>
          <w:sz w:val="24"/>
          <w:szCs w:val="24"/>
          <w:lang w:eastAsia="zh-CN"/>
        </w:rPr>
        <w:instrText xml:space="preserve"> = 2 \* GB3 \* MERGEFORMAT </w:instrText>
      </w:r>
      <w:r>
        <w:rPr>
          <w:rFonts w:hint="eastAsia" w:ascii="宋体" w:hAnsi="宋体" w:eastAsia="宋体" w:cs="宋体"/>
          <w:spacing w:val="14"/>
          <w:sz w:val="24"/>
          <w:szCs w:val="24"/>
          <w:lang w:eastAsia="zh-CN"/>
        </w:rPr>
        <w:fldChar w:fldCharType="separate"/>
      </w:r>
      <w:r>
        <w:rPr>
          <w:rFonts w:hint="eastAsia" w:ascii="宋体" w:hAnsi="宋体" w:eastAsia="宋体" w:cs="宋体"/>
          <w:spacing w:val="14"/>
          <w:sz w:val="24"/>
          <w:szCs w:val="24"/>
          <w:lang w:eastAsia="zh-CN"/>
        </w:rPr>
        <w:t>②</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rPr>
        <w:t xml:space="preserve">操作程序：排水　　刷洗     去垢清淤　　 初次漂洗　　　首次消毒　　二次漂洗　   </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二次消毒　　注入新水    四孔维护</w:t>
      </w:r>
    </w:p>
    <w:p w14:paraId="2A0871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3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eastAsia="zh-CN"/>
        </w:rPr>
        <w:t>③</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rPr>
        <w:t>合理安排清洗消毒时间，不得影响医院正常医疗秩序</w:t>
      </w:r>
      <w:r>
        <w:rPr>
          <w:rFonts w:hint="eastAsia" w:ascii="宋体" w:hAnsi="宋体" w:eastAsia="宋体" w:cs="宋体"/>
          <w:spacing w:val="14"/>
          <w:sz w:val="24"/>
          <w:szCs w:val="24"/>
          <w:lang w:eastAsia="zh-CN"/>
        </w:rPr>
        <w:t>。</w:t>
      </w:r>
    </w:p>
    <w:p w14:paraId="5B399BA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4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lang w:val="en-US" w:eastAsia="zh-CN"/>
        </w:rPr>
        <w:t>④</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rPr>
        <w:t>水质检测结果必须达到国家相关现行标准。</w:t>
      </w:r>
    </w:p>
    <w:p w14:paraId="064D79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val="en-US" w:eastAsia="zh-CN"/>
        </w:rPr>
        <w:fldChar w:fldCharType="begin"/>
      </w:r>
      <w:r>
        <w:rPr>
          <w:rFonts w:hint="eastAsia" w:ascii="宋体" w:hAnsi="宋体" w:eastAsia="宋体" w:cs="宋体"/>
          <w:spacing w:val="14"/>
          <w:sz w:val="24"/>
          <w:szCs w:val="24"/>
          <w:lang w:val="en-US" w:eastAsia="zh-CN"/>
        </w:rPr>
        <w:instrText xml:space="preserve"> = 5 \* GB3 \* MERGEFORMAT </w:instrText>
      </w:r>
      <w:r>
        <w:rPr>
          <w:rFonts w:hint="eastAsia" w:ascii="宋体" w:hAnsi="宋体" w:eastAsia="宋体" w:cs="宋体"/>
          <w:spacing w:val="14"/>
          <w:sz w:val="24"/>
          <w:szCs w:val="24"/>
          <w:lang w:val="en-US" w:eastAsia="zh-CN"/>
        </w:rPr>
        <w:fldChar w:fldCharType="separate"/>
      </w:r>
      <w:r>
        <w:rPr>
          <w:rFonts w:hint="eastAsia" w:ascii="宋体" w:hAnsi="宋体" w:eastAsia="宋体" w:cs="宋体"/>
          <w:spacing w:val="14"/>
          <w:sz w:val="24"/>
          <w:szCs w:val="24"/>
        </w:rPr>
        <w:t>⑤</w:t>
      </w:r>
      <w:r>
        <w:rPr>
          <w:rFonts w:hint="eastAsia" w:ascii="宋体" w:hAnsi="宋体" w:eastAsia="宋体" w:cs="宋体"/>
          <w:spacing w:val="14"/>
          <w:sz w:val="24"/>
          <w:szCs w:val="24"/>
          <w:lang w:val="en-US" w:eastAsia="zh-CN"/>
        </w:rPr>
        <w:fldChar w:fldCharType="end"/>
      </w:r>
      <w:r>
        <w:rPr>
          <w:rFonts w:hint="eastAsia" w:ascii="宋体" w:hAnsi="宋体" w:eastAsia="宋体" w:cs="宋体"/>
          <w:spacing w:val="14"/>
          <w:sz w:val="24"/>
          <w:szCs w:val="24"/>
        </w:rPr>
        <w:t>使用符合《生活饮用水监督管理办法》内所规定的二次供水设施清洗生活饮用水专用消毒剂。</w:t>
      </w:r>
    </w:p>
    <w:p w14:paraId="7FC58E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6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⑥</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清洗后水质检测结果须到达国家生活饮用水GB/T5750.12—2006及GB/T5750.4—2006相关标准并通过相关部门验收。</w:t>
      </w:r>
    </w:p>
    <w:p w14:paraId="3C2170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fldChar w:fldCharType="begin"/>
      </w:r>
      <w:r>
        <w:rPr>
          <w:rFonts w:hint="eastAsia" w:ascii="宋体" w:hAnsi="宋体" w:eastAsia="宋体" w:cs="宋体"/>
          <w:spacing w:val="14"/>
          <w:sz w:val="24"/>
          <w:szCs w:val="24"/>
        </w:rPr>
        <w:instrText xml:space="preserve"> = 7 \* GB3 \* MERGEFORMAT </w:instrText>
      </w:r>
      <w:r>
        <w:rPr>
          <w:rFonts w:hint="eastAsia" w:ascii="宋体" w:hAnsi="宋体" w:eastAsia="宋体" w:cs="宋体"/>
          <w:spacing w:val="14"/>
          <w:sz w:val="24"/>
          <w:szCs w:val="24"/>
        </w:rPr>
        <w:fldChar w:fldCharType="separate"/>
      </w:r>
      <w:r>
        <w:rPr>
          <w:rFonts w:hint="eastAsia" w:ascii="宋体" w:hAnsi="宋体" w:eastAsia="宋体" w:cs="宋体"/>
          <w:spacing w:val="14"/>
          <w:sz w:val="24"/>
          <w:szCs w:val="24"/>
        </w:rPr>
        <w:t>⑦</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乙方确保施工范围内设施一次性通过西安市疾病预防控制中心检测，否则承担再次检测产生的一切费用和后果责任，直到检测合格。</w:t>
      </w:r>
    </w:p>
    <w:p w14:paraId="605A1B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p>
    <w:p w14:paraId="3A2551A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11、防雷检测业务：</w:t>
      </w:r>
    </w:p>
    <w:p w14:paraId="252A652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eastAsia="zh-CN"/>
        </w:rPr>
        <w:t>检测内容为三个院区</w:t>
      </w:r>
      <w:r>
        <w:rPr>
          <w:rFonts w:hint="eastAsia" w:ascii="宋体" w:hAnsi="宋体" w:eastAsia="宋体" w:cs="宋体"/>
          <w:spacing w:val="14"/>
          <w:sz w:val="24"/>
          <w:szCs w:val="24"/>
        </w:rPr>
        <w:t>的化学中毒急救基地肿瘤诊治中心大楼、手术楼、康复楼、门诊楼、保障楼、外科楼及糖坊街院区所属的住院部大楼、配电室、污水处理站、医技楼等建筑物防雷装置进行</w:t>
      </w:r>
      <w:r>
        <w:rPr>
          <w:rFonts w:hint="eastAsia" w:ascii="宋体" w:hAnsi="宋体" w:eastAsia="宋体" w:cs="宋体"/>
          <w:spacing w:val="14"/>
          <w:sz w:val="24"/>
          <w:szCs w:val="24"/>
          <w:lang w:eastAsia="zh-CN"/>
        </w:rPr>
        <w:t>每</w:t>
      </w:r>
      <w:r>
        <w:rPr>
          <w:rFonts w:hint="eastAsia" w:ascii="宋体" w:hAnsi="宋体" w:eastAsia="宋体" w:cs="宋体"/>
          <w:spacing w:val="14"/>
          <w:sz w:val="24"/>
          <w:szCs w:val="24"/>
        </w:rPr>
        <w:t>年防雷装置检测工作。</w:t>
      </w:r>
    </w:p>
    <w:p w14:paraId="69E95AB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检测所用的器材质量必须符合国家相关质量规定要求，确保检测数据真实准确。</w:t>
      </w:r>
    </w:p>
    <w:p w14:paraId="4C5A34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防雷电装置检测点位不得少于下表的数量:</w:t>
      </w:r>
    </w:p>
    <w:tbl>
      <w:tblPr>
        <w:tblStyle w:val="6"/>
        <w:tblW w:w="4903"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2"/>
        <w:gridCol w:w="3205"/>
        <w:gridCol w:w="2586"/>
        <w:gridCol w:w="824"/>
      </w:tblGrid>
      <w:tr w14:paraId="0930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right"/>
        </w:trPr>
        <w:tc>
          <w:tcPr>
            <w:tcW w:w="1042" w:type="pct"/>
            <w:noWrap w:val="0"/>
            <w:vAlign w:val="center"/>
          </w:tcPr>
          <w:p w14:paraId="4561E4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建筑物名称</w:t>
            </w:r>
          </w:p>
        </w:tc>
        <w:tc>
          <w:tcPr>
            <w:tcW w:w="1917" w:type="pct"/>
            <w:noWrap w:val="0"/>
            <w:vAlign w:val="center"/>
          </w:tcPr>
          <w:p w14:paraId="05BFD26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检测内容（包含但不限于）</w:t>
            </w:r>
          </w:p>
        </w:tc>
        <w:tc>
          <w:tcPr>
            <w:tcW w:w="1547" w:type="pct"/>
            <w:noWrap w:val="0"/>
            <w:vAlign w:val="center"/>
          </w:tcPr>
          <w:p w14:paraId="74BCA7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数量（包含但不限于）</w:t>
            </w:r>
          </w:p>
        </w:tc>
        <w:tc>
          <w:tcPr>
            <w:tcW w:w="492" w:type="pct"/>
            <w:noWrap w:val="0"/>
            <w:vAlign w:val="center"/>
          </w:tcPr>
          <w:p w14:paraId="08F83F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合计</w:t>
            </w:r>
          </w:p>
        </w:tc>
      </w:tr>
      <w:tr w14:paraId="21ED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089E567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化学中毒急救基地肿瘤诊治中心大楼</w:t>
            </w:r>
          </w:p>
        </w:tc>
        <w:tc>
          <w:tcPr>
            <w:tcW w:w="1917" w:type="pct"/>
            <w:noWrap w:val="0"/>
            <w:vAlign w:val="center"/>
          </w:tcPr>
          <w:p w14:paraId="306694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4AC9C4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8</w:t>
            </w:r>
          </w:p>
        </w:tc>
        <w:tc>
          <w:tcPr>
            <w:tcW w:w="492" w:type="pct"/>
            <w:vMerge w:val="restart"/>
            <w:noWrap w:val="0"/>
            <w:vAlign w:val="center"/>
          </w:tcPr>
          <w:p w14:paraId="297141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45</w:t>
            </w:r>
          </w:p>
        </w:tc>
      </w:tr>
      <w:tr w14:paraId="3229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FE297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68FB61F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6DE004C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4</w:t>
            </w:r>
          </w:p>
        </w:tc>
        <w:tc>
          <w:tcPr>
            <w:tcW w:w="492" w:type="pct"/>
            <w:vMerge w:val="continue"/>
            <w:noWrap w:val="0"/>
            <w:vAlign w:val="center"/>
          </w:tcPr>
          <w:p w14:paraId="26862C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615F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064E1E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4E8B3A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395C73C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15</w:t>
            </w:r>
          </w:p>
        </w:tc>
        <w:tc>
          <w:tcPr>
            <w:tcW w:w="492" w:type="pct"/>
            <w:vMerge w:val="continue"/>
            <w:noWrap w:val="0"/>
            <w:vAlign w:val="center"/>
          </w:tcPr>
          <w:p w14:paraId="2F0787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6E3A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5292E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69BE7A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53FF633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8</w:t>
            </w:r>
          </w:p>
        </w:tc>
        <w:tc>
          <w:tcPr>
            <w:tcW w:w="492" w:type="pct"/>
            <w:vMerge w:val="continue"/>
            <w:noWrap w:val="0"/>
            <w:vAlign w:val="center"/>
          </w:tcPr>
          <w:p w14:paraId="3C5910C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48B2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6404A9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4E1BA45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148505D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10</w:t>
            </w:r>
          </w:p>
        </w:tc>
        <w:tc>
          <w:tcPr>
            <w:tcW w:w="492" w:type="pct"/>
            <w:vMerge w:val="continue"/>
            <w:noWrap w:val="0"/>
            <w:vAlign w:val="center"/>
          </w:tcPr>
          <w:p w14:paraId="79EE874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01E4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3AF7257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手术楼</w:t>
            </w:r>
          </w:p>
        </w:tc>
        <w:tc>
          <w:tcPr>
            <w:tcW w:w="1917" w:type="pct"/>
            <w:noWrap w:val="0"/>
            <w:vAlign w:val="center"/>
          </w:tcPr>
          <w:p w14:paraId="5657EA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6716D70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20</w:t>
            </w:r>
          </w:p>
        </w:tc>
        <w:tc>
          <w:tcPr>
            <w:tcW w:w="492" w:type="pct"/>
            <w:vMerge w:val="restart"/>
            <w:noWrap w:val="0"/>
            <w:vAlign w:val="center"/>
          </w:tcPr>
          <w:p w14:paraId="376E15B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57</w:t>
            </w:r>
          </w:p>
        </w:tc>
      </w:tr>
      <w:tr w14:paraId="6571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7C5200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C0BAFE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7085E9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4</w:t>
            </w:r>
          </w:p>
        </w:tc>
        <w:tc>
          <w:tcPr>
            <w:tcW w:w="492" w:type="pct"/>
            <w:vMerge w:val="continue"/>
            <w:noWrap w:val="0"/>
            <w:vAlign w:val="center"/>
          </w:tcPr>
          <w:p w14:paraId="4AA26E4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5FA1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49432D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5BF08D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4DE0F1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15</w:t>
            </w:r>
          </w:p>
        </w:tc>
        <w:tc>
          <w:tcPr>
            <w:tcW w:w="492" w:type="pct"/>
            <w:vMerge w:val="continue"/>
            <w:noWrap w:val="0"/>
            <w:vAlign w:val="center"/>
          </w:tcPr>
          <w:p w14:paraId="0924AD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52D6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85E658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44D22C9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4D7DCD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8</w:t>
            </w:r>
          </w:p>
        </w:tc>
        <w:tc>
          <w:tcPr>
            <w:tcW w:w="492" w:type="pct"/>
            <w:vMerge w:val="continue"/>
            <w:noWrap w:val="0"/>
            <w:vAlign w:val="center"/>
          </w:tcPr>
          <w:p w14:paraId="43E0B3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2D66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4B61E5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5E240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30DECE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10</w:t>
            </w:r>
          </w:p>
        </w:tc>
        <w:tc>
          <w:tcPr>
            <w:tcW w:w="492" w:type="pct"/>
            <w:vMerge w:val="continue"/>
            <w:noWrap w:val="0"/>
            <w:vAlign w:val="center"/>
          </w:tcPr>
          <w:p w14:paraId="6D61AE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1777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04AE4DD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康复楼</w:t>
            </w:r>
          </w:p>
        </w:tc>
        <w:tc>
          <w:tcPr>
            <w:tcW w:w="1917" w:type="pct"/>
            <w:noWrap w:val="0"/>
            <w:vAlign w:val="center"/>
          </w:tcPr>
          <w:p w14:paraId="61D853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233DB2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7</w:t>
            </w:r>
          </w:p>
        </w:tc>
        <w:tc>
          <w:tcPr>
            <w:tcW w:w="492" w:type="pct"/>
            <w:vMerge w:val="restart"/>
            <w:noWrap w:val="0"/>
            <w:vAlign w:val="center"/>
          </w:tcPr>
          <w:p w14:paraId="145154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22</w:t>
            </w:r>
          </w:p>
        </w:tc>
      </w:tr>
      <w:tr w14:paraId="2E42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6FA0C0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2580B2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60A4A0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69675E6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1FB4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E38CF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76C467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77FB28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5</w:t>
            </w:r>
          </w:p>
        </w:tc>
        <w:tc>
          <w:tcPr>
            <w:tcW w:w="492" w:type="pct"/>
            <w:vMerge w:val="continue"/>
            <w:noWrap w:val="0"/>
            <w:vAlign w:val="center"/>
          </w:tcPr>
          <w:p w14:paraId="55066B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10FD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75E140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171BF94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3B59B5D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6</w:t>
            </w:r>
          </w:p>
        </w:tc>
        <w:tc>
          <w:tcPr>
            <w:tcW w:w="492" w:type="pct"/>
            <w:vMerge w:val="continue"/>
            <w:noWrap w:val="0"/>
            <w:vAlign w:val="center"/>
          </w:tcPr>
          <w:p w14:paraId="4FFE786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62AD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tcBorders>
              <w:bottom w:val="single" w:color="auto" w:sz="4" w:space="0"/>
            </w:tcBorders>
            <w:noWrap w:val="0"/>
            <w:vAlign w:val="center"/>
          </w:tcPr>
          <w:p w14:paraId="5EBAD39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74F7B5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24925BA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710CA2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E65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2B5138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门诊楼</w:t>
            </w:r>
          </w:p>
        </w:tc>
        <w:tc>
          <w:tcPr>
            <w:tcW w:w="1917" w:type="pct"/>
            <w:noWrap w:val="0"/>
            <w:vAlign w:val="center"/>
          </w:tcPr>
          <w:p w14:paraId="77878E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46D754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10</w:t>
            </w:r>
          </w:p>
        </w:tc>
        <w:tc>
          <w:tcPr>
            <w:tcW w:w="492" w:type="pct"/>
            <w:vMerge w:val="restart"/>
            <w:noWrap w:val="0"/>
            <w:vAlign w:val="center"/>
          </w:tcPr>
          <w:p w14:paraId="451EC9C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66</w:t>
            </w:r>
          </w:p>
        </w:tc>
      </w:tr>
      <w:tr w14:paraId="4734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536201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129D5F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1FF2F7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10</w:t>
            </w:r>
          </w:p>
        </w:tc>
        <w:tc>
          <w:tcPr>
            <w:tcW w:w="492" w:type="pct"/>
            <w:vMerge w:val="continue"/>
            <w:noWrap w:val="0"/>
            <w:vAlign w:val="center"/>
          </w:tcPr>
          <w:p w14:paraId="4E4463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4175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4DE573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C13553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00A86F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18</w:t>
            </w:r>
          </w:p>
        </w:tc>
        <w:tc>
          <w:tcPr>
            <w:tcW w:w="492" w:type="pct"/>
            <w:vMerge w:val="continue"/>
            <w:noWrap w:val="0"/>
            <w:vAlign w:val="center"/>
          </w:tcPr>
          <w:p w14:paraId="01D3D9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B5B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05BFEC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F4AAFD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34D630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18</w:t>
            </w:r>
          </w:p>
        </w:tc>
        <w:tc>
          <w:tcPr>
            <w:tcW w:w="492" w:type="pct"/>
            <w:vMerge w:val="continue"/>
            <w:noWrap w:val="0"/>
            <w:vAlign w:val="center"/>
          </w:tcPr>
          <w:p w14:paraId="3748879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44A7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5D1A91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084C29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037757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10</w:t>
            </w:r>
          </w:p>
        </w:tc>
        <w:tc>
          <w:tcPr>
            <w:tcW w:w="492" w:type="pct"/>
            <w:vMerge w:val="continue"/>
            <w:noWrap w:val="0"/>
            <w:vAlign w:val="center"/>
          </w:tcPr>
          <w:p w14:paraId="632195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2450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25AF7A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保障楼</w:t>
            </w:r>
          </w:p>
        </w:tc>
        <w:tc>
          <w:tcPr>
            <w:tcW w:w="1917" w:type="pct"/>
            <w:noWrap w:val="0"/>
            <w:vAlign w:val="center"/>
          </w:tcPr>
          <w:p w14:paraId="2B88281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715104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8</w:t>
            </w:r>
          </w:p>
        </w:tc>
        <w:tc>
          <w:tcPr>
            <w:tcW w:w="492" w:type="pct"/>
            <w:vMerge w:val="restart"/>
            <w:noWrap w:val="0"/>
            <w:vAlign w:val="center"/>
          </w:tcPr>
          <w:p w14:paraId="183EB4B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20</w:t>
            </w:r>
          </w:p>
        </w:tc>
      </w:tr>
      <w:tr w14:paraId="62E4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109DC3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4744E37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0C6287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3</w:t>
            </w:r>
          </w:p>
        </w:tc>
        <w:tc>
          <w:tcPr>
            <w:tcW w:w="492" w:type="pct"/>
            <w:vMerge w:val="continue"/>
            <w:noWrap w:val="0"/>
            <w:vAlign w:val="center"/>
          </w:tcPr>
          <w:p w14:paraId="3394BCE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2BD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5019632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721E5C9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31ABA9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5</w:t>
            </w:r>
          </w:p>
        </w:tc>
        <w:tc>
          <w:tcPr>
            <w:tcW w:w="492" w:type="pct"/>
            <w:vMerge w:val="continue"/>
            <w:noWrap w:val="0"/>
            <w:vAlign w:val="center"/>
          </w:tcPr>
          <w:p w14:paraId="5BB37E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023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35F7FF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39A813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315674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7B7619F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501B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29173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5A77B5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7290664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441A8B5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3A5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69A9D7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外科楼</w:t>
            </w:r>
          </w:p>
        </w:tc>
        <w:tc>
          <w:tcPr>
            <w:tcW w:w="1917" w:type="pct"/>
            <w:noWrap w:val="0"/>
            <w:vAlign w:val="center"/>
          </w:tcPr>
          <w:p w14:paraId="671CBF4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接闪</w:t>
            </w:r>
            <w:r>
              <w:rPr>
                <w:rFonts w:hint="eastAsia" w:ascii="宋体" w:hAnsi="宋体" w:eastAsia="宋体" w:cs="宋体"/>
                <w:spacing w:val="14"/>
                <w:sz w:val="22"/>
                <w:szCs w:val="22"/>
                <w:lang w:eastAsia="zh-CN"/>
              </w:rPr>
              <w:t>带</w:t>
            </w:r>
          </w:p>
        </w:tc>
        <w:tc>
          <w:tcPr>
            <w:tcW w:w="1547" w:type="pct"/>
            <w:noWrap w:val="0"/>
            <w:vAlign w:val="center"/>
          </w:tcPr>
          <w:p w14:paraId="648F09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8</w:t>
            </w:r>
          </w:p>
        </w:tc>
        <w:tc>
          <w:tcPr>
            <w:tcW w:w="492" w:type="pct"/>
            <w:vMerge w:val="restart"/>
            <w:noWrap w:val="0"/>
            <w:vAlign w:val="center"/>
          </w:tcPr>
          <w:p w14:paraId="7C658F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20</w:t>
            </w:r>
          </w:p>
        </w:tc>
      </w:tr>
      <w:tr w14:paraId="245C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4E662B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773720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7755FAE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3</w:t>
            </w:r>
          </w:p>
        </w:tc>
        <w:tc>
          <w:tcPr>
            <w:tcW w:w="492" w:type="pct"/>
            <w:vMerge w:val="continue"/>
            <w:noWrap w:val="0"/>
            <w:vAlign w:val="center"/>
          </w:tcPr>
          <w:p w14:paraId="4A4E0D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01B9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3089FB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6A93C56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屋面设备</w:t>
            </w:r>
          </w:p>
        </w:tc>
        <w:tc>
          <w:tcPr>
            <w:tcW w:w="1547" w:type="pct"/>
            <w:noWrap w:val="0"/>
            <w:vAlign w:val="center"/>
          </w:tcPr>
          <w:p w14:paraId="0E5786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5</w:t>
            </w:r>
          </w:p>
        </w:tc>
        <w:tc>
          <w:tcPr>
            <w:tcW w:w="492" w:type="pct"/>
            <w:vMerge w:val="continue"/>
            <w:noWrap w:val="0"/>
            <w:vAlign w:val="center"/>
          </w:tcPr>
          <w:p w14:paraId="6D2A05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5F4F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46B72B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5345BCF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电梯机房或设备</w:t>
            </w:r>
          </w:p>
        </w:tc>
        <w:tc>
          <w:tcPr>
            <w:tcW w:w="1547" w:type="pct"/>
            <w:noWrap w:val="0"/>
            <w:vAlign w:val="center"/>
          </w:tcPr>
          <w:p w14:paraId="652F0A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53C48A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2409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1B2E420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4C586D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各类配电柜及SPD</w:t>
            </w:r>
          </w:p>
        </w:tc>
        <w:tc>
          <w:tcPr>
            <w:tcW w:w="1547" w:type="pct"/>
            <w:noWrap w:val="0"/>
            <w:vAlign w:val="center"/>
          </w:tcPr>
          <w:p w14:paraId="22B0B3A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2</w:t>
            </w:r>
          </w:p>
        </w:tc>
        <w:tc>
          <w:tcPr>
            <w:tcW w:w="492" w:type="pct"/>
            <w:vMerge w:val="continue"/>
            <w:noWrap w:val="0"/>
            <w:vAlign w:val="center"/>
          </w:tcPr>
          <w:p w14:paraId="6C0B77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511A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restart"/>
            <w:noWrap w:val="0"/>
            <w:vAlign w:val="center"/>
          </w:tcPr>
          <w:p w14:paraId="4047FC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eastAsia="zh-CN"/>
              </w:rPr>
            </w:pPr>
            <w:r>
              <w:rPr>
                <w:rFonts w:hint="eastAsia" w:ascii="宋体" w:hAnsi="宋体" w:eastAsia="宋体" w:cs="宋体"/>
                <w:spacing w:val="14"/>
                <w:sz w:val="22"/>
                <w:szCs w:val="22"/>
                <w:lang w:eastAsia="zh-CN"/>
              </w:rPr>
              <w:t>药剂楼</w:t>
            </w:r>
          </w:p>
        </w:tc>
        <w:tc>
          <w:tcPr>
            <w:tcW w:w="1917" w:type="pct"/>
            <w:noWrap w:val="0"/>
            <w:vAlign w:val="center"/>
          </w:tcPr>
          <w:p w14:paraId="38E93B6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eastAsia="zh-CN"/>
              </w:rPr>
            </w:pPr>
            <w:r>
              <w:rPr>
                <w:rFonts w:hint="eastAsia" w:ascii="宋体" w:hAnsi="宋体" w:eastAsia="宋体" w:cs="宋体"/>
                <w:spacing w:val="14"/>
                <w:sz w:val="22"/>
                <w:szCs w:val="22"/>
                <w:lang w:eastAsia="zh-CN"/>
              </w:rPr>
              <w:t>接闪带</w:t>
            </w:r>
          </w:p>
        </w:tc>
        <w:tc>
          <w:tcPr>
            <w:tcW w:w="1547" w:type="pct"/>
            <w:noWrap w:val="0"/>
            <w:vAlign w:val="center"/>
          </w:tcPr>
          <w:p w14:paraId="128FDA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val="en-US" w:eastAsia="zh-CN"/>
              </w:rPr>
            </w:pPr>
            <w:r>
              <w:rPr>
                <w:rFonts w:hint="eastAsia" w:ascii="宋体" w:hAnsi="宋体" w:eastAsia="宋体" w:cs="宋体"/>
                <w:spacing w:val="14"/>
                <w:sz w:val="22"/>
                <w:szCs w:val="22"/>
                <w:lang w:val="en-US" w:eastAsia="zh-CN"/>
              </w:rPr>
              <w:t>4</w:t>
            </w:r>
          </w:p>
        </w:tc>
        <w:tc>
          <w:tcPr>
            <w:tcW w:w="492" w:type="pct"/>
            <w:vMerge w:val="restart"/>
            <w:noWrap w:val="0"/>
            <w:vAlign w:val="center"/>
          </w:tcPr>
          <w:p w14:paraId="0CC89C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val="en-US" w:eastAsia="zh-CN"/>
              </w:rPr>
            </w:pPr>
            <w:r>
              <w:rPr>
                <w:rFonts w:hint="eastAsia" w:ascii="宋体" w:hAnsi="宋体" w:eastAsia="宋体" w:cs="宋体"/>
                <w:spacing w:val="14"/>
                <w:sz w:val="22"/>
                <w:szCs w:val="22"/>
                <w:lang w:val="en-US" w:eastAsia="zh-CN"/>
              </w:rPr>
              <w:t>6</w:t>
            </w:r>
          </w:p>
        </w:tc>
      </w:tr>
      <w:tr w14:paraId="5CBC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0F16275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c>
          <w:tcPr>
            <w:tcW w:w="1917" w:type="pct"/>
            <w:noWrap w:val="0"/>
            <w:vAlign w:val="center"/>
          </w:tcPr>
          <w:p w14:paraId="1E015D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12A26EB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val="en-US" w:eastAsia="zh-CN"/>
              </w:rPr>
            </w:pPr>
            <w:r>
              <w:rPr>
                <w:rFonts w:hint="eastAsia" w:ascii="宋体" w:hAnsi="宋体" w:eastAsia="宋体" w:cs="宋体"/>
                <w:spacing w:val="14"/>
                <w:sz w:val="22"/>
                <w:szCs w:val="22"/>
                <w:lang w:val="en-US" w:eastAsia="zh-CN"/>
              </w:rPr>
              <w:t>2</w:t>
            </w:r>
          </w:p>
        </w:tc>
        <w:tc>
          <w:tcPr>
            <w:tcW w:w="492" w:type="pct"/>
            <w:vMerge w:val="continue"/>
            <w:noWrap w:val="0"/>
            <w:vAlign w:val="center"/>
          </w:tcPr>
          <w:p w14:paraId="3A3649E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2261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vMerge w:val="continue"/>
            <w:noWrap w:val="0"/>
            <w:vAlign w:val="center"/>
          </w:tcPr>
          <w:p w14:paraId="21696DE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eastAsia="zh-CN"/>
              </w:rPr>
            </w:pPr>
          </w:p>
        </w:tc>
        <w:tc>
          <w:tcPr>
            <w:tcW w:w="1917" w:type="pct"/>
            <w:noWrap w:val="0"/>
            <w:vAlign w:val="center"/>
          </w:tcPr>
          <w:p w14:paraId="061D2AC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引下线及接地装置</w:t>
            </w:r>
          </w:p>
        </w:tc>
        <w:tc>
          <w:tcPr>
            <w:tcW w:w="1547" w:type="pct"/>
            <w:noWrap w:val="0"/>
            <w:vAlign w:val="center"/>
          </w:tcPr>
          <w:p w14:paraId="09D8B1A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lang w:val="en-US" w:eastAsia="zh-CN"/>
              </w:rPr>
            </w:pPr>
            <w:r>
              <w:rPr>
                <w:rFonts w:hint="eastAsia" w:ascii="宋体" w:hAnsi="宋体" w:eastAsia="宋体" w:cs="宋体"/>
                <w:spacing w:val="14"/>
                <w:sz w:val="22"/>
                <w:szCs w:val="22"/>
                <w:lang w:val="en-US" w:eastAsia="zh-CN"/>
              </w:rPr>
              <w:t>6</w:t>
            </w:r>
          </w:p>
        </w:tc>
        <w:tc>
          <w:tcPr>
            <w:tcW w:w="492" w:type="pct"/>
            <w:vMerge w:val="continue"/>
            <w:noWrap w:val="0"/>
            <w:vAlign w:val="center"/>
          </w:tcPr>
          <w:p w14:paraId="3E0618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p>
        </w:tc>
      </w:tr>
      <w:tr w14:paraId="745B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042" w:type="pct"/>
            <w:noWrap w:val="0"/>
            <w:vAlign w:val="center"/>
          </w:tcPr>
          <w:p w14:paraId="33E2BD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2"/>
                <w:szCs w:val="22"/>
              </w:rPr>
            </w:pPr>
            <w:r>
              <w:rPr>
                <w:rFonts w:hint="eastAsia" w:ascii="宋体" w:hAnsi="宋体" w:eastAsia="宋体" w:cs="宋体"/>
                <w:spacing w:val="14"/>
                <w:sz w:val="22"/>
                <w:szCs w:val="22"/>
              </w:rPr>
              <w:t>合计</w:t>
            </w:r>
          </w:p>
        </w:tc>
        <w:tc>
          <w:tcPr>
            <w:tcW w:w="3957" w:type="pct"/>
            <w:gridSpan w:val="3"/>
            <w:noWrap w:val="0"/>
            <w:vAlign w:val="center"/>
          </w:tcPr>
          <w:p w14:paraId="5FBDD2A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2"/>
                <w:szCs w:val="22"/>
                <w:lang w:val="en-US" w:eastAsia="zh-CN"/>
              </w:rPr>
            </w:pPr>
            <w:r>
              <w:rPr>
                <w:rFonts w:hint="eastAsia" w:ascii="宋体" w:hAnsi="宋体" w:eastAsia="宋体" w:cs="宋体"/>
                <w:spacing w:val="14"/>
                <w:sz w:val="22"/>
                <w:szCs w:val="22"/>
                <w:lang w:val="en-US" w:eastAsia="zh-CN"/>
              </w:rPr>
              <w:t>236</w:t>
            </w:r>
          </w:p>
        </w:tc>
      </w:tr>
    </w:tbl>
    <w:p w14:paraId="00B57D8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eastAsia="zh-CN"/>
        </w:rPr>
        <w:t>注：</w:t>
      </w:r>
      <w:r>
        <w:rPr>
          <w:rFonts w:hint="eastAsia" w:ascii="宋体" w:hAnsi="宋体" w:eastAsia="宋体" w:cs="宋体"/>
          <w:spacing w:val="14"/>
          <w:sz w:val="24"/>
          <w:szCs w:val="24"/>
        </w:rPr>
        <w:t>检测不得影响医院正常医疗秩序。</w:t>
      </w:r>
    </w:p>
    <w:p w14:paraId="22C854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严格按照《建筑物雷电防护装置检测技术规范》（GB/T21431-2023）等相关防雷电规范的规定对西安市中心医院的防雷电装置进行检测，并在检测各建筑物具体内容时需遵循以下检测方法：</w:t>
      </w:r>
    </w:p>
    <w:p w14:paraId="637F8B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①接闪杆、带、网、线及其引下线等材料规格、焊接长度和接地电阻，引下线的间隔距离，接闪网网格尺寸的测试。</w:t>
      </w:r>
    </w:p>
    <w:p w14:paraId="53BCB8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天面金属构件（包括栏杆、放散管、旗杆、设备、广告牌等）接地阻值的测试。天面电气设备，主要是天线、空调机组、风机管口、风机管道及电气设备电源配电箱，电源及信号线的屏蔽管、槽等接地阻值的测试。</w:t>
      </w:r>
    </w:p>
    <w:p w14:paraId="0D348D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③水箱接地，规范要求接地引线不少于两点，浮标控制线路的屏蔽管接地电阻的测试等。</w:t>
      </w:r>
    </w:p>
    <w:p w14:paraId="094347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④电梯机房，主要是对其配电箱、SPD、柜，控制柜，线槽，电机，限速器，平衡器，轨道的接地测试。</w:t>
      </w:r>
    </w:p>
    <w:p w14:paraId="62490E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⑤其他设施的测试，如有的建筑物接闪带时暗敷的，其水泥标明厚度不应大于2cm。</w:t>
      </w:r>
    </w:p>
    <w:p w14:paraId="1761DD0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⑥配电房设备：包括接地母排、低压柜、总配电箱、分配电箱、SPD、单元PE线等接地阻值的检测。</w:t>
      </w:r>
    </w:p>
    <w:p w14:paraId="7D18FD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⑦泵房设备：主要是消防泵房，喷淋泵，生活泵，潜水泵，加压罐，各类泵的配电柜（箱)，各类泵的控制柜（箱),各类泵的电源屏蔽管等接地阻值或连接过渡电阻的测量</w:t>
      </w:r>
    </w:p>
    <w:p w14:paraId="696669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⑧电缆桥架：水平电缆桥架一般要求不超过30米就近做等电位连接一次，因此，宜每隔25-30m检测一次其接地电阻值。</w:t>
      </w:r>
    </w:p>
    <w:p w14:paraId="22D2012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⑨按相应的规范要求检测的其他防雷装置和设施。</w:t>
      </w:r>
    </w:p>
    <w:p w14:paraId="27AEFB66">
      <w:pPr>
        <w:pStyle w:val="2"/>
        <w:ind w:left="0" w:leftChars="0" w:firstLine="536" w:firstLineChars="200"/>
        <w:rPr>
          <w:rFonts w:hint="eastAsia" w:ascii="宋体" w:hAnsi="宋体" w:eastAsia="宋体" w:cs="宋体"/>
          <w:spacing w:val="14"/>
          <w:kern w:val="2"/>
          <w:sz w:val="24"/>
          <w:szCs w:val="24"/>
          <w:lang w:val="en-US" w:eastAsia="zh-CN" w:bidi="ar-SA"/>
        </w:rPr>
      </w:pPr>
      <w:r>
        <w:rPr>
          <w:rFonts w:hint="eastAsia" w:ascii="宋体" w:hAnsi="宋体" w:eastAsia="宋体" w:cs="宋体"/>
          <w:spacing w:val="14"/>
          <w:kern w:val="2"/>
          <w:sz w:val="24"/>
          <w:szCs w:val="24"/>
          <w:lang w:val="en-US" w:eastAsia="zh-CN" w:bidi="ar-SA"/>
        </w:rPr>
        <w:t>12、北大街、糖坊街院区清掏化粪池</w:t>
      </w:r>
    </w:p>
    <w:p w14:paraId="02B0CA9A">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①负责雇佣吸粪车。</w:t>
      </w:r>
    </w:p>
    <w:p w14:paraId="39766665">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②下井作业时应使用专业设备检测是否有毒气，确定无问题后，再佩戴好防护面具，系好安全绳，使用安全照明灯下井作业。</w:t>
      </w:r>
    </w:p>
    <w:p w14:paraId="0FC5480D">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③要求使用封闭式的全机械化设备清掏化粪池。清掏过程中，保证环境卫生，负责将化粪池的粪便及杂物全部清掏干净并按照相关规定合理合规处理。</w:t>
      </w:r>
    </w:p>
    <w:p w14:paraId="3C845C27">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④启动吸粪车开关，吸出粪便直到化粪池内之化粪结块吸完为止。</w:t>
      </w:r>
    </w:p>
    <w:p w14:paraId="5C717AD2">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⑤化粪池清理程度：一级池清运90%，二级池清运75%，三级池之表面全部清运。</w:t>
      </w:r>
    </w:p>
    <w:p w14:paraId="57BE39AC">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⑥清理后，且视井内无积物浮于上面，出入口通畅，保持污水不溢出地面。</w:t>
      </w:r>
    </w:p>
    <w:p w14:paraId="28895B06">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⑦吸粪作业时，防止弄脏工作现场和过往行人之衣物，且清掏时必须每日保持清洁有关工作场地。</w:t>
      </w:r>
    </w:p>
    <w:p w14:paraId="6F1752B1">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⑧现场工作时，不抽烟，不引火，不随意接打电话。</w:t>
      </w:r>
    </w:p>
    <w:p w14:paraId="7A00CE2C">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⑨在清理化粪池的过程中，应当采取相应的安全防范措施。</w:t>
      </w:r>
    </w:p>
    <w:p w14:paraId="6BFDB3CB">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⑩清掏工作结束后，应检查是否盖好井盖。</w:t>
      </w:r>
    </w:p>
    <w:p w14:paraId="5D99196F">
      <w:pPr>
        <w:keepNext w:val="0"/>
        <w:keepLines w:val="0"/>
        <w:pageBreakBefore w:val="0"/>
        <w:widowControl/>
        <w:kinsoku/>
        <w:wordWrap/>
        <w:overflowPunct/>
        <w:topLinePunct w:val="0"/>
        <w:autoSpaceDE w:val="0"/>
        <w:autoSpaceDN w:val="0"/>
        <w:bidi w:val="0"/>
        <w:adjustRightInd w:val="0"/>
        <w:snapToGrid w:val="0"/>
        <w:spacing w:line="360" w:lineRule="auto"/>
        <w:ind w:right="0" w:firstLine="536" w:firstLineChars="20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注：清掏期间，不得影响医院医疗工作正常开展。</w:t>
      </w:r>
    </w:p>
    <w:p w14:paraId="1BAE7ED4">
      <w:pPr>
        <w:keepNext w:val="0"/>
        <w:keepLines w:val="0"/>
        <w:pageBreakBefore w:val="0"/>
        <w:widowControl/>
        <w:kinsoku/>
        <w:wordWrap/>
        <w:overflowPunct/>
        <w:topLinePunct w:val="0"/>
        <w:autoSpaceDE w:val="0"/>
        <w:autoSpaceDN w:val="0"/>
        <w:bidi w:val="0"/>
        <w:adjustRightInd w:val="0"/>
        <w:snapToGrid w:val="0"/>
        <w:spacing w:line="360" w:lineRule="auto"/>
        <w:ind w:right="0"/>
        <w:jc w:val="left"/>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（二）糖坊街院区</w:t>
      </w:r>
    </w:p>
    <w:p w14:paraId="187ACE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1、中央空调运行管理、日常值守操作、维修保养、清洗消毒。</w:t>
      </w:r>
    </w:p>
    <w:p w14:paraId="2D882E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2、抢险抢修任务：如停电时发电、跑水时抽水等。</w:t>
      </w:r>
    </w:p>
    <w:p w14:paraId="6DE153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3、简单铁器制品的制作维修</w:t>
      </w:r>
    </w:p>
    <w:p w14:paraId="07C8DC3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如：钢制座椅维修、铁艺栏栅维修、简易钢制防护网、货架、走廊扶手等的维修、制作、及安装。</w:t>
      </w:r>
    </w:p>
    <w:p w14:paraId="116DE38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4、各大楼出入口的门帘维修。</w:t>
      </w:r>
    </w:p>
    <w:p w14:paraId="52C8F6A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5、小型发电机的维护管理操作。</w:t>
      </w:r>
    </w:p>
    <w:p w14:paraId="73FDA6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6、变配电室设施的24小时值守、完成继电保护及预防性耐压试验等工作和全院电器照明、强电、线路等电力设备设施维护管理、维修及安装等。</w:t>
      </w:r>
    </w:p>
    <w:p w14:paraId="338EB1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7、全院上、下水管道及设施的维修、保养、疏通等。</w:t>
      </w:r>
    </w:p>
    <w:p w14:paraId="19A701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8、全院上水阀门、龙头、马桶、便池、面盆、抽纸盒、皂液器等卫生洁具的维修。</w:t>
      </w:r>
    </w:p>
    <w:p w14:paraId="4D8A486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9、各类家具锁具、及各类门、窗、吊顶等装饰维修。</w:t>
      </w:r>
    </w:p>
    <w:p w14:paraId="10C8CE6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10、血液层流病房及其机房设备设施的维护、保养、操作、值守定期检测等。</w:t>
      </w:r>
    </w:p>
    <w:p w14:paraId="03CA870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11、5部电梯（含医梯）的操作值守</w:t>
      </w:r>
      <w:r>
        <w:rPr>
          <w:rFonts w:hint="eastAsia" w:ascii="宋体" w:hAnsi="宋体" w:cs="宋体"/>
          <w:spacing w:val="14"/>
          <w:sz w:val="24"/>
          <w:szCs w:val="24"/>
          <w:lang w:eastAsia="zh-CN"/>
        </w:rPr>
        <w:t>，</w:t>
      </w:r>
      <w:r>
        <w:rPr>
          <w:rFonts w:hint="eastAsia" w:ascii="宋体" w:hAnsi="宋体" w:cs="宋体"/>
          <w:b w:val="0"/>
          <w:bCs/>
          <w:color w:val="auto"/>
          <w:sz w:val="24"/>
          <w:szCs w:val="24"/>
          <w:highlight w:val="none"/>
          <w:lang w:val="en-US" w:eastAsia="zh-CN"/>
        </w:rPr>
        <w:t>维保期内乙方需派驻甲方至少2名专业人员24小时全天值守。</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983"/>
        <w:gridCol w:w="812"/>
        <w:gridCol w:w="1051"/>
        <w:gridCol w:w="1155"/>
        <w:gridCol w:w="693"/>
        <w:gridCol w:w="2716"/>
      </w:tblGrid>
      <w:tr w14:paraId="3AB3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noWrap w:val="0"/>
            <w:vAlign w:val="center"/>
          </w:tcPr>
          <w:p w14:paraId="6835116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糖坊街医技楼</w:t>
            </w:r>
          </w:p>
        </w:tc>
        <w:tc>
          <w:tcPr>
            <w:tcW w:w="593" w:type="pct"/>
            <w:noWrap w:val="0"/>
            <w:vAlign w:val="center"/>
          </w:tcPr>
          <w:p w14:paraId="590FB4EE">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富士达</w:t>
            </w:r>
          </w:p>
        </w:tc>
        <w:tc>
          <w:tcPr>
            <w:tcW w:w="493" w:type="pct"/>
            <w:noWrap w:val="0"/>
            <w:vAlign w:val="center"/>
          </w:tcPr>
          <w:p w14:paraId="6F0867DB">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633" w:type="pct"/>
            <w:noWrap w:val="0"/>
            <w:vAlign w:val="center"/>
          </w:tcPr>
          <w:p w14:paraId="4AD37DE9">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3层3站</w:t>
            </w:r>
          </w:p>
        </w:tc>
        <w:tc>
          <w:tcPr>
            <w:tcW w:w="694" w:type="pct"/>
            <w:noWrap w:val="0"/>
            <w:vAlign w:val="center"/>
          </w:tcPr>
          <w:p w14:paraId="1A08A6BC">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2020.01</w:t>
            </w:r>
          </w:p>
        </w:tc>
        <w:tc>
          <w:tcPr>
            <w:tcW w:w="412" w:type="pct"/>
            <w:noWrap w:val="0"/>
            <w:vAlign w:val="center"/>
          </w:tcPr>
          <w:p w14:paraId="0C718E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505" w:type="pct"/>
            <w:noWrap w:val="0"/>
            <w:vAlign w:val="center"/>
          </w:tcPr>
          <w:p w14:paraId="338E26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ZEAIA-B-1600kg-1.0m/s</w:t>
            </w:r>
          </w:p>
        </w:tc>
      </w:tr>
      <w:tr w14:paraId="67BF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noWrap w:val="0"/>
            <w:vAlign w:val="center"/>
          </w:tcPr>
          <w:p w14:paraId="01A2C1D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糖坊街门诊楼</w:t>
            </w:r>
          </w:p>
        </w:tc>
        <w:tc>
          <w:tcPr>
            <w:tcW w:w="593" w:type="pct"/>
            <w:noWrap w:val="0"/>
            <w:vAlign w:val="center"/>
          </w:tcPr>
          <w:p w14:paraId="677C96CB">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富士达</w:t>
            </w:r>
          </w:p>
        </w:tc>
        <w:tc>
          <w:tcPr>
            <w:tcW w:w="493" w:type="pct"/>
            <w:noWrap w:val="0"/>
            <w:vAlign w:val="center"/>
          </w:tcPr>
          <w:p w14:paraId="32810A34">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633" w:type="pct"/>
            <w:noWrap w:val="0"/>
            <w:vAlign w:val="center"/>
          </w:tcPr>
          <w:p w14:paraId="2C893982">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3层3站</w:t>
            </w:r>
          </w:p>
        </w:tc>
        <w:tc>
          <w:tcPr>
            <w:tcW w:w="694" w:type="pct"/>
            <w:noWrap w:val="0"/>
            <w:vAlign w:val="center"/>
          </w:tcPr>
          <w:p w14:paraId="730C46B6">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2020.01</w:t>
            </w:r>
          </w:p>
        </w:tc>
        <w:tc>
          <w:tcPr>
            <w:tcW w:w="412" w:type="pct"/>
            <w:noWrap w:val="0"/>
            <w:vAlign w:val="center"/>
          </w:tcPr>
          <w:p w14:paraId="7E379E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505" w:type="pct"/>
            <w:noWrap w:val="0"/>
            <w:vAlign w:val="center"/>
          </w:tcPr>
          <w:p w14:paraId="4B94FD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ZEAIA-B-1600kg-1.0m/s</w:t>
            </w:r>
          </w:p>
        </w:tc>
      </w:tr>
      <w:tr w14:paraId="54F6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noWrap w:val="0"/>
            <w:vAlign w:val="center"/>
          </w:tcPr>
          <w:p w14:paraId="4EF7C9C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糖坊街住院楼</w:t>
            </w:r>
          </w:p>
        </w:tc>
        <w:tc>
          <w:tcPr>
            <w:tcW w:w="593" w:type="pct"/>
            <w:noWrap w:val="0"/>
            <w:vAlign w:val="center"/>
          </w:tcPr>
          <w:p w14:paraId="26A9DB4D">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富士达</w:t>
            </w:r>
          </w:p>
        </w:tc>
        <w:tc>
          <w:tcPr>
            <w:tcW w:w="493" w:type="pct"/>
            <w:noWrap w:val="0"/>
            <w:vAlign w:val="center"/>
          </w:tcPr>
          <w:p w14:paraId="699470B1">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633" w:type="pct"/>
            <w:noWrap w:val="0"/>
            <w:vAlign w:val="center"/>
          </w:tcPr>
          <w:p w14:paraId="0A0BE320">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694" w:type="pct"/>
            <w:noWrap w:val="0"/>
            <w:vAlign w:val="center"/>
          </w:tcPr>
          <w:p w14:paraId="053DA7BF">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2020.01</w:t>
            </w:r>
          </w:p>
        </w:tc>
        <w:tc>
          <w:tcPr>
            <w:tcW w:w="412" w:type="pct"/>
            <w:noWrap w:val="0"/>
            <w:vAlign w:val="center"/>
          </w:tcPr>
          <w:p w14:paraId="0593A3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505" w:type="pct"/>
            <w:noWrap w:val="0"/>
            <w:vAlign w:val="center"/>
          </w:tcPr>
          <w:p w14:paraId="228FB0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ZEAIA-B-1600kg-1.0m/s</w:t>
            </w:r>
          </w:p>
        </w:tc>
      </w:tr>
      <w:tr w14:paraId="032C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noWrap w:val="0"/>
            <w:vAlign w:val="center"/>
          </w:tcPr>
          <w:p w14:paraId="71DA48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糖坊街住院楼</w:t>
            </w:r>
          </w:p>
        </w:tc>
        <w:tc>
          <w:tcPr>
            <w:tcW w:w="593" w:type="pct"/>
            <w:noWrap w:val="0"/>
            <w:vAlign w:val="center"/>
          </w:tcPr>
          <w:p w14:paraId="0B9D640E">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富士达</w:t>
            </w:r>
          </w:p>
        </w:tc>
        <w:tc>
          <w:tcPr>
            <w:tcW w:w="493" w:type="pct"/>
            <w:noWrap w:val="0"/>
            <w:vAlign w:val="center"/>
          </w:tcPr>
          <w:p w14:paraId="38C1805D">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633" w:type="pct"/>
            <w:noWrap w:val="0"/>
            <w:vAlign w:val="center"/>
          </w:tcPr>
          <w:p w14:paraId="40C9C2C2">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6层6站</w:t>
            </w:r>
          </w:p>
        </w:tc>
        <w:tc>
          <w:tcPr>
            <w:tcW w:w="694" w:type="pct"/>
            <w:noWrap w:val="0"/>
            <w:vAlign w:val="center"/>
          </w:tcPr>
          <w:p w14:paraId="65039B55">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2020.01</w:t>
            </w:r>
          </w:p>
        </w:tc>
        <w:tc>
          <w:tcPr>
            <w:tcW w:w="412" w:type="pct"/>
            <w:noWrap w:val="0"/>
            <w:vAlign w:val="center"/>
          </w:tcPr>
          <w:p w14:paraId="18E77C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505" w:type="pct"/>
            <w:noWrap w:val="0"/>
            <w:vAlign w:val="center"/>
          </w:tcPr>
          <w:p w14:paraId="322EE57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ZEAIA-B-1600kg-1.0m/s</w:t>
            </w:r>
          </w:p>
        </w:tc>
      </w:tr>
      <w:tr w14:paraId="0F01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noWrap w:val="0"/>
            <w:vAlign w:val="center"/>
          </w:tcPr>
          <w:p w14:paraId="5C1E6F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糖坊街口腔楼</w:t>
            </w:r>
          </w:p>
        </w:tc>
        <w:tc>
          <w:tcPr>
            <w:tcW w:w="593" w:type="pct"/>
            <w:noWrap w:val="0"/>
            <w:vAlign w:val="center"/>
          </w:tcPr>
          <w:p w14:paraId="1B88ED47">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东芝</w:t>
            </w:r>
          </w:p>
        </w:tc>
        <w:tc>
          <w:tcPr>
            <w:tcW w:w="493" w:type="pct"/>
            <w:noWrap w:val="0"/>
            <w:vAlign w:val="center"/>
          </w:tcPr>
          <w:p w14:paraId="09EE345F">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医梯</w:t>
            </w:r>
          </w:p>
        </w:tc>
        <w:tc>
          <w:tcPr>
            <w:tcW w:w="633" w:type="pct"/>
            <w:noWrap w:val="0"/>
            <w:vAlign w:val="center"/>
          </w:tcPr>
          <w:p w14:paraId="2393133D">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3层3站</w:t>
            </w:r>
          </w:p>
        </w:tc>
        <w:tc>
          <w:tcPr>
            <w:tcW w:w="694" w:type="pct"/>
            <w:noWrap w:val="0"/>
            <w:vAlign w:val="center"/>
          </w:tcPr>
          <w:p w14:paraId="63327A49">
            <w:pPr>
              <w:keepNext w:val="0"/>
              <w:keepLines w:val="0"/>
              <w:pageBreakBefore w:val="0"/>
              <w:widowControl/>
              <w:kinsoku/>
              <w:wordWrap/>
              <w:overflowPunct/>
              <w:topLinePunct w:val="0"/>
              <w:autoSpaceDE w:val="0"/>
              <w:autoSpaceDN w:val="0"/>
              <w:bidi w:val="0"/>
              <w:adjustRightInd w:val="0"/>
              <w:snapToGrid w:val="0"/>
              <w:spacing w:line="360" w:lineRule="auto"/>
              <w:ind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2020.07</w:t>
            </w:r>
          </w:p>
        </w:tc>
        <w:tc>
          <w:tcPr>
            <w:tcW w:w="412" w:type="pct"/>
            <w:noWrap w:val="0"/>
            <w:vAlign w:val="center"/>
          </w:tcPr>
          <w:p w14:paraId="60B855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1600</w:t>
            </w:r>
          </w:p>
        </w:tc>
        <w:tc>
          <w:tcPr>
            <w:tcW w:w="1505" w:type="pct"/>
            <w:noWrap w:val="0"/>
            <w:vAlign w:val="center"/>
          </w:tcPr>
          <w:p w14:paraId="78EFE0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SPACEL－Ⅲ</w:t>
            </w:r>
          </w:p>
        </w:tc>
      </w:tr>
    </w:tbl>
    <w:p w14:paraId="4169A7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12、各大楼集中供应式开水器维修管理和排气扇等小电器。</w:t>
      </w:r>
    </w:p>
    <w:p w14:paraId="351BF1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lang w:val="en-US" w:eastAsia="zh-CN"/>
        </w:rPr>
      </w:pPr>
      <w:r>
        <w:rPr>
          <w:rFonts w:hint="eastAsia" w:ascii="宋体" w:hAnsi="宋体" w:eastAsia="宋体" w:cs="宋体"/>
          <w:spacing w:val="14"/>
          <w:sz w:val="24"/>
          <w:szCs w:val="24"/>
          <w:lang w:val="en-US" w:eastAsia="zh-CN"/>
        </w:rPr>
        <w:t>13、各大楼防雷检测。</w:t>
      </w:r>
    </w:p>
    <w:tbl>
      <w:tblPr>
        <w:tblStyle w:val="6"/>
        <w:tblW w:w="5056"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2"/>
        <w:gridCol w:w="3205"/>
        <w:gridCol w:w="2586"/>
        <w:gridCol w:w="824"/>
      </w:tblGrid>
      <w:tr w14:paraId="618C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restart"/>
            <w:noWrap w:val="0"/>
            <w:vAlign w:val="center"/>
          </w:tcPr>
          <w:p w14:paraId="7E2A3F1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住院部（糖坊街）</w:t>
            </w:r>
          </w:p>
        </w:tc>
        <w:tc>
          <w:tcPr>
            <w:tcW w:w="1859" w:type="pct"/>
            <w:noWrap w:val="0"/>
            <w:vAlign w:val="center"/>
          </w:tcPr>
          <w:p w14:paraId="34FF06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接闪</w:t>
            </w:r>
            <w:r>
              <w:rPr>
                <w:rFonts w:hint="eastAsia" w:ascii="宋体" w:hAnsi="宋体" w:eastAsia="宋体" w:cs="宋体"/>
                <w:spacing w:val="14"/>
                <w:sz w:val="21"/>
                <w:szCs w:val="21"/>
                <w:lang w:eastAsia="zh-CN"/>
              </w:rPr>
              <w:t>带</w:t>
            </w:r>
          </w:p>
        </w:tc>
        <w:tc>
          <w:tcPr>
            <w:tcW w:w="1500" w:type="pct"/>
            <w:noWrap w:val="0"/>
            <w:vAlign w:val="center"/>
          </w:tcPr>
          <w:p w14:paraId="3D77DD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w:t>
            </w:r>
          </w:p>
        </w:tc>
        <w:tc>
          <w:tcPr>
            <w:tcW w:w="477" w:type="pct"/>
            <w:vMerge w:val="restart"/>
            <w:noWrap w:val="0"/>
            <w:vAlign w:val="center"/>
          </w:tcPr>
          <w:p w14:paraId="40F1C6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35</w:t>
            </w:r>
          </w:p>
        </w:tc>
      </w:tr>
      <w:tr w14:paraId="709E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3A4AC1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78C766B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引下线及接地装置</w:t>
            </w:r>
          </w:p>
        </w:tc>
        <w:tc>
          <w:tcPr>
            <w:tcW w:w="1500" w:type="pct"/>
            <w:noWrap w:val="0"/>
            <w:vAlign w:val="center"/>
          </w:tcPr>
          <w:p w14:paraId="41FC07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5</w:t>
            </w:r>
          </w:p>
        </w:tc>
        <w:tc>
          <w:tcPr>
            <w:tcW w:w="477" w:type="pct"/>
            <w:vMerge w:val="continue"/>
            <w:noWrap w:val="0"/>
            <w:vAlign w:val="center"/>
          </w:tcPr>
          <w:p w14:paraId="0BD28B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284E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3D25E1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62DA00C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屋面设备</w:t>
            </w:r>
          </w:p>
        </w:tc>
        <w:tc>
          <w:tcPr>
            <w:tcW w:w="1500" w:type="pct"/>
            <w:noWrap w:val="0"/>
            <w:vAlign w:val="center"/>
          </w:tcPr>
          <w:p w14:paraId="0CE50C5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12</w:t>
            </w:r>
          </w:p>
        </w:tc>
        <w:tc>
          <w:tcPr>
            <w:tcW w:w="477" w:type="pct"/>
            <w:vMerge w:val="continue"/>
            <w:noWrap w:val="0"/>
            <w:vAlign w:val="center"/>
          </w:tcPr>
          <w:p w14:paraId="083173B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1A5E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6F72FE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595FF9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电梯机房或设备</w:t>
            </w:r>
          </w:p>
        </w:tc>
        <w:tc>
          <w:tcPr>
            <w:tcW w:w="1500" w:type="pct"/>
            <w:noWrap w:val="0"/>
            <w:vAlign w:val="center"/>
          </w:tcPr>
          <w:p w14:paraId="2893864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w:t>
            </w:r>
          </w:p>
        </w:tc>
        <w:tc>
          <w:tcPr>
            <w:tcW w:w="477" w:type="pct"/>
            <w:vMerge w:val="continue"/>
            <w:noWrap w:val="0"/>
            <w:vAlign w:val="center"/>
          </w:tcPr>
          <w:p w14:paraId="0F27F6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2D73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1A2CC42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61F2CF3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各类配电柜及SPD</w:t>
            </w:r>
          </w:p>
        </w:tc>
        <w:tc>
          <w:tcPr>
            <w:tcW w:w="1500" w:type="pct"/>
            <w:noWrap w:val="0"/>
            <w:vAlign w:val="center"/>
          </w:tcPr>
          <w:p w14:paraId="7295306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w:t>
            </w:r>
          </w:p>
        </w:tc>
        <w:tc>
          <w:tcPr>
            <w:tcW w:w="477" w:type="pct"/>
            <w:vMerge w:val="continue"/>
            <w:noWrap w:val="0"/>
            <w:vAlign w:val="center"/>
          </w:tcPr>
          <w:p w14:paraId="46321F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621B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restart"/>
            <w:noWrap w:val="0"/>
            <w:vAlign w:val="center"/>
          </w:tcPr>
          <w:p w14:paraId="7CB6E3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配电室（糖坊街）</w:t>
            </w:r>
          </w:p>
        </w:tc>
        <w:tc>
          <w:tcPr>
            <w:tcW w:w="1859" w:type="pct"/>
            <w:noWrap w:val="0"/>
            <w:vAlign w:val="center"/>
          </w:tcPr>
          <w:p w14:paraId="16A151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接闪</w:t>
            </w:r>
            <w:r>
              <w:rPr>
                <w:rFonts w:hint="eastAsia" w:ascii="宋体" w:hAnsi="宋体" w:eastAsia="宋体" w:cs="宋体"/>
                <w:spacing w:val="14"/>
                <w:sz w:val="21"/>
                <w:szCs w:val="21"/>
                <w:lang w:eastAsia="zh-CN"/>
              </w:rPr>
              <w:t>带</w:t>
            </w:r>
          </w:p>
        </w:tc>
        <w:tc>
          <w:tcPr>
            <w:tcW w:w="1500" w:type="pct"/>
            <w:noWrap w:val="0"/>
            <w:vAlign w:val="center"/>
          </w:tcPr>
          <w:p w14:paraId="4698FE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477" w:type="pct"/>
            <w:vMerge w:val="restart"/>
            <w:noWrap w:val="0"/>
            <w:vAlign w:val="center"/>
          </w:tcPr>
          <w:p w14:paraId="183593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20</w:t>
            </w:r>
          </w:p>
        </w:tc>
      </w:tr>
      <w:tr w14:paraId="2AB14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7082E3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7C40469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引下线及接地装置</w:t>
            </w:r>
          </w:p>
        </w:tc>
        <w:tc>
          <w:tcPr>
            <w:tcW w:w="1500" w:type="pct"/>
            <w:noWrap w:val="0"/>
            <w:vAlign w:val="center"/>
          </w:tcPr>
          <w:p w14:paraId="02151B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477" w:type="pct"/>
            <w:vMerge w:val="continue"/>
            <w:noWrap w:val="0"/>
            <w:vAlign w:val="center"/>
          </w:tcPr>
          <w:p w14:paraId="59B9F9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45C0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164A178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2BB8536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各类配电柜及SPD</w:t>
            </w:r>
          </w:p>
        </w:tc>
        <w:tc>
          <w:tcPr>
            <w:tcW w:w="1500" w:type="pct"/>
            <w:noWrap w:val="0"/>
            <w:vAlign w:val="center"/>
          </w:tcPr>
          <w:p w14:paraId="5A87133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16</w:t>
            </w:r>
          </w:p>
        </w:tc>
        <w:tc>
          <w:tcPr>
            <w:tcW w:w="477" w:type="pct"/>
            <w:vMerge w:val="continue"/>
            <w:noWrap w:val="0"/>
            <w:vAlign w:val="center"/>
          </w:tcPr>
          <w:p w14:paraId="0616E72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7853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restart"/>
            <w:noWrap w:val="0"/>
            <w:vAlign w:val="center"/>
          </w:tcPr>
          <w:p w14:paraId="0D8B07D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污水处理站</w:t>
            </w:r>
          </w:p>
          <w:p w14:paraId="67D25F5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（糖坊街）</w:t>
            </w:r>
          </w:p>
        </w:tc>
        <w:tc>
          <w:tcPr>
            <w:tcW w:w="1859" w:type="pct"/>
            <w:noWrap w:val="0"/>
            <w:vAlign w:val="center"/>
          </w:tcPr>
          <w:p w14:paraId="2696F4C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接闪</w:t>
            </w:r>
            <w:r>
              <w:rPr>
                <w:rFonts w:hint="eastAsia" w:ascii="宋体" w:hAnsi="宋体" w:eastAsia="宋体" w:cs="宋体"/>
                <w:spacing w:val="14"/>
                <w:sz w:val="21"/>
                <w:szCs w:val="21"/>
                <w:lang w:eastAsia="zh-CN"/>
              </w:rPr>
              <w:t>带</w:t>
            </w:r>
          </w:p>
        </w:tc>
        <w:tc>
          <w:tcPr>
            <w:tcW w:w="1500" w:type="pct"/>
            <w:noWrap w:val="0"/>
            <w:vAlign w:val="center"/>
          </w:tcPr>
          <w:p w14:paraId="19B6A12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4</w:t>
            </w:r>
          </w:p>
        </w:tc>
        <w:tc>
          <w:tcPr>
            <w:tcW w:w="477" w:type="pct"/>
            <w:vMerge w:val="restart"/>
            <w:noWrap w:val="0"/>
            <w:vAlign w:val="center"/>
          </w:tcPr>
          <w:p w14:paraId="18C151F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w:t>
            </w:r>
          </w:p>
        </w:tc>
      </w:tr>
      <w:tr w14:paraId="41EE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33ADC17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78DB34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引下线及接地装置</w:t>
            </w:r>
          </w:p>
        </w:tc>
        <w:tc>
          <w:tcPr>
            <w:tcW w:w="1500" w:type="pct"/>
            <w:noWrap w:val="0"/>
            <w:vAlign w:val="center"/>
          </w:tcPr>
          <w:p w14:paraId="6BCDCB1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6</w:t>
            </w:r>
          </w:p>
        </w:tc>
        <w:tc>
          <w:tcPr>
            <w:tcW w:w="477" w:type="pct"/>
            <w:vMerge w:val="continue"/>
            <w:noWrap w:val="0"/>
            <w:vAlign w:val="center"/>
          </w:tcPr>
          <w:p w14:paraId="0096DC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3B8C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restart"/>
            <w:noWrap w:val="0"/>
            <w:vAlign w:val="center"/>
          </w:tcPr>
          <w:p w14:paraId="48AAABF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医技楼（糖坊街）</w:t>
            </w:r>
          </w:p>
        </w:tc>
        <w:tc>
          <w:tcPr>
            <w:tcW w:w="1859" w:type="pct"/>
            <w:noWrap w:val="0"/>
            <w:vAlign w:val="center"/>
          </w:tcPr>
          <w:p w14:paraId="24720EE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接闪</w:t>
            </w:r>
            <w:r>
              <w:rPr>
                <w:rFonts w:hint="eastAsia" w:ascii="宋体" w:hAnsi="宋体" w:eastAsia="宋体" w:cs="宋体"/>
                <w:spacing w:val="14"/>
                <w:sz w:val="21"/>
                <w:szCs w:val="21"/>
                <w:lang w:eastAsia="zh-CN"/>
              </w:rPr>
              <w:t>带</w:t>
            </w:r>
          </w:p>
        </w:tc>
        <w:tc>
          <w:tcPr>
            <w:tcW w:w="1500" w:type="pct"/>
            <w:noWrap w:val="0"/>
            <w:vAlign w:val="center"/>
          </w:tcPr>
          <w:p w14:paraId="67F8E6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2</w:t>
            </w:r>
          </w:p>
        </w:tc>
        <w:tc>
          <w:tcPr>
            <w:tcW w:w="477" w:type="pct"/>
            <w:vMerge w:val="restart"/>
            <w:noWrap w:val="0"/>
            <w:vAlign w:val="center"/>
          </w:tcPr>
          <w:p w14:paraId="59BF45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10</w:t>
            </w:r>
          </w:p>
        </w:tc>
      </w:tr>
      <w:tr w14:paraId="64AB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7B20EE7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c>
          <w:tcPr>
            <w:tcW w:w="1859" w:type="pct"/>
            <w:noWrap w:val="0"/>
            <w:vAlign w:val="center"/>
          </w:tcPr>
          <w:p w14:paraId="3B6491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引下线及接地装置</w:t>
            </w:r>
          </w:p>
        </w:tc>
        <w:tc>
          <w:tcPr>
            <w:tcW w:w="1500" w:type="pct"/>
            <w:noWrap w:val="0"/>
            <w:vAlign w:val="center"/>
          </w:tcPr>
          <w:p w14:paraId="4B105A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8</w:t>
            </w:r>
          </w:p>
        </w:tc>
        <w:tc>
          <w:tcPr>
            <w:tcW w:w="477" w:type="pct"/>
            <w:vMerge w:val="continue"/>
            <w:noWrap w:val="0"/>
            <w:vAlign w:val="center"/>
          </w:tcPr>
          <w:p w14:paraId="6BEB81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7C46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restart"/>
            <w:noWrap w:val="0"/>
            <w:vAlign w:val="center"/>
          </w:tcPr>
          <w:p w14:paraId="7B2475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lang w:eastAsia="zh-CN"/>
              </w:rPr>
              <w:t>制氧站</w:t>
            </w:r>
            <w:r>
              <w:rPr>
                <w:rFonts w:hint="eastAsia" w:ascii="宋体" w:hAnsi="宋体" w:eastAsia="宋体" w:cs="宋体"/>
                <w:spacing w:val="14"/>
                <w:sz w:val="21"/>
                <w:szCs w:val="21"/>
              </w:rPr>
              <w:t>（糖坊街）</w:t>
            </w:r>
          </w:p>
        </w:tc>
        <w:tc>
          <w:tcPr>
            <w:tcW w:w="1859" w:type="pct"/>
            <w:noWrap w:val="0"/>
            <w:vAlign w:val="center"/>
          </w:tcPr>
          <w:p w14:paraId="727AC3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r>
              <w:rPr>
                <w:rFonts w:hint="eastAsia" w:ascii="宋体" w:hAnsi="宋体" w:eastAsia="宋体" w:cs="宋体"/>
                <w:spacing w:val="14"/>
                <w:sz w:val="21"/>
                <w:szCs w:val="21"/>
              </w:rPr>
              <w:t>接闪</w:t>
            </w:r>
            <w:r>
              <w:rPr>
                <w:rFonts w:hint="eastAsia" w:ascii="宋体" w:hAnsi="宋体" w:eastAsia="宋体" w:cs="宋体"/>
                <w:spacing w:val="14"/>
                <w:sz w:val="21"/>
                <w:szCs w:val="21"/>
                <w:lang w:eastAsia="zh-CN"/>
              </w:rPr>
              <w:t>带</w:t>
            </w:r>
          </w:p>
        </w:tc>
        <w:tc>
          <w:tcPr>
            <w:tcW w:w="1500" w:type="pct"/>
            <w:noWrap w:val="0"/>
            <w:vAlign w:val="center"/>
          </w:tcPr>
          <w:p w14:paraId="0B1D20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w:t>
            </w:r>
          </w:p>
        </w:tc>
        <w:tc>
          <w:tcPr>
            <w:tcW w:w="477" w:type="pct"/>
            <w:vMerge w:val="restart"/>
            <w:noWrap w:val="0"/>
            <w:vAlign w:val="center"/>
          </w:tcPr>
          <w:p w14:paraId="1627DB0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8</w:t>
            </w:r>
          </w:p>
        </w:tc>
      </w:tr>
      <w:tr w14:paraId="464F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vMerge w:val="continue"/>
            <w:noWrap w:val="0"/>
            <w:vAlign w:val="center"/>
          </w:tcPr>
          <w:p w14:paraId="436139A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eastAsia="zh-CN"/>
              </w:rPr>
            </w:pPr>
          </w:p>
        </w:tc>
        <w:tc>
          <w:tcPr>
            <w:tcW w:w="1859" w:type="pct"/>
            <w:noWrap w:val="0"/>
            <w:vAlign w:val="center"/>
          </w:tcPr>
          <w:p w14:paraId="59AB0E1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引下线及接地装置</w:t>
            </w:r>
          </w:p>
        </w:tc>
        <w:tc>
          <w:tcPr>
            <w:tcW w:w="1500" w:type="pct"/>
            <w:noWrap w:val="0"/>
            <w:vAlign w:val="center"/>
          </w:tcPr>
          <w:p w14:paraId="6CD5C6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w:t>
            </w:r>
          </w:p>
        </w:tc>
        <w:tc>
          <w:tcPr>
            <w:tcW w:w="477" w:type="pct"/>
            <w:vMerge w:val="continue"/>
            <w:noWrap w:val="0"/>
            <w:vAlign w:val="center"/>
          </w:tcPr>
          <w:p w14:paraId="6C71A06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p>
        </w:tc>
      </w:tr>
      <w:tr w14:paraId="0298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right"/>
        </w:trPr>
        <w:tc>
          <w:tcPr>
            <w:tcW w:w="1162" w:type="pct"/>
            <w:noWrap w:val="0"/>
            <w:vAlign w:val="center"/>
          </w:tcPr>
          <w:p w14:paraId="38295A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14"/>
                <w:sz w:val="21"/>
                <w:szCs w:val="21"/>
              </w:rPr>
            </w:pPr>
            <w:r>
              <w:rPr>
                <w:rFonts w:hint="eastAsia" w:ascii="宋体" w:hAnsi="宋体" w:eastAsia="宋体" w:cs="宋体"/>
                <w:spacing w:val="14"/>
                <w:sz w:val="21"/>
                <w:szCs w:val="21"/>
              </w:rPr>
              <w:t>合计</w:t>
            </w:r>
          </w:p>
        </w:tc>
        <w:tc>
          <w:tcPr>
            <w:tcW w:w="3837" w:type="pct"/>
            <w:gridSpan w:val="3"/>
            <w:noWrap w:val="0"/>
            <w:vAlign w:val="center"/>
          </w:tcPr>
          <w:p w14:paraId="74B4F13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left"/>
              <w:textAlignment w:val="baseline"/>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83</w:t>
            </w:r>
          </w:p>
        </w:tc>
      </w:tr>
    </w:tbl>
    <w:p w14:paraId="4A836992">
      <w:pPr>
        <w:keepNext w:val="0"/>
        <w:keepLines w:val="0"/>
        <w:pageBreakBefore w:val="0"/>
        <w:widowControl/>
        <w:kinsoku/>
        <w:wordWrap/>
        <w:overflowPunct/>
        <w:topLinePunct w:val="0"/>
        <w:autoSpaceDE w:val="0"/>
        <w:autoSpaceDN w:val="0"/>
        <w:bidi w:val="0"/>
        <w:adjustRightInd w:val="0"/>
        <w:snapToGrid w:val="0"/>
        <w:spacing w:line="120" w:lineRule="auto"/>
        <w:ind w:left="0" w:right="0" w:firstLine="459"/>
        <w:jc w:val="left"/>
        <w:textAlignment w:val="baseline"/>
        <w:rPr>
          <w:rFonts w:hint="eastAsia" w:ascii="宋体" w:hAnsi="宋体" w:eastAsia="宋体" w:cs="宋体"/>
          <w:spacing w:val="14"/>
          <w:sz w:val="24"/>
          <w:szCs w:val="24"/>
        </w:rPr>
      </w:pPr>
    </w:p>
    <w:p w14:paraId="4180F39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w:t>
      </w: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rPr>
        <w:t>、各专业维修人员的24小时值守响应。</w:t>
      </w:r>
    </w:p>
    <w:p w14:paraId="38AC2802">
      <w:pPr>
        <w:adjustRightInd w:val="0"/>
        <w:snapToGrid w:val="0"/>
        <w:spacing w:line="360" w:lineRule="auto"/>
        <w:ind w:firstLine="536" w:firstLineChars="200"/>
        <w:rPr>
          <w:rFonts w:hint="eastAsia" w:ascii="宋体" w:hAnsi="宋体" w:eastAsia="宋体" w:cs="宋体"/>
          <w:sz w:val="24"/>
          <w:szCs w:val="24"/>
        </w:rPr>
      </w:pPr>
      <w:r>
        <w:rPr>
          <w:rFonts w:hint="eastAsia" w:ascii="宋体" w:hAnsi="宋体" w:eastAsia="宋体" w:cs="宋体"/>
          <w:spacing w:val="14"/>
          <w:sz w:val="24"/>
          <w:szCs w:val="24"/>
        </w:rPr>
        <w:t>以上所述</w:t>
      </w:r>
      <w:r>
        <w:rPr>
          <w:rFonts w:hint="eastAsia" w:ascii="宋体" w:hAnsi="宋体" w:eastAsia="宋体" w:cs="宋体"/>
          <w:spacing w:val="14"/>
          <w:sz w:val="24"/>
          <w:szCs w:val="24"/>
          <w:lang w:eastAsia="zh-CN"/>
        </w:rPr>
        <w:t>三个院区</w:t>
      </w:r>
      <w:r>
        <w:rPr>
          <w:rFonts w:hint="eastAsia" w:ascii="宋体" w:hAnsi="宋体" w:eastAsia="宋体" w:cs="宋体"/>
          <w:spacing w:val="14"/>
          <w:sz w:val="24"/>
          <w:szCs w:val="24"/>
        </w:rPr>
        <w:t>业务范围</w:t>
      </w:r>
      <w:r>
        <w:rPr>
          <w:rFonts w:hint="eastAsia" w:ascii="宋体" w:hAnsi="宋体" w:eastAsia="宋体" w:cs="宋体"/>
          <w:spacing w:val="14"/>
          <w:sz w:val="24"/>
          <w:szCs w:val="24"/>
          <w:lang w:val="en-US" w:eastAsia="zh-CN"/>
        </w:rPr>
        <w:t>检测、年审、审验的费用均由乙方承担。</w:t>
      </w:r>
      <w:r>
        <w:rPr>
          <w:rFonts w:hint="eastAsia" w:ascii="宋体" w:hAnsi="宋体" w:eastAsia="宋体" w:cs="宋体"/>
          <w:spacing w:val="14"/>
          <w:sz w:val="24"/>
          <w:szCs w:val="24"/>
        </w:rPr>
        <w:t>单次单项维修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材料费</w:t>
      </w:r>
      <w:r>
        <w:rPr>
          <w:rFonts w:hint="eastAsia" w:ascii="宋体" w:hAnsi="宋体" w:eastAsia="宋体" w:cs="宋体"/>
          <w:sz w:val="24"/>
          <w:szCs w:val="24"/>
        </w:rPr>
        <w:t>在5000.00元以内（包含5000.00元）时全部由</w:t>
      </w:r>
      <w:r>
        <w:rPr>
          <w:rFonts w:hint="eastAsia" w:ascii="宋体" w:hAnsi="宋体" w:eastAsia="宋体" w:cs="宋体"/>
          <w:sz w:val="24"/>
          <w:szCs w:val="24"/>
          <w:lang w:val="en-US" w:eastAsia="zh-CN"/>
        </w:rPr>
        <w:t>乙</w:t>
      </w:r>
      <w:r>
        <w:rPr>
          <w:rFonts w:hint="eastAsia" w:ascii="宋体" w:hAnsi="宋体" w:eastAsia="宋体" w:cs="宋体"/>
          <w:sz w:val="24"/>
          <w:szCs w:val="24"/>
        </w:rPr>
        <w:t>方负责，超出5000.00元时则由</w:t>
      </w:r>
      <w:r>
        <w:rPr>
          <w:rFonts w:hint="eastAsia" w:ascii="宋体" w:hAnsi="宋体" w:eastAsia="宋体" w:cs="宋体"/>
          <w:sz w:val="24"/>
          <w:szCs w:val="24"/>
          <w:lang w:val="en-US" w:eastAsia="zh-CN"/>
        </w:rPr>
        <w:t>甲方</w:t>
      </w:r>
      <w:r>
        <w:rPr>
          <w:rFonts w:hint="eastAsia" w:ascii="宋体" w:hAnsi="宋体" w:eastAsia="宋体" w:cs="宋体"/>
          <w:sz w:val="24"/>
          <w:szCs w:val="24"/>
        </w:rPr>
        <w:t>承担超出部分的费用，5000.00元的基数仍由</w:t>
      </w:r>
      <w:r>
        <w:rPr>
          <w:rFonts w:hint="eastAsia" w:ascii="宋体" w:hAnsi="宋体" w:eastAsia="宋体" w:cs="宋体"/>
          <w:sz w:val="24"/>
          <w:szCs w:val="24"/>
          <w:lang w:val="en-US" w:eastAsia="zh-CN"/>
        </w:rPr>
        <w:t>乙方</w:t>
      </w:r>
      <w:r>
        <w:rPr>
          <w:rFonts w:hint="eastAsia" w:ascii="宋体" w:hAnsi="宋体" w:eastAsia="宋体" w:cs="宋体"/>
          <w:sz w:val="24"/>
          <w:szCs w:val="24"/>
        </w:rPr>
        <w:t>负责并自当月应付款项里扣除。但如因</w:t>
      </w:r>
      <w:r>
        <w:rPr>
          <w:rFonts w:hint="eastAsia" w:ascii="宋体" w:hAnsi="宋体" w:eastAsia="宋体" w:cs="宋体"/>
          <w:sz w:val="24"/>
          <w:szCs w:val="24"/>
          <w:lang w:val="en-US" w:eastAsia="zh-CN"/>
        </w:rPr>
        <w:t>乙方</w:t>
      </w:r>
      <w:r>
        <w:rPr>
          <w:rFonts w:hint="eastAsia" w:ascii="宋体" w:hAnsi="宋体" w:eastAsia="宋体" w:cs="宋体"/>
          <w:sz w:val="24"/>
          <w:szCs w:val="24"/>
        </w:rPr>
        <w:t>维护不利、操作或管理不当而造成的设备设施损坏，则由</w:t>
      </w:r>
      <w:r>
        <w:rPr>
          <w:rFonts w:hint="eastAsia" w:ascii="宋体" w:hAnsi="宋体" w:eastAsia="宋体" w:cs="宋体"/>
          <w:sz w:val="24"/>
          <w:szCs w:val="24"/>
          <w:lang w:val="en-US" w:eastAsia="zh-CN"/>
        </w:rPr>
        <w:t>乙方</w:t>
      </w:r>
      <w:r>
        <w:rPr>
          <w:rFonts w:hint="eastAsia" w:ascii="宋体" w:hAnsi="宋体" w:eastAsia="宋体" w:cs="宋体"/>
          <w:sz w:val="24"/>
          <w:szCs w:val="24"/>
        </w:rPr>
        <w:t>承担所有损失及费用。</w:t>
      </w:r>
    </w:p>
    <w:p w14:paraId="748D762B">
      <w:pPr>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rFonts w:hint="eastAsia" w:ascii="宋体" w:hAnsi="宋体" w:eastAsia="宋体" w:cs="宋体"/>
          <w:spacing w:val="14"/>
          <w:sz w:val="24"/>
          <w:szCs w:val="24"/>
        </w:rPr>
      </w:pPr>
      <w:r>
        <w:rPr>
          <w:rFonts w:hint="eastAsia" w:ascii="宋体" w:hAnsi="宋体" w:eastAsia="宋体" w:cs="宋体"/>
          <w:sz w:val="24"/>
          <w:szCs w:val="24"/>
        </w:rPr>
        <w:t>单次单项维修费用在1万元以上的（包含1万元）中大型维修项目由甲方按照医院相关规定另行招标实施，费用由甲方自行承担。</w:t>
      </w:r>
    </w:p>
    <w:p w14:paraId="58154861">
      <w:pPr>
        <w:keepNext w:val="0"/>
        <w:keepLines w:val="0"/>
        <w:pageBreakBefore w:val="0"/>
        <w:widowControl/>
        <w:kinsoku/>
        <w:wordWrap/>
        <w:overflowPunct/>
        <w:topLinePunct w:val="0"/>
        <w:autoSpaceDE w:val="0"/>
        <w:autoSpaceDN w:val="0"/>
        <w:bidi w:val="0"/>
        <w:adjustRightInd w:val="0"/>
        <w:snapToGrid w:val="0"/>
        <w:spacing w:line="360" w:lineRule="auto"/>
        <w:ind w:right="0" w:firstLine="438" w:firstLineChars="200"/>
        <w:jc w:val="left"/>
        <w:textAlignment w:val="baseline"/>
        <w:rPr>
          <w:rFonts w:hint="eastAsia" w:ascii="宋体" w:hAnsi="宋体" w:eastAsia="宋体" w:cs="宋体"/>
          <w:sz w:val="24"/>
          <w:szCs w:val="24"/>
        </w:rPr>
      </w:pPr>
      <w:r>
        <w:rPr>
          <w:rFonts w:hint="eastAsia" w:ascii="宋体" w:hAnsi="宋体" w:eastAsia="宋体" w:cs="宋体"/>
          <w:b/>
          <w:bCs/>
          <w:spacing w:val="-11"/>
          <w:sz w:val="24"/>
          <w:szCs w:val="24"/>
        </w:rPr>
        <w:t>四</w:t>
      </w:r>
      <w:r>
        <w:rPr>
          <w:rFonts w:hint="eastAsia" w:ascii="宋体" w:hAnsi="宋体" w:eastAsia="宋体" w:cs="宋体"/>
          <w:spacing w:val="-48"/>
          <w:sz w:val="24"/>
          <w:szCs w:val="24"/>
        </w:rPr>
        <w:t xml:space="preserve"> </w:t>
      </w:r>
      <w:r>
        <w:rPr>
          <w:rFonts w:hint="eastAsia" w:ascii="宋体" w:hAnsi="宋体" w:eastAsia="宋体" w:cs="宋体"/>
          <w:b/>
          <w:bCs/>
          <w:spacing w:val="-11"/>
          <w:sz w:val="24"/>
          <w:szCs w:val="24"/>
        </w:rPr>
        <w:t>、</w:t>
      </w:r>
      <w:r>
        <w:rPr>
          <w:rFonts w:hint="eastAsia" w:ascii="宋体" w:hAnsi="宋体" w:eastAsia="宋体" w:cs="宋体"/>
          <w:b/>
          <w:bCs/>
          <w:spacing w:val="-11"/>
          <w:sz w:val="24"/>
          <w:szCs w:val="24"/>
          <w:lang w:val="en-US" w:eastAsia="zh-CN"/>
        </w:rPr>
        <w:t xml:space="preserve"> </w:t>
      </w:r>
      <w:r>
        <w:rPr>
          <w:rFonts w:hint="eastAsia" w:ascii="宋体" w:hAnsi="宋体" w:eastAsia="宋体" w:cs="宋体"/>
          <w:b/>
          <w:bCs/>
          <w:spacing w:val="-11"/>
          <w:sz w:val="24"/>
          <w:szCs w:val="24"/>
        </w:rPr>
        <w:t>质量要求：</w:t>
      </w:r>
    </w:p>
    <w:p w14:paraId="45F283F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1、按照国家及行业相关规范、标准及三级甲等医院相关要求，建立健全各项管理制度、设备档案管理制度。设备档案分类成册，管理有序，查阅方便。　</w:t>
      </w:r>
    </w:p>
    <w:p w14:paraId="3533752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2</w:t>
      </w:r>
      <w:r>
        <w:rPr>
          <w:rFonts w:hint="eastAsia" w:ascii="宋体" w:hAnsi="宋体" w:eastAsia="宋体" w:cs="宋体"/>
          <w:spacing w:val="9"/>
          <w:sz w:val="24"/>
          <w:szCs w:val="24"/>
        </w:rPr>
        <w:t>、制订设施设备年度、月度养护及维修计划，保养和维修记录齐全。</w:t>
      </w:r>
    </w:p>
    <w:p w14:paraId="030700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3</w:t>
      </w:r>
      <w:r>
        <w:rPr>
          <w:rFonts w:hint="eastAsia" w:ascii="宋体" w:hAnsi="宋体" w:eastAsia="宋体" w:cs="宋体"/>
          <w:spacing w:val="9"/>
          <w:sz w:val="24"/>
          <w:szCs w:val="24"/>
        </w:rPr>
        <w:t>、设施设备标识齐全、规范，责任人明确。有设备台帐、维修状况、运行记录、巡查记录等。</w:t>
      </w:r>
    </w:p>
    <w:p w14:paraId="70A4495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4</w:t>
      </w:r>
      <w:r>
        <w:rPr>
          <w:rFonts w:hint="eastAsia" w:ascii="宋体" w:hAnsi="宋体" w:eastAsia="宋体" w:cs="宋体"/>
          <w:spacing w:val="9"/>
          <w:sz w:val="24"/>
          <w:szCs w:val="24"/>
        </w:rPr>
        <w:t>、操作维护人员严格执行设施设备操作规程及保养规范，确保设备设施运行正常，有突发事件应急处置预案和处理记录。</w:t>
      </w:r>
    </w:p>
    <w:p w14:paraId="1FFA44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5</w:t>
      </w:r>
      <w:r>
        <w:rPr>
          <w:rFonts w:hint="eastAsia" w:ascii="宋体" w:hAnsi="宋体" w:eastAsia="宋体" w:cs="宋体"/>
          <w:spacing w:val="9"/>
          <w:sz w:val="24"/>
          <w:szCs w:val="24"/>
        </w:rPr>
        <w:t>、设备用房应保持整洁、通风，无跑、冒、滴、漏和鼠害现象。</w:t>
      </w:r>
    </w:p>
    <w:p w14:paraId="4E6B2DC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6</w:t>
      </w:r>
      <w:r>
        <w:rPr>
          <w:rFonts w:hint="eastAsia" w:ascii="宋体" w:hAnsi="宋体" w:eastAsia="宋体" w:cs="宋体"/>
          <w:spacing w:val="9"/>
          <w:sz w:val="24"/>
          <w:szCs w:val="24"/>
        </w:rPr>
        <w:t>、确保每日对设施设备进行巡检，巡检记录规范齐全。特种设备的巡检按相关标准执行。</w:t>
      </w:r>
    </w:p>
    <w:p w14:paraId="58F335B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7</w:t>
      </w:r>
      <w:r>
        <w:rPr>
          <w:rFonts w:hint="eastAsia" w:ascii="宋体" w:hAnsi="宋体" w:eastAsia="宋体" w:cs="宋体"/>
          <w:spacing w:val="9"/>
          <w:sz w:val="24"/>
          <w:szCs w:val="24"/>
        </w:rPr>
        <w:t>、对可能危及人身安全隐患的设施设备、场所、需设有明显警示标识和防范措施。</w:t>
      </w:r>
    </w:p>
    <w:p w14:paraId="7F5A85D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8</w:t>
      </w:r>
      <w:r>
        <w:rPr>
          <w:rFonts w:hint="eastAsia" w:ascii="宋体" w:hAnsi="宋体" w:eastAsia="宋体" w:cs="宋体"/>
          <w:spacing w:val="9"/>
          <w:sz w:val="24"/>
          <w:szCs w:val="24"/>
        </w:rPr>
        <w:t>、对雨、污管道每二个月检查一次，每年对公共雨、污水管道全面疏通一次，确保排水通畅。</w:t>
      </w:r>
    </w:p>
    <w:p w14:paraId="6D9ECC2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cs="宋体"/>
          <w:spacing w:val="9"/>
          <w:sz w:val="24"/>
          <w:szCs w:val="24"/>
          <w:lang w:val="en-US" w:eastAsia="zh-CN"/>
        </w:rPr>
        <w:t>9</w:t>
      </w:r>
      <w:r>
        <w:rPr>
          <w:rFonts w:hint="eastAsia" w:ascii="宋体" w:hAnsi="宋体" w:eastAsia="宋体" w:cs="宋体"/>
          <w:spacing w:val="9"/>
          <w:sz w:val="24"/>
          <w:szCs w:val="24"/>
        </w:rPr>
        <w:t>、按照国家及地方有关要求，及时办理各项设备设施年检审验手续，但缴纳的各项费用由</w:t>
      </w:r>
      <w:r>
        <w:rPr>
          <w:rFonts w:hint="eastAsia" w:ascii="宋体" w:hAnsi="宋体" w:cs="宋体"/>
          <w:spacing w:val="9"/>
          <w:sz w:val="24"/>
          <w:szCs w:val="24"/>
          <w:lang w:val="en-US" w:eastAsia="zh-CN"/>
        </w:rPr>
        <w:t>乙方</w:t>
      </w:r>
      <w:r>
        <w:rPr>
          <w:rFonts w:hint="eastAsia" w:ascii="宋体" w:hAnsi="宋体" w:eastAsia="宋体" w:cs="宋体"/>
          <w:spacing w:val="9"/>
          <w:sz w:val="24"/>
          <w:szCs w:val="24"/>
        </w:rPr>
        <w:t>承担。</w:t>
      </w:r>
    </w:p>
    <w:p w14:paraId="1C4C22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0</w:t>
      </w:r>
      <w:r>
        <w:rPr>
          <w:rFonts w:hint="eastAsia" w:ascii="宋体" w:hAnsi="宋体" w:eastAsia="宋体" w:cs="宋体"/>
          <w:spacing w:val="9"/>
          <w:sz w:val="24"/>
          <w:szCs w:val="24"/>
        </w:rPr>
        <w:t>、甲方原有的四部服务电话保留给乙方使用，乙方需保证电话只作为工作使用，除此之外乙方还需自行配备24小时服务移动电话两部。</w:t>
      </w:r>
    </w:p>
    <w:p w14:paraId="1272177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1</w:t>
      </w:r>
      <w:r>
        <w:rPr>
          <w:rFonts w:hint="eastAsia" w:ascii="宋体" w:hAnsi="宋体" w:eastAsia="宋体" w:cs="宋体"/>
          <w:spacing w:val="9"/>
          <w:sz w:val="24"/>
          <w:szCs w:val="24"/>
        </w:rPr>
        <w:t>、确保设备正常运行，及时做好维护保养工作。</w:t>
      </w:r>
    </w:p>
    <w:p w14:paraId="0BEF024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2</w:t>
      </w:r>
      <w:r>
        <w:rPr>
          <w:rFonts w:hint="eastAsia" w:ascii="宋体" w:hAnsi="宋体" w:eastAsia="宋体" w:cs="宋体"/>
          <w:spacing w:val="9"/>
          <w:sz w:val="24"/>
          <w:szCs w:val="24"/>
        </w:rPr>
        <w:t>、一般维修事件，乙方需确保30分钟内派员到场维修，特殊维修事件（如跑水、停电等）需确保10分钟内到场维修。若乙方人员未在上述约定时间内到场维修，甲方有权委托第三方进行维修，乙方应承担甲方由此支付的全部费用（包括但不限于委托第三方维修的费用）。</w:t>
      </w:r>
    </w:p>
    <w:p w14:paraId="2D71BB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3</w:t>
      </w:r>
      <w:r>
        <w:rPr>
          <w:rFonts w:hint="eastAsia" w:ascii="宋体" w:hAnsi="宋体" w:eastAsia="宋体" w:cs="宋体"/>
          <w:spacing w:val="9"/>
          <w:sz w:val="24"/>
          <w:szCs w:val="24"/>
        </w:rPr>
        <w:t>、特殊工种的人员必须按照国家相关规定，持证上岗。</w:t>
      </w:r>
    </w:p>
    <w:p w14:paraId="21C626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4</w:t>
      </w:r>
      <w:r>
        <w:rPr>
          <w:rFonts w:hint="eastAsia" w:ascii="宋体" w:hAnsi="宋体" w:eastAsia="宋体" w:cs="宋体"/>
          <w:spacing w:val="9"/>
          <w:sz w:val="24"/>
          <w:szCs w:val="24"/>
        </w:rPr>
        <w:t>、乙方需统一服装和报修流程（以书面形式发送至甲方），做到一站式服务。</w:t>
      </w:r>
    </w:p>
    <w:p w14:paraId="3B274D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5</w:t>
      </w:r>
      <w:r>
        <w:rPr>
          <w:rFonts w:hint="eastAsia" w:ascii="宋体" w:hAnsi="宋体" w:eastAsia="宋体" w:cs="宋体"/>
          <w:spacing w:val="9"/>
          <w:sz w:val="24"/>
          <w:szCs w:val="24"/>
        </w:rPr>
        <w:t>、严格按照招、投标文件要求进行服务。</w:t>
      </w:r>
    </w:p>
    <w:p w14:paraId="2F02A60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6</w:t>
      </w:r>
      <w:r>
        <w:rPr>
          <w:rFonts w:hint="eastAsia" w:ascii="宋体" w:hAnsi="宋体" w:eastAsia="宋体" w:cs="宋体"/>
          <w:spacing w:val="9"/>
          <w:sz w:val="24"/>
          <w:szCs w:val="24"/>
        </w:rPr>
        <w:t>、乙方服务期间维修、维保所用的器材及材料质量必须符合国家相关质量规定要求，同时要提供材料器材及检验合格证、出厂合格证及相关证明文件。</w:t>
      </w:r>
    </w:p>
    <w:p w14:paraId="215D69E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7</w:t>
      </w:r>
      <w:r>
        <w:rPr>
          <w:rFonts w:hint="eastAsia" w:ascii="宋体" w:hAnsi="宋体" w:eastAsia="宋体" w:cs="宋体"/>
          <w:spacing w:val="9"/>
          <w:sz w:val="24"/>
          <w:szCs w:val="24"/>
          <w:lang w:eastAsia="zh-CN"/>
        </w:rPr>
        <w:t>、</w:t>
      </w:r>
      <w:r>
        <w:rPr>
          <w:rFonts w:hint="eastAsia" w:ascii="宋体" w:hAnsi="宋体" w:eastAsia="宋体" w:cs="宋体"/>
          <w:spacing w:val="9"/>
          <w:sz w:val="24"/>
          <w:szCs w:val="24"/>
        </w:rPr>
        <w:t>乙方需按照国家及行业相关规范及要求，结合医院各项规章制度及实际情况，建立健全各项管理制度、操作规范等规章制度及服务流程，计划性的按照有关规定要求组织检修、保养、应急演练等工作。</w:t>
      </w:r>
    </w:p>
    <w:p w14:paraId="62499AB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cs="宋体"/>
          <w:spacing w:val="9"/>
          <w:sz w:val="24"/>
          <w:szCs w:val="24"/>
          <w:lang w:val="en-US" w:eastAsia="zh-CN"/>
        </w:rPr>
        <w:t>8</w:t>
      </w:r>
      <w:r>
        <w:rPr>
          <w:rFonts w:hint="eastAsia" w:ascii="宋体" w:hAnsi="宋体" w:eastAsia="宋体" w:cs="宋体"/>
          <w:spacing w:val="9"/>
          <w:sz w:val="24"/>
          <w:szCs w:val="24"/>
        </w:rPr>
        <w:t>、协调与政府相关职能部门之间的关系，完成配电室设备的继电保护及预防性耐压试验等工作。</w:t>
      </w:r>
    </w:p>
    <w:p w14:paraId="35F83FD7">
      <w:pPr>
        <w:keepNext w:val="0"/>
        <w:keepLines w:val="0"/>
        <w:pageBreakBefore w:val="0"/>
        <w:widowControl w:val="0"/>
        <w:kinsoku/>
        <w:wordWrap/>
        <w:overflowPunct/>
        <w:topLinePunct w:val="0"/>
        <w:autoSpaceDE/>
        <w:autoSpaceDN/>
        <w:bidi w:val="0"/>
        <w:adjustRightInd/>
        <w:snapToGrid/>
        <w:spacing w:line="360" w:lineRule="auto"/>
        <w:ind w:firstLine="516" w:firstLineChars="200"/>
        <w:textAlignment w:val="auto"/>
        <w:rPr>
          <w:rFonts w:hint="eastAsia" w:ascii="宋体" w:hAnsi="宋体" w:cs="宋体"/>
          <w:spacing w:val="3"/>
          <w:sz w:val="24"/>
          <w:szCs w:val="24"/>
          <w:highlight w:val="none"/>
          <w:lang w:val="en-US" w:eastAsia="zh-CN"/>
        </w:rPr>
      </w:pPr>
      <w:r>
        <w:rPr>
          <w:rFonts w:hint="eastAsia" w:ascii="宋体" w:hAnsi="宋体" w:cs="宋体"/>
          <w:spacing w:val="9"/>
          <w:sz w:val="24"/>
          <w:szCs w:val="24"/>
          <w:lang w:val="en-US" w:eastAsia="zh-CN"/>
        </w:rPr>
        <w:t>19</w:t>
      </w:r>
      <w:r>
        <w:rPr>
          <w:rFonts w:hint="eastAsia" w:ascii="宋体" w:hAnsi="宋体" w:eastAsia="宋体" w:cs="宋体"/>
          <w:spacing w:val="9"/>
          <w:sz w:val="24"/>
          <w:szCs w:val="24"/>
        </w:rPr>
        <w:t>、人员配置要求：</w:t>
      </w:r>
      <w:r>
        <w:rPr>
          <w:rFonts w:hint="eastAsia" w:ascii="宋体" w:hAnsi="宋体" w:eastAsia="宋体" w:cs="宋体"/>
          <w:spacing w:val="3"/>
          <w:sz w:val="24"/>
          <w:szCs w:val="24"/>
          <w:highlight w:val="none"/>
        </w:rPr>
        <w:t xml:space="preserve"> 乙</w:t>
      </w:r>
      <w:r>
        <w:rPr>
          <w:rFonts w:hint="eastAsia" w:ascii="宋体" w:hAnsi="宋体" w:eastAsia="宋体" w:cs="宋体"/>
          <w:spacing w:val="3"/>
          <w:sz w:val="24"/>
          <w:szCs w:val="24"/>
          <w:highlight w:val="none"/>
          <w:lang w:val="en-US" w:eastAsia="zh-CN"/>
        </w:rPr>
        <w:t>方派驻项目经理进行运营管理，负责本项目沟通与协调工作。</w:t>
      </w:r>
      <w:r>
        <w:rPr>
          <w:rFonts w:hint="eastAsia" w:ascii="宋体" w:hAnsi="宋体" w:eastAsia="宋体" w:cs="宋体"/>
          <w:spacing w:val="3"/>
          <w:sz w:val="24"/>
          <w:szCs w:val="24"/>
          <w:highlight w:val="none"/>
        </w:rPr>
        <w:t>乙方</w:t>
      </w:r>
      <w:r>
        <w:rPr>
          <w:rFonts w:hint="eastAsia" w:ascii="宋体" w:hAnsi="宋体" w:cs="宋体"/>
          <w:spacing w:val="3"/>
          <w:sz w:val="24"/>
          <w:szCs w:val="24"/>
          <w:highlight w:val="none"/>
          <w:lang w:eastAsia="zh-CN"/>
        </w:rPr>
        <w:t>应</w:t>
      </w:r>
      <w:r>
        <w:rPr>
          <w:rFonts w:hint="eastAsia" w:ascii="宋体" w:hAnsi="宋体" w:eastAsia="宋体" w:cs="宋体"/>
          <w:spacing w:val="3"/>
          <w:sz w:val="24"/>
          <w:szCs w:val="24"/>
          <w:highlight w:val="none"/>
        </w:rPr>
        <w:t>有</w:t>
      </w:r>
      <w:r>
        <w:rPr>
          <w:rFonts w:hint="eastAsia" w:ascii="宋体" w:hAnsi="宋体" w:cs="宋体"/>
          <w:spacing w:val="3"/>
          <w:sz w:val="24"/>
          <w:szCs w:val="24"/>
          <w:highlight w:val="none"/>
          <w:u w:val="single"/>
          <w:lang w:val="en-US" w:eastAsia="zh-CN"/>
        </w:rPr>
        <w:t>80</w:t>
      </w:r>
      <w:r>
        <w:rPr>
          <w:rFonts w:hint="eastAsia" w:ascii="宋体" w:hAnsi="宋体" w:eastAsia="宋体" w:cs="宋体"/>
          <w:spacing w:val="3"/>
          <w:sz w:val="24"/>
          <w:szCs w:val="24"/>
          <w:highlight w:val="none"/>
          <w:u w:val="single"/>
        </w:rPr>
        <w:t>人</w:t>
      </w:r>
      <w:r>
        <w:rPr>
          <w:rFonts w:hint="eastAsia" w:ascii="宋体" w:hAnsi="宋体" w:eastAsia="宋体" w:cs="宋体"/>
          <w:spacing w:val="3"/>
          <w:sz w:val="24"/>
          <w:szCs w:val="24"/>
          <w:highlight w:val="none"/>
        </w:rPr>
        <w:t>专职服务于本项目</w:t>
      </w:r>
      <w:r>
        <w:rPr>
          <w:rFonts w:hint="eastAsia" w:ascii="宋体" w:hAnsi="宋体" w:cs="宋体"/>
          <w:spacing w:val="3"/>
          <w:sz w:val="24"/>
          <w:szCs w:val="24"/>
          <w:highlight w:val="none"/>
          <w:lang w:val="en-US" w:eastAsia="zh-CN"/>
        </w:rPr>
        <w:t>并驻场（含医院安置的6名人员），驻场人员≥40人/天。</w:t>
      </w:r>
    </w:p>
    <w:p w14:paraId="5EE6F0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highlight w:val="none"/>
        </w:rPr>
      </w:pPr>
      <w:r>
        <w:rPr>
          <w:rFonts w:hint="eastAsia" w:ascii="宋体" w:hAnsi="宋体" w:cs="宋体"/>
          <w:spacing w:val="9"/>
          <w:sz w:val="24"/>
          <w:szCs w:val="24"/>
          <w:highlight w:val="none"/>
          <w:lang w:eastAsia="zh-CN"/>
        </w:rPr>
        <w:t>其中上述服务人员包括甲方</w:t>
      </w:r>
      <w:r>
        <w:rPr>
          <w:rFonts w:hint="eastAsia" w:ascii="宋体" w:hAnsi="宋体" w:eastAsia="宋体" w:cs="宋体"/>
          <w:spacing w:val="9"/>
          <w:sz w:val="24"/>
          <w:szCs w:val="24"/>
          <w:highlight w:val="none"/>
        </w:rPr>
        <w:t>人员安置：接收甲方</w:t>
      </w:r>
      <w:r>
        <w:rPr>
          <w:rFonts w:hint="eastAsia" w:ascii="宋体" w:hAnsi="宋体" w:cs="宋体"/>
          <w:spacing w:val="9"/>
          <w:sz w:val="24"/>
          <w:szCs w:val="24"/>
          <w:highlight w:val="none"/>
          <w:lang w:val="en-US" w:eastAsia="zh-CN"/>
        </w:rPr>
        <w:t>6</w:t>
      </w:r>
      <w:r>
        <w:rPr>
          <w:rFonts w:hint="eastAsia" w:ascii="宋体" w:hAnsi="宋体" w:eastAsia="宋体" w:cs="宋体"/>
          <w:spacing w:val="9"/>
          <w:sz w:val="24"/>
          <w:szCs w:val="24"/>
          <w:highlight w:val="none"/>
        </w:rPr>
        <w:t>名合同制人员，无论乙方留用与否，</w:t>
      </w:r>
      <w:r>
        <w:rPr>
          <w:rFonts w:hint="eastAsia" w:ascii="宋体" w:hAnsi="宋体" w:cs="宋体"/>
          <w:spacing w:val="9"/>
          <w:sz w:val="24"/>
          <w:szCs w:val="24"/>
          <w:highlight w:val="none"/>
          <w:lang w:val="en-US" w:eastAsia="zh-CN"/>
        </w:rPr>
        <w:t>6</w:t>
      </w:r>
      <w:r>
        <w:rPr>
          <w:rFonts w:hint="eastAsia" w:ascii="宋体" w:hAnsi="宋体" w:eastAsia="宋体" w:cs="宋体"/>
          <w:spacing w:val="9"/>
          <w:sz w:val="24"/>
          <w:szCs w:val="24"/>
          <w:highlight w:val="none"/>
        </w:rPr>
        <w:t>名人员的安置均由乙方负责，人员安置所产生的费用由乙方承担，人员安置必须于服务起始时间前完成。（详细人员情况</w:t>
      </w:r>
      <w:r>
        <w:rPr>
          <w:rFonts w:hint="eastAsia" w:ascii="宋体" w:hAnsi="宋体" w:cs="宋体"/>
          <w:spacing w:val="9"/>
          <w:sz w:val="24"/>
          <w:szCs w:val="24"/>
          <w:highlight w:val="none"/>
          <w:lang w:eastAsia="zh-CN"/>
        </w:rPr>
        <w:t>见下表</w:t>
      </w:r>
      <w:r>
        <w:rPr>
          <w:rFonts w:hint="eastAsia" w:ascii="宋体" w:hAnsi="宋体" w:eastAsia="宋体" w:cs="宋体"/>
          <w:spacing w:val="9"/>
          <w:sz w:val="24"/>
          <w:szCs w:val="24"/>
          <w:highlight w:val="none"/>
        </w:rPr>
        <w:t>）。</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858"/>
        <w:gridCol w:w="644"/>
        <w:gridCol w:w="1280"/>
        <w:gridCol w:w="1014"/>
        <w:gridCol w:w="1350"/>
        <w:gridCol w:w="730"/>
        <w:gridCol w:w="1029"/>
        <w:gridCol w:w="1029"/>
      </w:tblGrid>
      <w:tr w14:paraId="748F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118F3A41">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序号</w:t>
            </w:r>
          </w:p>
        </w:tc>
        <w:tc>
          <w:tcPr>
            <w:tcW w:w="503" w:type="pct"/>
            <w:noWrap w:val="0"/>
            <w:vAlign w:val="center"/>
          </w:tcPr>
          <w:p w14:paraId="3068FD91">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姓 名</w:t>
            </w:r>
          </w:p>
        </w:tc>
        <w:tc>
          <w:tcPr>
            <w:tcW w:w="378" w:type="pct"/>
            <w:noWrap w:val="0"/>
            <w:vAlign w:val="center"/>
          </w:tcPr>
          <w:p w14:paraId="6A0BAAB0">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性别</w:t>
            </w:r>
          </w:p>
        </w:tc>
        <w:tc>
          <w:tcPr>
            <w:tcW w:w="751" w:type="pct"/>
            <w:noWrap w:val="0"/>
            <w:vAlign w:val="center"/>
          </w:tcPr>
          <w:p w14:paraId="523BE8E6">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出生日期</w:t>
            </w:r>
          </w:p>
        </w:tc>
        <w:tc>
          <w:tcPr>
            <w:tcW w:w="595" w:type="pct"/>
            <w:noWrap w:val="0"/>
            <w:vAlign w:val="center"/>
          </w:tcPr>
          <w:p w14:paraId="21836C07">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到院时间</w:t>
            </w:r>
          </w:p>
        </w:tc>
        <w:tc>
          <w:tcPr>
            <w:tcW w:w="792" w:type="pct"/>
            <w:noWrap w:val="0"/>
            <w:vAlign w:val="center"/>
          </w:tcPr>
          <w:p w14:paraId="412D01C2">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年待遇（元）</w:t>
            </w:r>
          </w:p>
        </w:tc>
        <w:tc>
          <w:tcPr>
            <w:tcW w:w="428" w:type="pct"/>
            <w:noWrap w:val="0"/>
            <w:vAlign w:val="center"/>
          </w:tcPr>
          <w:p w14:paraId="6E88CAF3">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工   种</w:t>
            </w:r>
          </w:p>
        </w:tc>
        <w:tc>
          <w:tcPr>
            <w:tcW w:w="603" w:type="pct"/>
            <w:noWrap w:val="0"/>
            <w:vAlign w:val="center"/>
          </w:tcPr>
          <w:p w14:paraId="498B7DA7">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资质证书</w:t>
            </w:r>
          </w:p>
        </w:tc>
        <w:tc>
          <w:tcPr>
            <w:tcW w:w="603" w:type="pct"/>
            <w:noWrap w:val="0"/>
            <w:vAlign w:val="center"/>
          </w:tcPr>
          <w:p w14:paraId="3A34D568">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备注</w:t>
            </w:r>
          </w:p>
        </w:tc>
      </w:tr>
      <w:tr w14:paraId="08F0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6D0E51C8">
            <w:pPr>
              <w:widowControl/>
              <w:jc w:val="center"/>
              <w:textAlignment w:val="center"/>
              <w:rPr>
                <w:rFonts w:hint="eastAsia" w:ascii="方正仿宋_GB2312" w:hAnsi="方正仿宋_GB2312" w:eastAsia="方正仿宋_GB2312" w:cs="方正仿宋_GB2312"/>
                <w:color w:val="00000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val="en-US" w:eastAsia="zh-CN"/>
              </w:rPr>
              <w:t>1</w:t>
            </w:r>
          </w:p>
        </w:tc>
        <w:tc>
          <w:tcPr>
            <w:tcW w:w="503" w:type="pct"/>
            <w:noWrap w:val="0"/>
            <w:vAlign w:val="center"/>
          </w:tcPr>
          <w:p w14:paraId="7539731E">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张小安</w:t>
            </w:r>
          </w:p>
        </w:tc>
        <w:tc>
          <w:tcPr>
            <w:tcW w:w="378" w:type="pct"/>
            <w:noWrap w:val="0"/>
            <w:vAlign w:val="center"/>
          </w:tcPr>
          <w:p w14:paraId="05484928">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男</w:t>
            </w:r>
          </w:p>
        </w:tc>
        <w:tc>
          <w:tcPr>
            <w:tcW w:w="751" w:type="pct"/>
            <w:noWrap w:val="0"/>
            <w:vAlign w:val="center"/>
          </w:tcPr>
          <w:p w14:paraId="18873727">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1971.08.27</w:t>
            </w:r>
          </w:p>
        </w:tc>
        <w:tc>
          <w:tcPr>
            <w:tcW w:w="595" w:type="pct"/>
            <w:noWrap w:val="0"/>
            <w:vAlign w:val="center"/>
          </w:tcPr>
          <w:p w14:paraId="09B732E4">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1998.12</w:t>
            </w:r>
          </w:p>
        </w:tc>
        <w:tc>
          <w:tcPr>
            <w:tcW w:w="792" w:type="pct"/>
            <w:noWrap w:val="0"/>
            <w:vAlign w:val="center"/>
          </w:tcPr>
          <w:p w14:paraId="3E394F3F">
            <w:pPr>
              <w:jc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sz w:val="20"/>
                <w:szCs w:val="20"/>
                <w:highlight w:val="none"/>
              </w:rPr>
              <w:t>72672.16</w:t>
            </w:r>
          </w:p>
        </w:tc>
        <w:tc>
          <w:tcPr>
            <w:tcW w:w="428" w:type="pct"/>
            <w:noWrap w:val="0"/>
            <w:vAlign w:val="center"/>
          </w:tcPr>
          <w:p w14:paraId="3148E139">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木  工</w:t>
            </w:r>
          </w:p>
        </w:tc>
        <w:tc>
          <w:tcPr>
            <w:tcW w:w="603" w:type="pct"/>
            <w:noWrap w:val="0"/>
            <w:vAlign w:val="center"/>
          </w:tcPr>
          <w:p w14:paraId="71C25C8F">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水暖管道工证</w:t>
            </w:r>
          </w:p>
        </w:tc>
        <w:tc>
          <w:tcPr>
            <w:tcW w:w="603" w:type="pct"/>
            <w:noWrap w:val="0"/>
            <w:vAlign w:val="center"/>
          </w:tcPr>
          <w:p w14:paraId="0B520E88">
            <w:pPr>
              <w:widowControl/>
              <w:jc w:val="center"/>
              <w:textAlignment w:val="center"/>
              <w:rPr>
                <w:rFonts w:hint="eastAsia" w:ascii="方正仿宋_GB2312" w:hAnsi="方正仿宋_GB2312" w:eastAsia="方正仿宋_GB2312" w:cs="方正仿宋_GB2312"/>
                <w:color w:val="000000"/>
                <w:kern w:val="0"/>
                <w:sz w:val="20"/>
                <w:szCs w:val="20"/>
                <w:highlight w:val="none"/>
              </w:rPr>
            </w:pPr>
          </w:p>
        </w:tc>
      </w:tr>
      <w:tr w14:paraId="6AFE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48FC433D">
            <w:pPr>
              <w:widowControl/>
              <w:jc w:val="center"/>
              <w:textAlignment w:val="center"/>
              <w:rPr>
                <w:rFonts w:hint="eastAsia" w:ascii="方正仿宋_GB2312" w:hAnsi="方正仿宋_GB2312" w:eastAsia="方正仿宋_GB2312" w:cs="方正仿宋_GB2312"/>
                <w:color w:val="00000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val="en-US" w:eastAsia="zh-CN"/>
              </w:rPr>
              <w:t>2</w:t>
            </w:r>
          </w:p>
        </w:tc>
        <w:tc>
          <w:tcPr>
            <w:tcW w:w="503" w:type="pct"/>
            <w:noWrap w:val="0"/>
            <w:vAlign w:val="center"/>
          </w:tcPr>
          <w:p w14:paraId="502723C1">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张　鹤</w:t>
            </w:r>
          </w:p>
        </w:tc>
        <w:tc>
          <w:tcPr>
            <w:tcW w:w="378" w:type="pct"/>
            <w:noWrap w:val="0"/>
            <w:vAlign w:val="center"/>
          </w:tcPr>
          <w:p w14:paraId="703F3017">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男</w:t>
            </w:r>
          </w:p>
        </w:tc>
        <w:tc>
          <w:tcPr>
            <w:tcW w:w="751" w:type="pct"/>
            <w:noWrap w:val="0"/>
            <w:vAlign w:val="center"/>
          </w:tcPr>
          <w:p w14:paraId="14A8C4D7">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1999.07.</w:t>
            </w:r>
            <w:r>
              <w:rPr>
                <w:rFonts w:hint="eastAsia" w:ascii="方正仿宋_GB2312" w:hAnsi="方正仿宋_GB2312" w:eastAsia="方正仿宋_GB2312" w:cs="方正仿宋_GB2312"/>
                <w:color w:val="000000"/>
                <w:kern w:val="0"/>
                <w:sz w:val="20"/>
                <w:szCs w:val="20"/>
                <w:highlight w:val="none"/>
                <w:lang w:val="en-US" w:eastAsia="zh-CN"/>
              </w:rPr>
              <w:t>0</w:t>
            </w:r>
            <w:r>
              <w:rPr>
                <w:rFonts w:hint="eastAsia" w:ascii="方正仿宋_GB2312" w:hAnsi="方正仿宋_GB2312" w:eastAsia="方正仿宋_GB2312" w:cs="方正仿宋_GB2312"/>
                <w:color w:val="000000"/>
                <w:kern w:val="0"/>
                <w:sz w:val="20"/>
                <w:szCs w:val="20"/>
                <w:highlight w:val="none"/>
              </w:rPr>
              <w:t>3</w:t>
            </w:r>
          </w:p>
        </w:tc>
        <w:tc>
          <w:tcPr>
            <w:tcW w:w="595" w:type="pct"/>
            <w:noWrap w:val="0"/>
            <w:vAlign w:val="center"/>
          </w:tcPr>
          <w:p w14:paraId="08E407D8">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2018.</w:t>
            </w:r>
            <w:r>
              <w:rPr>
                <w:rFonts w:hint="eastAsia" w:ascii="方正仿宋_GB2312" w:hAnsi="方正仿宋_GB2312" w:eastAsia="方正仿宋_GB2312" w:cs="方正仿宋_GB2312"/>
                <w:color w:val="000000"/>
                <w:kern w:val="0"/>
                <w:sz w:val="20"/>
                <w:szCs w:val="20"/>
                <w:highlight w:val="none"/>
                <w:lang w:val="en-US" w:eastAsia="zh-CN"/>
              </w:rPr>
              <w:t>0</w:t>
            </w:r>
            <w:r>
              <w:rPr>
                <w:rFonts w:hint="eastAsia" w:ascii="方正仿宋_GB2312" w:hAnsi="方正仿宋_GB2312" w:eastAsia="方正仿宋_GB2312" w:cs="方正仿宋_GB2312"/>
                <w:color w:val="000000"/>
                <w:kern w:val="0"/>
                <w:sz w:val="20"/>
                <w:szCs w:val="20"/>
                <w:highlight w:val="none"/>
              </w:rPr>
              <w:t>1</w:t>
            </w:r>
          </w:p>
        </w:tc>
        <w:tc>
          <w:tcPr>
            <w:tcW w:w="792" w:type="pct"/>
            <w:noWrap w:val="0"/>
            <w:vAlign w:val="center"/>
          </w:tcPr>
          <w:p w14:paraId="1F31C230">
            <w:pPr>
              <w:jc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68424.16</w:t>
            </w:r>
          </w:p>
        </w:tc>
        <w:tc>
          <w:tcPr>
            <w:tcW w:w="428" w:type="pct"/>
            <w:noWrap w:val="0"/>
            <w:vAlign w:val="center"/>
          </w:tcPr>
          <w:p w14:paraId="1958B89B">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电  工</w:t>
            </w:r>
          </w:p>
        </w:tc>
        <w:tc>
          <w:tcPr>
            <w:tcW w:w="603" w:type="pct"/>
            <w:noWrap w:val="0"/>
            <w:vAlign w:val="center"/>
          </w:tcPr>
          <w:p w14:paraId="5A19F043">
            <w:pPr>
              <w:widowControl/>
              <w:jc w:val="center"/>
              <w:textAlignment w:val="center"/>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kern w:val="0"/>
                <w:sz w:val="20"/>
                <w:szCs w:val="20"/>
                <w:highlight w:val="none"/>
              </w:rPr>
              <w:t>低压电工作业证</w:t>
            </w:r>
          </w:p>
        </w:tc>
        <w:tc>
          <w:tcPr>
            <w:tcW w:w="603" w:type="pct"/>
            <w:noWrap w:val="0"/>
            <w:vAlign w:val="center"/>
          </w:tcPr>
          <w:p w14:paraId="33B9CEFF">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电工班</w:t>
            </w:r>
          </w:p>
        </w:tc>
      </w:tr>
      <w:tr w14:paraId="2C43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0F7749B2">
            <w:pPr>
              <w:widowControl/>
              <w:jc w:val="center"/>
              <w:textAlignment w:val="center"/>
              <w:rPr>
                <w:rFonts w:hint="default"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3</w:t>
            </w:r>
          </w:p>
        </w:tc>
        <w:tc>
          <w:tcPr>
            <w:tcW w:w="759" w:type="dxa"/>
            <w:noWrap w:val="0"/>
            <w:vAlign w:val="center"/>
          </w:tcPr>
          <w:p w14:paraId="5FE33AE1">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杨富平</w:t>
            </w:r>
          </w:p>
        </w:tc>
        <w:tc>
          <w:tcPr>
            <w:tcW w:w="570" w:type="dxa"/>
            <w:noWrap w:val="0"/>
            <w:vAlign w:val="center"/>
          </w:tcPr>
          <w:p w14:paraId="0B170AF1">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男</w:t>
            </w:r>
          </w:p>
        </w:tc>
        <w:tc>
          <w:tcPr>
            <w:tcW w:w="1133" w:type="dxa"/>
            <w:noWrap w:val="0"/>
            <w:vAlign w:val="center"/>
          </w:tcPr>
          <w:p w14:paraId="4657B984">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1968.09.19</w:t>
            </w:r>
          </w:p>
        </w:tc>
        <w:tc>
          <w:tcPr>
            <w:tcW w:w="898" w:type="dxa"/>
            <w:noWrap w:val="0"/>
            <w:vAlign w:val="center"/>
          </w:tcPr>
          <w:p w14:paraId="3533477D">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1996.11</w:t>
            </w:r>
          </w:p>
        </w:tc>
        <w:tc>
          <w:tcPr>
            <w:tcW w:w="1195" w:type="dxa"/>
            <w:noWrap w:val="0"/>
            <w:vAlign w:val="center"/>
          </w:tcPr>
          <w:p w14:paraId="6AC0B07B">
            <w:pPr>
              <w:jc w:val="center"/>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70344.16</w:t>
            </w:r>
          </w:p>
        </w:tc>
        <w:tc>
          <w:tcPr>
            <w:tcW w:w="646" w:type="dxa"/>
            <w:noWrap w:val="0"/>
            <w:vAlign w:val="center"/>
          </w:tcPr>
          <w:p w14:paraId="08F193C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宋体" w:hAnsi="宋体" w:eastAsia="宋体" w:cs="宋体"/>
                <w:color w:val="000000"/>
                <w:kern w:val="0"/>
                <w:sz w:val="20"/>
                <w:szCs w:val="16"/>
                <w:highlight w:val="none"/>
              </w:rPr>
              <w:t>锅炉工</w:t>
            </w:r>
          </w:p>
        </w:tc>
        <w:tc>
          <w:tcPr>
            <w:tcW w:w="910" w:type="dxa"/>
            <w:noWrap w:val="0"/>
            <w:vAlign w:val="center"/>
          </w:tcPr>
          <w:p w14:paraId="6C89EA8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方正仿宋_GB2312" w:hAnsi="方正仿宋_GB2312" w:eastAsia="方正仿宋_GB2312" w:cs="方正仿宋_GB2312"/>
                <w:color w:val="000000"/>
                <w:kern w:val="0"/>
                <w:sz w:val="20"/>
                <w:szCs w:val="20"/>
                <w:highlight w:val="none"/>
              </w:rPr>
            </w:pPr>
            <w:r>
              <w:rPr>
                <w:rFonts w:hint="eastAsia" w:ascii="宋体" w:hAnsi="宋体" w:eastAsia="宋体" w:cs="宋体"/>
                <w:color w:val="000000"/>
                <w:kern w:val="0"/>
                <w:sz w:val="20"/>
                <w:szCs w:val="16"/>
                <w:highlight w:val="none"/>
              </w:rPr>
              <w:t>G2二级锅炉司炉证</w:t>
            </w:r>
          </w:p>
        </w:tc>
        <w:tc>
          <w:tcPr>
            <w:tcW w:w="910" w:type="dxa"/>
            <w:noWrap w:val="0"/>
            <w:vAlign w:val="center"/>
          </w:tcPr>
          <w:p w14:paraId="724DC9F1">
            <w:pPr>
              <w:widowControl/>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北大街院区中央空调组</w:t>
            </w:r>
          </w:p>
        </w:tc>
      </w:tr>
      <w:tr w14:paraId="3371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0C4AFC29">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4</w:t>
            </w:r>
          </w:p>
        </w:tc>
        <w:tc>
          <w:tcPr>
            <w:tcW w:w="503" w:type="pct"/>
            <w:noWrap w:val="0"/>
            <w:vAlign w:val="center"/>
          </w:tcPr>
          <w:p w14:paraId="400F5608">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苏</w:t>
            </w:r>
            <w:r>
              <w:rPr>
                <w:rFonts w:hint="eastAsia" w:ascii="方正仿宋_GB2312" w:hAnsi="方正仿宋_GB2312" w:eastAsia="方正仿宋_GB2312" w:cs="方正仿宋_GB2312"/>
                <w:color w:val="000000"/>
                <w:kern w:val="0"/>
                <w:sz w:val="20"/>
                <w:szCs w:val="20"/>
                <w:highlight w:val="none"/>
                <w:lang w:val="en-US" w:eastAsia="zh-CN"/>
              </w:rPr>
              <w:t xml:space="preserve">  </w:t>
            </w:r>
            <w:r>
              <w:rPr>
                <w:rFonts w:hint="eastAsia" w:ascii="方正仿宋_GB2312" w:hAnsi="方正仿宋_GB2312" w:eastAsia="方正仿宋_GB2312" w:cs="方正仿宋_GB2312"/>
                <w:color w:val="000000"/>
                <w:kern w:val="0"/>
                <w:sz w:val="20"/>
                <w:szCs w:val="20"/>
                <w:highlight w:val="none"/>
                <w:lang w:eastAsia="zh-CN"/>
              </w:rPr>
              <w:t>晖</w:t>
            </w:r>
          </w:p>
        </w:tc>
        <w:tc>
          <w:tcPr>
            <w:tcW w:w="378" w:type="pct"/>
            <w:noWrap w:val="0"/>
            <w:vAlign w:val="center"/>
          </w:tcPr>
          <w:p w14:paraId="12C93407">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男</w:t>
            </w:r>
          </w:p>
        </w:tc>
        <w:tc>
          <w:tcPr>
            <w:tcW w:w="751" w:type="pct"/>
            <w:noWrap w:val="0"/>
            <w:vAlign w:val="center"/>
          </w:tcPr>
          <w:p w14:paraId="7E9E717D">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1970.01.22</w:t>
            </w:r>
          </w:p>
        </w:tc>
        <w:tc>
          <w:tcPr>
            <w:tcW w:w="595" w:type="pct"/>
            <w:noWrap w:val="0"/>
            <w:vAlign w:val="center"/>
          </w:tcPr>
          <w:p w14:paraId="6CF7954D">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2005.04</w:t>
            </w:r>
          </w:p>
        </w:tc>
        <w:tc>
          <w:tcPr>
            <w:tcW w:w="792" w:type="pct"/>
            <w:noWrap w:val="0"/>
            <w:vAlign w:val="center"/>
          </w:tcPr>
          <w:p w14:paraId="7A379510">
            <w:pPr>
              <w:jc w:val="center"/>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80614.00</w:t>
            </w:r>
          </w:p>
        </w:tc>
        <w:tc>
          <w:tcPr>
            <w:tcW w:w="428" w:type="pct"/>
            <w:noWrap w:val="0"/>
            <w:vAlign w:val="center"/>
          </w:tcPr>
          <w:p w14:paraId="715BA269">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电</w:t>
            </w:r>
            <w:r>
              <w:rPr>
                <w:rFonts w:hint="eastAsia" w:ascii="方正仿宋_GB2312" w:hAnsi="方正仿宋_GB2312" w:eastAsia="方正仿宋_GB2312" w:cs="方正仿宋_GB2312"/>
                <w:color w:val="000000"/>
                <w:kern w:val="0"/>
                <w:sz w:val="20"/>
                <w:szCs w:val="20"/>
                <w:highlight w:val="none"/>
                <w:lang w:val="en-US" w:eastAsia="zh-CN"/>
              </w:rPr>
              <w:t xml:space="preserve">  </w:t>
            </w:r>
            <w:r>
              <w:rPr>
                <w:rFonts w:hint="eastAsia" w:ascii="方正仿宋_GB2312" w:hAnsi="方正仿宋_GB2312" w:eastAsia="方正仿宋_GB2312" w:cs="方正仿宋_GB2312"/>
                <w:color w:val="000000"/>
                <w:kern w:val="0"/>
                <w:sz w:val="20"/>
                <w:szCs w:val="20"/>
                <w:highlight w:val="none"/>
                <w:lang w:eastAsia="zh-CN"/>
              </w:rPr>
              <w:t>工</w:t>
            </w:r>
          </w:p>
        </w:tc>
        <w:tc>
          <w:tcPr>
            <w:tcW w:w="603" w:type="pct"/>
            <w:noWrap w:val="0"/>
            <w:vAlign w:val="center"/>
          </w:tcPr>
          <w:p w14:paraId="292C75FA">
            <w:pPr>
              <w:widowControl/>
              <w:jc w:val="center"/>
              <w:textAlignment w:val="center"/>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低压电工作业证</w:t>
            </w:r>
          </w:p>
        </w:tc>
        <w:tc>
          <w:tcPr>
            <w:tcW w:w="603" w:type="pct"/>
            <w:noWrap w:val="0"/>
            <w:vAlign w:val="center"/>
          </w:tcPr>
          <w:p w14:paraId="2C579748">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净化层流班组</w:t>
            </w:r>
          </w:p>
        </w:tc>
      </w:tr>
      <w:tr w14:paraId="2AB5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342C8C2D">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5</w:t>
            </w:r>
          </w:p>
        </w:tc>
        <w:tc>
          <w:tcPr>
            <w:tcW w:w="503" w:type="pct"/>
            <w:noWrap w:val="0"/>
            <w:vAlign w:val="top"/>
          </w:tcPr>
          <w:p w14:paraId="797DEEBC">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张  庆</w:t>
            </w:r>
          </w:p>
        </w:tc>
        <w:tc>
          <w:tcPr>
            <w:tcW w:w="378" w:type="pct"/>
            <w:noWrap w:val="0"/>
            <w:vAlign w:val="top"/>
          </w:tcPr>
          <w:p w14:paraId="6DC9BA81">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男</w:t>
            </w:r>
          </w:p>
        </w:tc>
        <w:tc>
          <w:tcPr>
            <w:tcW w:w="751" w:type="pct"/>
            <w:noWrap w:val="0"/>
            <w:vAlign w:val="top"/>
          </w:tcPr>
          <w:p w14:paraId="044CA89E">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1978.03.08</w:t>
            </w:r>
          </w:p>
        </w:tc>
        <w:tc>
          <w:tcPr>
            <w:tcW w:w="595" w:type="pct"/>
            <w:noWrap w:val="0"/>
            <w:vAlign w:val="center"/>
          </w:tcPr>
          <w:p w14:paraId="64B87798">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eastAsia="zh-CN"/>
              </w:rPr>
              <w:t>2007.10</w:t>
            </w:r>
          </w:p>
        </w:tc>
        <w:tc>
          <w:tcPr>
            <w:tcW w:w="792" w:type="pct"/>
            <w:noWrap w:val="0"/>
            <w:vAlign w:val="top"/>
          </w:tcPr>
          <w:p w14:paraId="211B4A82">
            <w:pPr>
              <w:widowControl/>
              <w:spacing w:line="480" w:lineRule="auto"/>
              <w:ind w:firstLine="200" w:firstLineChars="100"/>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77784.16</w:t>
            </w:r>
          </w:p>
        </w:tc>
        <w:tc>
          <w:tcPr>
            <w:tcW w:w="428" w:type="pct"/>
            <w:noWrap w:val="0"/>
            <w:vAlign w:val="top"/>
          </w:tcPr>
          <w:p w14:paraId="79BADEBB">
            <w:pPr>
              <w:widowControl/>
              <w:spacing w:line="480" w:lineRule="auto"/>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电  工</w:t>
            </w:r>
          </w:p>
        </w:tc>
        <w:tc>
          <w:tcPr>
            <w:tcW w:w="603" w:type="pct"/>
            <w:noWrap w:val="0"/>
            <w:vAlign w:val="top"/>
          </w:tcPr>
          <w:p w14:paraId="5F47D518">
            <w:pPr>
              <w:widowControl/>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低压电工作业证</w:t>
            </w:r>
          </w:p>
        </w:tc>
        <w:tc>
          <w:tcPr>
            <w:tcW w:w="603" w:type="pct"/>
            <w:vMerge w:val="restart"/>
            <w:noWrap w:val="0"/>
            <w:vAlign w:val="top"/>
          </w:tcPr>
          <w:p w14:paraId="58F77780">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p>
          <w:p w14:paraId="3E802EAE">
            <w:pPr>
              <w:widowControl/>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糖坊街院区中央空调组</w:t>
            </w:r>
          </w:p>
        </w:tc>
      </w:tr>
      <w:tr w14:paraId="2DEE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41" w:type="pct"/>
            <w:noWrap w:val="0"/>
            <w:vAlign w:val="center"/>
          </w:tcPr>
          <w:p w14:paraId="51E73280">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6</w:t>
            </w:r>
          </w:p>
        </w:tc>
        <w:tc>
          <w:tcPr>
            <w:tcW w:w="503" w:type="pct"/>
            <w:noWrap w:val="0"/>
            <w:vAlign w:val="top"/>
          </w:tcPr>
          <w:p w14:paraId="39F084A1">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张  煜</w:t>
            </w:r>
          </w:p>
        </w:tc>
        <w:tc>
          <w:tcPr>
            <w:tcW w:w="378" w:type="pct"/>
            <w:noWrap w:val="0"/>
            <w:vAlign w:val="top"/>
          </w:tcPr>
          <w:p w14:paraId="4D8C9A03">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男</w:t>
            </w:r>
          </w:p>
        </w:tc>
        <w:tc>
          <w:tcPr>
            <w:tcW w:w="751" w:type="pct"/>
            <w:noWrap w:val="0"/>
            <w:vAlign w:val="top"/>
          </w:tcPr>
          <w:p w14:paraId="38AE434A">
            <w:pPr>
              <w:widowControl/>
              <w:spacing w:line="480" w:lineRule="auto"/>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val="en-US" w:eastAsia="zh-CN"/>
              </w:rPr>
              <w:t>1973.11.21</w:t>
            </w:r>
          </w:p>
        </w:tc>
        <w:tc>
          <w:tcPr>
            <w:tcW w:w="595" w:type="pct"/>
            <w:noWrap w:val="0"/>
            <w:vAlign w:val="center"/>
          </w:tcPr>
          <w:p w14:paraId="634C5355">
            <w:pPr>
              <w:widowControl/>
              <w:jc w:val="center"/>
              <w:textAlignment w:val="center"/>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lang w:eastAsia="zh-CN"/>
              </w:rPr>
              <w:t>2014.04</w:t>
            </w:r>
          </w:p>
        </w:tc>
        <w:tc>
          <w:tcPr>
            <w:tcW w:w="792" w:type="pct"/>
            <w:noWrap w:val="0"/>
            <w:vAlign w:val="top"/>
          </w:tcPr>
          <w:p w14:paraId="0430DB11">
            <w:pPr>
              <w:widowControl/>
              <w:spacing w:line="480" w:lineRule="auto"/>
              <w:ind w:firstLine="200" w:firstLineChars="100"/>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69000.16</w:t>
            </w:r>
          </w:p>
        </w:tc>
        <w:tc>
          <w:tcPr>
            <w:tcW w:w="428" w:type="pct"/>
            <w:noWrap w:val="0"/>
            <w:vAlign w:val="top"/>
          </w:tcPr>
          <w:p w14:paraId="4049BF11">
            <w:pPr>
              <w:widowControl/>
              <w:spacing w:line="480" w:lineRule="auto"/>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电  工</w:t>
            </w:r>
          </w:p>
        </w:tc>
        <w:tc>
          <w:tcPr>
            <w:tcW w:w="603" w:type="pct"/>
            <w:noWrap w:val="0"/>
            <w:vAlign w:val="top"/>
          </w:tcPr>
          <w:p w14:paraId="7AEFC696">
            <w:pPr>
              <w:widowControl/>
              <w:jc w:val="both"/>
              <w:textAlignment w:val="center"/>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lang w:eastAsia="zh-CN"/>
              </w:rPr>
              <w:t>低压电工作业证</w:t>
            </w:r>
          </w:p>
        </w:tc>
        <w:tc>
          <w:tcPr>
            <w:tcW w:w="603" w:type="pct"/>
            <w:vMerge w:val="continue"/>
            <w:noWrap w:val="0"/>
            <w:vAlign w:val="top"/>
          </w:tcPr>
          <w:p w14:paraId="02473BAD">
            <w:pPr>
              <w:widowControl/>
              <w:jc w:val="both"/>
              <w:textAlignment w:val="center"/>
              <w:rPr>
                <w:rFonts w:hint="eastAsia" w:ascii="方正仿宋_GB2312" w:hAnsi="方正仿宋_GB2312" w:eastAsia="方正仿宋_GB2312" w:cs="方正仿宋_GB2312"/>
                <w:color w:val="000000"/>
                <w:kern w:val="0"/>
                <w:sz w:val="20"/>
                <w:szCs w:val="20"/>
                <w:highlight w:val="none"/>
                <w:lang w:eastAsia="zh-CN"/>
              </w:rPr>
            </w:pPr>
          </w:p>
        </w:tc>
      </w:tr>
    </w:tbl>
    <w:p w14:paraId="622C1EB0">
      <w:pPr>
        <w:pStyle w:val="2"/>
        <w:rPr>
          <w:rFonts w:hint="eastAsia"/>
          <w:highlight w:val="none"/>
        </w:rPr>
      </w:pPr>
    </w:p>
    <w:p w14:paraId="51E135A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highlight w:val="none"/>
        </w:rPr>
        <w:t>2</w:t>
      </w:r>
      <w:r>
        <w:rPr>
          <w:rFonts w:hint="eastAsia" w:ascii="宋体" w:hAnsi="宋体" w:cs="宋体"/>
          <w:spacing w:val="9"/>
          <w:sz w:val="24"/>
          <w:szCs w:val="24"/>
          <w:highlight w:val="none"/>
          <w:lang w:val="en-US" w:eastAsia="zh-CN"/>
        </w:rPr>
        <w:t>0</w:t>
      </w:r>
      <w:r>
        <w:rPr>
          <w:rFonts w:hint="eastAsia" w:ascii="宋体" w:hAnsi="宋体" w:eastAsia="宋体" w:cs="宋体"/>
          <w:spacing w:val="9"/>
          <w:sz w:val="24"/>
          <w:szCs w:val="24"/>
          <w:highlight w:val="none"/>
        </w:rPr>
        <w:t>、对配电设备及中央空调、锅炉、电梯等国家有特殊维修</w:t>
      </w:r>
      <w:r>
        <w:rPr>
          <w:rFonts w:hint="eastAsia" w:ascii="宋体" w:hAnsi="宋体" w:eastAsia="宋体" w:cs="宋体"/>
          <w:spacing w:val="9"/>
          <w:sz w:val="24"/>
          <w:szCs w:val="24"/>
        </w:rPr>
        <w:t>资质要求的设备设施，乙方需与具备相关资质的单位签订维保协议，由此产生的费用及责任由乙方承担。</w:t>
      </w:r>
    </w:p>
    <w:p w14:paraId="6198394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2</w:t>
      </w:r>
      <w:r>
        <w:rPr>
          <w:rFonts w:hint="eastAsia" w:ascii="宋体" w:hAnsi="宋体" w:cs="宋体"/>
          <w:spacing w:val="9"/>
          <w:sz w:val="24"/>
          <w:szCs w:val="24"/>
          <w:lang w:val="en-US" w:eastAsia="zh-CN"/>
        </w:rPr>
        <w:t>1</w:t>
      </w:r>
      <w:r>
        <w:rPr>
          <w:rFonts w:hint="eastAsia" w:ascii="宋体" w:hAnsi="宋体" w:eastAsia="宋体" w:cs="宋体"/>
          <w:spacing w:val="9"/>
          <w:sz w:val="24"/>
          <w:szCs w:val="24"/>
        </w:rPr>
        <w:t>、乙方应严格按照招、投标文件的要求对相关设备进行规范的操作及维护保养，合同期间一切安全事故、人员伤亡、财产损坏等所有损失全由乙方独自承担。</w:t>
      </w:r>
    </w:p>
    <w:p w14:paraId="4061EF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38" w:firstLineChars="200"/>
        <w:jc w:val="left"/>
        <w:textAlignment w:val="baseline"/>
        <w:rPr>
          <w:rFonts w:hint="eastAsia" w:ascii="宋体" w:hAnsi="宋体" w:eastAsia="宋体" w:cs="宋体"/>
          <w:sz w:val="24"/>
          <w:szCs w:val="24"/>
          <w:lang w:eastAsia="zh-CN"/>
        </w:rPr>
      </w:pPr>
      <w:r>
        <w:rPr>
          <w:rFonts w:hint="eastAsia" w:ascii="宋体" w:hAnsi="宋体" w:eastAsia="宋体" w:cs="宋体"/>
          <w:b/>
          <w:bCs/>
          <w:spacing w:val="-11"/>
          <w:sz w:val="24"/>
          <w:szCs w:val="24"/>
        </w:rPr>
        <w:t>五</w:t>
      </w:r>
      <w:r>
        <w:rPr>
          <w:rFonts w:hint="eastAsia" w:ascii="宋体" w:hAnsi="宋体" w:eastAsia="宋体" w:cs="宋体"/>
          <w:spacing w:val="-48"/>
          <w:sz w:val="24"/>
          <w:szCs w:val="24"/>
        </w:rPr>
        <w:t xml:space="preserve"> </w:t>
      </w:r>
      <w:r>
        <w:rPr>
          <w:rFonts w:hint="eastAsia" w:ascii="宋体" w:hAnsi="宋体" w:eastAsia="宋体" w:cs="宋体"/>
          <w:b/>
          <w:bCs/>
          <w:spacing w:val="-11"/>
          <w:sz w:val="24"/>
          <w:szCs w:val="24"/>
        </w:rPr>
        <w:t>、</w:t>
      </w:r>
      <w:r>
        <w:rPr>
          <w:rFonts w:hint="eastAsia" w:ascii="宋体" w:hAnsi="宋体" w:eastAsia="宋体" w:cs="宋体"/>
          <w:b/>
          <w:bCs/>
          <w:spacing w:val="-11"/>
          <w:sz w:val="24"/>
          <w:szCs w:val="24"/>
          <w:lang w:eastAsia="zh-CN"/>
        </w:rPr>
        <w:t>考评办法</w:t>
      </w:r>
      <w:r>
        <w:rPr>
          <w:rFonts w:hint="eastAsia" w:ascii="宋体" w:hAnsi="宋体" w:eastAsia="宋体" w:cs="宋体"/>
          <w:b/>
          <w:bCs/>
          <w:spacing w:val="-11"/>
          <w:sz w:val="24"/>
          <w:szCs w:val="24"/>
        </w:rPr>
        <w:t>：</w:t>
      </w:r>
    </w:p>
    <w:p w14:paraId="49EADC9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1、</w:t>
      </w:r>
      <w:r>
        <w:rPr>
          <w:rFonts w:hint="eastAsia" w:ascii="宋体" w:hAnsi="宋体" w:eastAsia="宋体" w:cs="宋体"/>
          <w:spacing w:val="9"/>
          <w:sz w:val="24"/>
          <w:szCs w:val="24"/>
        </w:rPr>
        <w:t>甲方将从服务质量、满意度、维修响应时间、质量等对乙方进行考核并进行相应的奖励或处罚，乙方需愉快接受并配合考核评价办法。</w:t>
      </w:r>
    </w:p>
    <w:p w14:paraId="7C5C88E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2、</w:t>
      </w:r>
      <w:r>
        <w:rPr>
          <w:rFonts w:hint="eastAsia" w:ascii="宋体" w:hAnsi="宋体" w:eastAsia="宋体" w:cs="宋体"/>
          <w:spacing w:val="9"/>
          <w:sz w:val="24"/>
          <w:szCs w:val="24"/>
        </w:rPr>
        <w:t>考核表由甲方负责发放、统计，并最终以甲方的统计结果为准，乙方须无条件配合，不得提出异议。</w:t>
      </w:r>
    </w:p>
    <w:p w14:paraId="327A77B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月考评，满分为100分，每月按照以下具体考核办法考评一次。</w:t>
      </w:r>
    </w:p>
    <w:p w14:paraId="19AB282B">
      <w:pPr>
        <w:spacing w:line="360" w:lineRule="auto"/>
        <w:jc w:val="both"/>
        <w:rPr>
          <w:rFonts w:hint="eastAsia" w:ascii="宋体" w:hAnsi="宋体" w:cs="宋体"/>
          <w:b w:val="0"/>
          <w:bCs/>
          <w:color w:val="auto"/>
          <w:sz w:val="24"/>
          <w:szCs w:val="24"/>
          <w:highlight w:val="none"/>
        </w:rPr>
      </w:pPr>
    </w:p>
    <w:p w14:paraId="6432A2F2">
      <w:pPr>
        <w:spacing w:line="360" w:lineRule="auto"/>
        <w:ind w:firstLine="960" w:firstLineChars="400"/>
        <w:jc w:val="both"/>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表1、</w:t>
      </w:r>
      <w:r>
        <w:rPr>
          <w:rFonts w:hint="eastAsia" w:ascii="宋体" w:hAnsi="宋体" w:cs="宋体"/>
          <w:b w:val="0"/>
          <w:bCs/>
          <w:color w:val="auto"/>
          <w:sz w:val="24"/>
          <w:szCs w:val="24"/>
          <w:highlight w:val="none"/>
          <w:lang w:val="en-US" w:eastAsia="zh-CN"/>
        </w:rPr>
        <w:t xml:space="preserve">  服务质量</w:t>
      </w:r>
      <w:r>
        <w:rPr>
          <w:rFonts w:hint="eastAsia" w:ascii="宋体" w:hAnsi="宋体" w:cs="宋体"/>
          <w:b w:val="0"/>
          <w:bCs/>
          <w:color w:val="auto"/>
          <w:sz w:val="24"/>
          <w:szCs w:val="24"/>
          <w:highlight w:val="none"/>
        </w:rPr>
        <w:t>调查</w:t>
      </w:r>
      <w:r>
        <w:rPr>
          <w:rFonts w:hint="eastAsia" w:ascii="宋体" w:hAnsi="宋体" w:cs="宋体"/>
          <w:b w:val="0"/>
          <w:bCs/>
          <w:color w:val="auto"/>
          <w:sz w:val="24"/>
          <w:szCs w:val="24"/>
          <w:highlight w:val="none"/>
          <w:lang w:val="en-US" w:eastAsia="zh-CN"/>
        </w:rPr>
        <w:t>80</w:t>
      </w:r>
      <w:r>
        <w:rPr>
          <w:rFonts w:hint="eastAsia" w:ascii="宋体" w:hAnsi="宋体" w:cs="宋体"/>
          <w:b w:val="0"/>
          <w:bCs/>
          <w:color w:val="auto"/>
          <w:sz w:val="24"/>
          <w:szCs w:val="24"/>
          <w:highlight w:val="none"/>
        </w:rPr>
        <w:t xml:space="preserve">分       </w:t>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202</w:t>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年</w:t>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月</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622"/>
        <w:gridCol w:w="625"/>
        <w:gridCol w:w="744"/>
        <w:gridCol w:w="1615"/>
        <w:gridCol w:w="898"/>
        <w:gridCol w:w="898"/>
        <w:gridCol w:w="945"/>
        <w:gridCol w:w="610"/>
        <w:gridCol w:w="1037"/>
      </w:tblGrid>
      <w:tr w14:paraId="0BA7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307" w:type="pct"/>
            <w:noWrap w:val="0"/>
            <w:vAlign w:val="center"/>
          </w:tcPr>
          <w:p w14:paraId="7906C713">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序号</w:t>
            </w:r>
          </w:p>
        </w:tc>
        <w:tc>
          <w:tcPr>
            <w:tcW w:w="365" w:type="pct"/>
            <w:noWrap w:val="0"/>
            <w:vAlign w:val="center"/>
          </w:tcPr>
          <w:p w14:paraId="6CE2F74A">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受访科室</w:t>
            </w:r>
          </w:p>
        </w:tc>
        <w:tc>
          <w:tcPr>
            <w:tcW w:w="367" w:type="pct"/>
            <w:noWrap w:val="0"/>
            <w:vAlign w:val="center"/>
          </w:tcPr>
          <w:p w14:paraId="4252E899">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受访人</w:t>
            </w:r>
          </w:p>
        </w:tc>
        <w:tc>
          <w:tcPr>
            <w:tcW w:w="437" w:type="pct"/>
            <w:noWrap w:val="0"/>
            <w:vAlign w:val="center"/>
          </w:tcPr>
          <w:p w14:paraId="63261795">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受访人身份</w:t>
            </w:r>
          </w:p>
        </w:tc>
        <w:tc>
          <w:tcPr>
            <w:tcW w:w="948" w:type="pct"/>
            <w:noWrap w:val="0"/>
            <w:vAlign w:val="center"/>
          </w:tcPr>
          <w:p w14:paraId="70E6242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文明服务礼貌用语着装胸牌服务态度</w:t>
            </w:r>
          </w:p>
          <w:p w14:paraId="40AA7F8F">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w:t>
            </w:r>
            <w:r>
              <w:rPr>
                <w:rFonts w:hint="eastAsia" w:ascii="宋体" w:hAnsi="宋体" w:cs="宋体"/>
                <w:b w:val="0"/>
                <w:bCs/>
                <w:color w:val="auto"/>
                <w:sz w:val="18"/>
                <w:szCs w:val="18"/>
                <w:highlight w:val="none"/>
                <w:lang w:val="en-US" w:eastAsia="zh-CN"/>
              </w:rPr>
              <w:t>10</w:t>
            </w:r>
            <w:r>
              <w:rPr>
                <w:rFonts w:hint="eastAsia" w:ascii="宋体" w:hAnsi="宋体" w:cs="宋体"/>
                <w:b w:val="0"/>
                <w:bCs/>
                <w:color w:val="auto"/>
                <w:sz w:val="18"/>
                <w:szCs w:val="18"/>
                <w:highlight w:val="none"/>
              </w:rPr>
              <w:t>分）</w:t>
            </w:r>
          </w:p>
        </w:tc>
        <w:tc>
          <w:tcPr>
            <w:tcW w:w="527" w:type="pct"/>
            <w:noWrap w:val="0"/>
            <w:vAlign w:val="center"/>
          </w:tcPr>
          <w:p w14:paraId="56BF44CF">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报修响应时间</w:t>
            </w:r>
          </w:p>
          <w:p w14:paraId="4AFCF443">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rPr>
              <w:t>（</w:t>
            </w:r>
            <w:r>
              <w:rPr>
                <w:rFonts w:hint="eastAsia" w:ascii="宋体" w:hAnsi="宋体" w:cs="宋体"/>
                <w:b w:val="0"/>
                <w:bCs/>
                <w:color w:val="auto"/>
                <w:sz w:val="18"/>
                <w:szCs w:val="18"/>
                <w:highlight w:val="none"/>
                <w:lang w:val="en-US" w:eastAsia="zh-CN"/>
              </w:rPr>
              <w:t>20</w:t>
            </w:r>
            <w:r>
              <w:rPr>
                <w:rFonts w:hint="eastAsia" w:ascii="宋体" w:hAnsi="宋体" w:cs="宋体"/>
                <w:b w:val="0"/>
                <w:bCs/>
                <w:color w:val="auto"/>
                <w:sz w:val="18"/>
                <w:szCs w:val="18"/>
                <w:highlight w:val="none"/>
              </w:rPr>
              <w:t>分）</w:t>
            </w:r>
          </w:p>
        </w:tc>
        <w:tc>
          <w:tcPr>
            <w:tcW w:w="527" w:type="pct"/>
            <w:noWrap w:val="0"/>
            <w:vAlign w:val="center"/>
          </w:tcPr>
          <w:p w14:paraId="116891AA">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维修质量</w:t>
            </w:r>
          </w:p>
          <w:p w14:paraId="0EEB70F7">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w:t>
            </w:r>
            <w:r>
              <w:rPr>
                <w:rFonts w:hint="eastAsia" w:ascii="宋体" w:hAnsi="宋体" w:cs="宋体"/>
                <w:b w:val="0"/>
                <w:bCs/>
                <w:color w:val="auto"/>
                <w:sz w:val="18"/>
                <w:szCs w:val="18"/>
                <w:highlight w:val="none"/>
                <w:lang w:val="en-US" w:eastAsia="zh-CN"/>
              </w:rPr>
              <w:t>20</w:t>
            </w:r>
            <w:r>
              <w:rPr>
                <w:rFonts w:hint="eastAsia" w:ascii="宋体" w:hAnsi="宋体" w:cs="宋体"/>
                <w:b w:val="0"/>
                <w:bCs/>
                <w:color w:val="auto"/>
                <w:sz w:val="18"/>
                <w:szCs w:val="18"/>
                <w:highlight w:val="none"/>
              </w:rPr>
              <w:t>分）</w:t>
            </w:r>
          </w:p>
        </w:tc>
        <w:tc>
          <w:tcPr>
            <w:tcW w:w="555" w:type="pct"/>
            <w:noWrap w:val="0"/>
            <w:vAlign w:val="center"/>
          </w:tcPr>
          <w:p w14:paraId="0639014F">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lang w:val="en-US" w:eastAsia="zh-CN"/>
              </w:rPr>
              <w:t>科室满意度</w:t>
            </w:r>
          </w:p>
          <w:p w14:paraId="019728E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lang w:val="en-US" w:eastAsia="zh-CN"/>
              </w:rPr>
              <w:t>（30分）</w:t>
            </w:r>
          </w:p>
        </w:tc>
        <w:tc>
          <w:tcPr>
            <w:tcW w:w="358" w:type="pct"/>
            <w:noWrap w:val="0"/>
            <w:vAlign w:val="center"/>
          </w:tcPr>
          <w:p w14:paraId="47062E7B">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rPr>
              <w:t>得分合计</w:t>
            </w:r>
          </w:p>
        </w:tc>
        <w:tc>
          <w:tcPr>
            <w:tcW w:w="604" w:type="pct"/>
            <w:noWrap w:val="0"/>
            <w:vAlign w:val="center"/>
          </w:tcPr>
          <w:p w14:paraId="0431F571">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调查人</w:t>
            </w:r>
          </w:p>
          <w:p w14:paraId="7A0C19D4">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w:t>
            </w:r>
            <w:r>
              <w:rPr>
                <w:rFonts w:hint="eastAsia" w:ascii="宋体" w:hAnsi="宋体" w:cs="宋体"/>
                <w:b w:val="0"/>
                <w:bCs/>
                <w:color w:val="auto"/>
                <w:sz w:val="18"/>
                <w:szCs w:val="18"/>
                <w:highlight w:val="none"/>
                <w:lang w:eastAsia="zh-CN"/>
              </w:rPr>
              <w:t>发包人</w:t>
            </w:r>
            <w:r>
              <w:rPr>
                <w:rFonts w:hint="eastAsia" w:ascii="宋体" w:hAnsi="宋体" w:cs="宋体"/>
                <w:b w:val="0"/>
                <w:bCs/>
                <w:color w:val="auto"/>
                <w:sz w:val="18"/>
                <w:szCs w:val="18"/>
                <w:highlight w:val="none"/>
              </w:rPr>
              <w:t>）</w:t>
            </w:r>
          </w:p>
        </w:tc>
      </w:tr>
      <w:tr w14:paraId="1ECF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07" w:type="pct"/>
            <w:noWrap w:val="0"/>
            <w:vAlign w:val="center"/>
          </w:tcPr>
          <w:p w14:paraId="50E0AF35">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1</w:t>
            </w:r>
          </w:p>
        </w:tc>
        <w:tc>
          <w:tcPr>
            <w:tcW w:w="365" w:type="pct"/>
            <w:noWrap w:val="0"/>
            <w:vAlign w:val="top"/>
          </w:tcPr>
          <w:p w14:paraId="2E4AEE5B">
            <w:pPr>
              <w:spacing w:line="360" w:lineRule="auto"/>
              <w:rPr>
                <w:rFonts w:hint="eastAsia" w:ascii="宋体" w:hAnsi="宋体" w:cs="宋体"/>
                <w:b w:val="0"/>
                <w:bCs/>
                <w:color w:val="auto"/>
                <w:sz w:val="18"/>
                <w:szCs w:val="18"/>
                <w:highlight w:val="none"/>
              </w:rPr>
            </w:pPr>
          </w:p>
        </w:tc>
        <w:tc>
          <w:tcPr>
            <w:tcW w:w="367" w:type="pct"/>
            <w:noWrap w:val="0"/>
            <w:vAlign w:val="top"/>
          </w:tcPr>
          <w:p w14:paraId="6FB39DF7">
            <w:pPr>
              <w:spacing w:line="360" w:lineRule="auto"/>
              <w:rPr>
                <w:rFonts w:hint="eastAsia" w:ascii="宋体" w:hAnsi="宋体" w:cs="宋体"/>
                <w:b w:val="0"/>
                <w:bCs/>
                <w:color w:val="auto"/>
                <w:sz w:val="18"/>
                <w:szCs w:val="18"/>
                <w:highlight w:val="none"/>
              </w:rPr>
            </w:pPr>
          </w:p>
        </w:tc>
        <w:tc>
          <w:tcPr>
            <w:tcW w:w="437" w:type="pct"/>
            <w:noWrap w:val="0"/>
            <w:vAlign w:val="top"/>
          </w:tcPr>
          <w:p w14:paraId="000CCE55">
            <w:pPr>
              <w:spacing w:line="360" w:lineRule="auto"/>
              <w:rPr>
                <w:rFonts w:hint="eastAsia" w:ascii="宋体" w:hAnsi="宋体" w:cs="宋体"/>
                <w:b w:val="0"/>
                <w:bCs/>
                <w:color w:val="auto"/>
                <w:sz w:val="18"/>
                <w:szCs w:val="18"/>
                <w:highlight w:val="none"/>
              </w:rPr>
            </w:pPr>
          </w:p>
        </w:tc>
        <w:tc>
          <w:tcPr>
            <w:tcW w:w="948" w:type="pct"/>
            <w:noWrap w:val="0"/>
            <w:vAlign w:val="top"/>
          </w:tcPr>
          <w:p w14:paraId="5DFEEC30">
            <w:pPr>
              <w:spacing w:line="360" w:lineRule="auto"/>
              <w:rPr>
                <w:rFonts w:hint="eastAsia" w:ascii="宋体" w:hAnsi="宋体" w:cs="宋体"/>
                <w:b w:val="0"/>
                <w:bCs/>
                <w:color w:val="auto"/>
                <w:sz w:val="18"/>
                <w:szCs w:val="18"/>
                <w:highlight w:val="none"/>
              </w:rPr>
            </w:pPr>
          </w:p>
        </w:tc>
        <w:tc>
          <w:tcPr>
            <w:tcW w:w="527" w:type="pct"/>
            <w:noWrap w:val="0"/>
            <w:vAlign w:val="top"/>
          </w:tcPr>
          <w:p w14:paraId="302D633F">
            <w:pPr>
              <w:spacing w:line="360" w:lineRule="auto"/>
              <w:rPr>
                <w:rFonts w:hint="eastAsia" w:ascii="宋体" w:hAnsi="宋体" w:cs="宋体"/>
                <w:b w:val="0"/>
                <w:bCs/>
                <w:color w:val="auto"/>
                <w:sz w:val="18"/>
                <w:szCs w:val="18"/>
                <w:highlight w:val="none"/>
              </w:rPr>
            </w:pPr>
          </w:p>
        </w:tc>
        <w:tc>
          <w:tcPr>
            <w:tcW w:w="527" w:type="pct"/>
            <w:noWrap w:val="0"/>
            <w:vAlign w:val="top"/>
          </w:tcPr>
          <w:p w14:paraId="1144A9AE">
            <w:pPr>
              <w:spacing w:line="360" w:lineRule="auto"/>
              <w:rPr>
                <w:rFonts w:hint="eastAsia" w:ascii="宋体" w:hAnsi="宋体" w:cs="宋体"/>
                <w:b w:val="0"/>
                <w:bCs/>
                <w:color w:val="auto"/>
                <w:sz w:val="18"/>
                <w:szCs w:val="18"/>
                <w:highlight w:val="none"/>
              </w:rPr>
            </w:pPr>
          </w:p>
        </w:tc>
        <w:tc>
          <w:tcPr>
            <w:tcW w:w="555" w:type="pct"/>
            <w:noWrap w:val="0"/>
            <w:vAlign w:val="top"/>
          </w:tcPr>
          <w:p w14:paraId="42D7EEC0">
            <w:pPr>
              <w:spacing w:line="360" w:lineRule="auto"/>
              <w:rPr>
                <w:rFonts w:hint="eastAsia" w:ascii="宋体" w:hAnsi="宋体" w:cs="宋体"/>
                <w:b w:val="0"/>
                <w:bCs/>
                <w:color w:val="auto"/>
                <w:sz w:val="18"/>
                <w:szCs w:val="18"/>
                <w:highlight w:val="none"/>
              </w:rPr>
            </w:pPr>
          </w:p>
        </w:tc>
        <w:tc>
          <w:tcPr>
            <w:tcW w:w="358" w:type="pct"/>
            <w:noWrap w:val="0"/>
            <w:vAlign w:val="top"/>
          </w:tcPr>
          <w:p w14:paraId="752C6514">
            <w:pPr>
              <w:spacing w:line="360" w:lineRule="auto"/>
              <w:rPr>
                <w:rFonts w:hint="eastAsia" w:ascii="宋体" w:hAnsi="宋体" w:cs="宋体"/>
                <w:b w:val="0"/>
                <w:bCs/>
                <w:color w:val="auto"/>
                <w:sz w:val="18"/>
                <w:szCs w:val="18"/>
                <w:highlight w:val="none"/>
              </w:rPr>
            </w:pPr>
          </w:p>
        </w:tc>
        <w:tc>
          <w:tcPr>
            <w:tcW w:w="604" w:type="pct"/>
            <w:noWrap w:val="0"/>
            <w:vAlign w:val="top"/>
          </w:tcPr>
          <w:p w14:paraId="0BFD7E41">
            <w:pPr>
              <w:spacing w:line="360" w:lineRule="auto"/>
              <w:rPr>
                <w:rFonts w:hint="eastAsia" w:ascii="宋体" w:hAnsi="宋体" w:cs="宋体"/>
                <w:b w:val="0"/>
                <w:bCs/>
                <w:color w:val="auto"/>
                <w:sz w:val="18"/>
                <w:szCs w:val="18"/>
                <w:highlight w:val="none"/>
              </w:rPr>
            </w:pPr>
          </w:p>
        </w:tc>
      </w:tr>
      <w:tr w14:paraId="03AA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307" w:type="pct"/>
            <w:tcBorders>
              <w:bottom w:val="single" w:color="auto" w:sz="4" w:space="0"/>
            </w:tcBorders>
            <w:noWrap w:val="0"/>
            <w:vAlign w:val="center"/>
          </w:tcPr>
          <w:p w14:paraId="6FA014CA">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lang w:val="en-US" w:eastAsia="zh-CN"/>
              </w:rPr>
              <w:t>2</w:t>
            </w:r>
          </w:p>
        </w:tc>
        <w:tc>
          <w:tcPr>
            <w:tcW w:w="365" w:type="pct"/>
            <w:tcBorders>
              <w:bottom w:val="single" w:color="auto" w:sz="4" w:space="0"/>
            </w:tcBorders>
            <w:noWrap w:val="0"/>
            <w:vAlign w:val="top"/>
          </w:tcPr>
          <w:p w14:paraId="02013E21">
            <w:pPr>
              <w:spacing w:line="360" w:lineRule="auto"/>
              <w:rPr>
                <w:rFonts w:hint="eastAsia" w:ascii="宋体" w:hAnsi="宋体" w:cs="宋体"/>
                <w:b w:val="0"/>
                <w:bCs/>
                <w:color w:val="auto"/>
                <w:sz w:val="18"/>
                <w:szCs w:val="18"/>
                <w:highlight w:val="none"/>
              </w:rPr>
            </w:pPr>
          </w:p>
        </w:tc>
        <w:tc>
          <w:tcPr>
            <w:tcW w:w="367" w:type="pct"/>
            <w:tcBorders>
              <w:bottom w:val="single" w:color="auto" w:sz="4" w:space="0"/>
            </w:tcBorders>
            <w:noWrap w:val="0"/>
            <w:vAlign w:val="top"/>
          </w:tcPr>
          <w:p w14:paraId="5998DF7F">
            <w:pPr>
              <w:spacing w:line="360" w:lineRule="auto"/>
              <w:rPr>
                <w:rFonts w:hint="eastAsia" w:ascii="宋体" w:hAnsi="宋体" w:cs="宋体"/>
                <w:b w:val="0"/>
                <w:bCs/>
                <w:color w:val="auto"/>
                <w:sz w:val="18"/>
                <w:szCs w:val="18"/>
                <w:highlight w:val="none"/>
              </w:rPr>
            </w:pPr>
          </w:p>
        </w:tc>
        <w:tc>
          <w:tcPr>
            <w:tcW w:w="437" w:type="pct"/>
            <w:tcBorders>
              <w:bottom w:val="single" w:color="auto" w:sz="4" w:space="0"/>
            </w:tcBorders>
            <w:noWrap w:val="0"/>
            <w:vAlign w:val="top"/>
          </w:tcPr>
          <w:p w14:paraId="297950B1">
            <w:pPr>
              <w:spacing w:line="360" w:lineRule="auto"/>
              <w:rPr>
                <w:rFonts w:hint="eastAsia" w:ascii="宋体" w:hAnsi="宋体" w:cs="宋体"/>
                <w:b w:val="0"/>
                <w:bCs/>
                <w:color w:val="auto"/>
                <w:sz w:val="18"/>
                <w:szCs w:val="18"/>
                <w:highlight w:val="none"/>
              </w:rPr>
            </w:pPr>
          </w:p>
        </w:tc>
        <w:tc>
          <w:tcPr>
            <w:tcW w:w="948" w:type="pct"/>
            <w:tcBorders>
              <w:bottom w:val="single" w:color="auto" w:sz="4" w:space="0"/>
            </w:tcBorders>
            <w:noWrap w:val="0"/>
            <w:vAlign w:val="top"/>
          </w:tcPr>
          <w:p w14:paraId="158F519E">
            <w:pPr>
              <w:spacing w:line="360" w:lineRule="auto"/>
              <w:rPr>
                <w:rFonts w:hint="eastAsia" w:ascii="宋体" w:hAnsi="宋体" w:cs="宋体"/>
                <w:b w:val="0"/>
                <w:bCs/>
                <w:color w:val="auto"/>
                <w:sz w:val="18"/>
                <w:szCs w:val="18"/>
                <w:highlight w:val="none"/>
              </w:rPr>
            </w:pPr>
          </w:p>
        </w:tc>
        <w:tc>
          <w:tcPr>
            <w:tcW w:w="527" w:type="pct"/>
            <w:noWrap w:val="0"/>
            <w:vAlign w:val="top"/>
          </w:tcPr>
          <w:p w14:paraId="364586C4">
            <w:pPr>
              <w:spacing w:line="360" w:lineRule="auto"/>
              <w:rPr>
                <w:rFonts w:hint="eastAsia" w:ascii="宋体" w:hAnsi="宋体" w:cs="宋体"/>
                <w:b w:val="0"/>
                <w:bCs/>
                <w:color w:val="auto"/>
                <w:sz w:val="18"/>
                <w:szCs w:val="18"/>
                <w:highlight w:val="none"/>
              </w:rPr>
            </w:pPr>
          </w:p>
        </w:tc>
        <w:tc>
          <w:tcPr>
            <w:tcW w:w="527" w:type="pct"/>
            <w:noWrap w:val="0"/>
            <w:vAlign w:val="top"/>
          </w:tcPr>
          <w:p w14:paraId="1F860A60">
            <w:pPr>
              <w:spacing w:line="360" w:lineRule="auto"/>
              <w:rPr>
                <w:rFonts w:hint="eastAsia" w:ascii="宋体" w:hAnsi="宋体" w:cs="宋体"/>
                <w:b w:val="0"/>
                <w:bCs/>
                <w:color w:val="auto"/>
                <w:sz w:val="18"/>
                <w:szCs w:val="18"/>
                <w:highlight w:val="none"/>
              </w:rPr>
            </w:pPr>
          </w:p>
        </w:tc>
        <w:tc>
          <w:tcPr>
            <w:tcW w:w="555" w:type="pct"/>
            <w:noWrap w:val="0"/>
            <w:vAlign w:val="top"/>
          </w:tcPr>
          <w:p w14:paraId="51BA3C85">
            <w:pPr>
              <w:spacing w:line="360" w:lineRule="auto"/>
              <w:rPr>
                <w:rFonts w:hint="eastAsia" w:ascii="宋体" w:hAnsi="宋体" w:cs="宋体"/>
                <w:b w:val="0"/>
                <w:bCs/>
                <w:color w:val="auto"/>
                <w:sz w:val="18"/>
                <w:szCs w:val="18"/>
                <w:highlight w:val="none"/>
              </w:rPr>
            </w:pPr>
          </w:p>
        </w:tc>
        <w:tc>
          <w:tcPr>
            <w:tcW w:w="358" w:type="pct"/>
            <w:noWrap w:val="0"/>
            <w:vAlign w:val="top"/>
          </w:tcPr>
          <w:p w14:paraId="000EA572">
            <w:pPr>
              <w:spacing w:line="360" w:lineRule="auto"/>
              <w:rPr>
                <w:rFonts w:hint="eastAsia" w:ascii="宋体" w:hAnsi="宋体" w:cs="宋体"/>
                <w:b w:val="0"/>
                <w:bCs/>
                <w:color w:val="auto"/>
                <w:sz w:val="18"/>
                <w:szCs w:val="18"/>
                <w:highlight w:val="none"/>
              </w:rPr>
            </w:pPr>
          </w:p>
        </w:tc>
        <w:tc>
          <w:tcPr>
            <w:tcW w:w="604" w:type="pct"/>
            <w:noWrap w:val="0"/>
            <w:vAlign w:val="top"/>
          </w:tcPr>
          <w:p w14:paraId="43185D9E">
            <w:pPr>
              <w:spacing w:line="360" w:lineRule="auto"/>
              <w:rPr>
                <w:rFonts w:hint="eastAsia" w:ascii="宋体" w:hAnsi="宋体" w:cs="宋体"/>
                <w:b w:val="0"/>
                <w:bCs/>
                <w:color w:val="auto"/>
                <w:sz w:val="18"/>
                <w:szCs w:val="18"/>
                <w:highlight w:val="none"/>
              </w:rPr>
            </w:pPr>
          </w:p>
        </w:tc>
      </w:tr>
      <w:tr w14:paraId="0175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307" w:type="pct"/>
            <w:tcBorders>
              <w:bottom w:val="single" w:color="auto" w:sz="4" w:space="0"/>
            </w:tcBorders>
            <w:noWrap w:val="0"/>
            <w:vAlign w:val="center"/>
          </w:tcPr>
          <w:p w14:paraId="44DA7780">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lang w:val="en-US" w:eastAsia="zh-CN"/>
              </w:rPr>
              <w:t>...</w:t>
            </w:r>
          </w:p>
        </w:tc>
        <w:tc>
          <w:tcPr>
            <w:tcW w:w="365" w:type="pct"/>
            <w:tcBorders>
              <w:bottom w:val="single" w:color="auto" w:sz="4" w:space="0"/>
            </w:tcBorders>
            <w:noWrap w:val="0"/>
            <w:vAlign w:val="top"/>
          </w:tcPr>
          <w:p w14:paraId="5FA126A0">
            <w:pPr>
              <w:spacing w:line="360" w:lineRule="auto"/>
              <w:rPr>
                <w:rFonts w:hint="eastAsia" w:ascii="宋体" w:hAnsi="宋体" w:cs="宋体"/>
                <w:b w:val="0"/>
                <w:bCs/>
                <w:color w:val="auto"/>
                <w:sz w:val="18"/>
                <w:szCs w:val="18"/>
                <w:highlight w:val="none"/>
              </w:rPr>
            </w:pPr>
          </w:p>
        </w:tc>
        <w:tc>
          <w:tcPr>
            <w:tcW w:w="367" w:type="pct"/>
            <w:tcBorders>
              <w:bottom w:val="single" w:color="auto" w:sz="4" w:space="0"/>
            </w:tcBorders>
            <w:noWrap w:val="0"/>
            <w:vAlign w:val="top"/>
          </w:tcPr>
          <w:p w14:paraId="6CFBAD76">
            <w:pPr>
              <w:spacing w:line="360" w:lineRule="auto"/>
              <w:rPr>
                <w:rFonts w:hint="eastAsia" w:ascii="宋体" w:hAnsi="宋体" w:cs="宋体"/>
                <w:b w:val="0"/>
                <w:bCs/>
                <w:color w:val="auto"/>
                <w:sz w:val="18"/>
                <w:szCs w:val="18"/>
                <w:highlight w:val="none"/>
              </w:rPr>
            </w:pPr>
          </w:p>
        </w:tc>
        <w:tc>
          <w:tcPr>
            <w:tcW w:w="437" w:type="pct"/>
            <w:tcBorders>
              <w:bottom w:val="single" w:color="auto" w:sz="4" w:space="0"/>
            </w:tcBorders>
            <w:noWrap w:val="0"/>
            <w:vAlign w:val="top"/>
          </w:tcPr>
          <w:p w14:paraId="35C68BC2">
            <w:pPr>
              <w:spacing w:line="360" w:lineRule="auto"/>
              <w:rPr>
                <w:rFonts w:hint="eastAsia" w:ascii="宋体" w:hAnsi="宋体" w:cs="宋体"/>
                <w:b w:val="0"/>
                <w:bCs/>
                <w:color w:val="auto"/>
                <w:sz w:val="18"/>
                <w:szCs w:val="18"/>
                <w:highlight w:val="none"/>
              </w:rPr>
            </w:pPr>
          </w:p>
        </w:tc>
        <w:tc>
          <w:tcPr>
            <w:tcW w:w="948" w:type="pct"/>
            <w:tcBorders>
              <w:bottom w:val="single" w:color="auto" w:sz="4" w:space="0"/>
            </w:tcBorders>
            <w:noWrap w:val="0"/>
            <w:vAlign w:val="top"/>
          </w:tcPr>
          <w:p w14:paraId="2D23B97E">
            <w:pPr>
              <w:spacing w:line="360" w:lineRule="auto"/>
              <w:rPr>
                <w:rFonts w:hint="eastAsia" w:ascii="宋体" w:hAnsi="宋体" w:cs="宋体"/>
                <w:b w:val="0"/>
                <w:bCs/>
                <w:color w:val="auto"/>
                <w:sz w:val="18"/>
                <w:szCs w:val="18"/>
                <w:highlight w:val="none"/>
              </w:rPr>
            </w:pPr>
          </w:p>
        </w:tc>
        <w:tc>
          <w:tcPr>
            <w:tcW w:w="527" w:type="pct"/>
            <w:noWrap w:val="0"/>
            <w:vAlign w:val="top"/>
          </w:tcPr>
          <w:p w14:paraId="2B491263">
            <w:pPr>
              <w:spacing w:line="360" w:lineRule="auto"/>
              <w:rPr>
                <w:rFonts w:hint="eastAsia" w:ascii="宋体" w:hAnsi="宋体" w:cs="宋体"/>
                <w:b w:val="0"/>
                <w:bCs/>
                <w:color w:val="auto"/>
                <w:sz w:val="18"/>
                <w:szCs w:val="18"/>
                <w:highlight w:val="none"/>
              </w:rPr>
            </w:pPr>
          </w:p>
        </w:tc>
        <w:tc>
          <w:tcPr>
            <w:tcW w:w="527" w:type="pct"/>
            <w:noWrap w:val="0"/>
            <w:vAlign w:val="top"/>
          </w:tcPr>
          <w:p w14:paraId="111FA01D">
            <w:pPr>
              <w:spacing w:line="360" w:lineRule="auto"/>
              <w:rPr>
                <w:rFonts w:hint="eastAsia" w:ascii="宋体" w:hAnsi="宋体" w:cs="宋体"/>
                <w:b w:val="0"/>
                <w:bCs/>
                <w:color w:val="auto"/>
                <w:sz w:val="18"/>
                <w:szCs w:val="18"/>
                <w:highlight w:val="none"/>
              </w:rPr>
            </w:pPr>
          </w:p>
        </w:tc>
        <w:tc>
          <w:tcPr>
            <w:tcW w:w="555" w:type="pct"/>
            <w:noWrap w:val="0"/>
            <w:vAlign w:val="top"/>
          </w:tcPr>
          <w:p w14:paraId="5C9EEA43">
            <w:pPr>
              <w:spacing w:line="360" w:lineRule="auto"/>
              <w:rPr>
                <w:rFonts w:hint="eastAsia" w:ascii="宋体" w:hAnsi="宋体" w:cs="宋体"/>
                <w:b w:val="0"/>
                <w:bCs/>
                <w:color w:val="auto"/>
                <w:sz w:val="18"/>
                <w:szCs w:val="18"/>
                <w:highlight w:val="none"/>
              </w:rPr>
            </w:pPr>
          </w:p>
        </w:tc>
        <w:tc>
          <w:tcPr>
            <w:tcW w:w="358" w:type="pct"/>
            <w:noWrap w:val="0"/>
            <w:vAlign w:val="top"/>
          </w:tcPr>
          <w:p w14:paraId="7777FC57">
            <w:pPr>
              <w:spacing w:line="360" w:lineRule="auto"/>
              <w:rPr>
                <w:rFonts w:hint="eastAsia" w:ascii="宋体" w:hAnsi="宋体" w:cs="宋体"/>
                <w:b w:val="0"/>
                <w:bCs/>
                <w:color w:val="auto"/>
                <w:sz w:val="18"/>
                <w:szCs w:val="18"/>
                <w:highlight w:val="none"/>
              </w:rPr>
            </w:pPr>
          </w:p>
        </w:tc>
        <w:tc>
          <w:tcPr>
            <w:tcW w:w="604" w:type="pct"/>
            <w:noWrap w:val="0"/>
            <w:vAlign w:val="top"/>
          </w:tcPr>
          <w:p w14:paraId="2103ED53">
            <w:pPr>
              <w:spacing w:line="360" w:lineRule="auto"/>
              <w:rPr>
                <w:rFonts w:hint="eastAsia" w:ascii="宋体" w:hAnsi="宋体" w:cs="宋体"/>
                <w:b w:val="0"/>
                <w:bCs/>
                <w:color w:val="auto"/>
                <w:sz w:val="18"/>
                <w:szCs w:val="18"/>
                <w:highlight w:val="none"/>
              </w:rPr>
            </w:pPr>
          </w:p>
        </w:tc>
      </w:tr>
      <w:tr w14:paraId="43D00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07" w:type="pct"/>
            <w:tcBorders>
              <w:bottom w:val="single" w:color="auto" w:sz="4" w:space="0"/>
            </w:tcBorders>
            <w:noWrap w:val="0"/>
            <w:vAlign w:val="center"/>
          </w:tcPr>
          <w:p w14:paraId="5EABF61F">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lang w:val="en-US" w:eastAsia="zh-CN"/>
              </w:rPr>
              <w:t>10</w:t>
            </w:r>
          </w:p>
        </w:tc>
        <w:tc>
          <w:tcPr>
            <w:tcW w:w="365" w:type="pct"/>
            <w:tcBorders>
              <w:bottom w:val="single" w:color="auto" w:sz="4" w:space="0"/>
            </w:tcBorders>
            <w:noWrap w:val="0"/>
            <w:vAlign w:val="top"/>
          </w:tcPr>
          <w:p w14:paraId="467A750D">
            <w:pPr>
              <w:spacing w:line="360" w:lineRule="auto"/>
              <w:rPr>
                <w:rFonts w:hint="eastAsia" w:ascii="宋体" w:hAnsi="宋体" w:cs="宋体"/>
                <w:b w:val="0"/>
                <w:bCs/>
                <w:color w:val="auto"/>
                <w:sz w:val="18"/>
                <w:szCs w:val="18"/>
                <w:highlight w:val="none"/>
              </w:rPr>
            </w:pPr>
          </w:p>
        </w:tc>
        <w:tc>
          <w:tcPr>
            <w:tcW w:w="367" w:type="pct"/>
            <w:tcBorders>
              <w:bottom w:val="single" w:color="auto" w:sz="4" w:space="0"/>
            </w:tcBorders>
            <w:noWrap w:val="0"/>
            <w:vAlign w:val="top"/>
          </w:tcPr>
          <w:p w14:paraId="7B856CA1">
            <w:pPr>
              <w:spacing w:line="360" w:lineRule="auto"/>
              <w:rPr>
                <w:rFonts w:hint="eastAsia" w:ascii="宋体" w:hAnsi="宋体" w:cs="宋体"/>
                <w:b w:val="0"/>
                <w:bCs/>
                <w:color w:val="auto"/>
                <w:sz w:val="18"/>
                <w:szCs w:val="18"/>
                <w:highlight w:val="none"/>
              </w:rPr>
            </w:pPr>
          </w:p>
        </w:tc>
        <w:tc>
          <w:tcPr>
            <w:tcW w:w="437" w:type="pct"/>
            <w:tcBorders>
              <w:bottom w:val="single" w:color="auto" w:sz="4" w:space="0"/>
            </w:tcBorders>
            <w:noWrap w:val="0"/>
            <w:vAlign w:val="top"/>
          </w:tcPr>
          <w:p w14:paraId="4A79626B">
            <w:pPr>
              <w:spacing w:line="360" w:lineRule="auto"/>
              <w:rPr>
                <w:rFonts w:hint="eastAsia" w:ascii="宋体" w:hAnsi="宋体" w:cs="宋体"/>
                <w:b w:val="0"/>
                <w:bCs/>
                <w:color w:val="auto"/>
                <w:sz w:val="18"/>
                <w:szCs w:val="18"/>
                <w:highlight w:val="none"/>
              </w:rPr>
            </w:pPr>
          </w:p>
        </w:tc>
        <w:tc>
          <w:tcPr>
            <w:tcW w:w="948" w:type="pct"/>
            <w:tcBorders>
              <w:bottom w:val="single" w:color="auto" w:sz="4" w:space="0"/>
            </w:tcBorders>
            <w:noWrap w:val="0"/>
            <w:vAlign w:val="top"/>
          </w:tcPr>
          <w:p w14:paraId="681CBAFC">
            <w:pPr>
              <w:spacing w:line="360" w:lineRule="auto"/>
              <w:rPr>
                <w:rFonts w:hint="eastAsia" w:ascii="宋体" w:hAnsi="宋体" w:cs="宋体"/>
                <w:b w:val="0"/>
                <w:bCs/>
                <w:color w:val="auto"/>
                <w:sz w:val="18"/>
                <w:szCs w:val="18"/>
                <w:highlight w:val="none"/>
              </w:rPr>
            </w:pPr>
          </w:p>
        </w:tc>
        <w:tc>
          <w:tcPr>
            <w:tcW w:w="527" w:type="pct"/>
            <w:noWrap w:val="0"/>
            <w:vAlign w:val="top"/>
          </w:tcPr>
          <w:p w14:paraId="566FD454">
            <w:pPr>
              <w:spacing w:line="360" w:lineRule="auto"/>
              <w:rPr>
                <w:rFonts w:hint="eastAsia" w:ascii="宋体" w:hAnsi="宋体" w:cs="宋体"/>
                <w:b w:val="0"/>
                <w:bCs/>
                <w:color w:val="auto"/>
                <w:sz w:val="18"/>
                <w:szCs w:val="18"/>
                <w:highlight w:val="none"/>
              </w:rPr>
            </w:pPr>
          </w:p>
        </w:tc>
        <w:tc>
          <w:tcPr>
            <w:tcW w:w="527" w:type="pct"/>
            <w:noWrap w:val="0"/>
            <w:vAlign w:val="top"/>
          </w:tcPr>
          <w:p w14:paraId="67EAE72F">
            <w:pPr>
              <w:spacing w:line="360" w:lineRule="auto"/>
              <w:rPr>
                <w:rFonts w:hint="eastAsia" w:ascii="宋体" w:hAnsi="宋体" w:cs="宋体"/>
                <w:b w:val="0"/>
                <w:bCs/>
                <w:color w:val="auto"/>
                <w:sz w:val="18"/>
                <w:szCs w:val="18"/>
                <w:highlight w:val="none"/>
              </w:rPr>
            </w:pPr>
          </w:p>
        </w:tc>
        <w:tc>
          <w:tcPr>
            <w:tcW w:w="555" w:type="pct"/>
            <w:noWrap w:val="0"/>
            <w:vAlign w:val="top"/>
          </w:tcPr>
          <w:p w14:paraId="55A99D86">
            <w:pPr>
              <w:spacing w:line="360" w:lineRule="auto"/>
              <w:rPr>
                <w:rFonts w:hint="eastAsia" w:ascii="宋体" w:hAnsi="宋体" w:cs="宋体"/>
                <w:b w:val="0"/>
                <w:bCs/>
                <w:color w:val="auto"/>
                <w:sz w:val="18"/>
                <w:szCs w:val="18"/>
                <w:highlight w:val="none"/>
              </w:rPr>
            </w:pPr>
          </w:p>
        </w:tc>
        <w:tc>
          <w:tcPr>
            <w:tcW w:w="358" w:type="pct"/>
            <w:noWrap w:val="0"/>
            <w:vAlign w:val="top"/>
          </w:tcPr>
          <w:p w14:paraId="2EB9D8EC">
            <w:pPr>
              <w:spacing w:line="360" w:lineRule="auto"/>
              <w:rPr>
                <w:rFonts w:hint="eastAsia" w:ascii="宋体" w:hAnsi="宋体" w:cs="宋体"/>
                <w:b w:val="0"/>
                <w:bCs/>
                <w:color w:val="auto"/>
                <w:sz w:val="18"/>
                <w:szCs w:val="18"/>
                <w:highlight w:val="none"/>
              </w:rPr>
            </w:pPr>
          </w:p>
        </w:tc>
        <w:tc>
          <w:tcPr>
            <w:tcW w:w="604" w:type="pct"/>
            <w:noWrap w:val="0"/>
            <w:vAlign w:val="top"/>
          </w:tcPr>
          <w:p w14:paraId="4B6A9727">
            <w:pPr>
              <w:spacing w:line="360" w:lineRule="auto"/>
              <w:rPr>
                <w:rFonts w:hint="eastAsia" w:ascii="宋体" w:hAnsi="宋体" w:cs="宋体"/>
                <w:b w:val="0"/>
                <w:bCs/>
                <w:color w:val="auto"/>
                <w:sz w:val="18"/>
                <w:szCs w:val="18"/>
                <w:highlight w:val="none"/>
              </w:rPr>
            </w:pPr>
          </w:p>
        </w:tc>
      </w:tr>
      <w:tr w14:paraId="78A7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5000" w:type="pct"/>
            <w:gridSpan w:val="10"/>
            <w:tcBorders>
              <w:bottom w:val="single" w:color="auto" w:sz="4" w:space="0"/>
            </w:tcBorders>
            <w:noWrap w:val="0"/>
            <w:vAlign w:val="center"/>
          </w:tcPr>
          <w:p w14:paraId="0C4F94D5">
            <w:pPr>
              <w:spacing w:line="360" w:lineRule="auto"/>
              <w:rPr>
                <w:rFonts w:hint="eastAsia" w:ascii="宋体" w:hAnsi="宋体" w:cs="宋体"/>
                <w:b w:val="0"/>
                <w:bCs/>
                <w:color w:val="auto"/>
                <w:sz w:val="18"/>
                <w:szCs w:val="18"/>
                <w:highlight w:val="none"/>
                <w:lang w:val="en-US"/>
              </w:rPr>
            </w:pPr>
            <w:r>
              <w:rPr>
                <w:rFonts w:hint="eastAsia" w:ascii="宋体" w:hAnsi="宋体" w:cs="宋体"/>
                <w:b w:val="0"/>
                <w:bCs/>
                <w:color w:val="auto"/>
                <w:sz w:val="18"/>
                <w:szCs w:val="18"/>
                <w:highlight w:val="none"/>
              </w:rPr>
              <w:t>当月服务质量得分（</w:t>
            </w:r>
            <w:r>
              <w:rPr>
                <w:rFonts w:hint="eastAsia" w:ascii="宋体" w:hAnsi="宋体" w:cs="宋体"/>
                <w:b w:val="0"/>
                <w:bCs/>
                <w:color w:val="auto"/>
                <w:sz w:val="18"/>
                <w:szCs w:val="18"/>
                <w:highlight w:val="none"/>
                <w:lang w:val="en-US" w:eastAsia="zh-CN"/>
              </w:rPr>
              <w:t>10</w:t>
            </w:r>
            <w:r>
              <w:rPr>
                <w:rFonts w:hint="eastAsia" w:ascii="宋体" w:hAnsi="宋体" w:cs="宋体"/>
                <w:b w:val="0"/>
                <w:bCs/>
                <w:color w:val="auto"/>
                <w:sz w:val="18"/>
                <w:szCs w:val="18"/>
                <w:highlight w:val="none"/>
              </w:rPr>
              <w:t>次得分合计的均值）：              分</w:t>
            </w:r>
          </w:p>
        </w:tc>
      </w:tr>
    </w:tbl>
    <w:p w14:paraId="3F0062A5">
      <w:pPr>
        <w:spacing w:line="360" w:lineRule="auto"/>
        <w:jc w:val="center"/>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表</w:t>
      </w:r>
      <w:r>
        <w:rPr>
          <w:rFonts w:hint="eastAsia" w:ascii="宋体" w:hAnsi="宋体" w:cs="宋体"/>
          <w:b w:val="0"/>
          <w:bCs/>
          <w:color w:val="auto"/>
          <w:sz w:val="24"/>
          <w:szCs w:val="24"/>
          <w:highlight w:val="none"/>
          <w:lang w:val="en-US" w:eastAsia="zh-CN"/>
        </w:rPr>
        <w:t>2</w:t>
      </w:r>
      <w:r>
        <w:rPr>
          <w:rFonts w:hint="eastAsia" w:ascii="宋体" w:hAnsi="宋体" w:cs="宋体"/>
          <w:b w:val="0"/>
          <w:bCs/>
          <w:color w:val="auto"/>
          <w:sz w:val="24"/>
          <w:szCs w:val="24"/>
          <w:highlight w:val="none"/>
        </w:rPr>
        <w:t xml:space="preserve">、管理情况调查20分              </w:t>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 xml:space="preserve">   202</w:t>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年    月</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526"/>
        <w:gridCol w:w="1164"/>
        <w:gridCol w:w="1993"/>
        <w:gridCol w:w="1440"/>
        <w:gridCol w:w="1010"/>
        <w:gridCol w:w="809"/>
        <w:gridCol w:w="1119"/>
      </w:tblGrid>
      <w:tr w14:paraId="355A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269" w:type="pct"/>
            <w:tcBorders>
              <w:top w:val="single" w:color="auto" w:sz="4" w:space="0"/>
              <w:left w:val="single" w:color="auto" w:sz="4" w:space="0"/>
              <w:bottom w:val="single" w:color="auto" w:sz="4" w:space="0"/>
              <w:right w:val="single" w:color="auto" w:sz="4" w:space="0"/>
            </w:tcBorders>
            <w:noWrap w:val="0"/>
            <w:vAlign w:val="center"/>
          </w:tcPr>
          <w:p w14:paraId="4198036C">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序号</w:t>
            </w:r>
          </w:p>
        </w:tc>
        <w:tc>
          <w:tcPr>
            <w:tcW w:w="309" w:type="pct"/>
            <w:tcBorders>
              <w:top w:val="single" w:color="auto" w:sz="4" w:space="0"/>
              <w:left w:val="single" w:color="auto" w:sz="4" w:space="0"/>
              <w:bottom w:val="single" w:color="auto" w:sz="4" w:space="0"/>
              <w:right w:val="single" w:color="auto" w:sz="4" w:space="0"/>
            </w:tcBorders>
            <w:noWrap w:val="0"/>
            <w:vAlign w:val="center"/>
          </w:tcPr>
          <w:p w14:paraId="2F6AE4BE">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日期</w:t>
            </w:r>
          </w:p>
        </w:tc>
        <w:tc>
          <w:tcPr>
            <w:tcW w:w="683" w:type="pct"/>
            <w:tcBorders>
              <w:left w:val="single" w:color="auto" w:sz="4" w:space="0"/>
            </w:tcBorders>
            <w:noWrap w:val="0"/>
            <w:vAlign w:val="center"/>
          </w:tcPr>
          <w:p w14:paraId="39BCE7C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管理到位制度健全，人员知晓</w:t>
            </w:r>
          </w:p>
          <w:p w14:paraId="538CC3F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（5分）</w:t>
            </w:r>
          </w:p>
        </w:tc>
        <w:tc>
          <w:tcPr>
            <w:tcW w:w="1170" w:type="pct"/>
            <w:noWrap w:val="0"/>
            <w:vAlign w:val="center"/>
          </w:tcPr>
          <w:p w14:paraId="23A374B6">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持证上岗</w:t>
            </w:r>
            <w:r>
              <w:rPr>
                <w:rFonts w:hint="eastAsia" w:ascii="宋体" w:hAnsi="宋体" w:cs="宋体"/>
                <w:b w:val="0"/>
                <w:bCs/>
                <w:color w:val="auto"/>
                <w:sz w:val="18"/>
                <w:szCs w:val="18"/>
                <w:highlight w:val="none"/>
                <w:lang w:eastAsia="zh-CN"/>
              </w:rPr>
              <w:t>，</w:t>
            </w:r>
            <w:r>
              <w:rPr>
                <w:rFonts w:hint="eastAsia" w:ascii="宋体" w:hAnsi="宋体" w:cs="宋体"/>
                <w:b w:val="0"/>
                <w:bCs/>
                <w:color w:val="auto"/>
                <w:sz w:val="18"/>
                <w:szCs w:val="18"/>
                <w:highlight w:val="none"/>
              </w:rPr>
              <w:t>操作得当，</w:t>
            </w:r>
          </w:p>
          <w:p w14:paraId="1F1261F0">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设施维护保养到位</w:t>
            </w:r>
          </w:p>
          <w:p w14:paraId="7559AD81">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（5分）</w:t>
            </w:r>
          </w:p>
        </w:tc>
        <w:tc>
          <w:tcPr>
            <w:tcW w:w="845" w:type="pct"/>
            <w:noWrap w:val="0"/>
            <w:vAlign w:val="center"/>
          </w:tcPr>
          <w:p w14:paraId="67F6B269">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日常巡视检查到位服务响应及时</w:t>
            </w:r>
          </w:p>
          <w:p w14:paraId="72C75DB9">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（5分）</w:t>
            </w:r>
          </w:p>
        </w:tc>
        <w:tc>
          <w:tcPr>
            <w:tcW w:w="593" w:type="pct"/>
            <w:noWrap w:val="0"/>
            <w:vAlign w:val="center"/>
          </w:tcPr>
          <w:p w14:paraId="07CE389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文明服务</w:t>
            </w:r>
          </w:p>
          <w:p w14:paraId="671A1138">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机房整洁</w:t>
            </w:r>
          </w:p>
          <w:p w14:paraId="0943CA01">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（5分）</w:t>
            </w:r>
          </w:p>
        </w:tc>
        <w:tc>
          <w:tcPr>
            <w:tcW w:w="475" w:type="pct"/>
            <w:noWrap w:val="0"/>
            <w:vAlign w:val="top"/>
          </w:tcPr>
          <w:p w14:paraId="5B5EEC5A">
            <w:pPr>
              <w:spacing w:line="360" w:lineRule="auto"/>
              <w:rPr>
                <w:rFonts w:hint="eastAsia" w:ascii="宋体" w:hAnsi="宋体" w:cs="宋体"/>
                <w:b w:val="0"/>
                <w:bCs/>
                <w:color w:val="auto"/>
                <w:sz w:val="18"/>
                <w:szCs w:val="18"/>
                <w:highlight w:val="none"/>
              </w:rPr>
            </w:pPr>
          </w:p>
          <w:p w14:paraId="531E91DF">
            <w:pPr>
              <w:spacing w:line="360" w:lineRule="auto"/>
              <w:rPr>
                <w:rFonts w:hint="eastAsia" w:ascii="宋体" w:hAnsi="宋体" w:cs="宋体"/>
                <w:b w:val="0"/>
                <w:bCs/>
                <w:color w:val="auto"/>
                <w:sz w:val="18"/>
                <w:szCs w:val="18"/>
                <w:highlight w:val="none"/>
              </w:rPr>
            </w:pPr>
          </w:p>
          <w:p w14:paraId="49A083A5">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得分合计</w:t>
            </w:r>
          </w:p>
          <w:p w14:paraId="40625A15">
            <w:pPr>
              <w:spacing w:line="360" w:lineRule="auto"/>
              <w:rPr>
                <w:rFonts w:hint="eastAsia" w:ascii="宋体" w:hAnsi="宋体" w:cs="宋体"/>
                <w:b w:val="0"/>
                <w:bCs/>
                <w:color w:val="auto"/>
                <w:sz w:val="18"/>
                <w:szCs w:val="18"/>
                <w:highlight w:val="none"/>
              </w:rPr>
            </w:pPr>
          </w:p>
        </w:tc>
        <w:tc>
          <w:tcPr>
            <w:tcW w:w="652" w:type="pct"/>
            <w:noWrap w:val="0"/>
            <w:vAlign w:val="center"/>
          </w:tcPr>
          <w:p w14:paraId="0B458179">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调查人</w:t>
            </w:r>
          </w:p>
          <w:p w14:paraId="5B87853F">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w:t>
            </w:r>
            <w:r>
              <w:rPr>
                <w:rFonts w:hint="eastAsia" w:ascii="宋体" w:hAnsi="宋体" w:cs="宋体"/>
                <w:b w:val="0"/>
                <w:bCs/>
                <w:color w:val="auto"/>
                <w:sz w:val="18"/>
                <w:szCs w:val="18"/>
                <w:highlight w:val="none"/>
                <w:lang w:eastAsia="zh-CN"/>
              </w:rPr>
              <w:t>发包人</w:t>
            </w:r>
            <w:r>
              <w:rPr>
                <w:rFonts w:hint="eastAsia" w:ascii="宋体" w:hAnsi="宋体" w:cs="宋体"/>
                <w:b w:val="0"/>
                <w:bCs/>
                <w:color w:val="auto"/>
                <w:sz w:val="18"/>
                <w:szCs w:val="18"/>
                <w:highlight w:val="none"/>
              </w:rPr>
              <w:t>）</w:t>
            </w:r>
          </w:p>
        </w:tc>
      </w:tr>
      <w:tr w14:paraId="0812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69" w:type="pct"/>
            <w:tcBorders>
              <w:top w:val="single" w:color="auto" w:sz="4" w:space="0"/>
            </w:tcBorders>
            <w:noWrap w:val="0"/>
            <w:vAlign w:val="center"/>
          </w:tcPr>
          <w:p w14:paraId="2DAA01AB">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1</w:t>
            </w:r>
          </w:p>
        </w:tc>
        <w:tc>
          <w:tcPr>
            <w:tcW w:w="309" w:type="pct"/>
            <w:tcBorders>
              <w:top w:val="single" w:color="auto" w:sz="4" w:space="0"/>
            </w:tcBorders>
            <w:noWrap w:val="0"/>
            <w:vAlign w:val="top"/>
          </w:tcPr>
          <w:p w14:paraId="7EE81CE5">
            <w:pPr>
              <w:spacing w:line="360" w:lineRule="auto"/>
              <w:rPr>
                <w:rFonts w:hint="eastAsia" w:ascii="宋体" w:hAnsi="宋体" w:cs="宋体"/>
                <w:b w:val="0"/>
                <w:bCs/>
                <w:color w:val="auto"/>
                <w:sz w:val="18"/>
                <w:szCs w:val="18"/>
                <w:highlight w:val="none"/>
              </w:rPr>
            </w:pPr>
          </w:p>
        </w:tc>
        <w:tc>
          <w:tcPr>
            <w:tcW w:w="683" w:type="pct"/>
            <w:noWrap w:val="0"/>
            <w:vAlign w:val="top"/>
          </w:tcPr>
          <w:p w14:paraId="1EF66165">
            <w:pPr>
              <w:spacing w:line="360" w:lineRule="auto"/>
              <w:rPr>
                <w:rFonts w:hint="eastAsia" w:ascii="宋体" w:hAnsi="宋体" w:cs="宋体"/>
                <w:b w:val="0"/>
                <w:bCs/>
                <w:color w:val="auto"/>
                <w:sz w:val="18"/>
                <w:szCs w:val="18"/>
                <w:highlight w:val="none"/>
              </w:rPr>
            </w:pPr>
          </w:p>
        </w:tc>
        <w:tc>
          <w:tcPr>
            <w:tcW w:w="1170" w:type="pct"/>
            <w:noWrap w:val="0"/>
            <w:vAlign w:val="top"/>
          </w:tcPr>
          <w:p w14:paraId="589CEAAF">
            <w:pPr>
              <w:spacing w:line="360" w:lineRule="auto"/>
              <w:rPr>
                <w:rFonts w:hint="eastAsia" w:ascii="宋体" w:hAnsi="宋体" w:cs="宋体"/>
                <w:b w:val="0"/>
                <w:bCs/>
                <w:color w:val="auto"/>
                <w:sz w:val="18"/>
                <w:szCs w:val="18"/>
                <w:highlight w:val="none"/>
              </w:rPr>
            </w:pPr>
          </w:p>
        </w:tc>
        <w:tc>
          <w:tcPr>
            <w:tcW w:w="845" w:type="pct"/>
            <w:noWrap w:val="0"/>
            <w:vAlign w:val="top"/>
          </w:tcPr>
          <w:p w14:paraId="154E7BF9">
            <w:pPr>
              <w:spacing w:line="360" w:lineRule="auto"/>
              <w:rPr>
                <w:rFonts w:hint="eastAsia" w:ascii="宋体" w:hAnsi="宋体" w:cs="宋体"/>
                <w:b w:val="0"/>
                <w:bCs/>
                <w:color w:val="auto"/>
                <w:sz w:val="18"/>
                <w:szCs w:val="18"/>
                <w:highlight w:val="none"/>
              </w:rPr>
            </w:pPr>
          </w:p>
        </w:tc>
        <w:tc>
          <w:tcPr>
            <w:tcW w:w="593" w:type="pct"/>
            <w:noWrap w:val="0"/>
            <w:vAlign w:val="top"/>
          </w:tcPr>
          <w:p w14:paraId="3E8B47B0">
            <w:pPr>
              <w:spacing w:line="360" w:lineRule="auto"/>
              <w:rPr>
                <w:rFonts w:hint="eastAsia" w:ascii="宋体" w:hAnsi="宋体" w:cs="宋体"/>
                <w:b w:val="0"/>
                <w:bCs/>
                <w:color w:val="auto"/>
                <w:sz w:val="18"/>
                <w:szCs w:val="18"/>
                <w:highlight w:val="none"/>
              </w:rPr>
            </w:pPr>
          </w:p>
        </w:tc>
        <w:tc>
          <w:tcPr>
            <w:tcW w:w="475" w:type="pct"/>
            <w:noWrap w:val="0"/>
            <w:vAlign w:val="top"/>
          </w:tcPr>
          <w:p w14:paraId="6974876C">
            <w:pPr>
              <w:spacing w:line="360" w:lineRule="auto"/>
              <w:rPr>
                <w:rFonts w:hint="eastAsia" w:ascii="宋体" w:hAnsi="宋体" w:cs="宋体"/>
                <w:b w:val="0"/>
                <w:bCs/>
                <w:color w:val="auto"/>
                <w:sz w:val="18"/>
                <w:szCs w:val="18"/>
                <w:highlight w:val="none"/>
              </w:rPr>
            </w:pPr>
          </w:p>
        </w:tc>
        <w:tc>
          <w:tcPr>
            <w:tcW w:w="652" w:type="pct"/>
            <w:noWrap w:val="0"/>
            <w:vAlign w:val="top"/>
          </w:tcPr>
          <w:p w14:paraId="52548351">
            <w:pPr>
              <w:spacing w:line="360" w:lineRule="auto"/>
              <w:rPr>
                <w:rFonts w:hint="eastAsia" w:ascii="宋体" w:hAnsi="宋体" w:cs="宋体"/>
                <w:b w:val="0"/>
                <w:bCs/>
                <w:color w:val="auto"/>
                <w:sz w:val="18"/>
                <w:szCs w:val="18"/>
                <w:highlight w:val="none"/>
              </w:rPr>
            </w:pPr>
          </w:p>
        </w:tc>
      </w:tr>
      <w:tr w14:paraId="1A86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69" w:type="pct"/>
            <w:noWrap w:val="0"/>
            <w:vAlign w:val="center"/>
          </w:tcPr>
          <w:p w14:paraId="20337816">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2</w:t>
            </w:r>
          </w:p>
        </w:tc>
        <w:tc>
          <w:tcPr>
            <w:tcW w:w="309" w:type="pct"/>
            <w:noWrap w:val="0"/>
            <w:vAlign w:val="top"/>
          </w:tcPr>
          <w:p w14:paraId="312E382F">
            <w:pPr>
              <w:spacing w:line="360" w:lineRule="auto"/>
              <w:rPr>
                <w:rFonts w:hint="eastAsia" w:ascii="宋体" w:hAnsi="宋体" w:cs="宋体"/>
                <w:b w:val="0"/>
                <w:bCs/>
                <w:color w:val="auto"/>
                <w:sz w:val="18"/>
                <w:szCs w:val="18"/>
                <w:highlight w:val="none"/>
              </w:rPr>
            </w:pPr>
          </w:p>
        </w:tc>
        <w:tc>
          <w:tcPr>
            <w:tcW w:w="683" w:type="pct"/>
            <w:noWrap w:val="0"/>
            <w:vAlign w:val="top"/>
          </w:tcPr>
          <w:p w14:paraId="43D2F15D">
            <w:pPr>
              <w:spacing w:line="360" w:lineRule="auto"/>
              <w:rPr>
                <w:rFonts w:hint="eastAsia" w:ascii="宋体" w:hAnsi="宋体" w:cs="宋体"/>
                <w:b w:val="0"/>
                <w:bCs/>
                <w:color w:val="auto"/>
                <w:sz w:val="18"/>
                <w:szCs w:val="18"/>
                <w:highlight w:val="none"/>
              </w:rPr>
            </w:pPr>
          </w:p>
        </w:tc>
        <w:tc>
          <w:tcPr>
            <w:tcW w:w="1170" w:type="pct"/>
            <w:noWrap w:val="0"/>
            <w:vAlign w:val="top"/>
          </w:tcPr>
          <w:p w14:paraId="7752CEC0">
            <w:pPr>
              <w:spacing w:line="360" w:lineRule="auto"/>
              <w:rPr>
                <w:rFonts w:hint="eastAsia" w:ascii="宋体" w:hAnsi="宋体" w:cs="宋体"/>
                <w:b w:val="0"/>
                <w:bCs/>
                <w:color w:val="auto"/>
                <w:sz w:val="18"/>
                <w:szCs w:val="18"/>
                <w:highlight w:val="none"/>
              </w:rPr>
            </w:pPr>
          </w:p>
        </w:tc>
        <w:tc>
          <w:tcPr>
            <w:tcW w:w="845" w:type="pct"/>
            <w:noWrap w:val="0"/>
            <w:vAlign w:val="top"/>
          </w:tcPr>
          <w:p w14:paraId="228BBBAB">
            <w:pPr>
              <w:spacing w:line="360" w:lineRule="auto"/>
              <w:rPr>
                <w:rFonts w:hint="eastAsia" w:ascii="宋体" w:hAnsi="宋体" w:cs="宋体"/>
                <w:b w:val="0"/>
                <w:bCs/>
                <w:color w:val="auto"/>
                <w:sz w:val="18"/>
                <w:szCs w:val="18"/>
                <w:highlight w:val="none"/>
              </w:rPr>
            </w:pPr>
          </w:p>
        </w:tc>
        <w:tc>
          <w:tcPr>
            <w:tcW w:w="593" w:type="pct"/>
            <w:noWrap w:val="0"/>
            <w:vAlign w:val="top"/>
          </w:tcPr>
          <w:p w14:paraId="3779FDAD">
            <w:pPr>
              <w:spacing w:line="360" w:lineRule="auto"/>
              <w:rPr>
                <w:rFonts w:hint="eastAsia" w:ascii="宋体" w:hAnsi="宋体" w:cs="宋体"/>
                <w:b w:val="0"/>
                <w:bCs/>
                <w:color w:val="auto"/>
                <w:sz w:val="18"/>
                <w:szCs w:val="18"/>
                <w:highlight w:val="none"/>
              </w:rPr>
            </w:pPr>
          </w:p>
        </w:tc>
        <w:tc>
          <w:tcPr>
            <w:tcW w:w="475" w:type="pct"/>
            <w:noWrap w:val="0"/>
            <w:vAlign w:val="top"/>
          </w:tcPr>
          <w:p w14:paraId="6C2554D4">
            <w:pPr>
              <w:spacing w:line="360" w:lineRule="auto"/>
              <w:rPr>
                <w:rFonts w:hint="eastAsia" w:ascii="宋体" w:hAnsi="宋体" w:cs="宋体"/>
                <w:b w:val="0"/>
                <w:bCs/>
                <w:color w:val="auto"/>
                <w:sz w:val="18"/>
                <w:szCs w:val="18"/>
                <w:highlight w:val="none"/>
              </w:rPr>
            </w:pPr>
          </w:p>
        </w:tc>
        <w:tc>
          <w:tcPr>
            <w:tcW w:w="652" w:type="pct"/>
            <w:noWrap w:val="0"/>
            <w:vAlign w:val="top"/>
          </w:tcPr>
          <w:p w14:paraId="21B16BBD">
            <w:pPr>
              <w:spacing w:line="360" w:lineRule="auto"/>
              <w:rPr>
                <w:rFonts w:hint="eastAsia" w:ascii="宋体" w:hAnsi="宋体" w:cs="宋体"/>
                <w:b w:val="0"/>
                <w:bCs/>
                <w:color w:val="auto"/>
                <w:sz w:val="18"/>
                <w:szCs w:val="18"/>
                <w:highlight w:val="none"/>
              </w:rPr>
            </w:pPr>
          </w:p>
        </w:tc>
      </w:tr>
      <w:tr w14:paraId="1A0E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69" w:type="pct"/>
            <w:noWrap w:val="0"/>
            <w:vAlign w:val="center"/>
          </w:tcPr>
          <w:p w14:paraId="22B85F3D">
            <w:pPr>
              <w:spacing w:line="360" w:lineRule="auto"/>
              <w:rPr>
                <w:rFonts w:hint="eastAsia" w:ascii="宋体" w:hAnsi="宋体" w:cs="宋体"/>
                <w:b w:val="0"/>
                <w:bCs/>
                <w:color w:val="auto"/>
                <w:sz w:val="18"/>
                <w:szCs w:val="18"/>
                <w:highlight w:val="none"/>
                <w:lang w:val="en-US" w:eastAsia="zh-CN"/>
              </w:rPr>
            </w:pPr>
            <w:r>
              <w:rPr>
                <w:rFonts w:hint="eastAsia" w:ascii="宋体" w:hAnsi="宋体" w:cs="宋体"/>
                <w:b w:val="0"/>
                <w:bCs/>
                <w:color w:val="auto"/>
                <w:sz w:val="18"/>
                <w:szCs w:val="18"/>
                <w:highlight w:val="none"/>
                <w:lang w:val="en-US" w:eastAsia="zh-CN"/>
              </w:rPr>
              <w:t>3</w:t>
            </w:r>
          </w:p>
        </w:tc>
        <w:tc>
          <w:tcPr>
            <w:tcW w:w="309" w:type="pct"/>
            <w:noWrap w:val="0"/>
            <w:vAlign w:val="top"/>
          </w:tcPr>
          <w:p w14:paraId="706EA243">
            <w:pPr>
              <w:spacing w:line="360" w:lineRule="auto"/>
              <w:rPr>
                <w:rFonts w:hint="eastAsia" w:ascii="宋体" w:hAnsi="宋体" w:cs="宋体"/>
                <w:b w:val="0"/>
                <w:bCs/>
                <w:color w:val="auto"/>
                <w:sz w:val="18"/>
                <w:szCs w:val="18"/>
                <w:highlight w:val="none"/>
              </w:rPr>
            </w:pPr>
          </w:p>
        </w:tc>
        <w:tc>
          <w:tcPr>
            <w:tcW w:w="683" w:type="pct"/>
            <w:noWrap w:val="0"/>
            <w:vAlign w:val="top"/>
          </w:tcPr>
          <w:p w14:paraId="1855C722">
            <w:pPr>
              <w:spacing w:line="360" w:lineRule="auto"/>
              <w:rPr>
                <w:rFonts w:hint="eastAsia" w:ascii="宋体" w:hAnsi="宋体" w:cs="宋体"/>
                <w:b w:val="0"/>
                <w:bCs/>
                <w:color w:val="auto"/>
                <w:sz w:val="18"/>
                <w:szCs w:val="18"/>
                <w:highlight w:val="none"/>
              </w:rPr>
            </w:pPr>
          </w:p>
        </w:tc>
        <w:tc>
          <w:tcPr>
            <w:tcW w:w="1170" w:type="pct"/>
            <w:noWrap w:val="0"/>
            <w:vAlign w:val="top"/>
          </w:tcPr>
          <w:p w14:paraId="31B63666">
            <w:pPr>
              <w:spacing w:line="360" w:lineRule="auto"/>
              <w:rPr>
                <w:rFonts w:hint="eastAsia" w:ascii="宋体" w:hAnsi="宋体" w:cs="宋体"/>
                <w:b w:val="0"/>
                <w:bCs/>
                <w:color w:val="auto"/>
                <w:sz w:val="18"/>
                <w:szCs w:val="18"/>
                <w:highlight w:val="none"/>
              </w:rPr>
            </w:pPr>
          </w:p>
        </w:tc>
        <w:tc>
          <w:tcPr>
            <w:tcW w:w="845" w:type="pct"/>
            <w:noWrap w:val="0"/>
            <w:vAlign w:val="top"/>
          </w:tcPr>
          <w:p w14:paraId="53BDB88F">
            <w:pPr>
              <w:spacing w:line="360" w:lineRule="auto"/>
              <w:rPr>
                <w:rFonts w:hint="eastAsia" w:ascii="宋体" w:hAnsi="宋体" w:cs="宋体"/>
                <w:b w:val="0"/>
                <w:bCs/>
                <w:color w:val="auto"/>
                <w:sz w:val="18"/>
                <w:szCs w:val="18"/>
                <w:highlight w:val="none"/>
              </w:rPr>
            </w:pPr>
          </w:p>
        </w:tc>
        <w:tc>
          <w:tcPr>
            <w:tcW w:w="593" w:type="pct"/>
            <w:noWrap w:val="0"/>
            <w:vAlign w:val="top"/>
          </w:tcPr>
          <w:p w14:paraId="7B83B5BC">
            <w:pPr>
              <w:spacing w:line="360" w:lineRule="auto"/>
              <w:rPr>
                <w:rFonts w:hint="eastAsia" w:ascii="宋体" w:hAnsi="宋体" w:cs="宋体"/>
                <w:b w:val="0"/>
                <w:bCs/>
                <w:color w:val="auto"/>
                <w:sz w:val="18"/>
                <w:szCs w:val="18"/>
                <w:highlight w:val="none"/>
              </w:rPr>
            </w:pPr>
          </w:p>
        </w:tc>
        <w:tc>
          <w:tcPr>
            <w:tcW w:w="475" w:type="pct"/>
            <w:noWrap w:val="0"/>
            <w:vAlign w:val="top"/>
          </w:tcPr>
          <w:p w14:paraId="10D65F17">
            <w:pPr>
              <w:spacing w:line="360" w:lineRule="auto"/>
              <w:rPr>
                <w:rFonts w:hint="eastAsia" w:ascii="宋体" w:hAnsi="宋体" w:cs="宋体"/>
                <w:b w:val="0"/>
                <w:bCs/>
                <w:color w:val="auto"/>
                <w:sz w:val="18"/>
                <w:szCs w:val="18"/>
                <w:highlight w:val="none"/>
              </w:rPr>
            </w:pPr>
          </w:p>
        </w:tc>
        <w:tc>
          <w:tcPr>
            <w:tcW w:w="652" w:type="pct"/>
            <w:noWrap w:val="0"/>
            <w:vAlign w:val="top"/>
          </w:tcPr>
          <w:p w14:paraId="5DB1CEA7">
            <w:pPr>
              <w:spacing w:line="360" w:lineRule="auto"/>
              <w:rPr>
                <w:rFonts w:hint="eastAsia" w:ascii="宋体" w:hAnsi="宋体" w:cs="宋体"/>
                <w:b w:val="0"/>
                <w:bCs/>
                <w:color w:val="auto"/>
                <w:sz w:val="18"/>
                <w:szCs w:val="18"/>
                <w:highlight w:val="none"/>
              </w:rPr>
            </w:pPr>
          </w:p>
        </w:tc>
      </w:tr>
      <w:tr w14:paraId="6723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14:paraId="7FCC8903">
            <w:pPr>
              <w:spacing w:line="360" w:lineRule="auto"/>
              <w:rPr>
                <w:rFonts w:hint="eastAsia" w:ascii="宋体" w:hAnsi="宋体" w:cs="宋体"/>
                <w:b w:val="0"/>
                <w:bCs/>
                <w:color w:val="auto"/>
                <w:sz w:val="18"/>
                <w:szCs w:val="18"/>
                <w:highlight w:val="none"/>
              </w:rPr>
            </w:pPr>
            <w:r>
              <w:rPr>
                <w:rFonts w:hint="eastAsia" w:ascii="宋体" w:hAnsi="宋体" w:cs="宋体"/>
                <w:b w:val="0"/>
                <w:bCs/>
                <w:color w:val="auto"/>
                <w:sz w:val="18"/>
                <w:szCs w:val="18"/>
                <w:highlight w:val="none"/>
              </w:rPr>
              <w:t>当月管理情况得分（2次得分合计的均值）：              分</w:t>
            </w:r>
          </w:p>
        </w:tc>
      </w:tr>
    </w:tbl>
    <w:p w14:paraId="58B68F3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cs="宋体"/>
          <w:b w:val="0"/>
          <w:bCs/>
          <w:color w:val="auto"/>
          <w:sz w:val="24"/>
          <w:szCs w:val="24"/>
          <w:highlight w:val="none"/>
          <w:lang w:eastAsia="zh-CN"/>
        </w:rPr>
        <w:t>医</w:t>
      </w:r>
      <w:r>
        <w:rPr>
          <w:rFonts w:hint="eastAsia" w:ascii="宋体" w:hAnsi="宋体" w:eastAsia="宋体" w:cs="宋体"/>
          <w:b w:val="0"/>
          <w:bCs/>
          <w:color w:val="auto"/>
          <w:sz w:val="24"/>
          <w:szCs w:val="24"/>
          <w:highlight w:val="none"/>
          <w:lang w:eastAsia="zh-CN"/>
        </w:rPr>
        <w:t>院考核小组:         　　　　　　　　　　　　　　　     运维公司:</w:t>
      </w:r>
    </w:p>
    <w:p w14:paraId="2B36CBC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考核说明：</w:t>
      </w:r>
    </w:p>
    <w:p w14:paraId="295B2FD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（1）、承包方月考评得分低于</w:t>
      </w:r>
      <w:r>
        <w:rPr>
          <w:rFonts w:hint="eastAsia" w:ascii="宋体" w:hAnsi="宋体" w:eastAsia="宋体" w:cs="宋体"/>
          <w:b w:val="0"/>
          <w:bCs/>
          <w:color w:val="auto"/>
          <w:sz w:val="24"/>
          <w:szCs w:val="24"/>
          <w:highlight w:val="none"/>
          <w:lang w:val="en-US" w:eastAsia="zh-CN"/>
        </w:rPr>
        <w:t>70</w:t>
      </w:r>
      <w:r>
        <w:rPr>
          <w:rFonts w:hint="eastAsia" w:ascii="宋体" w:hAnsi="宋体" w:eastAsia="宋体" w:cs="宋体"/>
          <w:b w:val="0"/>
          <w:bCs/>
          <w:color w:val="auto"/>
          <w:sz w:val="24"/>
          <w:szCs w:val="24"/>
          <w:highlight w:val="none"/>
        </w:rPr>
        <w:t>分（含</w:t>
      </w:r>
      <w:r>
        <w:rPr>
          <w:rFonts w:hint="eastAsia" w:ascii="宋体" w:hAnsi="宋体" w:eastAsia="宋体" w:cs="宋体"/>
          <w:b w:val="0"/>
          <w:bCs/>
          <w:color w:val="auto"/>
          <w:sz w:val="24"/>
          <w:szCs w:val="24"/>
          <w:highlight w:val="none"/>
          <w:lang w:val="en-US" w:eastAsia="zh-CN"/>
        </w:rPr>
        <w:t>70</w:t>
      </w:r>
      <w:r>
        <w:rPr>
          <w:rFonts w:hint="eastAsia" w:ascii="宋体" w:hAnsi="宋体" w:eastAsia="宋体" w:cs="宋体"/>
          <w:b w:val="0"/>
          <w:bCs/>
          <w:color w:val="auto"/>
          <w:sz w:val="24"/>
          <w:szCs w:val="24"/>
          <w:highlight w:val="none"/>
        </w:rPr>
        <w:t>分）时，医院方有权提前解除合同，由此产生的损失，由承包方负责。</w:t>
      </w:r>
    </w:p>
    <w:p w14:paraId="417137E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b w:val="0"/>
          <w:bCs/>
          <w:color w:val="auto"/>
          <w:sz w:val="24"/>
          <w:szCs w:val="24"/>
          <w:highlight w:val="none"/>
        </w:rPr>
      </w:pPr>
      <w:r>
        <w:rPr>
          <w:rFonts w:hint="eastAsia" w:ascii="宋体" w:hAnsi="宋体" w:eastAsia="宋体" w:cs="宋体"/>
          <w:b w:val="0"/>
          <w:bCs/>
          <w:color w:val="auto"/>
          <w:sz w:val="24"/>
          <w:szCs w:val="24"/>
          <w:highlight w:val="none"/>
        </w:rPr>
        <w:t>（2）、承包方单次月考评分低于</w:t>
      </w:r>
      <w:r>
        <w:rPr>
          <w:rFonts w:hint="eastAsia" w:ascii="宋体" w:hAnsi="宋体" w:eastAsia="宋体" w:cs="宋体"/>
          <w:b w:val="0"/>
          <w:bCs/>
          <w:color w:val="auto"/>
          <w:sz w:val="24"/>
          <w:szCs w:val="24"/>
          <w:highlight w:val="none"/>
          <w:lang w:val="en-US" w:eastAsia="zh-CN"/>
        </w:rPr>
        <w:t>80</w:t>
      </w:r>
      <w:r>
        <w:rPr>
          <w:rFonts w:hint="eastAsia" w:ascii="宋体" w:hAnsi="宋体" w:cs="宋体"/>
          <w:b w:val="0"/>
          <w:bCs/>
          <w:color w:val="auto"/>
          <w:sz w:val="24"/>
          <w:szCs w:val="24"/>
          <w:highlight w:val="none"/>
        </w:rPr>
        <w:t>分（含</w:t>
      </w:r>
      <w:r>
        <w:rPr>
          <w:rFonts w:hint="eastAsia" w:ascii="宋体" w:hAnsi="宋体" w:cs="宋体"/>
          <w:b w:val="0"/>
          <w:bCs/>
          <w:color w:val="auto"/>
          <w:sz w:val="24"/>
          <w:szCs w:val="24"/>
          <w:highlight w:val="none"/>
          <w:lang w:val="en-US" w:eastAsia="zh-CN"/>
        </w:rPr>
        <w:t>80</w:t>
      </w:r>
      <w:r>
        <w:rPr>
          <w:rFonts w:hint="eastAsia" w:ascii="宋体" w:hAnsi="宋体" w:cs="宋体"/>
          <w:b w:val="0"/>
          <w:bCs/>
          <w:color w:val="auto"/>
          <w:sz w:val="24"/>
          <w:szCs w:val="24"/>
          <w:highlight w:val="none"/>
        </w:rPr>
        <w:t>分），医院方可采取书面警告、罚款（1000元-5000元）等方式处罚。</w:t>
      </w:r>
    </w:p>
    <w:p w14:paraId="32947A9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（3）、承包方连续两次月考评分低于</w:t>
      </w:r>
      <w:r>
        <w:rPr>
          <w:rFonts w:hint="eastAsia" w:ascii="宋体" w:hAnsi="宋体" w:cs="宋体"/>
          <w:b w:val="0"/>
          <w:bCs/>
          <w:color w:val="auto"/>
          <w:sz w:val="24"/>
          <w:szCs w:val="24"/>
          <w:highlight w:val="none"/>
          <w:lang w:val="en-US" w:eastAsia="zh-CN"/>
        </w:rPr>
        <w:t>80</w:t>
      </w:r>
      <w:r>
        <w:rPr>
          <w:rFonts w:hint="eastAsia" w:ascii="宋体" w:hAnsi="宋体" w:cs="宋体"/>
          <w:b w:val="0"/>
          <w:bCs/>
          <w:color w:val="auto"/>
          <w:sz w:val="24"/>
          <w:szCs w:val="24"/>
          <w:highlight w:val="none"/>
        </w:rPr>
        <w:t>分时，医院方有权提前解除合同，由此产生的损失，由承包方负责。磨合期（初次承包后约2个月）可适当降低考核标准。</w:t>
      </w:r>
    </w:p>
    <w:p w14:paraId="16BA86D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年度考评，满分为100分，每年根据各月度的考评情况，得出全年考评结果，具体考核办法如下：</w:t>
      </w:r>
    </w:p>
    <w:p w14:paraId="53630125">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年度考评打分表</w:t>
      </w:r>
    </w:p>
    <w:tbl>
      <w:tblPr>
        <w:tblStyle w:val="6"/>
        <w:tblW w:w="9301" w:type="dxa"/>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33"/>
        <w:gridCol w:w="2627"/>
        <w:gridCol w:w="1861"/>
        <w:gridCol w:w="2085"/>
      </w:tblGrid>
      <w:tr w14:paraId="7A9F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487D04B0">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序号</w:t>
            </w:r>
          </w:p>
        </w:tc>
        <w:tc>
          <w:tcPr>
            <w:tcW w:w="1933" w:type="dxa"/>
            <w:noWrap/>
            <w:vAlign w:val="center"/>
          </w:tcPr>
          <w:p w14:paraId="423568FA">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20 年 月</w:t>
            </w:r>
          </w:p>
        </w:tc>
        <w:tc>
          <w:tcPr>
            <w:tcW w:w="2627" w:type="dxa"/>
            <w:noWrap/>
            <w:vAlign w:val="center"/>
          </w:tcPr>
          <w:p w14:paraId="5BC8D125">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服务质量</w:t>
            </w:r>
          </w:p>
        </w:tc>
        <w:tc>
          <w:tcPr>
            <w:tcW w:w="1861" w:type="dxa"/>
            <w:noWrap/>
            <w:vAlign w:val="center"/>
          </w:tcPr>
          <w:p w14:paraId="11CCD810">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管理情况</w:t>
            </w:r>
          </w:p>
        </w:tc>
        <w:tc>
          <w:tcPr>
            <w:tcW w:w="2085" w:type="dxa"/>
            <w:noWrap/>
            <w:vAlign w:val="center"/>
          </w:tcPr>
          <w:p w14:paraId="3AB1B9C8">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当月得分</w:t>
            </w:r>
          </w:p>
        </w:tc>
      </w:tr>
      <w:tr w14:paraId="02C2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73280E26">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1</w:t>
            </w:r>
          </w:p>
        </w:tc>
        <w:tc>
          <w:tcPr>
            <w:tcW w:w="1933" w:type="dxa"/>
            <w:noWrap/>
            <w:vAlign w:val="center"/>
          </w:tcPr>
          <w:p w14:paraId="7762C541">
            <w:pPr>
              <w:spacing w:line="360" w:lineRule="auto"/>
              <w:rPr>
                <w:rFonts w:hint="eastAsia" w:ascii="宋体" w:hAnsi="宋体" w:cs="宋体"/>
                <w:b w:val="0"/>
                <w:bCs/>
                <w:color w:val="auto"/>
                <w:sz w:val="24"/>
                <w:szCs w:val="24"/>
                <w:highlight w:val="none"/>
              </w:rPr>
            </w:pPr>
          </w:p>
        </w:tc>
        <w:tc>
          <w:tcPr>
            <w:tcW w:w="2627" w:type="dxa"/>
            <w:noWrap/>
            <w:vAlign w:val="center"/>
          </w:tcPr>
          <w:p w14:paraId="74815CEB">
            <w:pPr>
              <w:spacing w:line="360" w:lineRule="auto"/>
              <w:rPr>
                <w:rFonts w:hint="eastAsia" w:ascii="宋体" w:hAnsi="宋体" w:cs="宋体"/>
                <w:b w:val="0"/>
                <w:bCs/>
                <w:color w:val="auto"/>
                <w:sz w:val="24"/>
                <w:szCs w:val="24"/>
                <w:highlight w:val="none"/>
              </w:rPr>
            </w:pPr>
          </w:p>
        </w:tc>
        <w:tc>
          <w:tcPr>
            <w:tcW w:w="1861" w:type="dxa"/>
            <w:noWrap/>
            <w:vAlign w:val="center"/>
          </w:tcPr>
          <w:p w14:paraId="542938B1">
            <w:pPr>
              <w:spacing w:line="360" w:lineRule="auto"/>
              <w:rPr>
                <w:rFonts w:hint="eastAsia" w:ascii="宋体" w:hAnsi="宋体" w:cs="宋体"/>
                <w:b w:val="0"/>
                <w:bCs/>
                <w:color w:val="auto"/>
                <w:sz w:val="24"/>
                <w:szCs w:val="24"/>
                <w:highlight w:val="none"/>
              </w:rPr>
            </w:pPr>
          </w:p>
        </w:tc>
        <w:tc>
          <w:tcPr>
            <w:tcW w:w="2085" w:type="dxa"/>
            <w:noWrap/>
            <w:vAlign w:val="center"/>
          </w:tcPr>
          <w:p w14:paraId="6E3298CC">
            <w:pPr>
              <w:spacing w:line="360" w:lineRule="auto"/>
              <w:rPr>
                <w:rFonts w:hint="eastAsia" w:ascii="宋体" w:hAnsi="宋体" w:cs="宋体"/>
                <w:b w:val="0"/>
                <w:bCs/>
                <w:color w:val="auto"/>
                <w:sz w:val="24"/>
                <w:szCs w:val="24"/>
                <w:highlight w:val="none"/>
              </w:rPr>
            </w:pPr>
          </w:p>
        </w:tc>
      </w:tr>
      <w:tr w14:paraId="1323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0CCFF694">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2</w:t>
            </w:r>
          </w:p>
        </w:tc>
        <w:tc>
          <w:tcPr>
            <w:tcW w:w="1933" w:type="dxa"/>
            <w:noWrap/>
            <w:vAlign w:val="center"/>
          </w:tcPr>
          <w:p w14:paraId="209AE556">
            <w:pPr>
              <w:spacing w:line="360" w:lineRule="auto"/>
              <w:rPr>
                <w:rFonts w:hint="eastAsia" w:ascii="宋体" w:hAnsi="宋体" w:cs="宋体"/>
                <w:b w:val="0"/>
                <w:bCs/>
                <w:color w:val="auto"/>
                <w:sz w:val="24"/>
                <w:szCs w:val="24"/>
                <w:highlight w:val="none"/>
              </w:rPr>
            </w:pPr>
          </w:p>
        </w:tc>
        <w:tc>
          <w:tcPr>
            <w:tcW w:w="2627" w:type="dxa"/>
            <w:noWrap/>
            <w:vAlign w:val="center"/>
          </w:tcPr>
          <w:p w14:paraId="611EC4FC">
            <w:pPr>
              <w:spacing w:line="360" w:lineRule="auto"/>
              <w:rPr>
                <w:rFonts w:hint="eastAsia" w:ascii="宋体" w:hAnsi="宋体" w:cs="宋体"/>
                <w:b w:val="0"/>
                <w:bCs/>
                <w:color w:val="auto"/>
                <w:sz w:val="24"/>
                <w:szCs w:val="24"/>
                <w:highlight w:val="none"/>
              </w:rPr>
            </w:pPr>
          </w:p>
        </w:tc>
        <w:tc>
          <w:tcPr>
            <w:tcW w:w="1861" w:type="dxa"/>
            <w:noWrap/>
            <w:vAlign w:val="center"/>
          </w:tcPr>
          <w:p w14:paraId="3EB5AB0C">
            <w:pPr>
              <w:spacing w:line="360" w:lineRule="auto"/>
              <w:rPr>
                <w:rFonts w:hint="eastAsia" w:ascii="宋体" w:hAnsi="宋体" w:cs="宋体"/>
                <w:b w:val="0"/>
                <w:bCs/>
                <w:color w:val="auto"/>
                <w:sz w:val="24"/>
                <w:szCs w:val="24"/>
                <w:highlight w:val="none"/>
              </w:rPr>
            </w:pPr>
          </w:p>
        </w:tc>
        <w:tc>
          <w:tcPr>
            <w:tcW w:w="2085" w:type="dxa"/>
            <w:noWrap/>
            <w:vAlign w:val="center"/>
          </w:tcPr>
          <w:p w14:paraId="4CBBE4F7">
            <w:pPr>
              <w:spacing w:line="360" w:lineRule="auto"/>
              <w:rPr>
                <w:rFonts w:hint="eastAsia" w:ascii="宋体" w:hAnsi="宋体" w:cs="宋体"/>
                <w:b w:val="0"/>
                <w:bCs/>
                <w:color w:val="auto"/>
                <w:sz w:val="24"/>
                <w:szCs w:val="24"/>
                <w:highlight w:val="none"/>
              </w:rPr>
            </w:pPr>
          </w:p>
        </w:tc>
      </w:tr>
      <w:tr w14:paraId="49AC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61E5D0CC">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3</w:t>
            </w:r>
          </w:p>
        </w:tc>
        <w:tc>
          <w:tcPr>
            <w:tcW w:w="1933" w:type="dxa"/>
            <w:noWrap/>
            <w:vAlign w:val="center"/>
          </w:tcPr>
          <w:p w14:paraId="0CC85E84">
            <w:pPr>
              <w:spacing w:line="360" w:lineRule="auto"/>
              <w:rPr>
                <w:rFonts w:hint="eastAsia" w:ascii="宋体" w:hAnsi="宋体" w:cs="宋体"/>
                <w:b w:val="0"/>
                <w:bCs/>
                <w:color w:val="auto"/>
                <w:sz w:val="24"/>
                <w:szCs w:val="24"/>
                <w:highlight w:val="none"/>
              </w:rPr>
            </w:pPr>
          </w:p>
        </w:tc>
        <w:tc>
          <w:tcPr>
            <w:tcW w:w="2627" w:type="dxa"/>
            <w:noWrap/>
            <w:vAlign w:val="center"/>
          </w:tcPr>
          <w:p w14:paraId="633BF203">
            <w:pPr>
              <w:spacing w:line="360" w:lineRule="auto"/>
              <w:rPr>
                <w:rFonts w:hint="eastAsia" w:ascii="宋体" w:hAnsi="宋体" w:cs="宋体"/>
                <w:b w:val="0"/>
                <w:bCs/>
                <w:color w:val="auto"/>
                <w:sz w:val="24"/>
                <w:szCs w:val="24"/>
                <w:highlight w:val="none"/>
              </w:rPr>
            </w:pPr>
          </w:p>
        </w:tc>
        <w:tc>
          <w:tcPr>
            <w:tcW w:w="1861" w:type="dxa"/>
            <w:noWrap/>
            <w:vAlign w:val="center"/>
          </w:tcPr>
          <w:p w14:paraId="6AA5BE8F">
            <w:pPr>
              <w:spacing w:line="360" w:lineRule="auto"/>
              <w:rPr>
                <w:rFonts w:hint="eastAsia" w:ascii="宋体" w:hAnsi="宋体" w:cs="宋体"/>
                <w:b w:val="0"/>
                <w:bCs/>
                <w:color w:val="auto"/>
                <w:sz w:val="24"/>
                <w:szCs w:val="24"/>
                <w:highlight w:val="none"/>
              </w:rPr>
            </w:pPr>
          </w:p>
        </w:tc>
        <w:tc>
          <w:tcPr>
            <w:tcW w:w="2085" w:type="dxa"/>
            <w:noWrap/>
            <w:vAlign w:val="center"/>
          </w:tcPr>
          <w:p w14:paraId="1312D891">
            <w:pPr>
              <w:spacing w:line="360" w:lineRule="auto"/>
              <w:rPr>
                <w:rFonts w:hint="eastAsia" w:ascii="宋体" w:hAnsi="宋体" w:cs="宋体"/>
                <w:b w:val="0"/>
                <w:bCs/>
                <w:color w:val="auto"/>
                <w:sz w:val="24"/>
                <w:szCs w:val="24"/>
                <w:highlight w:val="none"/>
              </w:rPr>
            </w:pPr>
          </w:p>
        </w:tc>
      </w:tr>
      <w:tr w14:paraId="4AA4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758291DD">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w:t>
            </w:r>
          </w:p>
        </w:tc>
        <w:tc>
          <w:tcPr>
            <w:tcW w:w="1933" w:type="dxa"/>
            <w:noWrap/>
            <w:vAlign w:val="center"/>
          </w:tcPr>
          <w:p w14:paraId="537D0B20">
            <w:pPr>
              <w:spacing w:line="360" w:lineRule="auto"/>
              <w:rPr>
                <w:rFonts w:hint="eastAsia" w:ascii="宋体" w:hAnsi="宋体" w:cs="宋体"/>
                <w:b w:val="0"/>
                <w:bCs/>
                <w:color w:val="auto"/>
                <w:sz w:val="24"/>
                <w:szCs w:val="24"/>
                <w:highlight w:val="none"/>
              </w:rPr>
            </w:pPr>
          </w:p>
        </w:tc>
        <w:tc>
          <w:tcPr>
            <w:tcW w:w="2627" w:type="dxa"/>
            <w:noWrap/>
            <w:vAlign w:val="center"/>
          </w:tcPr>
          <w:p w14:paraId="3E812F5A">
            <w:pPr>
              <w:spacing w:line="360" w:lineRule="auto"/>
              <w:rPr>
                <w:rFonts w:hint="eastAsia" w:ascii="宋体" w:hAnsi="宋体" w:cs="宋体"/>
                <w:b w:val="0"/>
                <w:bCs/>
                <w:color w:val="auto"/>
                <w:sz w:val="24"/>
                <w:szCs w:val="24"/>
                <w:highlight w:val="none"/>
              </w:rPr>
            </w:pPr>
          </w:p>
        </w:tc>
        <w:tc>
          <w:tcPr>
            <w:tcW w:w="1861" w:type="dxa"/>
            <w:noWrap/>
            <w:vAlign w:val="center"/>
          </w:tcPr>
          <w:p w14:paraId="17E87163">
            <w:pPr>
              <w:spacing w:line="360" w:lineRule="auto"/>
              <w:rPr>
                <w:rFonts w:hint="eastAsia" w:ascii="宋体" w:hAnsi="宋体" w:cs="宋体"/>
                <w:b w:val="0"/>
                <w:bCs/>
                <w:color w:val="auto"/>
                <w:sz w:val="24"/>
                <w:szCs w:val="24"/>
                <w:highlight w:val="none"/>
              </w:rPr>
            </w:pPr>
          </w:p>
        </w:tc>
        <w:tc>
          <w:tcPr>
            <w:tcW w:w="2085" w:type="dxa"/>
            <w:noWrap/>
            <w:vAlign w:val="center"/>
          </w:tcPr>
          <w:p w14:paraId="5DF06D2A">
            <w:pPr>
              <w:spacing w:line="360" w:lineRule="auto"/>
              <w:rPr>
                <w:rFonts w:hint="eastAsia" w:ascii="宋体" w:hAnsi="宋体" w:cs="宋体"/>
                <w:b w:val="0"/>
                <w:bCs/>
                <w:color w:val="auto"/>
                <w:sz w:val="24"/>
                <w:szCs w:val="24"/>
                <w:highlight w:val="none"/>
              </w:rPr>
            </w:pPr>
          </w:p>
        </w:tc>
      </w:tr>
      <w:tr w14:paraId="5108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ign w:val="center"/>
          </w:tcPr>
          <w:p w14:paraId="2FED5476">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12</w:t>
            </w:r>
          </w:p>
        </w:tc>
        <w:tc>
          <w:tcPr>
            <w:tcW w:w="1933" w:type="dxa"/>
            <w:noWrap/>
            <w:vAlign w:val="center"/>
          </w:tcPr>
          <w:p w14:paraId="57E85882">
            <w:pPr>
              <w:spacing w:line="360" w:lineRule="auto"/>
              <w:rPr>
                <w:rFonts w:hint="eastAsia" w:ascii="宋体" w:hAnsi="宋体" w:cs="宋体"/>
                <w:b w:val="0"/>
                <w:bCs/>
                <w:color w:val="auto"/>
                <w:sz w:val="24"/>
                <w:szCs w:val="24"/>
                <w:highlight w:val="none"/>
              </w:rPr>
            </w:pPr>
          </w:p>
        </w:tc>
        <w:tc>
          <w:tcPr>
            <w:tcW w:w="2627" w:type="dxa"/>
            <w:noWrap/>
            <w:vAlign w:val="center"/>
          </w:tcPr>
          <w:p w14:paraId="4B7343FC">
            <w:pPr>
              <w:spacing w:line="360" w:lineRule="auto"/>
              <w:rPr>
                <w:rFonts w:hint="eastAsia" w:ascii="宋体" w:hAnsi="宋体" w:cs="宋体"/>
                <w:b w:val="0"/>
                <w:bCs/>
                <w:color w:val="auto"/>
                <w:sz w:val="24"/>
                <w:szCs w:val="24"/>
                <w:highlight w:val="none"/>
              </w:rPr>
            </w:pPr>
          </w:p>
        </w:tc>
        <w:tc>
          <w:tcPr>
            <w:tcW w:w="1861" w:type="dxa"/>
            <w:noWrap/>
            <w:vAlign w:val="center"/>
          </w:tcPr>
          <w:p w14:paraId="212CE607">
            <w:pPr>
              <w:spacing w:line="360" w:lineRule="auto"/>
              <w:rPr>
                <w:rFonts w:hint="eastAsia" w:ascii="宋体" w:hAnsi="宋体" w:cs="宋体"/>
                <w:b w:val="0"/>
                <w:bCs/>
                <w:color w:val="auto"/>
                <w:sz w:val="24"/>
                <w:szCs w:val="24"/>
                <w:highlight w:val="none"/>
              </w:rPr>
            </w:pPr>
          </w:p>
        </w:tc>
        <w:tc>
          <w:tcPr>
            <w:tcW w:w="2085" w:type="dxa"/>
            <w:noWrap/>
            <w:vAlign w:val="center"/>
          </w:tcPr>
          <w:p w14:paraId="6832344F">
            <w:pPr>
              <w:spacing w:line="360" w:lineRule="auto"/>
              <w:rPr>
                <w:rFonts w:hint="eastAsia" w:ascii="宋体" w:hAnsi="宋体" w:cs="宋体"/>
                <w:b w:val="0"/>
                <w:bCs/>
                <w:color w:val="auto"/>
                <w:sz w:val="24"/>
                <w:szCs w:val="24"/>
                <w:highlight w:val="none"/>
              </w:rPr>
            </w:pPr>
          </w:p>
        </w:tc>
      </w:tr>
      <w:tr w14:paraId="0646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1" w:type="dxa"/>
            <w:gridSpan w:val="5"/>
            <w:noWrap/>
            <w:vAlign w:val="top"/>
          </w:tcPr>
          <w:p w14:paraId="05A3B35A">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当年考评得分：        分</w:t>
            </w:r>
          </w:p>
        </w:tc>
      </w:tr>
      <w:tr w14:paraId="68A9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1" w:type="dxa"/>
            <w:gridSpan w:val="5"/>
            <w:noWrap/>
            <w:vAlign w:val="top"/>
          </w:tcPr>
          <w:p w14:paraId="066A5DDA">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说明：</w:t>
            </w:r>
            <w:r>
              <w:rPr>
                <w:rFonts w:hint="eastAsia" w:ascii="宋体" w:hAnsi="宋体" w:cs="宋体"/>
                <w:b w:val="0"/>
                <w:bCs/>
                <w:color w:val="auto"/>
                <w:sz w:val="24"/>
                <w:szCs w:val="24"/>
                <w:highlight w:val="none"/>
              </w:rPr>
              <w:sym w:font="Wingdings" w:char="F081"/>
            </w:r>
            <w:r>
              <w:rPr>
                <w:rFonts w:hint="eastAsia" w:ascii="宋体" w:hAnsi="宋体" w:cs="宋体"/>
                <w:b w:val="0"/>
                <w:bCs/>
                <w:color w:val="auto"/>
                <w:sz w:val="24"/>
                <w:szCs w:val="24"/>
                <w:highlight w:val="none"/>
                <w:lang w:val="en-US" w:eastAsia="zh-CN"/>
              </w:rPr>
              <w:t xml:space="preserve"> </w:t>
            </w:r>
            <w:r>
              <w:rPr>
                <w:rFonts w:hint="eastAsia" w:ascii="宋体" w:hAnsi="宋体" w:cs="宋体"/>
                <w:b w:val="0"/>
                <w:bCs/>
                <w:color w:val="auto"/>
                <w:sz w:val="24"/>
                <w:szCs w:val="24"/>
                <w:highlight w:val="none"/>
              </w:rPr>
              <w:t>年考评得分即为当年12个月的得分平均值；</w:t>
            </w:r>
          </w:p>
          <w:p w14:paraId="347F231C">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lang w:eastAsia="zh-CN"/>
              </w:rPr>
              <w:t>　　　</w:t>
            </w:r>
            <w:r>
              <w:rPr>
                <w:rFonts w:hint="eastAsia" w:ascii="宋体" w:hAnsi="宋体" w:cs="宋体"/>
                <w:b w:val="0"/>
                <w:bCs/>
                <w:color w:val="auto"/>
                <w:sz w:val="24"/>
                <w:szCs w:val="24"/>
                <w:highlight w:val="none"/>
              </w:rPr>
              <w:sym w:font="Wingdings" w:char="F082"/>
            </w:r>
            <w:r>
              <w:rPr>
                <w:rFonts w:hint="eastAsia" w:ascii="宋体" w:hAnsi="宋体" w:cs="宋体"/>
                <w:b w:val="0"/>
                <w:bCs/>
                <w:color w:val="auto"/>
                <w:sz w:val="24"/>
                <w:szCs w:val="24"/>
                <w:highlight w:val="none"/>
              </w:rPr>
              <w:t xml:space="preserve"> 满分100分。</w:t>
            </w:r>
          </w:p>
        </w:tc>
      </w:tr>
    </w:tbl>
    <w:p w14:paraId="5266D787">
      <w:pPr>
        <w:spacing w:line="360" w:lineRule="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lang w:eastAsia="zh-CN"/>
        </w:rPr>
        <w:t>医院考核小组</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eastAsia="zh-CN"/>
        </w:rPr>
        <w:t>　　　　　　　　　　　　　　　</w:t>
      </w:r>
      <w:r>
        <w:rPr>
          <w:rFonts w:hint="eastAsia" w:ascii="宋体" w:hAnsi="宋体" w:cs="宋体"/>
          <w:b w:val="0"/>
          <w:bCs/>
          <w:color w:val="auto"/>
          <w:sz w:val="24"/>
          <w:szCs w:val="24"/>
          <w:highlight w:val="none"/>
        </w:rPr>
        <w:t xml:space="preserve">     运维公司: </w:t>
      </w:r>
    </w:p>
    <w:p w14:paraId="5B1785A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考核说明：</w:t>
      </w:r>
    </w:p>
    <w:p w14:paraId="25D7E76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（1）承包方首年，年考评得分低于80分时，</w:t>
      </w:r>
      <w:r>
        <w:rPr>
          <w:rFonts w:hint="eastAsia" w:ascii="宋体" w:hAnsi="宋体" w:eastAsia="宋体" w:cs="宋体"/>
          <w:b w:val="0"/>
          <w:bCs/>
          <w:color w:val="auto"/>
          <w:sz w:val="24"/>
          <w:szCs w:val="24"/>
          <w:highlight w:val="none"/>
          <w:lang w:eastAsia="zh-CN"/>
        </w:rPr>
        <w:t>发包方有权处以罚款（</w:t>
      </w:r>
      <w:r>
        <w:rPr>
          <w:rFonts w:hint="eastAsia" w:ascii="宋体" w:hAnsi="宋体" w:eastAsia="宋体" w:cs="宋体"/>
          <w:b w:val="0"/>
          <w:bCs/>
          <w:color w:val="auto"/>
          <w:sz w:val="24"/>
          <w:szCs w:val="24"/>
          <w:highlight w:val="none"/>
          <w:lang w:val="en-US" w:eastAsia="zh-CN"/>
        </w:rPr>
        <w:t>1－2万元），并直接在余款中予以扣除</w:t>
      </w:r>
      <w:r>
        <w:rPr>
          <w:rFonts w:hint="eastAsia" w:ascii="宋体" w:hAnsi="宋体" w:eastAsia="宋体" w:cs="宋体"/>
          <w:b w:val="0"/>
          <w:bCs/>
          <w:color w:val="auto"/>
          <w:sz w:val="24"/>
          <w:szCs w:val="24"/>
          <w:highlight w:val="none"/>
        </w:rPr>
        <w:t>。</w:t>
      </w:r>
    </w:p>
    <w:p w14:paraId="32A5121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（2）承包方首年，年考评得分高于80分（含80分）时，视为合格</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医院方应与承包方履行合同。</w:t>
      </w:r>
    </w:p>
    <w:p w14:paraId="7B617E5A">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六、合同价款、支付条件和支付进度</w:t>
      </w:r>
    </w:p>
    <w:p w14:paraId="69B59FB5">
      <w:pPr>
        <w:adjustRightInd w:val="0"/>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sz w:val="24"/>
          <w:szCs w:val="24"/>
        </w:rPr>
        <w:t>本合同总造价为人民币</w:t>
      </w:r>
      <w:r>
        <w:rPr>
          <w:rFonts w:hint="eastAsia" w:ascii="宋体" w:hAnsi="宋体" w:eastAsia="宋体" w:cs="宋体"/>
          <w:sz w:val="24"/>
          <w:szCs w:val="24"/>
          <w:lang w:eastAsia="zh-CN"/>
        </w:rPr>
        <w:t>即</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元</w:t>
      </w:r>
      <w:r>
        <w:rPr>
          <w:rFonts w:hint="eastAsia" w:ascii="宋体" w:hAnsi="宋体" w:eastAsia="宋体" w:cs="宋体"/>
          <w:sz w:val="24"/>
          <w:szCs w:val="24"/>
        </w:rPr>
        <w:t>（含税）（大写）：</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，乙方确保履行本合同所需的全部费用已包含在合同总价内，合同履行过程中乙方不得以任何理由要求甲方支付合同总价以外的其他费用。</w:t>
      </w:r>
    </w:p>
    <w:p w14:paraId="0B078A9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（1）按月支付，每月支付上一个月服务费（为合同总造价的1/12）的90%即</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（含税）（大写）：</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color w:val="auto"/>
          <w:sz w:val="24"/>
          <w:szCs w:val="24"/>
          <w:highlight w:val="none"/>
          <w:lang w:val="en-US" w:eastAsia="zh-CN"/>
        </w:rPr>
        <w:t>，合同期满服务结束后，一个月内无息付清余款。</w:t>
      </w:r>
    </w:p>
    <w:p w14:paraId="42A51F0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（2）支付方式：乙方需于每个月【20】日前开具与当次应支付费用等额的合规发票，甲方于收到发票后一个月内支付到位，支付方式为银行转帐。否则甲方付款期限顺延，且不承担任何责任。</w:t>
      </w:r>
    </w:p>
    <w:p w14:paraId="58EA9ACF">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七、履约保证金</w:t>
      </w:r>
    </w:p>
    <w:p w14:paraId="6EC67D2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（1）履约保证金的缴纳：</w:t>
      </w:r>
    </w:p>
    <w:p w14:paraId="67B914A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履约保证金的缴纳：合同签订后</w:t>
      </w:r>
      <w:r>
        <w:rPr>
          <w:rFonts w:hint="eastAsia" w:ascii="宋体" w:hAnsi="宋体" w:eastAsia="宋体" w:cs="宋体"/>
          <w:b w:val="0"/>
          <w:bCs/>
          <w:color w:val="auto"/>
          <w:sz w:val="24"/>
          <w:szCs w:val="24"/>
          <w:highlight w:val="none"/>
          <w:u w:val="single"/>
          <w:lang w:val="en-US" w:eastAsia="zh-CN"/>
        </w:rPr>
        <w:t>10</w:t>
      </w:r>
      <w:r>
        <w:rPr>
          <w:rFonts w:hint="eastAsia" w:ascii="宋体" w:hAnsi="宋体" w:eastAsia="宋体" w:cs="宋体"/>
          <w:b w:val="0"/>
          <w:bCs/>
          <w:color w:val="auto"/>
          <w:sz w:val="24"/>
          <w:szCs w:val="24"/>
          <w:highlight w:val="none"/>
          <w:lang w:val="en-US" w:eastAsia="zh-CN"/>
        </w:rPr>
        <w:t>日内，乙方需向甲方缴纳合同价款的5%做为履约保证金。逾期视为乙方放弃中标权利，合同自动废止</w:t>
      </w:r>
      <w:r>
        <w:rPr>
          <w:rFonts w:hint="eastAsia" w:ascii="宋体" w:hAnsi="宋体" w:cs="宋体"/>
          <w:b w:val="0"/>
          <w:bCs/>
          <w:color w:val="auto"/>
          <w:sz w:val="24"/>
          <w:szCs w:val="24"/>
          <w:highlight w:val="none"/>
          <w:lang w:val="en-US" w:eastAsia="zh-CN"/>
        </w:rPr>
        <w:t>（即甲方有权解除本合同）</w:t>
      </w:r>
      <w:r>
        <w:rPr>
          <w:rFonts w:hint="eastAsia" w:ascii="宋体" w:hAnsi="宋体" w:eastAsia="宋体" w:cs="宋体"/>
          <w:b w:val="0"/>
          <w:bCs/>
          <w:color w:val="auto"/>
          <w:sz w:val="24"/>
          <w:szCs w:val="24"/>
          <w:highlight w:val="none"/>
          <w:lang w:val="en-US" w:eastAsia="zh-CN"/>
        </w:rPr>
        <w:t>，且履约保证金不予退还。</w:t>
      </w:r>
    </w:p>
    <w:p w14:paraId="16487F8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（2）履约保证金的退还：</w:t>
      </w:r>
    </w:p>
    <w:p w14:paraId="679D666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合同期满、承包人无违约行为、承包人服务考核合格后1个月内无息全额退还履约保证金。</w:t>
      </w:r>
    </w:p>
    <w:p w14:paraId="2ACD5F5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（3）履约保证金的扣除：</w:t>
      </w:r>
    </w:p>
    <w:p w14:paraId="576AAE9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 1 \* GB3 \* MERGEFORMAT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rPr>
        <w:t>①</w:t>
      </w:r>
      <w:r>
        <w:rPr>
          <w:rFonts w:hint="eastAsia" w:ascii="宋体" w:hAnsi="宋体" w:eastAsia="宋体" w:cs="宋体"/>
          <w:b w:val="0"/>
          <w:bCs/>
          <w:color w:val="auto"/>
          <w:sz w:val="24"/>
          <w:szCs w:val="24"/>
          <w:highlight w:val="none"/>
          <w:lang w:val="en-US" w:eastAsia="zh-CN"/>
        </w:rPr>
        <w:fldChar w:fldCharType="end"/>
      </w:r>
      <w:r>
        <w:rPr>
          <w:rFonts w:hint="eastAsia" w:ascii="宋体" w:hAnsi="宋体" w:eastAsia="宋体" w:cs="宋体"/>
          <w:b w:val="0"/>
          <w:bCs/>
          <w:color w:val="auto"/>
          <w:sz w:val="24"/>
          <w:szCs w:val="24"/>
          <w:highlight w:val="none"/>
          <w:lang w:val="en-US" w:eastAsia="zh-CN"/>
        </w:rPr>
        <w:t>合同期内出现重大安全事故，履约保证金将不予退还。</w:t>
      </w:r>
    </w:p>
    <w:p w14:paraId="025F1A4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 2 \* GB3 \* MERGEFORMAT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rPr>
        <w:t>②</w:t>
      </w:r>
      <w:r>
        <w:rPr>
          <w:rFonts w:hint="eastAsia" w:ascii="宋体" w:hAnsi="宋体" w:eastAsia="宋体" w:cs="宋体"/>
          <w:b w:val="0"/>
          <w:bCs/>
          <w:color w:val="auto"/>
          <w:sz w:val="24"/>
          <w:szCs w:val="24"/>
          <w:highlight w:val="none"/>
          <w:lang w:val="en-US" w:eastAsia="zh-CN"/>
        </w:rPr>
        <w:fldChar w:fldCharType="end"/>
      </w:r>
      <w:r>
        <w:rPr>
          <w:rFonts w:hint="eastAsia" w:ascii="宋体" w:hAnsi="宋体" w:eastAsia="宋体" w:cs="宋体"/>
          <w:b w:val="0"/>
          <w:bCs/>
          <w:color w:val="auto"/>
          <w:sz w:val="24"/>
          <w:szCs w:val="24"/>
          <w:highlight w:val="none"/>
          <w:lang w:val="en-US" w:eastAsia="zh-CN"/>
        </w:rPr>
        <w:t>服务质量达不到考核要求，导致合同提前解除的情况，履约保证金将不予退还。</w:t>
      </w:r>
    </w:p>
    <w:p w14:paraId="09A2CEC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 3 \* GB3 \* MERGEFORMAT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rPr>
        <w:t>③</w:t>
      </w:r>
      <w:r>
        <w:rPr>
          <w:rFonts w:hint="eastAsia" w:ascii="宋体" w:hAnsi="宋体" w:eastAsia="宋体" w:cs="宋体"/>
          <w:b w:val="0"/>
          <w:bCs/>
          <w:color w:val="auto"/>
          <w:sz w:val="24"/>
          <w:szCs w:val="24"/>
          <w:highlight w:val="none"/>
          <w:lang w:val="en-US" w:eastAsia="zh-CN"/>
        </w:rPr>
        <w:fldChar w:fldCharType="end"/>
      </w:r>
      <w:r>
        <w:rPr>
          <w:rFonts w:hint="eastAsia" w:ascii="宋体" w:hAnsi="宋体" w:eastAsia="宋体" w:cs="宋体"/>
          <w:b w:val="0"/>
          <w:bCs/>
          <w:color w:val="auto"/>
          <w:sz w:val="24"/>
          <w:szCs w:val="24"/>
          <w:highlight w:val="none"/>
          <w:lang w:val="en-US" w:eastAsia="zh-CN"/>
        </w:rPr>
        <w:t>合同签订后，30日内，承包人未按人员安置要求履约，导致合同废止，履约保证金将不予退还。</w:t>
      </w:r>
    </w:p>
    <w:p w14:paraId="45EF1DD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en-US"/>
        </w:rPr>
      </w:pP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 4 \* GB3 \* MERGEFORMAT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rPr>
        <w:t>④</w:t>
      </w:r>
      <w:r>
        <w:rPr>
          <w:rFonts w:hint="eastAsia" w:ascii="宋体" w:hAnsi="宋体" w:eastAsia="宋体" w:cs="宋体"/>
          <w:b w:val="0"/>
          <w:bCs/>
          <w:color w:val="auto"/>
          <w:sz w:val="24"/>
          <w:szCs w:val="24"/>
          <w:highlight w:val="none"/>
          <w:lang w:val="en-US" w:eastAsia="zh-CN"/>
        </w:rPr>
        <w:fldChar w:fldCharType="end"/>
      </w:r>
      <w:r>
        <w:rPr>
          <w:rFonts w:hint="eastAsia" w:ascii="宋体" w:hAnsi="宋体" w:eastAsia="宋体" w:cs="宋体"/>
          <w:b w:val="0"/>
          <w:bCs/>
          <w:color w:val="auto"/>
          <w:sz w:val="24"/>
          <w:szCs w:val="24"/>
          <w:highlight w:val="none"/>
          <w:lang w:val="en-US" w:eastAsia="zh-CN"/>
        </w:rPr>
        <w:t>因设备设施维护不当而造成的医院诊疗活动受到严重影响的，履约保证金将不予退还。</w:t>
      </w:r>
    </w:p>
    <w:p w14:paraId="3ED5B046">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八、甲方的工作</w:t>
      </w:r>
    </w:p>
    <w:p w14:paraId="182968D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 因工作需要，甲方负责向乙方提供需维保设备的技术资料。</w:t>
      </w:r>
    </w:p>
    <w:p w14:paraId="2B92CED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2、甲方管理部门派遣专人负责协调解决乙方在管理工作中存在的问题。</w:t>
      </w:r>
    </w:p>
    <w:p w14:paraId="269CAF9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3、乙方派驻甲方的工作人员必须向甲方提供相关的资格证书和有效证件，甲方有权要求乙方调换派驻甲方现场的不称职工作人员，甲方有权</w:t>
      </w:r>
      <w:r>
        <w:rPr>
          <w:rFonts w:hint="eastAsia" w:ascii="宋体" w:hAnsi="宋体" w:eastAsia="宋体" w:cs="宋体"/>
          <w:b w:val="0"/>
          <w:bCs/>
          <w:color w:val="auto"/>
          <w:sz w:val="24"/>
          <w:szCs w:val="24"/>
          <w:highlight w:val="none"/>
        </w:rPr>
        <w:t>对乙方的日常工作进行监督检查。</w:t>
      </w:r>
    </w:p>
    <w:p w14:paraId="2C8204F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4、甲方对乙方管理工作进行检查考核。</w:t>
      </w:r>
    </w:p>
    <w:p w14:paraId="24533E6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5、本合同执行期间甲方对乙方所有工作人员不负安全管理和责任，乙方履行本合同 内容时发生事故，造成甲乙双方或第三方人身、财产遭受损害的，由乙方承担全部赔偿责任。</w:t>
      </w:r>
    </w:p>
    <w:p w14:paraId="3048ED7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6、乙方工作人员有不良行为者，甲方有权提出更换，乙方应于2日内更换员工。乙方员工损坏、丢失甲方财物或因乙方原因出现的不安全因素和结果，由乙方负责赔偿相关费用。</w:t>
      </w:r>
    </w:p>
    <w:p w14:paraId="284ACA1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 甲方有权按照招标文件及本合同中规定的考核办法对乙方进行考核，因考核结果不合格导致甲方单方解除本合同的，自解</w:t>
      </w:r>
      <w:r>
        <w:rPr>
          <w:rFonts w:hint="eastAsia" w:ascii="宋体" w:hAnsi="宋体" w:eastAsia="宋体" w:cs="宋体"/>
          <w:b w:val="0"/>
          <w:bCs/>
          <w:color w:val="auto"/>
          <w:sz w:val="24"/>
          <w:szCs w:val="24"/>
          <w:highlight w:val="none"/>
          <w:lang w:eastAsia="zh-CN"/>
        </w:rPr>
        <w:t>除合同</w:t>
      </w:r>
      <w:r>
        <w:rPr>
          <w:rFonts w:hint="eastAsia" w:ascii="宋体" w:hAnsi="宋体" w:eastAsia="宋体" w:cs="宋体"/>
          <w:b w:val="0"/>
          <w:bCs/>
          <w:color w:val="auto"/>
          <w:sz w:val="24"/>
          <w:szCs w:val="24"/>
          <w:highlight w:val="none"/>
        </w:rPr>
        <w:t>通知书</w:t>
      </w:r>
      <w:r>
        <w:rPr>
          <w:rFonts w:hint="eastAsia" w:ascii="宋体" w:hAnsi="宋体" w:eastAsia="宋体" w:cs="宋体"/>
          <w:b w:val="0"/>
          <w:bCs/>
          <w:color w:val="auto"/>
          <w:sz w:val="24"/>
          <w:szCs w:val="24"/>
          <w:highlight w:val="none"/>
          <w:lang w:eastAsia="zh-CN"/>
        </w:rPr>
        <w:t>送达</w:t>
      </w:r>
      <w:r>
        <w:rPr>
          <w:rFonts w:hint="eastAsia" w:ascii="宋体" w:hAnsi="宋体" w:eastAsia="宋体" w:cs="宋体"/>
          <w:b w:val="0"/>
          <w:bCs/>
          <w:color w:val="auto"/>
          <w:sz w:val="24"/>
          <w:szCs w:val="24"/>
          <w:highlight w:val="none"/>
        </w:rPr>
        <w:t>乙方时本合同解除，乙方应承担由此给甲方造成的全部损失(</w:t>
      </w:r>
      <w:r>
        <w:rPr>
          <w:rFonts w:hint="eastAsia" w:ascii="宋体" w:hAnsi="宋体" w:eastAsia="宋体" w:cs="宋体"/>
          <w:b w:val="0"/>
          <w:bCs/>
          <w:color w:val="auto"/>
          <w:sz w:val="24"/>
          <w:szCs w:val="24"/>
          <w:highlight w:val="none"/>
          <w:lang w:eastAsia="zh-CN"/>
        </w:rPr>
        <w:t>包括</w:t>
      </w:r>
      <w:r>
        <w:rPr>
          <w:rFonts w:hint="eastAsia" w:ascii="宋体" w:hAnsi="宋体" w:eastAsia="宋体" w:cs="宋体"/>
          <w:b w:val="0"/>
          <w:bCs/>
          <w:color w:val="auto"/>
          <w:sz w:val="24"/>
          <w:szCs w:val="24"/>
          <w:highlight w:val="none"/>
        </w:rPr>
        <w:t>但不限于重新采购产生的费用),并按本合同总价的30%向甲方支付违约金，</w:t>
      </w:r>
    </w:p>
    <w:p w14:paraId="33AE83E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8、以上所述</w:t>
      </w:r>
      <w:r>
        <w:rPr>
          <w:rFonts w:hint="eastAsia" w:ascii="宋体" w:hAnsi="宋体" w:eastAsia="宋体" w:cs="宋体"/>
          <w:b w:val="0"/>
          <w:bCs/>
          <w:color w:val="auto"/>
          <w:sz w:val="24"/>
          <w:szCs w:val="24"/>
          <w:highlight w:val="none"/>
          <w:lang w:eastAsia="zh-CN"/>
        </w:rPr>
        <w:t>三个院区</w:t>
      </w:r>
      <w:r>
        <w:rPr>
          <w:rFonts w:hint="eastAsia" w:ascii="宋体" w:hAnsi="宋体" w:eastAsia="宋体" w:cs="宋体"/>
          <w:b w:val="0"/>
          <w:bCs/>
          <w:color w:val="auto"/>
          <w:sz w:val="24"/>
          <w:szCs w:val="24"/>
          <w:highlight w:val="none"/>
        </w:rPr>
        <w:t>业务范围</w:t>
      </w:r>
      <w:r>
        <w:rPr>
          <w:rFonts w:hint="eastAsia" w:ascii="宋体" w:hAnsi="宋体" w:eastAsia="宋体" w:cs="宋体"/>
          <w:b w:val="0"/>
          <w:bCs/>
          <w:color w:val="auto"/>
          <w:sz w:val="24"/>
          <w:szCs w:val="24"/>
          <w:highlight w:val="none"/>
          <w:lang w:val="en-US" w:eastAsia="zh-CN"/>
        </w:rPr>
        <w:t>检测、年审、审验的费用均由乙方承担。</w:t>
      </w:r>
      <w:r>
        <w:rPr>
          <w:rFonts w:hint="eastAsia" w:ascii="宋体" w:hAnsi="宋体" w:eastAsia="宋体" w:cs="宋体"/>
          <w:b w:val="0"/>
          <w:bCs/>
          <w:color w:val="auto"/>
          <w:sz w:val="24"/>
          <w:szCs w:val="24"/>
          <w:highlight w:val="none"/>
        </w:rPr>
        <w:t>单次单项维修</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保养</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材料费在5000.00元以内（包含5000.00元）时全部由</w:t>
      </w:r>
      <w:r>
        <w:rPr>
          <w:rFonts w:hint="eastAsia" w:ascii="宋体" w:hAnsi="宋体" w:eastAsia="宋体" w:cs="宋体"/>
          <w:b w:val="0"/>
          <w:bCs/>
          <w:color w:val="auto"/>
          <w:sz w:val="24"/>
          <w:szCs w:val="24"/>
          <w:highlight w:val="none"/>
          <w:lang w:val="en-US" w:eastAsia="zh-CN"/>
        </w:rPr>
        <w:t>乙</w:t>
      </w:r>
      <w:r>
        <w:rPr>
          <w:rFonts w:hint="eastAsia" w:ascii="宋体" w:hAnsi="宋体" w:eastAsia="宋体" w:cs="宋体"/>
          <w:b w:val="0"/>
          <w:bCs/>
          <w:color w:val="auto"/>
          <w:sz w:val="24"/>
          <w:szCs w:val="24"/>
          <w:highlight w:val="none"/>
        </w:rPr>
        <w:t>方负责，超出5000.00元时则由</w:t>
      </w:r>
      <w:r>
        <w:rPr>
          <w:rFonts w:hint="eastAsia" w:ascii="宋体" w:hAnsi="宋体" w:eastAsia="宋体" w:cs="宋体"/>
          <w:b w:val="0"/>
          <w:bCs/>
          <w:color w:val="auto"/>
          <w:sz w:val="24"/>
          <w:szCs w:val="24"/>
          <w:highlight w:val="none"/>
          <w:lang w:val="en-US" w:eastAsia="zh-CN"/>
        </w:rPr>
        <w:t>甲方</w:t>
      </w:r>
      <w:r>
        <w:rPr>
          <w:rFonts w:hint="eastAsia" w:ascii="宋体" w:hAnsi="宋体" w:eastAsia="宋体" w:cs="宋体"/>
          <w:b w:val="0"/>
          <w:bCs/>
          <w:color w:val="auto"/>
          <w:sz w:val="24"/>
          <w:szCs w:val="24"/>
          <w:highlight w:val="none"/>
        </w:rPr>
        <w:t>承担超出部分的费用，5000.00元的基数仍由</w:t>
      </w:r>
      <w:r>
        <w:rPr>
          <w:rFonts w:hint="eastAsia" w:ascii="宋体" w:hAnsi="宋体" w:eastAsia="宋体" w:cs="宋体"/>
          <w:b w:val="0"/>
          <w:bCs/>
          <w:color w:val="auto"/>
          <w:sz w:val="24"/>
          <w:szCs w:val="24"/>
          <w:highlight w:val="none"/>
          <w:lang w:val="en-US" w:eastAsia="zh-CN"/>
        </w:rPr>
        <w:t>乙方</w:t>
      </w:r>
      <w:r>
        <w:rPr>
          <w:rFonts w:hint="eastAsia" w:ascii="宋体" w:hAnsi="宋体" w:eastAsia="宋体" w:cs="宋体"/>
          <w:b w:val="0"/>
          <w:bCs/>
          <w:color w:val="auto"/>
          <w:sz w:val="24"/>
          <w:szCs w:val="24"/>
          <w:highlight w:val="none"/>
        </w:rPr>
        <w:t>负责并自当月应付款项里扣除。但如因</w:t>
      </w:r>
      <w:r>
        <w:rPr>
          <w:rFonts w:hint="eastAsia" w:ascii="宋体" w:hAnsi="宋体" w:eastAsia="宋体" w:cs="宋体"/>
          <w:b w:val="0"/>
          <w:bCs/>
          <w:color w:val="auto"/>
          <w:sz w:val="24"/>
          <w:szCs w:val="24"/>
          <w:highlight w:val="none"/>
          <w:lang w:val="en-US" w:eastAsia="zh-CN"/>
        </w:rPr>
        <w:t>乙方</w:t>
      </w:r>
      <w:r>
        <w:rPr>
          <w:rFonts w:hint="eastAsia" w:ascii="宋体" w:hAnsi="宋体" w:eastAsia="宋体" w:cs="宋体"/>
          <w:b w:val="0"/>
          <w:bCs/>
          <w:color w:val="auto"/>
          <w:sz w:val="24"/>
          <w:szCs w:val="24"/>
          <w:highlight w:val="none"/>
        </w:rPr>
        <w:t>维护不利、操作或管理不当而造成的设备设施损坏，则由</w:t>
      </w:r>
      <w:r>
        <w:rPr>
          <w:rFonts w:hint="eastAsia" w:ascii="宋体" w:hAnsi="宋体" w:eastAsia="宋体" w:cs="宋体"/>
          <w:b w:val="0"/>
          <w:bCs/>
          <w:color w:val="auto"/>
          <w:sz w:val="24"/>
          <w:szCs w:val="24"/>
          <w:highlight w:val="none"/>
          <w:lang w:val="en-US" w:eastAsia="zh-CN"/>
        </w:rPr>
        <w:t>乙方</w:t>
      </w:r>
      <w:r>
        <w:rPr>
          <w:rFonts w:hint="eastAsia" w:ascii="宋体" w:hAnsi="宋体" w:eastAsia="宋体" w:cs="宋体"/>
          <w:b w:val="0"/>
          <w:bCs/>
          <w:color w:val="auto"/>
          <w:sz w:val="24"/>
          <w:szCs w:val="24"/>
          <w:highlight w:val="none"/>
        </w:rPr>
        <w:t>承担所有损失及费用。</w:t>
      </w:r>
    </w:p>
    <w:p w14:paraId="4071B35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9、</w:t>
      </w:r>
      <w:r>
        <w:rPr>
          <w:rFonts w:hint="eastAsia" w:ascii="宋体" w:hAnsi="宋体" w:eastAsia="宋体" w:cs="宋体"/>
          <w:b w:val="0"/>
          <w:bCs/>
          <w:color w:val="auto"/>
          <w:sz w:val="24"/>
          <w:szCs w:val="24"/>
          <w:highlight w:val="none"/>
        </w:rPr>
        <w:t>单次单项维修费用在1万元以上的（包含1万元）中大型维修项目由甲方按照医院相关规定另行招标实施，费用由甲方自行承担。</w:t>
      </w:r>
    </w:p>
    <w:p w14:paraId="2CD9498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九、乙方义务</w:t>
      </w:r>
    </w:p>
    <w:p w14:paraId="65F7B1E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val="en-US" w:eastAsia="en-US"/>
        </w:rPr>
      </w:pPr>
      <w:r>
        <w:rPr>
          <w:rFonts w:hint="eastAsia" w:ascii="宋体" w:hAnsi="宋体" w:eastAsia="宋体" w:cs="宋体"/>
          <w:b w:val="0"/>
          <w:bCs/>
          <w:color w:val="auto"/>
          <w:sz w:val="24"/>
          <w:szCs w:val="24"/>
          <w:highlight w:val="none"/>
        </w:rPr>
        <w:t>1、乙方派驻项目经理进行运营管理，负责本项目沟通与协调工作，项目经理须持有法人授权书。</w:t>
      </w:r>
    </w:p>
    <w:p w14:paraId="4437939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2、乙方必须接收甲方</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rPr>
        <w:t>名合同制人员，并妥善安置。若该</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rPr>
        <w:t>名人员提起劳动仲裁或起诉甲方的，由乙方承担全部责任，若甲方最终被仲裁委/人民法院裁决/判决需向 员工承担赔偿责任的，则由乙方全额支付该费用</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甲方有权直接在服务费中扣除相关费用</w:t>
      </w:r>
      <w:r>
        <w:rPr>
          <w:rFonts w:hint="eastAsia" w:ascii="宋体" w:hAnsi="宋体" w:eastAsia="宋体" w:cs="宋体"/>
          <w:b w:val="0"/>
          <w:bCs/>
          <w:color w:val="auto"/>
          <w:sz w:val="24"/>
          <w:szCs w:val="24"/>
          <w:highlight w:val="none"/>
        </w:rPr>
        <w:t>。</w:t>
      </w:r>
    </w:p>
    <w:p w14:paraId="7629ECA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 乙方</w:t>
      </w:r>
      <w:r>
        <w:rPr>
          <w:rFonts w:hint="eastAsia" w:ascii="宋体" w:hAnsi="宋体" w:eastAsia="宋体" w:cs="宋体"/>
          <w:b w:val="0"/>
          <w:bCs/>
          <w:color w:val="auto"/>
          <w:sz w:val="24"/>
          <w:szCs w:val="24"/>
          <w:highlight w:val="none"/>
          <w:lang w:eastAsia="zh-CN"/>
        </w:rPr>
        <w:t>应</w:t>
      </w:r>
      <w:r>
        <w:rPr>
          <w:rFonts w:hint="eastAsia" w:ascii="宋体" w:hAnsi="宋体" w:eastAsia="宋体" w:cs="宋体"/>
          <w:b w:val="0"/>
          <w:bCs/>
          <w:color w:val="auto"/>
          <w:sz w:val="24"/>
          <w:szCs w:val="24"/>
          <w:highlight w:val="none"/>
        </w:rPr>
        <w:t>有</w:t>
      </w:r>
      <w:r>
        <w:rPr>
          <w:rFonts w:hint="eastAsia" w:ascii="宋体" w:hAnsi="宋体" w:eastAsia="宋体" w:cs="宋体"/>
          <w:b w:val="0"/>
          <w:bCs/>
          <w:color w:val="auto"/>
          <w:sz w:val="24"/>
          <w:szCs w:val="24"/>
          <w:highlight w:val="none"/>
          <w:lang w:val="en-US" w:eastAsia="zh-CN"/>
        </w:rPr>
        <w:t>80</w:t>
      </w:r>
      <w:r>
        <w:rPr>
          <w:rFonts w:hint="eastAsia" w:ascii="宋体" w:hAnsi="宋体" w:eastAsia="宋体" w:cs="宋体"/>
          <w:b w:val="0"/>
          <w:bCs/>
          <w:color w:val="auto"/>
          <w:sz w:val="24"/>
          <w:szCs w:val="24"/>
          <w:highlight w:val="none"/>
        </w:rPr>
        <w:t>人专职服务于本项目</w:t>
      </w:r>
      <w:r>
        <w:rPr>
          <w:rFonts w:hint="eastAsia" w:ascii="宋体" w:hAnsi="宋体" w:eastAsia="宋体" w:cs="宋体"/>
          <w:b w:val="0"/>
          <w:bCs/>
          <w:color w:val="auto"/>
          <w:sz w:val="24"/>
          <w:szCs w:val="24"/>
          <w:highlight w:val="none"/>
          <w:lang w:val="en-US" w:eastAsia="zh-CN"/>
        </w:rPr>
        <w:t>并驻场，驻场人员≥40人/天。</w:t>
      </w:r>
    </w:p>
    <w:p w14:paraId="607BE56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4、乙方所有工作人员应自觉遵守甲方各项规章制度，乙方所订各项制度应适合甲方工作需要。</w:t>
      </w:r>
    </w:p>
    <w:p w14:paraId="6D243BF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b w:val="0"/>
          <w:bCs/>
          <w:color w:val="auto"/>
          <w:sz w:val="24"/>
          <w:szCs w:val="24"/>
          <w:highlight w:val="none"/>
        </w:rPr>
        <w:t>5、乙方工作人员应认真履行各项相应岗位职责，遵守劳动纪律，</w:t>
      </w:r>
      <w:r>
        <w:rPr>
          <w:rFonts w:hint="eastAsia" w:ascii="宋体" w:hAnsi="宋体" w:eastAsia="宋体" w:cs="宋体"/>
          <w:spacing w:val="10"/>
          <w:sz w:val="24"/>
          <w:szCs w:val="24"/>
        </w:rPr>
        <w:t>无条件接受甲方的</w:t>
      </w:r>
      <w:r>
        <w:rPr>
          <w:rFonts w:hint="eastAsia" w:ascii="宋体" w:hAnsi="宋体" w:eastAsia="宋体" w:cs="宋体"/>
          <w:spacing w:val="6"/>
          <w:sz w:val="24"/>
          <w:szCs w:val="24"/>
        </w:rPr>
        <w:t xml:space="preserve"> 检查、监督、考核。</w:t>
      </w:r>
    </w:p>
    <w:p w14:paraId="5E4DF2D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6、乙方须按照甲方要求，保质、保量、按时完成外包管理范围内工作。</w:t>
      </w:r>
    </w:p>
    <w:p w14:paraId="736445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7、乙方员工必须具备各相关工作实际操作经验，持有相关的资格证书和有效证件，</w:t>
      </w:r>
      <w:r>
        <w:rPr>
          <w:rFonts w:hint="eastAsia" w:ascii="宋体" w:hAnsi="宋体" w:eastAsia="宋体" w:cs="宋体"/>
          <w:spacing w:val="8"/>
          <w:sz w:val="24"/>
          <w:szCs w:val="24"/>
        </w:rPr>
        <w:t>必须严格按照有关操作规程进行操作。</w:t>
      </w:r>
    </w:p>
    <w:p w14:paraId="3A0D464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8、乙方向甲方承诺本公司专业化能力，对不规范操作给甲方造成损失，由乙方负责</w:t>
      </w:r>
      <w:r>
        <w:rPr>
          <w:rFonts w:hint="eastAsia" w:ascii="宋体" w:hAnsi="宋体" w:eastAsia="宋体" w:cs="宋体"/>
          <w:spacing w:val="2"/>
          <w:sz w:val="24"/>
          <w:szCs w:val="24"/>
        </w:rPr>
        <w:t>全部赔偿。</w:t>
      </w:r>
    </w:p>
    <w:p w14:paraId="66E265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9、乙方负责乙方工作人员的工资、奖金、社保、福利及劳保等，因用工问题产生的全部劳动争议或人事争议，或工伤事故等均由乙方负责处理，由此产生的相关法律责任均由乙方承担，与甲方无关；因此给甲方造成损失的，甲方有权向乙方索</w:t>
      </w:r>
      <w:r>
        <w:rPr>
          <w:rFonts w:hint="eastAsia" w:ascii="宋体" w:hAnsi="宋体" w:eastAsia="宋体" w:cs="宋体"/>
          <w:spacing w:val="-2"/>
          <w:sz w:val="24"/>
          <w:szCs w:val="24"/>
        </w:rPr>
        <w:t>赔。</w:t>
      </w:r>
    </w:p>
    <w:p w14:paraId="06C418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36" w:firstLineChars="200"/>
        <w:jc w:val="left"/>
        <w:textAlignment w:val="baseline"/>
        <w:rPr>
          <w:rFonts w:hint="eastAsia" w:ascii="宋体" w:hAnsi="宋体" w:eastAsia="宋体" w:cs="宋体"/>
          <w:sz w:val="24"/>
          <w:szCs w:val="24"/>
        </w:rPr>
      </w:pPr>
      <w:r>
        <w:rPr>
          <w:rFonts w:hint="eastAsia" w:ascii="宋体" w:hAnsi="宋体" w:eastAsia="宋体" w:cs="宋体"/>
          <w:spacing w:val="14"/>
          <w:sz w:val="24"/>
          <w:szCs w:val="24"/>
        </w:rPr>
        <w:t>10、乙方派驻甲方的本项目经理为</w:t>
      </w:r>
      <w:r>
        <w:rPr>
          <w:rFonts w:hint="eastAsia" w:ascii="宋体" w:hAnsi="宋体" w:eastAsia="宋体" w:cs="宋体"/>
          <w:spacing w:val="-78"/>
          <w:sz w:val="24"/>
          <w:szCs w:val="24"/>
        </w:rPr>
        <w:t xml:space="preserve"> </w:t>
      </w:r>
      <w:r>
        <w:rPr>
          <w:rFonts w:hint="eastAsia" w:ascii="宋体" w:hAnsi="宋体" w:eastAsia="宋体" w:cs="宋体"/>
          <w:spacing w:val="14"/>
          <w:sz w:val="24"/>
          <w:szCs w:val="24"/>
          <w:u w:val="single" w:color="auto"/>
        </w:rPr>
        <w:t xml:space="preserve"> </w:t>
      </w:r>
      <w:r>
        <w:rPr>
          <w:rFonts w:hint="eastAsia" w:ascii="宋体" w:hAnsi="宋体" w:cs="宋体"/>
          <w:spacing w:val="14"/>
          <w:sz w:val="24"/>
          <w:szCs w:val="24"/>
          <w:u w:val="single" w:color="auto"/>
          <w:lang w:val="en-US" w:eastAsia="zh-CN"/>
        </w:rPr>
        <w:t xml:space="preserve">   </w:t>
      </w:r>
      <w:r>
        <w:rPr>
          <w:rFonts w:hint="eastAsia" w:ascii="宋体" w:hAnsi="宋体" w:eastAsia="宋体" w:cs="宋体"/>
          <w:spacing w:val="14"/>
          <w:sz w:val="24"/>
          <w:szCs w:val="24"/>
          <w:u w:val="single" w:color="auto"/>
          <w:lang w:val="en-US" w:eastAsia="zh-CN"/>
        </w:rPr>
        <w:t xml:space="preserve"> </w:t>
      </w:r>
      <w:r>
        <w:rPr>
          <w:rFonts w:hint="eastAsia" w:ascii="宋体" w:hAnsi="宋体" w:eastAsia="宋体" w:cs="宋体"/>
          <w:spacing w:val="14"/>
          <w:sz w:val="24"/>
          <w:szCs w:val="24"/>
        </w:rPr>
        <w:t>项目经理</w:t>
      </w:r>
      <w:r>
        <w:rPr>
          <w:rFonts w:hint="eastAsia" w:ascii="宋体" w:hAnsi="宋体" w:eastAsia="宋体" w:cs="宋体"/>
          <w:spacing w:val="6"/>
          <w:sz w:val="24"/>
          <w:szCs w:val="24"/>
        </w:rPr>
        <w:t>须执有法人委托书。</w:t>
      </w:r>
    </w:p>
    <w:p w14:paraId="514A6A1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08" w:firstLineChars="200"/>
        <w:jc w:val="left"/>
        <w:textAlignment w:val="baseline"/>
        <w:rPr>
          <w:rFonts w:hint="eastAsia" w:ascii="宋体" w:hAnsi="宋体" w:eastAsia="宋体" w:cs="宋体"/>
          <w:spacing w:val="7"/>
          <w:sz w:val="24"/>
          <w:szCs w:val="24"/>
        </w:rPr>
      </w:pPr>
      <w:r>
        <w:rPr>
          <w:rFonts w:hint="eastAsia" w:ascii="宋体" w:hAnsi="宋体" w:eastAsia="宋体" w:cs="宋体"/>
          <w:spacing w:val="7"/>
          <w:sz w:val="24"/>
          <w:szCs w:val="24"/>
        </w:rPr>
        <w:t>11、</w:t>
      </w:r>
      <w:r>
        <w:rPr>
          <w:rFonts w:hint="eastAsia" w:ascii="宋体" w:hAnsi="宋体" w:eastAsia="宋体" w:cs="宋体"/>
          <w:spacing w:val="-65"/>
          <w:sz w:val="24"/>
          <w:szCs w:val="24"/>
        </w:rPr>
        <w:t xml:space="preserve"> </w:t>
      </w:r>
      <w:r>
        <w:rPr>
          <w:rFonts w:hint="eastAsia" w:ascii="宋体" w:hAnsi="宋体" w:eastAsia="宋体" w:cs="宋体"/>
          <w:spacing w:val="7"/>
          <w:sz w:val="24"/>
          <w:szCs w:val="24"/>
        </w:rPr>
        <w:t>除上述约定外，乙方的其他合同义务以招、投标文件为准。</w:t>
      </w:r>
    </w:p>
    <w:p w14:paraId="6F6914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08" w:firstLineChars="200"/>
        <w:jc w:val="left"/>
        <w:textAlignment w:val="baseline"/>
        <w:rPr>
          <w:rFonts w:hint="default" w:ascii="宋体" w:hAnsi="宋体" w:eastAsia="宋体" w:cs="宋体"/>
          <w:sz w:val="24"/>
          <w:szCs w:val="24"/>
          <w:lang w:val="en-US" w:eastAsia="zh-CN"/>
        </w:rPr>
      </w:pPr>
      <w:r>
        <w:rPr>
          <w:rFonts w:hint="eastAsia" w:ascii="宋体" w:hAnsi="宋体" w:cs="宋体"/>
          <w:spacing w:val="7"/>
          <w:sz w:val="24"/>
          <w:szCs w:val="24"/>
          <w:lang w:val="en-US" w:eastAsia="zh-CN"/>
        </w:rPr>
        <w:t>12、乙方须对自身提供的全部服务及交付成果承担全部法律与经济责任。合同履行期间，凡因乙方服务事项、服务行为、服务成果存在过错、瑕疵或违规情形，致使甲方遭受行政机关行政处罚、被第三方提起索赔、诉讼、仲裁及其他追责的，由此产生的全部损失、赔偿金、罚款、违约金、诉讼费、律师费、保全费、差旅费等所有相关费用及一切法律后果，均由乙方全额承担，甲方不承担任何责任。</w:t>
      </w:r>
    </w:p>
    <w:p w14:paraId="62AF57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cs="宋体"/>
          <w:spacing w:val="10"/>
          <w:sz w:val="24"/>
          <w:szCs w:val="24"/>
          <w:lang w:val="en-US" w:eastAsia="zh-CN"/>
        </w:rPr>
        <w:t>3</w:t>
      </w:r>
      <w:r>
        <w:rPr>
          <w:rFonts w:hint="eastAsia" w:ascii="宋体" w:hAnsi="宋体" w:eastAsia="宋体" w:cs="宋体"/>
          <w:spacing w:val="10"/>
          <w:sz w:val="24"/>
          <w:szCs w:val="24"/>
        </w:rPr>
        <w:t>、若本合同因故终止或解除的，乙方应继续履</w:t>
      </w:r>
      <w:r>
        <w:rPr>
          <w:rFonts w:hint="eastAsia" w:ascii="宋体" w:hAnsi="宋体" w:eastAsia="宋体" w:cs="宋体"/>
          <w:spacing w:val="9"/>
          <w:sz w:val="24"/>
          <w:szCs w:val="24"/>
        </w:rPr>
        <w:t>行合同，保持项目管理工作的连续</w:t>
      </w:r>
      <w:r>
        <w:rPr>
          <w:rFonts w:hint="eastAsia" w:ascii="宋体" w:hAnsi="宋体" w:eastAsia="宋体" w:cs="宋体"/>
          <w:spacing w:val="10"/>
          <w:sz w:val="24"/>
          <w:szCs w:val="24"/>
        </w:rPr>
        <w:t>性，本合同因任何原因提前终止或提前</w:t>
      </w:r>
      <w:r>
        <w:rPr>
          <w:rFonts w:hint="eastAsia" w:ascii="宋体" w:hAnsi="宋体" w:eastAsia="宋体" w:cs="宋体"/>
          <w:spacing w:val="10"/>
          <w:sz w:val="24"/>
          <w:szCs w:val="24"/>
          <w:lang w:eastAsia="zh-CN"/>
        </w:rPr>
        <w:t>解除的</w:t>
      </w:r>
      <w:r>
        <w:rPr>
          <w:rFonts w:hint="eastAsia" w:ascii="宋体" w:hAnsi="宋体" w:eastAsia="宋体" w:cs="宋体"/>
          <w:spacing w:val="10"/>
          <w:sz w:val="24"/>
          <w:szCs w:val="24"/>
        </w:rPr>
        <w:t>，</w:t>
      </w:r>
      <w:r>
        <w:rPr>
          <w:rFonts w:hint="eastAsia" w:ascii="宋体" w:hAnsi="宋体" w:eastAsia="宋体" w:cs="宋体"/>
          <w:spacing w:val="10"/>
          <w:sz w:val="24"/>
          <w:szCs w:val="24"/>
          <w:lang w:eastAsia="zh-CN"/>
        </w:rPr>
        <w:t>乙方应继续</w:t>
      </w:r>
      <w:r>
        <w:rPr>
          <w:rFonts w:hint="eastAsia" w:ascii="宋体" w:hAnsi="宋体" w:eastAsia="宋体" w:cs="宋体"/>
          <w:spacing w:val="10"/>
          <w:sz w:val="24"/>
          <w:szCs w:val="24"/>
        </w:rPr>
        <w:t>履行合同义</w:t>
      </w:r>
      <w:r>
        <w:rPr>
          <w:rFonts w:hint="eastAsia" w:ascii="宋体" w:hAnsi="宋体" w:eastAsia="宋体" w:cs="宋体"/>
          <w:spacing w:val="9"/>
          <w:sz w:val="24"/>
          <w:szCs w:val="24"/>
        </w:rPr>
        <w:t>务直至</w:t>
      </w:r>
      <w:r>
        <w:rPr>
          <w:rFonts w:hint="eastAsia" w:ascii="宋体" w:hAnsi="宋体" w:eastAsia="宋体" w:cs="宋体"/>
          <w:spacing w:val="3"/>
          <w:sz w:val="24"/>
          <w:szCs w:val="24"/>
        </w:rPr>
        <w:t>下一家供应商进场。</w:t>
      </w:r>
    </w:p>
    <w:p w14:paraId="1CFF333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pacing w:val="-49"/>
          <w:sz w:val="24"/>
          <w:szCs w:val="24"/>
        </w:rPr>
        <w:t xml:space="preserve"> </w:t>
      </w:r>
      <w:r>
        <w:rPr>
          <w:rFonts w:hint="eastAsia" w:ascii="宋体" w:hAnsi="宋体" w:eastAsia="宋体" w:cs="宋体"/>
          <w:b/>
          <w:bCs/>
          <w:sz w:val="24"/>
          <w:szCs w:val="24"/>
        </w:rPr>
        <w:t>、违约责任</w:t>
      </w:r>
    </w:p>
    <w:p w14:paraId="2C930B9C">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right="0" w:firstLine="512"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乙方未履行或未按照本合同约定履行任一本合同义务的，应按照本合同总价的</w:t>
      </w:r>
      <w:r>
        <w:rPr>
          <w:rFonts w:hint="eastAsia" w:ascii="宋体" w:hAnsi="宋体" w:eastAsia="宋体" w:cs="宋体"/>
          <w:sz w:val="24"/>
          <w:szCs w:val="24"/>
        </w:rPr>
        <w:t xml:space="preserve"> </w:t>
      </w:r>
      <w:r>
        <w:rPr>
          <w:rFonts w:hint="eastAsia" w:ascii="宋体" w:hAnsi="宋体" w:eastAsia="宋体" w:cs="宋体"/>
          <w:spacing w:val="13"/>
          <w:sz w:val="24"/>
          <w:szCs w:val="24"/>
        </w:rPr>
        <w:t>【</w:t>
      </w:r>
      <w:r>
        <w:rPr>
          <w:rFonts w:hint="eastAsia" w:ascii="宋体" w:hAnsi="宋体" w:cs="宋体"/>
          <w:spacing w:val="13"/>
          <w:sz w:val="24"/>
          <w:szCs w:val="24"/>
          <w:lang w:val="en-US" w:eastAsia="zh-CN"/>
        </w:rPr>
        <w:t>3</w:t>
      </w:r>
      <w:r>
        <w:rPr>
          <w:rFonts w:hint="eastAsia" w:ascii="宋体" w:hAnsi="宋体" w:eastAsia="宋体" w:cs="宋体"/>
          <w:spacing w:val="13"/>
          <w:sz w:val="24"/>
          <w:szCs w:val="24"/>
        </w:rPr>
        <w:t>0】%向甲方支付违约金，并赔偿由此给甲</w:t>
      </w:r>
      <w:r>
        <w:rPr>
          <w:rFonts w:hint="eastAsia" w:ascii="宋体" w:hAnsi="宋体" w:eastAsia="宋体" w:cs="宋体"/>
          <w:spacing w:val="12"/>
          <w:sz w:val="24"/>
          <w:szCs w:val="24"/>
          <w:lang w:eastAsia="zh-CN"/>
        </w:rPr>
        <w:t>方</w:t>
      </w:r>
      <w:r>
        <w:rPr>
          <w:rFonts w:hint="eastAsia" w:ascii="宋体" w:hAnsi="宋体" w:eastAsia="宋体" w:cs="宋体"/>
          <w:spacing w:val="2"/>
          <w:sz w:val="24"/>
          <w:szCs w:val="24"/>
          <w:lang w:eastAsia="zh-CN"/>
        </w:rPr>
        <w:t>造成的一</w:t>
      </w:r>
      <w:r>
        <w:rPr>
          <w:rFonts w:hint="eastAsia" w:ascii="宋体" w:hAnsi="宋体" w:eastAsia="宋体" w:cs="宋体"/>
          <w:spacing w:val="12"/>
          <w:sz w:val="24"/>
          <w:szCs w:val="24"/>
        </w:rPr>
        <w:t>切损失。</w:t>
      </w:r>
    </w:p>
    <w:p w14:paraId="58EE30F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right="0" w:rightChars="0" w:firstLine="419" w:firstLineChars="403"/>
        <w:jc w:val="left"/>
        <w:textAlignment w:val="baseline"/>
        <w:rPr>
          <w:rFonts w:hint="eastAsia" w:ascii="宋体" w:hAnsi="宋体" w:eastAsia="宋体" w:cs="宋体"/>
          <w:sz w:val="24"/>
          <w:szCs w:val="24"/>
        </w:rPr>
      </w:pPr>
      <w:r>
        <w:rPr>
          <w:rFonts w:hint="eastAsia" w:ascii="宋体" w:hAnsi="宋体" w:eastAsia="宋体" w:cs="宋体"/>
          <w:spacing w:val="-68"/>
          <w:sz w:val="24"/>
          <w:szCs w:val="24"/>
        </w:rPr>
        <w:t xml:space="preserve"> </w:t>
      </w:r>
      <w:r>
        <w:rPr>
          <w:rFonts w:hint="eastAsia" w:ascii="宋体" w:hAnsi="宋体" w:eastAsia="宋体" w:cs="宋体"/>
          <w:spacing w:val="-68"/>
          <w:sz w:val="24"/>
          <w:szCs w:val="24"/>
          <w:lang w:val="en-US" w:eastAsia="zh-CN"/>
        </w:rPr>
        <w:t xml:space="preserve">         </w:t>
      </w:r>
      <w:r>
        <w:rPr>
          <w:rFonts w:hint="eastAsia" w:ascii="宋体" w:hAnsi="宋体" w:eastAsia="宋体" w:cs="宋体"/>
          <w:spacing w:val="9"/>
          <w:sz w:val="24"/>
          <w:szCs w:val="24"/>
          <w:lang w:val="en-US" w:eastAsia="zh-CN"/>
        </w:rPr>
        <w:t>2、</w:t>
      </w:r>
      <w:r>
        <w:rPr>
          <w:rFonts w:hint="eastAsia" w:ascii="宋体" w:hAnsi="宋体" w:eastAsia="宋体" w:cs="宋体"/>
          <w:spacing w:val="9"/>
          <w:sz w:val="24"/>
          <w:szCs w:val="24"/>
        </w:rPr>
        <w:t>除本合同另有约定外，若因乙方原因导致本合同被废止或解除的，</w:t>
      </w:r>
      <w:r>
        <w:rPr>
          <w:rFonts w:hint="eastAsia" w:ascii="宋体" w:hAnsi="宋体" w:eastAsia="宋体" w:cs="宋体"/>
          <w:spacing w:val="8"/>
          <w:sz w:val="24"/>
          <w:szCs w:val="24"/>
        </w:rPr>
        <w:t>乙方应按合</w:t>
      </w:r>
      <w:r>
        <w:rPr>
          <w:rFonts w:hint="eastAsia" w:ascii="宋体" w:hAnsi="宋体" w:eastAsia="宋体" w:cs="宋体"/>
          <w:spacing w:val="9"/>
          <w:sz w:val="24"/>
          <w:szCs w:val="24"/>
        </w:rPr>
        <w:t>同总价的【</w:t>
      </w:r>
      <w:r>
        <w:rPr>
          <w:rFonts w:hint="eastAsia" w:ascii="宋体" w:hAnsi="宋体" w:cs="宋体"/>
          <w:spacing w:val="9"/>
          <w:sz w:val="24"/>
          <w:szCs w:val="24"/>
          <w:lang w:val="en-US" w:eastAsia="zh-CN"/>
        </w:rPr>
        <w:t>3</w:t>
      </w:r>
      <w:r>
        <w:rPr>
          <w:rFonts w:hint="eastAsia" w:ascii="宋体" w:hAnsi="宋体" w:eastAsia="宋体" w:cs="宋体"/>
          <w:spacing w:val="9"/>
          <w:sz w:val="24"/>
          <w:szCs w:val="24"/>
        </w:rPr>
        <w:t>0】%向甲方支付违约金，违约金不足以赔偿甲方损失的，由乙方另行</w:t>
      </w:r>
      <w:r>
        <w:rPr>
          <w:rFonts w:hint="eastAsia" w:ascii="宋体" w:hAnsi="宋体" w:eastAsia="宋体" w:cs="宋体"/>
          <w:spacing w:val="1"/>
          <w:sz w:val="24"/>
          <w:szCs w:val="24"/>
        </w:rPr>
        <w:t>承担。</w:t>
      </w:r>
    </w:p>
    <w:p w14:paraId="0DA6B72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78" w:firstLineChars="200"/>
        <w:jc w:val="left"/>
        <w:textAlignment w:val="baseline"/>
        <w:rPr>
          <w:rFonts w:hint="eastAsia" w:ascii="宋体" w:hAnsi="宋体" w:eastAsia="宋体" w:cs="宋体"/>
          <w:b/>
          <w:bCs/>
          <w:spacing w:val="-1"/>
          <w:sz w:val="24"/>
          <w:szCs w:val="24"/>
        </w:rPr>
      </w:pPr>
      <w:r>
        <w:rPr>
          <w:rFonts w:hint="eastAsia" w:ascii="宋体" w:hAnsi="宋体" w:eastAsia="宋体" w:cs="宋体"/>
          <w:b/>
          <w:bCs/>
          <w:spacing w:val="-1"/>
          <w:sz w:val="24"/>
          <w:szCs w:val="24"/>
        </w:rPr>
        <w:t>十</w:t>
      </w:r>
      <w:r>
        <w:rPr>
          <w:rFonts w:hint="eastAsia" w:ascii="宋体" w:hAnsi="宋体" w:eastAsia="宋体" w:cs="宋体"/>
          <w:b/>
          <w:bCs/>
          <w:spacing w:val="-53"/>
          <w:sz w:val="24"/>
          <w:szCs w:val="24"/>
        </w:rPr>
        <w:t xml:space="preserve"> </w:t>
      </w:r>
      <w:r>
        <w:rPr>
          <w:rFonts w:hint="eastAsia" w:ascii="宋体" w:hAnsi="宋体" w:eastAsia="宋体" w:cs="宋体"/>
          <w:b/>
          <w:bCs/>
          <w:spacing w:val="-1"/>
          <w:sz w:val="24"/>
          <w:szCs w:val="24"/>
        </w:rPr>
        <w:t>一、安全保障</w:t>
      </w:r>
      <w:bookmarkStart w:id="0" w:name="bookmark10"/>
      <w:bookmarkEnd w:id="0"/>
    </w:p>
    <w:p w14:paraId="141618DB">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1、乙方应严格按安全标准进行操作，并随时接受甲方和</w:t>
      </w:r>
      <w:r>
        <w:rPr>
          <w:rFonts w:hint="eastAsia" w:ascii="宋体" w:hAnsi="宋体" w:eastAsia="宋体" w:cs="宋体"/>
          <w:spacing w:val="9"/>
          <w:sz w:val="24"/>
          <w:szCs w:val="24"/>
        </w:rPr>
        <w:t>行业安全检查人员的监督</w:t>
      </w:r>
      <w:r>
        <w:rPr>
          <w:rFonts w:hint="eastAsia" w:ascii="宋体" w:hAnsi="宋体" w:eastAsia="宋体" w:cs="宋体"/>
          <w:spacing w:val="-4"/>
          <w:sz w:val="24"/>
          <w:szCs w:val="24"/>
        </w:rPr>
        <w:t>检查。</w:t>
      </w:r>
    </w:p>
    <w:p w14:paraId="53C5D3AD">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2、若因履行本合同而对甲方、甲乙双方工作人员及其他任何第三人造成的人身损害及财产损失均由乙方承担，与甲方无关，甲方若因此遭受损失的，乙方应予赔</w:t>
      </w:r>
      <w:r>
        <w:rPr>
          <w:rFonts w:hint="eastAsia" w:ascii="宋体" w:hAnsi="宋体" w:eastAsia="宋体" w:cs="宋体"/>
          <w:spacing w:val="-4"/>
          <w:sz w:val="24"/>
          <w:szCs w:val="24"/>
        </w:rPr>
        <w:t>偿。</w:t>
      </w:r>
    </w:p>
    <w:p w14:paraId="20A25F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3、乙方按有关规定采取严格的安全防护措施，承担由于乙方安全措施不力造成人</w:t>
      </w:r>
      <w:r>
        <w:rPr>
          <w:rFonts w:hint="eastAsia" w:ascii="宋体" w:hAnsi="宋体" w:eastAsia="宋体" w:cs="宋体"/>
          <w:spacing w:val="6"/>
          <w:sz w:val="24"/>
          <w:szCs w:val="24"/>
        </w:rPr>
        <w:t>员伤亡事故的责任和因此发生的费用。</w:t>
      </w:r>
    </w:p>
    <w:p w14:paraId="250AF834">
      <w:pPr>
        <w:keepNext w:val="0"/>
        <w:keepLines w:val="0"/>
        <w:pageBreakBefore w:val="0"/>
        <w:widowControl/>
        <w:kinsoku/>
        <w:wordWrap/>
        <w:overflowPunct/>
        <w:topLinePunct w:val="0"/>
        <w:autoSpaceDE w:val="0"/>
        <w:autoSpaceDN w:val="0"/>
        <w:bidi w:val="0"/>
        <w:adjustRightInd w:val="0"/>
        <w:snapToGrid w:val="0"/>
        <w:spacing w:line="360" w:lineRule="auto"/>
        <w:ind w:right="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十二、不可抗力</w:t>
      </w:r>
    </w:p>
    <w:p w14:paraId="1311F5A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1、若出现不可抗力事件，乙方应在力所能及的条件下迅速采取措施，尽力减少损失。</w:t>
      </w:r>
    </w:p>
    <w:p w14:paraId="780A98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2"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2、因不可抗力事件导致的费用由双方按以下方法分别承担：</w:t>
      </w:r>
    </w:p>
    <w:p w14:paraId="14A97D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32" w:firstLineChars="200"/>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(1)人员伤亡由各自单位负责，并各自承担相应费用。</w:t>
      </w:r>
    </w:p>
    <w:p w14:paraId="0F96AFA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32" w:firstLineChars="200"/>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(2)乙方机械设备损坏及停工损失，由乙方负责。</w:t>
      </w:r>
    </w:p>
    <w:p w14:paraId="71C142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32" w:firstLineChars="200"/>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(3)甲方设备设施所需清理、修复费用由</w:t>
      </w:r>
      <w:r>
        <w:rPr>
          <w:rFonts w:hint="eastAsia" w:ascii="宋体" w:hAnsi="宋体" w:eastAsia="宋体" w:cs="宋体"/>
          <w:spacing w:val="13"/>
          <w:sz w:val="24"/>
          <w:szCs w:val="24"/>
          <w:lang w:eastAsia="zh-CN"/>
        </w:rPr>
        <w:t>乙方</w:t>
      </w:r>
      <w:r>
        <w:rPr>
          <w:rFonts w:hint="eastAsia" w:ascii="宋体" w:hAnsi="宋体" w:eastAsia="宋体" w:cs="宋体"/>
          <w:spacing w:val="13"/>
          <w:sz w:val="24"/>
          <w:szCs w:val="24"/>
        </w:rPr>
        <w:t>负责。</w:t>
      </w:r>
    </w:p>
    <w:p w14:paraId="145CD76F">
      <w:pPr>
        <w:keepNext w:val="0"/>
        <w:keepLines w:val="0"/>
        <w:pageBreakBefore w:val="0"/>
        <w:widowControl/>
        <w:kinsoku/>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十三、合同争议解决的方式</w:t>
      </w:r>
    </w:p>
    <w:p w14:paraId="7F352B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本合同在履行过程中发生的争议，由甲、乙双方当事人协商解决，协商</w:t>
      </w:r>
      <w:r>
        <w:rPr>
          <w:rFonts w:hint="eastAsia" w:ascii="宋体" w:hAnsi="宋体" w:eastAsia="宋体" w:cs="宋体"/>
          <w:spacing w:val="9"/>
          <w:sz w:val="24"/>
          <w:szCs w:val="24"/>
        </w:rPr>
        <w:t>不成的按以</w:t>
      </w:r>
      <w:r>
        <w:rPr>
          <w:rFonts w:hint="eastAsia" w:ascii="宋体" w:hAnsi="宋体" w:eastAsia="宋体" w:cs="宋体"/>
          <w:spacing w:val="2"/>
          <w:sz w:val="24"/>
          <w:szCs w:val="24"/>
        </w:rPr>
        <w:t>下第</w:t>
      </w:r>
      <w:r>
        <w:rPr>
          <w:rFonts w:hint="eastAsia" w:ascii="宋体" w:hAnsi="宋体" w:eastAsia="宋体" w:cs="宋体"/>
          <w:spacing w:val="2"/>
          <w:sz w:val="24"/>
          <w:szCs w:val="24"/>
          <w:u w:val="single"/>
        </w:rPr>
        <w:t>2</w:t>
      </w:r>
      <w:r>
        <w:rPr>
          <w:rFonts w:hint="eastAsia" w:ascii="宋体" w:hAnsi="宋体" w:eastAsia="宋体" w:cs="宋体"/>
          <w:spacing w:val="2"/>
          <w:sz w:val="24"/>
          <w:szCs w:val="24"/>
        </w:rPr>
        <w:t>种方式解决：</w:t>
      </w:r>
    </w:p>
    <w:p w14:paraId="2129F8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00" w:firstLineChars="200"/>
        <w:jc w:val="left"/>
        <w:textAlignment w:val="baseline"/>
        <w:rPr>
          <w:rFonts w:hint="eastAsia" w:ascii="宋体" w:hAnsi="宋体" w:eastAsia="宋体" w:cs="宋体"/>
          <w:sz w:val="24"/>
          <w:szCs w:val="24"/>
        </w:rPr>
      </w:pPr>
      <w:r>
        <w:rPr>
          <w:rFonts w:hint="eastAsia" w:ascii="宋体" w:hAnsi="宋体" w:eastAsia="宋体" w:cs="宋体"/>
          <w:spacing w:val="5"/>
          <w:sz w:val="24"/>
          <w:szCs w:val="24"/>
        </w:rPr>
        <w:t>1、提交</w:t>
      </w:r>
      <w:r>
        <w:rPr>
          <w:rFonts w:hint="eastAsia" w:ascii="宋体" w:hAnsi="宋体" w:eastAsia="宋体" w:cs="宋体"/>
          <w:spacing w:val="5"/>
          <w:sz w:val="24"/>
          <w:szCs w:val="24"/>
          <w:u w:val="single" w:color="auto"/>
        </w:rPr>
        <w:t>西安</w:t>
      </w:r>
      <w:r>
        <w:rPr>
          <w:rFonts w:hint="eastAsia" w:ascii="宋体" w:hAnsi="宋体" w:eastAsia="宋体" w:cs="宋体"/>
          <w:spacing w:val="5"/>
          <w:sz w:val="24"/>
          <w:szCs w:val="24"/>
        </w:rPr>
        <w:t>仲裁委员会仲裁；</w:t>
      </w:r>
    </w:p>
    <w:p w14:paraId="540C64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2"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2、依法向</w:t>
      </w:r>
      <w:r>
        <w:rPr>
          <w:rFonts w:hint="eastAsia" w:ascii="宋体" w:hAnsi="宋体" w:eastAsia="宋体" w:cs="宋体"/>
          <w:spacing w:val="8"/>
          <w:sz w:val="24"/>
          <w:szCs w:val="24"/>
          <w:u w:val="single" w:color="auto"/>
        </w:rPr>
        <w:t>甲方所在地</w:t>
      </w:r>
      <w:r>
        <w:rPr>
          <w:rFonts w:hint="eastAsia" w:ascii="宋体" w:hAnsi="宋体" w:eastAsia="宋体" w:cs="宋体"/>
          <w:spacing w:val="8"/>
          <w:sz w:val="24"/>
          <w:szCs w:val="24"/>
        </w:rPr>
        <w:t>人民法院起诉。</w:t>
      </w:r>
    </w:p>
    <w:p w14:paraId="53AC3AAB">
      <w:pPr>
        <w:keepNext w:val="0"/>
        <w:keepLines w:val="0"/>
        <w:pageBreakBefore w:val="0"/>
        <w:widowControl/>
        <w:kinsoku/>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十四、合同生效</w:t>
      </w:r>
    </w:p>
    <w:p w14:paraId="4AC2CD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1、本合同一式</w:t>
      </w:r>
      <w:r>
        <w:rPr>
          <w:rFonts w:hint="eastAsia" w:ascii="宋体" w:hAnsi="宋体" w:cs="宋体"/>
          <w:spacing w:val="9"/>
          <w:sz w:val="24"/>
          <w:szCs w:val="24"/>
          <w:u w:val="single"/>
          <w:lang w:val="en-US" w:eastAsia="zh-CN"/>
        </w:rPr>
        <w:t>拾</w:t>
      </w:r>
      <w:r>
        <w:rPr>
          <w:rFonts w:hint="eastAsia" w:ascii="宋体" w:hAnsi="宋体" w:eastAsia="宋体" w:cs="宋体"/>
          <w:spacing w:val="9"/>
          <w:sz w:val="24"/>
          <w:szCs w:val="24"/>
        </w:rPr>
        <w:t>份，甲方执</w:t>
      </w:r>
      <w:r>
        <w:rPr>
          <w:rFonts w:hint="eastAsia" w:ascii="宋体" w:hAnsi="宋体" w:cs="宋体"/>
          <w:spacing w:val="9"/>
          <w:sz w:val="24"/>
          <w:szCs w:val="24"/>
          <w:u w:val="single"/>
          <w:lang w:val="en-US" w:eastAsia="zh-CN"/>
        </w:rPr>
        <w:t>柒</w:t>
      </w:r>
      <w:r>
        <w:rPr>
          <w:rFonts w:hint="eastAsia" w:ascii="宋体" w:hAnsi="宋体" w:eastAsia="宋体" w:cs="宋体"/>
          <w:spacing w:val="9"/>
          <w:sz w:val="24"/>
          <w:szCs w:val="24"/>
        </w:rPr>
        <w:t>份，乙方执</w:t>
      </w:r>
      <w:r>
        <w:rPr>
          <w:rFonts w:hint="eastAsia" w:ascii="宋体" w:hAnsi="宋体" w:eastAsia="宋体" w:cs="宋体"/>
          <w:spacing w:val="9"/>
          <w:sz w:val="24"/>
          <w:szCs w:val="24"/>
          <w:u w:val="single"/>
        </w:rPr>
        <w:t>叁</w:t>
      </w:r>
      <w:r>
        <w:rPr>
          <w:rFonts w:hint="eastAsia" w:ascii="宋体" w:hAnsi="宋体" w:eastAsia="宋体" w:cs="宋体"/>
          <w:spacing w:val="9"/>
          <w:sz w:val="24"/>
          <w:szCs w:val="24"/>
        </w:rPr>
        <w:t>份，各份具有同等法律效力。</w:t>
      </w:r>
    </w:p>
    <w:p w14:paraId="6FE038E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2"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68"/>
          <w:sz w:val="24"/>
          <w:szCs w:val="24"/>
        </w:rPr>
        <w:t xml:space="preserve"> </w:t>
      </w:r>
      <w:r>
        <w:rPr>
          <w:rFonts w:hint="eastAsia" w:ascii="宋体" w:hAnsi="宋体" w:eastAsia="宋体" w:cs="宋体"/>
          <w:spacing w:val="8"/>
          <w:sz w:val="24"/>
          <w:szCs w:val="24"/>
        </w:rPr>
        <w:t>本合同甲、乙双方签字并盖章后生效，合同执行完毕后，</w:t>
      </w:r>
      <w:r>
        <w:rPr>
          <w:rFonts w:hint="eastAsia" w:ascii="宋体" w:hAnsi="宋体" w:eastAsia="宋体" w:cs="宋体"/>
          <w:spacing w:val="7"/>
          <w:sz w:val="24"/>
          <w:szCs w:val="24"/>
        </w:rPr>
        <w:t>自动终止。</w:t>
      </w:r>
    </w:p>
    <w:p w14:paraId="4663D53D">
      <w:pPr>
        <w:keepNext w:val="0"/>
        <w:keepLines w:val="0"/>
        <w:pageBreakBefore w:val="0"/>
        <w:widowControl/>
        <w:kinsoku/>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十五、其他事项</w:t>
      </w:r>
    </w:p>
    <w:p w14:paraId="099B58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32" w:firstLineChars="200"/>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1、合同未尽事宜，由甲、乙双方协商、</w:t>
      </w:r>
      <w:r>
        <w:rPr>
          <w:rFonts w:hint="eastAsia" w:ascii="宋体" w:hAnsi="宋体" w:eastAsia="宋体" w:cs="宋体"/>
          <w:spacing w:val="13"/>
          <w:sz w:val="24"/>
          <w:szCs w:val="24"/>
          <w:lang w:eastAsia="zh-CN"/>
        </w:rPr>
        <w:t>确定后作为合同</w:t>
      </w:r>
      <w:r>
        <w:rPr>
          <w:rFonts w:hint="eastAsia" w:ascii="宋体" w:hAnsi="宋体" w:eastAsia="宋体" w:cs="宋体"/>
          <w:spacing w:val="13"/>
          <w:sz w:val="24"/>
          <w:szCs w:val="24"/>
        </w:rPr>
        <w:t>补充，与原合同具有同</w:t>
      </w:r>
      <w:r>
        <w:rPr>
          <w:rFonts w:hint="eastAsia" w:ascii="宋体" w:hAnsi="宋体" w:eastAsia="宋体" w:cs="宋体"/>
          <w:spacing w:val="2"/>
          <w:sz w:val="24"/>
          <w:szCs w:val="24"/>
        </w:rPr>
        <w:t>等法律效力。</w:t>
      </w:r>
    </w:p>
    <w:p w14:paraId="658026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9"/>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2、合同一经签订，不得擅自变更、中止</w:t>
      </w:r>
      <w:r>
        <w:rPr>
          <w:rFonts w:hint="eastAsia" w:ascii="宋体" w:hAnsi="宋体" w:eastAsia="宋体" w:cs="宋体"/>
          <w:spacing w:val="13"/>
          <w:sz w:val="24"/>
          <w:szCs w:val="24"/>
          <w:lang w:eastAsia="zh-CN"/>
        </w:rPr>
        <w:t>合同</w:t>
      </w:r>
      <w:r>
        <w:rPr>
          <w:rFonts w:hint="eastAsia" w:ascii="宋体" w:hAnsi="宋体" w:eastAsia="宋体" w:cs="宋体"/>
          <w:spacing w:val="13"/>
          <w:sz w:val="24"/>
          <w:szCs w:val="24"/>
        </w:rPr>
        <w:t>。对</w:t>
      </w:r>
      <w:r>
        <w:rPr>
          <w:rFonts w:hint="eastAsia" w:ascii="宋体" w:hAnsi="宋体" w:eastAsia="宋体" w:cs="宋体"/>
          <w:spacing w:val="13"/>
          <w:sz w:val="24"/>
          <w:szCs w:val="24"/>
          <w:lang w:eastAsia="zh-CN"/>
        </w:rPr>
        <w:t>确</w:t>
      </w:r>
      <w:r>
        <w:rPr>
          <w:rFonts w:hint="eastAsia" w:ascii="宋体" w:hAnsi="宋体" w:eastAsia="宋体" w:cs="宋体"/>
          <w:spacing w:val="13"/>
          <w:sz w:val="24"/>
          <w:szCs w:val="24"/>
        </w:rPr>
        <w:t>需</w:t>
      </w:r>
      <w:r>
        <w:rPr>
          <w:rFonts w:hint="eastAsia" w:ascii="宋体" w:hAnsi="宋体" w:eastAsia="宋体" w:cs="宋体"/>
          <w:spacing w:val="13"/>
          <w:sz w:val="24"/>
          <w:szCs w:val="24"/>
          <w:lang w:eastAsia="zh-CN"/>
        </w:rPr>
        <w:t>变更</w:t>
      </w:r>
      <w:r>
        <w:rPr>
          <w:rFonts w:hint="eastAsia" w:ascii="宋体" w:hAnsi="宋体" w:eastAsia="宋体" w:cs="宋体"/>
          <w:spacing w:val="13"/>
          <w:sz w:val="24"/>
          <w:szCs w:val="24"/>
        </w:rPr>
        <w:t>、调整或中止、</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终止合同的，应按规定履行相应的手续。</w:t>
      </w:r>
    </w:p>
    <w:p w14:paraId="65607FC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12" w:firstLineChars="200"/>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3、本合同按照中华人民共和国的现行法律进行解释。</w:t>
      </w:r>
    </w:p>
    <w:p w14:paraId="254FD13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4" w:firstLineChars="200"/>
        <w:jc w:val="left"/>
        <w:textAlignment w:val="baseline"/>
        <w:rPr>
          <w:rFonts w:hint="eastAsia" w:ascii="宋体" w:hAnsi="宋体" w:eastAsia="宋体" w:cs="宋体"/>
          <w:sz w:val="24"/>
          <w:szCs w:val="24"/>
        </w:rPr>
      </w:pPr>
      <w:r>
        <w:rPr>
          <w:rFonts w:hint="eastAsia" w:ascii="宋体" w:hAnsi="宋体" w:eastAsia="宋体" w:cs="宋体"/>
          <w:spacing w:val="21"/>
          <w:sz w:val="24"/>
          <w:szCs w:val="24"/>
        </w:rPr>
        <w:t>4、招标文件、投标文件、澄清函(表)均为本合同不可分割的一部分，</w:t>
      </w:r>
      <w:r>
        <w:rPr>
          <w:rFonts w:hint="eastAsia" w:ascii="宋体" w:hAnsi="宋体" w:eastAsia="宋体" w:cs="宋体"/>
          <w:spacing w:val="5"/>
          <w:sz w:val="24"/>
          <w:szCs w:val="24"/>
        </w:rPr>
        <w:t>与本合同具有同等法律效力。</w:t>
      </w:r>
    </w:p>
    <w:p w14:paraId="69E66DBF">
      <w:pPr>
        <w:keepNext w:val="0"/>
        <w:keepLines w:val="0"/>
        <w:pageBreakBefore w:val="0"/>
        <w:widowControl/>
        <w:kinsoku/>
        <w:wordWrap/>
        <w:overflowPunct/>
        <w:topLinePunct w:val="0"/>
        <w:autoSpaceDE w:val="0"/>
        <w:autoSpaceDN w:val="0"/>
        <w:bidi w:val="0"/>
        <w:adjustRightInd w:val="0"/>
        <w:snapToGrid w:val="0"/>
        <w:spacing w:line="360" w:lineRule="auto"/>
        <w:ind w:right="0" w:firstLine="532" w:firstLineChars="200"/>
        <w:jc w:val="left"/>
        <w:textAlignment w:val="baseline"/>
        <w:rPr>
          <w:rFonts w:hint="eastAsia" w:ascii="宋体" w:hAnsi="宋体" w:eastAsia="宋体" w:cs="宋体"/>
          <w:spacing w:val="8"/>
          <w:sz w:val="24"/>
          <w:szCs w:val="24"/>
          <w:u w:val="single" w:color="auto"/>
        </w:rPr>
      </w:pPr>
      <w:r>
        <w:rPr>
          <w:rFonts w:hint="eastAsia" w:ascii="宋体" w:hAnsi="宋体" w:eastAsia="宋体" w:cs="宋体"/>
          <w:spacing w:val="13"/>
          <w:sz w:val="24"/>
          <w:szCs w:val="24"/>
        </w:rPr>
        <w:t>5、供应商规模</w:t>
      </w:r>
      <w:r>
        <w:rPr>
          <w:rFonts w:hint="eastAsia" w:ascii="宋体" w:hAnsi="宋体" w:eastAsia="宋体" w:cs="宋体"/>
          <w:spacing w:val="8"/>
          <w:sz w:val="24"/>
          <w:szCs w:val="24"/>
        </w:rPr>
        <w:t>：</w:t>
      </w:r>
      <w:r>
        <w:rPr>
          <w:rFonts w:hint="eastAsia" w:ascii="宋体" w:hAnsi="宋体" w:eastAsia="宋体" w:cs="宋体"/>
          <w:spacing w:val="8"/>
          <w:sz w:val="24"/>
          <w:szCs w:val="24"/>
          <w:u w:val="single" w:color="auto"/>
          <w:lang w:val="en-US" w:eastAsia="zh-CN"/>
        </w:rPr>
        <w:t xml:space="preserve">          </w:t>
      </w:r>
    </w:p>
    <w:p w14:paraId="3AE1F098">
      <w:pPr>
        <w:keepNext w:val="0"/>
        <w:keepLines w:val="0"/>
        <w:pageBreakBefore w:val="0"/>
        <w:widowControl/>
        <w:kinsoku/>
        <w:wordWrap/>
        <w:overflowPunct/>
        <w:topLinePunct w:val="0"/>
        <w:autoSpaceDE w:val="0"/>
        <w:autoSpaceDN w:val="0"/>
        <w:bidi w:val="0"/>
        <w:adjustRightInd w:val="0"/>
        <w:snapToGrid w:val="0"/>
        <w:spacing w:line="360" w:lineRule="auto"/>
        <w:ind w:right="0" w:firstLine="532" w:firstLineChars="200"/>
        <w:jc w:val="left"/>
        <w:textAlignment w:val="baseline"/>
        <w:rPr>
          <w:rFonts w:hint="eastAsia" w:ascii="宋体" w:hAnsi="宋体" w:eastAsia="宋体" w:cs="宋体"/>
          <w:sz w:val="24"/>
          <w:szCs w:val="24"/>
          <w:u w:val="single" w:color="auto"/>
        </w:rPr>
      </w:pPr>
      <w:r>
        <w:rPr>
          <w:rFonts w:hint="eastAsia" w:ascii="宋体" w:hAnsi="宋体" w:eastAsia="宋体" w:cs="宋体"/>
          <w:spacing w:val="13"/>
          <w:sz w:val="24"/>
          <w:szCs w:val="24"/>
        </w:rPr>
        <w:t>6、</w:t>
      </w:r>
      <w:r>
        <w:rPr>
          <w:rFonts w:hint="eastAsia" w:ascii="宋体" w:hAnsi="宋体" w:eastAsia="宋体" w:cs="宋体"/>
          <w:spacing w:val="-2"/>
          <w:sz w:val="24"/>
          <w:szCs w:val="24"/>
        </w:rPr>
        <w:t>甲方联系人：</w:t>
      </w:r>
      <w:r>
        <w:rPr>
          <w:rFonts w:hint="eastAsia" w:ascii="宋体" w:hAnsi="宋体" w:eastAsia="宋体" w:cs="宋体"/>
          <w:spacing w:val="6"/>
          <w:sz w:val="24"/>
          <w:szCs w:val="24"/>
          <w:u w:val="single" w:color="auto"/>
        </w:rPr>
        <w:t xml:space="preserve">  </w:t>
      </w:r>
      <w:r>
        <w:rPr>
          <w:rFonts w:hint="eastAsia" w:ascii="宋体" w:hAnsi="宋体" w:cs="宋体"/>
          <w:spacing w:val="6"/>
          <w:sz w:val="24"/>
          <w:szCs w:val="24"/>
          <w:u w:val="single" w:color="auto"/>
          <w:lang w:val="en-US" w:eastAsia="zh-CN"/>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2"/>
          <w:sz w:val="24"/>
          <w:szCs w:val="24"/>
        </w:rPr>
        <w:t>;联系电话</w:t>
      </w:r>
      <w:r>
        <w:rPr>
          <w:rFonts w:hint="eastAsia" w:ascii="宋体" w:hAnsi="宋体" w:eastAsia="宋体" w:cs="宋体"/>
          <w:spacing w:val="-2"/>
          <w:sz w:val="24"/>
          <w:szCs w:val="24"/>
          <w:lang w:eastAsia="zh-CN"/>
        </w:rPr>
        <w:t>：</w:t>
      </w:r>
      <w:r>
        <w:rPr>
          <w:rFonts w:hint="eastAsia" w:ascii="宋体" w:hAnsi="宋体" w:eastAsia="宋体" w:cs="宋体"/>
          <w:sz w:val="24"/>
          <w:szCs w:val="24"/>
          <w:u w:val="single" w:color="auto"/>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207DC731">
      <w:pPr>
        <w:keepNext w:val="0"/>
        <w:keepLines w:val="0"/>
        <w:pageBreakBefore w:val="0"/>
        <w:widowControl/>
        <w:kinsoku/>
        <w:wordWrap/>
        <w:overflowPunct/>
        <w:topLinePunct w:val="0"/>
        <w:autoSpaceDE w:val="0"/>
        <w:autoSpaceDN w:val="0"/>
        <w:bidi w:val="0"/>
        <w:adjustRightInd w:val="0"/>
        <w:snapToGrid w:val="0"/>
        <w:spacing w:line="360" w:lineRule="auto"/>
        <w:ind w:right="0" w:firstLine="936" w:firstLineChars="400"/>
        <w:jc w:val="left"/>
        <w:textAlignment w:val="baseline"/>
        <w:rPr>
          <w:rFonts w:hint="eastAsia" w:ascii="宋体" w:hAnsi="宋体" w:eastAsia="宋体" w:cs="宋体"/>
          <w:spacing w:val="-20"/>
          <w:sz w:val="24"/>
          <w:szCs w:val="24"/>
        </w:rPr>
      </w:pPr>
      <w:r>
        <w:rPr>
          <w:rFonts w:hint="eastAsia" w:ascii="宋体" w:hAnsi="宋体" w:eastAsia="宋体" w:cs="宋体"/>
          <w:spacing w:val="-3"/>
          <w:sz w:val="24"/>
          <w:szCs w:val="24"/>
        </w:rPr>
        <w:t>乙方联系人：</w:t>
      </w:r>
      <w:r>
        <w:rPr>
          <w:rFonts w:hint="eastAsia" w:ascii="宋体" w:hAnsi="宋体" w:eastAsia="宋体" w:cs="宋体"/>
          <w:spacing w:val="4"/>
          <w:sz w:val="24"/>
          <w:szCs w:val="24"/>
          <w:u w:val="single" w:color="auto"/>
        </w:rPr>
        <w:t xml:space="preserve">  </w:t>
      </w:r>
      <w:r>
        <w:rPr>
          <w:rFonts w:hint="eastAsia" w:ascii="宋体" w:hAnsi="宋体" w:cs="宋体"/>
          <w:spacing w:val="4"/>
          <w:sz w:val="24"/>
          <w:szCs w:val="24"/>
          <w:u w:val="single" w:color="auto"/>
          <w:lang w:val="en-US" w:eastAsia="zh-CN"/>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95"/>
          <w:sz w:val="24"/>
          <w:szCs w:val="24"/>
        </w:rPr>
        <w:t xml:space="preserve"> </w:t>
      </w:r>
      <w:r>
        <w:rPr>
          <w:rFonts w:hint="eastAsia" w:ascii="宋体" w:hAnsi="宋体" w:eastAsia="宋体" w:cs="宋体"/>
          <w:spacing w:val="-63"/>
          <w:sz w:val="24"/>
          <w:szCs w:val="24"/>
        </w:rPr>
        <w:t xml:space="preserve"> </w:t>
      </w:r>
      <w:r>
        <w:rPr>
          <w:rFonts w:hint="eastAsia" w:ascii="宋体" w:hAnsi="宋体" w:eastAsia="宋体" w:cs="宋体"/>
          <w:spacing w:val="-63"/>
          <w:sz w:val="24"/>
          <w:szCs w:val="24"/>
          <w:lang w:val="en-US" w:eastAsia="zh-CN"/>
        </w:rPr>
        <w:t xml:space="preserve">    </w:t>
      </w:r>
      <w:r>
        <w:rPr>
          <w:rFonts w:hint="eastAsia" w:ascii="宋体" w:hAnsi="宋体" w:eastAsia="宋体" w:cs="宋体"/>
          <w:spacing w:val="-3"/>
          <w:sz w:val="24"/>
          <w:szCs w:val="24"/>
        </w:rPr>
        <w:t>;联系电话：</w:t>
      </w:r>
      <w:r>
        <w:rPr>
          <w:rFonts w:hint="eastAsia" w:ascii="宋体" w:hAnsi="宋体" w:eastAsia="宋体" w:cs="宋体"/>
          <w:spacing w:val="-3"/>
          <w:sz w:val="24"/>
          <w:szCs w:val="24"/>
          <w:u w:val="single"/>
          <w:lang w:val="en-US" w:eastAsia="zh-CN"/>
        </w:rPr>
        <w:t xml:space="preserve">  </w:t>
      </w:r>
      <w:r>
        <w:rPr>
          <w:rFonts w:hint="eastAsia" w:ascii="宋体" w:hAnsi="宋体" w:cs="宋体"/>
          <w:spacing w:val="-3"/>
          <w:sz w:val="24"/>
          <w:szCs w:val="24"/>
          <w:u w:val="single"/>
          <w:lang w:val="en-US" w:eastAsia="zh-CN"/>
        </w:rPr>
        <w:t xml:space="preserve">            </w:t>
      </w:r>
      <w:r>
        <w:rPr>
          <w:rFonts w:hint="eastAsia" w:ascii="宋体" w:hAnsi="宋体" w:eastAsia="宋体" w:cs="宋体"/>
          <w:spacing w:val="-3"/>
          <w:sz w:val="24"/>
          <w:szCs w:val="24"/>
          <w:u w:val="single"/>
          <w:lang w:val="en-US" w:eastAsia="zh-CN"/>
        </w:rPr>
        <w:t xml:space="preserve"> </w:t>
      </w:r>
    </w:p>
    <w:p w14:paraId="4C68ABF8">
      <w:pPr>
        <w:keepNext w:val="0"/>
        <w:keepLines w:val="0"/>
        <w:pageBreakBefore w:val="0"/>
        <w:widowControl/>
        <w:kinsoku/>
        <w:wordWrap/>
        <w:overflowPunct/>
        <w:topLinePunct w:val="0"/>
        <w:autoSpaceDE w:val="0"/>
        <w:autoSpaceDN w:val="0"/>
        <w:bidi w:val="0"/>
        <w:adjustRightInd w:val="0"/>
        <w:snapToGrid w:val="0"/>
        <w:spacing w:before="0" w:line="360" w:lineRule="auto"/>
        <w:ind w:left="0" w:right="0"/>
        <w:jc w:val="left"/>
        <w:textAlignment w:val="baseline"/>
        <w:rPr>
          <w:rFonts w:hint="eastAsia" w:ascii="宋体" w:hAnsi="宋体" w:eastAsia="宋体" w:cs="宋体"/>
          <w:spacing w:val="-20"/>
          <w:sz w:val="24"/>
          <w:szCs w:val="24"/>
        </w:rPr>
      </w:pPr>
    </w:p>
    <w:p w14:paraId="50180FEF">
      <w:pPr>
        <w:pStyle w:val="2"/>
        <w:ind w:left="0" w:leftChars="0" w:firstLine="0" w:firstLineChars="0"/>
        <w:rPr>
          <w:rFonts w:hint="eastAsia"/>
        </w:rPr>
      </w:pPr>
    </w:p>
    <w:p w14:paraId="38F9EBA2">
      <w:pPr>
        <w:keepNext w:val="0"/>
        <w:keepLines w:val="0"/>
        <w:pageBreakBefore w:val="0"/>
        <w:widowControl/>
        <w:kinsoku/>
        <w:wordWrap/>
        <w:overflowPunct/>
        <w:topLinePunct w:val="0"/>
        <w:autoSpaceDE w:val="0"/>
        <w:autoSpaceDN w:val="0"/>
        <w:bidi w:val="0"/>
        <w:adjustRightInd w:val="0"/>
        <w:snapToGrid w:val="0"/>
        <w:spacing w:before="0" w:line="600" w:lineRule="auto"/>
        <w:ind w:left="0" w:right="0" w:firstLine="200" w:firstLineChars="100"/>
        <w:jc w:val="left"/>
        <w:textAlignment w:val="baseline"/>
        <w:rPr>
          <w:rFonts w:hint="eastAsia" w:ascii="宋体" w:hAnsi="宋体" w:eastAsia="宋体" w:cs="宋体"/>
          <w:sz w:val="24"/>
          <w:szCs w:val="24"/>
        </w:rPr>
      </w:pPr>
      <w:r>
        <w:rPr>
          <w:rFonts w:hint="eastAsia" w:ascii="宋体" w:hAnsi="宋体" w:eastAsia="宋体" w:cs="宋体"/>
          <w:spacing w:val="-20"/>
          <w:sz w:val="24"/>
          <w:szCs w:val="24"/>
        </w:rPr>
        <w:t>甲 方(</w:t>
      </w:r>
      <w:r>
        <w:rPr>
          <w:rFonts w:hint="eastAsia" w:ascii="宋体" w:hAnsi="宋体" w:eastAsia="宋体" w:cs="宋体"/>
          <w:spacing w:val="-23"/>
          <w:sz w:val="24"/>
          <w:szCs w:val="24"/>
        </w:rPr>
        <w:t xml:space="preserve"> </w:t>
      </w:r>
      <w:r>
        <w:rPr>
          <w:rFonts w:hint="eastAsia" w:ascii="宋体" w:hAnsi="宋体" w:eastAsia="宋体" w:cs="宋体"/>
          <w:spacing w:val="-26"/>
          <w:sz w:val="24"/>
          <w:szCs w:val="24"/>
        </w:rPr>
        <w:t xml:space="preserve"> </w:t>
      </w:r>
      <w:r>
        <w:rPr>
          <w:rFonts w:hint="eastAsia" w:ascii="宋体" w:hAnsi="宋体" w:eastAsia="宋体" w:cs="宋体"/>
          <w:spacing w:val="-20"/>
          <w:sz w:val="24"/>
          <w:szCs w:val="24"/>
        </w:rPr>
        <w:t>公</w:t>
      </w:r>
      <w:r>
        <w:rPr>
          <w:rFonts w:hint="eastAsia" w:ascii="宋体" w:hAnsi="宋体" w:eastAsia="宋体" w:cs="宋体"/>
          <w:spacing w:val="-29"/>
          <w:sz w:val="24"/>
          <w:szCs w:val="24"/>
        </w:rPr>
        <w:t xml:space="preserve"> </w:t>
      </w:r>
      <w:r>
        <w:rPr>
          <w:rFonts w:hint="eastAsia" w:ascii="宋体" w:hAnsi="宋体" w:eastAsia="宋体" w:cs="宋体"/>
          <w:spacing w:val="-20"/>
          <w:sz w:val="24"/>
          <w:szCs w:val="24"/>
        </w:rPr>
        <w:t>章</w:t>
      </w:r>
      <w:r>
        <w:rPr>
          <w:rFonts w:hint="eastAsia" w:ascii="宋体" w:hAnsi="宋体" w:eastAsia="宋体" w:cs="宋体"/>
          <w:spacing w:val="-35"/>
          <w:sz w:val="24"/>
          <w:szCs w:val="24"/>
        </w:rPr>
        <w:t xml:space="preserve"> </w:t>
      </w:r>
      <w:r>
        <w:rPr>
          <w:rFonts w:hint="eastAsia" w:ascii="宋体" w:hAnsi="宋体" w:eastAsia="宋体" w:cs="宋体"/>
          <w:spacing w:val="-20"/>
          <w:sz w:val="24"/>
          <w:szCs w:val="24"/>
        </w:rPr>
        <w:t>)</w:t>
      </w:r>
      <w:r>
        <w:rPr>
          <w:rFonts w:hint="eastAsia" w:ascii="宋体" w:hAnsi="宋体" w:eastAsia="宋体" w:cs="宋体"/>
          <w:spacing w:val="-20"/>
          <w:sz w:val="24"/>
          <w:szCs w:val="24"/>
          <w:lang w:val="en-US" w:eastAsia="zh-CN"/>
        </w:rPr>
        <w:t xml:space="preserve">                                   </w:t>
      </w:r>
      <w:r>
        <w:rPr>
          <w:rFonts w:hint="eastAsia" w:ascii="宋体" w:hAnsi="宋体" w:cs="宋体"/>
          <w:spacing w:val="-20"/>
          <w:sz w:val="24"/>
          <w:szCs w:val="24"/>
          <w:lang w:val="en-US" w:eastAsia="zh-CN"/>
        </w:rPr>
        <w:t xml:space="preserve">         </w:t>
      </w:r>
      <w:r>
        <w:rPr>
          <w:rFonts w:hint="eastAsia" w:ascii="宋体" w:hAnsi="宋体" w:eastAsia="宋体" w:cs="宋体"/>
          <w:spacing w:val="-18"/>
          <w:sz w:val="24"/>
          <w:szCs w:val="24"/>
        </w:rPr>
        <w:t>乙 方( 公</w:t>
      </w:r>
      <w:r>
        <w:rPr>
          <w:rFonts w:hint="eastAsia" w:ascii="宋体" w:hAnsi="宋体" w:eastAsia="宋体" w:cs="宋体"/>
          <w:spacing w:val="-29"/>
          <w:sz w:val="24"/>
          <w:szCs w:val="24"/>
        </w:rPr>
        <w:t xml:space="preserve"> </w:t>
      </w:r>
      <w:r>
        <w:rPr>
          <w:rFonts w:hint="eastAsia" w:ascii="宋体" w:hAnsi="宋体" w:eastAsia="宋体" w:cs="宋体"/>
          <w:spacing w:val="-18"/>
          <w:sz w:val="24"/>
          <w:szCs w:val="24"/>
        </w:rPr>
        <w:t>章</w:t>
      </w:r>
      <w:r>
        <w:rPr>
          <w:rFonts w:hint="eastAsia" w:ascii="宋体" w:hAnsi="宋体" w:eastAsia="宋体" w:cs="宋体"/>
          <w:spacing w:val="-36"/>
          <w:sz w:val="24"/>
          <w:szCs w:val="24"/>
        </w:rPr>
        <w:t xml:space="preserve"> </w:t>
      </w:r>
      <w:r>
        <w:rPr>
          <w:rFonts w:hint="eastAsia" w:ascii="宋体" w:hAnsi="宋体" w:eastAsia="宋体" w:cs="宋体"/>
          <w:spacing w:val="-18"/>
          <w:sz w:val="24"/>
          <w:szCs w:val="24"/>
        </w:rPr>
        <w:t>)</w:t>
      </w:r>
      <w:r>
        <w:rPr>
          <w:rFonts w:hint="eastAsia" w:ascii="宋体" w:hAnsi="宋体" w:eastAsia="宋体" w:cs="宋体"/>
          <w:sz w:val="24"/>
          <w:szCs w:val="24"/>
        </w:rPr>
        <w:t xml:space="preserve"> </w:t>
      </w:r>
    </w:p>
    <w:p w14:paraId="314564CA">
      <w:pPr>
        <w:keepNext w:val="0"/>
        <w:keepLines w:val="0"/>
        <w:pageBreakBefore w:val="0"/>
        <w:widowControl/>
        <w:kinsoku/>
        <w:wordWrap/>
        <w:overflowPunct/>
        <w:topLinePunct w:val="0"/>
        <w:autoSpaceDE w:val="0"/>
        <w:autoSpaceDN w:val="0"/>
        <w:bidi w:val="0"/>
        <w:adjustRightInd w:val="0"/>
        <w:snapToGrid w:val="0"/>
        <w:spacing w:line="600" w:lineRule="auto"/>
        <w:ind w:right="0"/>
        <w:jc w:val="left"/>
        <w:textAlignment w:val="baseline"/>
        <w:rPr>
          <w:rFonts w:hint="eastAsia" w:ascii="宋体" w:hAnsi="宋体" w:cs="宋体"/>
          <w:spacing w:val="17"/>
          <w:sz w:val="24"/>
          <w:szCs w:val="24"/>
          <w:lang w:val="en-US" w:eastAsia="zh-CN"/>
        </w:rPr>
      </w:pPr>
    </w:p>
    <w:p w14:paraId="1963A6C5">
      <w:pPr>
        <w:keepNext w:val="0"/>
        <w:keepLines w:val="0"/>
        <w:pageBreakBefore w:val="0"/>
        <w:widowControl/>
        <w:kinsoku/>
        <w:wordWrap/>
        <w:overflowPunct/>
        <w:topLinePunct w:val="0"/>
        <w:autoSpaceDE w:val="0"/>
        <w:autoSpaceDN w:val="0"/>
        <w:bidi w:val="0"/>
        <w:adjustRightInd w:val="0"/>
        <w:snapToGrid w:val="0"/>
        <w:spacing w:line="600" w:lineRule="auto"/>
        <w:ind w:right="0" w:firstLine="274" w:firstLineChars="100"/>
        <w:jc w:val="left"/>
        <w:textAlignment w:val="baseline"/>
        <w:rPr>
          <w:rFonts w:hint="default" w:ascii="宋体" w:hAnsi="宋体" w:eastAsia="宋体" w:cs="宋体"/>
          <w:spacing w:val="17"/>
          <w:sz w:val="24"/>
          <w:szCs w:val="24"/>
          <w:lang w:val="en-US" w:eastAsia="zh-CN"/>
        </w:rPr>
      </w:pPr>
      <w:r>
        <w:rPr>
          <w:rFonts w:hint="eastAsia" w:ascii="宋体" w:hAnsi="宋体" w:cs="宋体"/>
          <w:spacing w:val="17"/>
          <w:sz w:val="24"/>
          <w:szCs w:val="24"/>
          <w:lang w:val="en-US" w:eastAsia="zh-CN"/>
        </w:rPr>
        <w:t>单位名称：西安市中心医院</w:t>
      </w:r>
      <w:r>
        <w:rPr>
          <w:rFonts w:hint="eastAsia" w:ascii="宋体" w:hAnsi="宋体" w:cs="宋体"/>
          <w:spacing w:val="17"/>
          <w:sz w:val="24"/>
          <w:szCs w:val="24"/>
          <w:lang w:val="en-US" w:eastAsia="zh-CN"/>
        </w:rPr>
        <w:tab/>
      </w:r>
      <w:r>
        <w:rPr>
          <w:rFonts w:hint="eastAsia" w:ascii="宋体" w:hAnsi="宋体" w:cs="宋体"/>
          <w:spacing w:val="17"/>
          <w:sz w:val="24"/>
          <w:szCs w:val="24"/>
          <w:lang w:val="en-US" w:eastAsia="zh-CN"/>
        </w:rPr>
        <w:t xml:space="preserve">        单位名称：</w:t>
      </w:r>
    </w:p>
    <w:p w14:paraId="0C74E01B">
      <w:pPr>
        <w:keepNext w:val="0"/>
        <w:keepLines w:val="0"/>
        <w:pageBreakBefore w:val="0"/>
        <w:widowControl/>
        <w:tabs>
          <w:tab w:val="left" w:pos="5217"/>
        </w:tabs>
        <w:kinsoku/>
        <w:wordWrap/>
        <w:overflowPunct/>
        <w:topLinePunct w:val="0"/>
        <w:autoSpaceDE w:val="0"/>
        <w:autoSpaceDN w:val="0"/>
        <w:bidi w:val="0"/>
        <w:adjustRightInd w:val="0"/>
        <w:snapToGrid w:val="0"/>
        <w:spacing w:line="600" w:lineRule="auto"/>
        <w:ind w:left="0" w:right="0" w:firstLine="0" w:firstLineChars="0"/>
        <w:jc w:val="left"/>
        <w:textAlignment w:val="baseline"/>
        <w:rPr>
          <w:rFonts w:hint="default" w:ascii="宋体" w:hAnsi="宋体" w:eastAsia="宋体" w:cs="宋体"/>
          <w:spacing w:val="17"/>
          <w:sz w:val="24"/>
          <w:szCs w:val="24"/>
          <w:lang w:val="en-US" w:eastAsia="zh-CN"/>
        </w:rPr>
      </w:pPr>
    </w:p>
    <w:p w14:paraId="02C8E456">
      <w:pPr>
        <w:keepNext w:val="0"/>
        <w:keepLines w:val="0"/>
        <w:pageBreakBefore w:val="0"/>
        <w:widowControl/>
        <w:kinsoku/>
        <w:wordWrap/>
        <w:overflowPunct/>
        <w:topLinePunct w:val="0"/>
        <w:autoSpaceDE w:val="0"/>
        <w:autoSpaceDN w:val="0"/>
        <w:bidi w:val="0"/>
        <w:adjustRightInd w:val="0"/>
        <w:snapToGrid w:val="0"/>
        <w:spacing w:before="0" w:line="600" w:lineRule="auto"/>
        <w:ind w:left="0" w:right="0" w:firstLine="274" w:firstLineChars="100"/>
        <w:jc w:val="left"/>
        <w:textAlignment w:val="baseline"/>
        <w:rPr>
          <w:rFonts w:hint="default" w:ascii="宋体" w:hAnsi="宋体" w:eastAsia="宋体" w:cs="宋体"/>
          <w:sz w:val="24"/>
          <w:szCs w:val="24"/>
          <w:lang w:val="en-US" w:eastAsia="zh-CN"/>
        </w:rPr>
      </w:pPr>
      <w:r>
        <w:rPr>
          <w:rFonts w:hint="eastAsia" w:ascii="宋体" w:hAnsi="宋体" w:eastAsia="宋体" w:cs="宋体"/>
          <w:spacing w:val="17"/>
          <w:sz w:val="24"/>
          <w:szCs w:val="24"/>
        </w:rPr>
        <w:t>法定代表人</w:t>
      </w:r>
      <w:r>
        <w:rPr>
          <w:rFonts w:hint="eastAsia" w:ascii="宋体" w:hAnsi="宋体" w:cs="宋体"/>
          <w:spacing w:val="17"/>
          <w:sz w:val="24"/>
          <w:szCs w:val="24"/>
          <w:lang w:eastAsia="zh-CN"/>
        </w:rPr>
        <w:t>（</w:t>
      </w:r>
      <w:r>
        <w:rPr>
          <w:rFonts w:hint="eastAsia" w:ascii="宋体" w:hAnsi="宋体" w:cs="宋体"/>
          <w:spacing w:val="17"/>
          <w:sz w:val="24"/>
          <w:szCs w:val="24"/>
          <w:lang w:val="en-US" w:eastAsia="zh-CN"/>
        </w:rPr>
        <w:t>签字或盖章</w:t>
      </w:r>
      <w:r>
        <w:rPr>
          <w:rFonts w:hint="eastAsia" w:ascii="宋体" w:hAnsi="宋体" w:cs="宋体"/>
          <w:spacing w:val="17"/>
          <w:sz w:val="24"/>
          <w:szCs w:val="24"/>
          <w:lang w:eastAsia="zh-CN"/>
        </w:rPr>
        <w:t>）</w:t>
      </w:r>
      <w:r>
        <w:rPr>
          <w:rFonts w:hint="eastAsia" w:ascii="宋体" w:hAnsi="宋体" w:eastAsia="宋体" w:cs="宋体"/>
          <w:spacing w:val="17"/>
          <w:sz w:val="24"/>
          <w:szCs w:val="24"/>
        </w:rPr>
        <w:t>：</w:t>
      </w:r>
      <w:r>
        <w:rPr>
          <w:rFonts w:hint="eastAsia" w:ascii="宋体" w:hAnsi="宋体" w:eastAsia="宋体" w:cs="宋体"/>
          <w:spacing w:val="17"/>
          <w:sz w:val="24"/>
          <w:szCs w:val="24"/>
          <w:lang w:val="en-US" w:eastAsia="zh-CN"/>
        </w:rPr>
        <w:t xml:space="preserve">         </w:t>
      </w:r>
      <w:r>
        <w:rPr>
          <w:rFonts w:hint="eastAsia" w:ascii="宋体" w:hAnsi="宋体" w:eastAsia="宋体" w:cs="宋体"/>
          <w:spacing w:val="15"/>
          <w:sz w:val="24"/>
          <w:szCs w:val="24"/>
        </w:rPr>
        <w:t>法定代表人</w:t>
      </w:r>
      <w:r>
        <w:rPr>
          <w:rFonts w:hint="eastAsia" w:ascii="宋体" w:hAnsi="宋体" w:cs="宋体"/>
          <w:spacing w:val="17"/>
          <w:sz w:val="24"/>
          <w:szCs w:val="24"/>
          <w:lang w:eastAsia="zh-CN"/>
        </w:rPr>
        <w:t>（</w:t>
      </w:r>
      <w:r>
        <w:rPr>
          <w:rFonts w:hint="eastAsia" w:ascii="宋体" w:hAnsi="宋体" w:cs="宋体"/>
          <w:spacing w:val="17"/>
          <w:sz w:val="24"/>
          <w:szCs w:val="24"/>
          <w:lang w:val="en-US" w:eastAsia="zh-CN"/>
        </w:rPr>
        <w:t>签字或盖章</w:t>
      </w:r>
      <w:r>
        <w:rPr>
          <w:rFonts w:hint="eastAsia" w:ascii="宋体" w:hAnsi="宋体" w:cs="宋体"/>
          <w:spacing w:val="17"/>
          <w:sz w:val="24"/>
          <w:szCs w:val="24"/>
          <w:lang w:eastAsia="zh-CN"/>
        </w:rPr>
        <w:t>）</w:t>
      </w:r>
      <w:r>
        <w:rPr>
          <w:rFonts w:hint="eastAsia" w:ascii="宋体" w:hAnsi="宋体" w:eastAsia="宋体" w:cs="宋体"/>
          <w:spacing w:val="15"/>
          <w:sz w:val="24"/>
          <w:szCs w:val="24"/>
        </w:rPr>
        <w:t>：</w:t>
      </w:r>
    </w:p>
    <w:p w14:paraId="39FD4834">
      <w:pPr>
        <w:keepNext w:val="0"/>
        <w:keepLines w:val="0"/>
        <w:pageBreakBefore w:val="0"/>
        <w:widowControl/>
        <w:kinsoku/>
        <w:wordWrap/>
        <w:overflowPunct/>
        <w:topLinePunct w:val="0"/>
        <w:autoSpaceDE w:val="0"/>
        <w:autoSpaceDN w:val="0"/>
        <w:bidi w:val="0"/>
        <w:adjustRightInd w:val="0"/>
        <w:snapToGrid w:val="0"/>
        <w:spacing w:line="600" w:lineRule="auto"/>
        <w:ind w:left="0" w:right="0" w:firstLine="524" w:firstLineChars="200"/>
        <w:jc w:val="left"/>
        <w:textAlignment w:val="baseline"/>
        <w:rPr>
          <w:rFonts w:hint="eastAsia" w:ascii="宋体" w:hAnsi="宋体" w:eastAsia="宋体" w:cs="宋体"/>
          <w:spacing w:val="11"/>
          <w:sz w:val="24"/>
          <w:szCs w:val="24"/>
        </w:rPr>
      </w:pPr>
    </w:p>
    <w:p w14:paraId="6581DFC2">
      <w:pPr>
        <w:keepNext w:val="0"/>
        <w:keepLines w:val="0"/>
        <w:pageBreakBefore w:val="0"/>
        <w:widowControl/>
        <w:kinsoku/>
        <w:wordWrap/>
        <w:overflowPunct/>
        <w:topLinePunct w:val="0"/>
        <w:autoSpaceDE w:val="0"/>
        <w:autoSpaceDN w:val="0"/>
        <w:bidi w:val="0"/>
        <w:adjustRightInd w:val="0"/>
        <w:snapToGrid w:val="0"/>
        <w:spacing w:line="600" w:lineRule="auto"/>
        <w:ind w:left="0" w:right="0" w:firstLine="262" w:firstLineChars="100"/>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11"/>
          <w:sz w:val="24"/>
          <w:szCs w:val="24"/>
        </w:rPr>
        <w:t>代理人：</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11"/>
          <w:sz w:val="24"/>
          <w:szCs w:val="24"/>
        </w:rPr>
        <w:t>代理人：</w:t>
      </w:r>
    </w:p>
    <w:p w14:paraId="318A5A75">
      <w:pPr>
        <w:keepNext w:val="0"/>
        <w:keepLines w:val="0"/>
        <w:pageBreakBefore w:val="0"/>
        <w:widowControl/>
        <w:kinsoku/>
        <w:wordWrap/>
        <w:overflowPunct/>
        <w:topLinePunct w:val="0"/>
        <w:autoSpaceDE w:val="0"/>
        <w:autoSpaceDN w:val="0"/>
        <w:bidi w:val="0"/>
        <w:adjustRightInd w:val="0"/>
        <w:snapToGrid w:val="0"/>
        <w:spacing w:line="480" w:lineRule="auto"/>
        <w:ind w:left="0" w:right="0"/>
        <w:jc w:val="left"/>
        <w:textAlignment w:val="baseline"/>
        <w:rPr>
          <w:rFonts w:hint="eastAsia" w:ascii="宋体" w:hAnsi="宋体" w:eastAsia="宋体" w:cs="宋体"/>
          <w:sz w:val="24"/>
          <w:szCs w:val="24"/>
        </w:rPr>
      </w:pPr>
      <w:r>
        <w:rPr>
          <w:rFonts w:hint="eastAsia" w:ascii="宋体" w:hAnsi="宋体" w:eastAsia="宋体" w:cs="宋体"/>
          <w:spacing w:val="26"/>
          <w:sz w:val="24"/>
          <w:szCs w:val="24"/>
          <w:lang w:val="en-US" w:eastAsia="zh-CN"/>
        </w:rPr>
        <w:t xml:space="preserve">        </w:t>
      </w:r>
      <w:r>
        <w:rPr>
          <w:rFonts w:hint="eastAsia" w:ascii="宋体" w:hAnsi="宋体" w:cs="宋体"/>
          <w:spacing w:val="26"/>
          <w:sz w:val="24"/>
          <w:szCs w:val="24"/>
          <w:lang w:val="en-US" w:eastAsia="zh-CN"/>
        </w:rPr>
        <w:t xml:space="preserve">                      </w:t>
      </w:r>
      <w:r>
        <w:rPr>
          <w:rFonts w:hint="eastAsia" w:ascii="宋体" w:hAnsi="宋体" w:eastAsia="宋体" w:cs="宋体"/>
          <w:spacing w:val="16"/>
          <w:sz w:val="24"/>
          <w:szCs w:val="24"/>
        </w:rPr>
        <w:t>开户银行：</w:t>
      </w:r>
    </w:p>
    <w:p w14:paraId="6BF54973">
      <w:pPr>
        <w:keepNext w:val="0"/>
        <w:keepLines w:val="0"/>
        <w:pageBreakBefore w:val="0"/>
        <w:widowControl/>
        <w:kinsoku/>
        <w:wordWrap/>
        <w:overflowPunct/>
        <w:topLinePunct w:val="0"/>
        <w:autoSpaceDE w:val="0"/>
        <w:autoSpaceDN w:val="0"/>
        <w:bidi w:val="0"/>
        <w:adjustRightInd w:val="0"/>
        <w:snapToGrid w:val="0"/>
        <w:spacing w:line="480" w:lineRule="auto"/>
        <w:ind w:left="0" w:right="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607D3C2C">
      <w:pPr>
        <w:keepNext w:val="0"/>
        <w:keepLines w:val="0"/>
        <w:pageBreakBefore w:val="0"/>
        <w:widowControl/>
        <w:kinsoku/>
        <w:wordWrap/>
        <w:overflowPunct/>
        <w:topLinePunct w:val="0"/>
        <w:autoSpaceDE w:val="0"/>
        <w:autoSpaceDN w:val="0"/>
        <w:bidi w:val="0"/>
        <w:adjustRightInd w:val="0"/>
        <w:snapToGrid w:val="0"/>
        <w:spacing w:line="480" w:lineRule="auto"/>
        <w:ind w:right="0" w:firstLine="5088" w:firstLineChars="2400"/>
        <w:jc w:val="left"/>
        <w:textAlignment w:val="baseline"/>
        <w:rPr>
          <w:rFonts w:hint="eastAsia" w:ascii="宋体" w:hAnsi="宋体" w:eastAsia="宋体" w:cs="宋体"/>
          <w:sz w:val="24"/>
          <w:szCs w:val="24"/>
        </w:rPr>
      </w:pPr>
      <w:r>
        <w:rPr>
          <w:rFonts w:hint="eastAsia" w:ascii="宋体" w:hAnsi="宋体" w:eastAsia="宋体" w:cs="宋体"/>
          <w:spacing w:val="-14"/>
          <w:sz w:val="24"/>
          <w:szCs w:val="24"/>
        </w:rPr>
        <w:t>帐</w:t>
      </w:r>
      <w:r>
        <w:rPr>
          <w:rFonts w:hint="eastAsia" w:ascii="宋体" w:hAnsi="宋体" w:eastAsia="宋体" w:cs="宋体"/>
          <w:spacing w:val="36"/>
          <w:sz w:val="24"/>
          <w:szCs w:val="24"/>
        </w:rPr>
        <w:t xml:space="preserve">  </w:t>
      </w:r>
      <w:r>
        <w:rPr>
          <w:rFonts w:hint="eastAsia" w:ascii="宋体" w:hAnsi="宋体" w:eastAsia="宋体" w:cs="宋体"/>
          <w:spacing w:val="-14"/>
          <w:sz w:val="24"/>
          <w:szCs w:val="24"/>
        </w:rPr>
        <w:t>号</w:t>
      </w:r>
      <w:r>
        <w:rPr>
          <w:rFonts w:hint="eastAsia" w:ascii="宋体" w:hAnsi="宋体" w:eastAsia="宋体" w:cs="宋体"/>
          <w:spacing w:val="-45"/>
          <w:sz w:val="24"/>
          <w:szCs w:val="24"/>
        </w:rPr>
        <w:t xml:space="preserve"> </w:t>
      </w:r>
      <w:r>
        <w:rPr>
          <w:rFonts w:hint="eastAsia" w:ascii="宋体" w:hAnsi="宋体" w:eastAsia="宋体" w:cs="宋体"/>
          <w:spacing w:val="-14"/>
          <w:sz w:val="24"/>
          <w:szCs w:val="24"/>
        </w:rPr>
        <w:t>：</w:t>
      </w:r>
    </w:p>
    <w:p w14:paraId="599256A6">
      <w:pPr>
        <w:keepNext w:val="0"/>
        <w:keepLines w:val="0"/>
        <w:pageBreakBefore w:val="0"/>
        <w:widowControl/>
        <w:kinsoku/>
        <w:wordWrap/>
        <w:overflowPunct/>
        <w:topLinePunct w:val="0"/>
        <w:autoSpaceDE w:val="0"/>
        <w:autoSpaceDN w:val="0"/>
        <w:bidi w:val="0"/>
        <w:adjustRightInd w:val="0"/>
        <w:snapToGrid w:val="0"/>
        <w:spacing w:line="480" w:lineRule="auto"/>
        <w:ind w:left="0" w:right="0"/>
        <w:jc w:val="left"/>
        <w:textAlignment w:val="baseline"/>
        <w:rPr>
          <w:rFonts w:hint="eastAsia" w:ascii="宋体" w:hAnsi="宋体" w:eastAsia="宋体" w:cs="宋体"/>
          <w:spacing w:val="23"/>
          <w:sz w:val="24"/>
          <w:szCs w:val="24"/>
        </w:rPr>
      </w:pPr>
      <w:r>
        <w:rPr>
          <w:rFonts w:hint="eastAsia" w:ascii="宋体" w:hAnsi="宋体" w:eastAsia="宋体" w:cs="宋体"/>
          <w:sz w:val="24"/>
          <w:szCs w:val="24"/>
          <w:lang w:val="en-US" w:eastAsia="zh-CN"/>
        </w:rPr>
        <w:t xml:space="preserve">                                     </w:t>
      </w:r>
    </w:p>
    <w:p w14:paraId="755B8311">
      <w:pPr>
        <w:keepNext w:val="0"/>
        <w:keepLines w:val="0"/>
        <w:pageBreakBefore w:val="0"/>
        <w:widowControl/>
        <w:kinsoku/>
        <w:wordWrap/>
        <w:overflowPunct/>
        <w:topLinePunct w:val="0"/>
        <w:autoSpaceDE w:val="0"/>
        <w:autoSpaceDN w:val="0"/>
        <w:bidi w:val="0"/>
        <w:adjustRightInd w:val="0"/>
        <w:snapToGrid w:val="0"/>
        <w:spacing w:line="480" w:lineRule="auto"/>
        <w:ind w:left="0" w:right="0" w:firstLine="286" w:firstLineChars="100"/>
        <w:jc w:val="left"/>
        <w:textAlignment w:val="baseline"/>
        <w:rPr>
          <w:rFonts w:hint="eastAsia" w:ascii="宋体" w:hAnsi="宋体" w:eastAsia="宋体" w:cs="宋体"/>
          <w:sz w:val="24"/>
          <w:szCs w:val="24"/>
        </w:rPr>
      </w:pPr>
      <w:r>
        <w:rPr>
          <w:rFonts w:hint="eastAsia" w:ascii="宋体" w:hAnsi="宋体" w:eastAsia="宋体" w:cs="宋体"/>
          <w:spacing w:val="23"/>
          <w:sz w:val="24"/>
          <w:szCs w:val="24"/>
        </w:rPr>
        <w:t>地</w:t>
      </w:r>
      <w:r>
        <w:rPr>
          <w:rFonts w:hint="eastAsia" w:ascii="宋体" w:hAnsi="宋体" w:eastAsia="宋体" w:cs="宋体"/>
          <w:spacing w:val="36"/>
          <w:sz w:val="24"/>
          <w:szCs w:val="24"/>
        </w:rPr>
        <w:t xml:space="preserve">  </w:t>
      </w:r>
      <w:r>
        <w:rPr>
          <w:rFonts w:hint="eastAsia" w:ascii="宋体" w:hAnsi="宋体" w:eastAsia="宋体" w:cs="宋体"/>
          <w:spacing w:val="23"/>
          <w:sz w:val="24"/>
          <w:szCs w:val="24"/>
        </w:rPr>
        <w:t>址：</w:t>
      </w:r>
      <w:r>
        <w:rPr>
          <w:rFonts w:hint="eastAsia" w:ascii="宋体" w:hAnsi="宋体" w:eastAsia="宋体" w:cs="宋体"/>
          <w:spacing w:val="23"/>
          <w:sz w:val="24"/>
          <w:szCs w:val="24"/>
          <w:lang w:eastAsia="zh-CN"/>
        </w:rPr>
        <w:t>西安市新城区西五路</w:t>
      </w:r>
      <w:r>
        <w:rPr>
          <w:rFonts w:hint="eastAsia" w:ascii="宋体" w:hAnsi="宋体" w:eastAsia="宋体" w:cs="宋体"/>
          <w:spacing w:val="23"/>
          <w:sz w:val="24"/>
          <w:szCs w:val="24"/>
          <w:lang w:val="en-US" w:eastAsia="zh-CN"/>
        </w:rPr>
        <w:t xml:space="preserve">161号  </w:t>
      </w:r>
      <w:r>
        <w:rPr>
          <w:rFonts w:hint="eastAsia" w:ascii="宋体" w:hAnsi="宋体" w:eastAsia="宋体" w:cs="宋体"/>
          <w:spacing w:val="-11"/>
          <w:sz w:val="24"/>
          <w:szCs w:val="24"/>
        </w:rPr>
        <w:t>地</w:t>
      </w:r>
      <w:r>
        <w:rPr>
          <w:rFonts w:hint="eastAsia" w:ascii="宋体" w:hAnsi="宋体" w:eastAsia="宋体" w:cs="宋体"/>
          <w:spacing w:val="32"/>
          <w:sz w:val="24"/>
          <w:szCs w:val="24"/>
        </w:rPr>
        <w:t xml:space="preserve">  </w:t>
      </w:r>
      <w:r>
        <w:rPr>
          <w:rFonts w:hint="eastAsia" w:ascii="宋体" w:hAnsi="宋体" w:eastAsia="宋体" w:cs="宋体"/>
          <w:spacing w:val="-11"/>
          <w:sz w:val="24"/>
          <w:szCs w:val="24"/>
        </w:rPr>
        <w:t>址</w:t>
      </w:r>
      <w:r>
        <w:rPr>
          <w:rFonts w:hint="eastAsia" w:ascii="宋体" w:hAnsi="宋体" w:eastAsia="宋体" w:cs="宋体"/>
          <w:spacing w:val="-46"/>
          <w:sz w:val="24"/>
          <w:szCs w:val="24"/>
        </w:rPr>
        <w:t xml:space="preserve"> </w:t>
      </w:r>
      <w:r>
        <w:rPr>
          <w:rFonts w:hint="eastAsia" w:ascii="宋体" w:hAnsi="宋体" w:eastAsia="宋体" w:cs="宋体"/>
          <w:spacing w:val="-11"/>
          <w:sz w:val="24"/>
          <w:szCs w:val="24"/>
        </w:rPr>
        <w:t>：</w:t>
      </w:r>
    </w:p>
    <w:p w14:paraId="193323E6">
      <w:pPr>
        <w:keepNext w:val="0"/>
        <w:keepLines w:val="0"/>
        <w:pageBreakBefore w:val="0"/>
        <w:widowControl/>
        <w:kinsoku/>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pacing w:val="16"/>
          <w:sz w:val="24"/>
          <w:szCs w:val="24"/>
        </w:rPr>
      </w:pPr>
    </w:p>
    <w:p w14:paraId="5A1D7A28">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272" w:firstLineChars="100"/>
        <w:jc w:val="left"/>
        <w:textAlignment w:val="baseline"/>
        <w:rPr>
          <w:rFonts w:hint="default" w:ascii="宋体" w:hAnsi="宋体" w:eastAsia="宋体" w:cs="宋体"/>
          <w:sz w:val="24"/>
          <w:szCs w:val="24"/>
          <w:lang w:val="en-US" w:eastAsia="zh-CN"/>
        </w:rPr>
      </w:pPr>
      <w:r>
        <w:rPr>
          <w:rFonts w:hint="eastAsia" w:ascii="宋体" w:hAnsi="宋体" w:eastAsia="宋体" w:cs="宋体"/>
          <w:spacing w:val="16"/>
          <w:sz w:val="24"/>
          <w:szCs w:val="24"/>
        </w:rPr>
        <w:t>联系电话：</w:t>
      </w:r>
      <w:r>
        <w:rPr>
          <w:rFonts w:hint="eastAsia" w:ascii="宋体" w:hAnsi="宋体" w:cs="宋体"/>
          <w:spacing w:val="16"/>
          <w:sz w:val="24"/>
          <w:szCs w:val="24"/>
          <w:lang w:val="en-US" w:eastAsia="zh-CN"/>
        </w:rPr>
        <w:t xml:space="preserve">             </w:t>
      </w:r>
      <w:r>
        <w:rPr>
          <w:rFonts w:hint="eastAsia" w:ascii="宋体" w:hAnsi="宋体" w:eastAsia="宋体" w:cs="宋体"/>
          <w:spacing w:val="16"/>
          <w:sz w:val="24"/>
          <w:szCs w:val="24"/>
          <w:lang w:val="en-US" w:eastAsia="zh-CN"/>
        </w:rPr>
        <w:t xml:space="preserve">          </w:t>
      </w:r>
      <w:r>
        <w:rPr>
          <w:rFonts w:hint="eastAsia" w:ascii="宋体" w:hAnsi="宋体" w:eastAsia="宋体" w:cs="宋体"/>
          <w:spacing w:val="16"/>
          <w:sz w:val="24"/>
          <w:szCs w:val="24"/>
        </w:rPr>
        <w:t>联系电话：</w:t>
      </w:r>
    </w:p>
    <w:p w14:paraId="3A2B7BA4">
      <w:pPr>
        <w:keepNext w:val="0"/>
        <w:keepLines w:val="0"/>
        <w:pageBreakBefore w:val="0"/>
        <w:widowControl/>
        <w:kinsoku/>
        <w:wordWrap/>
        <w:overflowPunct/>
        <w:topLinePunct w:val="0"/>
        <w:autoSpaceDE w:val="0"/>
        <w:autoSpaceDN w:val="0"/>
        <w:bidi w:val="0"/>
        <w:adjustRightInd w:val="0"/>
        <w:snapToGrid w:val="0"/>
        <w:spacing w:line="240" w:lineRule="auto"/>
        <w:ind w:left="0" w:right="0"/>
        <w:jc w:val="left"/>
        <w:textAlignment w:val="baseline"/>
        <w:rPr>
          <w:rFonts w:hint="eastAsia" w:ascii="宋体" w:hAnsi="宋体" w:eastAsia="宋体" w:cs="宋体"/>
          <w:spacing w:val="16"/>
          <w:sz w:val="24"/>
          <w:szCs w:val="24"/>
        </w:rPr>
      </w:pPr>
    </w:p>
    <w:p w14:paraId="4B796E0D">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272" w:firstLineChars="100"/>
        <w:jc w:val="left"/>
        <w:textAlignment w:val="baseline"/>
        <w:rPr>
          <w:rFonts w:hint="eastAsia" w:ascii="宋体" w:hAnsi="宋体" w:eastAsia="宋体" w:cs="宋体"/>
          <w:sz w:val="24"/>
          <w:szCs w:val="24"/>
        </w:rPr>
      </w:pPr>
      <w:r>
        <w:rPr>
          <w:rFonts w:hint="eastAsia" w:ascii="宋体" w:hAnsi="宋体" w:eastAsia="宋体" w:cs="宋体"/>
          <w:spacing w:val="16"/>
          <w:sz w:val="24"/>
          <w:szCs w:val="24"/>
        </w:rPr>
        <w:t>签订日期：</w:t>
      </w:r>
      <w:r>
        <w:rPr>
          <w:rFonts w:hint="eastAsia" w:ascii="宋体" w:hAnsi="宋体" w:eastAsia="宋体" w:cs="宋体"/>
          <w:spacing w:val="16"/>
          <w:sz w:val="24"/>
          <w:szCs w:val="24"/>
          <w:lang w:val="en-US" w:eastAsia="zh-CN"/>
        </w:rPr>
        <w:t xml:space="preserve">                       </w:t>
      </w:r>
      <w:r>
        <w:rPr>
          <w:rFonts w:hint="eastAsia" w:ascii="宋体" w:hAnsi="宋体" w:eastAsia="宋体" w:cs="宋体"/>
          <w:spacing w:val="16"/>
          <w:sz w:val="24"/>
          <w:szCs w:val="24"/>
        </w:rPr>
        <w:t>签订日期：</w:t>
      </w:r>
    </w:p>
    <w:p w14:paraId="6BA97F8D">
      <w:pPr>
        <w:pStyle w:val="11"/>
        <w:rPr>
          <w:rFonts w:hint="eastAsia"/>
          <w:lang w:val="en-US" w:eastAsia="zh-Hans"/>
        </w:rPr>
      </w:pPr>
    </w:p>
    <w:p w14:paraId="10B245E9"/>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304DF06E-8AFB-43D1-91AB-C7885F529666}"/>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AB9B8E6-C208-44BF-B08D-CA00DAF748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77B218E1-64F2-4F3A-96EB-C2EA677ACB08}"/>
  </w:font>
  <w:font w:name="方正仿宋_GB2312">
    <w:panose1 w:val="02000000000000000000"/>
    <w:charset w:val="86"/>
    <w:family w:val="auto"/>
    <w:pitch w:val="default"/>
    <w:sig w:usb0="A00002BF" w:usb1="184F6CFA" w:usb2="00000012" w:usb3="00000000" w:csb0="00040001" w:csb1="00000000"/>
    <w:embedRegular r:id="rId4" w:fontKey="{2049BE6F-E2EC-4FBE-AA07-F354AE5DCC5C}"/>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315E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1A17D32">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71A17D3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559F0"/>
    <w:multiLevelType w:val="singleLevel"/>
    <w:tmpl w:val="79E559F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B7D05"/>
    <w:rsid w:val="3A057A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First Indent"/>
    <w:basedOn w:val="3"/>
    <w:qFormat/>
    <w:uiPriority w:val="0"/>
    <w:pPr>
      <w:adjustRightInd w:val="0"/>
      <w:ind w:firstLine="567"/>
    </w:pPr>
  </w:style>
  <w:style w:type="paragraph" w:styleId="3">
    <w:name w:val="Body Text"/>
    <w:basedOn w:val="1"/>
    <w:next w:val="4"/>
    <w:qFormat/>
    <w:uiPriority w:val="0"/>
    <w:pPr>
      <w:spacing w:after="120"/>
    </w:pPr>
    <w:rPr>
      <w:rFonts w:ascii="Calibri" w:hAnsi="Calibri" w:eastAsia="Times New Roman"/>
      <w:szCs w:val="22"/>
    </w:rPr>
  </w:style>
  <w:style w:type="paragraph" w:customStyle="1" w:styleId="4">
    <w:name w:val="标题 2 Char1"/>
    <w:basedOn w:val="1"/>
    <w:qFormat/>
    <w:uiPriority w:val="0"/>
    <w:rPr>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59"/>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unhideWhenUsed/>
    <w:qFormat/>
    <w:uiPriority w:val="2"/>
    <w:pPr>
      <w:widowControl w:val="0"/>
      <w:autoSpaceDE w:val="0"/>
      <w:autoSpaceDN w:val="0"/>
    </w:pPr>
    <w:rPr>
      <w:sz w:val="22"/>
      <w:szCs w:val="22"/>
      <w:lang w:eastAsia="en-US"/>
    </w:rPr>
    <w:tblPr>
      <w:tblStyle w:val="6"/>
      <w:tblCellMar>
        <w:top w:w="0" w:type="dxa"/>
        <w:left w:w="0" w:type="dxa"/>
        <w:bottom w:w="0" w:type="dxa"/>
        <w:right w:w="0" w:type="dxa"/>
      </w:tblCellMar>
    </w:tblPr>
  </w:style>
  <w:style w:type="paragraph" w:customStyle="1" w:styleId="10">
    <w:name w:val="Body text|1"/>
    <w:basedOn w:val="1"/>
    <w:qFormat/>
    <w:uiPriority w:val="0"/>
    <w:pPr>
      <w:shd w:val="clear" w:color="auto" w:fill="FFFFFF"/>
    </w:pPr>
    <w:rPr>
      <w:rFonts w:ascii="宋体" w:hAnsi="宋体" w:eastAsia="宋体" w:cs="宋体"/>
      <w:sz w:val="22"/>
      <w:szCs w:val="22"/>
      <w:lang w:val="zh-CN" w:eastAsia="zh-CN" w:bidi="zh-CN"/>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3730</Words>
  <Characters>4226</Characters>
  <Lines>0</Lines>
  <Paragraphs>0</Paragraphs>
  <TotalTime>0</TotalTime>
  <ScaleCrop>false</ScaleCrop>
  <LinksUpToDate>false</LinksUpToDate>
  <CharactersWithSpaces>4319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2026-05-25T03:18:39Z</dcterms:created>
  <dc:creator>xb19</dc:creator>
  <cp:lastModifiedBy>xb19</cp:lastModifiedBy>
  <dcterms:modified xsi:type="dcterms:W3CDTF">2026-05-25T03:22:49Z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FF1055ED11C54F75A9132FA8DE334BCB_13</vt:lpwstr>
  </property>
</Properties>
</file>