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版本号：RQDL-2026-01220260511001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存量档案整理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RQDL-2026-012</w:t>
      </w:r>
      <w:r>
        <w:br/>
      </w:r>
      <w:r>
        <w:br/>
      </w:r>
      <w:r>
        <w:br/>
      </w:r>
    </w:p>
    <w:p>
      <w:pPr>
        <w:pStyle w:val="null3"/>
        <w:jc w:val="center"/>
        <w:outlineLvl w:val="2"/>
      </w:pPr>
      <w:r>
        <w:rPr>
          <w:rFonts w:ascii="仿宋_GB2312" w:hAnsi="仿宋_GB2312" w:cs="仿宋_GB2312" w:eastAsia="仿宋_GB2312"/>
          <w:sz w:val="28"/>
          <w:b/>
        </w:rPr>
        <w:t>西安市城建档案馆</w:t>
      </w:r>
    </w:p>
    <w:p>
      <w:pPr>
        <w:pStyle w:val="null3"/>
        <w:jc w:val="center"/>
        <w:outlineLvl w:val="2"/>
      </w:pPr>
      <w:r>
        <w:rPr>
          <w:rFonts w:ascii="仿宋_GB2312" w:hAnsi="仿宋_GB2312" w:cs="仿宋_GB2312" w:eastAsia="仿宋_GB2312"/>
          <w:sz w:val="28"/>
          <w:b/>
        </w:rPr>
        <w:t>陕西瑞琪工程咨询有限公司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陕西瑞琪工程咨询有限公司</w:t>
      </w:r>
      <w:r>
        <w:rPr>
          <w:rFonts w:ascii="仿宋_GB2312" w:hAnsi="仿宋_GB2312" w:cs="仿宋_GB2312" w:eastAsia="仿宋_GB2312"/>
        </w:rPr>
        <w:t>（以下简称“代理机构”）受</w:t>
      </w:r>
      <w:r>
        <w:rPr>
          <w:rFonts w:ascii="仿宋_GB2312" w:hAnsi="仿宋_GB2312" w:cs="仿宋_GB2312" w:eastAsia="仿宋_GB2312"/>
        </w:rPr>
        <w:t>西安市城建档案馆</w:t>
      </w:r>
      <w:r>
        <w:rPr>
          <w:rFonts w:ascii="仿宋_GB2312" w:hAnsi="仿宋_GB2312" w:cs="仿宋_GB2312" w:eastAsia="仿宋_GB2312"/>
        </w:rPr>
        <w:t>委托，拟对</w:t>
      </w:r>
      <w:r>
        <w:rPr>
          <w:rFonts w:ascii="仿宋_GB2312" w:hAnsi="仿宋_GB2312" w:cs="仿宋_GB2312" w:eastAsia="仿宋_GB2312"/>
        </w:rPr>
        <w:t>存量档案整理</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RQDL-2026-012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存量档案整理</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对西安市城建档案馆存量档案进行整理并电子化扫描及挂接入城建数据库，具体内容详见本项目采购文件。服务期限为：合同签订之日起至2026年11月30日</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采购包1（存量档案整理）：属于专门面向小微企业采购。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其他特定资格要求：（1）营业执照等主体资格证明文件：提供有效存续的企业营业执照（副本）/事业单位法人证书/专业服务机构执业许可证/民办非企业单位登记证书。（2）法定代表人授权委托书：法定代表人参加磋商的，须提供本人身份证复印件（附在资格证明文件中）；法定代表人授权他人参加磋商的，须提供法定代表人授权委托书。磋商文件中凡是需要法定代表人盖章之处，非法人单位的负责人均参照执行。法人的分支机构参与磋商时，除提供《法定代表人授权委托书》外，还须同时提供法人给分支机构出具的授权书。（3）财务状况报告：提供2024年度或2025年经审计的财务报告（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4）书面声明：提供书面声明，包括声明具有履行合同所必需的设备和专业技术能力；未为本项目提供整体设计、规范编制或者项目管理、监理、检测等服务。（5）社保缴纳证明：提供递交响应文件截止之日前一年内任意一个月的社会保障资金缴存单据或社保机构开具的社会保险参保缴费情况证明。依法不需要缴纳社会保障资金的供应商应提供相关文件证明。（6）税收缴纳证明：提供递交响应文件截止之日前一年内任意一个月的依法缴纳税收的相关凭据（时间以税款所属日期为准、税种至少包含增值税或企业所得税），凭据应有税务机关或代收机关的公章或业务专用章。依法免税或无须缴纳税收的供应商，应提供相应证明文件。（7）近三年无重大违法、违纪书面声明：提供《近三年无重大违法、违纪书面声明》。（8）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9）控股管理关系：提供直接控股和管理关系清单。若与其他供应商存在单位负责人为同一人或者存在直接控股、管理关系的，则响应无效。（10）本项目不接受联合体磋商，不允许分包：供应商应提供《非联合体不分包磋商声明》，视为独立磋商，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西安市城建档案馆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西安市欧亚六路1号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孟老师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88010822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陕西瑞琪工程咨询有限公司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陕西省西安市雁塔区曲江新区雁翔路3269号旺座曲江H座19F1901室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13379050264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代理服务费收费标准：代理服务费由成交供应商在领取成交通知书前，向代理机构支付，支付金额：9000元。</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西安市城建档案馆</w:t>
      </w:r>
      <w:r>
        <w:rPr>
          <w:rFonts w:ascii="仿宋_GB2312" w:hAnsi="仿宋_GB2312" w:cs="仿宋_GB2312" w:eastAsia="仿宋_GB2312"/>
        </w:rPr>
        <w:t>和</w:t>
      </w:r>
      <w:r>
        <w:rPr>
          <w:rFonts w:ascii="仿宋_GB2312" w:hAnsi="仿宋_GB2312" w:cs="仿宋_GB2312" w:eastAsia="仿宋_GB2312"/>
        </w:rPr>
        <w:t>陕西瑞琪工程咨询有限公司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西安市城建档案馆</w:t>
      </w:r>
      <w:r>
        <w:rPr>
          <w:rFonts w:ascii="仿宋_GB2312" w:hAnsi="仿宋_GB2312" w:cs="仿宋_GB2312" w:eastAsia="仿宋_GB2312"/>
        </w:rPr>
        <w:t>负责解释。除上述磋商文件内容，其他内容由</w:t>
      </w:r>
      <w:r>
        <w:rPr>
          <w:rFonts w:ascii="仿宋_GB2312" w:hAnsi="仿宋_GB2312" w:cs="仿宋_GB2312" w:eastAsia="仿宋_GB2312"/>
        </w:rPr>
        <w:t>陕西瑞琪工程咨询有限公司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西安市城建档案馆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陕西瑞琪工程咨询有限公司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以如下档案部门现行技术规范为技术标准： 《档案著录规则》（DA/T18-2022）； 《归档文件整理规则》（DA/T22-2015）； 《建设工程文件归档规范》（GB/T 50328—2014）； 《建设电子文件与电子档案管理规范》(CJJ/T117—2017)； 《建设电子档案元数据标准》（CJJ/T187-2012）； 《城建档案业务管理规范》（CJJ/T158-2011）； 《纸质档案数字化规范》（DA/T 31—2017）； 《西安市建设工程电子档案归档与管理规定》； 《建设电子文件与电子档案管理规范》（CJJ/T 117-2017）； 《城建档案业务管理规范》（JJ/T 158-2011）； 《档案服务外包工作规范》第1部分：总则（DA/T68.1-2020）； 《档案服务外包工作规范》第2部分：档案数字化服务（DA/T68.1-2020）。</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陕西瑞琪工程咨询有限公司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陕西瑞琪工程咨询有限公司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陕西瑞琪工程咨询有限公司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联系人：王超</w:t>
      </w:r>
    </w:p>
    <w:p>
      <w:pPr>
        <w:pStyle w:val="null3"/>
      </w:pPr>
      <w:r>
        <w:rPr>
          <w:rFonts w:ascii="仿宋_GB2312" w:hAnsi="仿宋_GB2312" w:cs="仿宋_GB2312" w:eastAsia="仿宋_GB2312"/>
        </w:rPr>
        <w:t>联系电话：029-81213650</w:t>
      </w:r>
    </w:p>
    <w:p>
      <w:pPr>
        <w:pStyle w:val="null3"/>
      </w:pPr>
      <w:r>
        <w:rPr>
          <w:rFonts w:ascii="仿宋_GB2312" w:hAnsi="仿宋_GB2312" w:cs="仿宋_GB2312" w:eastAsia="仿宋_GB2312"/>
        </w:rPr>
        <w:t>地址：陕西瑞琪工程咨询有限公司 （西安市曲江新区雁翔路3269号旺座曲江H座19F1904室）</w:t>
      </w:r>
    </w:p>
    <w:p>
      <w:pPr>
        <w:pStyle w:val="null3"/>
      </w:pPr>
      <w:r>
        <w:rPr>
          <w:rFonts w:ascii="仿宋_GB2312" w:hAnsi="仿宋_GB2312" w:cs="仿宋_GB2312" w:eastAsia="仿宋_GB2312"/>
        </w:rPr>
        <w:t>邮编：710069</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对存量资料进行分类、整理、打码、条目录入、扫描、挂接、制作封皮、目录、备考、装订、档案装盒、移交等加工处理。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635,000.00</w:t>
      </w:r>
    </w:p>
    <w:p>
      <w:pPr>
        <w:pStyle w:val="null3"/>
      </w:pPr>
      <w:r>
        <w:rPr>
          <w:rFonts w:ascii="仿宋_GB2312" w:hAnsi="仿宋_GB2312" w:cs="仿宋_GB2312" w:eastAsia="仿宋_GB2312"/>
        </w:rPr>
        <w:t>采购包最高限价（元）: 635,000.00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档案整理</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635,000.00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标的名称：档案整理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以如下档案部门现行技术规范为技术标准：</w:t>
            </w:r>
          </w:p>
          <w:p>
            <w:pPr>
              <w:pStyle w:val="null3"/>
              <w:jc w:val="both"/>
            </w:pPr>
            <w:r>
              <w:rPr>
                <w:rFonts w:ascii="仿宋_GB2312" w:hAnsi="仿宋_GB2312" w:cs="仿宋_GB2312" w:eastAsia="仿宋_GB2312"/>
                <w:sz w:val="18"/>
              </w:rPr>
              <w:t>《档案著录规则》（</w:t>
            </w:r>
            <w:r>
              <w:rPr>
                <w:rFonts w:ascii="仿宋_GB2312" w:hAnsi="仿宋_GB2312" w:cs="仿宋_GB2312" w:eastAsia="仿宋_GB2312"/>
                <w:sz w:val="18"/>
              </w:rPr>
              <w:t>DA/T18-2022）</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《归档文件整理规则》（</w:t>
            </w:r>
            <w:r>
              <w:rPr>
                <w:rFonts w:ascii="仿宋_GB2312" w:hAnsi="仿宋_GB2312" w:cs="仿宋_GB2312" w:eastAsia="仿宋_GB2312"/>
                <w:sz w:val="18"/>
              </w:rPr>
              <w:t>DA/T22-2015）；</w:t>
            </w:r>
          </w:p>
          <w:p>
            <w:pPr>
              <w:pStyle w:val="null3"/>
              <w:jc w:val="both"/>
            </w:pPr>
            <w:r>
              <w:rPr>
                <w:rFonts w:ascii="仿宋_GB2312" w:hAnsi="仿宋_GB2312" w:cs="仿宋_GB2312" w:eastAsia="仿宋_GB2312"/>
                <w:sz w:val="18"/>
              </w:rPr>
              <w:t>《建设工程文件归档规范》（</w:t>
            </w:r>
            <w:r>
              <w:rPr>
                <w:rFonts w:ascii="仿宋_GB2312" w:hAnsi="仿宋_GB2312" w:cs="仿宋_GB2312" w:eastAsia="仿宋_GB2312"/>
                <w:sz w:val="18"/>
              </w:rPr>
              <w:t>GB/T</w:t>
            </w:r>
            <w:r>
              <w:rPr>
                <w:rFonts w:ascii="仿宋_GB2312" w:hAnsi="仿宋_GB2312" w:cs="仿宋_GB2312" w:eastAsia="仿宋_GB2312"/>
              </w:rPr>
              <w:t xml:space="preserve"> </w:t>
            </w:r>
            <w:r>
              <w:rPr>
                <w:rFonts w:ascii="仿宋_GB2312" w:hAnsi="仿宋_GB2312" w:cs="仿宋_GB2312" w:eastAsia="仿宋_GB2312"/>
                <w:sz w:val="18"/>
              </w:rPr>
              <w:t>50328—2014）；</w:t>
            </w:r>
          </w:p>
          <w:p>
            <w:pPr>
              <w:pStyle w:val="null3"/>
              <w:jc w:val="both"/>
            </w:pPr>
            <w:r>
              <w:rPr>
                <w:rFonts w:ascii="仿宋_GB2312" w:hAnsi="仿宋_GB2312" w:cs="仿宋_GB2312" w:eastAsia="仿宋_GB2312"/>
                <w:sz w:val="18"/>
              </w:rPr>
              <w:t>《建设电子文件与电子档案管理规范》</w:t>
            </w:r>
            <w:r>
              <w:rPr>
                <w:rFonts w:ascii="仿宋_GB2312" w:hAnsi="仿宋_GB2312" w:cs="仿宋_GB2312" w:eastAsia="仿宋_GB2312"/>
                <w:sz w:val="18"/>
              </w:rPr>
              <w:t>(CJJ/T117—2017)；</w:t>
            </w:r>
          </w:p>
          <w:p>
            <w:pPr>
              <w:pStyle w:val="null3"/>
              <w:jc w:val="both"/>
            </w:pPr>
            <w:r>
              <w:rPr>
                <w:rFonts w:ascii="仿宋_GB2312" w:hAnsi="仿宋_GB2312" w:cs="仿宋_GB2312" w:eastAsia="仿宋_GB2312"/>
                <w:sz w:val="18"/>
              </w:rPr>
              <w:t>《建设电子档案元数据标准》（</w:t>
            </w:r>
            <w:r>
              <w:rPr>
                <w:rFonts w:ascii="仿宋_GB2312" w:hAnsi="仿宋_GB2312" w:cs="仿宋_GB2312" w:eastAsia="仿宋_GB2312"/>
                <w:sz w:val="18"/>
              </w:rPr>
              <w:t>CJJ/T187-2012）；</w:t>
            </w:r>
          </w:p>
          <w:p>
            <w:pPr>
              <w:pStyle w:val="null3"/>
              <w:jc w:val="both"/>
            </w:pPr>
            <w:r>
              <w:rPr>
                <w:rFonts w:ascii="仿宋_GB2312" w:hAnsi="仿宋_GB2312" w:cs="仿宋_GB2312" w:eastAsia="仿宋_GB2312"/>
                <w:sz w:val="18"/>
              </w:rPr>
              <w:t>《城建档案业务管理规范》（</w:t>
            </w:r>
            <w:r>
              <w:rPr>
                <w:rFonts w:ascii="仿宋_GB2312" w:hAnsi="仿宋_GB2312" w:cs="仿宋_GB2312" w:eastAsia="仿宋_GB2312"/>
                <w:sz w:val="18"/>
              </w:rPr>
              <w:t>CJJ/T158-2011）</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《纸质档案数字化规范》（</w:t>
            </w:r>
            <w:r>
              <w:rPr>
                <w:rFonts w:ascii="仿宋_GB2312" w:hAnsi="仿宋_GB2312" w:cs="仿宋_GB2312" w:eastAsia="仿宋_GB2312"/>
                <w:sz w:val="18"/>
              </w:rPr>
              <w:t>DA/T 31—2017）</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《西安市建设工程电子档案归档与管理规定》</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《建设电子文件与电子档案管理规范》（</w:t>
            </w:r>
            <w:r>
              <w:rPr>
                <w:rFonts w:ascii="仿宋_GB2312" w:hAnsi="仿宋_GB2312" w:cs="仿宋_GB2312" w:eastAsia="仿宋_GB2312"/>
                <w:sz w:val="18"/>
              </w:rPr>
              <w:t>CJJ/T 117-2017）</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《城建档案业务管理规范》（</w:t>
            </w:r>
            <w:r>
              <w:rPr>
                <w:rFonts w:ascii="仿宋_GB2312" w:hAnsi="仿宋_GB2312" w:cs="仿宋_GB2312" w:eastAsia="仿宋_GB2312"/>
                <w:sz w:val="18"/>
              </w:rPr>
              <w:t>JJ/T 158-2011）</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《档案服务外包工作规范》第</w:t>
            </w:r>
            <w:r>
              <w:rPr>
                <w:rFonts w:ascii="仿宋_GB2312" w:hAnsi="仿宋_GB2312" w:cs="仿宋_GB2312" w:eastAsia="仿宋_GB2312"/>
                <w:sz w:val="18"/>
              </w:rPr>
              <w:t>1部分：总则（DA/T68.1-2020）；</w:t>
            </w:r>
          </w:p>
          <w:p>
            <w:pPr>
              <w:pStyle w:val="null3"/>
              <w:jc w:val="both"/>
            </w:pPr>
            <w:r>
              <w:rPr>
                <w:rFonts w:ascii="仿宋_GB2312" w:hAnsi="仿宋_GB2312" w:cs="仿宋_GB2312" w:eastAsia="仿宋_GB2312"/>
                <w:sz w:val="18"/>
              </w:rPr>
              <w:t>《档案服务外包工作规范》第</w:t>
            </w:r>
            <w:r>
              <w:rPr>
                <w:rFonts w:ascii="仿宋_GB2312" w:hAnsi="仿宋_GB2312" w:cs="仿宋_GB2312" w:eastAsia="仿宋_GB2312"/>
                <w:sz w:val="18"/>
              </w:rPr>
              <w:t>2部分：档案数字化服务（DA/T68.1-2020）。</w:t>
            </w:r>
          </w:p>
          <w:p>
            <w:pPr>
              <w:pStyle w:val="null3"/>
              <w:jc w:val="both"/>
            </w:pPr>
            <w:r>
              <w:rPr>
                <w:rFonts w:ascii="仿宋_GB2312" w:hAnsi="仿宋_GB2312" w:cs="仿宋_GB2312" w:eastAsia="仿宋_GB2312"/>
                <w:sz w:val="18"/>
              </w:rPr>
              <w:t>2、纸质文件整理</w:t>
            </w:r>
          </w:p>
          <w:p>
            <w:pPr>
              <w:pStyle w:val="null3"/>
              <w:jc w:val="both"/>
            </w:pPr>
            <w:r>
              <w:rPr>
                <w:rFonts w:ascii="仿宋_GB2312" w:hAnsi="仿宋_GB2312" w:cs="仿宋_GB2312" w:eastAsia="仿宋_GB2312"/>
                <w:sz w:val="18"/>
              </w:rPr>
              <w:t>2.1 立卷原则和方法</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1）对属于归档范围的文件进行分类，确定归入案卷的文件材料；</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2）对卷内文件材料进行排列、编目、装订、装盒；</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3）排列所有案卷，形成案卷目录；</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4）业务类资料立卷应遵循文件的自然形成规律，保持卷内文件的有机联系，便于档案的保管和利用；</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w:t>
            </w:r>
            <w:r>
              <w:rPr>
                <w:rFonts w:ascii="仿宋_GB2312" w:hAnsi="仿宋_GB2312" w:cs="仿宋_GB2312" w:eastAsia="仿宋_GB2312"/>
                <w:sz w:val="18"/>
              </w:rPr>
              <w:t>文书类资料应按照《归档文件整理规则》</w:t>
            </w:r>
            <w:r>
              <w:rPr>
                <w:rFonts w:ascii="仿宋_GB2312" w:hAnsi="仿宋_GB2312" w:cs="仿宋_GB2312" w:eastAsia="仿宋_GB2312"/>
                <w:sz w:val="18"/>
              </w:rPr>
              <w:t>DA/T22-2015进行分类排序；</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w:t>
            </w:r>
            <w:r>
              <w:rPr>
                <w:rFonts w:ascii="仿宋_GB2312" w:hAnsi="仿宋_GB2312" w:cs="仿宋_GB2312" w:eastAsia="仿宋_GB2312"/>
                <w:sz w:val="18"/>
              </w:rPr>
              <w:t>不同载体的文件应分别立卷；</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w:t>
            </w:r>
            <w:r>
              <w:rPr>
                <w:rFonts w:ascii="仿宋_GB2312" w:hAnsi="仿宋_GB2312" w:cs="仿宋_GB2312" w:eastAsia="仿宋_GB2312"/>
                <w:sz w:val="18"/>
              </w:rPr>
              <w:t>案卷不宜过厚，文字材料卷厚度不宜超过</w:t>
            </w:r>
            <w:r>
              <w:rPr>
                <w:rFonts w:ascii="仿宋_GB2312" w:hAnsi="仿宋_GB2312" w:cs="仿宋_GB2312" w:eastAsia="仿宋_GB2312"/>
                <w:sz w:val="18"/>
              </w:rPr>
              <w:t>20mm，图纸卷厚度不宜超过40mm；</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8）</w:t>
            </w:r>
            <w:r>
              <w:rPr>
                <w:rFonts w:ascii="仿宋_GB2312" w:hAnsi="仿宋_GB2312" w:cs="仿宋_GB2312" w:eastAsia="仿宋_GB2312"/>
                <w:sz w:val="18"/>
              </w:rPr>
              <w:t>案卷内不应有重份文件。</w:t>
            </w:r>
          </w:p>
          <w:p>
            <w:pPr>
              <w:pStyle w:val="null3"/>
              <w:jc w:val="both"/>
            </w:pPr>
            <w:r>
              <w:rPr>
                <w:rFonts w:ascii="仿宋_GB2312" w:hAnsi="仿宋_GB2312" w:cs="仿宋_GB2312" w:eastAsia="仿宋_GB2312"/>
                <w:sz w:val="18"/>
              </w:rPr>
              <w:t>2.2 卷内文件排列</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文字材料应按事项、专业顺序排列。同一事项的请示与批复、同一文件的印本与定稿、主体与附件不应分开，并应按批复在前、请示在后，印本在前、定稿在后，主体在前、附件在后，汇总在前、内容在后的顺序排列。</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2）图纸应按专业排列，同专业图纸应按图号顺序排列，图纸目录应在最前面。</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3）当案卷内既有文字材料又有图纸时，文字材料应排在前面，图纸应排在后面，但应遵循主件与附件不能分开的原则。</w:t>
            </w:r>
          </w:p>
          <w:p>
            <w:pPr>
              <w:pStyle w:val="null3"/>
              <w:jc w:val="both"/>
            </w:pPr>
            <w:r>
              <w:rPr>
                <w:rFonts w:ascii="仿宋_GB2312" w:hAnsi="仿宋_GB2312" w:cs="仿宋_GB2312" w:eastAsia="仿宋_GB2312"/>
                <w:sz w:val="18"/>
              </w:rPr>
              <w:t>2.3 案卷编目</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1）卷内文件均应按有书写内容的页面编号。每</w:t>
            </w:r>
            <w:r>
              <w:rPr>
                <w:rFonts w:ascii="仿宋_GB2312" w:hAnsi="仿宋_GB2312" w:cs="仿宋_GB2312" w:eastAsia="仿宋_GB2312"/>
                <w:sz w:val="18"/>
              </w:rPr>
              <w:t>卷单独编号，页号</w:t>
            </w:r>
            <w:r>
              <w:rPr>
                <w:rFonts w:ascii="仿宋_GB2312" w:hAnsi="仿宋_GB2312" w:cs="仿宋_GB2312" w:eastAsia="仿宋_GB2312"/>
              </w:rPr>
              <w:t xml:space="preserve"> </w:t>
            </w:r>
            <w:r>
              <w:rPr>
                <w:rFonts w:ascii="仿宋_GB2312" w:hAnsi="仿宋_GB2312" w:cs="仿宋_GB2312" w:eastAsia="仿宋_GB2312"/>
                <w:sz w:val="18"/>
              </w:rPr>
              <w:t>从</w:t>
            </w:r>
            <w:r>
              <w:rPr>
                <w:rFonts w:ascii="仿宋_GB2312" w:hAnsi="仿宋_GB2312" w:cs="仿宋_GB2312" w:eastAsia="仿宋_GB2312"/>
                <w:sz w:val="18"/>
              </w:rPr>
              <w:t>“001”开始</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页号编写位置单面书写的文件在右下角；双面书写的文件，正面在右下角，背面在左下角。折叠后的图纸一律在右下角</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页号应用号码机打出，蓝色或黑色均可，不</w:t>
            </w:r>
            <w:r>
              <w:rPr>
                <w:rFonts w:ascii="仿宋_GB2312" w:hAnsi="仿宋_GB2312" w:cs="仿宋_GB2312" w:eastAsia="仿宋_GB2312"/>
                <w:sz w:val="18"/>
              </w:rPr>
              <w:t>得</w:t>
            </w:r>
            <w:r>
              <w:rPr>
                <w:rFonts w:ascii="仿宋_GB2312" w:hAnsi="仿宋_GB2312" w:cs="仿宋_GB2312" w:eastAsia="仿宋_GB2312"/>
                <w:sz w:val="18"/>
              </w:rPr>
              <w:t>徒手书写编号</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案卷封面、卷内目录、卷内备考表不编写页号</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卷内目录排列在卷内文件首页之前</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序号应以一份文件为单位编写，用阿拉伯数字从</w:t>
            </w:r>
            <w:r>
              <w:rPr>
                <w:rFonts w:ascii="仿宋_GB2312" w:hAnsi="仿宋_GB2312" w:cs="仿宋_GB2312" w:eastAsia="仿宋_GB2312"/>
                <w:sz w:val="18"/>
              </w:rPr>
              <w:t>1依次标注</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w:t>
            </w:r>
            <w:r>
              <w:rPr>
                <w:rFonts w:ascii="仿宋_GB2312" w:hAnsi="仿宋_GB2312" w:cs="仿宋_GB2312" w:eastAsia="仿宋_GB2312"/>
                <w:sz w:val="18"/>
              </w:rPr>
              <w:t>）</w:t>
            </w:r>
            <w:r>
              <w:rPr>
                <w:rFonts w:ascii="仿宋_GB2312" w:hAnsi="仿宋_GB2312" w:cs="仿宋_GB2312" w:eastAsia="仿宋_GB2312"/>
                <w:sz w:val="18"/>
              </w:rPr>
              <w:t>责任者应填写文件的直接形成单位或个人。有多个责任者时，应选择两个主要责任者，其余用</w:t>
            </w:r>
            <w:r>
              <w:rPr>
                <w:rFonts w:ascii="仿宋_GB2312" w:hAnsi="仿宋_GB2312" w:cs="仿宋_GB2312" w:eastAsia="仿宋_GB2312"/>
                <w:sz w:val="18"/>
              </w:rPr>
              <w:t>“等”代替</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8</w:t>
            </w:r>
            <w:r>
              <w:rPr>
                <w:rFonts w:ascii="仿宋_GB2312" w:hAnsi="仿宋_GB2312" w:cs="仿宋_GB2312" w:eastAsia="仿宋_GB2312"/>
                <w:sz w:val="18"/>
              </w:rPr>
              <w:t>）</w:t>
            </w:r>
            <w:r>
              <w:rPr>
                <w:rFonts w:ascii="仿宋_GB2312" w:hAnsi="仿宋_GB2312" w:cs="仿宋_GB2312" w:eastAsia="仿宋_GB2312"/>
                <w:sz w:val="18"/>
              </w:rPr>
              <w:t>文件编号应填写文件形成单位的发文号或图纸的图号</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9</w:t>
            </w:r>
            <w:r>
              <w:rPr>
                <w:rFonts w:ascii="仿宋_GB2312" w:hAnsi="仿宋_GB2312" w:cs="仿宋_GB2312" w:eastAsia="仿宋_GB2312"/>
                <w:sz w:val="18"/>
              </w:rPr>
              <w:t>）</w:t>
            </w:r>
            <w:r>
              <w:rPr>
                <w:rFonts w:ascii="仿宋_GB2312" w:hAnsi="仿宋_GB2312" w:cs="仿宋_GB2312" w:eastAsia="仿宋_GB2312"/>
                <w:sz w:val="18"/>
              </w:rPr>
              <w:t>文件题名应填写文件标题的全称。当文件无标题时，应根据内容拟写</w:t>
            </w:r>
            <w:r>
              <w:rPr>
                <w:rFonts w:ascii="仿宋_GB2312" w:hAnsi="仿宋_GB2312" w:cs="仿宋_GB2312" w:eastAsia="仿宋_GB2312"/>
                <w:sz w:val="18"/>
              </w:rPr>
              <w:t>标题，拟写标题外应加</w:t>
            </w:r>
            <w:r>
              <w:rPr>
                <w:rFonts w:ascii="仿宋_GB2312" w:hAnsi="仿宋_GB2312" w:cs="仿宋_GB2312" w:eastAsia="仿宋_GB2312"/>
                <w:sz w:val="18"/>
              </w:rPr>
              <w:t>“［</w:t>
            </w:r>
            <w:r>
              <w:rPr>
                <w:rFonts w:ascii="仿宋_GB2312" w:hAnsi="仿宋_GB2312" w:cs="仿宋_GB2312" w:eastAsia="仿宋_GB2312"/>
              </w:rPr>
              <w:t xml:space="preserve"> </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符号</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10</w:t>
            </w:r>
            <w:r>
              <w:rPr>
                <w:rFonts w:ascii="仿宋_GB2312" w:hAnsi="仿宋_GB2312" w:cs="仿宋_GB2312" w:eastAsia="仿宋_GB2312"/>
                <w:sz w:val="18"/>
              </w:rPr>
              <w:t>）</w:t>
            </w:r>
            <w:r>
              <w:rPr>
                <w:rFonts w:ascii="仿宋_GB2312" w:hAnsi="仿宋_GB2312" w:cs="仿宋_GB2312" w:eastAsia="仿宋_GB2312"/>
                <w:sz w:val="18"/>
              </w:rPr>
              <w:t>日期应填写文件的形成日期或文件的起止日期，竣工图应填写编制日</w:t>
            </w:r>
            <w:r>
              <w:rPr>
                <w:rFonts w:ascii="仿宋_GB2312" w:hAnsi="仿宋_GB2312" w:cs="仿宋_GB2312" w:eastAsia="仿宋_GB2312"/>
                <w:sz w:val="18"/>
              </w:rPr>
              <w:t>期。日期中</w:t>
            </w:r>
            <w:r>
              <w:rPr>
                <w:rFonts w:ascii="仿宋_GB2312" w:hAnsi="仿宋_GB2312" w:cs="仿宋_GB2312" w:eastAsia="仿宋_GB2312"/>
                <w:sz w:val="18"/>
              </w:rPr>
              <w:t>“年”应用四位数字表示，“月”和“日”应分别用两位数字表示</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11</w:t>
            </w:r>
            <w:r>
              <w:rPr>
                <w:rFonts w:ascii="仿宋_GB2312" w:hAnsi="仿宋_GB2312" w:cs="仿宋_GB2312" w:eastAsia="仿宋_GB2312"/>
                <w:sz w:val="18"/>
              </w:rPr>
              <w:t>）</w:t>
            </w:r>
            <w:r>
              <w:rPr>
                <w:rFonts w:ascii="仿宋_GB2312" w:hAnsi="仿宋_GB2312" w:cs="仿宋_GB2312" w:eastAsia="仿宋_GB2312"/>
                <w:sz w:val="18"/>
              </w:rPr>
              <w:t>页次应填写文件在卷内所排的起止页号。备注应填写需要说明的问题</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12</w:t>
            </w:r>
            <w:r>
              <w:rPr>
                <w:rFonts w:ascii="仿宋_GB2312" w:hAnsi="仿宋_GB2312" w:cs="仿宋_GB2312" w:eastAsia="仿宋_GB2312"/>
                <w:sz w:val="18"/>
              </w:rPr>
              <w:t>）</w:t>
            </w:r>
            <w:r>
              <w:rPr>
                <w:rFonts w:ascii="仿宋_GB2312" w:hAnsi="仿宋_GB2312" w:cs="仿宋_GB2312" w:eastAsia="仿宋_GB2312"/>
                <w:sz w:val="18"/>
              </w:rPr>
              <w:t>卷内备考表应排列在卷内文件的尾页之后；</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13</w:t>
            </w:r>
            <w:r>
              <w:rPr>
                <w:rFonts w:ascii="仿宋_GB2312" w:hAnsi="仿宋_GB2312" w:cs="仿宋_GB2312" w:eastAsia="仿宋_GB2312"/>
                <w:sz w:val="18"/>
              </w:rPr>
              <w:t>）</w:t>
            </w:r>
            <w:r>
              <w:rPr>
                <w:rFonts w:ascii="仿宋_GB2312" w:hAnsi="仿宋_GB2312" w:cs="仿宋_GB2312" w:eastAsia="仿宋_GB2312"/>
                <w:sz w:val="18"/>
              </w:rPr>
              <w:t>卷内备考表应标明卷内文件的总页数、各类文件页数或照片张数及立卷单位对案卷情况的说明；主要说明卷内文件复印件情况、页码错误情况、文件的更换情况等</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14</w:t>
            </w:r>
            <w:r>
              <w:rPr>
                <w:rFonts w:ascii="仿宋_GB2312" w:hAnsi="仿宋_GB2312" w:cs="仿宋_GB2312" w:eastAsia="仿宋_GB2312"/>
                <w:sz w:val="18"/>
              </w:rPr>
              <w:t>）</w:t>
            </w:r>
            <w:r>
              <w:rPr>
                <w:rFonts w:ascii="仿宋_GB2312" w:hAnsi="仿宋_GB2312" w:cs="仿宋_GB2312" w:eastAsia="仿宋_GB2312"/>
                <w:sz w:val="18"/>
              </w:rPr>
              <w:t>立卷</w:t>
            </w:r>
            <w:r>
              <w:rPr>
                <w:rFonts w:ascii="仿宋_GB2312" w:hAnsi="仿宋_GB2312" w:cs="仿宋_GB2312" w:eastAsia="仿宋_GB2312"/>
                <w:sz w:val="18"/>
              </w:rPr>
              <w:t>人</w:t>
            </w:r>
            <w:r>
              <w:rPr>
                <w:rFonts w:ascii="仿宋_GB2312" w:hAnsi="仿宋_GB2312" w:cs="仿宋_GB2312" w:eastAsia="仿宋_GB2312"/>
                <w:sz w:val="18"/>
              </w:rPr>
              <w:t>和审核人</w:t>
            </w:r>
            <w:r>
              <w:rPr>
                <w:rFonts w:ascii="仿宋_GB2312" w:hAnsi="仿宋_GB2312" w:cs="仿宋_GB2312" w:eastAsia="仿宋_GB2312"/>
                <w:sz w:val="18"/>
              </w:rPr>
              <w:t>分别填写整理归档人员和归档文件审核人员</w:t>
            </w:r>
            <w:r>
              <w:rPr>
                <w:rFonts w:ascii="仿宋_GB2312" w:hAnsi="仿宋_GB2312" w:cs="仿宋_GB2312" w:eastAsia="仿宋_GB2312"/>
                <w:sz w:val="18"/>
              </w:rPr>
              <w:t>，年、月、日应按立卷、审核时间填写</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15</w:t>
            </w:r>
            <w:r>
              <w:rPr>
                <w:rFonts w:ascii="仿宋_GB2312" w:hAnsi="仿宋_GB2312" w:cs="仿宋_GB2312" w:eastAsia="仿宋_GB2312"/>
                <w:sz w:val="18"/>
              </w:rPr>
              <w:t>）</w:t>
            </w:r>
            <w:r>
              <w:rPr>
                <w:rFonts w:ascii="仿宋_GB2312" w:hAnsi="仿宋_GB2312" w:cs="仿宋_GB2312" w:eastAsia="仿宋_GB2312"/>
                <w:sz w:val="18"/>
              </w:rPr>
              <w:t>案卷封面采用内封面形式。案卷封面的内容应包括总卷号、案卷题名、编制单位、起止日期、密级、保管期限、本案卷所属案卷总量、</w:t>
            </w:r>
            <w:r>
              <w:rPr>
                <w:rFonts w:ascii="仿宋_GB2312" w:hAnsi="仿宋_GB2312" w:cs="仿宋_GB2312" w:eastAsia="仿宋_GB2312"/>
                <w:sz w:val="18"/>
              </w:rPr>
              <w:t>本案卷在案卷总量中的排序</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16</w:t>
            </w:r>
            <w:r>
              <w:rPr>
                <w:rFonts w:ascii="仿宋_GB2312" w:hAnsi="仿宋_GB2312" w:cs="仿宋_GB2312" w:eastAsia="仿宋_GB2312"/>
                <w:sz w:val="18"/>
              </w:rPr>
              <w:t>）</w:t>
            </w:r>
            <w:r>
              <w:rPr>
                <w:rFonts w:ascii="仿宋_GB2312" w:hAnsi="仿宋_GB2312" w:cs="仿宋_GB2312" w:eastAsia="仿宋_GB2312"/>
                <w:sz w:val="18"/>
              </w:rPr>
              <w:t>编制单位应填写案卷内文件的形成单位或主要责任者</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17</w:t>
            </w:r>
            <w:r>
              <w:rPr>
                <w:rFonts w:ascii="仿宋_GB2312" w:hAnsi="仿宋_GB2312" w:cs="仿宋_GB2312" w:eastAsia="仿宋_GB2312"/>
                <w:sz w:val="18"/>
              </w:rPr>
              <w:t>）</w:t>
            </w:r>
            <w:r>
              <w:rPr>
                <w:rFonts w:ascii="仿宋_GB2312" w:hAnsi="仿宋_GB2312" w:cs="仿宋_GB2312" w:eastAsia="仿宋_GB2312"/>
                <w:sz w:val="18"/>
              </w:rPr>
              <w:t>起止日期应填写案卷内全部文件形成的起止日期。竣工图的开始形成日期为施工图设计日期，最后形成日期按竣工图的编制日期填写</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18）业务类资料</w:t>
            </w:r>
            <w:r>
              <w:rPr>
                <w:rFonts w:ascii="仿宋_GB2312" w:hAnsi="仿宋_GB2312" w:cs="仿宋_GB2312" w:eastAsia="仿宋_GB2312"/>
                <w:sz w:val="18"/>
              </w:rPr>
              <w:t>保管期限应根据卷内文件的保存价值在永久保管、长期保管、短期保管三种保管期限中选择划定</w:t>
            </w:r>
            <w:r>
              <w:rPr>
                <w:rFonts w:ascii="仿宋_GB2312" w:hAnsi="仿宋_GB2312" w:cs="仿宋_GB2312" w:eastAsia="仿宋_GB2312"/>
                <w:sz w:val="18"/>
              </w:rPr>
              <w:t>；文书类资料保管期限分为永久、</w:t>
            </w:r>
            <w:r>
              <w:rPr>
                <w:rFonts w:ascii="仿宋_GB2312" w:hAnsi="仿宋_GB2312" w:cs="仿宋_GB2312" w:eastAsia="仿宋_GB2312"/>
                <w:sz w:val="18"/>
              </w:rPr>
              <w:t>30年、10年，</w:t>
            </w:r>
            <w:r>
              <w:rPr>
                <w:rFonts w:ascii="仿宋_GB2312" w:hAnsi="仿宋_GB2312" w:cs="仿宋_GB2312" w:eastAsia="仿宋_GB2312"/>
                <w:sz w:val="18"/>
              </w:rPr>
              <w:t>当同一案卷内有不同保管期限的文件时，该案卷保管期限应从长</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19</w:t>
            </w:r>
            <w:r>
              <w:rPr>
                <w:rFonts w:ascii="仿宋_GB2312" w:hAnsi="仿宋_GB2312" w:cs="仿宋_GB2312" w:eastAsia="仿宋_GB2312"/>
                <w:sz w:val="18"/>
              </w:rPr>
              <w:t>）</w:t>
            </w:r>
            <w:r>
              <w:rPr>
                <w:rFonts w:ascii="仿宋_GB2312" w:hAnsi="仿宋_GB2312" w:cs="仿宋_GB2312" w:eastAsia="仿宋_GB2312"/>
                <w:sz w:val="18"/>
              </w:rPr>
              <w:t>按资料实际标注。不含涉密文件，且无相关定密法律依据的不填写密级</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20</w:t>
            </w:r>
            <w:r>
              <w:rPr>
                <w:rFonts w:ascii="仿宋_GB2312" w:hAnsi="仿宋_GB2312" w:cs="仿宋_GB2312" w:eastAsia="仿宋_GB2312"/>
                <w:sz w:val="18"/>
              </w:rPr>
              <w:t>）</w:t>
            </w:r>
            <w:r>
              <w:rPr>
                <w:rFonts w:ascii="仿宋_GB2312" w:hAnsi="仿宋_GB2312" w:cs="仿宋_GB2312" w:eastAsia="仿宋_GB2312"/>
                <w:sz w:val="18"/>
              </w:rPr>
              <w:t>卷内目录、卷内备考表、案卷封面宜采用</w:t>
            </w:r>
            <w:r>
              <w:rPr>
                <w:rFonts w:ascii="仿宋_GB2312" w:hAnsi="仿宋_GB2312" w:cs="仿宋_GB2312" w:eastAsia="仿宋_GB2312"/>
                <w:sz w:val="18"/>
              </w:rPr>
              <w:t>120g的白色书写纸制作，幅面应统一采用A4幅面</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2.4 案卷整理、装订与装具</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去金属物、硬质封皮、彩页、空白页等不符合要求的材料</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对于幅面达不到</w:t>
            </w:r>
            <w:r>
              <w:rPr>
                <w:rFonts w:ascii="仿宋_GB2312" w:hAnsi="仿宋_GB2312" w:cs="仿宋_GB2312" w:eastAsia="仿宋_GB2312"/>
                <w:sz w:val="18"/>
              </w:rPr>
              <w:t>297×210（A4）或破损的档案材料均应托裱</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破损图纸的裱糊要求整齐，以尽量不破坏图纸内容、便于长期保存为原则。托裱时不宜使用有粮浆糊。</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对于幅面大</w:t>
            </w:r>
            <w:r>
              <w:rPr>
                <w:rFonts w:ascii="仿宋_GB2312" w:hAnsi="仿宋_GB2312" w:cs="仿宋_GB2312" w:eastAsia="仿宋_GB2312"/>
                <w:sz w:val="18"/>
              </w:rPr>
              <w:t>于</w:t>
            </w:r>
            <w:r>
              <w:rPr>
                <w:rFonts w:ascii="仿宋_GB2312" w:hAnsi="仿宋_GB2312" w:cs="仿宋_GB2312" w:eastAsia="仿宋_GB2312"/>
                <w:sz w:val="18"/>
              </w:rPr>
              <w:t>297×210（A4）规格的档案材料均应折叠。按《技术制图复制图的折叠方法》（GB/10609.3—89）统一折叠成297×210㎜（A4）大小。对于边框不齐或破损的图纸，应把边框修补整齐后折叠。</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文字材料必须装订</w:t>
            </w:r>
            <w:r>
              <w:rPr>
                <w:rFonts w:ascii="仿宋_GB2312" w:hAnsi="仿宋_GB2312" w:cs="仿宋_GB2312" w:eastAsia="仿宋_GB2312"/>
                <w:sz w:val="18"/>
              </w:rPr>
              <w:t>,文字卷和图文混合卷必须装订，装订时不应破坏文件的内容，并应保持整齐、牢固，便于保管和利用</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图纸卷不装订，不留装订线位置。不装订时仍按要求填写卷皮、卷内目录和备考表，应与整理好的案卷一同装入斜角袋后装入卷盒</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7</w:t>
            </w:r>
            <w:r>
              <w:rPr>
                <w:rFonts w:ascii="仿宋_GB2312" w:hAnsi="仿宋_GB2312" w:cs="仿宋_GB2312" w:eastAsia="仿宋_GB2312"/>
                <w:sz w:val="18"/>
              </w:rPr>
              <w:t>）</w:t>
            </w:r>
            <w:r>
              <w:rPr>
                <w:rFonts w:ascii="仿宋_GB2312" w:hAnsi="仿宋_GB2312" w:cs="仿宋_GB2312" w:eastAsia="仿宋_GB2312"/>
                <w:sz w:val="18"/>
              </w:rPr>
              <w:t>案卷采用三孔双线装订法。三个孔保持</w:t>
            </w:r>
            <w:r>
              <w:rPr>
                <w:rFonts w:ascii="仿宋_GB2312" w:hAnsi="仿宋_GB2312" w:cs="仿宋_GB2312" w:eastAsia="仿宋_GB2312"/>
                <w:sz w:val="18"/>
              </w:rPr>
              <w:t>9cm间距，上下居中，三点一线，装订线在距案卷左边缘1至1.5㎝处，打直径为1</w:t>
            </w:r>
            <w:r>
              <w:rPr>
                <w:rFonts w:ascii="仿宋_GB2312" w:hAnsi="仿宋_GB2312" w:cs="仿宋_GB2312" w:eastAsia="仿宋_GB2312"/>
                <w:sz w:val="18"/>
              </w:rPr>
              <w:t>-</w:t>
            </w:r>
            <w:r>
              <w:rPr>
                <w:rFonts w:ascii="仿宋_GB2312" w:hAnsi="仿宋_GB2312" w:cs="仿宋_GB2312" w:eastAsia="仿宋_GB2312"/>
                <w:sz w:val="18"/>
              </w:rPr>
              <w:t>2㎜的小孔，用</w:t>
            </w:r>
            <w:r>
              <w:rPr>
                <w:rFonts w:ascii="仿宋_GB2312" w:hAnsi="仿宋_GB2312" w:cs="仿宋_GB2312" w:eastAsia="仿宋_GB2312"/>
                <w:sz w:val="18"/>
              </w:rPr>
              <w:t>蜡</w:t>
            </w:r>
            <w:r>
              <w:rPr>
                <w:rFonts w:ascii="仿宋_GB2312" w:hAnsi="仿宋_GB2312" w:cs="仿宋_GB2312" w:eastAsia="仿宋_GB2312"/>
                <w:sz w:val="18"/>
              </w:rPr>
              <w:t>光线双线装订，结头打死结，位置在案卷背面中孔部位，余线长短与案卷左边平齐，砸平线疙瘩并劈开线缝，使双线平行</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8</w:t>
            </w:r>
            <w:r>
              <w:rPr>
                <w:rFonts w:ascii="仿宋_GB2312" w:hAnsi="仿宋_GB2312" w:cs="仿宋_GB2312" w:eastAsia="仿宋_GB2312"/>
                <w:sz w:val="18"/>
              </w:rPr>
              <w:t>）</w:t>
            </w:r>
            <w:r>
              <w:rPr>
                <w:rFonts w:ascii="仿宋_GB2312" w:hAnsi="仿宋_GB2312" w:cs="仿宋_GB2312" w:eastAsia="仿宋_GB2312"/>
                <w:sz w:val="18"/>
              </w:rPr>
              <w:t>装订时若案卷左右不平，可在左侧加垫条，使案卷四周平整</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9</w:t>
            </w:r>
            <w:r>
              <w:rPr>
                <w:rFonts w:ascii="仿宋_GB2312" w:hAnsi="仿宋_GB2312" w:cs="仿宋_GB2312" w:eastAsia="仿宋_GB2312"/>
                <w:sz w:val="18"/>
              </w:rPr>
              <w:t>）</w:t>
            </w:r>
            <w:r>
              <w:rPr>
                <w:rFonts w:ascii="仿宋_GB2312" w:hAnsi="仿宋_GB2312" w:cs="仿宋_GB2312" w:eastAsia="仿宋_GB2312"/>
                <w:sz w:val="18"/>
              </w:rPr>
              <w:t>装订好的案卷要求右边和下边平齐，四周厚度基本一致</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10</w:t>
            </w:r>
            <w:r>
              <w:rPr>
                <w:rFonts w:ascii="仿宋_GB2312" w:hAnsi="仿宋_GB2312" w:cs="仿宋_GB2312" w:eastAsia="仿宋_GB2312"/>
                <w:sz w:val="18"/>
              </w:rPr>
              <w:t>）</w:t>
            </w:r>
            <w:r>
              <w:rPr>
                <w:rFonts w:ascii="仿宋_GB2312" w:hAnsi="仿宋_GB2312" w:cs="仿宋_GB2312" w:eastAsia="仿宋_GB2312"/>
                <w:sz w:val="18"/>
              </w:rPr>
              <w:t>横写的材料，一律把文件头放在装订线一侧装订</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11</w:t>
            </w:r>
            <w:r>
              <w:rPr>
                <w:rFonts w:ascii="仿宋_GB2312" w:hAnsi="仿宋_GB2312" w:cs="仿宋_GB2312" w:eastAsia="仿宋_GB2312"/>
                <w:sz w:val="18"/>
              </w:rPr>
              <w:t>）</w:t>
            </w:r>
            <w:r>
              <w:rPr>
                <w:rFonts w:ascii="仿宋_GB2312" w:hAnsi="仿宋_GB2312" w:cs="仿宋_GB2312" w:eastAsia="仿宋_GB2312"/>
                <w:sz w:val="18"/>
              </w:rPr>
              <w:t>案卷装具采用卷盒，外表尺寸为</w:t>
            </w:r>
            <w:r>
              <w:rPr>
                <w:rFonts w:ascii="仿宋_GB2312" w:hAnsi="仿宋_GB2312" w:cs="仿宋_GB2312" w:eastAsia="仿宋_GB2312"/>
                <w:sz w:val="18"/>
              </w:rPr>
              <w:t>310mm×220mm，文字档案厚度为20mm，图纸档案厚度为40mm</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12</w:t>
            </w:r>
            <w:r>
              <w:rPr>
                <w:rFonts w:ascii="仿宋_GB2312" w:hAnsi="仿宋_GB2312" w:cs="仿宋_GB2312" w:eastAsia="仿宋_GB2312"/>
                <w:sz w:val="18"/>
              </w:rPr>
              <w:t>）</w:t>
            </w:r>
            <w:r>
              <w:rPr>
                <w:rFonts w:ascii="仿宋_GB2312" w:hAnsi="仿宋_GB2312" w:cs="仿宋_GB2312" w:eastAsia="仿宋_GB2312"/>
                <w:sz w:val="18"/>
              </w:rPr>
              <w:t>卷盒应采用优质无酸牛皮纸定制，以保证档案的长期保存和利用。</w:t>
            </w:r>
          </w:p>
          <w:p>
            <w:pPr>
              <w:pStyle w:val="null3"/>
              <w:jc w:val="both"/>
              <w:outlineLvl w:val="1"/>
            </w:pPr>
            <w:r>
              <w:rPr>
                <w:rFonts w:ascii="仿宋_GB2312" w:hAnsi="仿宋_GB2312" w:cs="仿宋_GB2312" w:eastAsia="仿宋_GB2312"/>
                <w:sz w:val="18"/>
                <w:b/>
              </w:rPr>
              <w:t>3、电子</w:t>
            </w:r>
            <w:r>
              <w:rPr>
                <w:rFonts w:ascii="仿宋_GB2312" w:hAnsi="仿宋_GB2312" w:cs="仿宋_GB2312" w:eastAsia="仿宋_GB2312"/>
                <w:sz w:val="18"/>
                <w:b/>
              </w:rPr>
              <w:t>文件</w:t>
            </w:r>
            <w:r>
              <w:rPr>
                <w:rFonts w:ascii="仿宋_GB2312" w:hAnsi="仿宋_GB2312" w:cs="仿宋_GB2312" w:eastAsia="仿宋_GB2312"/>
                <w:sz w:val="18"/>
                <w:b/>
              </w:rPr>
              <w:t>整理</w:t>
            </w:r>
          </w:p>
          <w:p>
            <w:pPr>
              <w:pStyle w:val="null3"/>
              <w:jc w:val="both"/>
            </w:pPr>
            <w:r>
              <w:rPr>
                <w:rFonts w:ascii="仿宋_GB2312" w:hAnsi="仿宋_GB2312" w:cs="仿宋_GB2312" w:eastAsia="仿宋_GB2312"/>
                <w:sz w:val="18"/>
              </w:rPr>
              <w:t xml:space="preserve">3.1 </w:t>
            </w:r>
            <w:r>
              <w:rPr>
                <w:rFonts w:ascii="仿宋_GB2312" w:hAnsi="仿宋_GB2312" w:cs="仿宋_GB2312" w:eastAsia="仿宋_GB2312"/>
                <w:sz w:val="18"/>
              </w:rPr>
              <w:t>电子文件</w:t>
            </w:r>
            <w:r>
              <w:rPr>
                <w:rFonts w:ascii="仿宋_GB2312" w:hAnsi="仿宋_GB2312" w:cs="仿宋_GB2312" w:eastAsia="仿宋_GB2312"/>
                <w:sz w:val="18"/>
              </w:rPr>
              <w:t>扫描</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电子文件是与纸质档案完全一致的扫描型电子文件，文件须为</w:t>
            </w:r>
            <w:r>
              <w:rPr>
                <w:rFonts w:ascii="仿宋_GB2312" w:hAnsi="仿宋_GB2312" w:cs="仿宋_GB2312" w:eastAsia="仿宋_GB2312"/>
                <w:sz w:val="18"/>
              </w:rPr>
              <w:t>JPG 格式。电子文件应包括元数据。</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电子文件的分辨率须大于等于</w:t>
            </w:r>
            <w:r>
              <w:rPr>
                <w:rFonts w:ascii="仿宋_GB2312" w:hAnsi="仿宋_GB2312" w:cs="仿宋_GB2312" w:eastAsia="仿宋_GB2312"/>
                <w:sz w:val="18"/>
              </w:rPr>
              <w:t>200DPI，彩色深度为24位，纸质原件为A4幅面的电子文件的存储容量一般不超过1MB，纸质原件大于A4幅面扫描件的存储容量一般不得超过5MB。</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电子文件须图像清晰、完整，无偏斜、无失真，按页码顺序排列。电子档案按照</w:t>
            </w:r>
            <w:r>
              <w:rPr>
                <w:rFonts w:ascii="仿宋_GB2312" w:hAnsi="仿宋_GB2312" w:cs="仿宋_GB2312" w:eastAsia="仿宋_GB2312"/>
                <w:sz w:val="18"/>
              </w:rPr>
              <w:t>分类</w:t>
            </w:r>
            <w:r>
              <w:rPr>
                <w:rFonts w:ascii="仿宋_GB2312" w:hAnsi="仿宋_GB2312" w:cs="仿宋_GB2312" w:eastAsia="仿宋_GB2312"/>
                <w:sz w:val="18"/>
              </w:rPr>
              <w:t>建立相应的文件夹，文件夹名著录为</w:t>
            </w:r>
            <w:r>
              <w:rPr>
                <w:rFonts w:ascii="仿宋_GB2312" w:hAnsi="仿宋_GB2312" w:cs="仿宋_GB2312" w:eastAsia="仿宋_GB2312"/>
                <w:sz w:val="18"/>
              </w:rPr>
              <w:t>每类档案的</w:t>
            </w:r>
            <w:r>
              <w:rPr>
                <w:rFonts w:ascii="仿宋_GB2312" w:hAnsi="仿宋_GB2312" w:cs="仿宋_GB2312" w:eastAsia="仿宋_GB2312"/>
                <w:sz w:val="18"/>
              </w:rPr>
              <w:t>名称，内含对应的打包文件。</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须对扫描过程中出现的偏斜图像进行整体纠偏，保证图像内容偏斜角度小于</w:t>
            </w:r>
            <w:r>
              <w:rPr>
                <w:rFonts w:ascii="仿宋_GB2312" w:hAnsi="仿宋_GB2312" w:cs="仿宋_GB2312" w:eastAsia="仿宋_GB2312"/>
                <w:sz w:val="18"/>
              </w:rPr>
              <w:t>1度（图像偏斜不超过页面内半个文字）。须去除图像页面中出现的影响图像质量的杂质（如黑边、多余边、污点等）。</w:t>
            </w:r>
          </w:p>
          <w:p>
            <w:pPr>
              <w:pStyle w:val="null3"/>
              <w:jc w:val="both"/>
            </w:pPr>
            <w:r>
              <w:rPr>
                <w:rFonts w:ascii="仿宋_GB2312" w:hAnsi="仿宋_GB2312" w:cs="仿宋_GB2312" w:eastAsia="仿宋_GB2312"/>
                <w:sz w:val="18"/>
              </w:rPr>
              <w:t xml:space="preserve">3.2 </w:t>
            </w:r>
            <w:r>
              <w:rPr>
                <w:rFonts w:ascii="仿宋_GB2312" w:hAnsi="仿宋_GB2312" w:cs="仿宋_GB2312" w:eastAsia="仿宋_GB2312"/>
                <w:sz w:val="18"/>
              </w:rPr>
              <w:t>电子文件的移交</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电子文件通过单机版软件打包后以</w:t>
            </w:r>
            <w:r>
              <w:rPr>
                <w:rFonts w:ascii="仿宋_GB2312" w:hAnsi="仿宋_GB2312" w:cs="仿宋_GB2312" w:eastAsia="仿宋_GB2312"/>
                <w:sz w:val="18"/>
              </w:rPr>
              <w:t>硬</w:t>
            </w:r>
            <w:r>
              <w:rPr>
                <w:rFonts w:ascii="仿宋_GB2312" w:hAnsi="仿宋_GB2312" w:cs="仿宋_GB2312" w:eastAsia="仿宋_GB2312"/>
                <w:sz w:val="18"/>
              </w:rPr>
              <w:t>盘的形式移交。</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确保移交的</w:t>
            </w:r>
            <w:r>
              <w:rPr>
                <w:rFonts w:ascii="仿宋_GB2312" w:hAnsi="仿宋_GB2312" w:cs="仿宋_GB2312" w:eastAsia="仿宋_GB2312"/>
                <w:sz w:val="18"/>
              </w:rPr>
              <w:t>U盘无病毒、无数据读写故障、能通过适当设备读出数据。</w:t>
            </w:r>
          </w:p>
          <w:p>
            <w:pPr>
              <w:pStyle w:val="null3"/>
              <w:jc w:val="both"/>
            </w:pPr>
            <w:r>
              <w:rPr>
                <w:rFonts w:ascii="仿宋_GB2312" w:hAnsi="仿宋_GB2312" w:cs="仿宋_GB2312" w:eastAsia="仿宋_GB2312"/>
                <w:sz w:val="18"/>
              </w:rPr>
              <w:t>3.3 电子文件</w:t>
            </w:r>
            <w:r>
              <w:rPr>
                <w:rFonts w:ascii="仿宋_GB2312" w:hAnsi="仿宋_GB2312" w:cs="仿宋_GB2312" w:eastAsia="仿宋_GB2312"/>
                <w:sz w:val="18"/>
              </w:rPr>
              <w:t>立卷</w:t>
            </w:r>
          </w:p>
          <w:p>
            <w:pPr>
              <w:pStyle w:val="null3"/>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电子文件立卷时，每个项目应</w:t>
            </w:r>
            <w:r>
              <w:rPr>
                <w:rFonts w:ascii="仿宋_GB2312" w:hAnsi="仿宋_GB2312" w:cs="仿宋_GB2312" w:eastAsia="仿宋_GB2312"/>
                <w:sz w:val="18"/>
              </w:rPr>
              <w:t>科学设计树形结构，</w:t>
            </w:r>
            <w:r>
              <w:rPr>
                <w:rFonts w:ascii="仿宋_GB2312" w:hAnsi="仿宋_GB2312" w:cs="仿宋_GB2312" w:eastAsia="仿宋_GB2312"/>
                <w:sz w:val="18"/>
              </w:rPr>
              <w:t>建立多级文件夹，与纸质文件在案卷设置上一致，建立相应的标识关系</w:t>
            </w:r>
            <w:r>
              <w:rPr>
                <w:rFonts w:ascii="仿宋_GB2312" w:hAnsi="仿宋_GB2312" w:cs="仿宋_GB2312" w:eastAsia="仿宋_GB2312"/>
                <w:sz w:val="18"/>
              </w:rPr>
              <w:t>，便于检索。</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一、为保证采购人物业服务质量及要求，供应商需配备专业的服务团队。 二、人员需求及要求 （1）服务商要配备熟练的加工人员不少于15人。为确保档案整理、著录录入的正确性及数字化扫描的质量，要求配备1人负责档案的领取、登记以及核算工作， （2）熟练的档案整理人员不得少于7人，扫描人员不少于4人，目录数据质量检验人员不少于2人。服务商需另配备1人驻场提供随时修订服务，工作场地由采购人指定，扫描过程中采购人发现电子化扫描件有问题，服务商需随时修订。服务商工作人员要具备相应知识水平和业务技能，工作团队要有一定的稳定性。工作人员进行不少于5天的操作培训，经考核合格后方可正式上岗。在工作场所要规范人员行为和着装。 （3）为方便统一管理，服务商人员工作时间和采购人人员工作时间要保持一致，若服务商遇到需加班的特殊情况，服务商要向采购人提出申请，征得采购人同意后方可安排加班。</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服务商应为专门从事档案整理、数字化加工建设的专业公司，具备档案数字化加工所必须的专业技术和相应的软硬件设备。要配备不少于2台A3幅面的高速扫描仪、不少于2台A3幅面的平面高速扫描仪、不少于2台A0工程扫描仪、配足满足工作需要的计算机（含计算机桌椅）,为确保数据安全，项目结束后，服务商将项目中使用的计算机硬盘无偿移交采购人。 二、档案数字化加工网络要与其他网络物理隔离，禁止使用无线网卡、无线键盘、无线鼠标等设备。用于档案数字化加工的设备、存储介质严禁与其他设备、存储介质交叉使用，非数字化加工专用的设备、存储介质严禁带入数字化加工场所。档案数字化加工设备和存储介质不得擅自送外维修，必须送外维修的应经过采购人同意，并由采购人工作人员现场监督。 三、服务商工作过程中使用的计算机硬盘、移动硬盘、U盘、光盘等存储介质要进行安全检查并登记造册、统一保管，要向采购人报备存储设备台账并及时更新，保持账物一致。服务商不得擅自处理任何存储介质。采购人会定期对供应商的各种存储介质、视频监控数据及回放记录、工作人员变更记录进行安全检查。要对供应商自带的各种硬件设备和软件系统进行检查，确保无信息留存。 四、档案数字化加工使用的计算机除了安装必要的操作系统、杀毒软件、档案数字化加工软件、数据库软件和第三方安全管理软件外，禁止安装其他无关软件。档案数字化加工使用的计算机、扫描仪等设备，必须采用技术手段或物理设备封闭所有不必要的信息输出装置或端口。封闭的装置或端口要定期进行检查。</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一、报价要求： 报价按A4幅面的综合单价并包含最后的档案装具，单价不能偏离市场价格。大于A4幅面的折合为A4幅面计算（统一按照10页A4幅面折算），最终金额以单价和实际完成页数计算，合同总金额须在预算金额之内。价格一次性包死。所有的人员、技术、软硬件设备等相关费用已分摊到综合单价中，采购人不再另行支付。</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合同签订之日起至2026年11月30日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西安市城建档案馆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一、档案分类整理及装订 参照《建设工程文件归档规范》（GB/T 50328-2014）、《城建档案业务管理规范CJJ/T 158-2001》《归档文件整理规则》DA/T22-2015等技术标准及西安市城建档案馆相关管理规定执行。 二、档案著录 按照“数据质量管理执行标准”等的要求，著录录入文件级条目数据项内容，目录信息结构按西安市城建档案馆系统管理设置为准，不得遗漏规定的数据项，确保著录录入目录信息的真实、完整、正确。 三、档案扫描 （一）扫描主要技术参数设置：质量须达到现行《西安市建设工程电子档案归档与管理规定》要求，服务商须保证纸质档案与电子档案的一一对应，如果在扫描中发现问题须及时纠正。扫描格式及质量须参照下表： 扫描类型 颜色 模式 分辨率 质量 扫描格式 图纸 RGB-24bit 200 50 JPEG A4, A3 彩色 240 50 JPEG A4 彩色 240 50 JPEG 案卷中出现字迹较小、较密集等情况，可将分辨率提高到300dpi以上。根据纸张质地、底色、薄厚程度等因素，设置最佳的扫描明暗度、对比度，保证原始扫描图像效果与原件吻合。 （二）采用最为可靠的扫描设备和扫描方式完成档案扫描，避免纸张褶皱、撕裂等情况的发生。 （三）图像处理：遵循保持档案原貌、不影响档案内容读懂度的原则。对扫描图像页面进行纠偏纠斜、去黑边等去污处理。 （四）扫描图像与实体档案的对应：扫描图像与实体档案应一一对应。 四、数据质量 所加工数据结构、格式符合采购人要求，建立图像和目录数据库，并将扫描的档案图像与目录数据建立一一对应关系进行挂接，确保加工数据能够正确、真实、完整、准确地导入采购人现有档案管理系统中并确保数据运行正常。 五、质量检验 （一）供应商自检：供应商提供完整的数据质量检验方案，各环节配备一定数量检验人员对加工的数据进行质量检验。 （二）采购人抽检：采购人对供应商质检后的目录数据进行抽检，抽检率不低于5%，被抽检的目录数据中规定的必录数据项正确率大于95%，抽检的目录与扫描图像一一对应关系的合格率必须大于95%；对供应商质检后的扫描图像进行抽检，图像质量合格率必须大于95%。 （三）电子数据移交：服务结束后移交一式两份全部数据备份，其中硬盘一份、数据库一份。 （四）供应商应将档案电子化加工成果相关的各种工作文件、日志、记录、元数据等一并移交给采购人。</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合同签订后满一个月，根据验收合格的工作量支付相应的金额</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合同签订后满四个月，根据验收合格的工作量支付相应的金额</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2026年11月30日，需完成预算金额对应的全部工作量，验收合格后支付剩余全部款项</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1．甲、乙双方任何一方违反合同约定，应向对方支付技术服务费总额的10%违约金。 2、乙方未按合同约定，在验收后一年内负责档案的查漏补缺和整改工作，乙方应承担因此给甲方造成损失的赔偿责任。 3．合同履行过程中如发生争议，双方应本着友好协商的原则解决，如果双方通过协商不能达成一致，依法向原告所在地人民法院起诉。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服务内容及服务邀请应答表 商务应答表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经审计的财务报告（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响应文件封面 服务内容及服务邀请应答表 商务应答表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服务内容及服务邀请应答表 商务应答表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供应商其他特定资格要求</w:t>
            </w:r>
          </w:p>
        </w:tc>
        <w:tc>
          <w:tcPr>
            <w:tcW w:type="dxa" w:w="3322"/>
          </w:tcPr>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2）法定代表人授权委托书：法定代表人参加磋商的，须提供本人身份证复印件（附在资格证明文件中）；法定代表人授权他人参加磋商的，须提供法定代表人授权委托书。磋商文件中凡是需要法定代表人盖章之处，非法人单位的负责人均参照执行。法人的分支机构参与磋商时，除提供《法定代表人授权委托书》外，还须同时提供法人给分支机构出具的授权书。（3）财务状况报告：提供2024年度或2025年经审计的财务报告（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4）书面声明：提供书面声明，包括声明具有履行合同所必需的设备和专业技术能力；未为本项目提供整体设计、规范编制或者项目管理、监理、检测等服务。（5）社保缴纳证明：提供递交响应文件截止之日前一年内任意一个月的社会保障资金缴存单据或社保机构开具的社会保险参保缴费情况证明。依法不需要缴纳社会保障资金的供应商应提供相关文件证明。（6）税收缴纳证明：提供递交响应文件截止之日前一年内任意一个月的依法缴纳税收的相关凭据（时间以税款所属日期为准、税种至少包含增值税或企业所得税），凭据应有税务机关或代收机关的公章或业务专用章。依法免税或无须缴纳税收的供应商，应提供相应证明文件。（7）近三年无重大违法、违纪书面声明：提供《近三年无重大违法、违纪书面声明》。（8）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9）控股管理关系：提供直接控股和管理关系清单。若与其他供应商存在单位负责人为同一人或者存在直接控股、管理关系的，则响应无效。（10）本项目不接受联合体磋商，不允许分包：供应商应提供《非联合体不分包磋商声明》，视为独立磋商，不分包。</w:t>
            </w:r>
          </w:p>
        </w:tc>
        <w:tc>
          <w:tcPr>
            <w:tcW w:type="dxa" w:w="1661"/>
          </w:tcPr>
          <w:p>
            <w:pPr>
              <w:pStyle w:val="null3"/>
            </w:pPr>
            <w:r>
              <w:rPr>
                <w:rFonts w:ascii="仿宋_GB2312" w:hAnsi="仿宋_GB2312" w:cs="仿宋_GB2312" w:eastAsia="仿宋_GB2312"/>
              </w:rPr>
              <w:t>响应文件封面 服务内容及服务邀请应答表 商务应答表 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详细阐述项目整体服务方案，包括：项目背景及需求分析、项目重难点分析、工作流程、 进度计划以及组织管理5项。评审标准：方案描述详细，条理清晰，切实可行，满足技术 要求（共5项，满分10分）。（1）满足项目需求及评审标准的，条理清晰，切实可行的 ，每项得2分；（2）符合项目需求，方案可行的，每项得1分；（3）方案存在不妥有待 完善或未提供不得分。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档案整理方案</w:t>
            </w:r>
          </w:p>
        </w:tc>
        <w:tc>
          <w:tcPr>
            <w:tcW w:type="dxa" w:w="2492"/>
          </w:tcPr>
          <w:p>
            <w:pPr>
              <w:pStyle w:val="null3"/>
            </w:pPr>
            <w:r>
              <w:rPr>
                <w:rFonts w:ascii="仿宋_GB2312" w:hAnsi="仿宋_GB2312" w:cs="仿宋_GB2312" w:eastAsia="仿宋_GB2312"/>
              </w:rPr>
              <w:t>详细阐述档案整理方案，包括分类体系、编目规则、文件修复、整理装订以及归档上架5 项。评审标准：方案描述详细，条理清晰，切实可行，满足技术要求（共5项，满分10分 ）。（1）满足项目需求及评审标准的，条理清晰，切实可行的，每项得2分；（2）符合 项目需求，方案可行的，每项得1分；（3）方案存在不妥有待完善或未提供不得分。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数字化加工方案</w:t>
            </w:r>
          </w:p>
        </w:tc>
        <w:tc>
          <w:tcPr>
            <w:tcW w:type="dxa" w:w="2492"/>
          </w:tcPr>
          <w:p>
            <w:pPr>
              <w:pStyle w:val="null3"/>
            </w:pPr>
            <w:r>
              <w:rPr>
                <w:rFonts w:ascii="仿宋_GB2312" w:hAnsi="仿宋_GB2312" w:cs="仿宋_GB2312" w:eastAsia="仿宋_GB2312"/>
              </w:rPr>
              <w:t>详细阐述数字化加工方案，包括整体扫描加工方案、不同幅面加工方案、扫描加工流程、 电子文件移交以及电子文件立卷5项。评审标准：方案描述详细，条理清晰，切实可行， 满足技术要求（共5项，满分10分）。（1）满足项目需求及评审标准的，条理清晰，切 实可行的，每项得2分；（2）符合项目需求，方案可行的，每项得1分；（3）方案存在 不妥有待完善或未提供不得分。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制定完善的质量控制措施，包括内部质量控制制度、档案编撰过程控制、质量检查流程控 制、档案制作及检查标准以及人员职责分工5项。评审标准：措施描述详细，条理清晰， 措施有效可行（共5项，满分10分）。（1）满足项目需求及评审标准的，条理清晰，措 施有效可行的，每项得2分；（2）符合项目需求，措施可行的，每项得1分；（3）措施 存在不妥有待完善或未提供不得分。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安全保密措施</w:t>
            </w:r>
          </w:p>
        </w:tc>
        <w:tc>
          <w:tcPr>
            <w:tcW w:type="dxa" w:w="2492"/>
          </w:tcPr>
          <w:p>
            <w:pPr>
              <w:pStyle w:val="null3"/>
            </w:pPr>
            <w:r>
              <w:rPr>
                <w:rFonts w:ascii="仿宋_GB2312" w:hAnsi="仿宋_GB2312" w:cs="仿宋_GB2312" w:eastAsia="仿宋_GB2312"/>
              </w:rPr>
              <w:t>制定完善的安全保密措施，包含保密制度体系、实体档案安全保障、电子档案信息安全防 护、人员保密管理以及应急处置5项。评审标准：措施描述详细，条理清晰，措施有效可 行（共5项，满分10分）。（1）满足项目需求及评审标准的，条理清晰，措施有效可行 的，每项得2分；（2）符合项目需求，措施可行的，每项得1分；（3）措施存在不妥有 待完善或未提供不得分。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设备投入方案</w:t>
            </w:r>
          </w:p>
        </w:tc>
        <w:tc>
          <w:tcPr>
            <w:tcW w:type="dxa" w:w="2492"/>
          </w:tcPr>
          <w:p>
            <w:pPr>
              <w:pStyle w:val="null3"/>
            </w:pPr>
            <w:r>
              <w:rPr>
                <w:rFonts w:ascii="仿宋_GB2312" w:hAnsi="仿宋_GB2312" w:cs="仿宋_GB2312" w:eastAsia="仿宋_GB2312"/>
              </w:rPr>
              <w:t>详细阐述设备投入方案，包括设备投入的类型、设备数量、设备具体参数、具有的功能以 及智能化5项。评审标准：方案描述详细，设备类型、数量、参数、功能以及智能化程度 （共5项，满分10分）。（1）满足项目需求及评审标准的，条理清晰，设备类型齐全、 数量满足实际需求、功能齐全设备参数满足技术要求，每项得2分；（2）符合项目需求， 方案可行的，每项得1分；（3）方案存在不妥有待完善或未提供不得分。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项目团队人员：满足采购需求，参与本项目的团队成员，具有国家或地方档案局、人力资源、或教育部门认可的档案业务相关培训证书。提供人员证书复印件及2025年6月至今供应商为其缴纳的任意连续3个月社保证明材料。每提供1个得2分，最多得10 分。未提供的不得分。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细阐述售后服务方案，包括售后服务人员配置、售后服务响应时间、问题解决措施、定 期回访计划、售后服务保障措施5项。评审标准：方案描述详细，条理清晰，有效可行（ 共5项，满分10分）。（1）满足项目需求及评审标准的，每项得3分；（2）符合项目需 求，方案可行的，每项得2分；（3）方案不妥待完善的，每项得1分；未提供不得分。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提供2023年1月至投标截止日当天的类似项目业绩（业绩以合同或中标通知书，以载明时 间为准），每提供一个业绩证明资料计2分，满分10分。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满足磋商文件要求且最后报价最低的供应商的价格为磋商基准价。各供应商的价格分统一按照下列公式计算：磋商报价得分=（磋商基准价/最后磋商报价）×价格分分值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