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D3CFA">
      <w:pPr>
        <w:pStyle w:val="6"/>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采购需求</w:t>
      </w:r>
    </w:p>
    <w:p w14:paraId="3ECB6CF7">
      <w:pPr>
        <w:pStyle w:val="6"/>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一、项目概况</w:t>
      </w:r>
    </w:p>
    <w:p w14:paraId="5CA564C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本项目主要内容包含港兴三路以北范围内及周边进行建筑物构筑物拆除、地面破除、垃圾清运、围墙修建等工作</w:t>
      </w:r>
    </w:p>
    <w:p w14:paraId="47369BFE">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本项目所属行业：建筑业。</w:t>
      </w:r>
      <w:r>
        <w:rPr>
          <w:rFonts w:hint="eastAsia" w:ascii="宋体" w:hAnsi="宋体" w:eastAsia="宋体" w:cs="宋体"/>
          <w:color w:val="auto"/>
          <w:sz w:val="20"/>
          <w:szCs w:val="20"/>
          <w:highlight w:val="none"/>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0120DCB">
      <w:pPr>
        <w:pStyle w:val="6"/>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二、工程内容和施工地点、计划工期、缺陷责任期、</w:t>
      </w:r>
    </w:p>
    <w:p w14:paraId="3CE21A2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（一）工程量清单：</w:t>
      </w: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3176"/>
        <w:gridCol w:w="2054"/>
        <w:gridCol w:w="2162"/>
      </w:tblGrid>
      <w:tr w14:paraId="3269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pct"/>
            <w:vAlign w:val="top"/>
          </w:tcPr>
          <w:p w14:paraId="19118ED0">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地点</w:t>
            </w:r>
          </w:p>
        </w:tc>
        <w:tc>
          <w:tcPr>
            <w:tcW w:w="1863" w:type="pct"/>
            <w:vAlign w:val="top"/>
          </w:tcPr>
          <w:p w14:paraId="175A32ED">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rPr>
            </w:pPr>
            <w:r>
              <w:rPr>
                <w:rFonts w:hint="default" w:ascii="宋体" w:hAnsi="宋体" w:eastAsia="宋体" w:cs="宋体"/>
                <w:color w:val="auto"/>
                <w:sz w:val="20"/>
                <w:szCs w:val="20"/>
                <w:highlight w:val="none"/>
                <w:lang w:val="en-US" w:eastAsia="zh-CN"/>
              </w:rPr>
              <w:t>采购类别</w:t>
            </w:r>
          </w:p>
        </w:tc>
        <w:tc>
          <w:tcPr>
            <w:tcW w:w="1205" w:type="pct"/>
            <w:vAlign w:val="top"/>
          </w:tcPr>
          <w:p w14:paraId="21D5D89A">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rPr>
            </w:pPr>
            <w:r>
              <w:rPr>
                <w:rFonts w:hint="default" w:ascii="宋体" w:hAnsi="宋体" w:eastAsia="宋体" w:cs="宋体"/>
                <w:color w:val="auto"/>
                <w:sz w:val="20"/>
                <w:szCs w:val="20"/>
                <w:highlight w:val="none"/>
                <w:lang w:val="en-US" w:eastAsia="zh-CN"/>
              </w:rPr>
              <w:t>暂估量</w:t>
            </w:r>
          </w:p>
        </w:tc>
        <w:tc>
          <w:tcPr>
            <w:tcW w:w="1268" w:type="pct"/>
            <w:vAlign w:val="top"/>
          </w:tcPr>
          <w:p w14:paraId="3C3A10E9">
            <w:pPr>
              <w:pStyle w:val="2"/>
              <w:keepNext w:val="0"/>
              <w:keepLines w:val="0"/>
              <w:widowControl/>
              <w:suppressLineNumbers w:val="0"/>
              <w:spacing w:before="0" w:beforeAutospacing="1" w:after="0" w:afterAutospacing="1" w:line="360" w:lineRule="auto"/>
              <w:ind w:left="0" w:right="0"/>
              <w:jc w:val="both"/>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含税完全综合单价最高限价</w:t>
            </w:r>
          </w:p>
        </w:tc>
      </w:tr>
      <w:tr w14:paraId="3F63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pct"/>
            <w:vMerge w:val="restart"/>
            <w:vAlign w:val="center"/>
          </w:tcPr>
          <w:p w14:paraId="4BF3ED99">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港兴三路以北范围内及周边</w:t>
            </w:r>
          </w:p>
        </w:tc>
        <w:tc>
          <w:tcPr>
            <w:tcW w:w="1863" w:type="pct"/>
            <w:vAlign w:val="center"/>
          </w:tcPr>
          <w:p w14:paraId="673DC500">
            <w:pPr>
              <w:pStyle w:val="2"/>
              <w:keepNext w:val="0"/>
              <w:keepLines w:val="0"/>
              <w:widowControl/>
              <w:suppressLineNumbers w:val="0"/>
              <w:spacing w:before="0" w:beforeAutospacing="1" w:after="0" w:afterAutospacing="1" w:line="360" w:lineRule="auto"/>
              <w:ind w:left="0" w:right="0"/>
              <w:jc w:val="both"/>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建筑物、构筑物</w:t>
            </w:r>
            <w:r>
              <w:rPr>
                <w:rFonts w:hint="eastAsia" w:ascii="宋体" w:hAnsi="宋体" w:eastAsia="宋体" w:cs="宋体"/>
                <w:color w:val="auto"/>
                <w:sz w:val="20"/>
                <w:szCs w:val="20"/>
                <w:highlight w:val="none"/>
                <w:lang w:val="en-US" w:eastAsia="zh-CN"/>
              </w:rPr>
              <w:t>拆除</w:t>
            </w:r>
          </w:p>
        </w:tc>
        <w:tc>
          <w:tcPr>
            <w:tcW w:w="1205" w:type="pct"/>
            <w:vAlign w:val="center"/>
          </w:tcPr>
          <w:p w14:paraId="26FA5122">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13600</w:t>
            </w:r>
            <w:r>
              <w:rPr>
                <w:rFonts w:hint="eastAsia" w:ascii="宋体" w:hAnsi="宋体" w:eastAsia="宋体" w:cs="宋体"/>
                <w:b w:val="0"/>
                <w:bCs w:val="0"/>
                <w:color w:val="auto"/>
                <w:kern w:val="2"/>
                <w:sz w:val="20"/>
                <w:szCs w:val="20"/>
                <w:highlight w:val="none"/>
                <w:lang w:val="en-US" w:eastAsia="zh-CN"/>
              </w:rPr>
              <w:t>㎡</w:t>
            </w:r>
          </w:p>
        </w:tc>
        <w:tc>
          <w:tcPr>
            <w:tcW w:w="1268" w:type="pct"/>
            <w:vAlign w:val="center"/>
          </w:tcPr>
          <w:p w14:paraId="11C7C9F0">
            <w:pPr>
              <w:pStyle w:val="2"/>
              <w:keepNext w:val="0"/>
              <w:keepLines w:val="0"/>
              <w:widowControl/>
              <w:suppressLineNumbers w:val="0"/>
              <w:spacing w:before="0" w:beforeAutospacing="1" w:after="0" w:afterAutospacing="1" w:line="360" w:lineRule="auto"/>
              <w:ind w:left="0" w:right="0"/>
              <w:jc w:val="both"/>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45元</w:t>
            </w:r>
            <w:r>
              <w:rPr>
                <w:rFonts w:hint="default" w:ascii="宋体" w:hAnsi="宋体" w:eastAsia="宋体" w:cs="宋体"/>
                <w:color w:val="auto"/>
                <w:sz w:val="20"/>
                <w:szCs w:val="20"/>
                <w:highlight w:val="none"/>
                <w:lang w:val="en-US" w:eastAsia="zh-CN"/>
              </w:rPr>
              <w:t>/</w:t>
            </w:r>
            <w:r>
              <w:rPr>
                <w:rFonts w:hint="eastAsia" w:ascii="宋体" w:hAnsi="宋体" w:eastAsia="宋体" w:cs="宋体"/>
                <w:b w:val="0"/>
                <w:bCs w:val="0"/>
                <w:color w:val="auto"/>
                <w:kern w:val="2"/>
                <w:sz w:val="20"/>
                <w:szCs w:val="20"/>
                <w:highlight w:val="none"/>
                <w:lang w:val="en-US" w:eastAsia="zh-CN"/>
              </w:rPr>
              <w:t>㎡</w:t>
            </w:r>
          </w:p>
        </w:tc>
      </w:tr>
      <w:tr w14:paraId="79FC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pct"/>
            <w:vMerge w:val="continue"/>
          </w:tcPr>
          <w:p w14:paraId="527DF953">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rPr>
            </w:pPr>
          </w:p>
        </w:tc>
        <w:tc>
          <w:tcPr>
            <w:tcW w:w="1863" w:type="pct"/>
            <w:vAlign w:val="center"/>
          </w:tcPr>
          <w:p w14:paraId="1442DDDA">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地面</w:t>
            </w:r>
            <w:r>
              <w:rPr>
                <w:rFonts w:hint="default" w:ascii="宋体" w:hAnsi="宋体" w:eastAsia="宋体" w:cs="宋体"/>
                <w:color w:val="auto"/>
                <w:sz w:val="20"/>
                <w:szCs w:val="20"/>
                <w:highlight w:val="none"/>
                <w:lang w:val="en-US" w:eastAsia="zh-CN"/>
              </w:rPr>
              <w:t>破除</w:t>
            </w:r>
          </w:p>
        </w:tc>
        <w:tc>
          <w:tcPr>
            <w:tcW w:w="1205" w:type="pct"/>
            <w:vAlign w:val="center"/>
          </w:tcPr>
          <w:p w14:paraId="516BD2EE">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33333</w:t>
            </w:r>
            <w:r>
              <w:rPr>
                <w:rFonts w:hint="eastAsia" w:ascii="宋体" w:hAnsi="宋体" w:eastAsia="宋体" w:cs="宋体"/>
                <w:b w:val="0"/>
                <w:bCs w:val="0"/>
                <w:color w:val="auto"/>
                <w:kern w:val="2"/>
                <w:sz w:val="20"/>
                <w:szCs w:val="20"/>
                <w:highlight w:val="none"/>
                <w:lang w:val="en-US" w:eastAsia="zh-CN"/>
              </w:rPr>
              <w:t>㎡</w:t>
            </w:r>
          </w:p>
        </w:tc>
        <w:tc>
          <w:tcPr>
            <w:tcW w:w="1268" w:type="pct"/>
            <w:vAlign w:val="center"/>
          </w:tcPr>
          <w:p w14:paraId="46469084">
            <w:pPr>
              <w:pStyle w:val="2"/>
              <w:keepNext w:val="0"/>
              <w:keepLines w:val="0"/>
              <w:widowControl/>
              <w:suppressLineNumbers w:val="0"/>
              <w:spacing w:before="0" w:beforeAutospacing="1" w:after="0" w:afterAutospacing="1" w:line="360" w:lineRule="auto"/>
              <w:ind w:left="0" w:right="0"/>
              <w:jc w:val="both"/>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18元/</w:t>
            </w:r>
            <w:r>
              <w:rPr>
                <w:rFonts w:hint="eastAsia" w:ascii="宋体" w:hAnsi="宋体" w:eastAsia="宋体" w:cs="宋体"/>
                <w:b w:val="0"/>
                <w:bCs w:val="0"/>
                <w:color w:val="auto"/>
                <w:kern w:val="2"/>
                <w:sz w:val="20"/>
                <w:szCs w:val="20"/>
                <w:highlight w:val="none"/>
                <w:lang w:val="en-US" w:eastAsia="zh-CN"/>
              </w:rPr>
              <w:t>㎡</w:t>
            </w:r>
          </w:p>
        </w:tc>
      </w:tr>
      <w:tr w14:paraId="43EC0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pct"/>
            <w:vMerge w:val="continue"/>
          </w:tcPr>
          <w:p w14:paraId="5F4C3EF9">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rPr>
            </w:pPr>
          </w:p>
        </w:tc>
        <w:tc>
          <w:tcPr>
            <w:tcW w:w="1863" w:type="pct"/>
            <w:vAlign w:val="center"/>
          </w:tcPr>
          <w:p w14:paraId="20775525">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垃圾</w:t>
            </w:r>
            <w:r>
              <w:rPr>
                <w:rFonts w:hint="eastAsia" w:ascii="宋体" w:hAnsi="宋体" w:eastAsia="宋体" w:cs="宋体"/>
                <w:color w:val="auto"/>
                <w:sz w:val="20"/>
                <w:szCs w:val="20"/>
                <w:highlight w:val="none"/>
                <w:lang w:val="en-US" w:eastAsia="zh-CN"/>
              </w:rPr>
              <w:t>清运</w:t>
            </w:r>
          </w:p>
        </w:tc>
        <w:tc>
          <w:tcPr>
            <w:tcW w:w="1205" w:type="pct"/>
            <w:vAlign w:val="center"/>
          </w:tcPr>
          <w:p w14:paraId="013E3B0B">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14000</w:t>
            </w:r>
            <w:r>
              <w:rPr>
                <w:rFonts w:hint="default" w:ascii="宋体" w:hAnsi="宋体" w:eastAsia="宋体" w:cs="宋体"/>
                <w:color w:val="auto"/>
                <w:sz w:val="20"/>
                <w:szCs w:val="20"/>
                <w:highlight w:val="none"/>
                <w:lang w:val="en-US" w:eastAsia="zh-CN"/>
              </w:rPr>
              <w:t>m³</w:t>
            </w:r>
          </w:p>
        </w:tc>
        <w:tc>
          <w:tcPr>
            <w:tcW w:w="1268" w:type="pct"/>
            <w:vAlign w:val="center"/>
          </w:tcPr>
          <w:p w14:paraId="53ED4CE7">
            <w:pPr>
              <w:pStyle w:val="2"/>
              <w:keepNext w:val="0"/>
              <w:keepLines w:val="0"/>
              <w:widowControl/>
              <w:suppressLineNumbers w:val="0"/>
              <w:spacing w:before="0" w:beforeAutospacing="1" w:after="0" w:afterAutospacing="1" w:line="360" w:lineRule="auto"/>
              <w:ind w:left="0" w:right="0"/>
              <w:jc w:val="both"/>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100元/m³</w:t>
            </w:r>
          </w:p>
        </w:tc>
      </w:tr>
      <w:tr w14:paraId="47F84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61" w:type="pct"/>
            <w:vMerge w:val="continue"/>
          </w:tcPr>
          <w:p w14:paraId="3E0BB836">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rPr>
            </w:pPr>
          </w:p>
        </w:tc>
        <w:tc>
          <w:tcPr>
            <w:tcW w:w="1863" w:type="pct"/>
            <w:vAlign w:val="center"/>
          </w:tcPr>
          <w:p w14:paraId="1AF1860E">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围墙圈建</w:t>
            </w:r>
          </w:p>
        </w:tc>
        <w:tc>
          <w:tcPr>
            <w:tcW w:w="1205" w:type="pct"/>
            <w:vAlign w:val="center"/>
          </w:tcPr>
          <w:p w14:paraId="36FE7A46">
            <w:pPr>
              <w:pStyle w:val="2"/>
              <w:keepNext w:val="0"/>
              <w:keepLines w:val="0"/>
              <w:widowControl/>
              <w:suppressLineNumbers w:val="0"/>
              <w:spacing w:before="0" w:beforeAutospacing="1" w:after="0" w:afterAutospacing="1" w:line="360" w:lineRule="auto"/>
              <w:ind w:left="0" w:right="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1300m</w:t>
            </w:r>
          </w:p>
        </w:tc>
        <w:tc>
          <w:tcPr>
            <w:tcW w:w="1268" w:type="pct"/>
            <w:vAlign w:val="center"/>
          </w:tcPr>
          <w:p w14:paraId="6FCC8489">
            <w:pPr>
              <w:pStyle w:val="2"/>
              <w:keepNext w:val="0"/>
              <w:keepLines w:val="0"/>
              <w:widowControl/>
              <w:suppressLineNumbers w:val="0"/>
              <w:spacing w:before="0" w:beforeAutospacing="1" w:after="0" w:afterAutospacing="1" w:line="360" w:lineRule="auto"/>
              <w:ind w:left="0" w:right="0"/>
              <w:jc w:val="both"/>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960元</w:t>
            </w:r>
            <w:r>
              <w:rPr>
                <w:rFonts w:hint="default"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lang w:val="en-US" w:eastAsia="zh-CN"/>
              </w:rPr>
              <w:t>m</w:t>
            </w:r>
          </w:p>
        </w:tc>
      </w:tr>
    </w:tbl>
    <w:p w14:paraId="31E890A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（二）工程地点：港兴三路以北</w:t>
      </w:r>
      <w:r>
        <w:rPr>
          <w:rFonts w:hint="eastAsia" w:ascii="宋体" w:hAnsi="宋体" w:eastAsia="宋体" w:cs="宋体"/>
          <w:color w:val="auto"/>
          <w:sz w:val="20"/>
          <w:szCs w:val="20"/>
          <w:highlight w:val="none"/>
          <w:lang w:val="en-US" w:eastAsia="zh-CN"/>
        </w:rPr>
        <w:t>范围内及周边</w:t>
      </w:r>
      <w:r>
        <w:rPr>
          <w:rFonts w:hint="eastAsia" w:ascii="宋体" w:hAnsi="宋体" w:eastAsia="宋体" w:cs="宋体"/>
          <w:color w:val="auto"/>
          <w:sz w:val="20"/>
          <w:szCs w:val="20"/>
          <w:highlight w:val="none"/>
        </w:rPr>
        <w:t>。</w:t>
      </w:r>
    </w:p>
    <w:p w14:paraId="738DFF2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（三）计划工期：双方约定自施工之日起30日历日内完成整个项目全部内容。</w:t>
      </w:r>
    </w:p>
    <w:p w14:paraId="5AC41B5B">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（四）缺陷责任期：2年。</w:t>
      </w:r>
    </w:p>
    <w:p w14:paraId="24C01EBC">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（五）质量保修期：/。</w:t>
      </w:r>
    </w:p>
    <w:p w14:paraId="33B97F3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（六）质量要求：合格。</w:t>
      </w:r>
    </w:p>
    <w:p w14:paraId="0EBDDF56">
      <w:pPr>
        <w:pStyle w:val="6"/>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三、</w:t>
      </w:r>
      <w:r>
        <w:rPr>
          <w:rFonts w:hint="eastAsia" w:ascii="宋体" w:hAnsi="宋体" w:eastAsia="宋体" w:cs="宋体"/>
          <w:b/>
          <w:bCs/>
          <w:color w:val="auto"/>
          <w:sz w:val="20"/>
          <w:szCs w:val="20"/>
          <w:highlight w:val="none"/>
          <w:lang w:val="en-US" w:eastAsia="zh-CN"/>
        </w:rPr>
        <w:t>技术</w:t>
      </w:r>
      <w:r>
        <w:rPr>
          <w:rFonts w:hint="eastAsia" w:ascii="宋体" w:hAnsi="宋体" w:eastAsia="宋体" w:cs="宋体"/>
          <w:b/>
          <w:bCs/>
          <w:color w:val="auto"/>
          <w:sz w:val="20"/>
          <w:szCs w:val="20"/>
          <w:highlight w:val="none"/>
        </w:rPr>
        <w:t>要求</w:t>
      </w:r>
    </w:p>
    <w:p w14:paraId="485F23CC">
      <w:pPr>
        <w:pStyle w:val="6"/>
        <w:keepNext w:val="0"/>
        <w:keepLines w:val="0"/>
        <w:pageBreakBefore w:val="0"/>
        <w:widowControl/>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rPr>
        <w:t>（一）建筑物、构筑物拆除</w:t>
      </w:r>
      <w:r>
        <w:rPr>
          <w:rFonts w:hint="eastAsia" w:ascii="宋体" w:hAnsi="宋体" w:eastAsia="宋体" w:cs="宋体"/>
          <w:b/>
          <w:bCs/>
          <w:color w:val="auto"/>
          <w:sz w:val="20"/>
          <w:szCs w:val="20"/>
          <w:highlight w:val="none"/>
          <w:lang w:val="en-US" w:eastAsia="zh-CN"/>
        </w:rPr>
        <w:t>工程</w:t>
      </w:r>
    </w:p>
    <w:p w14:paraId="3AC8461C">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本分项包含场地内原有建筑、临时构筑物及附属设施拆除，为项目前置关键工序，核心要求如下：</w:t>
      </w:r>
    </w:p>
    <w:p w14:paraId="0FC1FC1E">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1.前期准备：进场前编制拆除、安全、湿法降尘专项方案，排查结构隐患并做好加固防护，方案获批后方可施工。</w:t>
      </w:r>
    </w:p>
    <w:p w14:paraId="2A414BD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2.施工工艺：遵循逐层、有序拆除原则，禁止暴力推倒作业，做好周边管线及设施保护，杜绝损坏原有配套设施。</w:t>
      </w:r>
    </w:p>
    <w:p w14:paraId="4D9F899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3.环保要求：拆除全程湿法作业，配备降尘设备，物料禁止高空抛洒，作业区域封闭围挡，严控扬尘污染。</w:t>
      </w:r>
    </w:p>
    <w:p w14:paraId="08AFBA51">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4.安全管控：现场设置隔离警示，人员配齐防护用具，特种作业持证上岗，落实岗前交底，杜绝各类安全事故。</w:t>
      </w:r>
    </w:p>
    <w:p w14:paraId="579E8E1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5.现场管理：拆除废料及时归集规整，做到工完场清，保障后续施工条件。</w:t>
      </w:r>
    </w:p>
    <w:p w14:paraId="4CF97B85">
      <w:pPr>
        <w:pStyle w:val="6"/>
        <w:keepNext w:val="0"/>
        <w:keepLines w:val="0"/>
        <w:pageBreakBefore w:val="0"/>
        <w:widowControl/>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（二）地面破除工程</w:t>
      </w:r>
    </w:p>
    <w:p w14:paraId="693D0B9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本分项负责场地内混凝土、沥青、硬化地坪等硬质地面破除，核心施工要求如下：</w:t>
      </w:r>
    </w:p>
    <w:p w14:paraId="0CC9F8C3">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1.施工范围：严格按照现场交底范围施工，不超挖、不漏破，保护原有管线及设施基础。</w:t>
      </w:r>
    </w:p>
    <w:p w14:paraId="601B466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2.施工工艺：采用分层分段破碎作业，规避强震动损坏地下隐蔽结构，彻底清除硬化层，保证场地基底平整。</w:t>
      </w:r>
    </w:p>
    <w:p w14:paraId="56185D41">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3.环保降噪：破除全程洒水降尘，合理安排施工时段，降低噪音影响，碎料及时集中归集。</w:t>
      </w:r>
    </w:p>
    <w:p w14:paraId="51EF32C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4.破除后场地平整无硬块、无大块杂物，不破坏原有合格土体，满足后续施工要求。</w:t>
      </w:r>
    </w:p>
    <w:p w14:paraId="7AA0DB4C">
      <w:pPr>
        <w:pStyle w:val="6"/>
        <w:keepNext w:val="0"/>
        <w:keepLines w:val="0"/>
        <w:pageBreakBefore w:val="0"/>
        <w:widowControl/>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（三）垃圾清运工程</w:t>
      </w:r>
    </w:p>
    <w:p w14:paraId="1B7E9F39">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本分项包含拆除碎料、建筑垃圾、渣土杂物的场内转运、合规外运及场地清扫，具体要求如下：</w:t>
      </w:r>
    </w:p>
    <w:p w14:paraId="6618243B">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1.分类处置：建筑渣土、生活垃圾分类堆放、分类清运，严禁混装乱运，合规处置固废垃圾。</w:t>
      </w:r>
    </w:p>
    <w:p w14:paraId="22F348B3">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2.场内转运：运输车辆全程密闭覆盖，转运洒水降尘，裸露渣土、垃圾全覆盖防尘网，杜绝扬尘及遗撒。</w:t>
      </w:r>
    </w:p>
    <w:p w14:paraId="6C977A5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3.场外外运：供应商自行办理全部外运手续，车辆符合治污减霾标准，按指定路线、合规场地倾倒，严禁沿途抛洒、乱倒。</w:t>
      </w:r>
    </w:p>
    <w:p w14:paraId="6D3A60F4">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4.场地保洁：清运完成后全场清扫冲洗，日常维护场地整洁，无残留垃圾、无裸露扬尘隐患。</w:t>
      </w:r>
    </w:p>
    <w:p w14:paraId="043450BC">
      <w:pPr>
        <w:pStyle w:val="6"/>
        <w:keepNext w:val="0"/>
        <w:keepLines w:val="0"/>
        <w:pageBreakBefore w:val="0"/>
        <w:widowControl/>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（四）围墙修建工程</w:t>
      </w:r>
    </w:p>
    <w:p w14:paraId="4C549E44">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本分项包含场地围墙基础、砌筑、饰面、防护及配套设施施工，需满足封闭防护、文明施工及监管要求，标准如下：</w:t>
      </w:r>
    </w:p>
    <w:p w14:paraId="45913E44">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1.基础施工：按规范开挖夯实、浇筑基础，做好养护，杜绝围墙沉降、倾斜隐患。</w:t>
      </w:r>
    </w:p>
    <w:p w14:paraId="439EC25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2.墙体砌筑：采用合格材料施工，墙体平整密实、无开裂空鼓，按规范设置构造柱、压顶，保证整体稳固。</w:t>
      </w:r>
    </w:p>
    <w:p w14:paraId="126D97E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3.外观及防护：外立面整洁统一，关键位置设置警示标识及夜间警示设施，保障现场安全。</w:t>
      </w:r>
    </w:p>
    <w:p w14:paraId="25C133B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4.配套设施：按属地要求安装出入口、洗车台、监控、环境监测等设备，确保正常运行、满足监管要求。</w:t>
      </w:r>
    </w:p>
    <w:p w14:paraId="487EF6D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5.围墙整体稳固顺直、无破损倾斜，抗风抗压达标，满足场地封闭及文明施工验收要求。</w:t>
      </w:r>
    </w:p>
    <w:p w14:paraId="392504D1">
      <w:pPr>
        <w:pStyle w:val="6"/>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四</w:t>
      </w:r>
      <w:r>
        <w:rPr>
          <w:rFonts w:hint="eastAsia" w:ascii="宋体" w:hAnsi="宋体" w:eastAsia="宋体" w:cs="宋体"/>
          <w:b/>
          <w:bCs/>
          <w:color w:val="auto"/>
          <w:sz w:val="20"/>
          <w:szCs w:val="20"/>
          <w:highlight w:val="none"/>
        </w:rPr>
        <w:t>、施工要求</w:t>
      </w:r>
    </w:p>
    <w:p w14:paraId="6C61B3B5">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一</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在施工期间，供应商应遵守工程建设安全生产有关管理规定，严格按安全标准组织施工，采取必要的安全防护措施，消除事故隐患。</w:t>
      </w:r>
    </w:p>
    <w:p w14:paraId="5DE345CF">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二</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供应商必须配备足够的人员和充足的机械设备进入实施，确保按时保质保量完成任务。</w:t>
      </w:r>
    </w:p>
    <w:p w14:paraId="1175399A">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三</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必须严密组织，文明施工，作好四周维护及安全环保措施，所需费用由供应商承担，施工过程必须严格遵守政府相关规定。</w:t>
      </w:r>
    </w:p>
    <w:p w14:paraId="54D06D01">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四</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严格遵守西安市关于控制扬尘污染、治污减霾的相关规定，并承担一切安全事故或违规处罚所带来的经济及法律责任。</w:t>
      </w:r>
    </w:p>
    <w:p w14:paraId="52DA440F">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五</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在拆除作业前，供应商应制定拆除施工方案，提出具体的防尘抑尘降尘降噪等环保措施，配备足够的防尘抑尘降尘软硬件设施，明确拆除工地具体的环保要求和环保责任人、制定湿法降尘专项实施方案，并按有关标准及专项实施方案实施湿法作业，有效降尘作业，造成扬尘污染的，必须服从相关监督或管理部门发出的责令整改并接受其按有关规定进行的处理。</w:t>
      </w:r>
    </w:p>
    <w:p w14:paraId="425DADCF">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六</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供应商在拆除和外运渣土、垃圾中应严格遵守浐灞国际港关于治污减霾相关规定，服从浐灞国际港相关部门管理，严格做好治污减霾工作。</w:t>
      </w:r>
    </w:p>
    <w:p w14:paraId="7473B25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七</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供应商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采购人各项管理规定，要求停工时必须立即停工，如因供应商私自作业，不按要求施工等情况由供应商承担全部责任，由此产生的全部费用由供应商承担。</w:t>
      </w:r>
    </w:p>
    <w:p w14:paraId="1BCCD9A1">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八</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供应商负责现场安全管理工作，并承担全部责任及由此产生的全部费用，现场人员由供应商按照相关规定办理相关保险事宜。</w:t>
      </w:r>
    </w:p>
    <w:p w14:paraId="36012064">
      <w:pPr>
        <w:pStyle w:val="6"/>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五</w:t>
      </w:r>
      <w:r>
        <w:rPr>
          <w:rFonts w:hint="eastAsia" w:ascii="宋体" w:hAnsi="宋体" w:eastAsia="宋体" w:cs="宋体"/>
          <w:b/>
          <w:bCs/>
          <w:color w:val="auto"/>
          <w:sz w:val="20"/>
          <w:szCs w:val="20"/>
          <w:highlight w:val="none"/>
        </w:rPr>
        <w:t>、商务要求（如合同价款及结算方式等）</w:t>
      </w:r>
    </w:p>
    <w:p w14:paraId="38F8BDF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一</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款项结算：</w:t>
      </w:r>
    </w:p>
    <w:p w14:paraId="5B410230">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1.预付款支付条款:无</w:t>
      </w:r>
    </w:p>
    <w:p w14:paraId="7C0CD63E">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2.剩余款项支付条款:</w:t>
      </w:r>
    </w:p>
    <w:p w14:paraId="65DE22B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按照本项目工程内容地面破除、垃圾清运工程，以各单项工程内容竣工完成并经采购人验收合格后，根据采购人确认的工程量及成交单价据实结算后一次性支付对应工程结算款。</w:t>
      </w:r>
    </w:p>
    <w:p w14:paraId="1A168D7C">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付款依据：供应商提供等额发票、</w:t>
      </w:r>
      <w:r>
        <w:rPr>
          <w:rFonts w:hint="eastAsia" w:ascii="宋体" w:hAnsi="宋体" w:eastAsia="宋体" w:cs="宋体"/>
          <w:color w:val="auto"/>
          <w:sz w:val="20"/>
          <w:szCs w:val="20"/>
          <w:highlight w:val="none"/>
          <w:lang w:val="en-US" w:eastAsia="zh-CN"/>
        </w:rPr>
        <w:t>采购人</w:t>
      </w:r>
      <w:r>
        <w:rPr>
          <w:rFonts w:hint="eastAsia" w:ascii="宋体" w:hAnsi="宋体" w:eastAsia="宋体" w:cs="宋体"/>
          <w:color w:val="auto"/>
          <w:sz w:val="20"/>
          <w:szCs w:val="20"/>
          <w:highlight w:val="none"/>
        </w:rPr>
        <w:t>出具的验收确认单。</w:t>
      </w:r>
    </w:p>
    <w:p w14:paraId="11782C2B">
      <w:pPr>
        <w:pStyle w:val="6"/>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六、其他要求</w:t>
      </w:r>
    </w:p>
    <w:p w14:paraId="338572A2">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（一）</w:t>
      </w:r>
      <w:r>
        <w:rPr>
          <w:rFonts w:hint="default" w:ascii="宋体" w:hAnsi="宋体" w:eastAsia="宋体" w:cs="宋体"/>
          <w:color w:val="auto"/>
          <w:sz w:val="20"/>
          <w:szCs w:val="20"/>
          <w:highlight w:val="none"/>
          <w:lang w:val="en-US" w:eastAsia="zh-CN"/>
        </w:rPr>
        <w:t>确保工程质量的技术组织措施：</w:t>
      </w:r>
    </w:p>
    <w:p w14:paraId="0177789B">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1.针对本项目围墙砌筑材料、砂石、水泥等主材制定进场抽检、验收、复检制度，明确不合格材料清场流程；</w:t>
      </w:r>
    </w:p>
    <w:p w14:paraId="71EA89C2">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2.建筑物、构筑物自上而下逐层有序拆除，禁止暴力推倒，管线及设施保护措施；</w:t>
      </w:r>
    </w:p>
    <w:p w14:paraId="53320CC4">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3.垃圾清运外运手续自行办理、车辆满足治污减霾、指定路线及消纳场地，禁止抛洒乱倒；</w:t>
      </w:r>
    </w:p>
    <w:p w14:paraId="786479A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4.针对拆除残留构件、地面破除基底不平、垃圾清运残留、围墙开裂空鼓、围挡倾斜渗漏等项目高频质量问题，制定具体可落地防治措施。</w:t>
      </w:r>
    </w:p>
    <w:p w14:paraId="58EB3F63">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（二）</w:t>
      </w:r>
      <w:r>
        <w:rPr>
          <w:rFonts w:hint="default" w:ascii="宋体" w:hAnsi="宋体" w:eastAsia="宋体" w:cs="宋体"/>
          <w:color w:val="auto"/>
          <w:sz w:val="20"/>
          <w:szCs w:val="20"/>
          <w:highlight w:val="none"/>
          <w:lang w:val="en-US" w:eastAsia="zh-CN"/>
        </w:rPr>
        <w:t>确保安全生产技术组织措施：</w:t>
      </w:r>
    </w:p>
    <w:p w14:paraId="7284157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1.安全生产措施费专户管理，建立安全投入使用核查流程，明确安全员对安全费用落实情况的核查职责，严禁挤占、挪用安全生产措施费；</w:t>
      </w:r>
    </w:p>
    <w:p w14:paraId="64226182">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2.劳动防护用品采购、定期发放、使用管理；</w:t>
      </w:r>
    </w:p>
    <w:p w14:paraId="3A1B7CEC">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3.临边、洞口、高处作业防坠落防护管理；</w:t>
      </w:r>
    </w:p>
    <w:p w14:paraId="092180DE">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4.应急救援组织机构、预案及物资配置；</w:t>
      </w:r>
    </w:p>
    <w:p w14:paraId="0F064F5C">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（三）</w:t>
      </w:r>
      <w:r>
        <w:rPr>
          <w:rFonts w:hint="default" w:ascii="宋体" w:hAnsi="宋体" w:eastAsia="宋体" w:cs="宋体"/>
          <w:color w:val="auto"/>
          <w:sz w:val="20"/>
          <w:szCs w:val="20"/>
          <w:highlight w:val="none"/>
          <w:lang w:val="en-US" w:eastAsia="zh-CN"/>
        </w:rPr>
        <w:t>确保文明施工的技术组织措施：</w:t>
      </w:r>
    </w:p>
    <w:p w14:paraId="510962E0">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1.施工现场围挡封闭管理；</w:t>
      </w:r>
    </w:p>
    <w:p w14:paraId="149D3E29">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2.场内道路及作业区域硬化处理；</w:t>
      </w:r>
    </w:p>
    <w:p w14:paraId="5DE05FB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3.现场物料分类堆放、建筑垃圾有序归集处置；</w:t>
      </w:r>
    </w:p>
    <w:p w14:paraId="23BE6F4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4.施工区域标识标牌管理；</w:t>
      </w:r>
    </w:p>
    <w:p w14:paraId="121502F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5.施工现场文明管理制度健全。</w:t>
      </w:r>
    </w:p>
    <w:p w14:paraId="35C2F120">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（四）</w:t>
      </w:r>
      <w:r>
        <w:rPr>
          <w:rFonts w:hint="default" w:ascii="宋体" w:hAnsi="宋体" w:eastAsia="宋体" w:cs="宋体"/>
          <w:color w:val="auto"/>
          <w:sz w:val="20"/>
          <w:szCs w:val="20"/>
          <w:highlight w:val="none"/>
          <w:lang w:val="en-US" w:eastAsia="zh-CN"/>
        </w:rPr>
        <w:t>确保环境保护组织措施：</w:t>
      </w:r>
    </w:p>
    <w:p w14:paraId="426A0E5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1.出场车辆冲洗保洁</w:t>
      </w:r>
    </w:p>
    <w:p w14:paraId="3B82C7D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2.施工扬尘、施工噪声管控措施；</w:t>
      </w:r>
    </w:p>
    <w:p w14:paraId="45BE0835">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3.现场保洁、垃圾清运处置制度；</w:t>
      </w:r>
    </w:p>
    <w:p w14:paraId="4164B39A">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4.危险废弃物分类收集处置。</w:t>
      </w:r>
    </w:p>
    <w:p w14:paraId="6FF023B6">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（五）</w:t>
      </w:r>
      <w:r>
        <w:rPr>
          <w:rFonts w:hint="default" w:ascii="宋体" w:hAnsi="宋体" w:eastAsia="宋体" w:cs="宋体"/>
          <w:color w:val="auto"/>
          <w:sz w:val="20"/>
          <w:szCs w:val="20"/>
          <w:highlight w:val="none"/>
          <w:lang w:val="en-US" w:eastAsia="zh-CN"/>
        </w:rPr>
        <w:t>施工进度计划及保证措施：</w:t>
      </w:r>
    </w:p>
    <w:p w14:paraId="09FF907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1.施工进度计划编制</w:t>
      </w:r>
    </w:p>
    <w:p w14:paraId="410B3CFB">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投标人须严格依据本项目总工期要求、施工工序及专业特点，编制科学可行的总体施工进度计划，采用横道图或网络图形式展示；明确总体施工流程、施工分段、流水作业排布、各专业穿插施工顺序，关键线路清晰、工期排布合理，完全满足</w:t>
      </w:r>
      <w:r>
        <w:rPr>
          <w:rFonts w:hint="eastAsia" w:ascii="宋体" w:hAnsi="宋体" w:eastAsia="宋体" w:cs="宋体"/>
          <w:color w:val="auto"/>
          <w:sz w:val="20"/>
          <w:szCs w:val="20"/>
          <w:highlight w:val="none"/>
          <w:lang w:val="en-US" w:eastAsia="zh-CN"/>
        </w:rPr>
        <w:t>采购文件</w:t>
      </w:r>
      <w:r>
        <w:rPr>
          <w:rFonts w:hint="default" w:ascii="宋体" w:hAnsi="宋体" w:eastAsia="宋体" w:cs="宋体"/>
          <w:color w:val="auto"/>
          <w:sz w:val="20"/>
          <w:szCs w:val="20"/>
          <w:highlight w:val="none"/>
          <w:lang w:val="en-US" w:eastAsia="zh-CN"/>
        </w:rPr>
        <w:t>总工期及阶段性节点要求。</w:t>
      </w:r>
    </w:p>
    <w:p w14:paraId="44F625DA">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2.关键节点控制计划</w:t>
      </w:r>
    </w:p>
    <w:p w14:paraId="35E98E21">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结合项目施工内容划分各阶段施工节点，明确准备阶段、主体施工阶段、专项施工阶段、收尾验收阶段工期安排；针对多专业交叉施工合理排布工序，避免工序冲突、工期延误。</w:t>
      </w:r>
    </w:p>
    <w:p w14:paraId="7F34449F">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3.工期保障组织及技术措施</w:t>
      </w:r>
    </w:p>
    <w:p w14:paraId="7543105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建立进度管控体系，配备专项进度管理人员；针对本项目施工特点制定工序衔接、高效施工、质量前置保障、专项工艺提速等技术保障措施。</w:t>
      </w:r>
    </w:p>
    <w:p w14:paraId="27176A10">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4.工期风险预判及纠偏补救措施</w:t>
      </w:r>
    </w:p>
    <w:p w14:paraId="51B84187">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结合现场工况、季节施工、交叉作业、材料进场、天气影响等风险点，制定进度滞后预警、动态调整、工期补救、抢工保障预案，确保总工期不变。</w:t>
      </w:r>
    </w:p>
    <w:p w14:paraId="764F0850">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（六）</w:t>
      </w:r>
      <w:r>
        <w:rPr>
          <w:rFonts w:hint="default" w:ascii="宋体" w:hAnsi="宋体" w:eastAsia="宋体" w:cs="宋体"/>
          <w:color w:val="auto"/>
          <w:sz w:val="20"/>
          <w:szCs w:val="20"/>
          <w:highlight w:val="none"/>
          <w:lang w:val="en-US" w:eastAsia="zh-CN"/>
        </w:rPr>
        <w:t>资源配置计划：</w:t>
      </w:r>
    </w:p>
    <w:p w14:paraId="551D768D">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1.劳动力配置计划</w:t>
      </w:r>
    </w:p>
    <w:p w14:paraId="494BE91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根据本项目各施工阶段、施工工序合理划分施工流水段，制定阶段性劳动力投入计划表，明确各阶段工种、投入人数、进场时间、退场安排；针对本项目交叉施工、高峰期施工制定人员动态调配方案，配备持证作业人员，具备人员短缺应急补充保障措施。</w:t>
      </w:r>
      <w:bookmarkStart w:id="0" w:name="_GoBack"/>
      <w:bookmarkEnd w:id="0"/>
    </w:p>
    <w:p w14:paraId="19EACEE8">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2.施工机械设备配置计划</w:t>
      </w:r>
    </w:p>
    <w:p w14:paraId="74D21FEF">
      <w:pPr>
        <w:pStyle w:val="6"/>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t>结合本项目施工特点配置适配的施工机械设备，列明设备名称、规格型号、数量、进场时间、使用工况；设备配置匹配施工进度及工程量需求，杜绝设备冗余或配置不足；针对专项施工设备、小型机具、检测设备制定配套保障、检修、替换应急预案。无大型机械设备的项目，需明确专项或小型机具配置及作业保障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1E2BB6"/>
    <w:rsid w:val="1F444AA3"/>
    <w:rsid w:val="781E2B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2026-10-08T11:00:00Z</dcterms:created>
  <dc:creator>Lenovo</dc:creator>
  <cp:lastModifiedBy>Lenovo</cp:lastModifiedBy>
  <dcterms:modified xsi:type="dcterms:W3CDTF">2026-10-08T11:00:39Z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FB2CDEFDDE56430A948452B23605E992_11</vt:lpwstr>
  </property>
  <property fmtid="{D5CDD505-2E9C-101B-9397-08002B2CF9AE}" pid="4" name="KSOTemplateDocerSaveRecord">
    <vt:lpwstr>eyJoZGlkIjoiZjdmN2JjMTBmOTIxY2MwYTkyYTRkYTkxMmM4MjYyNWEiLCJ1c2VySWQiOiI0NDgyMTE1NDUifQ==</vt:lpwstr>
  </property>
</Properties>
</file>