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A95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Cs w:val="24"/>
          <w:highlight w:val="none"/>
          <w:lang w:val="en-US" w:eastAsia="zh-CN"/>
        </w:rPr>
        <w:t>一、技术要求</w:t>
      </w:r>
    </w:p>
    <w:p w14:paraId="4A326A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szCs w:val="24"/>
          <w:highlight w:val="none"/>
          <w:lang w:val="en-US" w:eastAsia="zh-CN"/>
        </w:rPr>
        <w:t>1、项目内容</w:t>
      </w:r>
    </w:p>
    <w:p w14:paraId="7D726FB8">
      <w:pPr>
        <w:bidi w:val="0"/>
        <w:spacing w:line="360" w:lineRule="auto"/>
        <w:ind w:firstLine="480" w:firstLineChars="200"/>
        <w:rPr>
          <w:rFonts w:hint="eastAsia" w:ascii="宋体" w:hAnsi="Times New Roman" w:eastAsia="宋体" w:cs="Times New Roman"/>
          <w:highlight w:val="none"/>
          <w:lang w:val="en-US" w:eastAsia="zh-CN"/>
        </w:rPr>
      </w:pPr>
      <w:r>
        <w:rPr>
          <w:rFonts w:hint="eastAsia" w:ascii="宋体" w:hAnsi="Times New Roman" w:eastAsia="宋体" w:cs="Times New Roman"/>
          <w:color w:val="000000"/>
          <w:highlight w:val="none"/>
        </w:rPr>
        <w:t>本项目包含</w:t>
      </w:r>
      <w:r>
        <w:rPr>
          <w:rFonts w:hint="eastAsia" w:ascii="宋体" w:hAnsi="Times New Roman" w:eastAsia="宋体" w:cs="Times New Roman"/>
          <w:color w:val="000000"/>
          <w:highlight w:val="none"/>
          <w:lang w:val="en-US" w:eastAsia="zh-CN"/>
        </w:rPr>
        <w:t>《</w:t>
      </w:r>
      <w:r>
        <w:rPr>
          <w:rFonts w:hint="eastAsia" w:ascii="宋体" w:hAnsi="Times New Roman" w:eastAsia="宋体" w:cs="Times New Roman"/>
          <w:color w:val="000000"/>
          <w:highlight w:val="none"/>
        </w:rPr>
        <w:t>生活饮用水</w:t>
      </w:r>
      <w:r>
        <w:rPr>
          <w:rFonts w:hint="eastAsia" w:ascii="宋体" w:hAnsi="Times New Roman" w:eastAsia="宋体" w:cs="Times New Roman"/>
          <w:color w:val="000000"/>
          <w:highlight w:val="none"/>
          <w:lang w:val="en-US" w:eastAsia="zh-CN"/>
        </w:rPr>
        <w:t>卫生标准》（5749-2022）</w:t>
      </w:r>
      <w:r>
        <w:rPr>
          <w:rFonts w:hint="eastAsia" w:ascii="宋体" w:hAnsi="Times New Roman" w:eastAsia="宋体" w:cs="Times New Roman"/>
          <w:color w:val="000000"/>
          <w:highlight w:val="none"/>
        </w:rPr>
        <w:t xml:space="preserve"> 43 项常规指标检测 194 次（含突发应急检测 10 次）以及日检常规 9 项检测 5 次</w:t>
      </w:r>
      <w:r>
        <w:rPr>
          <w:rFonts w:hint="eastAsia" w:ascii="宋体" w:hAnsi="Times New Roman" w:eastAsia="宋体" w:cs="Times New Roman"/>
          <w:color w:val="000000"/>
          <w:highlight w:val="none"/>
          <w:lang w:eastAsia="zh-CN"/>
        </w:rPr>
        <w:t>。</w:t>
      </w:r>
      <w:r>
        <w:rPr>
          <w:rFonts w:hint="eastAsia" w:ascii="宋体" w:hAnsi="Times New Roman" w:eastAsia="宋体" w:cs="Times New Roman"/>
          <w:color w:val="000000"/>
          <w:highlight w:val="none"/>
          <w:lang w:val="en-US" w:eastAsia="zh-CN"/>
        </w:rPr>
        <w:t>通过水质检测，随时掌握农村饮水水质情况，及时发现并解决问题，保障农村群众饮水安全</w:t>
      </w:r>
      <w:r>
        <w:rPr>
          <w:rFonts w:hint="eastAsia" w:ascii="宋体" w:hAnsi="Times New Roman" w:eastAsia="宋体" w:cs="Times New Roman"/>
          <w:highlight w:val="none"/>
          <w:lang w:val="en-US" w:eastAsia="zh-CN"/>
        </w:rPr>
        <w:t>。</w:t>
      </w:r>
    </w:p>
    <w:tbl>
      <w:tblPr>
        <w:tblStyle w:val="3"/>
        <w:tblpPr w:leftFromText="180" w:rightFromText="180" w:vertAnchor="page" w:horzAnchor="page" w:tblpX="1657" w:tblpY="5524"/>
        <w:tblOverlap w:val="never"/>
        <w:tblW w:w="99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123"/>
        <w:gridCol w:w="2824"/>
        <w:gridCol w:w="2017"/>
        <w:gridCol w:w="1499"/>
        <w:gridCol w:w="1499"/>
      </w:tblGrid>
      <w:tr w14:paraId="064F1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954" w:type="dxa"/>
            <w:noWrap w:val="0"/>
            <w:vAlign w:val="center"/>
          </w:tcPr>
          <w:p w14:paraId="7319F126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123" w:type="dxa"/>
            <w:noWrap w:val="0"/>
            <w:vAlign w:val="center"/>
          </w:tcPr>
          <w:p w14:paraId="640545A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pacing w:val="-7"/>
                <w:highlight w:val="none"/>
                <w:lang w:val="en-US" w:eastAsia="zh-CN"/>
              </w:rPr>
              <w:t>检测类型</w:t>
            </w:r>
          </w:p>
        </w:tc>
        <w:tc>
          <w:tcPr>
            <w:tcW w:w="2824" w:type="dxa"/>
            <w:noWrap w:val="0"/>
            <w:vAlign w:val="center"/>
          </w:tcPr>
          <w:p w14:paraId="61649276">
            <w:pPr>
              <w:pStyle w:val="6"/>
              <w:spacing w:before="40" w:line="219" w:lineRule="auto"/>
              <w:ind w:left="392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pacing w:val="-6"/>
                <w:highlight w:val="none"/>
                <w:lang w:val="en-US" w:eastAsia="zh-CN"/>
              </w:rPr>
              <w:t>检测项目</w:t>
            </w:r>
          </w:p>
        </w:tc>
        <w:tc>
          <w:tcPr>
            <w:tcW w:w="2017" w:type="dxa"/>
            <w:noWrap w:val="0"/>
            <w:vAlign w:val="center"/>
          </w:tcPr>
          <w:p w14:paraId="26D888F8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499" w:type="dxa"/>
            <w:noWrap w:val="0"/>
            <w:vAlign w:val="center"/>
          </w:tcPr>
          <w:p w14:paraId="66178FA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 单位</w:t>
            </w:r>
          </w:p>
        </w:tc>
        <w:tc>
          <w:tcPr>
            <w:tcW w:w="1499" w:type="dxa"/>
            <w:noWrap w:val="0"/>
            <w:vAlign w:val="center"/>
          </w:tcPr>
          <w:p w14:paraId="10BED724">
            <w:pPr>
              <w:pStyle w:val="5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664EC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0" w:hRule="atLeast"/>
        </w:trPr>
        <w:tc>
          <w:tcPr>
            <w:tcW w:w="954" w:type="dxa"/>
            <w:noWrap w:val="0"/>
            <w:vAlign w:val="center"/>
          </w:tcPr>
          <w:p w14:paraId="529A8689">
            <w:pPr>
              <w:pStyle w:val="5"/>
              <w:spacing w:line="360" w:lineRule="auto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23" w:type="dxa"/>
            <w:noWrap w:val="0"/>
            <w:vAlign w:val="center"/>
          </w:tcPr>
          <w:p w14:paraId="7287F6EB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4"/>
                <w:highlight w:val="none"/>
                <w:lang w:val="en-US" w:eastAsia="zh-CN"/>
              </w:rPr>
              <w:t>生活饮用水43项</w:t>
            </w:r>
          </w:p>
          <w:p w14:paraId="31BBD98F">
            <w:pPr>
              <w:pStyle w:val="5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4"/>
                <w:highlight w:val="none"/>
                <w:lang w:val="en-US" w:eastAsia="zh-CN"/>
              </w:rPr>
              <w:t>常规指标检测</w:t>
            </w:r>
          </w:p>
        </w:tc>
        <w:tc>
          <w:tcPr>
            <w:tcW w:w="2824" w:type="dxa"/>
            <w:noWrap w:val="0"/>
            <w:vAlign w:val="center"/>
          </w:tcPr>
          <w:p w14:paraId="37AF14C5">
            <w:pPr>
              <w:bidi w:val="0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菌落总数、总大肠菌群、大肠埃希氏菌、汞、砷、铝、铁、铅、铜、铬（六价）、锌、锰、镉、三氯甲烷、三溴甲烷、二氯一溴甲烷、一氯二溴甲烷、三卤甲烷、二氯乙酸、三氯乙酸、pH、色度、浑浊度、嗅和味、肉眼可见物、游离氯、</w:t>
            </w:r>
          </w:p>
          <w:p w14:paraId="5A5576EA">
            <w:pPr>
              <w:bidi w:val="0"/>
              <w:rPr>
                <w:rFonts w:hint="eastAsia" w:ascii="宋体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总氯、二氧化氯、臭氧、氯酸盐、亚氯酸盐、溴酸盐、溶解性总固体、总硬度、氟化物、氯化物、硝酸盐（以 N 计）、硫酸盐、氨(以 N 计)、氰化物、高锰酸盐指数（以 O2 计）、总α放射性、总β放射性</w:t>
            </w:r>
          </w:p>
        </w:tc>
        <w:tc>
          <w:tcPr>
            <w:tcW w:w="2017" w:type="dxa"/>
            <w:noWrap w:val="0"/>
            <w:vAlign w:val="center"/>
          </w:tcPr>
          <w:p w14:paraId="633505BC">
            <w:pPr>
              <w:pStyle w:val="5"/>
              <w:spacing w:line="360" w:lineRule="auto"/>
              <w:ind w:firstLine="240" w:firstLineChars="10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194</w:t>
            </w:r>
          </w:p>
        </w:tc>
        <w:tc>
          <w:tcPr>
            <w:tcW w:w="1499" w:type="dxa"/>
            <w:noWrap w:val="0"/>
            <w:vAlign w:val="center"/>
          </w:tcPr>
          <w:p w14:paraId="1DD2C1E2">
            <w:pPr>
              <w:pStyle w:val="5"/>
              <w:spacing w:line="360" w:lineRule="auto"/>
              <w:ind w:firstLine="480" w:firstLineChars="200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次</w:t>
            </w:r>
          </w:p>
        </w:tc>
        <w:tc>
          <w:tcPr>
            <w:tcW w:w="1499" w:type="dxa"/>
            <w:noWrap w:val="0"/>
            <w:vAlign w:val="center"/>
          </w:tcPr>
          <w:p w14:paraId="19A1B8B2">
            <w:pPr>
              <w:pStyle w:val="5"/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(含突发应急检测10次</w:t>
            </w:r>
          </w:p>
        </w:tc>
      </w:tr>
      <w:tr w14:paraId="3C8CF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954" w:type="dxa"/>
            <w:noWrap w:val="0"/>
            <w:vAlign w:val="center"/>
          </w:tcPr>
          <w:p w14:paraId="14CA1848">
            <w:pPr>
              <w:pStyle w:val="5"/>
              <w:spacing w:line="360" w:lineRule="auto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23" w:type="dxa"/>
            <w:noWrap w:val="0"/>
            <w:vAlign w:val="center"/>
          </w:tcPr>
          <w:p w14:paraId="33D925D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日检常规9项检测</w:t>
            </w:r>
          </w:p>
        </w:tc>
        <w:tc>
          <w:tcPr>
            <w:tcW w:w="2824" w:type="dxa"/>
            <w:noWrap w:val="0"/>
            <w:vAlign w:val="center"/>
          </w:tcPr>
          <w:p w14:paraId="00ECE69A">
            <w:pPr>
              <w:pStyle w:val="6"/>
              <w:spacing w:before="38"/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pH、色度、浑浊度、嗅和味、肉眼可见物、菌落总数、总大肠菌群、大肠埃希氏菌</w:t>
            </w:r>
            <w:r>
              <w:rPr>
                <w:rFonts w:hint="eastAsia"/>
                <w:highlight w:val="none"/>
                <w:lang w:eastAsia="zh-CN"/>
              </w:rPr>
              <w:t>、</w:t>
            </w:r>
            <w:r>
              <w:rPr>
                <w:rFonts w:hint="eastAsia"/>
                <w:highlight w:val="none"/>
                <w:lang w:val="en-US" w:eastAsia="zh-CN"/>
              </w:rPr>
              <w:t>余氯</w:t>
            </w:r>
          </w:p>
        </w:tc>
        <w:tc>
          <w:tcPr>
            <w:tcW w:w="2017" w:type="dxa"/>
            <w:noWrap w:val="0"/>
            <w:vAlign w:val="center"/>
          </w:tcPr>
          <w:p w14:paraId="0BD41FF1">
            <w:pPr>
              <w:pStyle w:val="5"/>
              <w:spacing w:line="360" w:lineRule="auto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499" w:type="dxa"/>
            <w:noWrap w:val="0"/>
            <w:vAlign w:val="center"/>
          </w:tcPr>
          <w:p w14:paraId="0AABA116">
            <w:pPr>
              <w:pStyle w:val="5"/>
              <w:spacing w:line="360" w:lineRule="auto"/>
              <w:ind w:firstLine="480" w:firstLineChars="200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次</w:t>
            </w:r>
          </w:p>
        </w:tc>
        <w:tc>
          <w:tcPr>
            <w:tcW w:w="1499" w:type="dxa"/>
            <w:noWrap w:val="0"/>
            <w:vAlign w:val="center"/>
          </w:tcPr>
          <w:p w14:paraId="08BC155F">
            <w:pPr>
              <w:pStyle w:val="5"/>
              <w:spacing w:line="360" w:lineRule="auto"/>
              <w:ind w:firstLine="960" w:firstLineChars="400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</w:tr>
    </w:tbl>
    <w:p w14:paraId="0DCE4D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宋体" w:hAnsi="宋体" w:eastAsia="宋体" w:cs="宋体"/>
          <w:kern w:val="0"/>
          <w:sz w:val="24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szCs w:val="24"/>
          <w:highlight w:val="none"/>
          <w:lang w:val="en-US" w:eastAsia="zh-CN"/>
        </w:rPr>
        <w:t>2、技术标准：</w:t>
      </w:r>
    </w:p>
    <w:p w14:paraId="592EBFD2">
      <w:pPr>
        <w:pStyle w:val="5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1.供应商应具有检验检测机构资质认定证书 CMA 及开展相关检验检测业务的技术能力。 </w:t>
      </w:r>
    </w:p>
    <w:p w14:paraId="182A36B2">
      <w:pPr>
        <w:pStyle w:val="5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2.检验检测资质覆盖本次采购所有项目，不得分包。</w:t>
      </w:r>
    </w:p>
    <w:p w14:paraId="1842D455">
      <w:pPr>
        <w:pStyle w:val="5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3.在规定服务期限内完成采样，并向采购人出具具有检验检测机构资质认定证书CMA认证的样品检验报告。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</w:p>
    <w:p w14:paraId="5DF877E1">
      <w:pPr>
        <w:pStyle w:val="5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乙方工作人员应配备相应的防护装置及措施，在采购人厂区现场作业过程中因乙方原因发生的一切安全事故、人身伤害等责任事故由乙方负责。</w:t>
      </w:r>
    </w:p>
    <w:p w14:paraId="04E5D09B">
      <w:pPr>
        <w:tabs>
          <w:tab w:val="left" w:pos="2826"/>
        </w:tabs>
        <w:spacing w:line="360" w:lineRule="auto"/>
        <w:jc w:val="left"/>
        <w:rPr>
          <w:rFonts w:hint="default" w:ascii="宋体" w:hAnsi="宋体" w:eastAsia="宋体" w:cs="宋体"/>
          <w:b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Cs w:val="24"/>
          <w:highlight w:val="none"/>
          <w:lang w:val="en-US" w:eastAsia="zh-CN"/>
        </w:rPr>
        <w:t>二、商务要求</w:t>
      </w:r>
    </w:p>
    <w:p w14:paraId="78F5D10C">
      <w:pPr>
        <w:tabs>
          <w:tab w:val="left" w:pos="2826"/>
        </w:tabs>
        <w:spacing w:line="360" w:lineRule="auto"/>
        <w:jc w:val="left"/>
        <w:rPr>
          <w:rFonts w:hint="default" w:ascii="宋体" w:hAnsi="宋体" w:eastAsia="宋体" w:cs="宋体"/>
          <w:b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Cs w:val="24"/>
          <w:highlight w:val="none"/>
          <w:lang w:val="en-US" w:eastAsia="zh-CN"/>
        </w:rPr>
        <w:t>1、服务期：</w:t>
      </w:r>
      <w:r>
        <w:rPr>
          <w:rFonts w:hint="eastAsia" w:ascii="宋体" w:hAnsi="宋体" w:eastAsia="宋体" w:cs="宋体"/>
          <w:szCs w:val="24"/>
          <w:highlight w:val="none"/>
          <w:lang w:val="en-US" w:eastAsia="zh-CN"/>
        </w:rPr>
        <w:t>自合同签订之日起一年</w:t>
      </w:r>
    </w:p>
    <w:p w14:paraId="6FCBD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宋体" w:hAnsi="宋体" w:eastAsia="宋体" w:cs="宋体"/>
          <w:b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Cs w:val="24"/>
          <w:highlight w:val="none"/>
          <w:lang w:val="en-US" w:eastAsia="zh-CN"/>
        </w:rPr>
        <w:t>2、质量标准：</w:t>
      </w:r>
      <w:r>
        <w:rPr>
          <w:rFonts w:hint="eastAsia" w:ascii="宋体" w:hAnsi="宋体" w:eastAsia="宋体" w:cs="宋体"/>
          <w:szCs w:val="24"/>
          <w:highlight w:val="none"/>
          <w:lang w:val="en-US" w:eastAsia="zh-CN"/>
        </w:rPr>
        <w:t>达到国家现行技术标准</w:t>
      </w:r>
    </w:p>
    <w:p w14:paraId="5F9C7F23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highlight w:val="none"/>
          <w:lang w:val="en-US" w:eastAsia="zh-CN" w:bidi="ar-SA"/>
        </w:rPr>
        <w:t>3、付款方式：</w:t>
      </w:r>
    </w:p>
    <w:p w14:paraId="4B7FCCA4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hAnsi="宋体" w:eastAsia="宋体" w:cs="宋体"/>
          <w:szCs w:val="24"/>
          <w:highlight w:val="none"/>
          <w:lang w:val="en-US" w:eastAsia="zh-CN"/>
        </w:rPr>
      </w:pPr>
      <w:r>
        <w:rPr>
          <w:rFonts w:hint="eastAsia" w:hAnsi="宋体" w:cs="宋体"/>
          <w:szCs w:val="24"/>
          <w:highlight w:val="none"/>
        </w:rPr>
        <w:t>（一）付款方式：</w:t>
      </w:r>
      <w:r>
        <w:rPr>
          <w:rFonts w:hint="eastAsia" w:hAnsi="宋体" w:cs="宋体"/>
          <w:szCs w:val="24"/>
          <w:highlight w:val="none"/>
          <w:lang w:val="en-US" w:eastAsia="zh-CN"/>
        </w:rPr>
        <w:t>签</w:t>
      </w:r>
      <w:r>
        <w:rPr>
          <w:rFonts w:hint="eastAsia" w:hAnsi="宋体" w:cs="宋体"/>
          <w:szCs w:val="24"/>
          <w:highlight w:val="none"/>
        </w:rPr>
        <w:t>订合同后支付合同价款的</w:t>
      </w:r>
      <w:r>
        <w:rPr>
          <w:rFonts w:hint="eastAsia" w:hAnsi="宋体" w:cs="宋体"/>
          <w:szCs w:val="24"/>
          <w:highlight w:val="none"/>
          <w:lang w:val="en-US" w:eastAsia="zh-CN"/>
        </w:rPr>
        <w:t>50</w:t>
      </w:r>
      <w:r>
        <w:rPr>
          <w:rFonts w:hint="eastAsia" w:hAnsi="宋体" w:cs="宋体"/>
          <w:szCs w:val="24"/>
          <w:highlight w:val="none"/>
        </w:rPr>
        <w:t>%；完成合同约定的</w:t>
      </w:r>
      <w:r>
        <w:rPr>
          <w:rFonts w:hint="eastAsia" w:hAnsi="宋体" w:cs="宋体"/>
          <w:szCs w:val="24"/>
          <w:highlight w:val="none"/>
          <w:lang w:val="en-US" w:eastAsia="zh-CN"/>
        </w:rPr>
        <w:t>全部</w:t>
      </w:r>
      <w:r>
        <w:rPr>
          <w:rFonts w:hint="eastAsia" w:hAnsi="宋体" w:cs="宋体"/>
          <w:szCs w:val="24"/>
          <w:highlight w:val="none"/>
        </w:rPr>
        <w:t>工作</w:t>
      </w:r>
      <w:r>
        <w:rPr>
          <w:rFonts w:hint="eastAsia" w:hAnsi="宋体" w:cs="宋体"/>
          <w:szCs w:val="24"/>
          <w:highlight w:val="none"/>
          <w:lang w:eastAsia="zh-CN"/>
        </w:rPr>
        <w:t>，</w:t>
      </w:r>
      <w:r>
        <w:rPr>
          <w:rFonts w:hint="eastAsia" w:hAnsi="宋体" w:cs="宋体"/>
          <w:szCs w:val="24"/>
          <w:highlight w:val="none"/>
          <w:lang w:val="en-US" w:eastAsia="zh-CN"/>
        </w:rPr>
        <w:t>并经甲方确认，</w:t>
      </w:r>
      <w:r>
        <w:rPr>
          <w:rFonts w:hint="eastAsia" w:hAnsi="宋体" w:cs="宋体"/>
          <w:szCs w:val="24"/>
          <w:highlight w:val="none"/>
        </w:rPr>
        <w:t>支付</w:t>
      </w:r>
      <w:r>
        <w:rPr>
          <w:rFonts w:hint="eastAsia" w:hAnsi="宋体" w:cs="宋体"/>
          <w:szCs w:val="24"/>
          <w:highlight w:val="none"/>
          <w:lang w:val="en-US" w:eastAsia="zh-CN"/>
        </w:rPr>
        <w:t>合同价款的剩余5</w:t>
      </w:r>
      <w:r>
        <w:rPr>
          <w:rFonts w:hint="eastAsia" w:hAnsi="宋体" w:cs="宋体"/>
          <w:szCs w:val="24"/>
          <w:highlight w:val="none"/>
        </w:rPr>
        <w:t>0%。</w:t>
      </w:r>
      <w:r>
        <w:rPr>
          <w:rFonts w:hint="eastAsia" w:hAnsi="宋体" w:cs="宋体"/>
          <w:szCs w:val="24"/>
          <w:highlight w:val="none"/>
          <w:lang w:val="en-US" w:eastAsia="zh-CN"/>
        </w:rPr>
        <w:t xml:space="preserve"> </w:t>
      </w:r>
    </w:p>
    <w:p w14:paraId="040FC3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240" w:firstLineChars="100"/>
        <w:textAlignment w:val="auto"/>
        <w:rPr>
          <w:rFonts w:hint="default" w:ascii="宋体" w:hAnsi="宋体" w:eastAsia="宋体" w:cs="宋体"/>
          <w:b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hAnsi="宋体" w:cs="宋体"/>
          <w:szCs w:val="24"/>
          <w:highlight w:val="none"/>
        </w:rPr>
        <w:t>（二）结算方式：银行转账。</w:t>
      </w:r>
    </w:p>
    <w:p w14:paraId="293EDF3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GYXIQ+Frutiger-Cn">
    <w:altName w:val="宋体"/>
    <w:panose1 w:val="020B0604020202020204"/>
    <w:charset w:val="86"/>
    <w:family w:val="swiss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6F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rPr>
      <w:rFonts w:ascii="Times New Roman" w:hAnsi="Times New Roman"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2026-10-20T04:38:58Z</dcterms:created>
  <dc:creator>admin</dc:creator>
  <cp:lastModifiedBy>一个人看熊出没</cp:lastModifiedBy>
  <dcterms:modified xsi:type="dcterms:W3CDTF">2026-10-20T04:39:12Z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eyJoZGlkIjoiNTlkYzBjNGI3MDczYmY0MWRmZjFkOWM0MzQ1ZDM0MWIiLCJ1c2VySWQiOiIzMDcyMjg3NjcifQ==</vt:lpwstr>
  </property>
  <property fmtid="{D5CDD505-2E9C-101B-9397-08002B2CF9AE}" pid="4" name="ICV">
    <vt:lpwstr>644A843F8CC34FFBA1B6C33B1E0A3AD0_12</vt:lpwstr>
  </property>
</Properties>
</file>