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6619A2">
      <w:pPr>
        <w:pStyle w:val="4"/>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采购需求</w:t>
      </w:r>
    </w:p>
    <w:p w14:paraId="645918F9">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rPr>
          <w:sz w:val="24"/>
          <w:szCs w:val="24"/>
          <w:highlight w:val="none"/>
        </w:rPr>
      </w:pPr>
      <w:r>
        <w:rPr>
          <w:rFonts w:ascii="仿宋_GB2312" w:hAnsi="仿宋_GB2312" w:eastAsia="仿宋_GB2312" w:cs="仿宋_GB2312"/>
          <w:b/>
          <w:sz w:val="24"/>
          <w:szCs w:val="24"/>
          <w:highlight w:val="none"/>
        </w:rPr>
        <w:t>一、项目概况</w:t>
      </w:r>
    </w:p>
    <w:p w14:paraId="51F0823D">
      <w:pPr>
        <w:pStyle w:val="4"/>
        <w:keepNext w:val="0"/>
        <w:keepLines w:val="0"/>
        <w:pageBreakBefore w:val="0"/>
        <w:widowControl/>
        <w:kinsoku/>
        <w:wordWrap/>
        <w:overflowPunct/>
        <w:topLinePunct w:val="0"/>
        <w:autoSpaceDE/>
        <w:autoSpaceDN/>
        <w:bidi w:val="0"/>
        <w:adjustRightInd/>
        <w:snapToGrid/>
        <w:spacing w:line="360" w:lineRule="auto"/>
        <w:ind w:firstLine="560"/>
        <w:textAlignment w:val="auto"/>
        <w:rPr>
          <w:sz w:val="24"/>
          <w:szCs w:val="24"/>
          <w:highlight w:val="none"/>
        </w:rPr>
      </w:pPr>
      <w:r>
        <w:rPr>
          <w:rFonts w:hint="eastAsia" w:ascii="仿宋_GB2312" w:hAnsi="仿宋_GB2312" w:eastAsia="仿宋_GB2312" w:cs="仿宋_GB2312"/>
          <w:color w:val="000000"/>
          <w:sz w:val="24"/>
          <w:szCs w:val="24"/>
          <w:highlight w:val="none"/>
        </w:rPr>
        <w:t>秦始皇帝陵博物院屋面防水工程包含业务楼屋面、办公楼屋面、丽山园南区民警办公楼屋面、售票大厅屋面、行李寄存处屋面、职工餐厅屋面共6栋建筑屋面，因以上建筑屋面均早</w:t>
      </w:r>
      <w:r>
        <w:rPr>
          <w:rFonts w:hint="eastAsia" w:ascii="仿宋_GB2312" w:hAnsi="仿宋_GB2312" w:eastAsia="仿宋_GB2312" w:cs="仿宋_GB2312"/>
          <w:color w:val="000000"/>
          <w:sz w:val="24"/>
          <w:szCs w:val="24"/>
          <w:highlight w:val="none"/>
          <w:lang w:eastAsia="zh-CN"/>
        </w:rPr>
        <w:t>已</w:t>
      </w:r>
      <w:r>
        <w:rPr>
          <w:rFonts w:hint="eastAsia" w:ascii="仿宋_GB2312" w:hAnsi="仿宋_GB2312" w:eastAsia="仿宋_GB2312" w:cs="仿宋_GB2312"/>
          <w:color w:val="000000"/>
          <w:sz w:val="24"/>
          <w:szCs w:val="24"/>
          <w:highlight w:val="none"/>
        </w:rPr>
        <w:t>超出保修期，屋面防水卷材已老化出现龟裂、破裂及屋面漏水，影响博物院使用部门正常工作，需进行拆除新作。工程内容包含铲除原有屋面防水层保护层、屋面防水层、并垃圾下楼外运，新</w:t>
      </w:r>
      <w:r>
        <w:rPr>
          <w:rFonts w:hint="eastAsia" w:ascii="仿宋_GB2312" w:hAnsi="仿宋_GB2312" w:eastAsia="仿宋_GB2312" w:cs="仿宋_GB2312"/>
          <w:color w:val="000000"/>
          <w:sz w:val="24"/>
          <w:szCs w:val="24"/>
          <w:highlight w:val="none"/>
          <w:lang w:eastAsia="zh-CN"/>
        </w:rPr>
        <w:t>做</w:t>
      </w:r>
      <w:r>
        <w:rPr>
          <w:rFonts w:hint="eastAsia" w:ascii="仿宋_GB2312" w:hAnsi="仿宋_GB2312" w:eastAsia="仿宋_GB2312" w:cs="仿宋_GB2312"/>
          <w:color w:val="000000"/>
          <w:sz w:val="24"/>
          <w:szCs w:val="24"/>
          <w:highlight w:val="none"/>
        </w:rPr>
        <w:t>二遍防水屋面防水卷材4mm厚SBS（耐穿刺）具体工程内容详见工程量清单</w:t>
      </w:r>
      <w:r>
        <w:rPr>
          <w:rFonts w:ascii="仿宋_GB2312" w:hAnsi="仿宋_GB2312" w:eastAsia="仿宋_GB2312" w:cs="仿宋_GB2312"/>
          <w:color w:val="000000"/>
          <w:sz w:val="24"/>
          <w:szCs w:val="24"/>
          <w:highlight w:val="none"/>
        </w:rPr>
        <w:t>。</w:t>
      </w:r>
    </w:p>
    <w:p w14:paraId="1C123FEF">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sz w:val="24"/>
          <w:szCs w:val="24"/>
          <w:highlight w:val="none"/>
        </w:rPr>
      </w:pPr>
      <w:r>
        <w:rPr>
          <w:rFonts w:ascii="仿宋_GB2312" w:hAnsi="仿宋_GB2312" w:eastAsia="仿宋_GB2312" w:cs="仿宋_GB2312"/>
          <w:b/>
          <w:sz w:val="24"/>
          <w:szCs w:val="24"/>
          <w:highlight w:val="none"/>
        </w:rPr>
        <w:t>二、商务要求</w:t>
      </w:r>
    </w:p>
    <w:p w14:paraId="3C14B0AE">
      <w:pPr>
        <w:pStyle w:val="4"/>
        <w:keepNext w:val="0"/>
        <w:keepLines w:val="0"/>
        <w:pageBreakBefore w:val="0"/>
        <w:widowControl/>
        <w:kinsoku/>
        <w:wordWrap/>
        <w:overflowPunct/>
        <w:topLinePunct w:val="0"/>
        <w:autoSpaceDE/>
        <w:autoSpaceDN/>
        <w:bidi w:val="0"/>
        <w:adjustRightInd/>
        <w:snapToGrid/>
        <w:spacing w:line="360" w:lineRule="auto"/>
        <w:ind w:firstLine="560"/>
        <w:textAlignment w:val="auto"/>
        <w:rPr>
          <w:sz w:val="24"/>
          <w:szCs w:val="24"/>
          <w:highlight w:val="none"/>
        </w:rPr>
      </w:pPr>
      <w:r>
        <w:rPr>
          <w:rFonts w:ascii="仿宋_GB2312" w:hAnsi="仿宋_GB2312" w:eastAsia="仿宋_GB2312" w:cs="仿宋_GB2312"/>
          <w:sz w:val="24"/>
          <w:szCs w:val="24"/>
          <w:highlight w:val="none"/>
        </w:rPr>
        <w:t>1、工期：</w:t>
      </w:r>
      <w:r>
        <w:rPr>
          <w:rFonts w:hint="eastAsia" w:ascii="仿宋_GB2312" w:hAnsi="仿宋_GB2312" w:eastAsia="仿宋_GB2312" w:cs="仿宋_GB2312"/>
          <w:sz w:val="24"/>
          <w:szCs w:val="24"/>
          <w:highlight w:val="none"/>
        </w:rPr>
        <w:t>90日历天</w:t>
      </w:r>
      <w:r>
        <w:rPr>
          <w:rFonts w:ascii="仿宋_GB2312" w:hAnsi="仿宋_GB2312" w:eastAsia="仿宋_GB2312" w:cs="仿宋_GB2312"/>
          <w:sz w:val="24"/>
          <w:szCs w:val="24"/>
          <w:highlight w:val="none"/>
        </w:rPr>
        <w:t>。</w:t>
      </w:r>
    </w:p>
    <w:p w14:paraId="7A79C914">
      <w:pPr>
        <w:pStyle w:val="4"/>
        <w:keepNext w:val="0"/>
        <w:keepLines w:val="0"/>
        <w:pageBreakBefore w:val="0"/>
        <w:widowControl/>
        <w:kinsoku/>
        <w:wordWrap/>
        <w:overflowPunct/>
        <w:topLinePunct w:val="0"/>
        <w:autoSpaceDE/>
        <w:autoSpaceDN/>
        <w:bidi w:val="0"/>
        <w:adjustRightInd/>
        <w:snapToGrid/>
        <w:spacing w:line="360" w:lineRule="auto"/>
        <w:ind w:firstLine="560"/>
        <w:textAlignment w:val="auto"/>
        <w:rPr>
          <w:sz w:val="24"/>
          <w:szCs w:val="24"/>
          <w:highlight w:val="none"/>
        </w:rPr>
      </w:pPr>
      <w:r>
        <w:rPr>
          <w:rFonts w:ascii="仿宋_GB2312" w:hAnsi="仿宋_GB2312" w:eastAsia="仿宋_GB2312" w:cs="仿宋_GB2312"/>
          <w:sz w:val="24"/>
          <w:szCs w:val="24"/>
          <w:highlight w:val="none"/>
        </w:rPr>
        <w:t>2、工程地点：</w:t>
      </w:r>
      <w:r>
        <w:rPr>
          <w:rFonts w:hint="eastAsia" w:ascii="仿宋_GB2312" w:hAnsi="仿宋_GB2312" w:eastAsia="仿宋_GB2312" w:cs="仿宋_GB2312"/>
          <w:sz w:val="24"/>
          <w:szCs w:val="24"/>
          <w:highlight w:val="none"/>
        </w:rPr>
        <w:t>秦始皇帝陵博物院</w:t>
      </w:r>
      <w:r>
        <w:rPr>
          <w:rFonts w:ascii="仿宋_GB2312" w:hAnsi="仿宋_GB2312" w:eastAsia="仿宋_GB2312" w:cs="仿宋_GB2312"/>
          <w:sz w:val="24"/>
          <w:szCs w:val="24"/>
          <w:highlight w:val="none"/>
        </w:rPr>
        <w:t>，具体以采购人指定地点为准。</w:t>
      </w:r>
    </w:p>
    <w:p w14:paraId="391B80E1">
      <w:pPr>
        <w:pStyle w:val="4"/>
        <w:keepNext w:val="0"/>
        <w:keepLines w:val="0"/>
        <w:pageBreakBefore w:val="0"/>
        <w:widowControl/>
        <w:kinsoku/>
        <w:wordWrap/>
        <w:overflowPunct/>
        <w:topLinePunct w:val="0"/>
        <w:autoSpaceDE/>
        <w:autoSpaceDN/>
        <w:bidi w:val="0"/>
        <w:adjustRightInd/>
        <w:snapToGrid/>
        <w:spacing w:line="360" w:lineRule="auto"/>
        <w:ind w:firstLine="560"/>
        <w:textAlignment w:val="auto"/>
        <w:rPr>
          <w:sz w:val="24"/>
          <w:szCs w:val="24"/>
          <w:highlight w:val="none"/>
        </w:rPr>
      </w:pPr>
      <w:r>
        <w:rPr>
          <w:rFonts w:ascii="仿宋_GB2312" w:hAnsi="仿宋_GB2312" w:eastAsia="仿宋_GB2312" w:cs="仿宋_GB2312"/>
          <w:sz w:val="24"/>
          <w:szCs w:val="24"/>
          <w:highlight w:val="none"/>
        </w:rPr>
        <w:t>3、工程质量标准：达到国家、省市或相关行业规范“合格”标准要求。</w:t>
      </w:r>
    </w:p>
    <w:p w14:paraId="28177787">
      <w:pPr>
        <w:pStyle w:val="4"/>
        <w:keepNext w:val="0"/>
        <w:keepLines w:val="0"/>
        <w:pageBreakBefore w:val="0"/>
        <w:widowControl/>
        <w:kinsoku/>
        <w:wordWrap/>
        <w:overflowPunct/>
        <w:topLinePunct w:val="0"/>
        <w:autoSpaceDE/>
        <w:autoSpaceDN/>
        <w:bidi w:val="0"/>
        <w:adjustRightInd/>
        <w:snapToGrid/>
        <w:spacing w:line="360" w:lineRule="auto"/>
        <w:ind w:firstLine="560"/>
        <w:textAlignment w:val="auto"/>
        <w:rPr>
          <w:sz w:val="24"/>
          <w:szCs w:val="24"/>
          <w:highlight w:val="none"/>
        </w:rPr>
      </w:pPr>
      <w:r>
        <w:rPr>
          <w:rFonts w:ascii="仿宋_GB2312" w:hAnsi="仿宋_GB2312" w:eastAsia="仿宋_GB2312" w:cs="仿宋_GB2312"/>
          <w:sz w:val="24"/>
          <w:szCs w:val="24"/>
          <w:highlight w:val="none"/>
        </w:rPr>
        <w:t>4、</w:t>
      </w:r>
      <w:r>
        <w:rPr>
          <w:rFonts w:ascii="仿宋_GB2312" w:hAnsi="仿宋_GB2312" w:eastAsia="仿宋_GB2312" w:cs="仿宋_GB2312"/>
          <w:b/>
          <w:bCs/>
          <w:sz w:val="24"/>
          <w:szCs w:val="24"/>
          <w:highlight w:val="none"/>
        </w:rPr>
        <w:t>工程量清单</w:t>
      </w:r>
      <w:r>
        <w:rPr>
          <w:rFonts w:hint="eastAsia" w:ascii="仿宋_GB2312" w:hAnsi="仿宋_GB2312" w:eastAsia="仿宋_GB2312" w:cs="仿宋_GB2312"/>
          <w:b/>
          <w:bCs/>
          <w:sz w:val="24"/>
          <w:szCs w:val="24"/>
          <w:highlight w:val="none"/>
        </w:rPr>
        <w:t>及限价</w:t>
      </w:r>
      <w:r>
        <w:rPr>
          <w:rFonts w:ascii="仿宋_GB2312" w:hAnsi="仿宋_GB2312" w:eastAsia="仿宋_GB2312" w:cs="仿宋_GB2312"/>
          <w:b/>
          <w:bCs/>
          <w:sz w:val="24"/>
          <w:szCs w:val="24"/>
          <w:highlight w:val="none"/>
        </w:rPr>
        <w:t>（详见附件）</w:t>
      </w:r>
      <w:r>
        <w:rPr>
          <w:rFonts w:ascii="仿宋_GB2312" w:hAnsi="仿宋_GB2312" w:eastAsia="仿宋_GB2312" w:cs="仿宋_GB2312"/>
          <w:sz w:val="24"/>
          <w:szCs w:val="24"/>
          <w:highlight w:val="none"/>
        </w:rPr>
        <w:t>。</w:t>
      </w:r>
    </w:p>
    <w:p w14:paraId="405E1800">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hint="default" w:ascii="仿宋_GB2312" w:hAnsi="仿宋_GB2312" w:eastAsia="仿宋_GB2312" w:cs="仿宋_GB2312"/>
          <w:b/>
          <w:sz w:val="24"/>
          <w:szCs w:val="24"/>
          <w:highlight w:val="none"/>
          <w:lang w:val="en-US" w:eastAsia="zh-CN"/>
        </w:rPr>
      </w:pPr>
      <w:r>
        <w:rPr>
          <w:rFonts w:ascii="仿宋_GB2312" w:hAnsi="仿宋_GB2312" w:eastAsia="仿宋_GB2312" w:cs="仿宋_GB2312"/>
          <w:b/>
          <w:sz w:val="24"/>
          <w:szCs w:val="24"/>
          <w:highlight w:val="none"/>
        </w:rPr>
        <w:t>三、</w:t>
      </w:r>
      <w:r>
        <w:rPr>
          <w:rFonts w:hint="eastAsia" w:ascii="仿宋_GB2312" w:hAnsi="仿宋_GB2312" w:eastAsia="仿宋_GB2312" w:cs="仿宋_GB2312"/>
          <w:b/>
          <w:sz w:val="24"/>
          <w:szCs w:val="24"/>
          <w:highlight w:val="none"/>
          <w:lang w:val="en-US" w:eastAsia="zh-CN"/>
        </w:rPr>
        <w:t>防水卷材技术参数要求</w:t>
      </w:r>
    </w:p>
    <w:p w14:paraId="3B334F2C">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采用4mm厚SBS弹性体高聚物改性沥青防水卷材</w:t>
      </w:r>
    </w:p>
    <w:p w14:paraId="4846B25D">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名称：弹性体（SBS）改性沥青防水卷材</w:t>
      </w:r>
    </w:p>
    <w:p w14:paraId="0FA5D695">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厚度：4.0mm（不允许负偏差，+0.1mm）</w:t>
      </w:r>
    </w:p>
    <w:p w14:paraId="1075C812">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幅宽：1000mm（±3mm）</w:t>
      </w:r>
    </w:p>
    <w:p w14:paraId="3760A135">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长度/卷：10m（常用）</w:t>
      </w:r>
    </w:p>
    <w:p w14:paraId="5F267462">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sz w:val="24"/>
          <w:szCs w:val="24"/>
          <w:highlight w:val="none"/>
          <w:lang w:eastAsia="zh-CN"/>
        </w:rPr>
      </w:pPr>
      <w:r>
        <w:rPr>
          <w:rFonts w:hint="eastAsia" w:ascii="仿宋_GB2312" w:hAnsi="仿宋_GB2312" w:eastAsia="仿宋_GB2312" w:cs="仿宋_GB2312"/>
          <w:b w:val="0"/>
          <w:bCs/>
          <w:sz w:val="24"/>
          <w:szCs w:val="24"/>
          <w:highlight w:val="none"/>
        </w:rPr>
        <w:t>胎基：胎基宜采用聚酯长纤毡（PY），玻纤毡、聚酯玻纤复合胎等符合国标GB18242的</w:t>
      </w:r>
      <w:r>
        <w:rPr>
          <w:rFonts w:hint="eastAsia" w:ascii="仿宋_GB2312" w:hAnsi="仿宋_GB2312" w:eastAsia="仿宋_GB2312" w:cs="仿宋_GB2312"/>
          <w:b w:val="0"/>
          <w:bCs/>
          <w:sz w:val="24"/>
          <w:szCs w:val="24"/>
          <w:highlight w:val="none"/>
          <w:lang w:eastAsia="zh-CN"/>
        </w:rPr>
        <w:t>。</w:t>
      </w:r>
    </w:p>
    <w:p w14:paraId="2C9FF2F3">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型号：Ⅱ 型（低温柔性-25℃）</w:t>
      </w:r>
    </w:p>
    <w:p w14:paraId="357FFF2B">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可溶物含量：≥2900 g/m²（4mm关键指标）</w:t>
      </w:r>
    </w:p>
    <w:p w14:paraId="70C0160D">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拉力（纵/横）：≥800 N/50mm</w:t>
      </w:r>
    </w:p>
    <w:p w14:paraId="7C8BAB59">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最大拉力时延伸率：≥40%</w:t>
      </w:r>
    </w:p>
    <w:p w14:paraId="11B28513">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耐热性：105℃，无滑动、流淌、滴落</w:t>
      </w:r>
    </w:p>
    <w:p w14:paraId="5B3CF45E">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低温柔性：-25℃，无裂纹</w:t>
      </w:r>
    </w:p>
    <w:p w14:paraId="31C884EB">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不透水性：0.3MPa，30min，不透水</w:t>
      </w:r>
    </w:p>
    <w:p w14:paraId="2209F193">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撕裂强度：≥350N</w:t>
      </w:r>
    </w:p>
    <w:p w14:paraId="738FB5EA">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sz w:val="24"/>
          <w:szCs w:val="24"/>
          <w:highlight w:val="yellow"/>
          <w:lang w:eastAsia="zh-CN"/>
        </w:rPr>
      </w:pPr>
      <w:r>
        <w:rPr>
          <w:rFonts w:hint="eastAsia" w:ascii="仿宋_GB2312" w:hAnsi="仿宋_GB2312" w:eastAsia="仿宋_GB2312" w:cs="仿宋_GB2312"/>
          <w:b w:val="0"/>
          <w:bCs/>
          <w:sz w:val="24"/>
          <w:szCs w:val="24"/>
          <w:highlight w:val="none"/>
        </w:rPr>
        <w:t>施工方法：施工采用热熔法，可采用燃气喷枪、电加热热熔等合规热熔机具施工</w:t>
      </w:r>
      <w:r>
        <w:rPr>
          <w:rFonts w:hint="eastAsia" w:ascii="仿宋_GB2312" w:hAnsi="仿宋_GB2312" w:eastAsia="仿宋_GB2312" w:cs="仿宋_GB2312"/>
          <w:b w:val="0"/>
          <w:bCs/>
          <w:sz w:val="24"/>
          <w:szCs w:val="24"/>
          <w:highlight w:val="none"/>
          <w:lang w:eastAsia="zh-CN"/>
        </w:rPr>
        <w:t>。</w:t>
      </w:r>
    </w:p>
    <w:p w14:paraId="7A31617A">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环境温度：-10℃～+40℃，基层含水率≤9%</w:t>
      </w:r>
    </w:p>
    <w:p w14:paraId="35908BBD">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sz w:val="24"/>
          <w:szCs w:val="24"/>
          <w:highlight w:val="none"/>
        </w:rPr>
      </w:pPr>
      <w:r>
        <w:rPr>
          <w:rFonts w:hint="eastAsia" w:ascii="仿宋_GB2312" w:hAnsi="仿宋_GB2312" w:eastAsia="仿宋_GB2312" w:cs="仿宋_GB2312"/>
          <w:b w:val="0"/>
          <w:bCs/>
          <w:sz w:val="24"/>
          <w:szCs w:val="24"/>
          <w:highlight w:val="none"/>
        </w:rPr>
        <w:t>搭接宽度：长边≥80mm，短边≥100mm</w:t>
      </w:r>
    </w:p>
    <w:p w14:paraId="6760F50C">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rFonts w:ascii="仿宋_GB2312" w:hAnsi="仿宋_GB2312" w:eastAsia="仿宋_GB2312" w:cs="仿宋_GB2312"/>
          <w:b/>
          <w:sz w:val="24"/>
          <w:szCs w:val="24"/>
          <w:highlight w:val="none"/>
        </w:rPr>
      </w:pPr>
      <w:r>
        <w:rPr>
          <w:rFonts w:hint="eastAsia" w:ascii="仿宋_GB2312" w:hAnsi="仿宋_GB2312" w:eastAsia="仿宋_GB2312" w:cs="仿宋_GB2312"/>
          <w:b w:val="0"/>
          <w:bCs/>
          <w:sz w:val="24"/>
          <w:szCs w:val="24"/>
          <w:highlight w:val="none"/>
        </w:rPr>
        <w:t>层数：双层</w:t>
      </w:r>
    </w:p>
    <w:p w14:paraId="72E619C4">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sz w:val="24"/>
          <w:szCs w:val="24"/>
          <w:highlight w:val="none"/>
        </w:rPr>
      </w:pPr>
      <w:r>
        <w:rPr>
          <w:rFonts w:hint="eastAsia" w:ascii="仿宋_GB2312" w:hAnsi="仿宋_GB2312" w:eastAsia="仿宋_GB2312" w:cs="仿宋_GB2312"/>
          <w:b/>
          <w:sz w:val="24"/>
          <w:szCs w:val="24"/>
          <w:highlight w:val="none"/>
          <w:lang w:val="en-US" w:eastAsia="zh-CN"/>
        </w:rPr>
        <w:t>四、</w:t>
      </w:r>
      <w:r>
        <w:rPr>
          <w:rFonts w:ascii="仿宋_GB2312" w:hAnsi="仿宋_GB2312" w:eastAsia="仿宋_GB2312" w:cs="仿宋_GB2312"/>
          <w:b/>
          <w:sz w:val="24"/>
          <w:szCs w:val="24"/>
          <w:highlight w:val="none"/>
        </w:rPr>
        <w:t>质量保证、服务要求</w:t>
      </w:r>
    </w:p>
    <w:p w14:paraId="2A2BDECE">
      <w:pPr>
        <w:pStyle w:val="4"/>
        <w:keepNext w:val="0"/>
        <w:keepLines w:val="0"/>
        <w:pageBreakBefore w:val="0"/>
        <w:widowControl/>
        <w:kinsoku/>
        <w:wordWrap/>
        <w:overflowPunct/>
        <w:topLinePunct w:val="0"/>
        <w:autoSpaceDE/>
        <w:autoSpaceDN/>
        <w:bidi w:val="0"/>
        <w:adjustRightInd/>
        <w:snapToGrid/>
        <w:spacing w:line="360" w:lineRule="auto"/>
        <w:ind w:firstLine="560"/>
        <w:textAlignment w:val="auto"/>
        <w:rPr>
          <w:sz w:val="24"/>
          <w:szCs w:val="24"/>
          <w:highlight w:val="none"/>
        </w:rPr>
      </w:pPr>
      <w:r>
        <w:rPr>
          <w:rFonts w:ascii="仿宋_GB2312" w:hAnsi="仿宋_GB2312" w:eastAsia="仿宋_GB2312" w:cs="仿宋_GB2312"/>
          <w:sz w:val="24"/>
          <w:szCs w:val="24"/>
          <w:highlight w:val="none"/>
        </w:rPr>
        <w:t>1、工程质量应当达到约定的质量标准，质量标准的评定以国家或行业的质量检验评定标准为依据。因成交供应商原因导致工程质量达不到约定的质量标准，成交供应商承担违约责任。</w:t>
      </w:r>
    </w:p>
    <w:p w14:paraId="23E67E17">
      <w:pPr>
        <w:pStyle w:val="4"/>
        <w:keepNext w:val="0"/>
        <w:keepLines w:val="0"/>
        <w:pageBreakBefore w:val="0"/>
        <w:widowControl/>
        <w:kinsoku/>
        <w:wordWrap/>
        <w:overflowPunct/>
        <w:topLinePunct w:val="0"/>
        <w:autoSpaceDE/>
        <w:autoSpaceDN/>
        <w:bidi w:val="0"/>
        <w:adjustRightInd/>
        <w:snapToGrid/>
        <w:spacing w:line="360" w:lineRule="auto"/>
        <w:ind w:firstLine="560"/>
        <w:textAlignment w:val="auto"/>
        <w:rPr>
          <w:sz w:val="24"/>
          <w:szCs w:val="24"/>
          <w:highlight w:val="none"/>
        </w:rPr>
      </w:pPr>
      <w:r>
        <w:rPr>
          <w:rFonts w:ascii="仿宋_GB2312" w:hAnsi="仿宋_GB2312" w:eastAsia="仿宋_GB2312" w:cs="仿宋_GB2312"/>
          <w:sz w:val="24"/>
          <w:szCs w:val="24"/>
          <w:highlight w:val="none"/>
        </w:rPr>
        <w:t>2、成交供应商在质保期内应无偿负责所承包工程的维修和替换等工作。超出质保期收取人工及材料成本费用。</w:t>
      </w:r>
    </w:p>
    <w:p w14:paraId="3C7B2AAC">
      <w:pPr>
        <w:pStyle w:val="4"/>
        <w:keepNext w:val="0"/>
        <w:keepLines w:val="0"/>
        <w:pageBreakBefore w:val="0"/>
        <w:widowControl/>
        <w:kinsoku/>
        <w:wordWrap/>
        <w:overflowPunct/>
        <w:topLinePunct w:val="0"/>
        <w:autoSpaceDE/>
        <w:autoSpaceDN/>
        <w:bidi w:val="0"/>
        <w:adjustRightInd/>
        <w:snapToGrid/>
        <w:spacing w:line="360" w:lineRule="auto"/>
        <w:ind w:firstLine="560"/>
        <w:textAlignment w:val="auto"/>
        <w:rPr>
          <w:sz w:val="24"/>
          <w:szCs w:val="24"/>
          <w:highlight w:val="none"/>
        </w:rPr>
      </w:pPr>
      <w:r>
        <w:rPr>
          <w:rFonts w:ascii="仿宋_GB2312" w:hAnsi="仿宋_GB2312" w:eastAsia="仿宋_GB2312" w:cs="仿宋_GB2312"/>
          <w:sz w:val="24"/>
          <w:szCs w:val="24"/>
          <w:highlight w:val="none"/>
        </w:rPr>
        <w:t>3、服务响应时限：7*24小时服务，提供售后服务电话（应具有：固定电话、移动电话、传真）。</w:t>
      </w:r>
    </w:p>
    <w:p w14:paraId="08E7BFF6">
      <w:pPr>
        <w:pStyle w:val="4"/>
        <w:keepNext w:val="0"/>
        <w:keepLines w:val="0"/>
        <w:pageBreakBefore w:val="0"/>
        <w:widowControl/>
        <w:kinsoku/>
        <w:wordWrap/>
        <w:overflowPunct/>
        <w:topLinePunct w:val="0"/>
        <w:autoSpaceDE/>
        <w:autoSpaceDN/>
        <w:bidi w:val="0"/>
        <w:adjustRightInd/>
        <w:snapToGrid/>
        <w:spacing w:line="360" w:lineRule="auto"/>
        <w:ind w:firstLine="560"/>
        <w:textAlignment w:val="auto"/>
        <w:rPr>
          <w:sz w:val="24"/>
          <w:szCs w:val="24"/>
          <w:highlight w:val="none"/>
        </w:rPr>
      </w:pPr>
      <w:r>
        <w:rPr>
          <w:rFonts w:ascii="仿宋_GB2312" w:hAnsi="仿宋_GB2312" w:eastAsia="仿宋_GB2312" w:cs="仿宋_GB2312"/>
          <w:sz w:val="24"/>
          <w:szCs w:val="24"/>
          <w:highlight w:val="none"/>
        </w:rPr>
        <w:t>4、维修工作时间不大于24小时，更换工作时间不大于72小时。</w:t>
      </w:r>
    </w:p>
    <w:p w14:paraId="1039B246">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sz w:val="24"/>
          <w:szCs w:val="24"/>
          <w:highlight w:val="none"/>
        </w:rPr>
      </w:pPr>
      <w:r>
        <w:rPr>
          <w:rFonts w:hint="eastAsia" w:ascii="仿宋_GB2312" w:hAnsi="仿宋_GB2312" w:eastAsia="仿宋_GB2312" w:cs="仿宋_GB2312"/>
          <w:b/>
          <w:sz w:val="24"/>
          <w:szCs w:val="24"/>
          <w:highlight w:val="none"/>
          <w:lang w:val="en-US" w:eastAsia="zh-CN"/>
        </w:rPr>
        <w:t>五</w:t>
      </w:r>
      <w:r>
        <w:rPr>
          <w:rFonts w:ascii="仿宋_GB2312" w:hAnsi="仿宋_GB2312" w:eastAsia="仿宋_GB2312" w:cs="仿宋_GB2312"/>
          <w:b/>
          <w:sz w:val="24"/>
          <w:szCs w:val="24"/>
          <w:highlight w:val="none"/>
        </w:rPr>
        <w:t>、职责要求</w:t>
      </w:r>
      <w:bookmarkStart w:id="0" w:name="_GoBack"/>
      <w:bookmarkEnd w:id="0"/>
    </w:p>
    <w:p w14:paraId="3BC80F7B">
      <w:pPr>
        <w:pStyle w:val="4"/>
        <w:keepNext w:val="0"/>
        <w:keepLines w:val="0"/>
        <w:pageBreakBefore w:val="0"/>
        <w:widowControl/>
        <w:kinsoku/>
        <w:wordWrap/>
        <w:overflowPunct/>
        <w:topLinePunct w:val="0"/>
        <w:autoSpaceDE/>
        <w:autoSpaceDN/>
        <w:bidi w:val="0"/>
        <w:adjustRightInd/>
        <w:snapToGrid/>
        <w:spacing w:line="360" w:lineRule="auto"/>
        <w:ind w:firstLine="560"/>
        <w:textAlignment w:val="auto"/>
        <w:rPr>
          <w:sz w:val="24"/>
          <w:szCs w:val="24"/>
          <w:highlight w:val="none"/>
        </w:rPr>
      </w:pPr>
      <w:r>
        <w:rPr>
          <w:rFonts w:ascii="仿宋_GB2312" w:hAnsi="仿宋_GB2312" w:eastAsia="仿宋_GB2312" w:cs="仿宋_GB2312"/>
          <w:sz w:val="24"/>
          <w:szCs w:val="24"/>
          <w:highlight w:val="none"/>
        </w:rPr>
        <w:t>1、成交供应商全权负责现场的施工安全、保卫、夜间照明、围栏设施及场内外接口交通疏导，按照施工现场临时用电安全技术规范和现场供用电安全规范组织施工，搞好施工现场管理，如未尽到安全、管理责任，采购人可对该违约行为进行处罚。</w:t>
      </w:r>
    </w:p>
    <w:p w14:paraId="274A7A15">
      <w:pPr>
        <w:pStyle w:val="4"/>
        <w:keepNext w:val="0"/>
        <w:keepLines w:val="0"/>
        <w:pageBreakBefore w:val="0"/>
        <w:widowControl/>
        <w:kinsoku/>
        <w:wordWrap/>
        <w:overflowPunct/>
        <w:topLinePunct w:val="0"/>
        <w:autoSpaceDE/>
        <w:autoSpaceDN/>
        <w:bidi w:val="0"/>
        <w:adjustRightInd/>
        <w:snapToGrid/>
        <w:spacing w:line="360" w:lineRule="auto"/>
        <w:ind w:firstLine="560"/>
        <w:textAlignment w:val="auto"/>
        <w:rPr>
          <w:sz w:val="24"/>
          <w:szCs w:val="24"/>
          <w:highlight w:val="none"/>
        </w:rPr>
      </w:pPr>
      <w:r>
        <w:rPr>
          <w:rFonts w:ascii="仿宋_GB2312" w:hAnsi="仿宋_GB2312" w:eastAsia="仿宋_GB2312" w:cs="仿宋_GB2312"/>
          <w:sz w:val="24"/>
          <w:szCs w:val="24"/>
          <w:highlight w:val="none"/>
        </w:rPr>
        <w:t>2、开工后2日内提交经修改后的施工组织设计和施工总进度计划。</w:t>
      </w:r>
    </w:p>
    <w:p w14:paraId="4BB1C1FC">
      <w:pPr>
        <w:pStyle w:val="4"/>
        <w:keepNext w:val="0"/>
        <w:keepLines w:val="0"/>
        <w:pageBreakBefore w:val="0"/>
        <w:widowControl/>
        <w:kinsoku/>
        <w:wordWrap/>
        <w:overflowPunct/>
        <w:topLinePunct w:val="0"/>
        <w:autoSpaceDE/>
        <w:autoSpaceDN/>
        <w:bidi w:val="0"/>
        <w:adjustRightInd/>
        <w:snapToGrid/>
        <w:spacing w:line="360" w:lineRule="auto"/>
        <w:ind w:firstLine="562"/>
        <w:textAlignment w:val="auto"/>
        <w:rPr>
          <w:sz w:val="24"/>
          <w:szCs w:val="24"/>
          <w:highlight w:val="none"/>
        </w:rPr>
      </w:pPr>
      <w:r>
        <w:rPr>
          <w:rFonts w:hint="eastAsia" w:ascii="仿宋_GB2312" w:hAnsi="仿宋_GB2312" w:eastAsia="仿宋_GB2312" w:cs="仿宋_GB2312"/>
          <w:b/>
          <w:sz w:val="24"/>
          <w:szCs w:val="24"/>
          <w:highlight w:val="none"/>
          <w:lang w:val="en-US" w:eastAsia="zh-CN"/>
        </w:rPr>
        <w:t>六</w:t>
      </w:r>
      <w:r>
        <w:rPr>
          <w:rFonts w:ascii="仿宋_GB2312" w:hAnsi="仿宋_GB2312" w:eastAsia="仿宋_GB2312" w:cs="仿宋_GB2312"/>
          <w:b/>
          <w:sz w:val="24"/>
          <w:szCs w:val="24"/>
          <w:highlight w:val="none"/>
        </w:rPr>
        <w:t>、技术要求</w:t>
      </w:r>
    </w:p>
    <w:p w14:paraId="6373E2CB">
      <w:pPr>
        <w:pStyle w:val="4"/>
        <w:keepNext w:val="0"/>
        <w:keepLines w:val="0"/>
        <w:pageBreakBefore w:val="0"/>
        <w:widowControl/>
        <w:kinsoku/>
        <w:wordWrap/>
        <w:overflowPunct/>
        <w:topLinePunct w:val="0"/>
        <w:autoSpaceDE/>
        <w:autoSpaceDN/>
        <w:bidi w:val="0"/>
        <w:adjustRightInd/>
        <w:snapToGrid/>
        <w:spacing w:line="360" w:lineRule="auto"/>
        <w:ind w:firstLine="560"/>
        <w:textAlignment w:val="auto"/>
        <w:rPr>
          <w:rFonts w:hint="eastAsia" w:ascii="仿宋_GB2312" w:hAnsi="仿宋_GB2312" w:eastAsia="仿宋_GB2312" w:cs="仿宋_GB2312"/>
          <w:sz w:val="24"/>
          <w:szCs w:val="24"/>
          <w:highlight w:val="none"/>
        </w:rPr>
      </w:pPr>
      <w:r>
        <w:rPr>
          <w:rFonts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rPr>
        <w:t>技术要求：两遍屋面防水卷材4mm厚SBS（耐穿刺）</w:t>
      </w:r>
    </w:p>
    <w:p w14:paraId="1391E5EB">
      <w:pPr>
        <w:pStyle w:val="4"/>
        <w:keepNext w:val="0"/>
        <w:keepLines w:val="0"/>
        <w:pageBreakBefore w:val="0"/>
        <w:widowControl/>
        <w:kinsoku/>
        <w:wordWrap/>
        <w:overflowPunct/>
        <w:topLinePunct w:val="0"/>
        <w:autoSpaceDE/>
        <w:autoSpaceDN/>
        <w:bidi w:val="0"/>
        <w:adjustRightInd/>
        <w:snapToGrid/>
        <w:spacing w:line="360" w:lineRule="auto"/>
        <w:ind w:firstLine="56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2、其他要求：外露防水卷材必须带砂保护层</w:t>
      </w:r>
    </w:p>
    <w:p w14:paraId="6C8D2F3A">
      <w:pPr>
        <w:pStyle w:val="4"/>
        <w:keepNext w:val="0"/>
        <w:keepLines w:val="0"/>
        <w:pageBreakBefore w:val="0"/>
        <w:widowControl/>
        <w:kinsoku/>
        <w:wordWrap/>
        <w:overflowPunct/>
        <w:topLinePunct w:val="0"/>
        <w:autoSpaceDE/>
        <w:autoSpaceDN/>
        <w:bidi w:val="0"/>
        <w:adjustRightInd/>
        <w:snapToGrid/>
        <w:spacing w:line="360" w:lineRule="auto"/>
        <w:ind w:firstLine="560"/>
        <w:textAlignment w:val="auto"/>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3、</w:t>
      </w:r>
      <w:r>
        <w:rPr>
          <w:rFonts w:ascii="仿宋_GB2312" w:hAnsi="仿宋_GB2312" w:eastAsia="仿宋_GB2312" w:cs="仿宋_GB2312"/>
          <w:sz w:val="24"/>
          <w:szCs w:val="24"/>
          <w:highlight w:val="none"/>
        </w:rPr>
        <w:t>成交供应商应根据本工程招标范围及要求规范施工，制定工期计划，确保按期完成施工工作。</w:t>
      </w:r>
    </w:p>
    <w:p w14:paraId="05751A82">
      <w:pPr>
        <w:pStyle w:val="4"/>
        <w:keepNext w:val="0"/>
        <w:keepLines w:val="0"/>
        <w:pageBreakBefore w:val="0"/>
        <w:widowControl/>
        <w:kinsoku/>
        <w:wordWrap/>
        <w:overflowPunct/>
        <w:topLinePunct w:val="0"/>
        <w:autoSpaceDE/>
        <w:autoSpaceDN/>
        <w:bidi w:val="0"/>
        <w:adjustRightInd/>
        <w:snapToGrid/>
        <w:spacing w:line="360" w:lineRule="auto"/>
        <w:ind w:firstLine="560"/>
        <w:textAlignment w:val="auto"/>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4</w:t>
      </w:r>
      <w:r>
        <w:rPr>
          <w:rFonts w:ascii="仿宋_GB2312" w:hAnsi="仿宋_GB2312" w:eastAsia="仿宋_GB2312" w:cs="仿宋_GB2312"/>
          <w:sz w:val="24"/>
          <w:szCs w:val="24"/>
          <w:highlight w:val="none"/>
        </w:rPr>
        <w:t>、供应的材料均须达到国家环保、节能有关规范和标准的要求，一切用于本工程的材料、设备必须符合合同规定的品种、规格、质量要求。</w:t>
      </w:r>
    </w:p>
    <w:p w14:paraId="312538C2">
      <w:pPr>
        <w:pStyle w:val="4"/>
        <w:keepNext w:val="0"/>
        <w:keepLines w:val="0"/>
        <w:pageBreakBefore w:val="0"/>
        <w:widowControl/>
        <w:kinsoku/>
        <w:wordWrap/>
        <w:overflowPunct/>
        <w:topLinePunct w:val="0"/>
        <w:autoSpaceDE/>
        <w:autoSpaceDN/>
        <w:bidi w:val="0"/>
        <w:adjustRightInd/>
        <w:snapToGrid/>
        <w:spacing w:line="360" w:lineRule="auto"/>
        <w:ind w:firstLine="560"/>
        <w:textAlignment w:val="auto"/>
        <w:rPr>
          <w:rFonts w:hint="default" w:eastAsiaTheme="minorEastAsia"/>
          <w:lang w:val="en-US" w:eastAsia="zh-CN"/>
        </w:rPr>
      </w:pPr>
      <w:r>
        <w:rPr>
          <w:rFonts w:hint="eastAsia" w:ascii="仿宋_GB2312" w:hAnsi="仿宋_GB2312" w:eastAsia="仿宋_GB2312" w:cs="仿宋_GB2312"/>
          <w:sz w:val="24"/>
          <w:szCs w:val="24"/>
          <w:highlight w:val="none"/>
          <w:lang w:val="en-US" w:eastAsia="zh-CN"/>
        </w:rPr>
        <w:t>5</w:t>
      </w:r>
      <w:r>
        <w:rPr>
          <w:rFonts w:ascii="仿宋_GB2312" w:hAnsi="仿宋_GB2312" w:eastAsia="仿宋_GB2312" w:cs="仿宋_GB2312"/>
          <w:sz w:val="24"/>
          <w:szCs w:val="24"/>
          <w:highlight w:val="none"/>
        </w:rPr>
        <w:t>、验收要求：工程施工完成，成交供应商进行自检验收，出现的问题限期整改。自检最终通过后，成交供应商提出最终验收申请，采购人组织相关人员进行最终验收。验收标准：执行国家、省或行业现行的工程建设质量验收标准及规范，须达到合格标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582A9F"/>
    <w:rsid w:val="46582A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2026-07-27T08:30:00Z</dcterms:created>
  <dc:creator>陕西华采招标有限公司</dc:creator>
  <cp:lastModifiedBy>陕西华采招标有限公司</cp:lastModifiedBy>
  <dcterms:modified xsi:type="dcterms:W3CDTF">2026-07-27T08:31:25Z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247F4A81821648729BF1E25BF0DF5B85_11</vt:lpwstr>
  </property>
  <property fmtid="{D5CDD505-2E9C-101B-9397-08002B2CF9AE}" pid="4" name="KSOTemplateDocerSaveRecord">
    <vt:lpwstr>eyJoZGlkIjoiZWMxNWU5MTM1NDJhMzM3NzZlNjAyMmRiMjcyMmY4OWYiLCJ1c2VySWQiOiI5MzY1NjA0ODAifQ==</vt:lpwstr>
  </property>
</Properties>
</file>