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371400">
      <w:pPr>
        <w:shd w:val="clear" w:color="auto" w:fill="auto"/>
        <w:ind w:firstLine="560"/>
        <w:rPr>
          <w:rFonts w:hint="eastAsia" w:ascii="宋体" w:hAnsi="宋体" w:cs="宋体"/>
          <w:color w:val="808080"/>
          <w:sz w:val="28"/>
          <w:szCs w:val="28"/>
          <w:highlight w:val="none"/>
        </w:rPr>
      </w:pPr>
    </w:p>
    <w:p w14:paraId="364FCDCF">
      <w:pPr>
        <w:shd w:val="clear" w:color="auto" w:fill="auto"/>
        <w:ind w:firstLine="0" w:firstLineChars="0"/>
        <w:outlineLvl w:val="0"/>
        <w:rPr>
          <w:rFonts w:hint="eastAsia" w:ascii="宋体" w:hAnsi="宋体" w:eastAsia="宋体" w:cs="宋体"/>
          <w:b/>
          <w:sz w:val="28"/>
          <w:szCs w:val="28"/>
          <w:highlight w:val="none"/>
          <w:lang w:eastAsia="zh-CN"/>
        </w:rPr>
      </w:pPr>
      <w:bookmarkStart w:id="0" w:name="_Toc27406"/>
      <w:r>
        <w:rPr>
          <w:rFonts w:hint="eastAsia" w:ascii="宋体" w:hAnsi="宋体" w:cs="宋体"/>
          <w:b/>
          <w:sz w:val="28"/>
          <w:szCs w:val="28"/>
          <w:highlight w:val="none"/>
        </w:rPr>
        <w:t>项目编号：</w:t>
      </w:r>
      <w:bookmarkEnd w:id="0"/>
      <w:r>
        <w:rPr>
          <w:rFonts w:hint="eastAsia" w:ascii="宋体" w:hAnsi="宋体" w:cs="宋体"/>
          <w:b/>
          <w:sz w:val="28"/>
          <w:szCs w:val="28"/>
          <w:highlight w:val="none"/>
          <w:lang w:eastAsia="zh-CN"/>
        </w:rPr>
        <w:t>TWZB2026-116</w:t>
      </w:r>
    </w:p>
    <w:p w14:paraId="7517744A">
      <w:pPr>
        <w:shd w:val="clear" w:color="auto" w:fill="auto"/>
        <w:tabs>
          <w:tab w:val="left" w:pos="5920"/>
        </w:tabs>
        <w:autoSpaceDE w:val="0"/>
        <w:autoSpaceDN w:val="0"/>
        <w:adjustRightInd w:val="0"/>
        <w:snapToGrid w:val="0"/>
        <w:ind w:firstLine="562"/>
        <w:jc w:val="left"/>
        <w:rPr>
          <w:rFonts w:hint="eastAsia" w:ascii="宋体" w:hAnsi="宋体" w:cs="宋体"/>
          <w:b/>
          <w:bCs/>
          <w:sz w:val="28"/>
          <w:szCs w:val="28"/>
          <w:highlight w:val="none"/>
          <w:lang w:val="zh-CN"/>
        </w:rPr>
      </w:pPr>
      <w:r>
        <w:rPr>
          <w:rFonts w:hint="eastAsia" w:ascii="宋体" w:hAnsi="宋体" w:cs="宋体"/>
          <w:b/>
          <w:bCs/>
          <w:sz w:val="28"/>
          <w:szCs w:val="28"/>
          <w:highlight w:val="none"/>
          <w:lang w:val="zh-CN"/>
        </w:rPr>
        <w:tab/>
      </w:r>
    </w:p>
    <w:p w14:paraId="5195F098">
      <w:pPr>
        <w:shd w:val="clear" w:color="auto" w:fill="auto"/>
        <w:tabs>
          <w:tab w:val="left" w:pos="5920"/>
        </w:tabs>
        <w:autoSpaceDE w:val="0"/>
        <w:autoSpaceDN w:val="0"/>
        <w:adjustRightInd w:val="0"/>
        <w:snapToGrid w:val="0"/>
        <w:ind w:firstLine="0" w:firstLineChars="0"/>
        <w:jc w:val="left"/>
        <w:rPr>
          <w:rFonts w:hint="eastAsia" w:ascii="宋体" w:hAnsi="宋体" w:cs="宋体"/>
          <w:b/>
          <w:bCs/>
          <w:sz w:val="28"/>
          <w:szCs w:val="28"/>
          <w:highlight w:val="none"/>
          <w:lang w:val="zh-CN"/>
        </w:rPr>
      </w:pPr>
    </w:p>
    <w:p w14:paraId="53627BC5">
      <w:pPr>
        <w:shd w:val="clear" w:color="auto" w:fill="auto"/>
        <w:ind w:firstLine="0" w:firstLineChars="0"/>
        <w:jc w:val="center"/>
        <w:rPr>
          <w:rFonts w:hint="eastAsia" w:ascii="宋体" w:hAnsi="宋体" w:cs="宋体"/>
          <w:b/>
          <w:sz w:val="44"/>
          <w:szCs w:val="44"/>
          <w:highlight w:val="none"/>
        </w:rPr>
      </w:pPr>
      <w:r>
        <w:rPr>
          <w:rFonts w:hint="eastAsia" w:ascii="宋体" w:hAnsi="宋体" w:cs="宋体"/>
          <w:b/>
          <w:bCs/>
          <w:sz w:val="44"/>
          <w:szCs w:val="44"/>
          <w:highlight w:val="none"/>
          <w:lang w:val="zh-CN"/>
        </w:rPr>
        <w:t>扶风县农村义务教育学生营养改善计划学校食堂食材采购</w:t>
      </w:r>
      <w:r>
        <w:rPr>
          <w:rFonts w:hint="eastAsia" w:ascii="宋体" w:hAnsi="宋体" w:cs="宋体"/>
          <w:b/>
          <w:sz w:val="44"/>
          <w:szCs w:val="44"/>
          <w:highlight w:val="none"/>
        </w:rPr>
        <w:t xml:space="preserve">   </w:t>
      </w:r>
    </w:p>
    <w:p w14:paraId="1CCF04E2">
      <w:pPr>
        <w:shd w:val="clear" w:color="auto" w:fill="auto"/>
        <w:ind w:firstLine="0" w:firstLineChars="0"/>
        <w:rPr>
          <w:rFonts w:hint="eastAsia" w:ascii="宋体" w:hAnsi="宋体" w:cs="宋体"/>
          <w:b/>
          <w:sz w:val="28"/>
          <w:szCs w:val="28"/>
          <w:highlight w:val="none"/>
        </w:rPr>
      </w:pPr>
      <w:r>
        <w:rPr>
          <w:rFonts w:hint="eastAsia" w:ascii="宋体" w:hAnsi="宋体" w:cs="宋体"/>
          <w:b/>
          <w:sz w:val="44"/>
          <w:szCs w:val="44"/>
          <w:highlight w:val="none"/>
        </w:rPr>
        <w:t xml:space="preserve"> </w:t>
      </w:r>
      <w:r>
        <w:rPr>
          <w:rFonts w:hint="eastAsia" w:ascii="宋体" w:hAnsi="宋体" w:cs="宋体"/>
          <w:b/>
          <w:sz w:val="28"/>
          <w:szCs w:val="28"/>
          <w:highlight w:val="none"/>
        </w:rPr>
        <w:t xml:space="preserve">        </w:t>
      </w:r>
    </w:p>
    <w:p w14:paraId="2C8BFA10">
      <w:pPr>
        <w:shd w:val="clear" w:color="auto" w:fill="auto"/>
        <w:ind w:firstLine="0" w:firstLineChars="0"/>
        <w:jc w:val="center"/>
        <w:rPr>
          <w:rFonts w:hint="eastAsia" w:ascii="宋体" w:hAnsi="宋体" w:cs="宋体"/>
          <w:b/>
          <w:sz w:val="28"/>
          <w:szCs w:val="28"/>
          <w:highlight w:val="none"/>
        </w:rPr>
      </w:pPr>
    </w:p>
    <w:p w14:paraId="5EF1E017">
      <w:pPr>
        <w:shd w:val="clear" w:color="auto" w:fill="auto"/>
        <w:ind w:firstLine="0" w:firstLineChars="0"/>
        <w:jc w:val="center"/>
        <w:rPr>
          <w:rFonts w:hint="eastAsia" w:ascii="宋体" w:hAnsi="宋体" w:cs="宋体"/>
          <w:b/>
          <w:bCs/>
          <w:sz w:val="28"/>
          <w:szCs w:val="28"/>
          <w:highlight w:val="none"/>
          <w:vertAlign w:val="baseline"/>
        </w:rPr>
      </w:pPr>
      <w:r>
        <w:rPr>
          <w:rFonts w:hint="eastAsia" w:ascii="宋体" w:hAnsi="宋体" w:cs="宋体"/>
          <w:b/>
          <w:sz w:val="28"/>
          <w:szCs w:val="28"/>
          <w:highlight w:val="none"/>
        </w:rPr>
        <w:t xml:space="preserve">    </w:t>
      </w:r>
    </w:p>
    <w:p w14:paraId="0424710C">
      <w:pPr>
        <w:shd w:val="clear" w:color="auto" w:fill="auto"/>
        <w:ind w:firstLine="0" w:firstLineChars="0"/>
        <w:jc w:val="center"/>
        <w:rPr>
          <w:rFonts w:hint="eastAsia" w:ascii="宋体" w:hAnsi="宋体" w:cs="宋体"/>
          <w:b/>
          <w:sz w:val="72"/>
          <w:szCs w:val="72"/>
          <w:highlight w:val="none"/>
        </w:rPr>
      </w:pPr>
    </w:p>
    <w:p w14:paraId="6DA6AD60">
      <w:pPr>
        <w:shd w:val="clear" w:color="auto" w:fill="auto"/>
        <w:ind w:firstLine="0" w:firstLineChars="0"/>
        <w:jc w:val="center"/>
        <w:rPr>
          <w:rFonts w:hint="eastAsia" w:ascii="宋体" w:hAnsi="宋体" w:cs="宋体"/>
          <w:b/>
          <w:sz w:val="72"/>
          <w:szCs w:val="72"/>
          <w:highlight w:val="none"/>
        </w:rPr>
      </w:pPr>
      <w:r>
        <w:rPr>
          <w:rFonts w:hint="eastAsia" w:ascii="宋体" w:hAnsi="宋体" w:cs="宋体"/>
          <w:b/>
          <w:sz w:val="72"/>
          <w:szCs w:val="72"/>
          <w:highlight w:val="none"/>
        </w:rPr>
        <w:t>招 标 文 件</w:t>
      </w:r>
    </w:p>
    <w:p w14:paraId="3B0C3C42">
      <w:pPr>
        <w:shd w:val="clear" w:color="auto" w:fill="auto"/>
        <w:tabs>
          <w:tab w:val="left" w:pos="5670"/>
        </w:tabs>
        <w:autoSpaceDE w:val="0"/>
        <w:autoSpaceDN w:val="0"/>
        <w:adjustRightInd w:val="0"/>
        <w:snapToGrid w:val="0"/>
        <w:ind w:firstLine="0" w:firstLineChars="0"/>
        <w:rPr>
          <w:rFonts w:hint="eastAsia" w:ascii="宋体" w:hAnsi="宋体" w:cs="宋体"/>
          <w:b/>
          <w:bCs/>
          <w:sz w:val="28"/>
          <w:szCs w:val="28"/>
          <w:highlight w:val="none"/>
        </w:rPr>
      </w:pPr>
    </w:p>
    <w:p w14:paraId="026F460C">
      <w:pPr>
        <w:shd w:val="clear" w:color="auto" w:fill="auto"/>
        <w:tabs>
          <w:tab w:val="left" w:pos="5670"/>
        </w:tabs>
        <w:autoSpaceDE w:val="0"/>
        <w:autoSpaceDN w:val="0"/>
        <w:adjustRightInd w:val="0"/>
        <w:snapToGrid w:val="0"/>
        <w:ind w:firstLine="562"/>
        <w:rPr>
          <w:rFonts w:hint="eastAsia" w:ascii="宋体" w:hAnsi="宋体" w:cs="宋体"/>
          <w:b/>
          <w:bCs/>
          <w:sz w:val="28"/>
          <w:szCs w:val="28"/>
          <w:highlight w:val="none"/>
        </w:rPr>
      </w:pPr>
    </w:p>
    <w:p w14:paraId="3252DA56">
      <w:pPr>
        <w:shd w:val="clear" w:color="auto" w:fill="auto"/>
        <w:tabs>
          <w:tab w:val="left" w:pos="5670"/>
        </w:tabs>
        <w:autoSpaceDE w:val="0"/>
        <w:autoSpaceDN w:val="0"/>
        <w:adjustRightInd w:val="0"/>
        <w:snapToGrid w:val="0"/>
        <w:ind w:firstLine="562"/>
        <w:rPr>
          <w:rFonts w:hint="eastAsia" w:ascii="宋体" w:hAnsi="宋体" w:cs="宋体"/>
          <w:b/>
          <w:bCs/>
          <w:sz w:val="28"/>
          <w:szCs w:val="28"/>
          <w:highlight w:val="none"/>
        </w:rPr>
      </w:pPr>
    </w:p>
    <w:p w14:paraId="005251FF">
      <w:pPr>
        <w:shd w:val="clear" w:color="auto" w:fill="auto"/>
        <w:tabs>
          <w:tab w:val="left" w:pos="5670"/>
        </w:tabs>
        <w:autoSpaceDE w:val="0"/>
        <w:autoSpaceDN w:val="0"/>
        <w:adjustRightInd w:val="0"/>
        <w:snapToGrid w:val="0"/>
        <w:ind w:firstLine="562"/>
        <w:rPr>
          <w:rFonts w:hint="eastAsia" w:ascii="宋体" w:hAnsi="宋体" w:cs="宋体"/>
          <w:b/>
          <w:bCs/>
          <w:sz w:val="28"/>
          <w:szCs w:val="28"/>
          <w:highlight w:val="none"/>
        </w:rPr>
      </w:pPr>
    </w:p>
    <w:p w14:paraId="024D1E53">
      <w:pPr>
        <w:shd w:val="clear" w:color="auto" w:fill="auto"/>
        <w:tabs>
          <w:tab w:val="left" w:pos="5670"/>
        </w:tabs>
        <w:autoSpaceDE w:val="0"/>
        <w:autoSpaceDN w:val="0"/>
        <w:adjustRightInd w:val="0"/>
        <w:snapToGrid w:val="0"/>
        <w:ind w:firstLine="562"/>
        <w:rPr>
          <w:rFonts w:hint="eastAsia" w:ascii="宋体" w:hAnsi="宋体" w:cs="宋体"/>
          <w:b/>
          <w:bCs/>
          <w:sz w:val="28"/>
          <w:szCs w:val="28"/>
          <w:highlight w:val="none"/>
        </w:rPr>
      </w:pPr>
    </w:p>
    <w:p w14:paraId="41A6333D">
      <w:pPr>
        <w:shd w:val="clear" w:color="auto" w:fill="auto"/>
        <w:ind w:firstLine="562"/>
        <w:outlineLvl w:val="0"/>
        <w:rPr>
          <w:rFonts w:hint="eastAsia" w:ascii="宋体" w:hAnsi="宋体" w:eastAsia="宋体" w:cs="宋体"/>
          <w:b/>
          <w:sz w:val="32"/>
          <w:szCs w:val="32"/>
          <w:highlight w:val="none"/>
          <w:lang w:eastAsia="zh-CN"/>
        </w:rPr>
      </w:pPr>
      <w:r>
        <w:rPr>
          <w:rFonts w:hint="eastAsia" w:ascii="宋体" w:hAnsi="宋体" w:cs="宋体"/>
          <w:b/>
          <w:sz w:val="28"/>
          <w:szCs w:val="28"/>
          <w:highlight w:val="none"/>
        </w:rPr>
        <w:t xml:space="preserve">    </w:t>
      </w:r>
      <w:r>
        <w:rPr>
          <w:rFonts w:hint="eastAsia" w:ascii="宋体" w:hAnsi="宋体" w:cs="宋体"/>
          <w:b/>
          <w:sz w:val="32"/>
          <w:szCs w:val="32"/>
          <w:highlight w:val="none"/>
        </w:rPr>
        <w:t xml:space="preserve"> </w:t>
      </w:r>
      <w:bookmarkStart w:id="1" w:name="_Toc17123"/>
      <w:r>
        <w:rPr>
          <w:rFonts w:hint="eastAsia" w:ascii="宋体" w:hAnsi="宋体" w:cs="宋体"/>
          <w:b/>
          <w:sz w:val="32"/>
          <w:szCs w:val="32"/>
          <w:highlight w:val="none"/>
        </w:rPr>
        <w:t>采   购   人：</w:t>
      </w:r>
      <w:bookmarkEnd w:id="1"/>
      <w:r>
        <w:rPr>
          <w:rFonts w:hint="eastAsia" w:ascii="宋体" w:hAnsi="宋体" w:cs="宋体"/>
          <w:b/>
          <w:sz w:val="32"/>
          <w:szCs w:val="32"/>
          <w:highlight w:val="none"/>
          <w:lang w:eastAsia="zh-CN"/>
        </w:rPr>
        <w:t>扶风县教育体育局</w:t>
      </w:r>
    </w:p>
    <w:p w14:paraId="5A6BF48E">
      <w:pPr>
        <w:shd w:val="clear" w:color="auto" w:fill="auto"/>
        <w:ind w:firstLine="1285" w:firstLineChars="400"/>
        <w:rPr>
          <w:rFonts w:hint="eastAsia" w:ascii="宋体" w:hAnsi="宋体" w:cs="宋体"/>
          <w:b/>
          <w:sz w:val="32"/>
          <w:szCs w:val="32"/>
          <w:highlight w:val="none"/>
        </w:rPr>
      </w:pPr>
      <w:r>
        <w:rPr>
          <w:rFonts w:hint="eastAsia" w:ascii="宋体" w:hAnsi="宋体" w:cs="宋体"/>
          <w:b/>
          <w:sz w:val="32"/>
          <w:szCs w:val="32"/>
          <w:highlight w:val="none"/>
        </w:rPr>
        <w:t>采购代理机构：</w:t>
      </w:r>
      <w:r>
        <w:rPr>
          <w:rFonts w:hint="eastAsia" w:ascii="宋体" w:hAnsi="宋体" w:cs="宋体"/>
          <w:b/>
          <w:sz w:val="32"/>
          <w:szCs w:val="32"/>
          <w:highlight w:val="none"/>
          <w:lang w:eastAsia="zh-CN"/>
        </w:rPr>
        <w:t>陕西天沃工程项目管理有限公司</w:t>
      </w:r>
      <w:r>
        <w:rPr>
          <w:rFonts w:hint="eastAsia" w:ascii="宋体" w:hAnsi="宋体" w:cs="宋体"/>
          <w:b/>
          <w:sz w:val="32"/>
          <w:szCs w:val="32"/>
          <w:highlight w:val="none"/>
        </w:rPr>
        <w:t xml:space="preserve">                          </w:t>
      </w:r>
    </w:p>
    <w:p w14:paraId="68503434">
      <w:pPr>
        <w:shd w:val="clear" w:color="auto" w:fill="auto"/>
        <w:autoSpaceDE w:val="0"/>
        <w:autoSpaceDN w:val="0"/>
        <w:adjustRightInd w:val="0"/>
        <w:snapToGrid w:val="0"/>
        <w:ind w:firstLine="643"/>
        <w:jc w:val="center"/>
        <w:rPr>
          <w:rFonts w:hint="eastAsia" w:ascii="宋体" w:hAnsi="宋体" w:cs="宋体"/>
          <w:b/>
          <w:sz w:val="32"/>
          <w:szCs w:val="32"/>
          <w:highlight w:val="none"/>
        </w:rPr>
        <w:sectPr>
          <w:headerReference r:id="rId5" w:type="default"/>
          <w:pgSz w:w="11907" w:h="16840"/>
          <w:pgMar w:top="1440" w:right="1080" w:bottom="1440" w:left="1080" w:header="851" w:footer="992" w:gutter="0"/>
          <w:cols w:space="720" w:num="1"/>
          <w:docGrid w:linePitch="312" w:charSpace="0"/>
        </w:sectPr>
      </w:pPr>
      <w:r>
        <w:rPr>
          <w:rFonts w:hint="eastAsia" w:ascii="宋体" w:hAnsi="宋体" w:cs="宋体"/>
          <w:b/>
          <w:sz w:val="32"/>
          <w:szCs w:val="32"/>
          <w:highlight w:val="none"/>
        </w:rPr>
        <w:t>二〇二</w:t>
      </w:r>
      <w:r>
        <w:rPr>
          <w:rFonts w:hint="eastAsia" w:ascii="宋体" w:hAnsi="宋体" w:cs="宋体"/>
          <w:b/>
          <w:sz w:val="32"/>
          <w:szCs w:val="32"/>
          <w:highlight w:val="none"/>
          <w:lang w:val="en-US" w:eastAsia="zh-CN"/>
        </w:rPr>
        <w:t>六</w:t>
      </w:r>
      <w:r>
        <w:rPr>
          <w:rFonts w:hint="eastAsia" w:ascii="宋体" w:hAnsi="宋体" w:cs="宋体"/>
          <w:b/>
          <w:sz w:val="32"/>
          <w:szCs w:val="32"/>
          <w:highlight w:val="none"/>
        </w:rPr>
        <w:t>年</w:t>
      </w:r>
      <w:r>
        <w:rPr>
          <w:rFonts w:hint="eastAsia" w:ascii="宋体" w:hAnsi="宋体" w:cs="宋体"/>
          <w:b/>
          <w:sz w:val="32"/>
          <w:szCs w:val="32"/>
          <w:highlight w:val="none"/>
          <w:lang w:val="en-US" w:eastAsia="zh-CN"/>
        </w:rPr>
        <w:t>七</w:t>
      </w:r>
      <w:r>
        <w:rPr>
          <w:rFonts w:hint="eastAsia" w:ascii="宋体" w:hAnsi="宋体" w:cs="宋体"/>
          <w:b/>
          <w:sz w:val="32"/>
          <w:szCs w:val="32"/>
          <w:highlight w:val="none"/>
        </w:rPr>
        <w:t>月</w:t>
      </w:r>
      <w:bookmarkStart w:id="2" w:name="_Toc468"/>
    </w:p>
    <w:p w14:paraId="5CC7A47B">
      <w:pPr>
        <w:shd w:val="clear" w:color="auto" w:fill="auto"/>
        <w:autoSpaceDE w:val="0"/>
        <w:autoSpaceDN w:val="0"/>
        <w:adjustRightInd w:val="0"/>
        <w:snapToGrid w:val="0"/>
        <w:ind w:firstLine="643"/>
        <w:jc w:val="center"/>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t>目    录</w:t>
      </w:r>
      <w:bookmarkEnd w:id="2"/>
    </w:p>
    <w:p w14:paraId="459707AF">
      <w:pPr>
        <w:pStyle w:val="17"/>
        <w:shd w:val="clear" w:color="auto" w:fill="auto"/>
        <w:tabs>
          <w:tab w:val="right" w:leader="dot" w:pos="9747"/>
        </w:tabs>
        <w:rPr>
          <w:highlight w:val="none"/>
        </w:rPr>
      </w:pPr>
      <w:r>
        <w:rPr>
          <w:rFonts w:hint="eastAsia" w:ascii="宋体" w:hAnsi="宋体" w:cs="宋体"/>
          <w:b/>
          <w:kern w:val="44"/>
          <w:sz w:val="28"/>
          <w:szCs w:val="28"/>
          <w:highlight w:val="none"/>
        </w:rPr>
        <w:fldChar w:fldCharType="begin"/>
      </w:r>
      <w:r>
        <w:rPr>
          <w:rFonts w:hint="eastAsia" w:ascii="宋体" w:hAnsi="宋体" w:cs="宋体"/>
          <w:b/>
          <w:kern w:val="44"/>
          <w:sz w:val="28"/>
          <w:szCs w:val="28"/>
          <w:highlight w:val="none"/>
        </w:rPr>
        <w:instrText xml:space="preserve">TOC \o "1-1" \h \u </w:instrText>
      </w:r>
      <w:r>
        <w:rPr>
          <w:rFonts w:hint="eastAsia" w:ascii="宋体" w:hAnsi="宋体" w:cs="宋体"/>
          <w:b/>
          <w:kern w:val="44"/>
          <w:sz w:val="28"/>
          <w:szCs w:val="28"/>
          <w:highlight w:val="none"/>
        </w:rPr>
        <w:fldChar w:fldCharType="separate"/>
      </w:r>
    </w:p>
    <w:p w14:paraId="2CF3AC51">
      <w:pPr>
        <w:pStyle w:val="17"/>
        <w:keepNext w:val="0"/>
        <w:keepLines w:val="0"/>
        <w:pageBreakBefore w:val="0"/>
        <w:widowControl/>
        <w:shd w:val="clear" w:color="auto" w:fill="auto"/>
        <w:tabs>
          <w:tab w:val="right" w:leader="dot" w:pos="9747"/>
        </w:tabs>
        <w:kinsoku/>
        <w:wordWrap/>
        <w:overflowPunct/>
        <w:topLinePunct w:val="0"/>
        <w:autoSpaceDE/>
        <w:autoSpaceDN/>
        <w:bidi w:val="0"/>
        <w:adjustRightInd/>
        <w:snapToGrid/>
        <w:spacing w:line="480" w:lineRule="exact"/>
        <w:textAlignment w:val="auto"/>
        <w:rPr>
          <w:rFonts w:hint="eastAsia" w:ascii="宋体" w:hAnsi="宋体" w:eastAsia="宋体" w:cs="宋体"/>
          <w:sz w:val="24"/>
          <w:szCs w:val="24"/>
          <w:highlight w:val="none"/>
        </w:rPr>
      </w:pPr>
      <w:r>
        <w:rPr>
          <w:rFonts w:hint="eastAsia" w:ascii="宋体" w:hAnsi="宋体" w:eastAsia="宋体" w:cs="宋体"/>
          <w:kern w:val="44"/>
          <w:sz w:val="24"/>
          <w:szCs w:val="40"/>
          <w:highlight w:val="none"/>
        </w:rPr>
        <w:fldChar w:fldCharType="begin"/>
      </w:r>
      <w:r>
        <w:rPr>
          <w:rFonts w:hint="eastAsia" w:ascii="宋体" w:hAnsi="宋体" w:eastAsia="宋体" w:cs="宋体"/>
          <w:kern w:val="44"/>
          <w:sz w:val="24"/>
          <w:szCs w:val="40"/>
          <w:highlight w:val="none"/>
        </w:rPr>
        <w:instrText xml:space="preserve"> HYPERLINK \l _Toc32099 </w:instrText>
      </w:r>
      <w:r>
        <w:rPr>
          <w:rFonts w:hint="eastAsia" w:ascii="宋体" w:hAnsi="宋体" w:eastAsia="宋体" w:cs="宋体"/>
          <w:kern w:val="44"/>
          <w:sz w:val="24"/>
          <w:szCs w:val="40"/>
          <w:highlight w:val="none"/>
        </w:rPr>
        <w:fldChar w:fldCharType="separate"/>
      </w:r>
      <w:r>
        <w:rPr>
          <w:rFonts w:hint="eastAsia" w:ascii="宋体" w:hAnsi="宋体" w:eastAsia="宋体" w:cs="宋体"/>
          <w:kern w:val="44"/>
          <w:sz w:val="24"/>
          <w:szCs w:val="44"/>
          <w:highlight w:val="none"/>
        </w:rPr>
        <w:t>第一</w:t>
      </w:r>
      <w:r>
        <w:rPr>
          <w:rFonts w:hint="eastAsia" w:ascii="宋体" w:hAnsi="宋体" w:eastAsia="宋体" w:cs="宋体"/>
          <w:sz w:val="24"/>
          <w:szCs w:val="44"/>
          <w:highlight w:val="none"/>
        </w:rPr>
        <w:t>章  招标公告</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_Toc32099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2</w:t>
      </w:r>
      <w:r>
        <w:rPr>
          <w:rFonts w:hint="eastAsia" w:ascii="宋体" w:hAnsi="宋体" w:eastAsia="宋体" w:cs="宋体"/>
          <w:sz w:val="24"/>
          <w:szCs w:val="24"/>
          <w:highlight w:val="none"/>
        </w:rPr>
        <w:fldChar w:fldCharType="end"/>
      </w:r>
      <w:r>
        <w:rPr>
          <w:rFonts w:hint="eastAsia" w:ascii="宋体" w:hAnsi="宋体" w:eastAsia="宋体" w:cs="宋体"/>
          <w:kern w:val="44"/>
          <w:sz w:val="24"/>
          <w:szCs w:val="40"/>
          <w:highlight w:val="none"/>
        </w:rPr>
        <w:fldChar w:fldCharType="end"/>
      </w:r>
    </w:p>
    <w:p w14:paraId="6C91D1B7">
      <w:pPr>
        <w:pStyle w:val="17"/>
        <w:keepNext w:val="0"/>
        <w:keepLines w:val="0"/>
        <w:pageBreakBefore w:val="0"/>
        <w:widowControl/>
        <w:shd w:val="clear" w:color="auto" w:fill="auto"/>
        <w:tabs>
          <w:tab w:val="right" w:leader="dot" w:pos="9747"/>
        </w:tabs>
        <w:kinsoku/>
        <w:wordWrap/>
        <w:overflowPunct/>
        <w:topLinePunct w:val="0"/>
        <w:autoSpaceDE/>
        <w:autoSpaceDN/>
        <w:bidi w:val="0"/>
        <w:adjustRightInd/>
        <w:snapToGrid/>
        <w:spacing w:line="480" w:lineRule="exact"/>
        <w:textAlignment w:val="auto"/>
        <w:rPr>
          <w:rFonts w:hint="eastAsia" w:ascii="宋体" w:hAnsi="宋体" w:eastAsia="宋体" w:cs="宋体"/>
          <w:sz w:val="24"/>
          <w:szCs w:val="24"/>
          <w:highlight w:val="none"/>
        </w:rPr>
      </w:pPr>
      <w:r>
        <w:rPr>
          <w:rFonts w:hint="eastAsia" w:ascii="宋体" w:hAnsi="宋体" w:eastAsia="宋体" w:cs="宋体"/>
          <w:kern w:val="44"/>
          <w:sz w:val="24"/>
          <w:szCs w:val="40"/>
          <w:highlight w:val="none"/>
        </w:rPr>
        <w:fldChar w:fldCharType="begin"/>
      </w:r>
      <w:r>
        <w:rPr>
          <w:rFonts w:hint="eastAsia" w:ascii="宋体" w:hAnsi="宋体" w:eastAsia="宋体" w:cs="宋体"/>
          <w:kern w:val="44"/>
          <w:sz w:val="24"/>
          <w:szCs w:val="40"/>
          <w:highlight w:val="none"/>
        </w:rPr>
        <w:instrText xml:space="preserve"> HYPERLINK \l _Toc10114 </w:instrText>
      </w:r>
      <w:r>
        <w:rPr>
          <w:rFonts w:hint="eastAsia" w:ascii="宋体" w:hAnsi="宋体" w:eastAsia="宋体" w:cs="宋体"/>
          <w:kern w:val="44"/>
          <w:sz w:val="24"/>
          <w:szCs w:val="40"/>
          <w:highlight w:val="none"/>
        </w:rPr>
        <w:fldChar w:fldCharType="separate"/>
      </w:r>
      <w:r>
        <w:rPr>
          <w:rFonts w:hint="eastAsia" w:ascii="宋体" w:hAnsi="宋体" w:eastAsia="宋体" w:cs="宋体"/>
          <w:bCs/>
          <w:kern w:val="44"/>
          <w:sz w:val="24"/>
          <w:szCs w:val="44"/>
          <w:highlight w:val="none"/>
        </w:rPr>
        <w:t>第二章</w:t>
      </w:r>
      <w:r>
        <w:rPr>
          <w:rFonts w:hint="eastAsia" w:ascii="宋体" w:hAnsi="宋体" w:eastAsia="宋体" w:cs="宋体"/>
          <w:bCs/>
          <w:kern w:val="44"/>
          <w:sz w:val="24"/>
          <w:szCs w:val="48"/>
          <w:highlight w:val="none"/>
        </w:rPr>
        <w:t xml:space="preserve"> </w:t>
      </w:r>
      <w:r>
        <w:rPr>
          <w:rFonts w:hint="eastAsia" w:ascii="宋体" w:hAnsi="宋体" w:eastAsia="宋体" w:cs="宋体"/>
          <w:bCs/>
          <w:kern w:val="44"/>
          <w:sz w:val="24"/>
          <w:szCs w:val="48"/>
          <w:highlight w:val="none"/>
          <w:lang w:val="en-US" w:eastAsia="zh-CN"/>
        </w:rPr>
        <w:t xml:space="preserve"> </w:t>
      </w:r>
      <w:r>
        <w:rPr>
          <w:rFonts w:hint="eastAsia" w:ascii="宋体" w:hAnsi="宋体" w:eastAsia="宋体" w:cs="宋体"/>
          <w:bCs/>
          <w:kern w:val="44"/>
          <w:sz w:val="24"/>
          <w:szCs w:val="44"/>
          <w:highlight w:val="none"/>
        </w:rPr>
        <w:t>投标供应商须知</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_Toc10114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8</w:t>
      </w:r>
      <w:r>
        <w:rPr>
          <w:rFonts w:hint="eastAsia" w:ascii="宋体" w:hAnsi="宋体" w:eastAsia="宋体" w:cs="宋体"/>
          <w:sz w:val="24"/>
          <w:szCs w:val="24"/>
          <w:highlight w:val="none"/>
        </w:rPr>
        <w:fldChar w:fldCharType="end"/>
      </w:r>
      <w:r>
        <w:rPr>
          <w:rFonts w:hint="eastAsia" w:ascii="宋体" w:hAnsi="宋体" w:eastAsia="宋体" w:cs="宋体"/>
          <w:kern w:val="44"/>
          <w:sz w:val="24"/>
          <w:szCs w:val="40"/>
          <w:highlight w:val="none"/>
        </w:rPr>
        <w:fldChar w:fldCharType="end"/>
      </w:r>
    </w:p>
    <w:p w14:paraId="56DB63DB">
      <w:pPr>
        <w:pStyle w:val="17"/>
        <w:keepNext w:val="0"/>
        <w:keepLines w:val="0"/>
        <w:pageBreakBefore w:val="0"/>
        <w:widowControl/>
        <w:shd w:val="clear" w:color="auto" w:fill="auto"/>
        <w:tabs>
          <w:tab w:val="right" w:leader="dot" w:pos="9747"/>
        </w:tabs>
        <w:kinsoku/>
        <w:wordWrap/>
        <w:overflowPunct/>
        <w:topLinePunct w:val="0"/>
        <w:autoSpaceDE/>
        <w:autoSpaceDN/>
        <w:bidi w:val="0"/>
        <w:adjustRightInd/>
        <w:snapToGrid/>
        <w:spacing w:line="480" w:lineRule="exact"/>
        <w:textAlignment w:val="auto"/>
        <w:rPr>
          <w:rFonts w:hint="eastAsia" w:ascii="宋体" w:hAnsi="宋体" w:eastAsia="宋体" w:cs="宋体"/>
          <w:sz w:val="24"/>
          <w:szCs w:val="24"/>
          <w:highlight w:val="none"/>
        </w:rPr>
      </w:pPr>
      <w:r>
        <w:rPr>
          <w:rFonts w:hint="eastAsia" w:ascii="宋体" w:hAnsi="宋体" w:eastAsia="宋体" w:cs="宋体"/>
          <w:kern w:val="44"/>
          <w:sz w:val="24"/>
          <w:szCs w:val="40"/>
          <w:highlight w:val="none"/>
        </w:rPr>
        <w:fldChar w:fldCharType="begin"/>
      </w:r>
      <w:r>
        <w:rPr>
          <w:rFonts w:hint="eastAsia" w:ascii="宋体" w:hAnsi="宋体" w:eastAsia="宋体" w:cs="宋体"/>
          <w:kern w:val="44"/>
          <w:sz w:val="24"/>
          <w:szCs w:val="40"/>
          <w:highlight w:val="none"/>
        </w:rPr>
        <w:instrText xml:space="preserve"> HYPERLINK \l _Toc20118 </w:instrText>
      </w:r>
      <w:r>
        <w:rPr>
          <w:rFonts w:hint="eastAsia" w:ascii="宋体" w:hAnsi="宋体" w:eastAsia="宋体" w:cs="宋体"/>
          <w:kern w:val="44"/>
          <w:sz w:val="24"/>
          <w:szCs w:val="40"/>
          <w:highlight w:val="none"/>
        </w:rPr>
        <w:fldChar w:fldCharType="separate"/>
      </w:r>
      <w:r>
        <w:rPr>
          <w:rFonts w:hint="eastAsia" w:ascii="宋体" w:hAnsi="宋体" w:eastAsia="宋体" w:cs="宋体"/>
          <w:bCs/>
          <w:sz w:val="24"/>
          <w:szCs w:val="44"/>
          <w:highlight w:val="none"/>
        </w:rPr>
        <w:t>第三章  评标办法</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_Toc20118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29</w:t>
      </w:r>
      <w:r>
        <w:rPr>
          <w:rFonts w:hint="eastAsia" w:ascii="宋体" w:hAnsi="宋体" w:eastAsia="宋体" w:cs="宋体"/>
          <w:sz w:val="24"/>
          <w:szCs w:val="24"/>
          <w:highlight w:val="none"/>
        </w:rPr>
        <w:fldChar w:fldCharType="end"/>
      </w:r>
      <w:r>
        <w:rPr>
          <w:rFonts w:hint="eastAsia" w:ascii="宋体" w:hAnsi="宋体" w:eastAsia="宋体" w:cs="宋体"/>
          <w:kern w:val="44"/>
          <w:sz w:val="24"/>
          <w:szCs w:val="40"/>
          <w:highlight w:val="none"/>
        </w:rPr>
        <w:fldChar w:fldCharType="end"/>
      </w:r>
    </w:p>
    <w:p w14:paraId="4EEB0959">
      <w:pPr>
        <w:pStyle w:val="17"/>
        <w:keepNext w:val="0"/>
        <w:keepLines w:val="0"/>
        <w:pageBreakBefore w:val="0"/>
        <w:widowControl/>
        <w:shd w:val="clear" w:color="auto" w:fill="auto"/>
        <w:tabs>
          <w:tab w:val="right" w:leader="dot" w:pos="9747"/>
        </w:tabs>
        <w:kinsoku/>
        <w:wordWrap/>
        <w:overflowPunct/>
        <w:topLinePunct w:val="0"/>
        <w:autoSpaceDE/>
        <w:autoSpaceDN/>
        <w:bidi w:val="0"/>
        <w:adjustRightInd/>
        <w:snapToGrid/>
        <w:spacing w:line="480" w:lineRule="exact"/>
        <w:textAlignment w:val="auto"/>
        <w:rPr>
          <w:rFonts w:hint="eastAsia" w:ascii="宋体" w:hAnsi="宋体" w:eastAsia="宋体" w:cs="宋体"/>
          <w:sz w:val="24"/>
          <w:szCs w:val="24"/>
          <w:highlight w:val="none"/>
        </w:rPr>
      </w:pPr>
      <w:r>
        <w:rPr>
          <w:rFonts w:hint="eastAsia" w:ascii="宋体" w:hAnsi="宋体" w:eastAsia="宋体" w:cs="宋体"/>
          <w:kern w:val="44"/>
          <w:sz w:val="24"/>
          <w:szCs w:val="40"/>
          <w:highlight w:val="none"/>
        </w:rPr>
        <w:fldChar w:fldCharType="begin"/>
      </w:r>
      <w:r>
        <w:rPr>
          <w:rFonts w:hint="eastAsia" w:ascii="宋体" w:hAnsi="宋体" w:eastAsia="宋体" w:cs="宋体"/>
          <w:kern w:val="44"/>
          <w:sz w:val="24"/>
          <w:szCs w:val="40"/>
          <w:highlight w:val="none"/>
        </w:rPr>
        <w:instrText xml:space="preserve"> HYPERLINK \l _Toc15377 </w:instrText>
      </w:r>
      <w:r>
        <w:rPr>
          <w:rFonts w:hint="eastAsia" w:ascii="宋体" w:hAnsi="宋体" w:eastAsia="宋体" w:cs="宋体"/>
          <w:kern w:val="44"/>
          <w:sz w:val="24"/>
          <w:szCs w:val="40"/>
          <w:highlight w:val="none"/>
        </w:rPr>
        <w:fldChar w:fldCharType="separate"/>
      </w:r>
      <w:r>
        <w:rPr>
          <w:rFonts w:hint="eastAsia" w:ascii="宋体" w:hAnsi="宋体" w:eastAsia="宋体" w:cs="宋体"/>
          <w:sz w:val="24"/>
          <w:szCs w:val="44"/>
          <w:highlight w:val="none"/>
        </w:rPr>
        <w:t xml:space="preserve">第四章 </w:t>
      </w:r>
      <w:r>
        <w:rPr>
          <w:rFonts w:hint="eastAsia" w:ascii="宋体" w:hAnsi="宋体" w:eastAsia="宋体" w:cs="宋体"/>
          <w:sz w:val="24"/>
          <w:szCs w:val="44"/>
          <w:highlight w:val="none"/>
          <w:lang w:val="en-US" w:eastAsia="zh-CN"/>
        </w:rPr>
        <w:t xml:space="preserve"> </w:t>
      </w:r>
      <w:r>
        <w:rPr>
          <w:rFonts w:hint="eastAsia" w:ascii="宋体" w:hAnsi="宋体" w:eastAsia="宋体" w:cs="宋体"/>
          <w:sz w:val="24"/>
          <w:szCs w:val="44"/>
          <w:highlight w:val="none"/>
        </w:rPr>
        <w:t>招标内容及要求</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_Toc15377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35</w:t>
      </w:r>
      <w:r>
        <w:rPr>
          <w:rFonts w:hint="eastAsia" w:ascii="宋体" w:hAnsi="宋体" w:eastAsia="宋体" w:cs="宋体"/>
          <w:sz w:val="24"/>
          <w:szCs w:val="24"/>
          <w:highlight w:val="none"/>
        </w:rPr>
        <w:fldChar w:fldCharType="end"/>
      </w:r>
      <w:r>
        <w:rPr>
          <w:rFonts w:hint="eastAsia" w:ascii="宋体" w:hAnsi="宋体" w:eastAsia="宋体" w:cs="宋体"/>
          <w:kern w:val="44"/>
          <w:sz w:val="24"/>
          <w:szCs w:val="40"/>
          <w:highlight w:val="none"/>
        </w:rPr>
        <w:fldChar w:fldCharType="end"/>
      </w:r>
    </w:p>
    <w:p w14:paraId="4A40C1C9">
      <w:pPr>
        <w:pStyle w:val="17"/>
        <w:keepNext w:val="0"/>
        <w:keepLines w:val="0"/>
        <w:pageBreakBefore w:val="0"/>
        <w:widowControl/>
        <w:shd w:val="clear" w:color="auto" w:fill="auto"/>
        <w:tabs>
          <w:tab w:val="right" w:leader="dot" w:pos="9747"/>
        </w:tabs>
        <w:kinsoku/>
        <w:wordWrap/>
        <w:overflowPunct/>
        <w:topLinePunct w:val="0"/>
        <w:autoSpaceDE/>
        <w:autoSpaceDN/>
        <w:bidi w:val="0"/>
        <w:adjustRightInd/>
        <w:snapToGrid/>
        <w:spacing w:line="480" w:lineRule="exact"/>
        <w:textAlignment w:val="auto"/>
        <w:rPr>
          <w:rFonts w:hint="eastAsia" w:ascii="宋体" w:hAnsi="宋体" w:eastAsia="宋体" w:cs="宋体"/>
          <w:sz w:val="24"/>
          <w:szCs w:val="24"/>
          <w:highlight w:val="none"/>
        </w:rPr>
      </w:pPr>
      <w:r>
        <w:rPr>
          <w:rFonts w:hint="eastAsia" w:ascii="宋体" w:hAnsi="宋体" w:eastAsia="宋体" w:cs="宋体"/>
          <w:kern w:val="44"/>
          <w:sz w:val="24"/>
          <w:szCs w:val="40"/>
          <w:highlight w:val="none"/>
        </w:rPr>
        <w:fldChar w:fldCharType="begin"/>
      </w:r>
      <w:r>
        <w:rPr>
          <w:rFonts w:hint="eastAsia" w:ascii="宋体" w:hAnsi="宋体" w:eastAsia="宋体" w:cs="宋体"/>
          <w:kern w:val="44"/>
          <w:sz w:val="24"/>
          <w:szCs w:val="40"/>
          <w:highlight w:val="none"/>
        </w:rPr>
        <w:instrText xml:space="preserve"> HYPERLINK \l _Toc21805 </w:instrText>
      </w:r>
      <w:r>
        <w:rPr>
          <w:rFonts w:hint="eastAsia" w:ascii="宋体" w:hAnsi="宋体" w:eastAsia="宋体" w:cs="宋体"/>
          <w:kern w:val="44"/>
          <w:sz w:val="24"/>
          <w:szCs w:val="40"/>
          <w:highlight w:val="none"/>
        </w:rPr>
        <w:fldChar w:fldCharType="separate"/>
      </w:r>
      <w:r>
        <w:rPr>
          <w:rFonts w:hint="eastAsia" w:ascii="宋体" w:hAnsi="宋体" w:eastAsia="宋体" w:cs="宋体"/>
          <w:sz w:val="24"/>
          <w:szCs w:val="44"/>
          <w:highlight w:val="none"/>
        </w:rPr>
        <w:t>第五章  商务要求</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_Toc21805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37</w:t>
      </w:r>
      <w:r>
        <w:rPr>
          <w:rFonts w:hint="eastAsia" w:ascii="宋体" w:hAnsi="宋体" w:eastAsia="宋体" w:cs="宋体"/>
          <w:sz w:val="24"/>
          <w:szCs w:val="24"/>
          <w:highlight w:val="none"/>
        </w:rPr>
        <w:fldChar w:fldCharType="end"/>
      </w:r>
      <w:r>
        <w:rPr>
          <w:rFonts w:hint="eastAsia" w:ascii="宋体" w:hAnsi="宋体" w:eastAsia="宋体" w:cs="宋体"/>
          <w:kern w:val="44"/>
          <w:sz w:val="24"/>
          <w:szCs w:val="40"/>
          <w:highlight w:val="none"/>
        </w:rPr>
        <w:fldChar w:fldCharType="end"/>
      </w:r>
    </w:p>
    <w:p w14:paraId="646F56A2">
      <w:pPr>
        <w:pStyle w:val="17"/>
        <w:keepNext w:val="0"/>
        <w:keepLines w:val="0"/>
        <w:pageBreakBefore w:val="0"/>
        <w:widowControl/>
        <w:shd w:val="clear" w:color="auto" w:fill="auto"/>
        <w:tabs>
          <w:tab w:val="right" w:leader="dot" w:pos="9747"/>
        </w:tabs>
        <w:kinsoku/>
        <w:wordWrap/>
        <w:overflowPunct/>
        <w:topLinePunct w:val="0"/>
        <w:autoSpaceDE/>
        <w:autoSpaceDN/>
        <w:bidi w:val="0"/>
        <w:adjustRightInd/>
        <w:snapToGrid/>
        <w:spacing w:line="480" w:lineRule="exact"/>
        <w:textAlignment w:val="auto"/>
        <w:rPr>
          <w:rFonts w:hint="eastAsia" w:ascii="宋体" w:hAnsi="宋体" w:eastAsia="宋体" w:cs="宋体"/>
          <w:sz w:val="24"/>
          <w:szCs w:val="24"/>
          <w:highlight w:val="none"/>
        </w:rPr>
      </w:pPr>
      <w:r>
        <w:rPr>
          <w:rFonts w:hint="eastAsia" w:ascii="宋体" w:hAnsi="宋体" w:eastAsia="宋体" w:cs="宋体"/>
          <w:kern w:val="44"/>
          <w:sz w:val="24"/>
          <w:szCs w:val="40"/>
          <w:highlight w:val="none"/>
        </w:rPr>
        <w:fldChar w:fldCharType="begin"/>
      </w:r>
      <w:r>
        <w:rPr>
          <w:rFonts w:hint="eastAsia" w:ascii="宋体" w:hAnsi="宋体" w:eastAsia="宋体" w:cs="宋体"/>
          <w:kern w:val="44"/>
          <w:sz w:val="24"/>
          <w:szCs w:val="40"/>
          <w:highlight w:val="none"/>
        </w:rPr>
        <w:instrText xml:space="preserve"> HYPERLINK \l _Toc2084 </w:instrText>
      </w:r>
      <w:r>
        <w:rPr>
          <w:rFonts w:hint="eastAsia" w:ascii="宋体" w:hAnsi="宋体" w:eastAsia="宋体" w:cs="宋体"/>
          <w:kern w:val="44"/>
          <w:sz w:val="24"/>
          <w:szCs w:val="40"/>
          <w:highlight w:val="none"/>
        </w:rPr>
        <w:fldChar w:fldCharType="separate"/>
      </w:r>
      <w:r>
        <w:rPr>
          <w:rFonts w:hint="eastAsia" w:ascii="宋体" w:hAnsi="宋体" w:eastAsia="宋体" w:cs="宋体"/>
          <w:sz w:val="24"/>
          <w:szCs w:val="48"/>
          <w:highlight w:val="none"/>
        </w:rPr>
        <w:t>第六章  合同格式与主要条款</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_Toc2084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39</w:t>
      </w:r>
      <w:r>
        <w:rPr>
          <w:rFonts w:hint="eastAsia" w:ascii="宋体" w:hAnsi="宋体" w:eastAsia="宋体" w:cs="宋体"/>
          <w:sz w:val="24"/>
          <w:szCs w:val="24"/>
          <w:highlight w:val="none"/>
        </w:rPr>
        <w:fldChar w:fldCharType="end"/>
      </w:r>
      <w:r>
        <w:rPr>
          <w:rFonts w:hint="eastAsia" w:ascii="宋体" w:hAnsi="宋体" w:eastAsia="宋体" w:cs="宋体"/>
          <w:kern w:val="44"/>
          <w:sz w:val="24"/>
          <w:szCs w:val="40"/>
          <w:highlight w:val="none"/>
        </w:rPr>
        <w:fldChar w:fldCharType="end"/>
      </w:r>
    </w:p>
    <w:p w14:paraId="29604721">
      <w:pPr>
        <w:pStyle w:val="17"/>
        <w:keepNext w:val="0"/>
        <w:keepLines w:val="0"/>
        <w:pageBreakBefore w:val="0"/>
        <w:widowControl/>
        <w:shd w:val="clear" w:color="auto" w:fill="auto"/>
        <w:tabs>
          <w:tab w:val="right" w:leader="dot" w:pos="9747"/>
        </w:tabs>
        <w:kinsoku/>
        <w:wordWrap/>
        <w:overflowPunct/>
        <w:topLinePunct w:val="0"/>
        <w:autoSpaceDE/>
        <w:autoSpaceDN/>
        <w:bidi w:val="0"/>
        <w:adjustRightInd/>
        <w:snapToGrid/>
        <w:spacing w:line="480" w:lineRule="exact"/>
        <w:textAlignment w:val="auto"/>
        <w:rPr>
          <w:highlight w:val="none"/>
        </w:rPr>
      </w:pPr>
      <w:r>
        <w:rPr>
          <w:rFonts w:hint="eastAsia" w:ascii="宋体" w:hAnsi="宋体" w:eastAsia="宋体" w:cs="宋体"/>
          <w:kern w:val="44"/>
          <w:sz w:val="24"/>
          <w:szCs w:val="40"/>
          <w:highlight w:val="none"/>
        </w:rPr>
        <w:fldChar w:fldCharType="begin"/>
      </w:r>
      <w:r>
        <w:rPr>
          <w:rFonts w:hint="eastAsia" w:ascii="宋体" w:hAnsi="宋体" w:eastAsia="宋体" w:cs="宋体"/>
          <w:kern w:val="44"/>
          <w:sz w:val="24"/>
          <w:szCs w:val="40"/>
          <w:highlight w:val="none"/>
        </w:rPr>
        <w:instrText xml:space="preserve"> HYPERLINK \l _Toc19338 </w:instrText>
      </w:r>
      <w:r>
        <w:rPr>
          <w:rFonts w:hint="eastAsia" w:ascii="宋体" w:hAnsi="宋体" w:eastAsia="宋体" w:cs="宋体"/>
          <w:kern w:val="44"/>
          <w:sz w:val="24"/>
          <w:szCs w:val="40"/>
          <w:highlight w:val="none"/>
        </w:rPr>
        <w:fldChar w:fldCharType="separate"/>
      </w:r>
      <w:r>
        <w:rPr>
          <w:rFonts w:hint="eastAsia" w:ascii="宋体" w:hAnsi="宋体" w:eastAsia="宋体" w:cs="宋体"/>
          <w:sz w:val="24"/>
          <w:szCs w:val="44"/>
          <w:highlight w:val="none"/>
        </w:rPr>
        <w:t xml:space="preserve">第七章 </w:t>
      </w:r>
      <w:r>
        <w:rPr>
          <w:rFonts w:hint="eastAsia" w:ascii="宋体" w:hAnsi="宋体" w:eastAsia="宋体" w:cs="宋体"/>
          <w:sz w:val="24"/>
          <w:szCs w:val="44"/>
          <w:highlight w:val="none"/>
          <w:lang w:val="en-US" w:eastAsia="zh-CN"/>
        </w:rPr>
        <w:t xml:space="preserve"> </w:t>
      </w:r>
      <w:r>
        <w:rPr>
          <w:rFonts w:hint="eastAsia" w:ascii="宋体" w:hAnsi="宋体" w:eastAsia="宋体" w:cs="宋体"/>
          <w:sz w:val="24"/>
          <w:szCs w:val="44"/>
          <w:highlight w:val="none"/>
        </w:rPr>
        <w:t>投标文件格式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_Toc19338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45</w:t>
      </w:r>
      <w:r>
        <w:rPr>
          <w:rFonts w:hint="eastAsia" w:ascii="宋体" w:hAnsi="宋体" w:eastAsia="宋体" w:cs="宋体"/>
          <w:sz w:val="24"/>
          <w:szCs w:val="24"/>
          <w:highlight w:val="none"/>
        </w:rPr>
        <w:fldChar w:fldCharType="end"/>
      </w:r>
      <w:r>
        <w:rPr>
          <w:rFonts w:hint="eastAsia" w:ascii="宋体" w:hAnsi="宋体" w:eastAsia="宋体" w:cs="宋体"/>
          <w:kern w:val="44"/>
          <w:sz w:val="24"/>
          <w:szCs w:val="40"/>
          <w:highlight w:val="none"/>
        </w:rPr>
        <w:fldChar w:fldCharType="end"/>
      </w:r>
    </w:p>
    <w:p w14:paraId="72DA88F8">
      <w:pPr>
        <w:pStyle w:val="5"/>
        <w:shd w:val="clear" w:color="auto" w:fill="auto"/>
        <w:spacing w:before="120" w:beforeLines="50"/>
        <w:ind w:firstLine="562"/>
        <w:jc w:val="center"/>
        <w:rPr>
          <w:rFonts w:hint="eastAsia" w:ascii="宋体" w:hAnsi="宋体" w:cs="宋体"/>
          <w:b/>
          <w:kern w:val="44"/>
          <w:sz w:val="28"/>
          <w:szCs w:val="28"/>
          <w:highlight w:val="none"/>
        </w:rPr>
      </w:pPr>
      <w:r>
        <w:rPr>
          <w:rFonts w:hint="eastAsia" w:ascii="宋体" w:hAnsi="宋体" w:cs="宋体"/>
          <w:kern w:val="44"/>
          <w:szCs w:val="28"/>
          <w:highlight w:val="none"/>
        </w:rPr>
        <w:fldChar w:fldCharType="end"/>
      </w:r>
    </w:p>
    <w:p w14:paraId="60E224CF">
      <w:pPr>
        <w:pStyle w:val="5"/>
        <w:shd w:val="clear" w:color="auto" w:fill="auto"/>
        <w:spacing w:before="120" w:beforeLines="50"/>
        <w:ind w:firstLine="0" w:firstLineChars="0"/>
        <w:rPr>
          <w:rFonts w:hint="eastAsia" w:ascii="宋体" w:hAnsi="宋体" w:cs="宋体"/>
          <w:b/>
          <w:kern w:val="44"/>
          <w:sz w:val="28"/>
          <w:szCs w:val="28"/>
          <w:highlight w:val="none"/>
        </w:rPr>
      </w:pPr>
    </w:p>
    <w:p w14:paraId="6050ED43">
      <w:pPr>
        <w:pStyle w:val="5"/>
        <w:shd w:val="clear" w:color="auto" w:fill="auto"/>
        <w:spacing w:before="120" w:beforeLines="50" w:after="240"/>
        <w:ind w:firstLine="723"/>
        <w:jc w:val="center"/>
        <w:outlineLvl w:val="0"/>
        <w:rPr>
          <w:rFonts w:hint="eastAsia" w:ascii="宋体" w:hAnsi="宋体" w:cs="宋体"/>
          <w:sz w:val="36"/>
          <w:szCs w:val="36"/>
          <w:highlight w:val="none"/>
        </w:rPr>
      </w:pPr>
      <w:r>
        <w:rPr>
          <w:rFonts w:hint="eastAsia" w:ascii="宋体" w:hAnsi="宋体" w:cs="宋体"/>
          <w:b/>
          <w:kern w:val="44"/>
          <w:sz w:val="36"/>
          <w:szCs w:val="36"/>
          <w:highlight w:val="none"/>
        </w:rPr>
        <w:br w:type="page"/>
      </w:r>
      <w:bookmarkStart w:id="3" w:name="_Toc32099"/>
      <w:r>
        <w:rPr>
          <w:rFonts w:hint="eastAsia" w:ascii="宋体" w:hAnsi="宋体" w:cs="宋体"/>
          <w:b/>
          <w:kern w:val="44"/>
          <w:sz w:val="32"/>
          <w:szCs w:val="32"/>
          <w:highlight w:val="none"/>
        </w:rPr>
        <w:t>第一</w:t>
      </w:r>
      <w:r>
        <w:rPr>
          <w:rFonts w:hint="eastAsia" w:ascii="宋体" w:hAnsi="宋体" w:cs="宋体"/>
          <w:b/>
          <w:sz w:val="32"/>
          <w:szCs w:val="32"/>
          <w:highlight w:val="none"/>
        </w:rPr>
        <w:t>章  招标公告</w:t>
      </w:r>
      <w:bookmarkEnd w:id="3"/>
    </w:p>
    <w:p w14:paraId="36F5615A">
      <w:pPr>
        <w:keepNext w:val="0"/>
        <w:keepLines w:val="0"/>
        <w:pageBreakBefore w:val="0"/>
        <w:widowControl/>
        <w:pBdr>
          <w:top w:val="single" w:color="auto" w:sz="4" w:space="0"/>
          <w:left w:val="single" w:color="auto" w:sz="4" w:space="0"/>
          <w:bottom w:val="single" w:color="auto" w:sz="4" w:space="0"/>
          <w:right w:val="single" w:color="auto" w:sz="4" w:space="0"/>
          <w:between w:val="none" w:color="auto" w:sz="0" w:space="0"/>
        </w:pBdr>
        <w:kinsoku/>
        <w:wordWrap w:val="0"/>
        <w:overflowPunct/>
        <w:topLinePunct w:val="0"/>
        <w:autoSpaceDE/>
        <w:autoSpaceDN/>
        <w:bidi w:val="0"/>
        <w:adjustRightInd/>
        <w:snapToGrid/>
        <w:spacing w:beforeAutospacing="0" w:after="0" w:afterAutospacing="0" w:line="480" w:lineRule="exact"/>
        <w:ind w:left="0" w:leftChars="0" w:right="0" w:firstLine="0" w:firstLineChars="0"/>
        <w:jc w:val="left"/>
        <w:textAlignment w:val="auto"/>
        <w:rPr>
          <w:rFonts w:hint="eastAsia" w:ascii="宋体" w:hAnsi="宋体" w:eastAsia="宋体" w:cs="宋体"/>
          <w:b w:val="0"/>
          <w:bCs/>
          <w:color w:val="333333"/>
          <w:kern w:val="0"/>
          <w:sz w:val="24"/>
          <w:szCs w:val="24"/>
          <w:lang w:val="en-US" w:eastAsia="zh-CN" w:bidi="ar"/>
        </w:rPr>
      </w:pPr>
      <w:bookmarkStart w:id="4" w:name="_Toc213397009"/>
      <w:bookmarkStart w:id="5" w:name="_Toc213396759"/>
      <w:bookmarkStart w:id="6" w:name="_Toc217446031"/>
      <w:bookmarkStart w:id="7" w:name="_Toc213496267"/>
      <w:bookmarkStart w:id="8" w:name="_Toc213396945"/>
      <w:bookmarkStart w:id="9" w:name="_Toc77400776"/>
      <w:bookmarkStart w:id="10" w:name="_Toc89075871"/>
      <w:bookmarkStart w:id="11" w:name="_Toc183682339"/>
      <w:bookmarkStart w:id="12" w:name="_Toc183582202"/>
      <w:r>
        <w:rPr>
          <w:rFonts w:hint="eastAsia" w:ascii="宋体" w:hAnsi="宋体" w:eastAsia="宋体" w:cs="宋体"/>
          <w:b w:val="0"/>
          <w:bCs/>
          <w:color w:val="333333"/>
          <w:kern w:val="0"/>
          <w:sz w:val="24"/>
          <w:szCs w:val="24"/>
          <w:lang w:val="en-US" w:eastAsia="zh-CN" w:bidi="ar"/>
        </w:rPr>
        <w:t>项目概况</w:t>
      </w:r>
    </w:p>
    <w:p w14:paraId="24229AA7">
      <w:pPr>
        <w:keepNext w:val="0"/>
        <w:keepLines w:val="0"/>
        <w:pageBreakBefore w:val="0"/>
        <w:widowControl/>
        <w:pBdr>
          <w:top w:val="single" w:color="auto" w:sz="4" w:space="0"/>
          <w:left w:val="single" w:color="auto" w:sz="4" w:space="0"/>
          <w:bottom w:val="single" w:color="auto" w:sz="4" w:space="0"/>
          <w:right w:val="single" w:color="auto" w:sz="4" w:space="0"/>
          <w:between w:val="none" w:color="auto" w:sz="0" w:space="0"/>
        </w:pBdr>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b w:val="0"/>
          <w:bCs/>
          <w:color w:val="333333"/>
          <w:kern w:val="0"/>
          <w:sz w:val="24"/>
          <w:szCs w:val="24"/>
          <w:lang w:val="en-US" w:eastAsia="zh-CN" w:bidi="ar"/>
        </w:rPr>
      </w:pPr>
      <w:r>
        <w:rPr>
          <w:rFonts w:hint="eastAsia" w:ascii="宋体" w:hAnsi="宋体" w:eastAsia="宋体" w:cs="宋体"/>
          <w:b w:val="0"/>
          <w:bCs/>
          <w:color w:val="333333"/>
          <w:kern w:val="0"/>
          <w:sz w:val="24"/>
          <w:szCs w:val="24"/>
          <w:lang w:val="en-US" w:eastAsia="zh-CN" w:bidi="ar"/>
        </w:rPr>
        <w:t>扶风县农村义务教育学生营养改善计划学校食堂食材采购的潜在供应商应在全国公共资源交易中心平台（陕西省·宝鸡市）获取采购文件, 并于</w:t>
      </w:r>
      <w:r>
        <w:rPr>
          <w:rFonts w:hint="eastAsia" w:ascii="宋体" w:hAnsi="宋体" w:eastAsia="宋体" w:cs="宋体"/>
          <w:b w:val="0"/>
          <w:bCs/>
          <w:color w:val="auto"/>
          <w:kern w:val="0"/>
          <w:sz w:val="24"/>
          <w:szCs w:val="24"/>
          <w:highlight w:val="none"/>
          <w:u w:val="none"/>
          <w:lang w:val="en-US" w:eastAsia="zh-CN" w:bidi="ar"/>
        </w:rPr>
        <w:t>2026年8月20日9时00分</w:t>
      </w:r>
      <w:r>
        <w:rPr>
          <w:rFonts w:hint="eastAsia" w:ascii="宋体" w:hAnsi="宋体" w:eastAsia="宋体" w:cs="宋体"/>
          <w:b w:val="0"/>
          <w:bCs/>
          <w:color w:val="333333"/>
          <w:kern w:val="0"/>
          <w:sz w:val="24"/>
          <w:szCs w:val="24"/>
          <w:highlight w:val="none"/>
          <w:lang w:val="en-US" w:eastAsia="zh-CN" w:bidi="ar"/>
        </w:rPr>
        <w:t>（北</w:t>
      </w:r>
      <w:r>
        <w:rPr>
          <w:rFonts w:hint="eastAsia" w:ascii="宋体" w:hAnsi="宋体" w:eastAsia="宋体" w:cs="宋体"/>
          <w:b w:val="0"/>
          <w:bCs/>
          <w:color w:val="333333"/>
          <w:kern w:val="0"/>
          <w:sz w:val="24"/>
          <w:szCs w:val="24"/>
          <w:lang w:val="en-US" w:eastAsia="zh-CN" w:bidi="ar"/>
        </w:rPr>
        <w:t>京时间）前提交投标文件。</w:t>
      </w:r>
    </w:p>
    <w:p w14:paraId="42775B89">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一、项目基本情况</w:t>
      </w:r>
    </w:p>
    <w:p w14:paraId="73D9E84D">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项目编</w:t>
      </w:r>
      <w:r>
        <w:rPr>
          <w:rFonts w:hint="eastAsia" w:ascii="宋体" w:hAnsi="宋体" w:eastAsia="宋体" w:cs="宋体"/>
          <w:sz w:val="24"/>
          <w:szCs w:val="24"/>
          <w:highlight w:val="none"/>
        </w:rPr>
        <w:t>号：</w:t>
      </w:r>
      <w:r>
        <w:rPr>
          <w:rFonts w:hint="eastAsia" w:ascii="宋体" w:hAnsi="宋体" w:eastAsia="宋体" w:cs="宋体"/>
          <w:sz w:val="24"/>
          <w:szCs w:val="24"/>
          <w:highlight w:val="none"/>
          <w:lang w:eastAsia="zh-CN"/>
        </w:rPr>
        <w:t>TWZB2026-116</w:t>
      </w:r>
    </w:p>
    <w:p w14:paraId="1611856F">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项目名称：</w:t>
      </w:r>
      <w:r>
        <w:rPr>
          <w:rFonts w:hint="eastAsia" w:ascii="宋体" w:hAnsi="宋体" w:eastAsia="宋体" w:cs="宋体"/>
          <w:sz w:val="24"/>
          <w:szCs w:val="24"/>
          <w:lang w:eastAsia="zh-CN"/>
        </w:rPr>
        <w:t>扶风县农村义务教育学生营养改善计划学校食堂食材采购</w:t>
      </w:r>
    </w:p>
    <w:p w14:paraId="0F3321FB">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采购方式：</w:t>
      </w:r>
      <w:r>
        <w:rPr>
          <w:rFonts w:hint="eastAsia" w:ascii="宋体" w:hAnsi="宋体" w:eastAsia="宋体" w:cs="宋体"/>
          <w:sz w:val="24"/>
          <w:szCs w:val="24"/>
          <w:lang w:eastAsia="zh-CN"/>
        </w:rPr>
        <w:t>公开招标</w:t>
      </w:r>
    </w:p>
    <w:p w14:paraId="3A8511CB">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预</w:t>
      </w:r>
      <w:r>
        <w:rPr>
          <w:rFonts w:hint="eastAsia" w:ascii="宋体" w:hAnsi="宋体" w:eastAsia="宋体" w:cs="宋体"/>
          <w:sz w:val="24"/>
          <w:szCs w:val="24"/>
          <w:highlight w:val="none"/>
        </w:rPr>
        <w:t>算金额：</w:t>
      </w:r>
      <w:r>
        <w:rPr>
          <w:rFonts w:hint="eastAsia" w:ascii="宋体" w:hAnsi="宋体" w:eastAsia="宋体" w:cs="宋体"/>
          <w:sz w:val="24"/>
          <w:szCs w:val="24"/>
          <w:highlight w:val="none"/>
          <w:lang w:eastAsia="zh-CN"/>
        </w:rPr>
        <w:t>8736000.00</w:t>
      </w:r>
      <w:r>
        <w:rPr>
          <w:rFonts w:hint="eastAsia" w:ascii="宋体" w:hAnsi="宋体" w:eastAsia="宋体" w:cs="宋体"/>
          <w:sz w:val="24"/>
          <w:szCs w:val="24"/>
          <w:highlight w:val="none"/>
        </w:rPr>
        <w:t>元</w:t>
      </w:r>
    </w:p>
    <w:p w14:paraId="7CBA7A11">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采购需求：</w:t>
      </w:r>
    </w:p>
    <w:p w14:paraId="1CEEB3BA">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合同包1(</w:t>
      </w:r>
      <w:r>
        <w:rPr>
          <w:rFonts w:hint="eastAsia" w:ascii="宋体" w:hAnsi="宋体" w:eastAsia="宋体" w:cs="宋体"/>
          <w:sz w:val="24"/>
          <w:szCs w:val="24"/>
          <w:lang w:eastAsia="zh-CN"/>
        </w:rPr>
        <w:t>扶风县农村义务教育学生营养改善计划学校食堂食材采购</w:t>
      </w:r>
      <w:r>
        <w:rPr>
          <w:rFonts w:hint="eastAsia" w:ascii="宋体" w:hAnsi="宋体"/>
          <w:sz w:val="24"/>
          <w:szCs w:val="24"/>
          <w:lang w:val="en-US" w:eastAsia="zh-CN"/>
        </w:rPr>
        <w:t>（一标段）</w:t>
      </w:r>
      <w:r>
        <w:rPr>
          <w:rFonts w:hint="eastAsia" w:ascii="宋体" w:hAnsi="宋体" w:eastAsia="宋体" w:cs="宋体"/>
          <w:sz w:val="24"/>
          <w:szCs w:val="24"/>
        </w:rPr>
        <w:t>):</w:t>
      </w:r>
    </w:p>
    <w:p w14:paraId="3834C630">
      <w:pPr>
        <w:keepNext w:val="0"/>
        <w:keepLines w:val="0"/>
        <w:pageBreakBefore w:val="0"/>
        <w:widowControl w:val="0"/>
        <w:kinsoku/>
        <w:wordWrap/>
        <w:overflowPunct/>
        <w:topLinePunct w:val="0"/>
        <w:autoSpaceDE/>
        <w:autoSpaceDN/>
        <w:bidi w:val="0"/>
        <w:adjustRightInd/>
        <w:snapToGrid/>
        <w:spacing w:line="480" w:lineRule="exact"/>
        <w:ind w:firstLine="720" w:firstLineChars="300"/>
        <w:textAlignment w:val="auto"/>
        <w:rPr>
          <w:rFonts w:hint="eastAsia" w:ascii="宋体" w:hAnsi="宋体" w:eastAsia="宋体" w:cs="宋体"/>
          <w:sz w:val="24"/>
          <w:szCs w:val="24"/>
          <w:highlight w:val="none"/>
        </w:rPr>
      </w:pPr>
      <w:r>
        <w:rPr>
          <w:rFonts w:hint="eastAsia" w:ascii="宋体" w:hAnsi="宋体" w:eastAsia="宋体" w:cs="宋体"/>
          <w:sz w:val="24"/>
          <w:szCs w:val="24"/>
        </w:rPr>
        <w:t>合同包预算金额</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3167000.00</w:t>
      </w:r>
      <w:r>
        <w:rPr>
          <w:rFonts w:hint="eastAsia" w:ascii="宋体" w:hAnsi="宋体" w:eastAsia="宋体" w:cs="宋体"/>
          <w:sz w:val="24"/>
          <w:szCs w:val="24"/>
          <w:highlight w:val="none"/>
        </w:rPr>
        <w:t>元</w:t>
      </w:r>
    </w:p>
    <w:p w14:paraId="0DB4C103">
      <w:pPr>
        <w:keepNext w:val="0"/>
        <w:keepLines w:val="0"/>
        <w:pageBreakBefore w:val="0"/>
        <w:widowControl w:val="0"/>
        <w:kinsoku/>
        <w:wordWrap/>
        <w:overflowPunct/>
        <w:topLinePunct w:val="0"/>
        <w:autoSpaceDE/>
        <w:autoSpaceDN/>
        <w:bidi w:val="0"/>
        <w:adjustRightInd/>
        <w:snapToGrid/>
        <w:spacing w:line="480" w:lineRule="exact"/>
        <w:ind w:firstLine="720" w:firstLineChars="3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合同包最高限价：</w:t>
      </w:r>
      <w:r>
        <w:rPr>
          <w:rFonts w:hint="eastAsia" w:ascii="宋体" w:hAnsi="宋体" w:eastAsia="宋体" w:cs="宋体"/>
          <w:sz w:val="24"/>
          <w:szCs w:val="24"/>
          <w:highlight w:val="none"/>
          <w:lang w:val="en-US" w:eastAsia="zh-CN"/>
        </w:rPr>
        <w:t>3167000.00</w:t>
      </w:r>
      <w:r>
        <w:rPr>
          <w:rFonts w:hint="eastAsia" w:ascii="宋体" w:hAnsi="宋体" w:eastAsia="宋体" w:cs="宋体"/>
          <w:sz w:val="24"/>
          <w:szCs w:val="24"/>
          <w:highlight w:val="none"/>
        </w:rPr>
        <w:t>元</w:t>
      </w:r>
    </w:p>
    <w:tbl>
      <w:tblPr>
        <w:tblStyle w:val="14"/>
        <w:tblW w:w="10037"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1128"/>
        <w:gridCol w:w="1128"/>
        <w:gridCol w:w="1322"/>
        <w:gridCol w:w="1324"/>
        <w:gridCol w:w="1324"/>
        <w:gridCol w:w="1905"/>
        <w:gridCol w:w="1906"/>
      </w:tblGrid>
      <w:tr w14:paraId="70ECD48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357" w:hRule="atLeast"/>
          <w:tblHeader/>
          <w:jc w:val="center"/>
        </w:trPr>
        <w:tc>
          <w:tcPr>
            <w:tcW w:w="963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C7F4D9F">
            <w:pPr>
              <w:keepNext w:val="0"/>
              <w:keepLines w:val="0"/>
              <w:widowControl/>
              <w:suppressLineNumbers w:val="0"/>
              <w:wordWrap w:val="0"/>
              <w:spacing w:before="0" w:beforeAutospacing="0" w:after="0" w:afterAutospacing="0" w:line="360" w:lineRule="atLeast"/>
              <w:ind w:left="0" w:leftChars="0" w:right="0" w:firstLine="0" w:firstLineChars="0"/>
              <w:jc w:val="center"/>
              <w:rPr>
                <w:rFonts w:hint="eastAsia" w:ascii="宋体" w:hAnsi="宋体" w:eastAsia="宋体" w:cs="宋体"/>
                <w:b/>
                <w:bCs/>
                <w:i w:val="0"/>
                <w:iCs w:val="0"/>
                <w:caps w:val="0"/>
                <w:color w:val="333333"/>
                <w:spacing w:val="0"/>
                <w:sz w:val="21"/>
                <w:szCs w:val="21"/>
              </w:rPr>
            </w:pPr>
            <w:r>
              <w:rPr>
                <w:rFonts w:hint="eastAsia" w:ascii="宋体" w:hAnsi="宋体" w:eastAsia="宋体" w:cs="宋体"/>
                <w:b/>
                <w:bCs/>
                <w:i w:val="0"/>
                <w:iCs w:val="0"/>
                <w:caps w:val="0"/>
                <w:color w:val="333333"/>
                <w:spacing w:val="0"/>
                <w:kern w:val="0"/>
                <w:sz w:val="21"/>
                <w:szCs w:val="21"/>
                <w:lang w:val="en-US" w:eastAsia="zh-CN" w:bidi="ar"/>
              </w:rPr>
              <w:t>品目号</w:t>
            </w:r>
          </w:p>
        </w:tc>
        <w:tc>
          <w:tcPr>
            <w:tcW w:w="963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36BE1D8">
            <w:pPr>
              <w:keepNext w:val="0"/>
              <w:keepLines w:val="0"/>
              <w:widowControl/>
              <w:suppressLineNumbers w:val="0"/>
              <w:wordWrap w:val="0"/>
              <w:spacing w:before="0" w:beforeAutospacing="0" w:after="0" w:afterAutospacing="0" w:line="360" w:lineRule="atLeast"/>
              <w:ind w:left="0" w:leftChars="0" w:right="0" w:firstLine="0" w:firstLineChars="0"/>
              <w:jc w:val="center"/>
              <w:rPr>
                <w:rFonts w:hint="eastAsia" w:ascii="宋体" w:hAnsi="宋体" w:eastAsia="宋体" w:cs="宋体"/>
                <w:b/>
                <w:bCs/>
                <w:i w:val="0"/>
                <w:iCs w:val="0"/>
                <w:caps w:val="0"/>
                <w:color w:val="333333"/>
                <w:spacing w:val="0"/>
                <w:sz w:val="21"/>
                <w:szCs w:val="21"/>
              </w:rPr>
            </w:pPr>
            <w:r>
              <w:rPr>
                <w:rFonts w:hint="eastAsia" w:ascii="宋体" w:hAnsi="宋体" w:eastAsia="宋体" w:cs="宋体"/>
                <w:b/>
                <w:bCs/>
                <w:i w:val="0"/>
                <w:iCs w:val="0"/>
                <w:caps w:val="0"/>
                <w:color w:val="333333"/>
                <w:spacing w:val="0"/>
                <w:kern w:val="0"/>
                <w:sz w:val="21"/>
                <w:szCs w:val="21"/>
                <w:lang w:val="en-US" w:eastAsia="zh-CN" w:bidi="ar"/>
              </w:rPr>
              <w:t>品目名称</w:t>
            </w:r>
          </w:p>
        </w:tc>
        <w:tc>
          <w:tcPr>
            <w:tcW w:w="963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84A1CBE">
            <w:pPr>
              <w:keepNext w:val="0"/>
              <w:keepLines w:val="0"/>
              <w:widowControl/>
              <w:suppressLineNumbers w:val="0"/>
              <w:wordWrap w:val="0"/>
              <w:spacing w:before="0" w:beforeAutospacing="0" w:after="0" w:afterAutospacing="0" w:line="360" w:lineRule="atLeast"/>
              <w:ind w:left="0" w:leftChars="0" w:right="0" w:firstLine="0" w:firstLineChars="0"/>
              <w:jc w:val="center"/>
              <w:rPr>
                <w:rFonts w:hint="eastAsia" w:ascii="宋体" w:hAnsi="宋体" w:eastAsia="宋体" w:cs="宋体"/>
                <w:b/>
                <w:bCs/>
                <w:i w:val="0"/>
                <w:iCs w:val="0"/>
                <w:caps w:val="0"/>
                <w:color w:val="333333"/>
                <w:spacing w:val="0"/>
                <w:sz w:val="21"/>
                <w:szCs w:val="21"/>
              </w:rPr>
            </w:pPr>
            <w:r>
              <w:rPr>
                <w:rFonts w:hint="eastAsia" w:ascii="宋体" w:hAnsi="宋体" w:eastAsia="宋体" w:cs="宋体"/>
                <w:b/>
                <w:bCs/>
                <w:i w:val="0"/>
                <w:iCs w:val="0"/>
                <w:caps w:val="0"/>
                <w:color w:val="333333"/>
                <w:spacing w:val="0"/>
                <w:kern w:val="0"/>
                <w:sz w:val="21"/>
                <w:szCs w:val="21"/>
                <w:lang w:val="en-US" w:eastAsia="zh-CN" w:bidi="ar"/>
              </w:rPr>
              <w:t>采购标的</w:t>
            </w:r>
          </w:p>
        </w:tc>
        <w:tc>
          <w:tcPr>
            <w:tcW w:w="963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13EFA6E">
            <w:pPr>
              <w:keepNext w:val="0"/>
              <w:keepLines w:val="0"/>
              <w:widowControl/>
              <w:suppressLineNumbers w:val="0"/>
              <w:wordWrap w:val="0"/>
              <w:spacing w:before="0" w:beforeAutospacing="0" w:after="0" w:afterAutospacing="0" w:line="360" w:lineRule="atLeast"/>
              <w:ind w:left="0" w:leftChars="0" w:right="0" w:firstLine="0" w:firstLineChars="0"/>
              <w:jc w:val="center"/>
              <w:rPr>
                <w:rFonts w:hint="eastAsia" w:ascii="宋体" w:hAnsi="宋体" w:eastAsia="宋体" w:cs="宋体"/>
                <w:b/>
                <w:bCs/>
                <w:i w:val="0"/>
                <w:iCs w:val="0"/>
                <w:caps w:val="0"/>
                <w:color w:val="333333"/>
                <w:spacing w:val="0"/>
                <w:sz w:val="21"/>
                <w:szCs w:val="21"/>
              </w:rPr>
            </w:pPr>
            <w:r>
              <w:rPr>
                <w:rFonts w:hint="eastAsia" w:ascii="宋体" w:hAnsi="宋体" w:eastAsia="宋体" w:cs="宋体"/>
                <w:b/>
                <w:bCs/>
                <w:i w:val="0"/>
                <w:iCs w:val="0"/>
                <w:caps w:val="0"/>
                <w:color w:val="333333"/>
                <w:spacing w:val="0"/>
                <w:kern w:val="0"/>
                <w:sz w:val="21"/>
                <w:szCs w:val="21"/>
                <w:lang w:val="en-US" w:eastAsia="zh-CN" w:bidi="ar"/>
              </w:rPr>
              <w:t>数量（单位）</w:t>
            </w:r>
          </w:p>
        </w:tc>
        <w:tc>
          <w:tcPr>
            <w:tcW w:w="963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E8C1B80">
            <w:pPr>
              <w:keepNext w:val="0"/>
              <w:keepLines w:val="0"/>
              <w:widowControl/>
              <w:suppressLineNumbers w:val="0"/>
              <w:wordWrap w:val="0"/>
              <w:spacing w:before="0" w:beforeAutospacing="0" w:after="0" w:afterAutospacing="0" w:line="360" w:lineRule="atLeast"/>
              <w:ind w:left="0" w:leftChars="0" w:right="0" w:firstLine="0" w:firstLineChars="0"/>
              <w:jc w:val="center"/>
              <w:rPr>
                <w:rFonts w:hint="eastAsia" w:ascii="宋体" w:hAnsi="宋体" w:eastAsia="宋体" w:cs="宋体"/>
                <w:b/>
                <w:bCs/>
                <w:i w:val="0"/>
                <w:iCs w:val="0"/>
                <w:caps w:val="0"/>
                <w:color w:val="333333"/>
                <w:spacing w:val="0"/>
                <w:sz w:val="21"/>
                <w:szCs w:val="21"/>
              </w:rPr>
            </w:pPr>
            <w:r>
              <w:rPr>
                <w:rFonts w:hint="eastAsia" w:ascii="宋体" w:hAnsi="宋体" w:eastAsia="宋体" w:cs="宋体"/>
                <w:b/>
                <w:bCs/>
                <w:i w:val="0"/>
                <w:iCs w:val="0"/>
                <w:caps w:val="0"/>
                <w:color w:val="333333"/>
                <w:spacing w:val="0"/>
                <w:kern w:val="0"/>
                <w:sz w:val="21"/>
                <w:szCs w:val="21"/>
                <w:lang w:val="en-US" w:eastAsia="zh-CN" w:bidi="ar"/>
              </w:rPr>
              <w:t>技术规格、参数及要求</w:t>
            </w:r>
          </w:p>
        </w:tc>
        <w:tc>
          <w:tcPr>
            <w:tcW w:w="963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2985214">
            <w:pPr>
              <w:keepNext w:val="0"/>
              <w:keepLines w:val="0"/>
              <w:widowControl/>
              <w:suppressLineNumbers w:val="0"/>
              <w:wordWrap w:val="0"/>
              <w:spacing w:before="0" w:beforeAutospacing="0" w:after="0" w:afterAutospacing="0" w:line="360" w:lineRule="atLeast"/>
              <w:ind w:left="0" w:leftChars="0" w:right="0" w:firstLine="0" w:firstLineChars="0"/>
              <w:jc w:val="center"/>
              <w:rPr>
                <w:rFonts w:hint="eastAsia" w:ascii="宋体" w:hAnsi="宋体" w:eastAsia="宋体" w:cs="宋体"/>
                <w:b/>
                <w:bCs/>
                <w:i w:val="0"/>
                <w:iCs w:val="0"/>
                <w:caps w:val="0"/>
                <w:color w:val="333333"/>
                <w:spacing w:val="0"/>
                <w:sz w:val="21"/>
                <w:szCs w:val="21"/>
              </w:rPr>
            </w:pPr>
            <w:r>
              <w:rPr>
                <w:rFonts w:hint="eastAsia" w:ascii="宋体" w:hAnsi="宋体" w:eastAsia="宋体" w:cs="宋体"/>
                <w:b/>
                <w:bCs/>
                <w:i w:val="0"/>
                <w:iCs w:val="0"/>
                <w:caps w:val="0"/>
                <w:color w:val="333333"/>
                <w:spacing w:val="0"/>
                <w:kern w:val="0"/>
                <w:sz w:val="21"/>
                <w:szCs w:val="21"/>
                <w:lang w:val="en-US" w:eastAsia="zh-CN" w:bidi="ar"/>
              </w:rPr>
              <w:t>品目预算(元)</w:t>
            </w:r>
          </w:p>
        </w:tc>
        <w:tc>
          <w:tcPr>
            <w:tcW w:w="963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75BCB9C">
            <w:pPr>
              <w:keepNext w:val="0"/>
              <w:keepLines w:val="0"/>
              <w:widowControl/>
              <w:suppressLineNumbers w:val="0"/>
              <w:wordWrap w:val="0"/>
              <w:spacing w:before="0" w:beforeAutospacing="0" w:after="0" w:afterAutospacing="0" w:line="360" w:lineRule="atLeast"/>
              <w:ind w:left="0" w:leftChars="0" w:right="0" w:firstLine="0" w:firstLineChars="0"/>
              <w:jc w:val="center"/>
              <w:rPr>
                <w:rFonts w:hint="eastAsia" w:ascii="宋体" w:hAnsi="宋体" w:eastAsia="宋体" w:cs="宋体"/>
                <w:b/>
                <w:bCs/>
                <w:i w:val="0"/>
                <w:iCs w:val="0"/>
                <w:caps w:val="0"/>
                <w:color w:val="333333"/>
                <w:spacing w:val="0"/>
                <w:sz w:val="21"/>
                <w:szCs w:val="21"/>
              </w:rPr>
            </w:pPr>
            <w:r>
              <w:rPr>
                <w:rFonts w:hint="eastAsia" w:ascii="宋体" w:hAnsi="宋体" w:eastAsia="宋体" w:cs="宋体"/>
                <w:b/>
                <w:bCs/>
                <w:i w:val="0"/>
                <w:iCs w:val="0"/>
                <w:caps w:val="0"/>
                <w:color w:val="333333"/>
                <w:spacing w:val="0"/>
                <w:kern w:val="0"/>
                <w:sz w:val="21"/>
                <w:szCs w:val="21"/>
                <w:lang w:val="en-US" w:eastAsia="zh-CN" w:bidi="ar"/>
              </w:rPr>
              <w:t>最高限价(元)</w:t>
            </w:r>
          </w:p>
        </w:tc>
      </w:tr>
      <w:tr w14:paraId="64C014A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2316" w:hRule="atLeast"/>
          <w:jc w:val="center"/>
        </w:trPr>
        <w:tc>
          <w:tcPr>
            <w:tcW w:w="963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82AEDE8">
            <w:pPr>
              <w:keepNext w:val="0"/>
              <w:keepLines w:val="0"/>
              <w:widowControl/>
              <w:suppressLineNumbers w:val="0"/>
              <w:wordWrap w:val="0"/>
              <w:spacing w:before="0" w:beforeAutospacing="0" w:after="0" w:afterAutospacing="0" w:line="360" w:lineRule="atLeast"/>
              <w:ind w:left="0" w:leftChars="0" w:right="0" w:firstLine="0" w:firstLineChars="0"/>
              <w:jc w:val="center"/>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kern w:val="0"/>
                <w:sz w:val="21"/>
                <w:szCs w:val="21"/>
                <w:highlight w:val="none"/>
                <w:lang w:val="en-US" w:eastAsia="zh-CN" w:bidi="ar"/>
              </w:rPr>
              <w:t>1-1</w:t>
            </w:r>
          </w:p>
        </w:tc>
        <w:tc>
          <w:tcPr>
            <w:tcW w:w="963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D5AE6D8">
            <w:pPr>
              <w:keepNext w:val="0"/>
              <w:keepLines w:val="0"/>
              <w:widowControl/>
              <w:suppressLineNumbers w:val="0"/>
              <w:wordWrap w:val="0"/>
              <w:spacing w:before="0" w:beforeAutospacing="0" w:after="0" w:afterAutospacing="0" w:line="360" w:lineRule="atLeast"/>
              <w:ind w:left="0" w:leftChars="0" w:right="0" w:firstLine="0" w:firstLineChars="0"/>
              <w:jc w:val="center"/>
              <w:rPr>
                <w:rFonts w:hint="eastAsia" w:ascii="宋体" w:hAnsi="宋体" w:eastAsia="宋体" w:cs="宋体"/>
                <w:i w:val="0"/>
                <w:iCs w:val="0"/>
                <w:caps w:val="0"/>
                <w:color w:val="333333"/>
                <w:spacing w:val="0"/>
                <w:sz w:val="21"/>
                <w:szCs w:val="21"/>
                <w:lang w:eastAsia="zh-CN"/>
              </w:rPr>
            </w:pPr>
            <w:r>
              <w:rPr>
                <w:rFonts w:hint="eastAsia" w:ascii="宋体" w:hAnsi="宋体" w:eastAsia="宋体" w:cs="宋体"/>
                <w:i w:val="0"/>
                <w:iCs w:val="0"/>
                <w:caps w:val="0"/>
                <w:color w:val="333333"/>
                <w:spacing w:val="0"/>
                <w:sz w:val="21"/>
                <w:szCs w:val="21"/>
                <w:lang w:eastAsia="zh-CN"/>
              </w:rPr>
              <w:t>谷物细粉</w:t>
            </w:r>
          </w:p>
        </w:tc>
        <w:tc>
          <w:tcPr>
            <w:tcW w:w="963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0BB9126">
            <w:pPr>
              <w:keepNext w:val="0"/>
              <w:keepLines w:val="0"/>
              <w:widowControl/>
              <w:suppressLineNumbers w:val="0"/>
              <w:wordWrap w:val="0"/>
              <w:spacing w:before="0" w:beforeAutospacing="0" w:after="0" w:afterAutospacing="0" w:line="360" w:lineRule="atLeast"/>
              <w:ind w:left="0" w:leftChars="0" w:right="0" w:firstLine="0" w:firstLineChars="0"/>
              <w:jc w:val="center"/>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rPr>
              <w:t>米、面、油、肉、蛋类采购</w:t>
            </w:r>
          </w:p>
        </w:tc>
        <w:tc>
          <w:tcPr>
            <w:tcW w:w="963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6B821D1">
            <w:pPr>
              <w:keepNext w:val="0"/>
              <w:keepLines w:val="0"/>
              <w:widowControl/>
              <w:suppressLineNumbers w:val="0"/>
              <w:wordWrap w:val="0"/>
              <w:spacing w:before="0" w:beforeAutospacing="0" w:after="0" w:afterAutospacing="0" w:line="360" w:lineRule="atLeast"/>
              <w:ind w:left="0" w:leftChars="0" w:right="0" w:firstLine="0" w:firstLineChars="0"/>
              <w:jc w:val="center"/>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kern w:val="0"/>
                <w:sz w:val="21"/>
                <w:szCs w:val="21"/>
                <w:highlight w:val="none"/>
                <w:lang w:val="en-US" w:eastAsia="zh-CN" w:bidi="ar"/>
              </w:rPr>
              <w:t>1(项)</w:t>
            </w:r>
          </w:p>
        </w:tc>
        <w:tc>
          <w:tcPr>
            <w:tcW w:w="963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CA6FDAB">
            <w:pPr>
              <w:keepNext w:val="0"/>
              <w:keepLines w:val="0"/>
              <w:widowControl/>
              <w:suppressLineNumbers w:val="0"/>
              <w:wordWrap w:val="0"/>
              <w:spacing w:before="0" w:beforeAutospacing="0" w:after="0" w:afterAutospacing="0" w:line="360" w:lineRule="atLeast"/>
              <w:ind w:left="0" w:leftChars="0" w:right="0" w:firstLine="0" w:firstLineChars="0"/>
              <w:jc w:val="center"/>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kern w:val="0"/>
                <w:sz w:val="21"/>
                <w:szCs w:val="21"/>
                <w:lang w:val="en-US" w:eastAsia="zh-CN" w:bidi="ar"/>
              </w:rPr>
              <w:t>详见采购文件</w:t>
            </w:r>
          </w:p>
        </w:tc>
        <w:tc>
          <w:tcPr>
            <w:tcW w:w="963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E00E916">
            <w:pPr>
              <w:keepNext w:val="0"/>
              <w:keepLines w:val="0"/>
              <w:widowControl/>
              <w:suppressLineNumbers w:val="0"/>
              <w:wordWrap/>
              <w:spacing w:before="0" w:beforeAutospacing="0" w:after="0" w:afterAutospacing="0" w:line="360" w:lineRule="atLeast"/>
              <w:ind w:left="0" w:leftChars="0" w:right="0" w:firstLine="0" w:firstLineChars="0"/>
              <w:jc w:val="center"/>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kern w:val="0"/>
                <w:sz w:val="21"/>
                <w:szCs w:val="21"/>
                <w:lang w:val="en-US" w:eastAsia="zh-CN" w:bidi="ar"/>
              </w:rPr>
              <w:t>3167000.00</w:t>
            </w:r>
          </w:p>
        </w:tc>
        <w:tc>
          <w:tcPr>
            <w:tcW w:w="963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014D798">
            <w:pPr>
              <w:keepNext w:val="0"/>
              <w:keepLines w:val="0"/>
              <w:widowControl/>
              <w:suppressLineNumbers w:val="0"/>
              <w:wordWrap/>
              <w:spacing w:before="0" w:beforeAutospacing="0" w:after="0" w:afterAutospacing="0" w:line="360" w:lineRule="atLeast"/>
              <w:ind w:left="0" w:leftChars="0" w:right="0" w:firstLine="0" w:firstLineChars="0"/>
              <w:jc w:val="center"/>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kern w:val="0"/>
                <w:sz w:val="21"/>
                <w:szCs w:val="21"/>
                <w:lang w:val="en-US" w:eastAsia="zh-CN" w:bidi="ar"/>
              </w:rPr>
              <w:t>3167000.00</w:t>
            </w:r>
          </w:p>
        </w:tc>
      </w:tr>
    </w:tbl>
    <w:p w14:paraId="7F1E57B3">
      <w:pPr>
        <w:keepNext w:val="0"/>
        <w:keepLines w:val="0"/>
        <w:pageBreakBefore w:val="0"/>
        <w:widowControl w:val="0"/>
        <w:kinsoku/>
        <w:wordWrap/>
        <w:overflowPunct/>
        <w:topLinePunct w:val="0"/>
        <w:autoSpaceDE/>
        <w:autoSpaceDN/>
        <w:bidi w:val="0"/>
        <w:adjustRightInd/>
        <w:snapToGrid/>
        <w:spacing w:line="480" w:lineRule="exact"/>
        <w:ind w:firstLine="720" w:firstLineChars="300"/>
        <w:textAlignment w:val="auto"/>
        <w:rPr>
          <w:rFonts w:hint="eastAsia" w:ascii="宋体" w:hAnsi="宋体" w:eastAsia="宋体" w:cs="宋体"/>
          <w:sz w:val="24"/>
          <w:szCs w:val="24"/>
        </w:rPr>
      </w:pPr>
      <w:r>
        <w:rPr>
          <w:rFonts w:hint="eastAsia" w:ascii="宋体" w:hAnsi="宋体" w:eastAsia="宋体" w:cs="宋体"/>
          <w:sz w:val="24"/>
          <w:szCs w:val="24"/>
        </w:rPr>
        <w:t>本合同包不接受联合体投标</w:t>
      </w:r>
    </w:p>
    <w:p w14:paraId="67E202FD">
      <w:pPr>
        <w:keepNext w:val="0"/>
        <w:keepLines w:val="0"/>
        <w:pageBreakBefore w:val="0"/>
        <w:widowControl w:val="0"/>
        <w:kinsoku/>
        <w:wordWrap/>
        <w:overflowPunct/>
        <w:topLinePunct w:val="0"/>
        <w:autoSpaceDE/>
        <w:autoSpaceDN/>
        <w:bidi w:val="0"/>
        <w:adjustRightInd/>
        <w:snapToGrid/>
        <w:spacing w:line="480" w:lineRule="exact"/>
        <w:ind w:firstLine="720" w:firstLineChars="3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rPr>
        <w:t>合同履行</w:t>
      </w:r>
      <w:r>
        <w:rPr>
          <w:rFonts w:hint="eastAsia" w:ascii="宋体" w:hAnsi="宋体" w:eastAsia="宋体" w:cs="宋体"/>
          <w:sz w:val="24"/>
          <w:szCs w:val="24"/>
          <w:highlight w:val="none"/>
        </w:rPr>
        <w:t>期限</w:t>
      </w:r>
      <w:r>
        <w:rPr>
          <w:rFonts w:hint="eastAsia" w:ascii="宋体" w:hAnsi="宋体" w:eastAsia="宋体" w:cs="宋体"/>
          <w:sz w:val="24"/>
          <w:szCs w:val="24"/>
          <w:highlight w:val="none"/>
          <w:lang w:eastAsia="zh-CN"/>
        </w:rPr>
        <w:t>：一学年（2026年8月-2027年7月），具体以采购人要求为准。</w:t>
      </w:r>
    </w:p>
    <w:p w14:paraId="1F8FF27B">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w:t>
      </w:r>
      <w:r>
        <w:rPr>
          <w:rFonts w:hint="eastAsia" w:ascii="宋体" w:hAnsi="宋体" w:eastAsia="宋体" w:cs="宋体"/>
          <w:sz w:val="24"/>
          <w:szCs w:val="24"/>
          <w:lang w:val="en-US" w:eastAsia="zh-CN"/>
        </w:rPr>
        <w:t>2</w:t>
      </w:r>
      <w:r>
        <w:rPr>
          <w:rFonts w:hint="eastAsia" w:ascii="宋体" w:hAnsi="宋体" w:eastAsia="宋体" w:cs="宋体"/>
          <w:sz w:val="24"/>
          <w:szCs w:val="24"/>
        </w:rPr>
        <w:t>(</w:t>
      </w:r>
      <w:r>
        <w:rPr>
          <w:rFonts w:hint="eastAsia" w:ascii="宋体" w:hAnsi="宋体" w:eastAsia="宋体" w:cs="宋体"/>
          <w:sz w:val="24"/>
          <w:szCs w:val="24"/>
          <w:lang w:eastAsia="zh-CN"/>
        </w:rPr>
        <w:t>扶风县农村义务教育学生营养改善计划学校食堂食材采购</w:t>
      </w:r>
      <w:r>
        <w:rPr>
          <w:rFonts w:hint="eastAsia" w:ascii="宋体" w:hAnsi="宋体"/>
          <w:sz w:val="24"/>
          <w:szCs w:val="24"/>
          <w:lang w:val="en-US" w:eastAsia="zh-CN"/>
        </w:rPr>
        <w:t>（二标段）</w:t>
      </w:r>
      <w:r>
        <w:rPr>
          <w:rFonts w:hint="eastAsia" w:ascii="宋体" w:hAnsi="宋体" w:eastAsia="宋体" w:cs="宋体"/>
          <w:sz w:val="24"/>
          <w:szCs w:val="24"/>
        </w:rPr>
        <w:t>):</w:t>
      </w:r>
    </w:p>
    <w:p w14:paraId="249690C0">
      <w:pPr>
        <w:keepNext w:val="0"/>
        <w:keepLines w:val="0"/>
        <w:pageBreakBefore w:val="0"/>
        <w:widowControl w:val="0"/>
        <w:kinsoku/>
        <w:wordWrap/>
        <w:overflowPunct/>
        <w:topLinePunct w:val="0"/>
        <w:autoSpaceDE/>
        <w:autoSpaceDN/>
        <w:bidi w:val="0"/>
        <w:adjustRightInd/>
        <w:snapToGrid/>
        <w:spacing w:line="480" w:lineRule="exact"/>
        <w:ind w:firstLine="720" w:firstLineChars="300"/>
        <w:textAlignment w:val="auto"/>
        <w:rPr>
          <w:rFonts w:hint="eastAsia" w:ascii="宋体" w:hAnsi="宋体" w:eastAsia="宋体" w:cs="宋体"/>
          <w:sz w:val="24"/>
          <w:szCs w:val="24"/>
          <w:highlight w:val="none"/>
        </w:rPr>
      </w:pPr>
      <w:r>
        <w:rPr>
          <w:rFonts w:hint="eastAsia" w:ascii="宋体" w:hAnsi="宋体" w:eastAsia="宋体" w:cs="宋体"/>
          <w:sz w:val="24"/>
          <w:szCs w:val="24"/>
        </w:rPr>
        <w:t>合同包预算金额</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1899000.00</w:t>
      </w:r>
      <w:r>
        <w:rPr>
          <w:rFonts w:hint="eastAsia" w:ascii="宋体" w:hAnsi="宋体" w:eastAsia="宋体" w:cs="宋体"/>
          <w:sz w:val="24"/>
          <w:szCs w:val="24"/>
          <w:highlight w:val="none"/>
        </w:rPr>
        <w:t>元</w:t>
      </w:r>
    </w:p>
    <w:p w14:paraId="6D22B060">
      <w:pPr>
        <w:keepNext w:val="0"/>
        <w:keepLines w:val="0"/>
        <w:pageBreakBefore w:val="0"/>
        <w:widowControl w:val="0"/>
        <w:kinsoku/>
        <w:wordWrap/>
        <w:overflowPunct/>
        <w:topLinePunct w:val="0"/>
        <w:autoSpaceDE/>
        <w:autoSpaceDN/>
        <w:bidi w:val="0"/>
        <w:adjustRightInd/>
        <w:snapToGrid/>
        <w:spacing w:line="480" w:lineRule="exact"/>
        <w:ind w:firstLine="720" w:firstLineChars="3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合同包最高限价：</w:t>
      </w:r>
      <w:r>
        <w:rPr>
          <w:rFonts w:hint="eastAsia" w:ascii="宋体" w:hAnsi="宋体" w:eastAsia="宋体" w:cs="宋体"/>
          <w:sz w:val="24"/>
          <w:szCs w:val="24"/>
          <w:highlight w:val="none"/>
          <w:lang w:val="en-US" w:eastAsia="zh-CN"/>
        </w:rPr>
        <w:t>1899000.00</w:t>
      </w:r>
      <w:r>
        <w:rPr>
          <w:rFonts w:hint="eastAsia" w:ascii="宋体" w:hAnsi="宋体" w:eastAsia="宋体" w:cs="宋体"/>
          <w:sz w:val="24"/>
          <w:szCs w:val="24"/>
          <w:highlight w:val="none"/>
        </w:rPr>
        <w:t>元</w:t>
      </w:r>
    </w:p>
    <w:tbl>
      <w:tblPr>
        <w:tblStyle w:val="14"/>
        <w:tblW w:w="10037"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1128"/>
        <w:gridCol w:w="1128"/>
        <w:gridCol w:w="1322"/>
        <w:gridCol w:w="1324"/>
        <w:gridCol w:w="1324"/>
        <w:gridCol w:w="1905"/>
        <w:gridCol w:w="1906"/>
      </w:tblGrid>
      <w:tr w14:paraId="46946CB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357" w:hRule="atLeast"/>
          <w:tblHeader/>
          <w:jc w:val="center"/>
        </w:trPr>
        <w:tc>
          <w:tcPr>
            <w:tcW w:w="963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A1577B5">
            <w:pPr>
              <w:keepNext w:val="0"/>
              <w:keepLines w:val="0"/>
              <w:widowControl/>
              <w:suppressLineNumbers w:val="0"/>
              <w:wordWrap w:val="0"/>
              <w:spacing w:before="0" w:beforeAutospacing="0" w:after="0" w:afterAutospacing="0" w:line="360" w:lineRule="atLeast"/>
              <w:ind w:left="0" w:leftChars="0" w:right="0" w:firstLine="0" w:firstLineChars="0"/>
              <w:jc w:val="center"/>
              <w:rPr>
                <w:rFonts w:hint="eastAsia" w:ascii="宋体" w:hAnsi="宋体" w:eastAsia="宋体" w:cs="宋体"/>
                <w:b/>
                <w:bCs/>
                <w:i w:val="0"/>
                <w:iCs w:val="0"/>
                <w:caps w:val="0"/>
                <w:color w:val="333333"/>
                <w:spacing w:val="0"/>
                <w:sz w:val="21"/>
                <w:szCs w:val="21"/>
              </w:rPr>
            </w:pPr>
            <w:r>
              <w:rPr>
                <w:rFonts w:hint="eastAsia" w:ascii="宋体" w:hAnsi="宋体" w:eastAsia="宋体" w:cs="宋体"/>
                <w:b/>
                <w:bCs/>
                <w:i w:val="0"/>
                <w:iCs w:val="0"/>
                <w:caps w:val="0"/>
                <w:color w:val="333333"/>
                <w:spacing w:val="0"/>
                <w:kern w:val="0"/>
                <w:sz w:val="21"/>
                <w:szCs w:val="21"/>
                <w:lang w:val="en-US" w:eastAsia="zh-CN" w:bidi="ar"/>
              </w:rPr>
              <w:t>品目号</w:t>
            </w:r>
          </w:p>
        </w:tc>
        <w:tc>
          <w:tcPr>
            <w:tcW w:w="963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2EC4DBC">
            <w:pPr>
              <w:keepNext w:val="0"/>
              <w:keepLines w:val="0"/>
              <w:widowControl/>
              <w:suppressLineNumbers w:val="0"/>
              <w:wordWrap w:val="0"/>
              <w:spacing w:before="0" w:beforeAutospacing="0" w:after="0" w:afterAutospacing="0" w:line="360" w:lineRule="atLeast"/>
              <w:ind w:left="0" w:leftChars="0" w:right="0" w:firstLine="0" w:firstLineChars="0"/>
              <w:jc w:val="center"/>
              <w:rPr>
                <w:rFonts w:hint="eastAsia" w:ascii="宋体" w:hAnsi="宋体" w:eastAsia="宋体" w:cs="宋体"/>
                <w:b/>
                <w:bCs/>
                <w:i w:val="0"/>
                <w:iCs w:val="0"/>
                <w:caps w:val="0"/>
                <w:color w:val="333333"/>
                <w:spacing w:val="0"/>
                <w:sz w:val="21"/>
                <w:szCs w:val="21"/>
              </w:rPr>
            </w:pPr>
            <w:r>
              <w:rPr>
                <w:rFonts w:hint="eastAsia" w:ascii="宋体" w:hAnsi="宋体" w:eastAsia="宋体" w:cs="宋体"/>
                <w:b/>
                <w:bCs/>
                <w:i w:val="0"/>
                <w:iCs w:val="0"/>
                <w:caps w:val="0"/>
                <w:color w:val="333333"/>
                <w:spacing w:val="0"/>
                <w:kern w:val="0"/>
                <w:sz w:val="21"/>
                <w:szCs w:val="21"/>
                <w:lang w:val="en-US" w:eastAsia="zh-CN" w:bidi="ar"/>
              </w:rPr>
              <w:t>品目名称</w:t>
            </w:r>
          </w:p>
        </w:tc>
        <w:tc>
          <w:tcPr>
            <w:tcW w:w="963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2AD3F0D">
            <w:pPr>
              <w:keepNext w:val="0"/>
              <w:keepLines w:val="0"/>
              <w:widowControl/>
              <w:suppressLineNumbers w:val="0"/>
              <w:wordWrap w:val="0"/>
              <w:spacing w:before="0" w:beforeAutospacing="0" w:after="0" w:afterAutospacing="0" w:line="360" w:lineRule="atLeast"/>
              <w:ind w:left="0" w:leftChars="0" w:right="0" w:firstLine="0" w:firstLineChars="0"/>
              <w:jc w:val="center"/>
              <w:rPr>
                <w:rFonts w:hint="eastAsia" w:ascii="宋体" w:hAnsi="宋体" w:eastAsia="宋体" w:cs="宋体"/>
                <w:b/>
                <w:bCs/>
                <w:i w:val="0"/>
                <w:iCs w:val="0"/>
                <w:caps w:val="0"/>
                <w:color w:val="333333"/>
                <w:spacing w:val="0"/>
                <w:sz w:val="21"/>
                <w:szCs w:val="21"/>
              </w:rPr>
            </w:pPr>
            <w:r>
              <w:rPr>
                <w:rFonts w:hint="eastAsia" w:ascii="宋体" w:hAnsi="宋体" w:eastAsia="宋体" w:cs="宋体"/>
                <w:b/>
                <w:bCs/>
                <w:i w:val="0"/>
                <w:iCs w:val="0"/>
                <w:caps w:val="0"/>
                <w:color w:val="333333"/>
                <w:spacing w:val="0"/>
                <w:kern w:val="0"/>
                <w:sz w:val="21"/>
                <w:szCs w:val="21"/>
                <w:lang w:val="en-US" w:eastAsia="zh-CN" w:bidi="ar"/>
              </w:rPr>
              <w:t>采购标的</w:t>
            </w:r>
          </w:p>
        </w:tc>
        <w:tc>
          <w:tcPr>
            <w:tcW w:w="963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7733C01">
            <w:pPr>
              <w:keepNext w:val="0"/>
              <w:keepLines w:val="0"/>
              <w:widowControl/>
              <w:suppressLineNumbers w:val="0"/>
              <w:wordWrap w:val="0"/>
              <w:spacing w:before="0" w:beforeAutospacing="0" w:after="0" w:afterAutospacing="0" w:line="360" w:lineRule="atLeast"/>
              <w:ind w:left="0" w:leftChars="0" w:right="0" w:firstLine="0" w:firstLineChars="0"/>
              <w:jc w:val="center"/>
              <w:rPr>
                <w:rFonts w:hint="eastAsia" w:ascii="宋体" w:hAnsi="宋体" w:eastAsia="宋体" w:cs="宋体"/>
                <w:b/>
                <w:bCs/>
                <w:i w:val="0"/>
                <w:iCs w:val="0"/>
                <w:caps w:val="0"/>
                <w:color w:val="333333"/>
                <w:spacing w:val="0"/>
                <w:sz w:val="21"/>
                <w:szCs w:val="21"/>
              </w:rPr>
            </w:pPr>
            <w:r>
              <w:rPr>
                <w:rFonts w:hint="eastAsia" w:ascii="宋体" w:hAnsi="宋体" w:eastAsia="宋体" w:cs="宋体"/>
                <w:b/>
                <w:bCs/>
                <w:i w:val="0"/>
                <w:iCs w:val="0"/>
                <w:caps w:val="0"/>
                <w:color w:val="333333"/>
                <w:spacing w:val="0"/>
                <w:kern w:val="0"/>
                <w:sz w:val="21"/>
                <w:szCs w:val="21"/>
                <w:lang w:val="en-US" w:eastAsia="zh-CN" w:bidi="ar"/>
              </w:rPr>
              <w:t>数量（单位）</w:t>
            </w:r>
          </w:p>
        </w:tc>
        <w:tc>
          <w:tcPr>
            <w:tcW w:w="963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C2A065F">
            <w:pPr>
              <w:keepNext w:val="0"/>
              <w:keepLines w:val="0"/>
              <w:widowControl/>
              <w:suppressLineNumbers w:val="0"/>
              <w:wordWrap w:val="0"/>
              <w:spacing w:before="0" w:beforeAutospacing="0" w:after="0" w:afterAutospacing="0" w:line="360" w:lineRule="atLeast"/>
              <w:ind w:left="0" w:leftChars="0" w:right="0" w:firstLine="0" w:firstLineChars="0"/>
              <w:jc w:val="center"/>
              <w:rPr>
                <w:rFonts w:hint="eastAsia" w:ascii="宋体" w:hAnsi="宋体" w:eastAsia="宋体" w:cs="宋体"/>
                <w:b/>
                <w:bCs/>
                <w:i w:val="0"/>
                <w:iCs w:val="0"/>
                <w:caps w:val="0"/>
                <w:color w:val="333333"/>
                <w:spacing w:val="0"/>
                <w:sz w:val="21"/>
                <w:szCs w:val="21"/>
              </w:rPr>
            </w:pPr>
            <w:r>
              <w:rPr>
                <w:rFonts w:hint="eastAsia" w:ascii="宋体" w:hAnsi="宋体" w:eastAsia="宋体" w:cs="宋体"/>
                <w:b/>
                <w:bCs/>
                <w:i w:val="0"/>
                <w:iCs w:val="0"/>
                <w:caps w:val="0"/>
                <w:color w:val="333333"/>
                <w:spacing w:val="0"/>
                <w:kern w:val="0"/>
                <w:sz w:val="21"/>
                <w:szCs w:val="21"/>
                <w:lang w:val="en-US" w:eastAsia="zh-CN" w:bidi="ar"/>
              </w:rPr>
              <w:t>技术规格、参数及要求</w:t>
            </w:r>
          </w:p>
        </w:tc>
        <w:tc>
          <w:tcPr>
            <w:tcW w:w="963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CA63B38">
            <w:pPr>
              <w:keepNext w:val="0"/>
              <w:keepLines w:val="0"/>
              <w:widowControl/>
              <w:suppressLineNumbers w:val="0"/>
              <w:wordWrap w:val="0"/>
              <w:spacing w:before="0" w:beforeAutospacing="0" w:after="0" w:afterAutospacing="0" w:line="360" w:lineRule="atLeast"/>
              <w:ind w:left="0" w:leftChars="0" w:right="0" w:firstLine="0" w:firstLineChars="0"/>
              <w:jc w:val="center"/>
              <w:rPr>
                <w:rFonts w:hint="eastAsia" w:ascii="宋体" w:hAnsi="宋体" w:eastAsia="宋体" w:cs="宋体"/>
                <w:b/>
                <w:bCs/>
                <w:i w:val="0"/>
                <w:iCs w:val="0"/>
                <w:caps w:val="0"/>
                <w:color w:val="333333"/>
                <w:spacing w:val="0"/>
                <w:sz w:val="21"/>
                <w:szCs w:val="21"/>
              </w:rPr>
            </w:pPr>
            <w:r>
              <w:rPr>
                <w:rFonts w:hint="eastAsia" w:ascii="宋体" w:hAnsi="宋体" w:eastAsia="宋体" w:cs="宋体"/>
                <w:b/>
                <w:bCs/>
                <w:i w:val="0"/>
                <w:iCs w:val="0"/>
                <w:caps w:val="0"/>
                <w:color w:val="333333"/>
                <w:spacing w:val="0"/>
                <w:kern w:val="0"/>
                <w:sz w:val="21"/>
                <w:szCs w:val="21"/>
                <w:lang w:val="en-US" w:eastAsia="zh-CN" w:bidi="ar"/>
              </w:rPr>
              <w:t>品目预算(元)</w:t>
            </w:r>
          </w:p>
        </w:tc>
        <w:tc>
          <w:tcPr>
            <w:tcW w:w="963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25F8357">
            <w:pPr>
              <w:keepNext w:val="0"/>
              <w:keepLines w:val="0"/>
              <w:widowControl/>
              <w:suppressLineNumbers w:val="0"/>
              <w:wordWrap w:val="0"/>
              <w:spacing w:before="0" w:beforeAutospacing="0" w:after="0" w:afterAutospacing="0" w:line="360" w:lineRule="atLeast"/>
              <w:ind w:left="0" w:leftChars="0" w:right="0" w:firstLine="0" w:firstLineChars="0"/>
              <w:jc w:val="center"/>
              <w:rPr>
                <w:rFonts w:hint="eastAsia" w:ascii="宋体" w:hAnsi="宋体" w:eastAsia="宋体" w:cs="宋体"/>
                <w:b/>
                <w:bCs/>
                <w:i w:val="0"/>
                <w:iCs w:val="0"/>
                <w:caps w:val="0"/>
                <w:color w:val="333333"/>
                <w:spacing w:val="0"/>
                <w:sz w:val="21"/>
                <w:szCs w:val="21"/>
              </w:rPr>
            </w:pPr>
            <w:r>
              <w:rPr>
                <w:rFonts w:hint="eastAsia" w:ascii="宋体" w:hAnsi="宋体" w:eastAsia="宋体" w:cs="宋体"/>
                <w:b/>
                <w:bCs/>
                <w:i w:val="0"/>
                <w:iCs w:val="0"/>
                <w:caps w:val="0"/>
                <w:color w:val="333333"/>
                <w:spacing w:val="0"/>
                <w:kern w:val="0"/>
                <w:sz w:val="21"/>
                <w:szCs w:val="21"/>
                <w:lang w:val="en-US" w:eastAsia="zh-CN" w:bidi="ar"/>
              </w:rPr>
              <w:t>最高限价(元)</w:t>
            </w:r>
          </w:p>
        </w:tc>
      </w:tr>
      <w:tr w14:paraId="3AD70AC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2316" w:hRule="atLeast"/>
          <w:jc w:val="center"/>
        </w:trPr>
        <w:tc>
          <w:tcPr>
            <w:tcW w:w="963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307E442">
            <w:pPr>
              <w:keepNext w:val="0"/>
              <w:keepLines w:val="0"/>
              <w:widowControl/>
              <w:suppressLineNumbers w:val="0"/>
              <w:wordWrap w:val="0"/>
              <w:spacing w:before="0" w:beforeAutospacing="0" w:after="0" w:afterAutospacing="0" w:line="360" w:lineRule="atLeast"/>
              <w:ind w:left="0" w:leftChars="0" w:right="0" w:firstLine="0" w:firstLineChars="0"/>
              <w:jc w:val="center"/>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kern w:val="0"/>
                <w:sz w:val="21"/>
                <w:szCs w:val="21"/>
                <w:highlight w:val="none"/>
                <w:lang w:val="en-US" w:eastAsia="zh-CN" w:bidi="ar"/>
              </w:rPr>
              <w:t>2-1</w:t>
            </w:r>
          </w:p>
        </w:tc>
        <w:tc>
          <w:tcPr>
            <w:tcW w:w="963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E7F585A">
            <w:pPr>
              <w:keepNext w:val="0"/>
              <w:keepLines w:val="0"/>
              <w:widowControl/>
              <w:suppressLineNumbers w:val="0"/>
              <w:wordWrap w:val="0"/>
              <w:spacing w:before="0" w:beforeAutospacing="0" w:after="0" w:afterAutospacing="0" w:line="360" w:lineRule="atLeast"/>
              <w:ind w:left="0" w:leftChars="0" w:right="0" w:firstLine="0" w:firstLineChars="0"/>
              <w:jc w:val="center"/>
              <w:rPr>
                <w:rFonts w:hint="eastAsia" w:ascii="宋体" w:hAnsi="宋体" w:eastAsia="宋体" w:cs="宋体"/>
                <w:i w:val="0"/>
                <w:iCs w:val="0"/>
                <w:caps w:val="0"/>
                <w:color w:val="333333"/>
                <w:spacing w:val="0"/>
                <w:sz w:val="21"/>
                <w:szCs w:val="21"/>
                <w:lang w:eastAsia="zh-CN"/>
              </w:rPr>
            </w:pPr>
            <w:r>
              <w:rPr>
                <w:rFonts w:hint="eastAsia" w:ascii="宋体" w:hAnsi="宋体" w:eastAsia="宋体" w:cs="宋体"/>
                <w:i w:val="0"/>
                <w:iCs w:val="0"/>
                <w:caps w:val="0"/>
                <w:color w:val="333333"/>
                <w:spacing w:val="0"/>
                <w:sz w:val="21"/>
                <w:szCs w:val="21"/>
                <w:lang w:eastAsia="zh-CN"/>
              </w:rPr>
              <w:t>谷物细粉</w:t>
            </w:r>
          </w:p>
        </w:tc>
        <w:tc>
          <w:tcPr>
            <w:tcW w:w="963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F7275F1">
            <w:pPr>
              <w:keepNext w:val="0"/>
              <w:keepLines w:val="0"/>
              <w:widowControl/>
              <w:suppressLineNumbers w:val="0"/>
              <w:wordWrap w:val="0"/>
              <w:spacing w:before="0" w:beforeAutospacing="0" w:after="0" w:afterAutospacing="0" w:line="360" w:lineRule="atLeast"/>
              <w:ind w:left="0" w:leftChars="0" w:right="0" w:firstLine="0" w:firstLineChars="0"/>
              <w:jc w:val="center"/>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rPr>
              <w:t>米、面、油、肉、蛋类采购</w:t>
            </w:r>
          </w:p>
        </w:tc>
        <w:tc>
          <w:tcPr>
            <w:tcW w:w="963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426DEE2">
            <w:pPr>
              <w:keepNext w:val="0"/>
              <w:keepLines w:val="0"/>
              <w:widowControl/>
              <w:suppressLineNumbers w:val="0"/>
              <w:wordWrap w:val="0"/>
              <w:spacing w:before="0" w:beforeAutospacing="0" w:after="0" w:afterAutospacing="0" w:line="360" w:lineRule="atLeast"/>
              <w:ind w:left="0" w:leftChars="0" w:right="0" w:firstLine="0" w:firstLineChars="0"/>
              <w:jc w:val="center"/>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kern w:val="0"/>
                <w:sz w:val="21"/>
                <w:szCs w:val="21"/>
                <w:highlight w:val="none"/>
                <w:lang w:val="en-US" w:eastAsia="zh-CN" w:bidi="ar"/>
              </w:rPr>
              <w:t>1(项)</w:t>
            </w:r>
          </w:p>
        </w:tc>
        <w:tc>
          <w:tcPr>
            <w:tcW w:w="963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E4CB250">
            <w:pPr>
              <w:keepNext w:val="0"/>
              <w:keepLines w:val="0"/>
              <w:widowControl/>
              <w:suppressLineNumbers w:val="0"/>
              <w:wordWrap w:val="0"/>
              <w:spacing w:before="0" w:beforeAutospacing="0" w:after="0" w:afterAutospacing="0" w:line="360" w:lineRule="atLeast"/>
              <w:ind w:left="0" w:leftChars="0" w:right="0" w:firstLine="0" w:firstLineChars="0"/>
              <w:jc w:val="center"/>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kern w:val="0"/>
                <w:sz w:val="21"/>
                <w:szCs w:val="21"/>
                <w:lang w:val="en-US" w:eastAsia="zh-CN" w:bidi="ar"/>
              </w:rPr>
              <w:t>详见采购文件</w:t>
            </w:r>
          </w:p>
        </w:tc>
        <w:tc>
          <w:tcPr>
            <w:tcW w:w="963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EA43DC8">
            <w:pPr>
              <w:keepNext w:val="0"/>
              <w:keepLines w:val="0"/>
              <w:widowControl/>
              <w:suppressLineNumbers w:val="0"/>
              <w:wordWrap/>
              <w:spacing w:before="0" w:beforeAutospacing="0" w:after="0" w:afterAutospacing="0" w:line="360" w:lineRule="atLeast"/>
              <w:ind w:left="0" w:leftChars="0" w:right="0" w:firstLine="0" w:firstLineChars="0"/>
              <w:jc w:val="center"/>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kern w:val="0"/>
                <w:sz w:val="21"/>
                <w:szCs w:val="21"/>
                <w:lang w:val="en-US" w:eastAsia="zh-CN" w:bidi="ar"/>
              </w:rPr>
              <w:t>1899000.00</w:t>
            </w:r>
          </w:p>
        </w:tc>
        <w:tc>
          <w:tcPr>
            <w:tcW w:w="963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91A626A">
            <w:pPr>
              <w:keepNext w:val="0"/>
              <w:keepLines w:val="0"/>
              <w:widowControl/>
              <w:suppressLineNumbers w:val="0"/>
              <w:wordWrap/>
              <w:spacing w:before="0" w:beforeAutospacing="0" w:after="0" w:afterAutospacing="0" w:line="360" w:lineRule="atLeast"/>
              <w:ind w:left="0" w:leftChars="0" w:right="0" w:firstLine="0" w:firstLineChars="0"/>
              <w:jc w:val="center"/>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kern w:val="0"/>
                <w:sz w:val="21"/>
                <w:szCs w:val="21"/>
                <w:lang w:val="en-US" w:eastAsia="zh-CN" w:bidi="ar"/>
              </w:rPr>
              <w:t>1899000.00</w:t>
            </w:r>
          </w:p>
        </w:tc>
      </w:tr>
    </w:tbl>
    <w:p w14:paraId="08BAA102">
      <w:pPr>
        <w:keepNext w:val="0"/>
        <w:keepLines w:val="0"/>
        <w:pageBreakBefore w:val="0"/>
        <w:widowControl w:val="0"/>
        <w:kinsoku/>
        <w:wordWrap/>
        <w:overflowPunct/>
        <w:topLinePunct w:val="0"/>
        <w:autoSpaceDE/>
        <w:autoSpaceDN/>
        <w:bidi w:val="0"/>
        <w:adjustRightInd/>
        <w:snapToGrid/>
        <w:spacing w:line="480" w:lineRule="exact"/>
        <w:ind w:firstLine="720" w:firstLineChars="300"/>
        <w:textAlignment w:val="auto"/>
        <w:rPr>
          <w:rFonts w:hint="eastAsia" w:ascii="宋体" w:hAnsi="宋体" w:eastAsia="宋体" w:cs="宋体"/>
          <w:sz w:val="24"/>
          <w:szCs w:val="24"/>
        </w:rPr>
      </w:pPr>
      <w:r>
        <w:rPr>
          <w:rFonts w:hint="eastAsia" w:ascii="宋体" w:hAnsi="宋体" w:eastAsia="宋体" w:cs="宋体"/>
          <w:sz w:val="24"/>
          <w:szCs w:val="24"/>
        </w:rPr>
        <w:t>本合同包不接受联合体投标</w:t>
      </w:r>
    </w:p>
    <w:p w14:paraId="162F6B49">
      <w:pPr>
        <w:keepNext w:val="0"/>
        <w:keepLines w:val="0"/>
        <w:pageBreakBefore w:val="0"/>
        <w:widowControl w:val="0"/>
        <w:kinsoku/>
        <w:wordWrap/>
        <w:overflowPunct/>
        <w:topLinePunct w:val="0"/>
        <w:autoSpaceDE/>
        <w:autoSpaceDN/>
        <w:bidi w:val="0"/>
        <w:adjustRightInd/>
        <w:snapToGrid/>
        <w:spacing w:line="480" w:lineRule="exact"/>
        <w:ind w:firstLine="720" w:firstLineChars="3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rPr>
        <w:t>合同履行</w:t>
      </w:r>
      <w:r>
        <w:rPr>
          <w:rFonts w:hint="eastAsia" w:ascii="宋体" w:hAnsi="宋体" w:eastAsia="宋体" w:cs="宋体"/>
          <w:sz w:val="24"/>
          <w:szCs w:val="24"/>
          <w:highlight w:val="none"/>
        </w:rPr>
        <w:t>期限</w:t>
      </w:r>
      <w:r>
        <w:rPr>
          <w:rFonts w:hint="eastAsia" w:ascii="宋体" w:hAnsi="宋体" w:eastAsia="宋体" w:cs="宋体"/>
          <w:sz w:val="24"/>
          <w:szCs w:val="24"/>
          <w:highlight w:val="none"/>
          <w:lang w:eastAsia="zh-CN"/>
        </w:rPr>
        <w:t>：一学年（2026年8月-2027年7月），具体以采购人要求为准。</w:t>
      </w:r>
    </w:p>
    <w:p w14:paraId="3DDD1F5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w:t>
      </w:r>
      <w:r>
        <w:rPr>
          <w:rFonts w:hint="eastAsia" w:ascii="宋体" w:hAnsi="宋体" w:eastAsia="宋体" w:cs="宋体"/>
          <w:sz w:val="24"/>
          <w:szCs w:val="24"/>
          <w:lang w:val="en-US" w:eastAsia="zh-CN"/>
        </w:rPr>
        <w:t>3</w:t>
      </w:r>
      <w:r>
        <w:rPr>
          <w:rFonts w:hint="eastAsia" w:ascii="宋体" w:hAnsi="宋体" w:eastAsia="宋体" w:cs="宋体"/>
          <w:sz w:val="24"/>
          <w:szCs w:val="24"/>
        </w:rPr>
        <w:t>(</w:t>
      </w:r>
      <w:r>
        <w:rPr>
          <w:rFonts w:hint="eastAsia" w:ascii="宋体" w:hAnsi="宋体" w:eastAsia="宋体" w:cs="宋体"/>
          <w:sz w:val="24"/>
          <w:szCs w:val="24"/>
          <w:lang w:eastAsia="zh-CN"/>
        </w:rPr>
        <w:t>扶风县农村义务教育学生营养改善计划学校食堂食材采购</w:t>
      </w:r>
      <w:r>
        <w:rPr>
          <w:rFonts w:hint="eastAsia" w:ascii="宋体" w:hAnsi="宋体"/>
          <w:sz w:val="24"/>
          <w:szCs w:val="24"/>
          <w:lang w:val="en-US" w:eastAsia="zh-CN"/>
        </w:rPr>
        <w:t>（三标段）</w:t>
      </w:r>
      <w:r>
        <w:rPr>
          <w:rFonts w:hint="eastAsia" w:ascii="宋体" w:hAnsi="宋体" w:eastAsia="宋体" w:cs="宋体"/>
          <w:sz w:val="24"/>
          <w:szCs w:val="24"/>
        </w:rPr>
        <w:t>):</w:t>
      </w:r>
    </w:p>
    <w:p w14:paraId="4EB903C6">
      <w:pPr>
        <w:keepNext w:val="0"/>
        <w:keepLines w:val="0"/>
        <w:pageBreakBefore w:val="0"/>
        <w:widowControl w:val="0"/>
        <w:kinsoku/>
        <w:wordWrap/>
        <w:overflowPunct/>
        <w:topLinePunct w:val="0"/>
        <w:autoSpaceDE/>
        <w:autoSpaceDN/>
        <w:bidi w:val="0"/>
        <w:adjustRightInd/>
        <w:snapToGrid/>
        <w:spacing w:line="480" w:lineRule="exact"/>
        <w:ind w:firstLine="720" w:firstLineChars="300"/>
        <w:textAlignment w:val="auto"/>
        <w:rPr>
          <w:rFonts w:hint="eastAsia" w:ascii="宋体" w:hAnsi="宋体" w:eastAsia="宋体" w:cs="宋体"/>
          <w:sz w:val="24"/>
          <w:szCs w:val="24"/>
          <w:highlight w:val="none"/>
        </w:rPr>
      </w:pPr>
      <w:r>
        <w:rPr>
          <w:rFonts w:hint="eastAsia" w:ascii="宋体" w:hAnsi="宋体" w:eastAsia="宋体" w:cs="宋体"/>
          <w:sz w:val="24"/>
          <w:szCs w:val="24"/>
        </w:rPr>
        <w:t>合同包预算金额</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1677000.00</w:t>
      </w:r>
      <w:r>
        <w:rPr>
          <w:rFonts w:hint="eastAsia" w:ascii="宋体" w:hAnsi="宋体" w:eastAsia="宋体" w:cs="宋体"/>
          <w:sz w:val="24"/>
          <w:szCs w:val="24"/>
          <w:highlight w:val="none"/>
        </w:rPr>
        <w:t>元</w:t>
      </w:r>
    </w:p>
    <w:p w14:paraId="0590FA7C">
      <w:pPr>
        <w:keepNext w:val="0"/>
        <w:keepLines w:val="0"/>
        <w:pageBreakBefore w:val="0"/>
        <w:widowControl w:val="0"/>
        <w:kinsoku/>
        <w:wordWrap/>
        <w:overflowPunct/>
        <w:topLinePunct w:val="0"/>
        <w:autoSpaceDE/>
        <w:autoSpaceDN/>
        <w:bidi w:val="0"/>
        <w:adjustRightInd/>
        <w:snapToGrid/>
        <w:spacing w:line="480" w:lineRule="exact"/>
        <w:ind w:firstLine="720" w:firstLineChars="3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合同包最高限价：</w:t>
      </w:r>
      <w:r>
        <w:rPr>
          <w:rFonts w:hint="eastAsia" w:ascii="宋体" w:hAnsi="宋体" w:eastAsia="宋体" w:cs="宋体"/>
          <w:sz w:val="24"/>
          <w:szCs w:val="24"/>
          <w:highlight w:val="none"/>
          <w:lang w:val="en-US" w:eastAsia="zh-CN"/>
        </w:rPr>
        <w:t>1677000.00</w:t>
      </w:r>
      <w:r>
        <w:rPr>
          <w:rFonts w:hint="eastAsia" w:ascii="宋体" w:hAnsi="宋体" w:eastAsia="宋体" w:cs="宋体"/>
          <w:sz w:val="24"/>
          <w:szCs w:val="24"/>
          <w:highlight w:val="none"/>
        </w:rPr>
        <w:t>元</w:t>
      </w:r>
    </w:p>
    <w:tbl>
      <w:tblPr>
        <w:tblStyle w:val="14"/>
        <w:tblW w:w="10037"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1128"/>
        <w:gridCol w:w="1128"/>
        <w:gridCol w:w="1322"/>
        <w:gridCol w:w="1324"/>
        <w:gridCol w:w="1324"/>
        <w:gridCol w:w="1905"/>
        <w:gridCol w:w="1906"/>
      </w:tblGrid>
      <w:tr w14:paraId="2DF25A3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357" w:hRule="atLeast"/>
          <w:tblHeader/>
          <w:jc w:val="center"/>
        </w:trPr>
        <w:tc>
          <w:tcPr>
            <w:tcW w:w="963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161BFEE">
            <w:pPr>
              <w:keepNext w:val="0"/>
              <w:keepLines w:val="0"/>
              <w:widowControl/>
              <w:suppressLineNumbers w:val="0"/>
              <w:wordWrap w:val="0"/>
              <w:spacing w:before="0" w:beforeAutospacing="0" w:after="0" w:afterAutospacing="0" w:line="360" w:lineRule="atLeast"/>
              <w:ind w:left="0" w:leftChars="0" w:right="0" w:firstLine="0" w:firstLineChars="0"/>
              <w:jc w:val="center"/>
              <w:rPr>
                <w:rFonts w:hint="eastAsia" w:ascii="宋体" w:hAnsi="宋体" w:eastAsia="宋体" w:cs="宋体"/>
                <w:b/>
                <w:bCs/>
                <w:i w:val="0"/>
                <w:iCs w:val="0"/>
                <w:caps w:val="0"/>
                <w:color w:val="333333"/>
                <w:spacing w:val="0"/>
                <w:sz w:val="21"/>
                <w:szCs w:val="21"/>
              </w:rPr>
            </w:pPr>
            <w:r>
              <w:rPr>
                <w:rFonts w:hint="eastAsia" w:ascii="宋体" w:hAnsi="宋体" w:eastAsia="宋体" w:cs="宋体"/>
                <w:b/>
                <w:bCs/>
                <w:i w:val="0"/>
                <w:iCs w:val="0"/>
                <w:caps w:val="0"/>
                <w:color w:val="333333"/>
                <w:spacing w:val="0"/>
                <w:kern w:val="0"/>
                <w:sz w:val="21"/>
                <w:szCs w:val="21"/>
                <w:lang w:val="en-US" w:eastAsia="zh-CN" w:bidi="ar"/>
              </w:rPr>
              <w:t>品目号</w:t>
            </w:r>
          </w:p>
        </w:tc>
        <w:tc>
          <w:tcPr>
            <w:tcW w:w="963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C5AD859">
            <w:pPr>
              <w:keepNext w:val="0"/>
              <w:keepLines w:val="0"/>
              <w:widowControl/>
              <w:suppressLineNumbers w:val="0"/>
              <w:wordWrap w:val="0"/>
              <w:spacing w:before="0" w:beforeAutospacing="0" w:after="0" w:afterAutospacing="0" w:line="360" w:lineRule="atLeast"/>
              <w:ind w:left="0" w:leftChars="0" w:right="0" w:firstLine="0" w:firstLineChars="0"/>
              <w:jc w:val="center"/>
              <w:rPr>
                <w:rFonts w:hint="eastAsia" w:ascii="宋体" w:hAnsi="宋体" w:eastAsia="宋体" w:cs="宋体"/>
                <w:b/>
                <w:bCs/>
                <w:i w:val="0"/>
                <w:iCs w:val="0"/>
                <w:caps w:val="0"/>
                <w:color w:val="333333"/>
                <w:spacing w:val="0"/>
                <w:sz w:val="21"/>
                <w:szCs w:val="21"/>
              </w:rPr>
            </w:pPr>
            <w:r>
              <w:rPr>
                <w:rFonts w:hint="eastAsia" w:ascii="宋体" w:hAnsi="宋体" w:eastAsia="宋体" w:cs="宋体"/>
                <w:b/>
                <w:bCs/>
                <w:i w:val="0"/>
                <w:iCs w:val="0"/>
                <w:caps w:val="0"/>
                <w:color w:val="333333"/>
                <w:spacing w:val="0"/>
                <w:kern w:val="0"/>
                <w:sz w:val="21"/>
                <w:szCs w:val="21"/>
                <w:lang w:val="en-US" w:eastAsia="zh-CN" w:bidi="ar"/>
              </w:rPr>
              <w:t>品目名称</w:t>
            </w:r>
          </w:p>
        </w:tc>
        <w:tc>
          <w:tcPr>
            <w:tcW w:w="963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B969AE9">
            <w:pPr>
              <w:keepNext w:val="0"/>
              <w:keepLines w:val="0"/>
              <w:widowControl/>
              <w:suppressLineNumbers w:val="0"/>
              <w:wordWrap w:val="0"/>
              <w:spacing w:before="0" w:beforeAutospacing="0" w:after="0" w:afterAutospacing="0" w:line="360" w:lineRule="atLeast"/>
              <w:ind w:left="0" w:leftChars="0" w:right="0" w:firstLine="0" w:firstLineChars="0"/>
              <w:jc w:val="center"/>
              <w:rPr>
                <w:rFonts w:hint="eastAsia" w:ascii="宋体" w:hAnsi="宋体" w:eastAsia="宋体" w:cs="宋体"/>
                <w:b/>
                <w:bCs/>
                <w:i w:val="0"/>
                <w:iCs w:val="0"/>
                <w:caps w:val="0"/>
                <w:color w:val="333333"/>
                <w:spacing w:val="0"/>
                <w:sz w:val="21"/>
                <w:szCs w:val="21"/>
              </w:rPr>
            </w:pPr>
            <w:r>
              <w:rPr>
                <w:rFonts w:hint="eastAsia" w:ascii="宋体" w:hAnsi="宋体" w:eastAsia="宋体" w:cs="宋体"/>
                <w:b/>
                <w:bCs/>
                <w:i w:val="0"/>
                <w:iCs w:val="0"/>
                <w:caps w:val="0"/>
                <w:color w:val="333333"/>
                <w:spacing w:val="0"/>
                <w:kern w:val="0"/>
                <w:sz w:val="21"/>
                <w:szCs w:val="21"/>
                <w:lang w:val="en-US" w:eastAsia="zh-CN" w:bidi="ar"/>
              </w:rPr>
              <w:t>采购标的</w:t>
            </w:r>
          </w:p>
        </w:tc>
        <w:tc>
          <w:tcPr>
            <w:tcW w:w="963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4B4D09E">
            <w:pPr>
              <w:keepNext w:val="0"/>
              <w:keepLines w:val="0"/>
              <w:widowControl/>
              <w:suppressLineNumbers w:val="0"/>
              <w:wordWrap w:val="0"/>
              <w:spacing w:before="0" w:beforeAutospacing="0" w:after="0" w:afterAutospacing="0" w:line="360" w:lineRule="atLeast"/>
              <w:ind w:left="0" w:leftChars="0" w:right="0" w:firstLine="0" w:firstLineChars="0"/>
              <w:jc w:val="center"/>
              <w:rPr>
                <w:rFonts w:hint="eastAsia" w:ascii="宋体" w:hAnsi="宋体" w:eastAsia="宋体" w:cs="宋体"/>
                <w:b/>
                <w:bCs/>
                <w:i w:val="0"/>
                <w:iCs w:val="0"/>
                <w:caps w:val="0"/>
                <w:color w:val="333333"/>
                <w:spacing w:val="0"/>
                <w:sz w:val="21"/>
                <w:szCs w:val="21"/>
              </w:rPr>
            </w:pPr>
            <w:r>
              <w:rPr>
                <w:rFonts w:hint="eastAsia" w:ascii="宋体" w:hAnsi="宋体" w:eastAsia="宋体" w:cs="宋体"/>
                <w:b/>
                <w:bCs/>
                <w:i w:val="0"/>
                <w:iCs w:val="0"/>
                <w:caps w:val="0"/>
                <w:color w:val="333333"/>
                <w:spacing w:val="0"/>
                <w:kern w:val="0"/>
                <w:sz w:val="21"/>
                <w:szCs w:val="21"/>
                <w:lang w:val="en-US" w:eastAsia="zh-CN" w:bidi="ar"/>
              </w:rPr>
              <w:t>数量（单位）</w:t>
            </w:r>
          </w:p>
        </w:tc>
        <w:tc>
          <w:tcPr>
            <w:tcW w:w="963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5CAA9C9">
            <w:pPr>
              <w:keepNext w:val="0"/>
              <w:keepLines w:val="0"/>
              <w:widowControl/>
              <w:suppressLineNumbers w:val="0"/>
              <w:wordWrap w:val="0"/>
              <w:spacing w:before="0" w:beforeAutospacing="0" w:after="0" w:afterAutospacing="0" w:line="360" w:lineRule="atLeast"/>
              <w:ind w:left="0" w:leftChars="0" w:right="0" w:firstLine="0" w:firstLineChars="0"/>
              <w:jc w:val="center"/>
              <w:rPr>
                <w:rFonts w:hint="eastAsia" w:ascii="宋体" w:hAnsi="宋体" w:eastAsia="宋体" w:cs="宋体"/>
                <w:b/>
                <w:bCs/>
                <w:i w:val="0"/>
                <w:iCs w:val="0"/>
                <w:caps w:val="0"/>
                <w:color w:val="333333"/>
                <w:spacing w:val="0"/>
                <w:sz w:val="21"/>
                <w:szCs w:val="21"/>
              </w:rPr>
            </w:pPr>
            <w:r>
              <w:rPr>
                <w:rFonts w:hint="eastAsia" w:ascii="宋体" w:hAnsi="宋体" w:eastAsia="宋体" w:cs="宋体"/>
                <w:b/>
                <w:bCs/>
                <w:i w:val="0"/>
                <w:iCs w:val="0"/>
                <w:caps w:val="0"/>
                <w:color w:val="333333"/>
                <w:spacing w:val="0"/>
                <w:kern w:val="0"/>
                <w:sz w:val="21"/>
                <w:szCs w:val="21"/>
                <w:lang w:val="en-US" w:eastAsia="zh-CN" w:bidi="ar"/>
              </w:rPr>
              <w:t>技术规格、参数及要求</w:t>
            </w:r>
          </w:p>
        </w:tc>
        <w:tc>
          <w:tcPr>
            <w:tcW w:w="963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386D1B3">
            <w:pPr>
              <w:keepNext w:val="0"/>
              <w:keepLines w:val="0"/>
              <w:widowControl/>
              <w:suppressLineNumbers w:val="0"/>
              <w:wordWrap w:val="0"/>
              <w:spacing w:before="0" w:beforeAutospacing="0" w:after="0" w:afterAutospacing="0" w:line="360" w:lineRule="atLeast"/>
              <w:ind w:left="0" w:leftChars="0" w:right="0" w:firstLine="0" w:firstLineChars="0"/>
              <w:jc w:val="center"/>
              <w:rPr>
                <w:rFonts w:hint="eastAsia" w:ascii="宋体" w:hAnsi="宋体" w:eastAsia="宋体" w:cs="宋体"/>
                <w:b/>
                <w:bCs/>
                <w:i w:val="0"/>
                <w:iCs w:val="0"/>
                <w:caps w:val="0"/>
                <w:color w:val="333333"/>
                <w:spacing w:val="0"/>
                <w:sz w:val="21"/>
                <w:szCs w:val="21"/>
              </w:rPr>
            </w:pPr>
            <w:r>
              <w:rPr>
                <w:rFonts w:hint="eastAsia" w:ascii="宋体" w:hAnsi="宋体" w:eastAsia="宋体" w:cs="宋体"/>
                <w:b/>
                <w:bCs/>
                <w:i w:val="0"/>
                <w:iCs w:val="0"/>
                <w:caps w:val="0"/>
                <w:color w:val="333333"/>
                <w:spacing w:val="0"/>
                <w:kern w:val="0"/>
                <w:sz w:val="21"/>
                <w:szCs w:val="21"/>
                <w:lang w:val="en-US" w:eastAsia="zh-CN" w:bidi="ar"/>
              </w:rPr>
              <w:t>品目预算(元)</w:t>
            </w:r>
          </w:p>
        </w:tc>
        <w:tc>
          <w:tcPr>
            <w:tcW w:w="963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30C32BE">
            <w:pPr>
              <w:keepNext w:val="0"/>
              <w:keepLines w:val="0"/>
              <w:widowControl/>
              <w:suppressLineNumbers w:val="0"/>
              <w:wordWrap w:val="0"/>
              <w:spacing w:before="0" w:beforeAutospacing="0" w:after="0" w:afterAutospacing="0" w:line="360" w:lineRule="atLeast"/>
              <w:ind w:left="0" w:leftChars="0" w:right="0" w:firstLine="0" w:firstLineChars="0"/>
              <w:jc w:val="center"/>
              <w:rPr>
                <w:rFonts w:hint="eastAsia" w:ascii="宋体" w:hAnsi="宋体" w:eastAsia="宋体" w:cs="宋体"/>
                <w:b/>
                <w:bCs/>
                <w:i w:val="0"/>
                <w:iCs w:val="0"/>
                <w:caps w:val="0"/>
                <w:color w:val="333333"/>
                <w:spacing w:val="0"/>
                <w:sz w:val="21"/>
                <w:szCs w:val="21"/>
              </w:rPr>
            </w:pPr>
            <w:r>
              <w:rPr>
                <w:rFonts w:hint="eastAsia" w:ascii="宋体" w:hAnsi="宋体" w:eastAsia="宋体" w:cs="宋体"/>
                <w:b/>
                <w:bCs/>
                <w:i w:val="0"/>
                <w:iCs w:val="0"/>
                <w:caps w:val="0"/>
                <w:color w:val="333333"/>
                <w:spacing w:val="0"/>
                <w:kern w:val="0"/>
                <w:sz w:val="21"/>
                <w:szCs w:val="21"/>
                <w:lang w:val="en-US" w:eastAsia="zh-CN" w:bidi="ar"/>
              </w:rPr>
              <w:t>最高限价(元)</w:t>
            </w:r>
          </w:p>
        </w:tc>
      </w:tr>
      <w:tr w14:paraId="13C24D0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2316" w:hRule="atLeast"/>
          <w:jc w:val="center"/>
        </w:trPr>
        <w:tc>
          <w:tcPr>
            <w:tcW w:w="963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BB8E60C">
            <w:pPr>
              <w:keepNext w:val="0"/>
              <w:keepLines w:val="0"/>
              <w:widowControl/>
              <w:suppressLineNumbers w:val="0"/>
              <w:wordWrap w:val="0"/>
              <w:spacing w:before="0" w:beforeAutospacing="0" w:after="0" w:afterAutospacing="0" w:line="360" w:lineRule="atLeast"/>
              <w:ind w:left="0" w:leftChars="0" w:right="0" w:firstLine="0" w:firstLineChars="0"/>
              <w:jc w:val="center"/>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kern w:val="0"/>
                <w:sz w:val="21"/>
                <w:szCs w:val="21"/>
                <w:highlight w:val="none"/>
                <w:lang w:val="en-US" w:eastAsia="zh-CN" w:bidi="ar"/>
              </w:rPr>
              <w:t>3-1</w:t>
            </w:r>
          </w:p>
        </w:tc>
        <w:tc>
          <w:tcPr>
            <w:tcW w:w="963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5F7ABD3">
            <w:pPr>
              <w:keepNext w:val="0"/>
              <w:keepLines w:val="0"/>
              <w:widowControl/>
              <w:suppressLineNumbers w:val="0"/>
              <w:wordWrap w:val="0"/>
              <w:spacing w:before="0" w:beforeAutospacing="0" w:after="0" w:afterAutospacing="0" w:line="360" w:lineRule="atLeast"/>
              <w:ind w:left="0" w:leftChars="0" w:right="0" w:firstLine="0" w:firstLineChars="0"/>
              <w:jc w:val="center"/>
              <w:rPr>
                <w:rFonts w:hint="eastAsia" w:ascii="宋体" w:hAnsi="宋体" w:eastAsia="宋体" w:cs="宋体"/>
                <w:i w:val="0"/>
                <w:iCs w:val="0"/>
                <w:caps w:val="0"/>
                <w:color w:val="333333"/>
                <w:spacing w:val="0"/>
                <w:sz w:val="21"/>
                <w:szCs w:val="21"/>
                <w:lang w:eastAsia="zh-CN"/>
              </w:rPr>
            </w:pPr>
            <w:r>
              <w:rPr>
                <w:rFonts w:hint="eastAsia" w:ascii="宋体" w:hAnsi="宋体" w:eastAsia="宋体" w:cs="宋体"/>
                <w:i w:val="0"/>
                <w:iCs w:val="0"/>
                <w:caps w:val="0"/>
                <w:color w:val="333333"/>
                <w:spacing w:val="0"/>
                <w:sz w:val="21"/>
                <w:szCs w:val="21"/>
                <w:lang w:eastAsia="zh-CN"/>
              </w:rPr>
              <w:t>谷物细粉</w:t>
            </w:r>
          </w:p>
        </w:tc>
        <w:tc>
          <w:tcPr>
            <w:tcW w:w="963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BA0110E">
            <w:pPr>
              <w:keepNext w:val="0"/>
              <w:keepLines w:val="0"/>
              <w:widowControl/>
              <w:suppressLineNumbers w:val="0"/>
              <w:wordWrap w:val="0"/>
              <w:spacing w:before="0" w:beforeAutospacing="0" w:after="0" w:afterAutospacing="0" w:line="360" w:lineRule="atLeast"/>
              <w:ind w:left="0" w:leftChars="0" w:right="0" w:firstLine="0" w:firstLineChars="0"/>
              <w:jc w:val="center"/>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rPr>
              <w:t>米、面、油、肉、蛋类采购</w:t>
            </w:r>
          </w:p>
        </w:tc>
        <w:tc>
          <w:tcPr>
            <w:tcW w:w="963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62E09D2">
            <w:pPr>
              <w:keepNext w:val="0"/>
              <w:keepLines w:val="0"/>
              <w:widowControl/>
              <w:suppressLineNumbers w:val="0"/>
              <w:wordWrap w:val="0"/>
              <w:spacing w:before="0" w:beforeAutospacing="0" w:after="0" w:afterAutospacing="0" w:line="360" w:lineRule="atLeast"/>
              <w:ind w:left="0" w:leftChars="0" w:right="0" w:firstLine="0" w:firstLineChars="0"/>
              <w:jc w:val="center"/>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kern w:val="0"/>
                <w:sz w:val="21"/>
                <w:szCs w:val="21"/>
                <w:highlight w:val="none"/>
                <w:lang w:val="en-US" w:eastAsia="zh-CN" w:bidi="ar"/>
              </w:rPr>
              <w:t>1(项)</w:t>
            </w:r>
          </w:p>
        </w:tc>
        <w:tc>
          <w:tcPr>
            <w:tcW w:w="963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79CD7EB">
            <w:pPr>
              <w:keepNext w:val="0"/>
              <w:keepLines w:val="0"/>
              <w:widowControl/>
              <w:suppressLineNumbers w:val="0"/>
              <w:wordWrap w:val="0"/>
              <w:spacing w:before="0" w:beforeAutospacing="0" w:after="0" w:afterAutospacing="0" w:line="360" w:lineRule="atLeast"/>
              <w:ind w:left="0" w:leftChars="0" w:right="0" w:firstLine="0" w:firstLineChars="0"/>
              <w:jc w:val="center"/>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kern w:val="0"/>
                <w:sz w:val="21"/>
                <w:szCs w:val="21"/>
                <w:lang w:val="en-US" w:eastAsia="zh-CN" w:bidi="ar"/>
              </w:rPr>
              <w:t>详见采购文件</w:t>
            </w:r>
          </w:p>
        </w:tc>
        <w:tc>
          <w:tcPr>
            <w:tcW w:w="963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3F89589">
            <w:pPr>
              <w:keepNext w:val="0"/>
              <w:keepLines w:val="0"/>
              <w:widowControl/>
              <w:suppressLineNumbers w:val="0"/>
              <w:wordWrap/>
              <w:spacing w:before="0" w:beforeAutospacing="0" w:after="0" w:afterAutospacing="0" w:line="360" w:lineRule="atLeast"/>
              <w:ind w:left="0" w:leftChars="0" w:right="0" w:firstLine="0" w:firstLineChars="0"/>
              <w:jc w:val="center"/>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kern w:val="0"/>
                <w:sz w:val="21"/>
                <w:szCs w:val="21"/>
                <w:lang w:val="en-US" w:eastAsia="zh-CN" w:bidi="ar"/>
              </w:rPr>
              <w:t>1677000.00</w:t>
            </w:r>
          </w:p>
        </w:tc>
        <w:tc>
          <w:tcPr>
            <w:tcW w:w="963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14D47D8">
            <w:pPr>
              <w:keepNext w:val="0"/>
              <w:keepLines w:val="0"/>
              <w:widowControl/>
              <w:suppressLineNumbers w:val="0"/>
              <w:wordWrap/>
              <w:spacing w:before="0" w:beforeAutospacing="0" w:after="0" w:afterAutospacing="0" w:line="360" w:lineRule="atLeast"/>
              <w:ind w:left="0" w:leftChars="0" w:right="0" w:firstLine="0" w:firstLineChars="0"/>
              <w:jc w:val="center"/>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kern w:val="0"/>
                <w:sz w:val="21"/>
                <w:szCs w:val="21"/>
                <w:lang w:val="en-US" w:eastAsia="zh-CN" w:bidi="ar"/>
              </w:rPr>
              <w:t>1677000.00</w:t>
            </w:r>
          </w:p>
        </w:tc>
      </w:tr>
    </w:tbl>
    <w:p w14:paraId="15FA82C5">
      <w:pPr>
        <w:keepNext w:val="0"/>
        <w:keepLines w:val="0"/>
        <w:pageBreakBefore w:val="0"/>
        <w:widowControl w:val="0"/>
        <w:kinsoku/>
        <w:wordWrap/>
        <w:overflowPunct/>
        <w:topLinePunct w:val="0"/>
        <w:autoSpaceDE/>
        <w:autoSpaceDN/>
        <w:bidi w:val="0"/>
        <w:adjustRightInd/>
        <w:snapToGrid/>
        <w:spacing w:line="480" w:lineRule="exact"/>
        <w:ind w:firstLine="720" w:firstLineChars="300"/>
        <w:textAlignment w:val="auto"/>
        <w:rPr>
          <w:rFonts w:hint="eastAsia" w:ascii="宋体" w:hAnsi="宋体" w:eastAsia="宋体" w:cs="宋体"/>
          <w:sz w:val="24"/>
          <w:szCs w:val="24"/>
        </w:rPr>
      </w:pPr>
      <w:r>
        <w:rPr>
          <w:rFonts w:hint="eastAsia" w:ascii="宋体" w:hAnsi="宋体" w:eastAsia="宋体" w:cs="宋体"/>
          <w:sz w:val="24"/>
          <w:szCs w:val="24"/>
        </w:rPr>
        <w:t>本合同包不接受联合体投标</w:t>
      </w:r>
    </w:p>
    <w:p w14:paraId="1A1D3119">
      <w:pPr>
        <w:keepNext w:val="0"/>
        <w:keepLines w:val="0"/>
        <w:pageBreakBefore w:val="0"/>
        <w:widowControl w:val="0"/>
        <w:kinsoku/>
        <w:wordWrap/>
        <w:overflowPunct/>
        <w:topLinePunct w:val="0"/>
        <w:autoSpaceDE/>
        <w:autoSpaceDN/>
        <w:bidi w:val="0"/>
        <w:adjustRightInd/>
        <w:snapToGrid/>
        <w:spacing w:line="480" w:lineRule="exact"/>
        <w:ind w:firstLine="720" w:firstLineChars="3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rPr>
        <w:t>合同履行</w:t>
      </w:r>
      <w:r>
        <w:rPr>
          <w:rFonts w:hint="eastAsia" w:ascii="宋体" w:hAnsi="宋体" w:eastAsia="宋体" w:cs="宋体"/>
          <w:sz w:val="24"/>
          <w:szCs w:val="24"/>
          <w:highlight w:val="none"/>
        </w:rPr>
        <w:t>期限</w:t>
      </w:r>
      <w:r>
        <w:rPr>
          <w:rFonts w:hint="eastAsia" w:ascii="宋体" w:hAnsi="宋体" w:eastAsia="宋体" w:cs="宋体"/>
          <w:sz w:val="24"/>
          <w:szCs w:val="24"/>
          <w:highlight w:val="none"/>
          <w:lang w:eastAsia="zh-CN"/>
        </w:rPr>
        <w:t>：一学年（2026年8月-2027年7月），具体以采购人要求为准。</w:t>
      </w:r>
    </w:p>
    <w:p w14:paraId="646D3B6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w:t>
      </w:r>
      <w:r>
        <w:rPr>
          <w:rFonts w:hint="eastAsia" w:ascii="宋体" w:hAnsi="宋体" w:eastAsia="宋体" w:cs="宋体"/>
          <w:sz w:val="24"/>
          <w:szCs w:val="24"/>
          <w:lang w:val="en-US" w:eastAsia="zh-CN"/>
        </w:rPr>
        <w:t>4</w:t>
      </w:r>
      <w:r>
        <w:rPr>
          <w:rFonts w:hint="eastAsia" w:ascii="宋体" w:hAnsi="宋体" w:eastAsia="宋体" w:cs="宋体"/>
          <w:sz w:val="24"/>
          <w:szCs w:val="24"/>
        </w:rPr>
        <w:t>(</w:t>
      </w:r>
      <w:r>
        <w:rPr>
          <w:rFonts w:hint="eastAsia" w:ascii="宋体" w:hAnsi="宋体" w:eastAsia="宋体" w:cs="宋体"/>
          <w:sz w:val="24"/>
          <w:szCs w:val="24"/>
          <w:lang w:eastAsia="zh-CN"/>
        </w:rPr>
        <w:t>扶风县农村义务教育学生营养改善计划学校食堂食材采购</w:t>
      </w:r>
      <w:r>
        <w:rPr>
          <w:rFonts w:hint="eastAsia" w:ascii="宋体" w:hAnsi="宋体"/>
          <w:sz w:val="24"/>
          <w:szCs w:val="24"/>
          <w:lang w:val="en-US" w:eastAsia="zh-CN"/>
        </w:rPr>
        <w:t>（四标段）</w:t>
      </w:r>
      <w:r>
        <w:rPr>
          <w:rFonts w:hint="eastAsia" w:ascii="宋体" w:hAnsi="宋体" w:eastAsia="宋体" w:cs="宋体"/>
          <w:sz w:val="24"/>
          <w:szCs w:val="24"/>
        </w:rPr>
        <w:t>):</w:t>
      </w:r>
    </w:p>
    <w:p w14:paraId="1C35CE3D">
      <w:pPr>
        <w:keepNext w:val="0"/>
        <w:keepLines w:val="0"/>
        <w:pageBreakBefore w:val="0"/>
        <w:widowControl w:val="0"/>
        <w:kinsoku/>
        <w:wordWrap/>
        <w:overflowPunct/>
        <w:topLinePunct w:val="0"/>
        <w:autoSpaceDE/>
        <w:autoSpaceDN/>
        <w:bidi w:val="0"/>
        <w:adjustRightInd/>
        <w:snapToGrid/>
        <w:spacing w:line="480" w:lineRule="exact"/>
        <w:ind w:firstLine="720" w:firstLineChars="300"/>
        <w:textAlignment w:val="auto"/>
        <w:rPr>
          <w:rFonts w:hint="eastAsia" w:ascii="宋体" w:hAnsi="宋体" w:eastAsia="宋体" w:cs="宋体"/>
          <w:sz w:val="24"/>
          <w:szCs w:val="24"/>
          <w:highlight w:val="none"/>
        </w:rPr>
      </w:pPr>
      <w:r>
        <w:rPr>
          <w:rFonts w:hint="eastAsia" w:ascii="宋体" w:hAnsi="宋体" w:eastAsia="宋体" w:cs="宋体"/>
          <w:sz w:val="24"/>
          <w:szCs w:val="24"/>
        </w:rPr>
        <w:t>合同包预算金额</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1993000.00</w:t>
      </w:r>
      <w:r>
        <w:rPr>
          <w:rFonts w:hint="eastAsia" w:ascii="宋体" w:hAnsi="宋体" w:eastAsia="宋体" w:cs="宋体"/>
          <w:sz w:val="24"/>
          <w:szCs w:val="24"/>
          <w:highlight w:val="none"/>
        </w:rPr>
        <w:t>元</w:t>
      </w:r>
    </w:p>
    <w:p w14:paraId="5427A176">
      <w:pPr>
        <w:keepNext w:val="0"/>
        <w:keepLines w:val="0"/>
        <w:pageBreakBefore w:val="0"/>
        <w:widowControl w:val="0"/>
        <w:kinsoku/>
        <w:wordWrap/>
        <w:overflowPunct/>
        <w:topLinePunct w:val="0"/>
        <w:autoSpaceDE/>
        <w:autoSpaceDN/>
        <w:bidi w:val="0"/>
        <w:adjustRightInd/>
        <w:snapToGrid/>
        <w:spacing w:line="480" w:lineRule="exact"/>
        <w:ind w:firstLine="720" w:firstLineChars="3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合同包最高限价：</w:t>
      </w:r>
      <w:r>
        <w:rPr>
          <w:rFonts w:hint="eastAsia" w:ascii="宋体" w:hAnsi="宋体" w:eastAsia="宋体" w:cs="宋体"/>
          <w:sz w:val="24"/>
          <w:szCs w:val="24"/>
          <w:highlight w:val="none"/>
          <w:lang w:val="en-US" w:eastAsia="zh-CN"/>
        </w:rPr>
        <w:t>1993000.00</w:t>
      </w:r>
      <w:r>
        <w:rPr>
          <w:rFonts w:hint="eastAsia" w:ascii="宋体" w:hAnsi="宋体" w:eastAsia="宋体" w:cs="宋体"/>
          <w:sz w:val="24"/>
          <w:szCs w:val="24"/>
          <w:highlight w:val="none"/>
        </w:rPr>
        <w:t>元</w:t>
      </w:r>
    </w:p>
    <w:tbl>
      <w:tblPr>
        <w:tblStyle w:val="14"/>
        <w:tblW w:w="10037"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1128"/>
        <w:gridCol w:w="1128"/>
        <w:gridCol w:w="1322"/>
        <w:gridCol w:w="1324"/>
        <w:gridCol w:w="1324"/>
        <w:gridCol w:w="1905"/>
        <w:gridCol w:w="1906"/>
      </w:tblGrid>
      <w:tr w14:paraId="420C135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357" w:hRule="atLeast"/>
          <w:tblHeader/>
          <w:jc w:val="center"/>
        </w:trPr>
        <w:tc>
          <w:tcPr>
            <w:tcW w:w="963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02C2DCC">
            <w:pPr>
              <w:keepNext w:val="0"/>
              <w:keepLines w:val="0"/>
              <w:widowControl/>
              <w:suppressLineNumbers w:val="0"/>
              <w:wordWrap w:val="0"/>
              <w:spacing w:before="0" w:beforeAutospacing="0" w:after="0" w:afterAutospacing="0" w:line="360" w:lineRule="atLeast"/>
              <w:ind w:left="0" w:leftChars="0" w:right="0" w:firstLine="0" w:firstLineChars="0"/>
              <w:jc w:val="center"/>
              <w:rPr>
                <w:rFonts w:hint="eastAsia" w:ascii="宋体" w:hAnsi="宋体" w:eastAsia="宋体" w:cs="宋体"/>
                <w:b/>
                <w:bCs/>
                <w:i w:val="0"/>
                <w:iCs w:val="0"/>
                <w:caps w:val="0"/>
                <w:color w:val="333333"/>
                <w:spacing w:val="0"/>
                <w:sz w:val="21"/>
                <w:szCs w:val="21"/>
              </w:rPr>
            </w:pPr>
            <w:r>
              <w:rPr>
                <w:rFonts w:hint="eastAsia" w:ascii="宋体" w:hAnsi="宋体" w:eastAsia="宋体" w:cs="宋体"/>
                <w:b/>
                <w:bCs/>
                <w:i w:val="0"/>
                <w:iCs w:val="0"/>
                <w:caps w:val="0"/>
                <w:color w:val="333333"/>
                <w:spacing w:val="0"/>
                <w:kern w:val="0"/>
                <w:sz w:val="21"/>
                <w:szCs w:val="21"/>
                <w:lang w:val="en-US" w:eastAsia="zh-CN" w:bidi="ar"/>
              </w:rPr>
              <w:t>品目号</w:t>
            </w:r>
          </w:p>
        </w:tc>
        <w:tc>
          <w:tcPr>
            <w:tcW w:w="963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1B74C8D">
            <w:pPr>
              <w:keepNext w:val="0"/>
              <w:keepLines w:val="0"/>
              <w:widowControl/>
              <w:suppressLineNumbers w:val="0"/>
              <w:wordWrap w:val="0"/>
              <w:spacing w:before="0" w:beforeAutospacing="0" w:after="0" w:afterAutospacing="0" w:line="360" w:lineRule="atLeast"/>
              <w:ind w:left="0" w:leftChars="0" w:right="0" w:firstLine="0" w:firstLineChars="0"/>
              <w:jc w:val="center"/>
              <w:rPr>
                <w:rFonts w:hint="eastAsia" w:ascii="宋体" w:hAnsi="宋体" w:eastAsia="宋体" w:cs="宋体"/>
                <w:b/>
                <w:bCs/>
                <w:i w:val="0"/>
                <w:iCs w:val="0"/>
                <w:caps w:val="0"/>
                <w:color w:val="333333"/>
                <w:spacing w:val="0"/>
                <w:sz w:val="21"/>
                <w:szCs w:val="21"/>
              </w:rPr>
            </w:pPr>
            <w:r>
              <w:rPr>
                <w:rFonts w:hint="eastAsia" w:ascii="宋体" w:hAnsi="宋体" w:eastAsia="宋体" w:cs="宋体"/>
                <w:b/>
                <w:bCs/>
                <w:i w:val="0"/>
                <w:iCs w:val="0"/>
                <w:caps w:val="0"/>
                <w:color w:val="333333"/>
                <w:spacing w:val="0"/>
                <w:kern w:val="0"/>
                <w:sz w:val="21"/>
                <w:szCs w:val="21"/>
                <w:lang w:val="en-US" w:eastAsia="zh-CN" w:bidi="ar"/>
              </w:rPr>
              <w:t>品目名称</w:t>
            </w:r>
          </w:p>
        </w:tc>
        <w:tc>
          <w:tcPr>
            <w:tcW w:w="963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8A6215A">
            <w:pPr>
              <w:keepNext w:val="0"/>
              <w:keepLines w:val="0"/>
              <w:widowControl/>
              <w:suppressLineNumbers w:val="0"/>
              <w:wordWrap w:val="0"/>
              <w:spacing w:before="0" w:beforeAutospacing="0" w:after="0" w:afterAutospacing="0" w:line="360" w:lineRule="atLeast"/>
              <w:ind w:left="0" w:leftChars="0" w:right="0" w:firstLine="0" w:firstLineChars="0"/>
              <w:jc w:val="center"/>
              <w:rPr>
                <w:rFonts w:hint="eastAsia" w:ascii="宋体" w:hAnsi="宋体" w:eastAsia="宋体" w:cs="宋体"/>
                <w:b/>
                <w:bCs/>
                <w:i w:val="0"/>
                <w:iCs w:val="0"/>
                <w:caps w:val="0"/>
                <w:color w:val="333333"/>
                <w:spacing w:val="0"/>
                <w:sz w:val="21"/>
                <w:szCs w:val="21"/>
              </w:rPr>
            </w:pPr>
            <w:r>
              <w:rPr>
                <w:rFonts w:hint="eastAsia" w:ascii="宋体" w:hAnsi="宋体" w:eastAsia="宋体" w:cs="宋体"/>
                <w:b/>
                <w:bCs/>
                <w:i w:val="0"/>
                <w:iCs w:val="0"/>
                <w:caps w:val="0"/>
                <w:color w:val="333333"/>
                <w:spacing w:val="0"/>
                <w:kern w:val="0"/>
                <w:sz w:val="21"/>
                <w:szCs w:val="21"/>
                <w:lang w:val="en-US" w:eastAsia="zh-CN" w:bidi="ar"/>
              </w:rPr>
              <w:t>采购标的</w:t>
            </w:r>
          </w:p>
        </w:tc>
        <w:tc>
          <w:tcPr>
            <w:tcW w:w="963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3260839">
            <w:pPr>
              <w:keepNext w:val="0"/>
              <w:keepLines w:val="0"/>
              <w:widowControl/>
              <w:suppressLineNumbers w:val="0"/>
              <w:wordWrap w:val="0"/>
              <w:spacing w:before="0" w:beforeAutospacing="0" w:after="0" w:afterAutospacing="0" w:line="360" w:lineRule="atLeast"/>
              <w:ind w:left="0" w:leftChars="0" w:right="0" w:firstLine="0" w:firstLineChars="0"/>
              <w:jc w:val="center"/>
              <w:rPr>
                <w:rFonts w:hint="eastAsia" w:ascii="宋体" w:hAnsi="宋体" w:eastAsia="宋体" w:cs="宋体"/>
                <w:b/>
                <w:bCs/>
                <w:i w:val="0"/>
                <w:iCs w:val="0"/>
                <w:caps w:val="0"/>
                <w:color w:val="333333"/>
                <w:spacing w:val="0"/>
                <w:sz w:val="21"/>
                <w:szCs w:val="21"/>
              </w:rPr>
            </w:pPr>
            <w:r>
              <w:rPr>
                <w:rFonts w:hint="eastAsia" w:ascii="宋体" w:hAnsi="宋体" w:eastAsia="宋体" w:cs="宋体"/>
                <w:b/>
                <w:bCs/>
                <w:i w:val="0"/>
                <w:iCs w:val="0"/>
                <w:caps w:val="0"/>
                <w:color w:val="333333"/>
                <w:spacing w:val="0"/>
                <w:kern w:val="0"/>
                <w:sz w:val="21"/>
                <w:szCs w:val="21"/>
                <w:lang w:val="en-US" w:eastAsia="zh-CN" w:bidi="ar"/>
              </w:rPr>
              <w:t>数量（单位）</w:t>
            </w:r>
          </w:p>
        </w:tc>
        <w:tc>
          <w:tcPr>
            <w:tcW w:w="963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7365898">
            <w:pPr>
              <w:keepNext w:val="0"/>
              <w:keepLines w:val="0"/>
              <w:widowControl/>
              <w:suppressLineNumbers w:val="0"/>
              <w:wordWrap w:val="0"/>
              <w:spacing w:before="0" w:beforeAutospacing="0" w:after="0" w:afterAutospacing="0" w:line="360" w:lineRule="atLeast"/>
              <w:ind w:left="0" w:leftChars="0" w:right="0" w:firstLine="0" w:firstLineChars="0"/>
              <w:jc w:val="center"/>
              <w:rPr>
                <w:rFonts w:hint="eastAsia" w:ascii="宋体" w:hAnsi="宋体" w:eastAsia="宋体" w:cs="宋体"/>
                <w:b/>
                <w:bCs/>
                <w:i w:val="0"/>
                <w:iCs w:val="0"/>
                <w:caps w:val="0"/>
                <w:color w:val="333333"/>
                <w:spacing w:val="0"/>
                <w:sz w:val="21"/>
                <w:szCs w:val="21"/>
              </w:rPr>
            </w:pPr>
            <w:r>
              <w:rPr>
                <w:rFonts w:hint="eastAsia" w:ascii="宋体" w:hAnsi="宋体" w:eastAsia="宋体" w:cs="宋体"/>
                <w:b/>
                <w:bCs/>
                <w:i w:val="0"/>
                <w:iCs w:val="0"/>
                <w:caps w:val="0"/>
                <w:color w:val="333333"/>
                <w:spacing w:val="0"/>
                <w:kern w:val="0"/>
                <w:sz w:val="21"/>
                <w:szCs w:val="21"/>
                <w:lang w:val="en-US" w:eastAsia="zh-CN" w:bidi="ar"/>
              </w:rPr>
              <w:t>技术规格、参数及要求</w:t>
            </w:r>
          </w:p>
        </w:tc>
        <w:tc>
          <w:tcPr>
            <w:tcW w:w="963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C9F3AA1">
            <w:pPr>
              <w:keepNext w:val="0"/>
              <w:keepLines w:val="0"/>
              <w:widowControl/>
              <w:suppressLineNumbers w:val="0"/>
              <w:wordWrap w:val="0"/>
              <w:spacing w:before="0" w:beforeAutospacing="0" w:after="0" w:afterAutospacing="0" w:line="360" w:lineRule="atLeast"/>
              <w:ind w:left="0" w:leftChars="0" w:right="0" w:firstLine="0" w:firstLineChars="0"/>
              <w:jc w:val="center"/>
              <w:rPr>
                <w:rFonts w:hint="eastAsia" w:ascii="宋体" w:hAnsi="宋体" w:eastAsia="宋体" w:cs="宋体"/>
                <w:b/>
                <w:bCs/>
                <w:i w:val="0"/>
                <w:iCs w:val="0"/>
                <w:caps w:val="0"/>
                <w:color w:val="333333"/>
                <w:spacing w:val="0"/>
                <w:sz w:val="21"/>
                <w:szCs w:val="21"/>
              </w:rPr>
            </w:pPr>
            <w:r>
              <w:rPr>
                <w:rFonts w:hint="eastAsia" w:ascii="宋体" w:hAnsi="宋体" w:eastAsia="宋体" w:cs="宋体"/>
                <w:b/>
                <w:bCs/>
                <w:i w:val="0"/>
                <w:iCs w:val="0"/>
                <w:caps w:val="0"/>
                <w:color w:val="333333"/>
                <w:spacing w:val="0"/>
                <w:kern w:val="0"/>
                <w:sz w:val="21"/>
                <w:szCs w:val="21"/>
                <w:lang w:val="en-US" w:eastAsia="zh-CN" w:bidi="ar"/>
              </w:rPr>
              <w:t>品目预算(元)</w:t>
            </w:r>
          </w:p>
        </w:tc>
        <w:tc>
          <w:tcPr>
            <w:tcW w:w="963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6041A82">
            <w:pPr>
              <w:keepNext w:val="0"/>
              <w:keepLines w:val="0"/>
              <w:widowControl/>
              <w:suppressLineNumbers w:val="0"/>
              <w:wordWrap w:val="0"/>
              <w:spacing w:before="0" w:beforeAutospacing="0" w:after="0" w:afterAutospacing="0" w:line="360" w:lineRule="atLeast"/>
              <w:ind w:left="0" w:leftChars="0" w:right="0" w:firstLine="0" w:firstLineChars="0"/>
              <w:jc w:val="center"/>
              <w:rPr>
                <w:rFonts w:hint="eastAsia" w:ascii="宋体" w:hAnsi="宋体" w:eastAsia="宋体" w:cs="宋体"/>
                <w:b/>
                <w:bCs/>
                <w:i w:val="0"/>
                <w:iCs w:val="0"/>
                <w:caps w:val="0"/>
                <w:color w:val="333333"/>
                <w:spacing w:val="0"/>
                <w:sz w:val="21"/>
                <w:szCs w:val="21"/>
              </w:rPr>
            </w:pPr>
            <w:r>
              <w:rPr>
                <w:rFonts w:hint="eastAsia" w:ascii="宋体" w:hAnsi="宋体" w:eastAsia="宋体" w:cs="宋体"/>
                <w:b/>
                <w:bCs/>
                <w:i w:val="0"/>
                <w:iCs w:val="0"/>
                <w:caps w:val="0"/>
                <w:color w:val="333333"/>
                <w:spacing w:val="0"/>
                <w:kern w:val="0"/>
                <w:sz w:val="21"/>
                <w:szCs w:val="21"/>
                <w:lang w:val="en-US" w:eastAsia="zh-CN" w:bidi="ar"/>
              </w:rPr>
              <w:t>最高限价(元)</w:t>
            </w:r>
          </w:p>
        </w:tc>
      </w:tr>
      <w:tr w14:paraId="4095EB3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2316" w:hRule="atLeast"/>
          <w:jc w:val="center"/>
        </w:trPr>
        <w:tc>
          <w:tcPr>
            <w:tcW w:w="963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34C9ABE">
            <w:pPr>
              <w:keepNext w:val="0"/>
              <w:keepLines w:val="0"/>
              <w:widowControl/>
              <w:suppressLineNumbers w:val="0"/>
              <w:wordWrap w:val="0"/>
              <w:spacing w:before="0" w:beforeAutospacing="0" w:after="0" w:afterAutospacing="0" w:line="360" w:lineRule="atLeast"/>
              <w:ind w:left="0" w:leftChars="0" w:right="0" w:firstLine="0" w:firstLineChars="0"/>
              <w:jc w:val="center"/>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kern w:val="0"/>
                <w:sz w:val="21"/>
                <w:szCs w:val="21"/>
                <w:highlight w:val="none"/>
                <w:lang w:val="en-US" w:eastAsia="zh-CN" w:bidi="ar"/>
              </w:rPr>
              <w:t>4-1</w:t>
            </w:r>
          </w:p>
        </w:tc>
        <w:tc>
          <w:tcPr>
            <w:tcW w:w="963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E11D629">
            <w:pPr>
              <w:keepNext w:val="0"/>
              <w:keepLines w:val="0"/>
              <w:widowControl/>
              <w:suppressLineNumbers w:val="0"/>
              <w:wordWrap w:val="0"/>
              <w:spacing w:before="0" w:beforeAutospacing="0" w:after="0" w:afterAutospacing="0" w:line="360" w:lineRule="atLeast"/>
              <w:ind w:left="0" w:leftChars="0" w:right="0" w:firstLine="0" w:firstLineChars="0"/>
              <w:jc w:val="center"/>
              <w:rPr>
                <w:rFonts w:hint="eastAsia" w:ascii="宋体" w:hAnsi="宋体" w:eastAsia="宋体" w:cs="宋体"/>
                <w:i w:val="0"/>
                <w:iCs w:val="0"/>
                <w:caps w:val="0"/>
                <w:color w:val="333333"/>
                <w:spacing w:val="0"/>
                <w:sz w:val="21"/>
                <w:szCs w:val="21"/>
                <w:lang w:eastAsia="zh-CN"/>
              </w:rPr>
            </w:pPr>
            <w:r>
              <w:rPr>
                <w:rFonts w:hint="eastAsia" w:ascii="宋体" w:hAnsi="宋体" w:eastAsia="宋体" w:cs="宋体"/>
                <w:i w:val="0"/>
                <w:iCs w:val="0"/>
                <w:caps w:val="0"/>
                <w:color w:val="333333"/>
                <w:spacing w:val="0"/>
                <w:sz w:val="21"/>
                <w:szCs w:val="21"/>
                <w:lang w:eastAsia="zh-CN"/>
              </w:rPr>
              <w:t>谷物细粉</w:t>
            </w:r>
          </w:p>
        </w:tc>
        <w:tc>
          <w:tcPr>
            <w:tcW w:w="963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AF6FFA7">
            <w:pPr>
              <w:keepNext w:val="0"/>
              <w:keepLines w:val="0"/>
              <w:widowControl/>
              <w:suppressLineNumbers w:val="0"/>
              <w:wordWrap w:val="0"/>
              <w:spacing w:before="0" w:beforeAutospacing="0" w:after="0" w:afterAutospacing="0" w:line="360" w:lineRule="atLeast"/>
              <w:ind w:left="0" w:leftChars="0" w:right="0" w:firstLine="0" w:firstLineChars="0"/>
              <w:jc w:val="center"/>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rPr>
              <w:t>米、面、油、肉、蛋类采购</w:t>
            </w:r>
          </w:p>
        </w:tc>
        <w:tc>
          <w:tcPr>
            <w:tcW w:w="963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FFF0EB9">
            <w:pPr>
              <w:keepNext w:val="0"/>
              <w:keepLines w:val="0"/>
              <w:widowControl/>
              <w:suppressLineNumbers w:val="0"/>
              <w:wordWrap w:val="0"/>
              <w:spacing w:before="0" w:beforeAutospacing="0" w:after="0" w:afterAutospacing="0" w:line="360" w:lineRule="atLeast"/>
              <w:ind w:left="0" w:leftChars="0" w:right="0" w:firstLine="0" w:firstLineChars="0"/>
              <w:jc w:val="center"/>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kern w:val="0"/>
                <w:sz w:val="21"/>
                <w:szCs w:val="21"/>
                <w:highlight w:val="none"/>
                <w:lang w:val="en-US" w:eastAsia="zh-CN" w:bidi="ar"/>
              </w:rPr>
              <w:t>1(项)</w:t>
            </w:r>
          </w:p>
        </w:tc>
        <w:tc>
          <w:tcPr>
            <w:tcW w:w="963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C2393D1">
            <w:pPr>
              <w:keepNext w:val="0"/>
              <w:keepLines w:val="0"/>
              <w:widowControl/>
              <w:suppressLineNumbers w:val="0"/>
              <w:wordWrap w:val="0"/>
              <w:spacing w:before="0" w:beforeAutospacing="0" w:after="0" w:afterAutospacing="0" w:line="360" w:lineRule="atLeast"/>
              <w:ind w:left="0" w:leftChars="0" w:right="0" w:firstLine="0" w:firstLineChars="0"/>
              <w:jc w:val="center"/>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kern w:val="0"/>
                <w:sz w:val="21"/>
                <w:szCs w:val="21"/>
                <w:lang w:val="en-US" w:eastAsia="zh-CN" w:bidi="ar"/>
              </w:rPr>
              <w:t>详见采购文件</w:t>
            </w:r>
          </w:p>
        </w:tc>
        <w:tc>
          <w:tcPr>
            <w:tcW w:w="963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7E6693A">
            <w:pPr>
              <w:keepNext w:val="0"/>
              <w:keepLines w:val="0"/>
              <w:widowControl/>
              <w:suppressLineNumbers w:val="0"/>
              <w:wordWrap/>
              <w:spacing w:before="0" w:beforeAutospacing="0" w:after="0" w:afterAutospacing="0" w:line="360" w:lineRule="atLeast"/>
              <w:ind w:left="0" w:leftChars="0" w:right="0" w:firstLine="0" w:firstLineChars="0"/>
              <w:jc w:val="center"/>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kern w:val="0"/>
                <w:sz w:val="21"/>
                <w:szCs w:val="21"/>
                <w:lang w:val="en-US" w:eastAsia="zh-CN" w:bidi="ar"/>
              </w:rPr>
              <w:t>1993000.00</w:t>
            </w:r>
          </w:p>
        </w:tc>
        <w:tc>
          <w:tcPr>
            <w:tcW w:w="963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834ED88">
            <w:pPr>
              <w:keepNext w:val="0"/>
              <w:keepLines w:val="0"/>
              <w:widowControl/>
              <w:suppressLineNumbers w:val="0"/>
              <w:wordWrap/>
              <w:spacing w:before="0" w:beforeAutospacing="0" w:after="0" w:afterAutospacing="0" w:line="360" w:lineRule="atLeast"/>
              <w:ind w:left="0" w:leftChars="0" w:right="0" w:firstLine="0" w:firstLineChars="0"/>
              <w:jc w:val="center"/>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kern w:val="0"/>
                <w:sz w:val="21"/>
                <w:szCs w:val="21"/>
                <w:lang w:val="en-US" w:eastAsia="zh-CN" w:bidi="ar"/>
              </w:rPr>
              <w:t>1993000.00</w:t>
            </w:r>
          </w:p>
        </w:tc>
      </w:tr>
    </w:tbl>
    <w:p w14:paraId="7E746945">
      <w:pPr>
        <w:keepNext w:val="0"/>
        <w:keepLines w:val="0"/>
        <w:pageBreakBefore w:val="0"/>
        <w:widowControl w:val="0"/>
        <w:kinsoku/>
        <w:wordWrap/>
        <w:overflowPunct/>
        <w:topLinePunct w:val="0"/>
        <w:autoSpaceDE/>
        <w:autoSpaceDN/>
        <w:bidi w:val="0"/>
        <w:adjustRightInd/>
        <w:snapToGrid/>
        <w:spacing w:line="480" w:lineRule="exact"/>
        <w:ind w:firstLine="720" w:firstLineChars="300"/>
        <w:textAlignment w:val="auto"/>
        <w:rPr>
          <w:rFonts w:hint="eastAsia" w:ascii="宋体" w:hAnsi="宋体" w:eastAsia="宋体" w:cs="宋体"/>
          <w:sz w:val="24"/>
          <w:szCs w:val="24"/>
        </w:rPr>
      </w:pPr>
      <w:r>
        <w:rPr>
          <w:rFonts w:hint="eastAsia" w:ascii="宋体" w:hAnsi="宋体" w:eastAsia="宋体" w:cs="宋体"/>
          <w:sz w:val="24"/>
          <w:szCs w:val="24"/>
        </w:rPr>
        <w:t>本合同包不接受联合体投标</w:t>
      </w:r>
    </w:p>
    <w:p w14:paraId="64EE8F1B">
      <w:pPr>
        <w:keepNext w:val="0"/>
        <w:keepLines w:val="0"/>
        <w:pageBreakBefore w:val="0"/>
        <w:widowControl w:val="0"/>
        <w:kinsoku/>
        <w:wordWrap/>
        <w:overflowPunct/>
        <w:topLinePunct w:val="0"/>
        <w:autoSpaceDE/>
        <w:autoSpaceDN/>
        <w:bidi w:val="0"/>
        <w:adjustRightInd/>
        <w:snapToGrid/>
        <w:spacing w:line="480" w:lineRule="exact"/>
        <w:ind w:firstLine="720" w:firstLineChars="3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rPr>
        <w:t>合同履行</w:t>
      </w:r>
      <w:r>
        <w:rPr>
          <w:rFonts w:hint="eastAsia" w:ascii="宋体" w:hAnsi="宋体" w:eastAsia="宋体" w:cs="宋体"/>
          <w:sz w:val="24"/>
          <w:szCs w:val="24"/>
          <w:highlight w:val="none"/>
        </w:rPr>
        <w:t>期限</w:t>
      </w:r>
      <w:r>
        <w:rPr>
          <w:rFonts w:hint="eastAsia" w:ascii="宋体" w:hAnsi="宋体" w:eastAsia="宋体" w:cs="宋体"/>
          <w:sz w:val="24"/>
          <w:szCs w:val="24"/>
          <w:highlight w:val="none"/>
          <w:lang w:eastAsia="zh-CN"/>
        </w:rPr>
        <w:t>：一学年（2026年8月-2027年7月），具体以采购人要求为准。</w:t>
      </w:r>
    </w:p>
    <w:p w14:paraId="0DB79970">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二、申请人的资格要求：</w:t>
      </w:r>
    </w:p>
    <w:p w14:paraId="641B1F0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14:paraId="76964FB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14:paraId="0BEB2D91">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合同包1(</w:t>
      </w:r>
      <w:r>
        <w:rPr>
          <w:rFonts w:hint="eastAsia" w:ascii="宋体" w:hAnsi="宋体" w:eastAsia="宋体" w:cs="宋体"/>
          <w:sz w:val="24"/>
          <w:szCs w:val="24"/>
          <w:lang w:eastAsia="zh-CN"/>
        </w:rPr>
        <w:t>扶风县农村义务教育学生营养改善计划学校食堂食材采购</w:t>
      </w:r>
      <w:r>
        <w:rPr>
          <w:rFonts w:hint="eastAsia" w:ascii="宋体" w:hAnsi="宋体"/>
          <w:sz w:val="24"/>
          <w:szCs w:val="24"/>
          <w:lang w:val="en-US" w:eastAsia="zh-CN"/>
        </w:rPr>
        <w:t>（一标段）</w:t>
      </w:r>
      <w:r>
        <w:rPr>
          <w:rFonts w:hint="eastAsia" w:ascii="宋体" w:hAnsi="宋体" w:eastAsia="宋体" w:cs="宋体"/>
          <w:sz w:val="24"/>
          <w:szCs w:val="24"/>
        </w:rPr>
        <w:t>)落实政府采购政策需满足的资格要求如下:</w:t>
      </w:r>
    </w:p>
    <w:p w14:paraId="6BFB52C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（1）《政府采购促进中小企业发展管理办法》（财库〔2020〕46号）；</w:t>
      </w:r>
    </w:p>
    <w:p w14:paraId="58B23A5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（2）《财政部、司法部关于政府采购支持监狱企业发展有关问题的通知》（财库〔2014〕68号）；</w:t>
      </w:r>
    </w:p>
    <w:p w14:paraId="2040AA3A">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（3）《民政部、财政部、中国残疾人联合会关于促进残疾人就业政府采购政策的通知》（财库〔2017〕141号）；</w:t>
      </w:r>
    </w:p>
    <w:p w14:paraId="13C3FBF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（4）《财政部办公厅关于政府采购进口产品管理有关问题的通知》（财办库</w:t>
      </w:r>
      <w:r>
        <w:rPr>
          <w:rFonts w:hint="eastAsia" w:ascii="宋体" w:hAnsi="宋体" w:eastAsia="宋体" w:cs="宋体"/>
          <w:sz w:val="24"/>
          <w:szCs w:val="24"/>
          <w:lang w:eastAsia="zh-CN"/>
        </w:rPr>
        <w:t>〔2008〕248号</w:t>
      </w:r>
      <w:r>
        <w:rPr>
          <w:rFonts w:hint="eastAsia" w:ascii="宋体" w:hAnsi="宋体" w:eastAsia="宋体" w:cs="宋体"/>
          <w:sz w:val="24"/>
          <w:szCs w:val="24"/>
        </w:rPr>
        <w:t>）；</w:t>
      </w:r>
    </w:p>
    <w:p w14:paraId="2EDB32B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（5）《关于印发环境标志产品政府采购品目清单的通知》（财库〔2019〕18号）；</w:t>
      </w:r>
    </w:p>
    <w:p w14:paraId="7B422D2F">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（6）《关于印发节能产品政府采购品目清单的通知》（财库〔2019〕19号）；</w:t>
      </w:r>
    </w:p>
    <w:p w14:paraId="5E79204F">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（7）《关于进一步加强政府绿色采购有关问题的通知》（陕财办采〔2021〕29号）</w:t>
      </w:r>
    </w:p>
    <w:p w14:paraId="0AE6355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（8）《财政部发展改革委生态环境部市场监管总局关于调整优化节能产品、环境标志产品 政府采购执行机制的通知》（财库〔2019〕9号）；</w:t>
      </w:r>
    </w:p>
    <w:p w14:paraId="5290AEDC">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（9）《陕西省财政厅关于加快推进我省中小企业政府采购信用融资工作的通知》 （陕财办 采〔2020〕15 号）；</w:t>
      </w:r>
    </w:p>
    <w:p w14:paraId="7C06892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（10）《关于运用政府采购政策支持乡村产业振兴的通知》（财库〔2021〕19号）；</w:t>
      </w:r>
    </w:p>
    <w:p w14:paraId="6EEF84F8">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（11）《关于深入开展政府采购脱贫地区农副产品工作推进乡村产业振兴的实施意见》的通 知（财库〔2021〕20号）；</w:t>
      </w:r>
    </w:p>
    <w:p w14:paraId="0E19FD2B">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（12）《财政部关于进一步加大政府采购支持中小企业力度的通知》（财库〔2022〕19号）；</w:t>
      </w:r>
    </w:p>
    <w:p w14:paraId="6EBD0DE8">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（13）《关于推动解决政府采购异常低价问题的通知》（财库〔2026〕2号）；</w:t>
      </w:r>
    </w:p>
    <w:p w14:paraId="5AB0D33B">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（14）其他需要落实的政府采购政策（如有最新颁布的政府采购政策，按最新的文件执行）。</w:t>
      </w:r>
    </w:p>
    <w:p w14:paraId="21A05DCD">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合同包2(</w:t>
      </w:r>
      <w:r>
        <w:rPr>
          <w:rFonts w:hint="eastAsia" w:ascii="宋体" w:hAnsi="宋体" w:eastAsia="宋体" w:cs="宋体"/>
          <w:sz w:val="24"/>
          <w:szCs w:val="24"/>
          <w:lang w:eastAsia="zh-CN"/>
        </w:rPr>
        <w:t>扶风县农村义务教育学生营养改善计划学校食堂食材采购</w:t>
      </w:r>
      <w:r>
        <w:rPr>
          <w:rFonts w:hint="eastAsia" w:ascii="宋体" w:hAnsi="宋体"/>
          <w:sz w:val="24"/>
          <w:szCs w:val="24"/>
          <w:lang w:val="en-US" w:eastAsia="zh-CN"/>
        </w:rPr>
        <w:t>（二标段）</w:t>
      </w:r>
      <w:r>
        <w:rPr>
          <w:rFonts w:hint="eastAsia" w:ascii="宋体" w:hAnsi="宋体" w:eastAsia="宋体" w:cs="宋体"/>
          <w:sz w:val="24"/>
          <w:szCs w:val="24"/>
        </w:rPr>
        <w:t>)落实政府采购政策需满足的资格要求如下:</w:t>
      </w:r>
    </w:p>
    <w:p w14:paraId="4397B99D">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同一标段</w:t>
      </w:r>
    </w:p>
    <w:p w14:paraId="0E2AEA9B">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合同包3(</w:t>
      </w:r>
      <w:r>
        <w:rPr>
          <w:rFonts w:hint="eastAsia" w:ascii="宋体" w:hAnsi="宋体" w:eastAsia="宋体" w:cs="宋体"/>
          <w:sz w:val="24"/>
          <w:szCs w:val="24"/>
          <w:lang w:eastAsia="zh-CN"/>
        </w:rPr>
        <w:t>扶风县农村义务教育学生营养改善计划学校食堂食材采购</w:t>
      </w:r>
      <w:r>
        <w:rPr>
          <w:rFonts w:hint="eastAsia" w:ascii="宋体" w:hAnsi="宋体"/>
          <w:sz w:val="24"/>
          <w:szCs w:val="24"/>
          <w:lang w:val="en-US" w:eastAsia="zh-CN"/>
        </w:rPr>
        <w:t>（三标段）</w:t>
      </w:r>
      <w:r>
        <w:rPr>
          <w:rFonts w:hint="eastAsia" w:ascii="宋体" w:hAnsi="宋体" w:eastAsia="宋体" w:cs="宋体"/>
          <w:sz w:val="24"/>
          <w:szCs w:val="24"/>
        </w:rPr>
        <w:t>)落实政府采购政策需满足的资格要求如下:</w:t>
      </w:r>
    </w:p>
    <w:p w14:paraId="148E815C">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同一标段。</w:t>
      </w:r>
    </w:p>
    <w:p w14:paraId="1715FD8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合同包4(</w:t>
      </w:r>
      <w:r>
        <w:rPr>
          <w:rFonts w:hint="eastAsia" w:ascii="宋体" w:hAnsi="宋体" w:eastAsia="宋体" w:cs="宋体"/>
          <w:sz w:val="24"/>
          <w:szCs w:val="24"/>
          <w:lang w:eastAsia="zh-CN"/>
        </w:rPr>
        <w:t>扶风县农村义务教育学生营养改善计划学校食堂食材采购</w:t>
      </w:r>
      <w:r>
        <w:rPr>
          <w:rFonts w:hint="eastAsia" w:ascii="宋体" w:hAnsi="宋体"/>
          <w:sz w:val="24"/>
          <w:szCs w:val="24"/>
          <w:lang w:val="en-US" w:eastAsia="zh-CN"/>
        </w:rPr>
        <w:t>（四标段）</w:t>
      </w:r>
      <w:r>
        <w:rPr>
          <w:rFonts w:hint="eastAsia" w:ascii="宋体" w:hAnsi="宋体" w:eastAsia="宋体" w:cs="宋体"/>
          <w:sz w:val="24"/>
          <w:szCs w:val="24"/>
        </w:rPr>
        <w:t>)落实政府采购政策需满足的资格要求如下:</w:t>
      </w:r>
    </w:p>
    <w:p w14:paraId="38F6810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同一标段</w:t>
      </w:r>
    </w:p>
    <w:p w14:paraId="1FFA7091">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3.本项目的特定资格要求：</w:t>
      </w:r>
    </w:p>
    <w:p w14:paraId="0462971A">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合同包1(</w:t>
      </w:r>
      <w:r>
        <w:rPr>
          <w:rFonts w:hint="eastAsia" w:ascii="宋体" w:hAnsi="宋体" w:eastAsia="宋体" w:cs="宋体"/>
          <w:sz w:val="24"/>
          <w:szCs w:val="24"/>
          <w:lang w:eastAsia="zh-CN"/>
        </w:rPr>
        <w:t>扶风县农村义务教育学生营养改善计划学校食堂食材采购</w:t>
      </w:r>
      <w:r>
        <w:rPr>
          <w:rFonts w:hint="eastAsia" w:ascii="宋体" w:hAnsi="宋体"/>
          <w:sz w:val="24"/>
          <w:szCs w:val="24"/>
          <w:lang w:val="en-US" w:eastAsia="zh-CN"/>
        </w:rPr>
        <w:t>（一标段）</w:t>
      </w:r>
      <w:r>
        <w:rPr>
          <w:rFonts w:hint="eastAsia" w:ascii="宋体" w:hAnsi="宋体" w:eastAsia="宋体" w:cs="宋体"/>
          <w:sz w:val="24"/>
          <w:szCs w:val="24"/>
        </w:rPr>
        <w:t>)特定资格要求如下:</w:t>
      </w:r>
    </w:p>
    <w:p w14:paraId="1635C493">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（1）供应商为合法注册的法人或其他组织或自然人，提供营业执照（或事业法人证）,自然人的身份证明；</w:t>
      </w:r>
    </w:p>
    <w:p w14:paraId="1542C6C5">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（2）法定代表人授权书及被授权人身份证（法定代表人直接参与投标的，只须提交其身份证</w:t>
      </w:r>
      <w:r>
        <w:rPr>
          <w:rFonts w:hint="eastAsia" w:ascii="宋体" w:hAnsi="宋体" w:eastAsia="宋体" w:cs="宋体"/>
          <w:sz w:val="24"/>
          <w:szCs w:val="24"/>
          <w:lang w:eastAsia="zh-CN"/>
        </w:rPr>
        <w:t>明</w:t>
      </w:r>
      <w:r>
        <w:rPr>
          <w:rFonts w:hint="eastAsia" w:ascii="宋体" w:hAnsi="宋体" w:eastAsia="宋体" w:cs="宋体"/>
          <w:sz w:val="24"/>
          <w:szCs w:val="24"/>
        </w:rPr>
        <w:t>）；</w:t>
      </w:r>
    </w:p>
    <w:p w14:paraId="207B0FC9">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eastAsia="zh-CN"/>
        </w:rPr>
        <w:t>供应商为代理商的须提供《食品经营许可证》并提供大米、面粉、菜籽油生产厂家的《食品生产许可证》；供应商为生产厂家的须提供《食品生产许可证》</w:t>
      </w:r>
      <w:r>
        <w:rPr>
          <w:rFonts w:hint="eastAsia" w:ascii="宋体" w:hAnsi="宋体" w:eastAsia="宋体" w:cs="宋体"/>
          <w:sz w:val="24"/>
          <w:szCs w:val="24"/>
        </w:rPr>
        <w:t>；</w:t>
      </w:r>
    </w:p>
    <w:p w14:paraId="61C97364">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）供应商需提供鸡蛋、肉类生产企业有效期内的《动物防疫条件合格证》；鲜肉必须提供定点屠宰厂(场)的《生猪定点屠宰机构》资质；</w:t>
      </w:r>
    </w:p>
    <w:p w14:paraId="69E8178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5</w:t>
      </w:r>
      <w:r>
        <w:rPr>
          <w:rFonts w:hint="eastAsia" w:ascii="宋体" w:hAnsi="宋体" w:eastAsia="宋体" w:cs="宋体"/>
          <w:sz w:val="24"/>
          <w:szCs w:val="24"/>
        </w:rPr>
        <w:t>）具备履行合同所必须的设备和专业技术能力的说明及承诺；</w:t>
      </w:r>
    </w:p>
    <w:p w14:paraId="2753328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6</w:t>
      </w:r>
      <w:r>
        <w:rPr>
          <w:rFonts w:hint="eastAsia" w:ascii="宋体" w:hAnsi="宋体" w:eastAsia="宋体" w:cs="宋体"/>
          <w:sz w:val="24"/>
          <w:szCs w:val="24"/>
        </w:rPr>
        <w:t>）供应商在近三年经营活动中没有重大违法记录的声明；</w:t>
      </w:r>
    </w:p>
    <w:p w14:paraId="776EA433">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7</w:t>
      </w:r>
      <w:r>
        <w:rPr>
          <w:rFonts w:hint="eastAsia" w:ascii="宋体" w:hAnsi="宋体" w:eastAsia="宋体" w:cs="宋体"/>
          <w:sz w:val="24"/>
          <w:szCs w:val="24"/>
        </w:rPr>
        <w:t>）财务状况报告：</w:t>
      </w:r>
      <w:r>
        <w:rPr>
          <w:rFonts w:hint="eastAsia" w:ascii="宋体" w:hAnsi="宋体" w:eastAsia="宋体" w:cs="宋体"/>
          <w:sz w:val="24"/>
          <w:szCs w:val="24"/>
          <w:lang w:eastAsia="zh-CN"/>
        </w:rPr>
        <w:t>供应商提供2025年度经会计事务所或审计机构审计的完整的财务审计报告（成立时间至投标文件递交截止时间不足一年的可提供成立后任意时段的资产负债表）或在投标截止时间前一个月内其开户银行出具的资信证明</w:t>
      </w:r>
      <w:r>
        <w:rPr>
          <w:rFonts w:hint="eastAsia" w:ascii="宋体" w:hAnsi="宋体" w:eastAsia="宋体" w:cs="宋体"/>
          <w:sz w:val="24"/>
          <w:szCs w:val="24"/>
        </w:rPr>
        <w:t>；</w:t>
      </w:r>
    </w:p>
    <w:p w14:paraId="5B7D13F5">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8</w:t>
      </w:r>
      <w:r>
        <w:rPr>
          <w:rFonts w:hint="eastAsia" w:ascii="宋体" w:hAnsi="宋体" w:eastAsia="宋体" w:cs="宋体"/>
          <w:sz w:val="24"/>
          <w:szCs w:val="24"/>
        </w:rPr>
        <w:t>）税收缴纳证明：</w:t>
      </w:r>
      <w:r>
        <w:rPr>
          <w:rFonts w:hint="eastAsia" w:ascii="宋体" w:hAnsi="宋体" w:eastAsia="宋体" w:cs="宋体"/>
          <w:sz w:val="24"/>
          <w:szCs w:val="24"/>
          <w:lang w:eastAsia="zh-CN"/>
        </w:rPr>
        <w:t>供应商提供已缴纳的2026年1月至今任意一个月的纳税证明或完税证明（任意税种）；依法免税的单位应提供相关文件证明</w:t>
      </w:r>
      <w:r>
        <w:rPr>
          <w:rFonts w:hint="eastAsia" w:ascii="宋体" w:hAnsi="宋体" w:eastAsia="宋体" w:cs="宋体"/>
          <w:sz w:val="24"/>
          <w:szCs w:val="24"/>
        </w:rPr>
        <w:t>；</w:t>
      </w:r>
    </w:p>
    <w:p w14:paraId="544F4C18">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9</w:t>
      </w:r>
      <w:r>
        <w:rPr>
          <w:rFonts w:hint="eastAsia" w:ascii="宋体" w:hAnsi="宋体" w:eastAsia="宋体" w:cs="宋体"/>
          <w:sz w:val="24"/>
          <w:szCs w:val="24"/>
        </w:rPr>
        <w:t>）社会保障资金缴纳证明：</w:t>
      </w:r>
      <w:r>
        <w:rPr>
          <w:rFonts w:hint="eastAsia" w:ascii="宋体" w:hAnsi="宋体" w:eastAsia="宋体" w:cs="宋体"/>
          <w:sz w:val="24"/>
          <w:szCs w:val="24"/>
          <w:lang w:eastAsia="zh-CN"/>
        </w:rPr>
        <w:t>供应商提供已缴存的2026年1月至今任意一个月的社会保障资金缴存单据或社保机构开具的社会保险参保缴费情况证明，依法不需要缴纳社会保障资金的单位应提供相关证明材料</w:t>
      </w:r>
      <w:r>
        <w:rPr>
          <w:rFonts w:hint="eastAsia" w:ascii="宋体" w:hAnsi="宋体" w:eastAsia="宋体" w:cs="宋体"/>
          <w:sz w:val="24"/>
          <w:szCs w:val="24"/>
        </w:rPr>
        <w:t>；</w:t>
      </w:r>
    </w:p>
    <w:p w14:paraId="27FA6DEC">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10</w:t>
      </w:r>
      <w:r>
        <w:rPr>
          <w:rFonts w:hint="eastAsia" w:ascii="宋体" w:hAnsi="宋体" w:eastAsia="宋体" w:cs="宋体"/>
          <w:sz w:val="24"/>
          <w:szCs w:val="24"/>
        </w:rPr>
        <w:t>）供应商不得为“信用中国”网站（www.creditchina.gov.cn）中列入失信被执行人和重大税收违法失信主体的供应商，不得为中国政府采购网（www.ccgp.gov.cn）政府采购严重违法失信行为记录名单中被财政部门禁止参加政府采购活动的供应商）（此条无需提供，采购代理机构在评标现场查询）；</w:t>
      </w:r>
    </w:p>
    <w:p w14:paraId="60269BA5">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1</w:t>
      </w:r>
      <w:r>
        <w:rPr>
          <w:rFonts w:hint="eastAsia" w:ascii="宋体" w:hAnsi="宋体" w:eastAsia="宋体" w:cs="宋体"/>
          <w:sz w:val="24"/>
          <w:szCs w:val="24"/>
        </w:rPr>
        <w:t>）</w:t>
      </w:r>
      <w:r>
        <w:rPr>
          <w:rFonts w:hint="eastAsia" w:ascii="宋体" w:hAnsi="宋体" w:eastAsia="宋体" w:cs="宋体"/>
          <w:sz w:val="24"/>
          <w:szCs w:val="24"/>
          <w:lang w:eastAsia="zh-CN"/>
        </w:rPr>
        <w:t>投标保证金交纳凭证（附开户许可证或基本账户存款信息）</w:t>
      </w:r>
      <w:r>
        <w:rPr>
          <w:rFonts w:hint="eastAsia" w:ascii="宋体" w:hAnsi="宋体" w:eastAsia="宋体" w:cs="宋体"/>
          <w:sz w:val="24"/>
          <w:szCs w:val="24"/>
        </w:rPr>
        <w:t>；</w:t>
      </w:r>
    </w:p>
    <w:p w14:paraId="71C2F74F">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（1</w:t>
      </w:r>
      <w:r>
        <w:rPr>
          <w:rFonts w:hint="eastAsia" w:ascii="宋体" w:hAnsi="宋体" w:eastAsia="宋体" w:cs="宋体"/>
          <w:sz w:val="24"/>
          <w:szCs w:val="24"/>
          <w:lang w:val="en-US" w:eastAsia="zh-CN"/>
        </w:rPr>
        <w:t>2</w:t>
      </w:r>
      <w:r>
        <w:rPr>
          <w:rFonts w:hint="eastAsia" w:ascii="宋体" w:hAnsi="宋体" w:eastAsia="宋体" w:cs="宋体"/>
          <w:sz w:val="24"/>
          <w:szCs w:val="24"/>
        </w:rPr>
        <w:t>）本次采购项目不接受联合体投标（提供非联合体承诺书）</w:t>
      </w:r>
      <w:r>
        <w:rPr>
          <w:rFonts w:hint="eastAsia" w:ascii="宋体" w:hAnsi="宋体" w:eastAsia="宋体" w:cs="宋体"/>
          <w:sz w:val="24"/>
          <w:szCs w:val="24"/>
          <w:lang w:eastAsia="zh-CN"/>
        </w:rPr>
        <w:t>；</w:t>
      </w:r>
    </w:p>
    <w:p w14:paraId="3A2C1143">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13</w:t>
      </w:r>
      <w:r>
        <w:rPr>
          <w:rFonts w:hint="eastAsia" w:ascii="宋体" w:hAnsi="宋体" w:eastAsia="宋体" w:cs="宋体"/>
          <w:sz w:val="24"/>
          <w:szCs w:val="24"/>
          <w:lang w:eastAsia="zh-CN"/>
        </w:rPr>
        <w:t>）单位负责人为同一人或者存在直接控股、管理关系的不同供应商，不得参加同一合同项下的政府采购活动（提供供应商企业关系关联承诺书）；</w:t>
      </w:r>
    </w:p>
    <w:p w14:paraId="62F3156C">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14</w:t>
      </w:r>
      <w:r>
        <w:rPr>
          <w:rFonts w:hint="eastAsia" w:ascii="宋体" w:hAnsi="宋体" w:eastAsia="宋体" w:cs="宋体"/>
          <w:sz w:val="24"/>
          <w:szCs w:val="24"/>
          <w:lang w:eastAsia="zh-CN"/>
        </w:rPr>
        <w:t>）本项目专门面向中小企业采购（提供中小企业声明函），非中小企业单位（监狱企业、残疾人福利单位除外）不得参与。</w:t>
      </w:r>
    </w:p>
    <w:p w14:paraId="1722332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合同包2</w:t>
      </w:r>
      <w:r>
        <w:rPr>
          <w:rFonts w:hint="eastAsia" w:ascii="宋体" w:hAnsi="宋体" w:eastAsia="宋体" w:cs="宋体"/>
          <w:sz w:val="24"/>
          <w:szCs w:val="24"/>
        </w:rPr>
        <w:t>(</w:t>
      </w:r>
      <w:r>
        <w:rPr>
          <w:rFonts w:hint="eastAsia" w:ascii="宋体" w:hAnsi="宋体" w:eastAsia="宋体" w:cs="宋体"/>
          <w:sz w:val="24"/>
          <w:szCs w:val="24"/>
          <w:lang w:eastAsia="zh-CN"/>
        </w:rPr>
        <w:t>扶风县农村义务教育学生营养改善计划学校食堂食材采购</w:t>
      </w:r>
      <w:r>
        <w:rPr>
          <w:rFonts w:hint="eastAsia" w:ascii="宋体" w:hAnsi="宋体"/>
          <w:sz w:val="24"/>
          <w:szCs w:val="24"/>
          <w:lang w:val="en-US" w:eastAsia="zh-CN"/>
        </w:rPr>
        <w:t>（二标段）</w:t>
      </w:r>
      <w:r>
        <w:rPr>
          <w:rFonts w:hint="eastAsia" w:ascii="宋体" w:hAnsi="宋体" w:eastAsia="宋体" w:cs="宋体"/>
          <w:sz w:val="24"/>
          <w:szCs w:val="24"/>
        </w:rPr>
        <w:t>)</w:t>
      </w:r>
      <w:r>
        <w:rPr>
          <w:rFonts w:hint="eastAsia" w:ascii="宋体" w:hAnsi="宋体" w:eastAsia="宋体" w:cs="宋体"/>
          <w:sz w:val="24"/>
          <w:szCs w:val="24"/>
          <w:lang w:eastAsia="zh-CN"/>
        </w:rPr>
        <w:t>特定资格要求如下:</w:t>
      </w:r>
    </w:p>
    <w:p w14:paraId="5B701078">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同一标段</w:t>
      </w:r>
    </w:p>
    <w:p w14:paraId="44CCEBBB">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合同包3</w:t>
      </w:r>
      <w:r>
        <w:rPr>
          <w:rFonts w:hint="eastAsia" w:ascii="宋体" w:hAnsi="宋体" w:eastAsia="宋体" w:cs="宋体"/>
          <w:sz w:val="24"/>
          <w:szCs w:val="24"/>
        </w:rPr>
        <w:t>(</w:t>
      </w:r>
      <w:r>
        <w:rPr>
          <w:rFonts w:hint="eastAsia" w:ascii="宋体" w:hAnsi="宋体" w:eastAsia="宋体" w:cs="宋体"/>
          <w:sz w:val="24"/>
          <w:szCs w:val="24"/>
          <w:lang w:eastAsia="zh-CN"/>
        </w:rPr>
        <w:t>扶风县农村义务教育学生营养改善计划学校食堂食材采购</w:t>
      </w:r>
      <w:r>
        <w:rPr>
          <w:rFonts w:hint="eastAsia" w:ascii="宋体" w:hAnsi="宋体"/>
          <w:sz w:val="24"/>
          <w:szCs w:val="24"/>
          <w:lang w:val="en-US" w:eastAsia="zh-CN"/>
        </w:rPr>
        <w:t>（三标段）</w:t>
      </w:r>
      <w:r>
        <w:rPr>
          <w:rFonts w:hint="eastAsia" w:ascii="宋体" w:hAnsi="宋体" w:eastAsia="宋体" w:cs="宋体"/>
          <w:sz w:val="24"/>
          <w:szCs w:val="24"/>
        </w:rPr>
        <w:t>)</w:t>
      </w:r>
      <w:r>
        <w:rPr>
          <w:rFonts w:hint="eastAsia" w:ascii="宋体" w:hAnsi="宋体" w:eastAsia="宋体" w:cs="宋体"/>
          <w:sz w:val="24"/>
          <w:szCs w:val="24"/>
          <w:lang w:eastAsia="zh-CN"/>
        </w:rPr>
        <w:t>特定资格要求如下:</w:t>
      </w:r>
    </w:p>
    <w:p w14:paraId="3C3F179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同一标段</w:t>
      </w:r>
    </w:p>
    <w:p w14:paraId="35DE28C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合同包4</w:t>
      </w:r>
      <w:r>
        <w:rPr>
          <w:rFonts w:hint="eastAsia" w:ascii="宋体" w:hAnsi="宋体" w:eastAsia="宋体" w:cs="宋体"/>
          <w:sz w:val="24"/>
          <w:szCs w:val="24"/>
        </w:rPr>
        <w:t>(</w:t>
      </w:r>
      <w:r>
        <w:rPr>
          <w:rFonts w:hint="eastAsia" w:ascii="宋体" w:hAnsi="宋体" w:eastAsia="宋体" w:cs="宋体"/>
          <w:sz w:val="24"/>
          <w:szCs w:val="24"/>
          <w:lang w:eastAsia="zh-CN"/>
        </w:rPr>
        <w:t>扶风县农村义务教育学生营养改善计划学校食堂食材采购</w:t>
      </w:r>
      <w:r>
        <w:rPr>
          <w:rFonts w:hint="eastAsia" w:ascii="宋体" w:hAnsi="宋体"/>
          <w:sz w:val="24"/>
          <w:szCs w:val="24"/>
          <w:lang w:val="en-US" w:eastAsia="zh-CN"/>
        </w:rPr>
        <w:t>（四标段）</w:t>
      </w:r>
      <w:r>
        <w:rPr>
          <w:rFonts w:hint="eastAsia" w:ascii="宋体" w:hAnsi="宋体" w:eastAsia="宋体" w:cs="宋体"/>
          <w:sz w:val="24"/>
          <w:szCs w:val="24"/>
        </w:rPr>
        <w:t>)</w:t>
      </w:r>
      <w:r>
        <w:rPr>
          <w:rFonts w:hint="eastAsia" w:ascii="宋体" w:hAnsi="宋体" w:eastAsia="宋体" w:cs="宋体"/>
          <w:sz w:val="24"/>
          <w:szCs w:val="24"/>
          <w:lang w:eastAsia="zh-CN"/>
        </w:rPr>
        <w:t>特定资格要求如下:</w:t>
      </w:r>
    </w:p>
    <w:p w14:paraId="59486B44">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同一标段</w:t>
      </w:r>
    </w:p>
    <w:p w14:paraId="1A24ED97">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三、获取</w:t>
      </w:r>
      <w:r>
        <w:rPr>
          <w:rFonts w:hint="eastAsia" w:ascii="宋体" w:hAnsi="宋体" w:eastAsia="宋体" w:cs="宋体"/>
          <w:b/>
          <w:bCs/>
          <w:sz w:val="24"/>
          <w:szCs w:val="24"/>
          <w:lang w:eastAsia="zh-CN"/>
        </w:rPr>
        <w:t>招标</w:t>
      </w:r>
      <w:r>
        <w:rPr>
          <w:rFonts w:hint="eastAsia" w:ascii="宋体" w:hAnsi="宋体" w:eastAsia="宋体" w:cs="宋体"/>
          <w:b/>
          <w:bCs/>
          <w:sz w:val="24"/>
          <w:szCs w:val="24"/>
        </w:rPr>
        <w:t>文件</w:t>
      </w:r>
    </w:p>
    <w:p w14:paraId="6ACB94FF">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时间：</w:t>
      </w:r>
      <w:r>
        <w:rPr>
          <w:rFonts w:hint="eastAsia" w:ascii="宋体" w:hAnsi="宋体" w:eastAsia="宋体" w:cs="宋体"/>
          <w:sz w:val="24"/>
          <w:szCs w:val="24"/>
          <w:lang w:val="en-US" w:eastAsia="zh-CN"/>
        </w:rPr>
        <w:t>2026年7月28日至2026年8月5日</w:t>
      </w:r>
      <w:r>
        <w:rPr>
          <w:rFonts w:hint="eastAsia" w:ascii="宋体" w:hAnsi="宋体" w:eastAsia="宋体" w:cs="宋体"/>
          <w:sz w:val="24"/>
          <w:szCs w:val="24"/>
        </w:rPr>
        <w:t>，每天上午</w:t>
      </w:r>
      <w:r>
        <w:rPr>
          <w:rFonts w:hint="eastAsia" w:ascii="宋体" w:hAnsi="宋体" w:eastAsia="宋体" w:cs="宋体"/>
          <w:sz w:val="24"/>
          <w:szCs w:val="24"/>
          <w:lang w:val="en-US" w:eastAsia="zh-CN"/>
        </w:rPr>
        <w:t>08</w:t>
      </w:r>
      <w:r>
        <w:rPr>
          <w:rFonts w:hint="eastAsia" w:ascii="宋体" w:hAnsi="宋体" w:eastAsia="宋体" w:cs="宋体"/>
          <w:sz w:val="24"/>
          <w:szCs w:val="24"/>
        </w:rPr>
        <w:t>:00:00至12:00:00，下午</w:t>
      </w:r>
      <w:r>
        <w:rPr>
          <w:rFonts w:hint="eastAsia" w:ascii="宋体" w:hAnsi="宋体" w:eastAsia="宋体" w:cs="宋体"/>
          <w:sz w:val="24"/>
          <w:szCs w:val="24"/>
          <w:lang w:val="en-US" w:eastAsia="zh-CN"/>
        </w:rPr>
        <w:t>12</w:t>
      </w:r>
      <w:r>
        <w:rPr>
          <w:rFonts w:hint="eastAsia" w:ascii="宋体" w:hAnsi="宋体" w:eastAsia="宋体" w:cs="宋体"/>
          <w:sz w:val="24"/>
          <w:szCs w:val="24"/>
        </w:rPr>
        <w:t>:00:00至</w:t>
      </w:r>
      <w:r>
        <w:rPr>
          <w:rFonts w:hint="eastAsia" w:ascii="宋体" w:hAnsi="宋体" w:eastAsia="宋体" w:cs="宋体"/>
          <w:sz w:val="24"/>
          <w:szCs w:val="24"/>
          <w:lang w:val="en-US" w:eastAsia="zh-CN"/>
        </w:rPr>
        <w:t>18</w:t>
      </w:r>
      <w:r>
        <w:rPr>
          <w:rFonts w:hint="eastAsia" w:ascii="宋体" w:hAnsi="宋体" w:eastAsia="宋体" w:cs="宋体"/>
          <w:sz w:val="24"/>
          <w:szCs w:val="24"/>
        </w:rPr>
        <w:t>:</w:t>
      </w:r>
      <w:r>
        <w:rPr>
          <w:rFonts w:hint="eastAsia" w:ascii="宋体" w:hAnsi="宋体" w:eastAsia="宋体" w:cs="宋体"/>
          <w:sz w:val="24"/>
          <w:szCs w:val="24"/>
          <w:lang w:val="en-US" w:eastAsia="zh-CN"/>
        </w:rPr>
        <w:t>00</w:t>
      </w:r>
      <w:r>
        <w:rPr>
          <w:rFonts w:hint="eastAsia" w:ascii="宋体" w:hAnsi="宋体" w:eastAsia="宋体" w:cs="宋体"/>
          <w:sz w:val="24"/>
          <w:szCs w:val="24"/>
        </w:rPr>
        <w:t>:</w:t>
      </w:r>
      <w:r>
        <w:rPr>
          <w:rFonts w:hint="eastAsia" w:ascii="宋体" w:hAnsi="宋体" w:eastAsia="宋体" w:cs="宋体"/>
          <w:sz w:val="24"/>
          <w:szCs w:val="24"/>
          <w:lang w:val="en-US" w:eastAsia="zh-CN"/>
        </w:rPr>
        <w:t>00</w:t>
      </w:r>
      <w:r>
        <w:rPr>
          <w:rFonts w:hint="eastAsia" w:ascii="宋体" w:hAnsi="宋体" w:eastAsia="宋体" w:cs="宋体"/>
          <w:sz w:val="24"/>
          <w:szCs w:val="24"/>
        </w:rPr>
        <w:t>（北京时间）</w:t>
      </w:r>
    </w:p>
    <w:p w14:paraId="308ED10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途径：全国公共资源交易平台（陕西省·宝鸡市）（http://ggzy.baoji.gov.cn/）</w:t>
      </w:r>
    </w:p>
    <w:p w14:paraId="790542D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方式：在线获取</w:t>
      </w:r>
    </w:p>
    <w:p w14:paraId="0FA4B17C">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售价：0元</w:t>
      </w:r>
    </w:p>
    <w:p w14:paraId="198BD7E5">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四、提交投标文件截止时间、开标时间和地点</w:t>
      </w:r>
    </w:p>
    <w:p w14:paraId="6306600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时间：</w:t>
      </w:r>
      <w:r>
        <w:rPr>
          <w:rFonts w:hint="eastAsia" w:ascii="宋体" w:hAnsi="宋体" w:eastAsia="宋体" w:cs="宋体"/>
          <w:sz w:val="24"/>
          <w:szCs w:val="24"/>
          <w:lang w:eastAsia="zh-CN"/>
        </w:rPr>
        <w:t>2026年8月20日9时00分</w:t>
      </w:r>
      <w:r>
        <w:rPr>
          <w:rFonts w:hint="eastAsia" w:ascii="宋体" w:hAnsi="宋体" w:eastAsia="宋体" w:cs="宋体"/>
          <w:sz w:val="24"/>
          <w:szCs w:val="24"/>
          <w:lang w:val="en-US" w:eastAsia="zh-CN"/>
        </w:rPr>
        <w:t>00</w:t>
      </w:r>
      <w:r>
        <w:rPr>
          <w:rFonts w:hint="eastAsia" w:ascii="宋体" w:hAnsi="宋体" w:eastAsia="宋体" w:cs="宋体"/>
          <w:sz w:val="24"/>
          <w:szCs w:val="24"/>
        </w:rPr>
        <w:t>秒 （北京时间）</w:t>
      </w:r>
    </w:p>
    <w:p w14:paraId="2B7145CF">
      <w:pPr>
        <w:keepNext w:val="0"/>
        <w:keepLines w:val="0"/>
        <w:pageBreakBefore w:val="0"/>
        <w:widowControl w:val="0"/>
        <w:kinsoku/>
        <w:wordWrap w:val="0"/>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提交投标文件</w:t>
      </w:r>
      <w:r>
        <w:rPr>
          <w:rFonts w:hint="eastAsia" w:ascii="宋体" w:hAnsi="宋体" w:eastAsia="宋体" w:cs="宋体"/>
          <w:sz w:val="24"/>
          <w:szCs w:val="24"/>
        </w:rPr>
        <w:t>地点：【全国公共资源交易平台】（陕西省·宝鸡市）（http://ggzy.baoji.gov.cn/）</w:t>
      </w:r>
      <w:r>
        <w:rPr>
          <w:rFonts w:hint="eastAsia" w:ascii="宋体" w:hAnsi="宋体" w:eastAsia="宋体" w:cs="宋体"/>
          <w:sz w:val="24"/>
          <w:szCs w:val="24"/>
          <w:lang w:eastAsia="zh-CN"/>
        </w:rPr>
        <w:t>不见面开标大厅</w:t>
      </w:r>
    </w:p>
    <w:p w14:paraId="327B2618">
      <w:pPr>
        <w:keepNext w:val="0"/>
        <w:keepLines w:val="0"/>
        <w:pageBreakBefore w:val="0"/>
        <w:widowControl w:val="0"/>
        <w:kinsoku/>
        <w:wordWrap w:val="0"/>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开标地点：宝</w:t>
      </w:r>
      <w:r>
        <w:rPr>
          <w:rFonts w:hint="eastAsia" w:ascii="宋体" w:hAnsi="宋体" w:eastAsia="宋体" w:cs="宋体"/>
          <w:sz w:val="24"/>
          <w:szCs w:val="24"/>
          <w:highlight w:val="none"/>
          <w:lang w:eastAsia="zh-CN"/>
        </w:rPr>
        <w:t>鸡市公共资源交易中心不见面开标大厅</w:t>
      </w:r>
    </w:p>
    <w:p w14:paraId="7D319E93">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五、公告期限</w:t>
      </w:r>
    </w:p>
    <w:p w14:paraId="0CE0AA81">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自本公告发布之日起</w:t>
      </w:r>
      <w:r>
        <w:rPr>
          <w:rFonts w:hint="eastAsia" w:ascii="宋体" w:hAnsi="宋体" w:eastAsia="宋体" w:cs="宋体"/>
          <w:sz w:val="24"/>
          <w:szCs w:val="24"/>
          <w:lang w:val="en-US" w:eastAsia="zh-CN"/>
        </w:rPr>
        <w:t>5</w:t>
      </w:r>
      <w:r>
        <w:rPr>
          <w:rFonts w:hint="eastAsia" w:ascii="宋体" w:hAnsi="宋体" w:eastAsia="宋体" w:cs="宋体"/>
          <w:sz w:val="24"/>
          <w:szCs w:val="24"/>
        </w:rPr>
        <w:t>个工作日。</w:t>
      </w:r>
    </w:p>
    <w:p w14:paraId="5DAF7F01">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lang w:eastAsia="zh-CN"/>
        </w:rPr>
        <w:t>六</w:t>
      </w:r>
      <w:r>
        <w:rPr>
          <w:rFonts w:hint="eastAsia" w:ascii="宋体" w:hAnsi="宋体" w:eastAsia="宋体" w:cs="宋体"/>
          <w:b/>
          <w:bCs/>
          <w:sz w:val="24"/>
          <w:szCs w:val="24"/>
        </w:rPr>
        <w:t>、其他补充事宜</w:t>
      </w:r>
    </w:p>
    <w:p w14:paraId="0C16BD89">
      <w:pPr>
        <w:keepNext w:val="0"/>
        <w:keepLines w:val="0"/>
        <w:pageBreakBefore w:val="0"/>
        <w:widowControl w:val="0"/>
        <w:kinsoku/>
        <w:wordWrap w:val="0"/>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1、各</w:t>
      </w:r>
      <w:r>
        <w:rPr>
          <w:rFonts w:hint="eastAsia" w:ascii="宋体" w:hAnsi="宋体" w:eastAsia="宋体" w:cs="宋体"/>
          <w:b/>
          <w:bCs/>
          <w:sz w:val="24"/>
          <w:szCs w:val="24"/>
          <w:lang w:eastAsia="zh-CN"/>
        </w:rPr>
        <w:t>投标供应商</w:t>
      </w:r>
      <w:r>
        <w:rPr>
          <w:rFonts w:hint="eastAsia" w:ascii="宋体" w:hAnsi="宋体" w:eastAsia="宋体" w:cs="宋体"/>
          <w:b/>
          <w:bCs/>
          <w:sz w:val="24"/>
          <w:szCs w:val="24"/>
        </w:rPr>
        <w:t>使用CA证书登录全国公共资源交易平台（陕西省·宝鸡市）（http://ggzy.baoji.gov.cn/）交易平台〖首页〉电子交易平台〉企业端〗后，在〖招标公告/出让公告〗模块中选择有意向的项目点击“我要投标”，登记成功后，从〖我的项目〉项目流程〉交易文件下载〗中下载电子招标文件（*.SXSZF格式）。</w:t>
      </w:r>
    </w:p>
    <w:p w14:paraId="476F1FD5">
      <w:pPr>
        <w:keepNext w:val="0"/>
        <w:keepLines w:val="0"/>
        <w:pageBreakBefore w:val="0"/>
        <w:widowControl w:val="0"/>
        <w:kinsoku/>
        <w:wordWrap w:val="0"/>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2、</w:t>
      </w:r>
      <w:r>
        <w:rPr>
          <w:rFonts w:hint="eastAsia" w:ascii="宋体" w:hAnsi="宋体" w:eastAsia="宋体" w:cs="宋体"/>
          <w:b/>
          <w:bCs/>
          <w:sz w:val="24"/>
          <w:szCs w:val="24"/>
          <w:lang w:eastAsia="zh-CN"/>
        </w:rPr>
        <w:t>投标供应商</w:t>
      </w:r>
      <w:r>
        <w:rPr>
          <w:rFonts w:hint="eastAsia" w:ascii="宋体" w:hAnsi="宋体" w:eastAsia="宋体" w:cs="宋体"/>
          <w:b/>
          <w:bCs/>
          <w:sz w:val="24"/>
          <w:szCs w:val="24"/>
        </w:rPr>
        <w:t>在网上填写单位信息（单位名称、营业执照相关信息）时应与招标文件要求及后期上传的电子投标文件中相关信息一致，否则造成资格审查不通过的后果自负。</w:t>
      </w:r>
    </w:p>
    <w:p w14:paraId="5C9CFBCF">
      <w:pPr>
        <w:keepNext w:val="0"/>
        <w:keepLines w:val="0"/>
        <w:pageBreakBefore w:val="0"/>
        <w:widowControl w:val="0"/>
        <w:kinsoku/>
        <w:wordWrap w:val="0"/>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3、参与本次项目的</w:t>
      </w:r>
      <w:r>
        <w:rPr>
          <w:rFonts w:hint="eastAsia" w:ascii="宋体" w:hAnsi="宋体" w:eastAsia="宋体" w:cs="宋体"/>
          <w:b/>
          <w:bCs/>
          <w:sz w:val="24"/>
          <w:szCs w:val="24"/>
          <w:lang w:eastAsia="zh-CN"/>
        </w:rPr>
        <w:t>投标供应商</w:t>
      </w:r>
      <w:r>
        <w:rPr>
          <w:rFonts w:hint="eastAsia" w:ascii="宋体" w:hAnsi="宋体" w:eastAsia="宋体" w:cs="宋体"/>
          <w:b/>
          <w:bCs/>
          <w:sz w:val="24"/>
          <w:szCs w:val="24"/>
        </w:rPr>
        <w:t>请及时登录陕西省政府采购网（http://www.ccgp-shaanxi.gov.cn/），办理</w:t>
      </w:r>
      <w:r>
        <w:rPr>
          <w:rFonts w:hint="eastAsia" w:ascii="宋体" w:hAnsi="宋体" w:eastAsia="宋体" w:cs="宋体"/>
          <w:b/>
          <w:bCs/>
          <w:sz w:val="24"/>
          <w:szCs w:val="24"/>
          <w:lang w:eastAsia="zh-CN"/>
        </w:rPr>
        <w:t>投标供应商</w:t>
      </w:r>
      <w:r>
        <w:rPr>
          <w:rFonts w:hint="eastAsia" w:ascii="宋体" w:hAnsi="宋体" w:eastAsia="宋体" w:cs="宋体"/>
          <w:b/>
          <w:bCs/>
          <w:sz w:val="24"/>
          <w:szCs w:val="24"/>
        </w:rPr>
        <w:t>入库申请并及时办理 CA 数字证书（陕西 CA 锁）。</w:t>
      </w:r>
    </w:p>
    <w:p w14:paraId="4E872F38">
      <w:pPr>
        <w:keepNext w:val="0"/>
        <w:keepLines w:val="0"/>
        <w:pageBreakBefore w:val="0"/>
        <w:widowControl w:val="0"/>
        <w:kinsoku/>
        <w:wordWrap w:val="0"/>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4、开标形式：本项目将采用“不见面开标”形式。操作说明详见平台〖首页·〉服务指南·〉下载专区〗中的《宝鸡公共资源交易不见面开标大厅供应商操作手册》。</w:t>
      </w:r>
    </w:p>
    <w:p w14:paraId="10A774D5">
      <w:pPr>
        <w:keepNext w:val="0"/>
        <w:keepLines w:val="0"/>
        <w:pageBreakBefore w:val="0"/>
        <w:widowControl w:val="0"/>
        <w:kinsoku/>
        <w:wordWrap w:val="0"/>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5、本项目采用电子化投标的方式，相关操作流程详见全国公共资源交易平台（陕西省·宝鸡市）（http://ggzy.baoji.gov.cn/）[服务指南-下载专区]中的《陕西省公共资源交易中心政府采购项目投标指南》；开标前必需在全国公共资源交易平台（陕西省·宝鸡市）（http://ggzy.baoji.gov.cn/）上传电子文件，如未进行线上操作，导致无法参与投标的，责任自负，开标时需使用CA锁用于解锁文件。</w:t>
      </w:r>
    </w:p>
    <w:p w14:paraId="31F341E7">
      <w:pPr>
        <w:keepNext w:val="0"/>
        <w:keepLines w:val="0"/>
        <w:pageBreakBefore w:val="0"/>
        <w:widowControl w:val="0"/>
        <w:kinsoku/>
        <w:wordWrap w:val="0"/>
        <w:overflowPunct/>
        <w:topLinePunct w:val="0"/>
        <w:autoSpaceDE/>
        <w:autoSpaceDN/>
        <w:bidi w:val="0"/>
        <w:adjustRightInd/>
        <w:snapToGrid/>
        <w:spacing w:line="480" w:lineRule="exact"/>
        <w:ind w:firstLine="482" w:firstLineChars="200"/>
        <w:textAlignment w:val="auto"/>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6、提交投标文件截止时间前，供应商应随时留意【陕西省政府采购网】、【全国公共资源交易平台（陕西省·宝鸡市）】上可能发布的变更公告。若变更公告中明确注明本项目提供有变更文件的，供应商应登录企业端后，从〖项目流程·〉项目管理·〉答疑文件下载〗获取更新后的电子招标文件（*.SXSCF），使用旧版电子招标文件制作的电子投标文件（*.SXSTF），系统将拒绝接收。</w:t>
      </w:r>
    </w:p>
    <w:p w14:paraId="5934051B">
      <w:pPr>
        <w:keepNext w:val="0"/>
        <w:keepLines w:val="0"/>
        <w:pageBreakBefore w:val="0"/>
        <w:widowControl w:val="0"/>
        <w:kinsoku/>
        <w:wordWrap w:val="0"/>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7、请各投标供应商下载招标文件后，按照陕西省财政厅《关于政府采购投标供应商注册登记有关事项的通知》要求，通过陕西省政府采购网注册登记加入陕西省政府采购投标供应商库。</w:t>
      </w:r>
    </w:p>
    <w:p w14:paraId="46BBB96A">
      <w:pPr>
        <w:keepNext w:val="0"/>
        <w:keepLines w:val="0"/>
        <w:pageBreakBefore w:val="0"/>
        <w:widowControl w:val="0"/>
        <w:kinsoku/>
        <w:wordWrap w:val="0"/>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8、本次招标公告同时在《陕西省政府采购网》和《全国公共资源交易平台（陕西省·宝鸡市）》上发布。</w:t>
      </w:r>
    </w:p>
    <w:p w14:paraId="42AEB9E9">
      <w:pPr>
        <w:keepNext w:val="0"/>
        <w:keepLines w:val="0"/>
        <w:pageBreakBefore w:val="0"/>
        <w:widowControl w:val="0"/>
        <w:kinsoku/>
        <w:wordWrap w:val="0"/>
        <w:overflowPunct/>
        <w:topLinePunct w:val="0"/>
        <w:autoSpaceDE/>
        <w:autoSpaceDN/>
        <w:bidi w:val="0"/>
        <w:adjustRightInd/>
        <w:snapToGrid/>
        <w:spacing w:line="480" w:lineRule="exact"/>
        <w:ind w:firstLine="482" w:firstLineChars="200"/>
        <w:textAlignment w:val="auto"/>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9、投标供应商可以参与多个标段的投标，但最终只能 获得一个标段的中标资格。开标顺序按标段依次开启，若本标段已中标的单位，将不再参与后续标段的中标候选人排序。</w:t>
      </w:r>
    </w:p>
    <w:p w14:paraId="23CD0823">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lang w:eastAsia="zh-CN"/>
        </w:rPr>
        <w:t>七</w:t>
      </w:r>
      <w:r>
        <w:rPr>
          <w:rFonts w:hint="eastAsia" w:ascii="宋体" w:hAnsi="宋体" w:eastAsia="宋体" w:cs="宋体"/>
          <w:b/>
          <w:bCs/>
          <w:sz w:val="24"/>
          <w:szCs w:val="24"/>
        </w:rPr>
        <w:t>、对本次招标提出询问，请按以下方式联系。</w:t>
      </w:r>
    </w:p>
    <w:p w14:paraId="0EDCE93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1.采购人信息</w:t>
      </w:r>
    </w:p>
    <w:p w14:paraId="1D94D812">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rPr>
        <w:t>名</w:t>
      </w:r>
      <w:r>
        <w:rPr>
          <w:rFonts w:hint="eastAsia" w:ascii="宋体" w:hAnsi="宋体" w:eastAsia="宋体" w:cs="宋体"/>
          <w:sz w:val="24"/>
          <w:szCs w:val="24"/>
          <w:highlight w:val="none"/>
        </w:rPr>
        <w:t>称：</w:t>
      </w:r>
      <w:r>
        <w:rPr>
          <w:rFonts w:hint="eastAsia" w:ascii="宋体" w:hAnsi="宋体" w:eastAsia="宋体" w:cs="宋体"/>
          <w:sz w:val="24"/>
          <w:szCs w:val="24"/>
          <w:highlight w:val="none"/>
          <w:lang w:eastAsia="zh-CN"/>
        </w:rPr>
        <w:t>扶风县教育体育局</w:t>
      </w:r>
    </w:p>
    <w:p w14:paraId="59161C1B">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地址：</w:t>
      </w:r>
      <w:r>
        <w:rPr>
          <w:rFonts w:hint="eastAsia" w:ascii="宋体" w:hAnsi="宋体" w:eastAsia="宋体" w:cs="宋体"/>
          <w:sz w:val="24"/>
          <w:szCs w:val="24"/>
          <w:highlight w:val="none"/>
          <w:lang w:eastAsia="zh-CN"/>
        </w:rPr>
        <w:t>扶风县城新区体育馆</w:t>
      </w:r>
    </w:p>
    <w:p w14:paraId="7EC36158">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联系方式：</w:t>
      </w:r>
      <w:r>
        <w:rPr>
          <w:rFonts w:hint="eastAsia" w:ascii="宋体" w:hAnsi="宋体" w:eastAsia="宋体" w:cs="宋体"/>
          <w:sz w:val="24"/>
          <w:szCs w:val="24"/>
          <w:highlight w:val="none"/>
          <w:lang w:val="en-US" w:eastAsia="zh-CN"/>
        </w:rPr>
        <w:t>0917-5255789</w:t>
      </w:r>
    </w:p>
    <w:p w14:paraId="5421B739">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2.采购代理机构信息</w:t>
      </w:r>
    </w:p>
    <w:p w14:paraId="0C0E4BDA">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名称：陕西天沃工程项目管理有限公司</w:t>
      </w:r>
    </w:p>
    <w:p w14:paraId="591B1DFA">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地址：西安市经济开发区凤城十一路与文景路十字西北角文景广场C座1202室</w:t>
      </w:r>
    </w:p>
    <w:p w14:paraId="49EDE779">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联系方式：</w:t>
      </w:r>
      <w:r>
        <w:rPr>
          <w:rFonts w:hint="eastAsia" w:ascii="宋体" w:hAnsi="宋体" w:eastAsia="宋体" w:cs="宋体"/>
          <w:sz w:val="24"/>
          <w:szCs w:val="24"/>
          <w:lang w:eastAsia="zh-CN"/>
        </w:rPr>
        <w:t>13279587430</w:t>
      </w:r>
    </w:p>
    <w:p w14:paraId="0B939C1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3.项目联系方式</w:t>
      </w:r>
    </w:p>
    <w:p w14:paraId="5030CFA8">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项目联系人：</w:t>
      </w:r>
      <w:r>
        <w:rPr>
          <w:rFonts w:hint="eastAsia" w:ascii="宋体" w:hAnsi="宋体" w:eastAsia="宋体" w:cs="宋体"/>
          <w:sz w:val="24"/>
          <w:szCs w:val="24"/>
          <w:lang w:eastAsia="zh-CN"/>
        </w:rPr>
        <w:t>任工</w:t>
      </w:r>
    </w:p>
    <w:p w14:paraId="15A65596">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firstLine="480" w:firstLineChars="200"/>
        <w:jc w:val="left"/>
        <w:textAlignment w:val="auto"/>
        <w:rPr>
          <w:rFonts w:hint="eastAsia" w:ascii="宋体" w:hAnsi="宋体" w:eastAsia="宋体" w:cs="宋体"/>
          <w:kern w:val="0"/>
          <w:sz w:val="28"/>
          <w:szCs w:val="28"/>
          <w:lang w:val="en-US" w:eastAsia="zh-CN" w:bidi="ar-SA"/>
        </w:rPr>
      </w:pPr>
      <w:r>
        <w:rPr>
          <w:rFonts w:hint="eastAsia" w:ascii="宋体" w:hAnsi="宋体" w:eastAsia="宋体" w:cs="宋体"/>
          <w:sz w:val="24"/>
          <w:szCs w:val="24"/>
        </w:rPr>
        <w:t>电话：</w:t>
      </w:r>
      <w:r>
        <w:rPr>
          <w:rFonts w:hint="eastAsia" w:ascii="宋体" w:hAnsi="宋体" w:eastAsia="宋体" w:cs="宋体"/>
          <w:sz w:val="24"/>
          <w:szCs w:val="24"/>
          <w:lang w:eastAsia="zh-CN"/>
        </w:rPr>
        <w:t>13279587430</w:t>
      </w:r>
      <w:bookmarkStart w:id="170" w:name="_GoBack"/>
      <w:bookmarkEnd w:id="170"/>
    </w:p>
    <w:p w14:paraId="4E593543">
      <w:pPr>
        <w:widowControl w:val="0"/>
        <w:tabs>
          <w:tab w:val="center" w:pos="4153"/>
          <w:tab w:val="right" w:pos="8306"/>
        </w:tabs>
        <w:wordWrap w:val="0"/>
        <w:snapToGrid w:val="0"/>
        <w:spacing w:line="360" w:lineRule="auto"/>
        <w:jc w:val="center"/>
        <w:rPr>
          <w:rFonts w:ascii="宋体" w:hAnsi="宋体" w:eastAsia="宋体" w:cs="宋体"/>
          <w:kern w:val="0"/>
          <w:sz w:val="28"/>
          <w:szCs w:val="28"/>
          <w:lang w:val="en-US" w:eastAsia="zh-CN" w:bidi="ar-SA"/>
        </w:rPr>
      </w:pPr>
    </w:p>
    <w:p w14:paraId="6F5FCF24">
      <w:pPr>
        <w:pStyle w:val="13"/>
        <w:shd w:val="clear" w:color="auto" w:fill="auto"/>
        <w:spacing w:before="0" w:beforeAutospacing="0" w:after="0" w:afterAutospacing="0"/>
        <w:ind w:firstLine="480"/>
        <w:rPr>
          <w:rFonts w:cs="宋体"/>
          <w:kern w:val="2"/>
          <w:sz w:val="24"/>
          <w:szCs w:val="24"/>
          <w:highlight w:val="none"/>
        </w:rPr>
      </w:pPr>
      <w:r>
        <w:rPr>
          <w:rFonts w:hint="eastAsia" w:ascii="宋体" w:hAnsi="宋体" w:eastAsia="宋体" w:cs="宋体"/>
          <w:color w:val="333333"/>
          <w:kern w:val="0"/>
          <w:sz w:val="24"/>
          <w:szCs w:val="24"/>
          <w:lang w:val="en-US" w:eastAsia="zh-CN" w:bidi="ar-SA"/>
        </w:rPr>
        <w:t xml:space="preserve">                                   </w:t>
      </w:r>
    </w:p>
    <w:p w14:paraId="513BFB64">
      <w:pPr>
        <w:shd w:val="clear" w:color="auto" w:fill="auto"/>
        <w:ind w:firstLine="480"/>
        <w:jc w:val="center"/>
        <w:rPr>
          <w:rFonts w:hint="eastAsia" w:ascii="宋体" w:hAnsi="宋体" w:eastAsia="宋体" w:cs="宋体"/>
          <w:bCs/>
          <w:sz w:val="36"/>
          <w:szCs w:val="36"/>
          <w:highlight w:val="none"/>
        </w:rPr>
      </w:pPr>
      <w:r>
        <w:rPr>
          <w:rFonts w:hint="eastAsia" w:ascii="宋体" w:hAnsi="宋体" w:cs="宋体"/>
          <w:sz w:val="24"/>
          <w:highlight w:val="none"/>
        </w:rPr>
        <w:br w:type="page"/>
      </w:r>
      <w:bookmarkStart w:id="13" w:name="_Toc10114"/>
      <w:r>
        <w:rPr>
          <w:rFonts w:hint="eastAsia" w:ascii="宋体" w:hAnsi="宋体" w:eastAsia="宋体" w:cs="宋体"/>
          <w:b/>
          <w:bCs w:val="0"/>
          <w:kern w:val="44"/>
          <w:sz w:val="32"/>
          <w:szCs w:val="32"/>
          <w:highlight w:val="none"/>
        </w:rPr>
        <w:t>第二章 投标供应商须知</w:t>
      </w:r>
      <w:bookmarkEnd w:id="4"/>
      <w:bookmarkEnd w:id="5"/>
      <w:bookmarkEnd w:id="6"/>
      <w:bookmarkEnd w:id="7"/>
      <w:bookmarkEnd w:id="8"/>
      <w:bookmarkEnd w:id="13"/>
      <w:bookmarkStart w:id="14" w:name="_Toc184274915"/>
      <w:bookmarkStart w:id="15" w:name="_Toc184283909"/>
    </w:p>
    <w:p w14:paraId="07FD3AD2">
      <w:pPr>
        <w:pStyle w:val="3"/>
        <w:shd w:val="clear" w:color="auto" w:fill="auto"/>
        <w:spacing w:before="0" w:after="0" w:line="360" w:lineRule="auto"/>
        <w:ind w:firstLine="0" w:firstLineChars="0"/>
        <w:jc w:val="center"/>
        <w:rPr>
          <w:rFonts w:hint="eastAsia" w:ascii="宋体" w:hAnsi="宋体" w:eastAsia="宋体" w:cs="宋体"/>
          <w:b w:val="0"/>
          <w:kern w:val="44"/>
          <w:sz w:val="36"/>
          <w:szCs w:val="36"/>
          <w:highlight w:val="none"/>
        </w:rPr>
      </w:pPr>
      <w:r>
        <w:rPr>
          <w:rFonts w:hint="eastAsia" w:ascii="宋体" w:hAnsi="宋体" w:eastAsia="宋体" w:cs="宋体"/>
          <w:szCs w:val="28"/>
          <w:highlight w:val="none"/>
        </w:rPr>
        <w:t>投标供应商须知前附表</w:t>
      </w:r>
    </w:p>
    <w:tbl>
      <w:tblPr>
        <w:tblStyle w:val="14"/>
        <w:tblpPr w:leftFromText="181" w:rightFromText="181" w:vertAnchor="text" w:horzAnchor="page" w:tblpXSpec="center" w:tblpY="18"/>
        <w:tblOverlap w:val="neve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95"/>
        <w:gridCol w:w="2429"/>
        <w:gridCol w:w="6070"/>
      </w:tblGrid>
      <w:tr w14:paraId="204E4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1" w:hRule="exact"/>
          <w:tblHeader/>
          <w:jc w:val="center"/>
        </w:trPr>
        <w:tc>
          <w:tcPr>
            <w:tcW w:w="795" w:type="dxa"/>
            <w:noWrap w:val="0"/>
            <w:vAlign w:val="bottom"/>
          </w:tcPr>
          <w:p w14:paraId="150E57C5">
            <w:pPr>
              <w:pStyle w:val="18"/>
              <w:shd w:val="clear" w:color="auto" w:fill="auto"/>
              <w:ind w:left="9" w:firstLine="0" w:firstLineChars="0"/>
              <w:jc w:val="center"/>
              <w:rPr>
                <w:rFonts w:hint="eastAsia"/>
                <w:kern w:val="2"/>
                <w:sz w:val="21"/>
                <w:szCs w:val="21"/>
                <w:highlight w:val="none"/>
              </w:rPr>
            </w:pPr>
            <w:bookmarkStart w:id="16" w:name="_Toc217446032"/>
            <w:bookmarkStart w:id="17" w:name="_Toc213397010"/>
            <w:bookmarkStart w:id="18" w:name="_Toc213396946"/>
            <w:bookmarkStart w:id="19" w:name="_Toc213396760"/>
            <w:bookmarkStart w:id="20" w:name="_Toc213496268"/>
            <w:bookmarkStart w:id="21" w:name="_Toc189727030"/>
            <w:r>
              <w:rPr>
                <w:rFonts w:hint="eastAsia"/>
                <w:kern w:val="2"/>
                <w:sz w:val="21"/>
                <w:szCs w:val="21"/>
                <w:highlight w:val="none"/>
              </w:rPr>
              <w:t>序号</w:t>
            </w:r>
          </w:p>
        </w:tc>
        <w:tc>
          <w:tcPr>
            <w:tcW w:w="2429" w:type="dxa"/>
            <w:noWrap w:val="0"/>
            <w:vAlign w:val="bottom"/>
          </w:tcPr>
          <w:p w14:paraId="5F0CF263">
            <w:pPr>
              <w:pStyle w:val="18"/>
              <w:shd w:val="clear" w:color="auto" w:fill="auto"/>
              <w:ind w:firstLine="0" w:firstLineChars="0"/>
              <w:jc w:val="center"/>
              <w:rPr>
                <w:rFonts w:hint="eastAsia"/>
                <w:kern w:val="2"/>
                <w:sz w:val="21"/>
                <w:szCs w:val="21"/>
                <w:highlight w:val="none"/>
              </w:rPr>
            </w:pPr>
            <w:r>
              <w:rPr>
                <w:rFonts w:hint="eastAsia"/>
                <w:kern w:val="2"/>
                <w:sz w:val="21"/>
                <w:szCs w:val="21"/>
                <w:highlight w:val="none"/>
              </w:rPr>
              <w:t>条款名称</w:t>
            </w:r>
          </w:p>
        </w:tc>
        <w:tc>
          <w:tcPr>
            <w:tcW w:w="6070" w:type="dxa"/>
            <w:noWrap w:val="0"/>
            <w:vAlign w:val="bottom"/>
          </w:tcPr>
          <w:p w14:paraId="6116BA04">
            <w:pPr>
              <w:pStyle w:val="18"/>
              <w:shd w:val="clear" w:color="auto" w:fill="auto"/>
              <w:ind w:firstLine="420"/>
              <w:jc w:val="center"/>
              <w:rPr>
                <w:rFonts w:hint="eastAsia"/>
                <w:kern w:val="2"/>
                <w:sz w:val="21"/>
                <w:szCs w:val="21"/>
                <w:highlight w:val="none"/>
              </w:rPr>
            </w:pPr>
            <w:r>
              <w:rPr>
                <w:rFonts w:hint="eastAsia"/>
                <w:kern w:val="2"/>
                <w:sz w:val="21"/>
                <w:szCs w:val="21"/>
                <w:highlight w:val="none"/>
              </w:rPr>
              <w:t>说明和要求</w:t>
            </w:r>
          </w:p>
        </w:tc>
      </w:tr>
      <w:tr w14:paraId="738F3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0" w:hRule="atLeast"/>
          <w:jc w:val="center"/>
        </w:trPr>
        <w:tc>
          <w:tcPr>
            <w:tcW w:w="795" w:type="dxa"/>
            <w:noWrap w:val="0"/>
            <w:vAlign w:val="center"/>
          </w:tcPr>
          <w:p w14:paraId="096EC16D">
            <w:pPr>
              <w:pStyle w:val="18"/>
              <w:shd w:val="clear" w:color="auto" w:fill="auto"/>
              <w:ind w:right="230" w:firstLine="0" w:firstLineChars="0"/>
              <w:jc w:val="center"/>
              <w:rPr>
                <w:rFonts w:hint="eastAsia"/>
                <w:kern w:val="2"/>
                <w:sz w:val="21"/>
                <w:szCs w:val="21"/>
                <w:highlight w:val="none"/>
              </w:rPr>
            </w:pPr>
            <w:r>
              <w:rPr>
                <w:rFonts w:hint="eastAsia"/>
                <w:kern w:val="2"/>
                <w:sz w:val="21"/>
                <w:szCs w:val="21"/>
                <w:highlight w:val="none"/>
              </w:rPr>
              <w:t xml:space="preserve">  1</w:t>
            </w:r>
          </w:p>
        </w:tc>
        <w:tc>
          <w:tcPr>
            <w:tcW w:w="2429" w:type="dxa"/>
            <w:noWrap w:val="0"/>
            <w:vAlign w:val="center"/>
          </w:tcPr>
          <w:p w14:paraId="68FCACD6">
            <w:pPr>
              <w:pStyle w:val="18"/>
              <w:shd w:val="clear" w:color="auto" w:fill="auto"/>
              <w:ind w:firstLine="0" w:firstLineChars="0"/>
              <w:jc w:val="center"/>
              <w:rPr>
                <w:rFonts w:hint="eastAsia"/>
                <w:kern w:val="2"/>
                <w:sz w:val="21"/>
                <w:szCs w:val="21"/>
                <w:highlight w:val="none"/>
              </w:rPr>
            </w:pPr>
            <w:r>
              <w:rPr>
                <w:rFonts w:hint="eastAsia"/>
                <w:kern w:val="2"/>
                <w:sz w:val="21"/>
                <w:szCs w:val="21"/>
                <w:highlight w:val="none"/>
              </w:rPr>
              <w:t>采购人</w:t>
            </w:r>
          </w:p>
        </w:tc>
        <w:tc>
          <w:tcPr>
            <w:tcW w:w="6070" w:type="dxa"/>
            <w:noWrap w:val="0"/>
            <w:vAlign w:val="center"/>
          </w:tcPr>
          <w:p w14:paraId="5FF951AB">
            <w:pPr>
              <w:pStyle w:val="18"/>
              <w:shd w:val="clear" w:color="auto" w:fill="auto"/>
              <w:ind w:firstLine="210" w:firstLineChars="100"/>
              <w:rPr>
                <w:rFonts w:hint="eastAsia" w:eastAsia="宋体"/>
                <w:kern w:val="2"/>
                <w:sz w:val="21"/>
                <w:szCs w:val="21"/>
                <w:highlight w:val="none"/>
                <w:lang w:eastAsia="zh-CN"/>
              </w:rPr>
            </w:pPr>
            <w:r>
              <w:rPr>
                <w:rFonts w:hint="eastAsia"/>
                <w:kern w:val="2"/>
                <w:sz w:val="21"/>
                <w:szCs w:val="21"/>
                <w:highlight w:val="none"/>
              </w:rPr>
              <w:t>名  称</w:t>
            </w:r>
            <w:r>
              <w:rPr>
                <w:rFonts w:hint="eastAsia"/>
                <w:sz w:val="21"/>
                <w:szCs w:val="21"/>
                <w:highlight w:val="none"/>
              </w:rPr>
              <w:t>：</w:t>
            </w:r>
            <w:r>
              <w:rPr>
                <w:rFonts w:hint="eastAsia"/>
                <w:kern w:val="2"/>
                <w:sz w:val="21"/>
                <w:szCs w:val="21"/>
                <w:highlight w:val="none"/>
                <w:lang w:eastAsia="zh-CN"/>
              </w:rPr>
              <w:t>扶风县教育体育局</w:t>
            </w:r>
          </w:p>
        </w:tc>
      </w:tr>
      <w:tr w14:paraId="1B7EC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27" w:hRule="atLeast"/>
          <w:jc w:val="center"/>
        </w:trPr>
        <w:tc>
          <w:tcPr>
            <w:tcW w:w="795" w:type="dxa"/>
            <w:noWrap w:val="0"/>
            <w:vAlign w:val="center"/>
          </w:tcPr>
          <w:p w14:paraId="09521C2F">
            <w:pPr>
              <w:pStyle w:val="18"/>
              <w:shd w:val="clear" w:color="auto" w:fill="auto"/>
              <w:ind w:firstLine="0" w:firstLineChars="0"/>
              <w:jc w:val="center"/>
              <w:rPr>
                <w:rFonts w:hint="eastAsia"/>
                <w:kern w:val="2"/>
                <w:sz w:val="21"/>
                <w:szCs w:val="21"/>
                <w:highlight w:val="none"/>
              </w:rPr>
            </w:pPr>
            <w:r>
              <w:rPr>
                <w:rFonts w:hint="eastAsia"/>
                <w:kern w:val="2"/>
                <w:sz w:val="21"/>
                <w:szCs w:val="21"/>
                <w:highlight w:val="none"/>
              </w:rPr>
              <w:t>2</w:t>
            </w:r>
          </w:p>
        </w:tc>
        <w:tc>
          <w:tcPr>
            <w:tcW w:w="2429" w:type="dxa"/>
            <w:noWrap w:val="0"/>
            <w:vAlign w:val="center"/>
          </w:tcPr>
          <w:p w14:paraId="23F79705">
            <w:pPr>
              <w:pStyle w:val="18"/>
              <w:shd w:val="clear" w:color="auto" w:fill="auto"/>
              <w:ind w:firstLine="0" w:firstLineChars="0"/>
              <w:jc w:val="center"/>
              <w:rPr>
                <w:rFonts w:hint="eastAsia"/>
                <w:kern w:val="2"/>
                <w:sz w:val="21"/>
                <w:szCs w:val="21"/>
                <w:highlight w:val="none"/>
              </w:rPr>
            </w:pPr>
            <w:r>
              <w:rPr>
                <w:rFonts w:hint="eastAsia"/>
                <w:kern w:val="2"/>
                <w:sz w:val="21"/>
                <w:szCs w:val="21"/>
                <w:highlight w:val="none"/>
              </w:rPr>
              <w:t>采购代理机构</w:t>
            </w:r>
          </w:p>
        </w:tc>
        <w:tc>
          <w:tcPr>
            <w:tcW w:w="6070" w:type="dxa"/>
            <w:noWrap w:val="0"/>
            <w:vAlign w:val="center"/>
          </w:tcPr>
          <w:p w14:paraId="5AECCE54">
            <w:pPr>
              <w:pStyle w:val="18"/>
              <w:shd w:val="clear" w:color="auto" w:fill="auto"/>
              <w:ind w:firstLine="210" w:firstLineChars="100"/>
              <w:rPr>
                <w:rFonts w:hint="eastAsia" w:eastAsia="宋体"/>
                <w:color w:val="000000"/>
                <w:kern w:val="2"/>
                <w:sz w:val="21"/>
                <w:szCs w:val="21"/>
                <w:highlight w:val="none"/>
                <w:lang w:eastAsia="zh-CN"/>
              </w:rPr>
            </w:pPr>
            <w:r>
              <w:rPr>
                <w:rFonts w:hint="eastAsia"/>
                <w:color w:val="000000"/>
                <w:kern w:val="2"/>
                <w:sz w:val="21"/>
                <w:szCs w:val="21"/>
                <w:highlight w:val="none"/>
              </w:rPr>
              <w:t>名  称：</w:t>
            </w:r>
            <w:r>
              <w:rPr>
                <w:rFonts w:hint="eastAsia"/>
                <w:color w:val="000000"/>
                <w:kern w:val="2"/>
                <w:sz w:val="21"/>
                <w:szCs w:val="21"/>
                <w:highlight w:val="none"/>
                <w:lang w:eastAsia="zh-CN"/>
              </w:rPr>
              <w:t>陕西天沃工程项目管理有限公司</w:t>
            </w:r>
          </w:p>
          <w:p w14:paraId="0D8DE038">
            <w:pPr>
              <w:pStyle w:val="18"/>
              <w:shd w:val="clear" w:color="auto" w:fill="auto"/>
              <w:ind w:firstLine="210" w:firstLineChars="100"/>
              <w:rPr>
                <w:rFonts w:hint="eastAsia"/>
                <w:color w:val="000000"/>
                <w:sz w:val="21"/>
                <w:szCs w:val="21"/>
                <w:highlight w:val="none"/>
              </w:rPr>
            </w:pPr>
            <w:r>
              <w:rPr>
                <w:rFonts w:hint="eastAsia"/>
                <w:color w:val="000000"/>
                <w:sz w:val="21"/>
                <w:szCs w:val="21"/>
                <w:highlight w:val="none"/>
              </w:rPr>
              <w:t>地  址：西安市经济开发区凤城十一路与文景路十字西北角文景广场C座1202室</w:t>
            </w:r>
          </w:p>
          <w:p w14:paraId="10F788AD">
            <w:pPr>
              <w:pStyle w:val="18"/>
              <w:shd w:val="clear" w:color="auto" w:fill="auto"/>
              <w:ind w:firstLine="210" w:firstLineChars="100"/>
              <w:rPr>
                <w:rFonts w:hint="eastAsia"/>
                <w:color w:val="000000"/>
                <w:kern w:val="2"/>
                <w:sz w:val="21"/>
                <w:szCs w:val="21"/>
                <w:highlight w:val="none"/>
              </w:rPr>
            </w:pPr>
            <w:r>
              <w:rPr>
                <w:rFonts w:hint="eastAsia"/>
                <w:color w:val="000000"/>
                <w:kern w:val="2"/>
                <w:sz w:val="21"/>
                <w:szCs w:val="21"/>
                <w:highlight w:val="none"/>
              </w:rPr>
              <w:t>联系方式：</w:t>
            </w:r>
            <w:r>
              <w:rPr>
                <w:rFonts w:hint="eastAsia"/>
                <w:color w:val="000000"/>
                <w:kern w:val="2"/>
                <w:sz w:val="21"/>
                <w:szCs w:val="21"/>
                <w:highlight w:val="none"/>
                <w:lang w:eastAsia="zh-CN"/>
              </w:rPr>
              <w:t>13279587430</w:t>
            </w:r>
          </w:p>
        </w:tc>
      </w:tr>
      <w:tr w14:paraId="4949E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14" w:hRule="exact"/>
          <w:jc w:val="center"/>
        </w:trPr>
        <w:tc>
          <w:tcPr>
            <w:tcW w:w="795" w:type="dxa"/>
            <w:noWrap w:val="0"/>
            <w:vAlign w:val="center"/>
          </w:tcPr>
          <w:p w14:paraId="301DBAC4">
            <w:pPr>
              <w:pStyle w:val="18"/>
              <w:shd w:val="clear" w:color="auto" w:fill="auto"/>
              <w:ind w:firstLine="0" w:firstLineChars="0"/>
              <w:jc w:val="center"/>
              <w:rPr>
                <w:rFonts w:hint="eastAsia"/>
                <w:kern w:val="2"/>
                <w:sz w:val="21"/>
                <w:szCs w:val="21"/>
                <w:highlight w:val="none"/>
              </w:rPr>
            </w:pPr>
            <w:r>
              <w:rPr>
                <w:rFonts w:hint="eastAsia"/>
                <w:kern w:val="2"/>
                <w:sz w:val="21"/>
                <w:szCs w:val="21"/>
                <w:highlight w:val="none"/>
              </w:rPr>
              <w:t>3</w:t>
            </w:r>
          </w:p>
        </w:tc>
        <w:tc>
          <w:tcPr>
            <w:tcW w:w="2429" w:type="dxa"/>
            <w:noWrap w:val="0"/>
            <w:vAlign w:val="center"/>
          </w:tcPr>
          <w:p w14:paraId="3202D61C">
            <w:pPr>
              <w:pStyle w:val="18"/>
              <w:shd w:val="clear" w:color="auto" w:fill="auto"/>
              <w:ind w:firstLine="0" w:firstLineChars="0"/>
              <w:jc w:val="center"/>
              <w:rPr>
                <w:rFonts w:hint="eastAsia"/>
                <w:kern w:val="2"/>
                <w:sz w:val="21"/>
                <w:szCs w:val="21"/>
                <w:highlight w:val="none"/>
              </w:rPr>
            </w:pPr>
            <w:r>
              <w:rPr>
                <w:rFonts w:hint="eastAsia"/>
                <w:kern w:val="2"/>
                <w:sz w:val="21"/>
                <w:szCs w:val="21"/>
                <w:highlight w:val="none"/>
              </w:rPr>
              <w:t>采购项目名称</w:t>
            </w:r>
          </w:p>
        </w:tc>
        <w:tc>
          <w:tcPr>
            <w:tcW w:w="6070" w:type="dxa"/>
            <w:noWrap w:val="0"/>
            <w:vAlign w:val="center"/>
          </w:tcPr>
          <w:p w14:paraId="4BE48341">
            <w:pPr>
              <w:shd w:val="clear" w:color="auto" w:fill="auto"/>
              <w:ind w:firstLine="210" w:firstLineChars="100"/>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扶风县农村义务教育学生营养改善计划学校食堂食材采购</w:t>
            </w:r>
          </w:p>
        </w:tc>
      </w:tr>
      <w:tr w14:paraId="21863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6" w:hRule="exact"/>
          <w:jc w:val="center"/>
        </w:trPr>
        <w:tc>
          <w:tcPr>
            <w:tcW w:w="795" w:type="dxa"/>
            <w:noWrap w:val="0"/>
            <w:vAlign w:val="center"/>
          </w:tcPr>
          <w:p w14:paraId="1F1A7416">
            <w:pPr>
              <w:pStyle w:val="18"/>
              <w:shd w:val="clear" w:color="auto" w:fill="auto"/>
              <w:ind w:firstLine="0" w:firstLineChars="0"/>
              <w:jc w:val="center"/>
              <w:rPr>
                <w:rFonts w:hint="eastAsia"/>
                <w:kern w:val="2"/>
                <w:sz w:val="21"/>
                <w:szCs w:val="21"/>
                <w:highlight w:val="none"/>
              </w:rPr>
            </w:pPr>
            <w:r>
              <w:rPr>
                <w:rFonts w:hint="eastAsia"/>
                <w:kern w:val="2"/>
                <w:sz w:val="21"/>
                <w:szCs w:val="21"/>
                <w:highlight w:val="none"/>
              </w:rPr>
              <w:t>4</w:t>
            </w:r>
          </w:p>
        </w:tc>
        <w:tc>
          <w:tcPr>
            <w:tcW w:w="2429" w:type="dxa"/>
            <w:noWrap w:val="0"/>
            <w:vAlign w:val="center"/>
          </w:tcPr>
          <w:p w14:paraId="2D24D4CB">
            <w:pPr>
              <w:pStyle w:val="18"/>
              <w:shd w:val="clear" w:color="auto" w:fill="auto"/>
              <w:ind w:firstLine="0" w:firstLineChars="0"/>
              <w:jc w:val="center"/>
              <w:rPr>
                <w:rFonts w:hint="eastAsia"/>
                <w:kern w:val="2"/>
                <w:sz w:val="21"/>
                <w:szCs w:val="21"/>
                <w:highlight w:val="none"/>
              </w:rPr>
            </w:pPr>
            <w:r>
              <w:rPr>
                <w:rFonts w:hint="eastAsia"/>
                <w:kern w:val="2"/>
                <w:sz w:val="21"/>
                <w:szCs w:val="21"/>
                <w:highlight w:val="none"/>
              </w:rPr>
              <w:t>采购项目编号</w:t>
            </w:r>
          </w:p>
        </w:tc>
        <w:tc>
          <w:tcPr>
            <w:tcW w:w="6070" w:type="dxa"/>
            <w:noWrap w:val="0"/>
            <w:vAlign w:val="center"/>
          </w:tcPr>
          <w:p w14:paraId="471B9134">
            <w:pPr>
              <w:shd w:val="clear" w:color="auto" w:fill="auto"/>
              <w:ind w:firstLine="210" w:firstLineChars="100"/>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TWZB2026-116</w:t>
            </w:r>
          </w:p>
        </w:tc>
      </w:tr>
      <w:tr w14:paraId="7E35C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6" w:hRule="exact"/>
          <w:jc w:val="center"/>
        </w:trPr>
        <w:tc>
          <w:tcPr>
            <w:tcW w:w="795" w:type="dxa"/>
            <w:noWrap w:val="0"/>
            <w:vAlign w:val="center"/>
          </w:tcPr>
          <w:p w14:paraId="292C6580">
            <w:pPr>
              <w:pStyle w:val="18"/>
              <w:shd w:val="clear" w:color="auto" w:fill="auto"/>
              <w:ind w:firstLine="0" w:firstLineChars="0"/>
              <w:jc w:val="center"/>
              <w:rPr>
                <w:rFonts w:hint="eastAsia"/>
                <w:kern w:val="2"/>
                <w:sz w:val="21"/>
                <w:szCs w:val="21"/>
                <w:highlight w:val="none"/>
              </w:rPr>
            </w:pPr>
            <w:r>
              <w:rPr>
                <w:rFonts w:hint="eastAsia"/>
                <w:kern w:val="2"/>
                <w:sz w:val="21"/>
                <w:szCs w:val="21"/>
                <w:highlight w:val="none"/>
              </w:rPr>
              <w:t>5</w:t>
            </w:r>
          </w:p>
        </w:tc>
        <w:tc>
          <w:tcPr>
            <w:tcW w:w="2429" w:type="dxa"/>
            <w:noWrap w:val="0"/>
            <w:vAlign w:val="center"/>
          </w:tcPr>
          <w:p w14:paraId="4960ADB8">
            <w:pPr>
              <w:pStyle w:val="18"/>
              <w:shd w:val="clear" w:color="auto" w:fill="auto"/>
              <w:ind w:firstLine="0" w:firstLineChars="0"/>
              <w:jc w:val="center"/>
              <w:rPr>
                <w:rFonts w:hint="eastAsia"/>
                <w:kern w:val="2"/>
                <w:sz w:val="21"/>
                <w:szCs w:val="21"/>
                <w:highlight w:val="none"/>
              </w:rPr>
            </w:pPr>
            <w:r>
              <w:rPr>
                <w:rFonts w:hint="eastAsia"/>
                <w:kern w:val="2"/>
                <w:sz w:val="21"/>
                <w:szCs w:val="21"/>
                <w:highlight w:val="none"/>
              </w:rPr>
              <w:t>资金来源</w:t>
            </w:r>
          </w:p>
        </w:tc>
        <w:tc>
          <w:tcPr>
            <w:tcW w:w="6070" w:type="dxa"/>
            <w:noWrap w:val="0"/>
            <w:vAlign w:val="center"/>
          </w:tcPr>
          <w:p w14:paraId="3CD2F1D3">
            <w:pPr>
              <w:shd w:val="clear" w:color="auto" w:fill="auto"/>
              <w:ind w:firstLine="210" w:firstLineChars="100"/>
              <w:rPr>
                <w:rFonts w:hint="eastAsia" w:ascii="宋体" w:hAnsi="宋体" w:eastAsia="宋体" w:cs="宋体"/>
                <w:szCs w:val="21"/>
                <w:highlight w:val="none"/>
                <w:lang w:eastAsia="zh-CN"/>
              </w:rPr>
            </w:pPr>
            <w:r>
              <w:rPr>
                <w:rFonts w:hint="eastAsia" w:ascii="宋体" w:hAnsi="宋体" w:cs="宋体"/>
                <w:szCs w:val="21"/>
                <w:highlight w:val="none"/>
                <w:lang w:eastAsia="zh-CN"/>
              </w:rPr>
              <w:t>财政资金</w:t>
            </w:r>
          </w:p>
        </w:tc>
      </w:tr>
      <w:tr w14:paraId="4C8D3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83" w:hRule="exact"/>
          <w:jc w:val="center"/>
        </w:trPr>
        <w:tc>
          <w:tcPr>
            <w:tcW w:w="795" w:type="dxa"/>
            <w:noWrap w:val="0"/>
            <w:vAlign w:val="center"/>
          </w:tcPr>
          <w:p w14:paraId="6EBA286E">
            <w:pPr>
              <w:pStyle w:val="18"/>
              <w:shd w:val="clear" w:color="auto" w:fill="auto"/>
              <w:ind w:firstLine="0" w:firstLineChars="0"/>
              <w:jc w:val="center"/>
              <w:rPr>
                <w:rFonts w:hint="eastAsia"/>
                <w:kern w:val="2"/>
                <w:sz w:val="21"/>
                <w:szCs w:val="21"/>
                <w:highlight w:val="none"/>
              </w:rPr>
            </w:pPr>
            <w:r>
              <w:rPr>
                <w:rFonts w:hint="eastAsia"/>
                <w:kern w:val="2"/>
                <w:sz w:val="21"/>
                <w:szCs w:val="21"/>
                <w:highlight w:val="none"/>
              </w:rPr>
              <w:t>6</w:t>
            </w:r>
          </w:p>
        </w:tc>
        <w:tc>
          <w:tcPr>
            <w:tcW w:w="2429" w:type="dxa"/>
            <w:noWrap w:val="0"/>
            <w:vAlign w:val="center"/>
          </w:tcPr>
          <w:p w14:paraId="2FD447EE">
            <w:pPr>
              <w:pStyle w:val="18"/>
              <w:shd w:val="clear" w:color="auto" w:fill="auto"/>
              <w:ind w:firstLine="0" w:firstLineChars="0"/>
              <w:jc w:val="center"/>
              <w:rPr>
                <w:rFonts w:hint="eastAsia"/>
                <w:kern w:val="2"/>
                <w:sz w:val="21"/>
                <w:szCs w:val="21"/>
                <w:highlight w:val="none"/>
              </w:rPr>
            </w:pPr>
            <w:r>
              <w:rPr>
                <w:rFonts w:hint="eastAsia"/>
                <w:kern w:val="2"/>
                <w:sz w:val="21"/>
                <w:szCs w:val="21"/>
                <w:highlight w:val="none"/>
              </w:rPr>
              <w:t>采购预算</w:t>
            </w:r>
          </w:p>
        </w:tc>
        <w:tc>
          <w:tcPr>
            <w:tcW w:w="6070" w:type="dxa"/>
            <w:noWrap w:val="0"/>
            <w:vAlign w:val="center"/>
          </w:tcPr>
          <w:p w14:paraId="77AE3F4D">
            <w:pPr>
              <w:pStyle w:val="18"/>
              <w:shd w:val="clear" w:color="auto" w:fill="auto"/>
              <w:ind w:firstLine="210" w:firstLineChars="100"/>
              <w:rPr>
                <w:rFonts w:hint="eastAsia"/>
                <w:kern w:val="2"/>
                <w:sz w:val="21"/>
                <w:szCs w:val="21"/>
                <w:highlight w:val="none"/>
              </w:rPr>
            </w:pPr>
            <w:r>
              <w:rPr>
                <w:rFonts w:hint="eastAsia"/>
                <w:kern w:val="2"/>
                <w:sz w:val="21"/>
                <w:szCs w:val="21"/>
                <w:highlight w:val="none"/>
              </w:rPr>
              <w:t>本项目采购预算：人民币</w:t>
            </w:r>
            <w:r>
              <w:rPr>
                <w:rFonts w:hint="eastAsia"/>
                <w:kern w:val="2"/>
                <w:sz w:val="21"/>
                <w:szCs w:val="21"/>
                <w:highlight w:val="none"/>
                <w:lang w:eastAsia="zh-CN"/>
              </w:rPr>
              <w:t>8736000.00</w:t>
            </w:r>
            <w:r>
              <w:rPr>
                <w:rFonts w:hint="eastAsia"/>
                <w:kern w:val="2"/>
                <w:sz w:val="21"/>
                <w:szCs w:val="21"/>
                <w:highlight w:val="none"/>
              </w:rPr>
              <w:t>元。</w:t>
            </w:r>
          </w:p>
          <w:p w14:paraId="3E2E911A">
            <w:pPr>
              <w:pStyle w:val="18"/>
              <w:shd w:val="clear" w:color="auto" w:fill="auto"/>
              <w:ind w:firstLine="210" w:firstLineChars="100"/>
              <w:rPr>
                <w:rFonts w:hint="default"/>
                <w:kern w:val="2"/>
                <w:sz w:val="21"/>
                <w:szCs w:val="21"/>
                <w:highlight w:val="none"/>
                <w:lang w:val="en-US" w:eastAsia="zh-CN"/>
              </w:rPr>
            </w:pPr>
            <w:r>
              <w:rPr>
                <w:rFonts w:hint="eastAsia"/>
                <w:kern w:val="2"/>
                <w:sz w:val="21"/>
                <w:szCs w:val="21"/>
                <w:highlight w:val="none"/>
                <w:lang w:val="en-US" w:eastAsia="zh-CN"/>
              </w:rPr>
              <w:t>其中：</w:t>
            </w:r>
          </w:p>
          <w:p w14:paraId="4C728B29">
            <w:pPr>
              <w:pStyle w:val="18"/>
              <w:shd w:val="clear" w:color="auto" w:fill="auto"/>
              <w:ind w:firstLine="210" w:firstLineChars="100"/>
              <w:rPr>
                <w:rFonts w:hint="default"/>
                <w:kern w:val="2"/>
                <w:sz w:val="21"/>
                <w:szCs w:val="21"/>
                <w:highlight w:val="none"/>
                <w:lang w:val="en-US" w:eastAsia="zh-CN"/>
              </w:rPr>
            </w:pPr>
            <w:r>
              <w:rPr>
                <w:rFonts w:hint="eastAsia"/>
                <w:kern w:val="2"/>
                <w:sz w:val="21"/>
                <w:szCs w:val="21"/>
                <w:highlight w:val="none"/>
                <w:lang w:val="en-US" w:eastAsia="zh-CN"/>
              </w:rPr>
              <w:t>一标段：3167000.00元</w:t>
            </w:r>
          </w:p>
          <w:p w14:paraId="0A5215D8">
            <w:pPr>
              <w:pStyle w:val="18"/>
              <w:shd w:val="clear" w:color="auto" w:fill="auto"/>
              <w:ind w:firstLine="210" w:firstLineChars="100"/>
              <w:rPr>
                <w:rFonts w:hint="default"/>
                <w:kern w:val="2"/>
                <w:sz w:val="21"/>
                <w:szCs w:val="21"/>
                <w:highlight w:val="none"/>
                <w:lang w:val="en-US" w:eastAsia="zh-CN"/>
              </w:rPr>
            </w:pPr>
            <w:r>
              <w:rPr>
                <w:rFonts w:hint="eastAsia"/>
                <w:kern w:val="2"/>
                <w:sz w:val="21"/>
                <w:szCs w:val="21"/>
                <w:highlight w:val="none"/>
                <w:lang w:val="en-US" w:eastAsia="zh-CN"/>
              </w:rPr>
              <w:t>二标段：1899000.00元</w:t>
            </w:r>
          </w:p>
          <w:p w14:paraId="5CBF4351">
            <w:pPr>
              <w:pStyle w:val="18"/>
              <w:shd w:val="clear" w:color="auto" w:fill="auto"/>
              <w:ind w:firstLine="210" w:firstLineChars="100"/>
              <w:rPr>
                <w:rFonts w:hint="default"/>
                <w:kern w:val="2"/>
                <w:sz w:val="21"/>
                <w:szCs w:val="21"/>
                <w:highlight w:val="none"/>
                <w:lang w:val="en-US" w:eastAsia="zh-CN"/>
              </w:rPr>
            </w:pPr>
            <w:r>
              <w:rPr>
                <w:rFonts w:hint="eastAsia"/>
                <w:kern w:val="2"/>
                <w:sz w:val="21"/>
                <w:szCs w:val="21"/>
                <w:highlight w:val="none"/>
                <w:lang w:val="en-US" w:eastAsia="zh-CN"/>
              </w:rPr>
              <w:t>三标段：1677000.00元</w:t>
            </w:r>
          </w:p>
          <w:p w14:paraId="178D4809">
            <w:pPr>
              <w:pStyle w:val="18"/>
              <w:shd w:val="clear" w:color="auto" w:fill="auto"/>
              <w:ind w:firstLine="210" w:firstLineChars="100"/>
              <w:rPr>
                <w:rFonts w:hint="default"/>
                <w:kern w:val="2"/>
                <w:sz w:val="21"/>
                <w:szCs w:val="21"/>
                <w:highlight w:val="none"/>
                <w:lang w:val="en-US" w:eastAsia="zh-CN"/>
              </w:rPr>
            </w:pPr>
            <w:r>
              <w:rPr>
                <w:rFonts w:hint="eastAsia"/>
                <w:kern w:val="2"/>
                <w:sz w:val="21"/>
                <w:szCs w:val="21"/>
                <w:highlight w:val="none"/>
                <w:lang w:val="en-US" w:eastAsia="zh-CN"/>
              </w:rPr>
              <w:t>四标段：1993000.00元</w:t>
            </w:r>
          </w:p>
        </w:tc>
      </w:tr>
      <w:tr w14:paraId="55795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03" w:hRule="exact"/>
          <w:jc w:val="center"/>
        </w:trPr>
        <w:tc>
          <w:tcPr>
            <w:tcW w:w="795" w:type="dxa"/>
            <w:noWrap w:val="0"/>
            <w:vAlign w:val="center"/>
          </w:tcPr>
          <w:p w14:paraId="38E88F46">
            <w:pPr>
              <w:pStyle w:val="18"/>
              <w:shd w:val="clear" w:color="auto" w:fill="auto"/>
              <w:ind w:firstLine="0" w:firstLineChars="0"/>
              <w:jc w:val="center"/>
              <w:rPr>
                <w:rFonts w:hint="eastAsia" w:eastAsia="宋体"/>
                <w:kern w:val="2"/>
                <w:sz w:val="21"/>
                <w:szCs w:val="21"/>
                <w:highlight w:val="none"/>
                <w:lang w:val="en-US" w:eastAsia="zh-CN"/>
              </w:rPr>
            </w:pPr>
            <w:r>
              <w:rPr>
                <w:rFonts w:hint="eastAsia"/>
                <w:kern w:val="2"/>
                <w:sz w:val="21"/>
                <w:szCs w:val="21"/>
                <w:highlight w:val="none"/>
                <w:lang w:val="en-US" w:eastAsia="zh-CN"/>
              </w:rPr>
              <w:t>7</w:t>
            </w:r>
          </w:p>
        </w:tc>
        <w:tc>
          <w:tcPr>
            <w:tcW w:w="2429" w:type="dxa"/>
            <w:noWrap w:val="0"/>
            <w:vAlign w:val="center"/>
          </w:tcPr>
          <w:p w14:paraId="110DEB92">
            <w:pPr>
              <w:pStyle w:val="18"/>
              <w:shd w:val="clear" w:color="auto" w:fill="auto"/>
              <w:ind w:firstLine="0" w:firstLineChars="0"/>
              <w:jc w:val="center"/>
              <w:rPr>
                <w:rFonts w:hint="eastAsia" w:eastAsia="宋体"/>
                <w:kern w:val="2"/>
                <w:sz w:val="21"/>
                <w:szCs w:val="21"/>
                <w:highlight w:val="none"/>
                <w:lang w:eastAsia="zh-CN"/>
              </w:rPr>
            </w:pPr>
            <w:r>
              <w:rPr>
                <w:rFonts w:hint="eastAsia"/>
                <w:kern w:val="2"/>
                <w:sz w:val="21"/>
                <w:szCs w:val="21"/>
                <w:highlight w:val="none"/>
                <w:lang w:eastAsia="zh-CN"/>
              </w:rPr>
              <w:t>最高限价（单价）</w:t>
            </w:r>
          </w:p>
        </w:tc>
        <w:tc>
          <w:tcPr>
            <w:tcW w:w="6070" w:type="dxa"/>
            <w:noWrap w:val="0"/>
            <w:vAlign w:val="center"/>
          </w:tcPr>
          <w:p w14:paraId="5605BDAB">
            <w:pPr>
              <w:pStyle w:val="18"/>
              <w:shd w:val="clear" w:color="auto" w:fill="auto"/>
              <w:ind w:firstLine="210" w:firstLineChars="100"/>
              <w:rPr>
                <w:rFonts w:hint="eastAsia"/>
                <w:kern w:val="2"/>
                <w:sz w:val="21"/>
                <w:szCs w:val="21"/>
                <w:highlight w:val="none"/>
              </w:rPr>
            </w:pPr>
            <w:r>
              <w:rPr>
                <w:rFonts w:hint="eastAsia"/>
                <w:kern w:val="2"/>
                <w:sz w:val="21"/>
                <w:szCs w:val="21"/>
                <w:highlight w:val="none"/>
              </w:rPr>
              <w:t>大米25kg/袋：120.00元；</w:t>
            </w:r>
          </w:p>
          <w:p w14:paraId="40D363E1">
            <w:pPr>
              <w:pStyle w:val="18"/>
              <w:shd w:val="clear" w:color="auto" w:fill="auto"/>
              <w:ind w:firstLine="210" w:firstLineChars="100"/>
              <w:rPr>
                <w:rFonts w:hint="eastAsia"/>
                <w:kern w:val="2"/>
                <w:sz w:val="21"/>
                <w:szCs w:val="21"/>
                <w:highlight w:val="none"/>
              </w:rPr>
            </w:pPr>
            <w:r>
              <w:rPr>
                <w:rFonts w:hint="eastAsia"/>
                <w:kern w:val="2"/>
                <w:sz w:val="21"/>
                <w:szCs w:val="21"/>
                <w:highlight w:val="none"/>
              </w:rPr>
              <w:t>面粉25kg/袋：110.00元；</w:t>
            </w:r>
          </w:p>
          <w:p w14:paraId="2E7AA0DA">
            <w:pPr>
              <w:pStyle w:val="18"/>
              <w:shd w:val="clear" w:color="auto" w:fill="auto"/>
              <w:ind w:firstLine="210" w:firstLineChars="100"/>
              <w:rPr>
                <w:rFonts w:hint="eastAsia"/>
                <w:kern w:val="2"/>
                <w:sz w:val="21"/>
                <w:szCs w:val="21"/>
                <w:highlight w:val="none"/>
              </w:rPr>
            </w:pPr>
            <w:r>
              <w:rPr>
                <w:rFonts w:hint="eastAsia"/>
                <w:kern w:val="2"/>
                <w:sz w:val="21"/>
                <w:szCs w:val="21"/>
                <w:highlight w:val="none"/>
              </w:rPr>
              <w:t>菜籽油（非转基因）16.4L/桶：220.00元</w:t>
            </w:r>
          </w:p>
          <w:p w14:paraId="6D822DB6">
            <w:pPr>
              <w:pStyle w:val="18"/>
              <w:shd w:val="clear" w:color="auto" w:fill="auto"/>
              <w:ind w:firstLine="210" w:firstLineChars="100"/>
              <w:rPr>
                <w:rFonts w:hint="eastAsia"/>
                <w:kern w:val="2"/>
                <w:sz w:val="21"/>
                <w:szCs w:val="21"/>
                <w:highlight w:val="none"/>
                <w:lang w:eastAsia="zh-CN"/>
              </w:rPr>
            </w:pPr>
            <w:r>
              <w:rPr>
                <w:rFonts w:hint="eastAsia"/>
                <w:kern w:val="2"/>
                <w:sz w:val="21"/>
                <w:szCs w:val="21"/>
                <w:highlight w:val="none"/>
                <w:lang w:eastAsia="zh-CN"/>
              </w:rPr>
              <w:t>注：供应商报价超出最高限价（单价），作为不实质性响应招标文件，按无效文件处理。</w:t>
            </w:r>
          </w:p>
          <w:p w14:paraId="27E9C03C">
            <w:pPr>
              <w:pStyle w:val="18"/>
              <w:shd w:val="clear" w:color="auto" w:fill="auto"/>
              <w:ind w:firstLine="210" w:firstLineChars="100"/>
              <w:rPr>
                <w:rFonts w:hint="eastAsia"/>
                <w:kern w:val="2"/>
                <w:sz w:val="21"/>
                <w:szCs w:val="21"/>
                <w:highlight w:val="none"/>
                <w:lang w:val="en-US" w:eastAsia="zh-CN"/>
              </w:rPr>
            </w:pPr>
            <w:r>
              <w:rPr>
                <w:rFonts w:hint="default"/>
                <w:kern w:val="2"/>
                <w:sz w:val="21"/>
                <w:szCs w:val="21"/>
                <w:highlight w:val="none"/>
                <w:lang w:val="en-US" w:eastAsia="zh-CN"/>
              </w:rPr>
              <w:t>本次</w:t>
            </w:r>
            <w:r>
              <w:rPr>
                <w:rFonts w:hint="eastAsia"/>
                <w:kern w:val="2"/>
                <w:sz w:val="21"/>
                <w:szCs w:val="21"/>
                <w:highlight w:val="none"/>
                <w:lang w:val="en-US" w:eastAsia="zh-CN"/>
              </w:rPr>
              <w:t>投标</w:t>
            </w:r>
            <w:r>
              <w:rPr>
                <w:rFonts w:hint="default"/>
                <w:kern w:val="2"/>
                <w:sz w:val="21"/>
                <w:szCs w:val="21"/>
                <w:highlight w:val="none"/>
                <w:lang w:val="en-US" w:eastAsia="zh-CN"/>
              </w:rPr>
              <w:t>报价仅限大米、面粉、菜籽油（非转基因）的单价</w:t>
            </w:r>
            <w:r>
              <w:rPr>
                <w:rFonts w:hint="eastAsia"/>
                <w:kern w:val="2"/>
                <w:sz w:val="21"/>
                <w:szCs w:val="21"/>
                <w:highlight w:val="none"/>
                <w:lang w:val="en-US" w:eastAsia="zh-CN"/>
              </w:rPr>
              <w:t>。</w:t>
            </w:r>
          </w:p>
          <w:p w14:paraId="2AAA1CFD">
            <w:pPr>
              <w:pStyle w:val="18"/>
              <w:shd w:val="clear" w:color="auto" w:fill="auto"/>
              <w:ind w:firstLine="210" w:firstLineChars="100"/>
              <w:rPr>
                <w:rFonts w:hint="default"/>
                <w:kern w:val="2"/>
                <w:sz w:val="21"/>
                <w:szCs w:val="21"/>
                <w:highlight w:val="none"/>
                <w:lang w:val="en-US" w:eastAsia="zh-CN"/>
              </w:rPr>
            </w:pPr>
            <w:r>
              <w:rPr>
                <w:rFonts w:hint="eastAsia"/>
                <w:kern w:val="2"/>
                <w:sz w:val="21"/>
                <w:szCs w:val="21"/>
                <w:highlight w:val="none"/>
                <w:lang w:val="en-US" w:eastAsia="zh-CN"/>
              </w:rPr>
              <w:t>肉类、蛋类、蔬菜类、干菜类、调味品类执行固定下浮率8%不再进行报价。</w:t>
            </w:r>
          </w:p>
        </w:tc>
      </w:tr>
      <w:tr w14:paraId="74D51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1" w:hRule="exact"/>
          <w:jc w:val="center"/>
        </w:trPr>
        <w:tc>
          <w:tcPr>
            <w:tcW w:w="795" w:type="dxa"/>
            <w:noWrap w:val="0"/>
            <w:vAlign w:val="center"/>
          </w:tcPr>
          <w:p w14:paraId="26027789">
            <w:pPr>
              <w:pStyle w:val="18"/>
              <w:shd w:val="clear" w:color="auto" w:fill="auto"/>
              <w:ind w:firstLine="0" w:firstLineChars="0"/>
              <w:jc w:val="center"/>
              <w:rPr>
                <w:rFonts w:hint="eastAsia" w:eastAsia="宋体"/>
                <w:kern w:val="2"/>
                <w:sz w:val="21"/>
                <w:szCs w:val="21"/>
                <w:highlight w:val="none"/>
                <w:lang w:val="en-US" w:eastAsia="zh-CN"/>
              </w:rPr>
            </w:pPr>
            <w:r>
              <w:rPr>
                <w:rFonts w:hint="eastAsia"/>
                <w:kern w:val="2"/>
                <w:sz w:val="21"/>
                <w:szCs w:val="21"/>
                <w:highlight w:val="none"/>
                <w:lang w:val="en-US" w:eastAsia="zh-CN"/>
              </w:rPr>
              <w:t>8</w:t>
            </w:r>
          </w:p>
        </w:tc>
        <w:tc>
          <w:tcPr>
            <w:tcW w:w="2429" w:type="dxa"/>
            <w:noWrap w:val="0"/>
            <w:vAlign w:val="center"/>
          </w:tcPr>
          <w:p w14:paraId="2F839692">
            <w:pPr>
              <w:pStyle w:val="18"/>
              <w:shd w:val="clear" w:color="auto" w:fill="auto"/>
              <w:ind w:firstLine="0" w:firstLineChars="0"/>
              <w:jc w:val="center"/>
              <w:rPr>
                <w:rFonts w:hint="eastAsia"/>
                <w:kern w:val="2"/>
                <w:sz w:val="21"/>
                <w:szCs w:val="21"/>
                <w:highlight w:val="none"/>
              </w:rPr>
            </w:pPr>
            <w:r>
              <w:rPr>
                <w:rFonts w:hint="eastAsia"/>
                <w:kern w:val="2"/>
                <w:sz w:val="21"/>
                <w:szCs w:val="21"/>
                <w:highlight w:val="none"/>
              </w:rPr>
              <w:t>采购方式</w:t>
            </w:r>
          </w:p>
        </w:tc>
        <w:tc>
          <w:tcPr>
            <w:tcW w:w="6070" w:type="dxa"/>
            <w:noWrap w:val="0"/>
            <w:vAlign w:val="center"/>
          </w:tcPr>
          <w:p w14:paraId="56BB35BE">
            <w:pPr>
              <w:pStyle w:val="18"/>
              <w:shd w:val="clear" w:color="auto" w:fill="auto"/>
              <w:ind w:firstLine="210" w:firstLineChars="100"/>
              <w:rPr>
                <w:rFonts w:hint="eastAsia"/>
                <w:kern w:val="2"/>
                <w:sz w:val="21"/>
                <w:szCs w:val="21"/>
                <w:highlight w:val="none"/>
              </w:rPr>
            </w:pPr>
            <w:r>
              <w:rPr>
                <w:rFonts w:hint="eastAsia"/>
                <w:kern w:val="2"/>
                <w:sz w:val="21"/>
                <w:szCs w:val="21"/>
                <w:highlight w:val="none"/>
              </w:rPr>
              <w:t>公开招标</w:t>
            </w:r>
          </w:p>
        </w:tc>
      </w:tr>
      <w:tr w14:paraId="07522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93" w:hRule="exact"/>
          <w:jc w:val="center"/>
        </w:trPr>
        <w:tc>
          <w:tcPr>
            <w:tcW w:w="795" w:type="dxa"/>
            <w:noWrap w:val="0"/>
            <w:vAlign w:val="center"/>
          </w:tcPr>
          <w:p w14:paraId="5C537FAF">
            <w:pPr>
              <w:pStyle w:val="18"/>
              <w:shd w:val="clear" w:color="auto" w:fill="auto"/>
              <w:ind w:firstLine="0" w:firstLineChars="0"/>
              <w:jc w:val="center"/>
              <w:rPr>
                <w:rFonts w:hint="eastAsia" w:eastAsia="宋体"/>
                <w:kern w:val="2"/>
                <w:sz w:val="21"/>
                <w:szCs w:val="21"/>
                <w:highlight w:val="none"/>
                <w:lang w:val="en-US" w:eastAsia="zh-CN"/>
              </w:rPr>
            </w:pPr>
            <w:r>
              <w:rPr>
                <w:rFonts w:hint="eastAsia"/>
                <w:kern w:val="2"/>
                <w:sz w:val="21"/>
                <w:szCs w:val="21"/>
                <w:highlight w:val="none"/>
                <w:lang w:val="en-US" w:eastAsia="zh-CN"/>
              </w:rPr>
              <w:t>9</w:t>
            </w:r>
          </w:p>
        </w:tc>
        <w:tc>
          <w:tcPr>
            <w:tcW w:w="2429" w:type="dxa"/>
            <w:noWrap w:val="0"/>
            <w:vAlign w:val="center"/>
          </w:tcPr>
          <w:p w14:paraId="2995ECED">
            <w:pPr>
              <w:pStyle w:val="18"/>
              <w:shd w:val="clear" w:color="auto" w:fill="auto"/>
              <w:ind w:firstLine="0" w:firstLineChars="0"/>
              <w:jc w:val="center"/>
              <w:rPr>
                <w:rFonts w:hint="eastAsia"/>
                <w:color w:val="000000"/>
                <w:kern w:val="2"/>
                <w:sz w:val="21"/>
                <w:szCs w:val="21"/>
                <w:highlight w:val="none"/>
              </w:rPr>
            </w:pPr>
            <w:r>
              <w:rPr>
                <w:rFonts w:hint="eastAsia"/>
                <w:color w:val="000000"/>
                <w:kern w:val="2"/>
                <w:sz w:val="21"/>
                <w:szCs w:val="21"/>
                <w:highlight w:val="none"/>
              </w:rPr>
              <w:t>采购内容</w:t>
            </w:r>
          </w:p>
        </w:tc>
        <w:tc>
          <w:tcPr>
            <w:tcW w:w="6070" w:type="dxa"/>
            <w:noWrap w:val="0"/>
            <w:vAlign w:val="center"/>
          </w:tcPr>
          <w:p w14:paraId="1474BC9A">
            <w:pPr>
              <w:pStyle w:val="18"/>
              <w:shd w:val="clear" w:color="auto" w:fill="auto"/>
              <w:ind w:firstLine="210" w:firstLineChars="100"/>
              <w:rPr>
                <w:rFonts w:hint="eastAsia"/>
                <w:color w:val="000000"/>
                <w:kern w:val="2"/>
                <w:sz w:val="21"/>
                <w:szCs w:val="21"/>
                <w:highlight w:val="none"/>
              </w:rPr>
            </w:pPr>
            <w:r>
              <w:rPr>
                <w:rFonts w:hint="eastAsia"/>
                <w:color w:val="000000"/>
                <w:kern w:val="2"/>
                <w:sz w:val="21"/>
                <w:szCs w:val="21"/>
                <w:highlight w:val="none"/>
              </w:rPr>
              <w:t>主要内容为</w:t>
            </w:r>
            <w:r>
              <w:rPr>
                <w:rFonts w:hint="eastAsia"/>
                <w:color w:val="000000"/>
                <w:kern w:val="2"/>
                <w:sz w:val="21"/>
                <w:szCs w:val="21"/>
                <w:highlight w:val="none"/>
                <w:lang w:eastAsia="zh-CN"/>
              </w:rPr>
              <w:t>学生营养改善食材</w:t>
            </w:r>
            <w:r>
              <w:rPr>
                <w:rFonts w:hint="eastAsia"/>
                <w:color w:val="000000"/>
                <w:kern w:val="2"/>
                <w:sz w:val="21"/>
                <w:szCs w:val="21"/>
                <w:highlight w:val="none"/>
              </w:rPr>
              <w:t>，详见招标文件。</w:t>
            </w:r>
          </w:p>
          <w:p w14:paraId="3409A1E3">
            <w:pPr>
              <w:pStyle w:val="18"/>
              <w:shd w:val="clear" w:color="auto" w:fill="auto"/>
              <w:ind w:firstLine="210" w:firstLineChars="100"/>
              <w:rPr>
                <w:rFonts w:hint="eastAsia"/>
                <w:color w:val="000000"/>
                <w:kern w:val="2"/>
                <w:sz w:val="21"/>
                <w:szCs w:val="21"/>
                <w:highlight w:val="none"/>
              </w:rPr>
            </w:pPr>
            <w:r>
              <w:rPr>
                <w:rFonts w:hint="eastAsia"/>
                <w:color w:val="000000"/>
                <w:kern w:val="2"/>
                <w:sz w:val="21"/>
                <w:szCs w:val="21"/>
                <w:highlight w:val="none"/>
              </w:rPr>
              <w:t>一标段：为绛帐镇1</w:t>
            </w:r>
            <w:r>
              <w:rPr>
                <w:rFonts w:hint="eastAsia"/>
                <w:color w:val="000000"/>
                <w:kern w:val="2"/>
                <w:sz w:val="21"/>
                <w:szCs w:val="21"/>
                <w:highlight w:val="none"/>
                <w:lang w:val="en-US" w:eastAsia="zh-CN"/>
              </w:rPr>
              <w:t>3</w:t>
            </w:r>
            <w:r>
              <w:rPr>
                <w:rFonts w:hint="eastAsia"/>
                <w:color w:val="000000"/>
                <w:kern w:val="2"/>
                <w:sz w:val="21"/>
                <w:szCs w:val="21"/>
                <w:highlight w:val="none"/>
              </w:rPr>
              <w:t>所学校食堂供应食材，供应种类：米、面粉、菜籽油（非转基因）、肉类、蛋类、 蔬菜类、干菜类、调味品类；</w:t>
            </w:r>
          </w:p>
          <w:p w14:paraId="3D9546A7">
            <w:pPr>
              <w:pStyle w:val="18"/>
              <w:shd w:val="clear" w:color="auto" w:fill="auto"/>
              <w:ind w:firstLine="210" w:firstLineChars="100"/>
              <w:rPr>
                <w:rFonts w:hint="eastAsia"/>
                <w:color w:val="000000"/>
                <w:kern w:val="2"/>
                <w:sz w:val="21"/>
                <w:szCs w:val="21"/>
                <w:highlight w:val="none"/>
              </w:rPr>
            </w:pPr>
            <w:r>
              <w:rPr>
                <w:rFonts w:hint="eastAsia"/>
                <w:color w:val="000000"/>
                <w:kern w:val="2"/>
                <w:sz w:val="21"/>
                <w:szCs w:val="21"/>
                <w:highlight w:val="none"/>
              </w:rPr>
              <w:t>二标段：为法门镇、午井镇各学校及部分局直学校等</w:t>
            </w:r>
            <w:r>
              <w:rPr>
                <w:rFonts w:hint="eastAsia"/>
                <w:color w:val="000000"/>
                <w:kern w:val="2"/>
                <w:sz w:val="21"/>
                <w:szCs w:val="21"/>
                <w:highlight w:val="none"/>
                <w:lang w:val="en-US" w:eastAsia="zh-CN"/>
              </w:rPr>
              <w:t>9</w:t>
            </w:r>
            <w:r>
              <w:rPr>
                <w:rFonts w:hint="eastAsia"/>
                <w:color w:val="000000"/>
                <w:kern w:val="2"/>
                <w:sz w:val="21"/>
                <w:szCs w:val="21"/>
                <w:highlight w:val="none"/>
              </w:rPr>
              <w:t>所学校食堂供应食材，供应种类：米、面粉、菜籽油（非转基因）、肉类、蛋类、 蔬菜类、干菜类、调味品类；</w:t>
            </w:r>
          </w:p>
          <w:p w14:paraId="4CED6D41">
            <w:pPr>
              <w:pStyle w:val="18"/>
              <w:shd w:val="clear" w:color="auto" w:fill="auto"/>
              <w:ind w:firstLine="210" w:firstLineChars="100"/>
              <w:rPr>
                <w:rFonts w:hint="eastAsia"/>
                <w:color w:val="000000"/>
                <w:kern w:val="2"/>
                <w:sz w:val="21"/>
                <w:szCs w:val="21"/>
                <w:highlight w:val="none"/>
              </w:rPr>
            </w:pPr>
            <w:r>
              <w:rPr>
                <w:rFonts w:hint="eastAsia"/>
                <w:color w:val="000000"/>
                <w:kern w:val="2"/>
                <w:sz w:val="21"/>
                <w:szCs w:val="21"/>
                <w:highlight w:val="none"/>
              </w:rPr>
              <w:t>三标段：为城关街办、段家镇各学校及部分局直学校等</w:t>
            </w:r>
            <w:r>
              <w:rPr>
                <w:rFonts w:hint="eastAsia"/>
                <w:color w:val="000000"/>
                <w:kern w:val="2"/>
                <w:sz w:val="21"/>
                <w:szCs w:val="21"/>
                <w:highlight w:val="none"/>
                <w:lang w:val="en-US" w:eastAsia="zh-CN"/>
              </w:rPr>
              <w:t>13</w:t>
            </w:r>
            <w:r>
              <w:rPr>
                <w:rFonts w:hint="eastAsia"/>
                <w:color w:val="000000"/>
                <w:kern w:val="2"/>
                <w:sz w:val="21"/>
                <w:szCs w:val="21"/>
                <w:highlight w:val="none"/>
              </w:rPr>
              <w:t>所学校食堂供应食材，供应种类：米、面粉、菜籽油（非转基因）、肉类、蛋类、 蔬菜类、干菜类、调味品类；</w:t>
            </w:r>
          </w:p>
          <w:p w14:paraId="30033317">
            <w:pPr>
              <w:pStyle w:val="18"/>
              <w:shd w:val="clear" w:color="auto" w:fill="auto"/>
              <w:ind w:firstLine="210" w:firstLineChars="100"/>
              <w:rPr>
                <w:rFonts w:hint="eastAsia"/>
                <w:color w:val="000000"/>
                <w:kern w:val="2"/>
                <w:sz w:val="21"/>
                <w:szCs w:val="21"/>
                <w:highlight w:val="none"/>
              </w:rPr>
            </w:pPr>
            <w:r>
              <w:rPr>
                <w:rFonts w:hint="eastAsia"/>
                <w:color w:val="000000"/>
                <w:kern w:val="2"/>
                <w:sz w:val="21"/>
                <w:szCs w:val="21"/>
                <w:highlight w:val="none"/>
              </w:rPr>
              <w:t>四标段：为召公镇、杏林镇、天度镇及部分局直学校等</w:t>
            </w:r>
            <w:r>
              <w:rPr>
                <w:rFonts w:hint="eastAsia"/>
                <w:color w:val="000000"/>
                <w:kern w:val="2"/>
                <w:sz w:val="21"/>
                <w:szCs w:val="21"/>
                <w:highlight w:val="none"/>
                <w:lang w:val="en-US" w:eastAsia="zh-CN"/>
              </w:rPr>
              <w:t>10</w:t>
            </w:r>
            <w:r>
              <w:rPr>
                <w:rFonts w:hint="eastAsia"/>
                <w:color w:val="000000"/>
                <w:kern w:val="2"/>
                <w:sz w:val="21"/>
                <w:szCs w:val="21"/>
                <w:highlight w:val="none"/>
              </w:rPr>
              <w:t>所学校食堂供应食材，供应种类：米、面粉、菜籽油（非转基因）、肉类、蛋类、 蔬菜类、干菜类、调味品类；</w:t>
            </w:r>
          </w:p>
          <w:p w14:paraId="26E18BF5">
            <w:pPr>
              <w:pStyle w:val="18"/>
              <w:shd w:val="clear" w:color="auto" w:fill="auto"/>
              <w:ind w:firstLine="210" w:firstLineChars="100"/>
              <w:rPr>
                <w:rFonts w:hint="eastAsia"/>
                <w:color w:val="000000"/>
                <w:kern w:val="2"/>
                <w:sz w:val="21"/>
                <w:szCs w:val="21"/>
                <w:highlight w:val="none"/>
              </w:rPr>
            </w:pPr>
            <w:r>
              <w:rPr>
                <w:rFonts w:hint="eastAsia"/>
                <w:color w:val="000000"/>
                <w:kern w:val="2"/>
                <w:sz w:val="21"/>
                <w:szCs w:val="21"/>
                <w:highlight w:val="none"/>
              </w:rPr>
              <w:t>具体内容详见招标内容及要求。</w:t>
            </w:r>
          </w:p>
          <w:p w14:paraId="2BACED83">
            <w:pPr>
              <w:pStyle w:val="18"/>
              <w:shd w:val="clear" w:color="auto" w:fill="auto"/>
              <w:ind w:firstLine="210" w:firstLineChars="100"/>
              <w:rPr>
                <w:rFonts w:hint="eastAsia"/>
                <w:color w:val="000000"/>
                <w:kern w:val="2"/>
                <w:sz w:val="21"/>
                <w:szCs w:val="21"/>
                <w:highlight w:val="none"/>
              </w:rPr>
            </w:pPr>
            <w:r>
              <w:rPr>
                <w:rFonts w:hint="eastAsia"/>
                <w:color w:val="000000"/>
                <w:kern w:val="2"/>
                <w:sz w:val="21"/>
                <w:szCs w:val="21"/>
                <w:highlight w:val="none"/>
              </w:rPr>
              <w:t>本项目核心产品：面粉</w:t>
            </w:r>
          </w:p>
        </w:tc>
      </w:tr>
      <w:tr w14:paraId="07657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30" w:hRule="exact"/>
          <w:jc w:val="center"/>
        </w:trPr>
        <w:tc>
          <w:tcPr>
            <w:tcW w:w="795" w:type="dxa"/>
            <w:noWrap w:val="0"/>
            <w:vAlign w:val="center"/>
          </w:tcPr>
          <w:p w14:paraId="1DDB67BE">
            <w:pPr>
              <w:pStyle w:val="18"/>
              <w:shd w:val="clear" w:color="auto" w:fill="auto"/>
              <w:ind w:firstLine="0" w:firstLineChars="0"/>
              <w:jc w:val="center"/>
              <w:rPr>
                <w:rFonts w:hint="default" w:eastAsia="宋体"/>
                <w:kern w:val="2"/>
                <w:sz w:val="21"/>
                <w:szCs w:val="21"/>
                <w:highlight w:val="none"/>
                <w:lang w:val="en-US" w:eastAsia="zh-CN"/>
              </w:rPr>
            </w:pPr>
            <w:r>
              <w:rPr>
                <w:rFonts w:hint="eastAsia"/>
                <w:kern w:val="2"/>
                <w:sz w:val="21"/>
                <w:szCs w:val="21"/>
                <w:highlight w:val="none"/>
                <w:lang w:val="en-US" w:eastAsia="zh-CN"/>
              </w:rPr>
              <w:t>10</w:t>
            </w:r>
          </w:p>
        </w:tc>
        <w:tc>
          <w:tcPr>
            <w:tcW w:w="2429" w:type="dxa"/>
            <w:noWrap w:val="0"/>
            <w:vAlign w:val="center"/>
          </w:tcPr>
          <w:p w14:paraId="71576464">
            <w:pPr>
              <w:pStyle w:val="18"/>
              <w:shd w:val="clear" w:color="auto" w:fill="auto"/>
              <w:ind w:firstLine="0" w:firstLineChars="0"/>
              <w:jc w:val="center"/>
              <w:rPr>
                <w:rFonts w:hint="eastAsia"/>
                <w:kern w:val="2"/>
                <w:sz w:val="21"/>
                <w:szCs w:val="21"/>
                <w:highlight w:val="none"/>
              </w:rPr>
            </w:pPr>
            <w:r>
              <w:rPr>
                <w:rFonts w:hint="eastAsia"/>
                <w:kern w:val="2"/>
                <w:sz w:val="21"/>
                <w:szCs w:val="21"/>
                <w:highlight w:val="none"/>
              </w:rPr>
              <w:t>质量要求、验收标准</w:t>
            </w:r>
          </w:p>
        </w:tc>
        <w:tc>
          <w:tcPr>
            <w:tcW w:w="6070" w:type="dxa"/>
            <w:noWrap w:val="0"/>
            <w:vAlign w:val="center"/>
          </w:tcPr>
          <w:p w14:paraId="73470D2D">
            <w:pPr>
              <w:pStyle w:val="18"/>
              <w:shd w:val="clear" w:color="auto" w:fill="auto"/>
              <w:ind w:firstLine="210" w:firstLineChars="100"/>
              <w:rPr>
                <w:rFonts w:hint="eastAsia"/>
                <w:kern w:val="2"/>
                <w:sz w:val="21"/>
                <w:szCs w:val="21"/>
                <w:highlight w:val="none"/>
              </w:rPr>
            </w:pPr>
            <w:r>
              <w:rPr>
                <w:rFonts w:hint="eastAsia"/>
                <w:kern w:val="2"/>
                <w:sz w:val="21"/>
                <w:szCs w:val="21"/>
                <w:highlight w:val="none"/>
              </w:rPr>
              <w:t>质量要求：达到国家现行技术标准。</w:t>
            </w:r>
          </w:p>
          <w:p w14:paraId="42E18182">
            <w:pPr>
              <w:pStyle w:val="18"/>
              <w:shd w:val="clear" w:color="auto" w:fill="auto"/>
              <w:ind w:firstLine="210" w:firstLineChars="100"/>
              <w:rPr>
                <w:rFonts w:hint="eastAsia"/>
                <w:kern w:val="2"/>
                <w:sz w:val="21"/>
                <w:szCs w:val="21"/>
                <w:highlight w:val="none"/>
              </w:rPr>
            </w:pPr>
            <w:r>
              <w:rPr>
                <w:rFonts w:hint="eastAsia"/>
                <w:kern w:val="2"/>
                <w:sz w:val="21"/>
                <w:szCs w:val="21"/>
                <w:highlight w:val="none"/>
              </w:rPr>
              <w:t>验收标准：国家标准、行业标准、企业标准。</w:t>
            </w:r>
          </w:p>
        </w:tc>
      </w:tr>
      <w:tr w14:paraId="41786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9" w:hRule="atLeast"/>
          <w:jc w:val="center"/>
        </w:trPr>
        <w:tc>
          <w:tcPr>
            <w:tcW w:w="795" w:type="dxa"/>
            <w:noWrap w:val="0"/>
            <w:vAlign w:val="center"/>
          </w:tcPr>
          <w:p w14:paraId="3D4FB49C">
            <w:pPr>
              <w:pStyle w:val="18"/>
              <w:shd w:val="clear" w:color="auto" w:fill="auto"/>
              <w:ind w:firstLine="0" w:firstLineChars="0"/>
              <w:jc w:val="center"/>
              <w:rPr>
                <w:rFonts w:hint="eastAsia"/>
                <w:kern w:val="2"/>
                <w:sz w:val="21"/>
                <w:szCs w:val="21"/>
                <w:highlight w:val="none"/>
              </w:rPr>
            </w:pPr>
            <w:r>
              <w:rPr>
                <w:rFonts w:hint="eastAsia"/>
                <w:kern w:val="2"/>
                <w:sz w:val="21"/>
                <w:szCs w:val="21"/>
                <w:highlight w:val="none"/>
              </w:rPr>
              <w:t>11</w:t>
            </w:r>
          </w:p>
        </w:tc>
        <w:tc>
          <w:tcPr>
            <w:tcW w:w="2429" w:type="dxa"/>
            <w:noWrap w:val="0"/>
            <w:vAlign w:val="center"/>
          </w:tcPr>
          <w:p w14:paraId="619C6608">
            <w:pPr>
              <w:pStyle w:val="18"/>
              <w:shd w:val="clear" w:color="auto" w:fill="auto"/>
              <w:ind w:firstLine="0" w:firstLineChars="0"/>
              <w:jc w:val="center"/>
              <w:rPr>
                <w:rFonts w:hint="eastAsia"/>
                <w:kern w:val="2"/>
                <w:sz w:val="21"/>
                <w:szCs w:val="21"/>
                <w:highlight w:val="none"/>
              </w:rPr>
            </w:pPr>
            <w:r>
              <w:rPr>
                <w:rFonts w:hint="eastAsia"/>
                <w:kern w:val="2"/>
                <w:sz w:val="21"/>
                <w:szCs w:val="21"/>
                <w:highlight w:val="none"/>
              </w:rPr>
              <w:t>联合体投标</w:t>
            </w:r>
          </w:p>
        </w:tc>
        <w:tc>
          <w:tcPr>
            <w:tcW w:w="6070" w:type="dxa"/>
            <w:noWrap w:val="0"/>
            <w:vAlign w:val="center"/>
          </w:tcPr>
          <w:p w14:paraId="213D272F">
            <w:pPr>
              <w:pStyle w:val="18"/>
              <w:shd w:val="clear" w:color="auto" w:fill="auto"/>
              <w:ind w:firstLine="210" w:firstLineChars="100"/>
              <w:rPr>
                <w:rFonts w:hint="eastAsia"/>
                <w:kern w:val="2"/>
                <w:sz w:val="21"/>
                <w:szCs w:val="21"/>
                <w:highlight w:val="none"/>
              </w:rPr>
            </w:pPr>
            <w:r>
              <w:rPr>
                <w:rFonts w:hint="eastAsia"/>
                <w:kern w:val="2"/>
                <w:sz w:val="21"/>
                <w:szCs w:val="21"/>
                <w:highlight w:val="none"/>
              </w:rPr>
              <w:t>不接受</w:t>
            </w:r>
          </w:p>
        </w:tc>
      </w:tr>
      <w:tr w14:paraId="44AB0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1" w:hRule="atLeast"/>
          <w:jc w:val="center"/>
        </w:trPr>
        <w:tc>
          <w:tcPr>
            <w:tcW w:w="795" w:type="dxa"/>
            <w:noWrap w:val="0"/>
            <w:vAlign w:val="center"/>
          </w:tcPr>
          <w:p w14:paraId="0F44271B">
            <w:pPr>
              <w:pStyle w:val="18"/>
              <w:shd w:val="clear" w:color="auto" w:fill="auto"/>
              <w:ind w:firstLine="0" w:firstLineChars="0"/>
              <w:jc w:val="center"/>
              <w:rPr>
                <w:rFonts w:hint="eastAsia"/>
                <w:kern w:val="2"/>
                <w:sz w:val="21"/>
                <w:szCs w:val="21"/>
                <w:highlight w:val="none"/>
              </w:rPr>
            </w:pPr>
            <w:r>
              <w:rPr>
                <w:rFonts w:hint="eastAsia"/>
                <w:kern w:val="2"/>
                <w:sz w:val="21"/>
                <w:szCs w:val="21"/>
                <w:highlight w:val="none"/>
              </w:rPr>
              <w:t>12</w:t>
            </w:r>
          </w:p>
        </w:tc>
        <w:tc>
          <w:tcPr>
            <w:tcW w:w="2429" w:type="dxa"/>
            <w:tcBorders>
              <w:bottom w:val="single" w:color="auto" w:sz="4" w:space="0"/>
            </w:tcBorders>
            <w:noWrap w:val="0"/>
            <w:vAlign w:val="center"/>
          </w:tcPr>
          <w:p w14:paraId="4982DF47">
            <w:pPr>
              <w:pStyle w:val="18"/>
              <w:shd w:val="clear" w:color="auto" w:fill="auto"/>
              <w:ind w:firstLine="0" w:firstLineChars="0"/>
              <w:jc w:val="center"/>
              <w:rPr>
                <w:rFonts w:hint="eastAsia"/>
                <w:kern w:val="2"/>
                <w:sz w:val="21"/>
                <w:szCs w:val="21"/>
                <w:highlight w:val="none"/>
              </w:rPr>
            </w:pPr>
            <w:r>
              <w:rPr>
                <w:rFonts w:hint="eastAsia"/>
                <w:kern w:val="2"/>
                <w:sz w:val="21"/>
                <w:szCs w:val="21"/>
                <w:highlight w:val="none"/>
              </w:rPr>
              <w:t>考察现场、标前答疑会</w:t>
            </w:r>
          </w:p>
        </w:tc>
        <w:tc>
          <w:tcPr>
            <w:tcW w:w="6070" w:type="dxa"/>
            <w:tcBorders>
              <w:bottom w:val="single" w:color="auto" w:sz="4" w:space="0"/>
            </w:tcBorders>
            <w:noWrap w:val="0"/>
            <w:vAlign w:val="center"/>
          </w:tcPr>
          <w:p w14:paraId="4DB7EC85">
            <w:pPr>
              <w:pStyle w:val="18"/>
              <w:shd w:val="clear" w:color="auto" w:fill="auto"/>
              <w:ind w:firstLine="210" w:firstLineChars="100"/>
              <w:rPr>
                <w:rFonts w:hint="eastAsia"/>
                <w:kern w:val="2"/>
                <w:sz w:val="21"/>
                <w:szCs w:val="21"/>
                <w:highlight w:val="none"/>
              </w:rPr>
            </w:pPr>
            <w:r>
              <w:rPr>
                <w:rFonts w:hint="eastAsia"/>
                <w:kern w:val="2"/>
                <w:sz w:val="21"/>
                <w:szCs w:val="21"/>
                <w:highlight w:val="none"/>
              </w:rPr>
              <w:t>不组织。采购单位认为有必要，另行书面通知。</w:t>
            </w:r>
          </w:p>
        </w:tc>
      </w:tr>
      <w:tr w14:paraId="005B8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795" w:type="dxa"/>
            <w:tcBorders>
              <w:right w:val="single" w:color="auto" w:sz="4" w:space="0"/>
            </w:tcBorders>
            <w:noWrap w:val="0"/>
            <w:vAlign w:val="center"/>
          </w:tcPr>
          <w:p w14:paraId="368C263A">
            <w:pPr>
              <w:pStyle w:val="18"/>
              <w:shd w:val="clear" w:color="auto" w:fill="auto"/>
              <w:ind w:firstLine="0" w:firstLineChars="0"/>
              <w:jc w:val="center"/>
              <w:rPr>
                <w:rFonts w:hint="eastAsia"/>
                <w:kern w:val="2"/>
                <w:sz w:val="21"/>
                <w:szCs w:val="21"/>
                <w:highlight w:val="none"/>
              </w:rPr>
            </w:pPr>
            <w:r>
              <w:rPr>
                <w:rFonts w:hint="eastAsia"/>
                <w:kern w:val="2"/>
                <w:sz w:val="21"/>
                <w:szCs w:val="21"/>
                <w:highlight w:val="none"/>
              </w:rPr>
              <w:t>13</w:t>
            </w:r>
          </w:p>
        </w:tc>
        <w:tc>
          <w:tcPr>
            <w:tcW w:w="2429" w:type="dxa"/>
            <w:tcBorders>
              <w:top w:val="single" w:color="auto" w:sz="4" w:space="0"/>
              <w:left w:val="single" w:color="auto" w:sz="4" w:space="0"/>
              <w:bottom w:val="single" w:color="auto" w:sz="4" w:space="0"/>
              <w:right w:val="single" w:color="auto" w:sz="4" w:space="0"/>
            </w:tcBorders>
            <w:noWrap w:val="0"/>
            <w:vAlign w:val="center"/>
          </w:tcPr>
          <w:p w14:paraId="4DED930C">
            <w:pPr>
              <w:pStyle w:val="18"/>
              <w:shd w:val="clear" w:color="auto" w:fill="auto"/>
              <w:ind w:firstLine="0" w:firstLineChars="0"/>
              <w:jc w:val="center"/>
              <w:rPr>
                <w:rFonts w:hint="eastAsia"/>
                <w:kern w:val="2"/>
                <w:sz w:val="21"/>
                <w:szCs w:val="21"/>
                <w:highlight w:val="none"/>
              </w:rPr>
            </w:pPr>
            <w:r>
              <w:rPr>
                <w:rFonts w:hint="eastAsia"/>
                <w:kern w:val="2"/>
                <w:sz w:val="21"/>
                <w:szCs w:val="21"/>
                <w:highlight w:val="none"/>
              </w:rPr>
              <w:t>投标供应商对招标文件提出质疑的时间</w:t>
            </w:r>
          </w:p>
        </w:tc>
        <w:tc>
          <w:tcPr>
            <w:tcW w:w="6070" w:type="dxa"/>
            <w:tcBorders>
              <w:top w:val="single" w:color="auto" w:sz="4" w:space="0"/>
              <w:left w:val="single" w:color="auto" w:sz="4" w:space="0"/>
              <w:bottom w:val="single" w:color="auto" w:sz="4" w:space="0"/>
              <w:right w:val="single" w:color="auto" w:sz="4" w:space="0"/>
            </w:tcBorders>
            <w:noWrap w:val="0"/>
            <w:vAlign w:val="center"/>
          </w:tcPr>
          <w:p w14:paraId="1E525FB9">
            <w:pPr>
              <w:pStyle w:val="18"/>
              <w:shd w:val="clear" w:color="auto" w:fill="auto"/>
              <w:ind w:firstLine="210" w:firstLineChars="100"/>
              <w:rPr>
                <w:rFonts w:hint="eastAsia"/>
                <w:sz w:val="21"/>
                <w:szCs w:val="21"/>
                <w:highlight w:val="none"/>
              </w:rPr>
            </w:pPr>
            <w:r>
              <w:rPr>
                <w:rFonts w:hint="eastAsia"/>
                <w:sz w:val="21"/>
                <w:szCs w:val="21"/>
                <w:highlight w:val="none"/>
              </w:rPr>
              <w:t>在获取采购文件或者采购文件公告期限届满之日起7个工作日内，以书面形式提出，在此之后提出的质疑为无效质疑。</w:t>
            </w:r>
          </w:p>
          <w:p w14:paraId="326D5890">
            <w:pPr>
              <w:pStyle w:val="18"/>
              <w:shd w:val="clear" w:color="auto" w:fill="auto"/>
              <w:ind w:firstLine="210" w:firstLineChars="100"/>
              <w:rPr>
                <w:rFonts w:hint="eastAsia"/>
                <w:kern w:val="2"/>
                <w:sz w:val="21"/>
                <w:szCs w:val="21"/>
                <w:highlight w:val="none"/>
              </w:rPr>
            </w:pPr>
            <w:r>
              <w:rPr>
                <w:rFonts w:hint="eastAsia"/>
                <w:sz w:val="21"/>
                <w:szCs w:val="21"/>
                <w:highlight w:val="none"/>
              </w:rPr>
              <w:t>供应商在质疑期内一次性提出针对同一采购程序环节的质疑。</w:t>
            </w:r>
          </w:p>
        </w:tc>
      </w:tr>
      <w:tr w14:paraId="5CCEC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10" w:hRule="exact"/>
          <w:jc w:val="center"/>
        </w:trPr>
        <w:tc>
          <w:tcPr>
            <w:tcW w:w="795" w:type="dxa"/>
            <w:noWrap w:val="0"/>
            <w:vAlign w:val="center"/>
          </w:tcPr>
          <w:p w14:paraId="0B979FDE">
            <w:pPr>
              <w:pStyle w:val="18"/>
              <w:shd w:val="clear" w:color="auto" w:fill="auto"/>
              <w:ind w:firstLine="0" w:firstLineChars="0"/>
              <w:jc w:val="center"/>
              <w:rPr>
                <w:rFonts w:hint="eastAsia"/>
                <w:kern w:val="2"/>
                <w:sz w:val="21"/>
                <w:szCs w:val="21"/>
                <w:highlight w:val="none"/>
              </w:rPr>
            </w:pPr>
            <w:r>
              <w:rPr>
                <w:rFonts w:hint="eastAsia"/>
                <w:kern w:val="2"/>
                <w:sz w:val="21"/>
                <w:szCs w:val="21"/>
                <w:highlight w:val="none"/>
              </w:rPr>
              <w:t>14</w:t>
            </w:r>
          </w:p>
        </w:tc>
        <w:tc>
          <w:tcPr>
            <w:tcW w:w="2429" w:type="dxa"/>
            <w:tcBorders>
              <w:top w:val="single" w:color="auto" w:sz="4" w:space="0"/>
            </w:tcBorders>
            <w:noWrap w:val="0"/>
            <w:vAlign w:val="center"/>
          </w:tcPr>
          <w:p w14:paraId="07851E7C">
            <w:pPr>
              <w:pStyle w:val="18"/>
              <w:shd w:val="clear" w:color="auto" w:fill="auto"/>
              <w:ind w:firstLine="0" w:firstLineChars="0"/>
              <w:jc w:val="center"/>
              <w:rPr>
                <w:rFonts w:hint="eastAsia"/>
                <w:kern w:val="2"/>
                <w:sz w:val="21"/>
                <w:szCs w:val="21"/>
                <w:highlight w:val="none"/>
              </w:rPr>
            </w:pPr>
            <w:r>
              <w:rPr>
                <w:rFonts w:hint="eastAsia"/>
                <w:kern w:val="2"/>
                <w:sz w:val="21"/>
                <w:szCs w:val="21"/>
                <w:highlight w:val="none"/>
              </w:rPr>
              <w:t>分包履约</w:t>
            </w:r>
          </w:p>
        </w:tc>
        <w:tc>
          <w:tcPr>
            <w:tcW w:w="6070" w:type="dxa"/>
            <w:tcBorders>
              <w:top w:val="single" w:color="auto" w:sz="4" w:space="0"/>
            </w:tcBorders>
            <w:noWrap w:val="0"/>
            <w:vAlign w:val="center"/>
          </w:tcPr>
          <w:p w14:paraId="22E9669E">
            <w:pPr>
              <w:pStyle w:val="18"/>
              <w:shd w:val="clear" w:color="auto" w:fill="auto"/>
              <w:ind w:firstLine="210" w:firstLineChars="100"/>
              <w:rPr>
                <w:rFonts w:hint="eastAsia"/>
                <w:color w:val="000000"/>
                <w:kern w:val="2"/>
                <w:sz w:val="21"/>
                <w:szCs w:val="21"/>
                <w:highlight w:val="none"/>
              </w:rPr>
            </w:pPr>
            <w:r>
              <w:rPr>
                <w:rFonts w:hint="eastAsia"/>
                <w:color w:val="000000"/>
                <w:kern w:val="2"/>
                <w:sz w:val="21"/>
                <w:szCs w:val="21"/>
                <w:highlight w:val="none"/>
              </w:rPr>
              <w:t>不得分包。若分包中标供应商在合同签订之前必须征得采购人同意。</w:t>
            </w:r>
          </w:p>
        </w:tc>
      </w:tr>
      <w:tr w14:paraId="3A540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42" w:hRule="exact"/>
          <w:jc w:val="center"/>
        </w:trPr>
        <w:tc>
          <w:tcPr>
            <w:tcW w:w="795" w:type="dxa"/>
            <w:noWrap w:val="0"/>
            <w:vAlign w:val="center"/>
          </w:tcPr>
          <w:p w14:paraId="68E9B976">
            <w:pPr>
              <w:pStyle w:val="18"/>
              <w:shd w:val="clear" w:color="auto" w:fill="auto"/>
              <w:ind w:firstLine="0" w:firstLineChars="0"/>
              <w:jc w:val="center"/>
              <w:rPr>
                <w:rFonts w:hint="eastAsia"/>
                <w:kern w:val="2"/>
                <w:sz w:val="21"/>
                <w:szCs w:val="21"/>
                <w:highlight w:val="none"/>
              </w:rPr>
            </w:pPr>
            <w:r>
              <w:rPr>
                <w:rFonts w:hint="eastAsia"/>
                <w:kern w:val="2"/>
                <w:sz w:val="21"/>
                <w:szCs w:val="21"/>
                <w:highlight w:val="none"/>
              </w:rPr>
              <w:t>15</w:t>
            </w:r>
          </w:p>
        </w:tc>
        <w:tc>
          <w:tcPr>
            <w:tcW w:w="2429" w:type="dxa"/>
            <w:noWrap w:val="0"/>
            <w:vAlign w:val="center"/>
          </w:tcPr>
          <w:p w14:paraId="61FB35BE">
            <w:pPr>
              <w:pStyle w:val="18"/>
              <w:shd w:val="clear" w:color="auto" w:fill="auto"/>
              <w:ind w:firstLine="0" w:firstLineChars="0"/>
              <w:jc w:val="center"/>
              <w:rPr>
                <w:rFonts w:hint="eastAsia"/>
                <w:kern w:val="2"/>
                <w:sz w:val="21"/>
                <w:szCs w:val="21"/>
                <w:highlight w:val="none"/>
              </w:rPr>
            </w:pPr>
            <w:r>
              <w:rPr>
                <w:rFonts w:hint="eastAsia"/>
                <w:kern w:val="2"/>
                <w:sz w:val="21"/>
                <w:szCs w:val="21"/>
                <w:highlight w:val="none"/>
              </w:rPr>
              <w:t>构成招标文件的其他文件</w:t>
            </w:r>
          </w:p>
        </w:tc>
        <w:tc>
          <w:tcPr>
            <w:tcW w:w="6070" w:type="dxa"/>
            <w:noWrap w:val="0"/>
            <w:vAlign w:val="center"/>
          </w:tcPr>
          <w:p w14:paraId="141C2AD6">
            <w:pPr>
              <w:pStyle w:val="18"/>
              <w:shd w:val="clear" w:color="auto" w:fill="auto"/>
              <w:ind w:firstLine="210" w:firstLineChars="100"/>
              <w:rPr>
                <w:rFonts w:hint="eastAsia"/>
                <w:color w:val="000000"/>
                <w:kern w:val="2"/>
                <w:sz w:val="21"/>
                <w:szCs w:val="21"/>
                <w:highlight w:val="none"/>
              </w:rPr>
            </w:pPr>
            <w:r>
              <w:rPr>
                <w:rFonts w:hint="eastAsia"/>
                <w:color w:val="000000"/>
                <w:kern w:val="2"/>
                <w:sz w:val="21"/>
                <w:szCs w:val="21"/>
                <w:highlight w:val="none"/>
              </w:rPr>
              <w:t>招标文件的澄清、修改书及有关补充通知为招标文件的有效组成部分。</w:t>
            </w:r>
          </w:p>
        </w:tc>
      </w:tr>
      <w:tr w14:paraId="60F47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1" w:hRule="exact"/>
          <w:jc w:val="center"/>
        </w:trPr>
        <w:tc>
          <w:tcPr>
            <w:tcW w:w="795" w:type="dxa"/>
            <w:noWrap w:val="0"/>
            <w:vAlign w:val="center"/>
          </w:tcPr>
          <w:p w14:paraId="15EA2E69">
            <w:pPr>
              <w:pStyle w:val="18"/>
              <w:shd w:val="clear" w:color="auto" w:fill="auto"/>
              <w:ind w:firstLine="0" w:firstLineChars="0"/>
              <w:jc w:val="center"/>
              <w:rPr>
                <w:rFonts w:hint="eastAsia"/>
                <w:kern w:val="2"/>
                <w:sz w:val="21"/>
                <w:szCs w:val="21"/>
                <w:highlight w:val="none"/>
              </w:rPr>
            </w:pPr>
            <w:r>
              <w:rPr>
                <w:rFonts w:hint="eastAsia"/>
                <w:kern w:val="2"/>
                <w:sz w:val="21"/>
                <w:szCs w:val="21"/>
                <w:highlight w:val="none"/>
              </w:rPr>
              <w:t>16</w:t>
            </w:r>
          </w:p>
        </w:tc>
        <w:tc>
          <w:tcPr>
            <w:tcW w:w="2429" w:type="dxa"/>
            <w:noWrap w:val="0"/>
            <w:vAlign w:val="center"/>
          </w:tcPr>
          <w:p w14:paraId="728C885A">
            <w:pPr>
              <w:pStyle w:val="18"/>
              <w:shd w:val="clear" w:color="auto" w:fill="auto"/>
              <w:ind w:firstLine="0" w:firstLineChars="0"/>
              <w:jc w:val="center"/>
              <w:rPr>
                <w:rFonts w:hint="eastAsia"/>
                <w:color w:val="000000"/>
                <w:kern w:val="2"/>
                <w:sz w:val="21"/>
                <w:szCs w:val="21"/>
                <w:highlight w:val="none"/>
              </w:rPr>
            </w:pPr>
            <w:r>
              <w:rPr>
                <w:rFonts w:hint="eastAsia"/>
                <w:color w:val="000000"/>
                <w:kern w:val="2"/>
                <w:sz w:val="21"/>
                <w:szCs w:val="21"/>
                <w:highlight w:val="none"/>
              </w:rPr>
              <w:t>投标截止时间</w:t>
            </w:r>
          </w:p>
        </w:tc>
        <w:tc>
          <w:tcPr>
            <w:tcW w:w="6070" w:type="dxa"/>
            <w:noWrap w:val="0"/>
            <w:vAlign w:val="center"/>
          </w:tcPr>
          <w:p w14:paraId="36E05B1D">
            <w:pPr>
              <w:pStyle w:val="18"/>
              <w:shd w:val="clear" w:color="auto" w:fill="auto"/>
              <w:ind w:left="0" w:leftChars="0" w:firstLine="210" w:firstLineChars="100"/>
              <w:rPr>
                <w:rFonts w:hint="default"/>
                <w:color w:val="000000"/>
                <w:kern w:val="2"/>
                <w:sz w:val="21"/>
                <w:szCs w:val="21"/>
                <w:highlight w:val="none"/>
                <w:lang w:val="en-US"/>
              </w:rPr>
            </w:pPr>
            <w:r>
              <w:rPr>
                <w:rFonts w:hint="eastAsia"/>
                <w:color w:val="000000"/>
                <w:kern w:val="2"/>
                <w:sz w:val="21"/>
                <w:szCs w:val="21"/>
                <w:highlight w:val="none"/>
                <w:lang w:val="en-US" w:eastAsia="zh-CN"/>
              </w:rPr>
              <w:t>2026年8月20日9时00分00秒</w:t>
            </w:r>
          </w:p>
        </w:tc>
      </w:tr>
      <w:tr w14:paraId="1E29B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exact"/>
          <w:jc w:val="center"/>
        </w:trPr>
        <w:tc>
          <w:tcPr>
            <w:tcW w:w="795" w:type="dxa"/>
            <w:noWrap w:val="0"/>
            <w:vAlign w:val="center"/>
          </w:tcPr>
          <w:p w14:paraId="1FFFF953">
            <w:pPr>
              <w:pStyle w:val="18"/>
              <w:shd w:val="clear" w:color="auto" w:fill="auto"/>
              <w:ind w:firstLine="0" w:firstLineChars="0"/>
              <w:jc w:val="center"/>
              <w:rPr>
                <w:rFonts w:hint="eastAsia"/>
                <w:kern w:val="2"/>
                <w:sz w:val="21"/>
                <w:szCs w:val="21"/>
                <w:highlight w:val="none"/>
              </w:rPr>
            </w:pPr>
            <w:r>
              <w:rPr>
                <w:rFonts w:hint="eastAsia"/>
                <w:kern w:val="2"/>
                <w:sz w:val="21"/>
                <w:szCs w:val="21"/>
                <w:highlight w:val="none"/>
              </w:rPr>
              <w:t>17</w:t>
            </w:r>
          </w:p>
        </w:tc>
        <w:tc>
          <w:tcPr>
            <w:tcW w:w="2429" w:type="dxa"/>
            <w:noWrap w:val="0"/>
            <w:vAlign w:val="center"/>
          </w:tcPr>
          <w:p w14:paraId="139AF74A">
            <w:pPr>
              <w:pStyle w:val="18"/>
              <w:shd w:val="clear" w:color="auto" w:fill="auto"/>
              <w:ind w:firstLine="0" w:firstLineChars="0"/>
              <w:jc w:val="center"/>
              <w:rPr>
                <w:rFonts w:hint="eastAsia"/>
                <w:kern w:val="2"/>
                <w:sz w:val="21"/>
                <w:szCs w:val="21"/>
                <w:highlight w:val="none"/>
              </w:rPr>
            </w:pPr>
            <w:r>
              <w:rPr>
                <w:rFonts w:hint="eastAsia"/>
                <w:kern w:val="2"/>
                <w:sz w:val="21"/>
                <w:szCs w:val="21"/>
                <w:highlight w:val="none"/>
              </w:rPr>
              <w:t>投标有效期</w:t>
            </w:r>
          </w:p>
        </w:tc>
        <w:tc>
          <w:tcPr>
            <w:tcW w:w="6070" w:type="dxa"/>
            <w:noWrap w:val="0"/>
            <w:vAlign w:val="center"/>
          </w:tcPr>
          <w:p w14:paraId="26A208FC">
            <w:pPr>
              <w:pStyle w:val="18"/>
              <w:shd w:val="clear" w:color="auto" w:fill="auto"/>
              <w:ind w:firstLine="210" w:firstLineChars="100"/>
              <w:rPr>
                <w:rFonts w:hint="eastAsia"/>
                <w:kern w:val="2"/>
                <w:sz w:val="21"/>
                <w:szCs w:val="21"/>
                <w:highlight w:val="none"/>
              </w:rPr>
            </w:pPr>
            <w:r>
              <w:rPr>
                <w:rFonts w:hint="eastAsia"/>
                <w:kern w:val="2"/>
                <w:sz w:val="21"/>
                <w:szCs w:val="21"/>
                <w:highlight w:val="none"/>
              </w:rPr>
              <w:t>从投标截止日起90日历天。</w:t>
            </w:r>
          </w:p>
        </w:tc>
      </w:tr>
      <w:tr w14:paraId="2E8C4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1" w:hRule="atLeast"/>
          <w:jc w:val="center"/>
        </w:trPr>
        <w:tc>
          <w:tcPr>
            <w:tcW w:w="795" w:type="dxa"/>
            <w:noWrap w:val="0"/>
            <w:vAlign w:val="center"/>
          </w:tcPr>
          <w:p w14:paraId="38CCF300">
            <w:pPr>
              <w:pStyle w:val="18"/>
              <w:shd w:val="clear" w:color="auto" w:fill="auto"/>
              <w:ind w:firstLine="0" w:firstLineChars="0"/>
              <w:jc w:val="center"/>
              <w:rPr>
                <w:rFonts w:hint="eastAsia"/>
                <w:kern w:val="2"/>
                <w:sz w:val="21"/>
                <w:szCs w:val="21"/>
                <w:highlight w:val="none"/>
              </w:rPr>
            </w:pPr>
            <w:r>
              <w:rPr>
                <w:rFonts w:hint="eastAsia"/>
                <w:kern w:val="2"/>
                <w:sz w:val="21"/>
                <w:szCs w:val="21"/>
                <w:highlight w:val="none"/>
              </w:rPr>
              <w:t>18</w:t>
            </w:r>
          </w:p>
        </w:tc>
        <w:tc>
          <w:tcPr>
            <w:tcW w:w="2429" w:type="dxa"/>
            <w:noWrap w:val="0"/>
            <w:vAlign w:val="center"/>
          </w:tcPr>
          <w:p w14:paraId="36FE7DF3">
            <w:pPr>
              <w:pStyle w:val="18"/>
              <w:shd w:val="clear" w:color="auto" w:fill="auto"/>
              <w:ind w:firstLine="0" w:firstLineChars="0"/>
              <w:jc w:val="center"/>
              <w:rPr>
                <w:rFonts w:hint="eastAsia"/>
                <w:kern w:val="2"/>
                <w:sz w:val="21"/>
                <w:szCs w:val="21"/>
                <w:highlight w:val="none"/>
              </w:rPr>
            </w:pPr>
            <w:r>
              <w:rPr>
                <w:rFonts w:hint="eastAsia"/>
                <w:kern w:val="2"/>
                <w:sz w:val="21"/>
                <w:szCs w:val="21"/>
                <w:highlight w:val="none"/>
              </w:rPr>
              <w:t>投标保证金</w:t>
            </w:r>
          </w:p>
        </w:tc>
        <w:tc>
          <w:tcPr>
            <w:tcW w:w="6070" w:type="dxa"/>
            <w:noWrap w:val="0"/>
            <w:vAlign w:val="center"/>
          </w:tcPr>
          <w:p w14:paraId="0585ED77">
            <w:pPr>
              <w:shd w:val="clear" w:color="auto" w:fill="auto"/>
              <w:ind w:firstLine="211" w:firstLineChars="100"/>
              <w:jc w:val="left"/>
              <w:rPr>
                <w:rFonts w:hint="eastAsia" w:ascii="宋体" w:hAnsi="宋体" w:cs="宋体"/>
                <w:b/>
                <w:szCs w:val="21"/>
                <w:highlight w:val="none"/>
              </w:rPr>
            </w:pPr>
            <w:r>
              <w:rPr>
                <w:rFonts w:hint="eastAsia" w:ascii="宋体" w:hAnsi="宋体" w:cs="宋体"/>
                <w:b/>
                <w:color w:val="000000"/>
                <w:szCs w:val="21"/>
                <w:highlight w:val="none"/>
                <w:lang w:val="en-US" w:eastAsia="zh-CN"/>
              </w:rPr>
              <w:t>一标段</w:t>
            </w:r>
            <w:r>
              <w:rPr>
                <w:rFonts w:hint="eastAsia" w:ascii="宋体" w:hAnsi="宋体" w:cs="宋体"/>
                <w:b/>
                <w:color w:val="000000"/>
                <w:szCs w:val="21"/>
                <w:highlight w:val="none"/>
              </w:rPr>
              <w:t>保证金金额：</w:t>
            </w:r>
            <w:r>
              <w:rPr>
                <w:rFonts w:hint="eastAsia" w:ascii="宋体" w:hAnsi="宋体" w:cs="宋体"/>
                <w:b/>
                <w:szCs w:val="21"/>
                <w:highlight w:val="none"/>
              </w:rPr>
              <w:t>人民币</w:t>
            </w:r>
            <w:r>
              <w:rPr>
                <w:rFonts w:hint="eastAsia" w:ascii="宋体" w:hAnsi="宋体" w:cs="宋体"/>
                <w:b/>
                <w:szCs w:val="21"/>
                <w:highlight w:val="none"/>
                <w:lang w:val="en-US" w:eastAsia="zh-CN"/>
              </w:rPr>
              <w:t>贰万元整</w:t>
            </w:r>
            <w:r>
              <w:rPr>
                <w:rFonts w:hint="eastAsia" w:ascii="宋体" w:hAnsi="宋体" w:cs="宋体"/>
                <w:b/>
                <w:szCs w:val="21"/>
                <w:highlight w:val="none"/>
              </w:rPr>
              <w:t>（￥</w:t>
            </w:r>
            <w:r>
              <w:rPr>
                <w:rFonts w:hint="eastAsia" w:ascii="宋体" w:hAnsi="宋体" w:cs="宋体"/>
                <w:b/>
                <w:szCs w:val="21"/>
                <w:highlight w:val="none"/>
                <w:lang w:val="en-US" w:eastAsia="zh-CN"/>
              </w:rPr>
              <w:t>20000.00</w:t>
            </w:r>
            <w:r>
              <w:rPr>
                <w:rFonts w:hint="eastAsia" w:ascii="宋体" w:hAnsi="宋体" w:cs="宋体"/>
                <w:b/>
                <w:szCs w:val="21"/>
                <w:highlight w:val="none"/>
              </w:rPr>
              <w:t>元）</w:t>
            </w:r>
          </w:p>
          <w:p w14:paraId="661BA247">
            <w:pPr>
              <w:shd w:val="clear" w:color="auto" w:fill="auto"/>
              <w:ind w:firstLine="211" w:firstLineChars="100"/>
              <w:jc w:val="left"/>
              <w:rPr>
                <w:rFonts w:hint="eastAsia" w:ascii="宋体" w:hAnsi="宋体" w:cs="宋体"/>
                <w:b/>
                <w:szCs w:val="21"/>
                <w:highlight w:val="none"/>
              </w:rPr>
            </w:pPr>
            <w:r>
              <w:rPr>
                <w:rFonts w:hint="eastAsia" w:ascii="宋体" w:hAnsi="宋体" w:cs="宋体"/>
                <w:b/>
                <w:color w:val="000000"/>
                <w:szCs w:val="21"/>
                <w:highlight w:val="none"/>
                <w:lang w:val="en-US" w:eastAsia="zh-CN"/>
              </w:rPr>
              <w:t>二标段</w:t>
            </w:r>
            <w:r>
              <w:rPr>
                <w:rFonts w:hint="eastAsia" w:ascii="宋体" w:hAnsi="宋体" w:cs="宋体"/>
                <w:b/>
                <w:color w:val="000000"/>
                <w:szCs w:val="21"/>
                <w:highlight w:val="none"/>
              </w:rPr>
              <w:t>保证金金额：</w:t>
            </w:r>
            <w:r>
              <w:rPr>
                <w:rFonts w:hint="eastAsia" w:ascii="宋体" w:hAnsi="宋体" w:cs="宋体"/>
                <w:b/>
                <w:szCs w:val="21"/>
                <w:highlight w:val="none"/>
              </w:rPr>
              <w:t>人民币</w:t>
            </w:r>
            <w:r>
              <w:rPr>
                <w:rFonts w:hint="eastAsia" w:ascii="宋体" w:hAnsi="宋体" w:cs="宋体"/>
                <w:b/>
                <w:szCs w:val="21"/>
                <w:highlight w:val="none"/>
                <w:lang w:val="en-US" w:eastAsia="zh-CN"/>
              </w:rPr>
              <w:t>贰</w:t>
            </w:r>
            <w:r>
              <w:rPr>
                <w:rFonts w:hint="eastAsia" w:ascii="宋体" w:hAnsi="宋体" w:cs="宋体"/>
                <w:b/>
                <w:szCs w:val="21"/>
                <w:highlight w:val="none"/>
                <w:lang w:eastAsia="zh-CN"/>
              </w:rPr>
              <w:t>万元整</w:t>
            </w:r>
            <w:r>
              <w:rPr>
                <w:rFonts w:hint="eastAsia" w:ascii="宋体" w:hAnsi="宋体" w:cs="宋体"/>
                <w:b/>
                <w:szCs w:val="21"/>
                <w:highlight w:val="none"/>
              </w:rPr>
              <w:t>（￥</w:t>
            </w:r>
            <w:r>
              <w:rPr>
                <w:rFonts w:hint="eastAsia" w:ascii="宋体" w:hAnsi="宋体" w:cs="宋体"/>
                <w:b/>
                <w:szCs w:val="21"/>
                <w:highlight w:val="none"/>
                <w:lang w:val="en-US" w:eastAsia="zh-CN"/>
              </w:rPr>
              <w:t>20000.00</w:t>
            </w:r>
            <w:r>
              <w:rPr>
                <w:rFonts w:hint="eastAsia" w:ascii="宋体" w:hAnsi="宋体" w:cs="宋体"/>
                <w:b/>
                <w:szCs w:val="21"/>
                <w:highlight w:val="none"/>
              </w:rPr>
              <w:t>元）</w:t>
            </w:r>
          </w:p>
          <w:p w14:paraId="3C0A41F6">
            <w:pPr>
              <w:shd w:val="clear" w:color="auto" w:fill="auto"/>
              <w:ind w:firstLine="211" w:firstLineChars="100"/>
              <w:jc w:val="left"/>
              <w:rPr>
                <w:rFonts w:hint="eastAsia" w:ascii="宋体" w:hAnsi="宋体" w:cs="宋体"/>
                <w:b/>
                <w:szCs w:val="21"/>
                <w:highlight w:val="none"/>
              </w:rPr>
            </w:pPr>
            <w:r>
              <w:rPr>
                <w:rFonts w:hint="eastAsia" w:ascii="宋体" w:hAnsi="宋体" w:cs="宋体"/>
                <w:b/>
                <w:color w:val="000000"/>
                <w:szCs w:val="21"/>
                <w:highlight w:val="none"/>
                <w:lang w:val="en-US" w:eastAsia="zh-CN"/>
              </w:rPr>
              <w:t>三标段</w:t>
            </w:r>
            <w:r>
              <w:rPr>
                <w:rFonts w:hint="eastAsia" w:ascii="宋体" w:hAnsi="宋体" w:cs="宋体"/>
                <w:b/>
                <w:color w:val="000000"/>
                <w:szCs w:val="21"/>
                <w:highlight w:val="none"/>
              </w:rPr>
              <w:t>保证金金额：</w:t>
            </w:r>
            <w:r>
              <w:rPr>
                <w:rFonts w:hint="eastAsia" w:ascii="宋体" w:hAnsi="宋体" w:cs="宋体"/>
                <w:b/>
                <w:szCs w:val="21"/>
                <w:highlight w:val="none"/>
              </w:rPr>
              <w:t>人民币</w:t>
            </w:r>
            <w:r>
              <w:rPr>
                <w:rFonts w:hint="eastAsia" w:ascii="宋体" w:hAnsi="宋体" w:cs="宋体"/>
                <w:b/>
                <w:szCs w:val="21"/>
                <w:highlight w:val="none"/>
                <w:lang w:val="en-US" w:eastAsia="zh-CN"/>
              </w:rPr>
              <w:t>贰</w:t>
            </w:r>
            <w:r>
              <w:rPr>
                <w:rFonts w:hint="eastAsia" w:ascii="宋体" w:hAnsi="宋体" w:cs="宋体"/>
                <w:b/>
                <w:szCs w:val="21"/>
                <w:highlight w:val="none"/>
                <w:lang w:eastAsia="zh-CN"/>
              </w:rPr>
              <w:t>万元整</w:t>
            </w:r>
            <w:r>
              <w:rPr>
                <w:rFonts w:hint="eastAsia" w:ascii="宋体" w:hAnsi="宋体" w:cs="宋体"/>
                <w:b/>
                <w:szCs w:val="21"/>
                <w:highlight w:val="none"/>
              </w:rPr>
              <w:t>（￥</w:t>
            </w:r>
            <w:r>
              <w:rPr>
                <w:rFonts w:hint="eastAsia" w:ascii="宋体" w:hAnsi="宋体" w:cs="宋体"/>
                <w:b/>
                <w:szCs w:val="21"/>
                <w:highlight w:val="none"/>
                <w:lang w:val="en-US" w:eastAsia="zh-CN"/>
              </w:rPr>
              <w:t>20000.00</w:t>
            </w:r>
            <w:r>
              <w:rPr>
                <w:rFonts w:hint="eastAsia" w:ascii="宋体" w:hAnsi="宋体" w:cs="宋体"/>
                <w:b/>
                <w:szCs w:val="21"/>
                <w:highlight w:val="none"/>
              </w:rPr>
              <w:t>元）</w:t>
            </w:r>
          </w:p>
          <w:p w14:paraId="12E41DE0">
            <w:pPr>
              <w:shd w:val="clear" w:color="auto" w:fill="auto"/>
              <w:ind w:firstLine="211" w:firstLineChars="100"/>
              <w:jc w:val="left"/>
              <w:rPr>
                <w:rFonts w:hint="eastAsia" w:ascii="宋体" w:hAnsi="宋体" w:cs="宋体"/>
                <w:b/>
                <w:szCs w:val="21"/>
                <w:highlight w:val="none"/>
              </w:rPr>
            </w:pPr>
            <w:r>
              <w:rPr>
                <w:rFonts w:hint="eastAsia" w:ascii="宋体" w:hAnsi="宋体" w:cs="宋体"/>
                <w:b/>
                <w:color w:val="000000"/>
                <w:szCs w:val="21"/>
                <w:highlight w:val="none"/>
                <w:lang w:val="en-US" w:eastAsia="zh-CN"/>
              </w:rPr>
              <w:t>四标段</w:t>
            </w:r>
            <w:r>
              <w:rPr>
                <w:rFonts w:hint="eastAsia" w:ascii="宋体" w:hAnsi="宋体" w:cs="宋体"/>
                <w:b/>
                <w:color w:val="000000"/>
                <w:szCs w:val="21"/>
                <w:highlight w:val="none"/>
              </w:rPr>
              <w:t>保证金金额：</w:t>
            </w:r>
            <w:r>
              <w:rPr>
                <w:rFonts w:hint="eastAsia" w:ascii="宋体" w:hAnsi="宋体" w:cs="宋体"/>
                <w:b/>
                <w:szCs w:val="21"/>
                <w:highlight w:val="none"/>
              </w:rPr>
              <w:t>人民币</w:t>
            </w:r>
            <w:r>
              <w:rPr>
                <w:rFonts w:hint="eastAsia" w:ascii="宋体" w:hAnsi="宋体" w:cs="宋体"/>
                <w:b/>
                <w:szCs w:val="21"/>
                <w:highlight w:val="none"/>
                <w:lang w:val="en-US" w:eastAsia="zh-CN"/>
              </w:rPr>
              <w:t>贰</w:t>
            </w:r>
            <w:r>
              <w:rPr>
                <w:rFonts w:hint="eastAsia" w:ascii="宋体" w:hAnsi="宋体" w:cs="宋体"/>
                <w:b/>
                <w:szCs w:val="21"/>
                <w:highlight w:val="none"/>
                <w:lang w:eastAsia="zh-CN"/>
              </w:rPr>
              <w:t>万元整</w:t>
            </w:r>
            <w:r>
              <w:rPr>
                <w:rFonts w:hint="eastAsia" w:ascii="宋体" w:hAnsi="宋体" w:cs="宋体"/>
                <w:b/>
                <w:szCs w:val="21"/>
                <w:highlight w:val="none"/>
              </w:rPr>
              <w:t>（￥</w:t>
            </w:r>
            <w:r>
              <w:rPr>
                <w:rFonts w:hint="eastAsia" w:ascii="宋体" w:hAnsi="宋体" w:cs="宋体"/>
                <w:b/>
                <w:szCs w:val="21"/>
                <w:highlight w:val="none"/>
                <w:lang w:val="en-US" w:eastAsia="zh-CN"/>
              </w:rPr>
              <w:t>20000.00</w:t>
            </w:r>
            <w:r>
              <w:rPr>
                <w:rFonts w:hint="eastAsia" w:ascii="宋体" w:hAnsi="宋体" w:cs="宋体"/>
                <w:b/>
                <w:szCs w:val="21"/>
                <w:highlight w:val="none"/>
              </w:rPr>
              <w:t>元）</w:t>
            </w:r>
          </w:p>
          <w:p w14:paraId="75744C7F">
            <w:pPr>
              <w:shd w:val="clear" w:color="auto" w:fill="auto"/>
              <w:wordWrap w:val="0"/>
              <w:ind w:firstLine="210" w:firstLineChars="100"/>
              <w:jc w:val="left"/>
              <w:rPr>
                <w:rFonts w:hint="eastAsia" w:ascii="宋体" w:hAnsi="宋体" w:cs="宋体"/>
                <w:b w:val="0"/>
                <w:bCs/>
                <w:szCs w:val="21"/>
                <w:highlight w:val="none"/>
              </w:rPr>
            </w:pPr>
            <w:r>
              <w:rPr>
                <w:rFonts w:hint="eastAsia" w:ascii="宋体" w:hAnsi="宋体" w:cs="宋体"/>
                <w:b w:val="0"/>
                <w:bCs/>
                <w:szCs w:val="21"/>
                <w:highlight w:val="none"/>
              </w:rPr>
              <w:t>保证金的形式：银行转账或基本户出具银行保函</w:t>
            </w:r>
          </w:p>
          <w:p w14:paraId="4DA738BC">
            <w:pPr>
              <w:shd w:val="clear" w:color="auto" w:fill="auto"/>
              <w:wordWrap w:val="0"/>
              <w:ind w:firstLine="210" w:firstLineChars="100"/>
              <w:jc w:val="left"/>
              <w:rPr>
                <w:rFonts w:hint="eastAsia" w:ascii="宋体" w:hAnsi="宋体" w:cs="宋体"/>
                <w:b w:val="0"/>
                <w:bCs/>
                <w:szCs w:val="21"/>
                <w:highlight w:val="none"/>
              </w:rPr>
            </w:pPr>
            <w:r>
              <w:rPr>
                <w:rFonts w:hint="eastAsia" w:ascii="宋体" w:hAnsi="宋体" w:cs="宋体"/>
                <w:b w:val="0"/>
                <w:bCs/>
                <w:szCs w:val="21"/>
                <w:highlight w:val="none"/>
              </w:rPr>
              <w:t>从供应商公司基本户转出，转入指定账户。</w:t>
            </w:r>
          </w:p>
          <w:p w14:paraId="1964AFAE">
            <w:pPr>
              <w:shd w:val="clear" w:color="auto" w:fill="auto"/>
              <w:wordWrap w:val="0"/>
              <w:ind w:firstLine="210" w:firstLineChars="100"/>
              <w:jc w:val="left"/>
              <w:rPr>
                <w:rFonts w:hint="eastAsia" w:ascii="宋体" w:hAnsi="宋体" w:cs="宋体"/>
                <w:b w:val="0"/>
                <w:bCs/>
                <w:szCs w:val="21"/>
                <w:highlight w:val="none"/>
              </w:rPr>
            </w:pPr>
            <w:r>
              <w:rPr>
                <w:rFonts w:hint="eastAsia" w:ascii="宋体" w:hAnsi="宋体" w:cs="宋体"/>
                <w:b w:val="0"/>
                <w:bCs/>
                <w:szCs w:val="21"/>
                <w:highlight w:val="none"/>
              </w:rPr>
              <w:t>保证金账户详见宝鸡市公共资源交易中心交易平台系统生成账号</w:t>
            </w:r>
          </w:p>
          <w:p w14:paraId="009FB44C">
            <w:pPr>
              <w:shd w:val="clear" w:color="auto" w:fill="auto"/>
              <w:wordWrap w:val="0"/>
              <w:ind w:firstLine="210" w:firstLineChars="100"/>
              <w:jc w:val="left"/>
              <w:rPr>
                <w:rFonts w:hint="eastAsia" w:ascii="宋体" w:hAnsi="宋体" w:cs="宋体"/>
                <w:b w:val="0"/>
                <w:bCs/>
                <w:szCs w:val="21"/>
                <w:highlight w:val="none"/>
              </w:rPr>
            </w:pPr>
            <w:r>
              <w:rPr>
                <w:rFonts w:hint="eastAsia" w:ascii="宋体" w:hAnsi="宋体" w:cs="宋体"/>
                <w:b w:val="0"/>
                <w:bCs/>
                <w:szCs w:val="21"/>
                <w:highlight w:val="none"/>
              </w:rPr>
              <w:t xml:space="preserve">联系人:宝鸡市公共资源交易中心财务 </w:t>
            </w:r>
          </w:p>
          <w:p w14:paraId="5DF53DBA">
            <w:pPr>
              <w:shd w:val="clear" w:color="auto" w:fill="auto"/>
              <w:wordWrap w:val="0"/>
              <w:ind w:firstLine="210" w:firstLineChars="100"/>
              <w:jc w:val="left"/>
              <w:rPr>
                <w:rFonts w:hint="eastAsia" w:ascii="宋体" w:hAnsi="宋体" w:cs="宋体"/>
                <w:b w:val="0"/>
                <w:bCs/>
                <w:szCs w:val="21"/>
                <w:highlight w:val="none"/>
              </w:rPr>
            </w:pPr>
            <w:r>
              <w:rPr>
                <w:rFonts w:hint="eastAsia" w:ascii="宋体" w:hAnsi="宋体" w:cs="宋体"/>
                <w:b w:val="0"/>
                <w:bCs/>
                <w:szCs w:val="21"/>
                <w:highlight w:val="none"/>
              </w:rPr>
              <w:t>联系方式:0917-3263765</w:t>
            </w:r>
          </w:p>
          <w:p w14:paraId="439165E7">
            <w:pPr>
              <w:shd w:val="clear" w:color="auto" w:fill="auto"/>
              <w:wordWrap w:val="0"/>
              <w:ind w:firstLine="211" w:firstLineChars="100"/>
              <w:jc w:val="left"/>
              <w:rPr>
                <w:rFonts w:hint="eastAsia" w:ascii="宋体" w:hAnsi="宋体" w:cs="宋体"/>
                <w:b w:val="0"/>
                <w:bCs/>
                <w:szCs w:val="21"/>
                <w:highlight w:val="none"/>
              </w:rPr>
            </w:pPr>
            <w:r>
              <w:rPr>
                <w:rFonts w:hint="eastAsia" w:ascii="宋体" w:hAnsi="宋体" w:cs="宋体"/>
                <w:b/>
                <w:bCs w:val="0"/>
                <w:szCs w:val="21"/>
                <w:highlight w:val="none"/>
              </w:rPr>
              <w:t>转账事由：</w:t>
            </w:r>
            <w:r>
              <w:rPr>
                <w:rFonts w:hint="eastAsia" w:ascii="宋体" w:hAnsi="宋体" w:cs="宋体"/>
                <w:b w:val="0"/>
                <w:bCs/>
                <w:szCs w:val="21"/>
                <w:highlight w:val="none"/>
              </w:rPr>
              <w:t>项目编号、项目名称（简称也可）和投标保证金字样。</w:t>
            </w:r>
          </w:p>
          <w:p w14:paraId="74084112">
            <w:pPr>
              <w:shd w:val="clear" w:color="auto" w:fill="auto"/>
              <w:wordWrap w:val="0"/>
              <w:ind w:firstLine="211" w:firstLineChars="100"/>
              <w:jc w:val="left"/>
              <w:rPr>
                <w:rFonts w:hint="eastAsia" w:ascii="宋体" w:hAnsi="宋体" w:cs="宋体"/>
                <w:b w:val="0"/>
                <w:bCs/>
                <w:szCs w:val="21"/>
                <w:highlight w:val="none"/>
              </w:rPr>
            </w:pPr>
            <w:r>
              <w:rPr>
                <w:rFonts w:hint="eastAsia" w:ascii="宋体" w:hAnsi="宋体" w:cs="宋体"/>
                <w:b/>
                <w:bCs w:val="0"/>
                <w:szCs w:val="21"/>
                <w:highlight w:val="none"/>
              </w:rPr>
              <w:t>重要提示：</w:t>
            </w:r>
            <w:r>
              <w:rPr>
                <w:rFonts w:hint="eastAsia" w:ascii="宋体" w:hAnsi="宋体" w:cs="宋体"/>
                <w:b w:val="0"/>
                <w:bCs/>
                <w:szCs w:val="21"/>
                <w:highlight w:val="none"/>
              </w:rPr>
              <w:t xml:space="preserve"> </w:t>
            </w:r>
          </w:p>
          <w:p w14:paraId="43C46D9D">
            <w:pPr>
              <w:shd w:val="clear" w:color="auto" w:fill="auto"/>
              <w:wordWrap w:val="0"/>
              <w:ind w:firstLine="210" w:firstLineChars="100"/>
              <w:jc w:val="left"/>
              <w:rPr>
                <w:rFonts w:hint="eastAsia" w:ascii="宋体" w:hAnsi="宋体" w:cs="宋体"/>
                <w:b w:val="0"/>
                <w:bCs/>
                <w:szCs w:val="21"/>
                <w:highlight w:val="none"/>
              </w:rPr>
            </w:pPr>
            <w:r>
              <w:rPr>
                <w:rFonts w:hint="eastAsia" w:ascii="宋体" w:hAnsi="宋体" w:cs="宋体"/>
                <w:b w:val="0"/>
                <w:bCs/>
                <w:szCs w:val="21"/>
                <w:highlight w:val="none"/>
              </w:rPr>
              <w:t>1、账户信息以宝鸡市公共资源交易平台生成的子账户信息为准。</w:t>
            </w:r>
          </w:p>
          <w:p w14:paraId="73C15472">
            <w:pPr>
              <w:shd w:val="clear" w:color="auto" w:fill="auto"/>
              <w:wordWrap w:val="0"/>
              <w:ind w:firstLine="210" w:firstLineChars="100"/>
              <w:jc w:val="left"/>
              <w:rPr>
                <w:rFonts w:hint="eastAsia" w:ascii="宋体" w:hAnsi="宋体" w:cs="宋体"/>
                <w:b w:val="0"/>
                <w:bCs/>
                <w:szCs w:val="21"/>
                <w:highlight w:val="none"/>
              </w:rPr>
            </w:pPr>
            <w:r>
              <w:rPr>
                <w:rFonts w:hint="eastAsia" w:ascii="宋体" w:hAnsi="宋体" w:cs="宋体"/>
                <w:b w:val="0"/>
                <w:bCs/>
                <w:szCs w:val="21"/>
                <w:highlight w:val="none"/>
              </w:rPr>
              <w:t>2、</w:t>
            </w:r>
            <w:r>
              <w:rPr>
                <w:rFonts w:hint="eastAsia" w:ascii="宋体" w:hAnsi="宋体" w:cs="宋体"/>
                <w:b w:val="0"/>
                <w:bCs/>
                <w:szCs w:val="21"/>
                <w:highlight w:val="none"/>
                <w:lang w:eastAsia="zh-CN"/>
              </w:rPr>
              <w:t>投标供应商</w:t>
            </w:r>
            <w:r>
              <w:rPr>
                <w:rFonts w:hint="eastAsia" w:ascii="宋体" w:hAnsi="宋体" w:cs="宋体"/>
                <w:b w:val="0"/>
                <w:bCs/>
                <w:szCs w:val="21"/>
                <w:highlight w:val="none"/>
              </w:rPr>
              <w:t xml:space="preserve">缴费完成后，请及时在系统里查询保证金缴纳情况，并对缴纳结果自行负责。 </w:t>
            </w:r>
          </w:p>
          <w:p w14:paraId="222B127F">
            <w:pPr>
              <w:shd w:val="clear" w:color="auto" w:fill="auto"/>
              <w:wordWrap w:val="0"/>
              <w:ind w:firstLine="210" w:firstLineChars="100"/>
              <w:jc w:val="left"/>
              <w:rPr>
                <w:rFonts w:hint="eastAsia" w:ascii="宋体" w:hAnsi="宋体" w:cs="宋体"/>
                <w:b/>
                <w:bCs w:val="0"/>
                <w:szCs w:val="21"/>
                <w:highlight w:val="none"/>
              </w:rPr>
            </w:pPr>
            <w:r>
              <w:rPr>
                <w:rFonts w:hint="eastAsia" w:ascii="宋体" w:hAnsi="宋体" w:cs="宋体"/>
                <w:b w:val="0"/>
                <w:bCs/>
                <w:szCs w:val="21"/>
                <w:highlight w:val="none"/>
              </w:rPr>
              <w:t xml:space="preserve">3、投标保证金的退还(按照宝鸡市公共资源交易中心要求办理)。 </w:t>
            </w:r>
            <w:r>
              <w:rPr>
                <w:rFonts w:hint="eastAsia" w:ascii="宋体" w:hAnsi="宋体" w:cs="宋体"/>
                <w:b/>
                <w:bCs w:val="0"/>
                <w:szCs w:val="21"/>
                <w:highlight w:val="none"/>
              </w:rPr>
              <w:t xml:space="preserve">注：交纳投标保证金金额不足、逾期未交或逾期到账的，则该投标文件按无效处理。 </w:t>
            </w:r>
          </w:p>
          <w:p w14:paraId="5A3F3FE6">
            <w:pPr>
              <w:shd w:val="clear" w:color="auto" w:fill="auto"/>
              <w:wordWrap w:val="0"/>
              <w:ind w:firstLine="211" w:firstLineChars="100"/>
              <w:jc w:val="left"/>
              <w:rPr>
                <w:rFonts w:hint="eastAsia" w:ascii="宋体" w:hAnsi="宋体" w:cs="宋体"/>
                <w:b/>
                <w:bCs w:val="0"/>
                <w:szCs w:val="21"/>
                <w:highlight w:val="none"/>
              </w:rPr>
            </w:pPr>
            <w:r>
              <w:rPr>
                <w:rFonts w:hint="eastAsia" w:ascii="宋体" w:hAnsi="宋体" w:cs="宋体"/>
                <w:b/>
                <w:bCs w:val="0"/>
                <w:szCs w:val="21"/>
                <w:highlight w:val="none"/>
              </w:rPr>
              <w:t>一标段转账注明：</w:t>
            </w:r>
            <w:r>
              <w:rPr>
                <w:rFonts w:hint="eastAsia" w:ascii="宋体" w:hAnsi="宋体" w:cs="宋体"/>
                <w:b/>
                <w:bCs w:val="0"/>
                <w:szCs w:val="21"/>
                <w:highlight w:val="none"/>
                <w:lang w:val="en-US" w:eastAsia="zh-CN"/>
              </w:rPr>
              <w:t>2026-116一标段</w:t>
            </w:r>
            <w:r>
              <w:rPr>
                <w:rFonts w:hint="eastAsia" w:ascii="宋体" w:hAnsi="宋体" w:cs="宋体"/>
                <w:b/>
                <w:bCs w:val="0"/>
                <w:szCs w:val="21"/>
                <w:highlight w:val="none"/>
              </w:rPr>
              <w:t>保证金</w:t>
            </w:r>
          </w:p>
          <w:p w14:paraId="1396B51D">
            <w:pPr>
              <w:shd w:val="clear" w:color="auto" w:fill="auto"/>
              <w:wordWrap w:val="0"/>
              <w:ind w:firstLine="211" w:firstLineChars="100"/>
              <w:jc w:val="left"/>
              <w:rPr>
                <w:rFonts w:hint="eastAsia" w:ascii="宋体" w:hAnsi="宋体" w:cs="宋体"/>
                <w:b/>
                <w:bCs w:val="0"/>
                <w:szCs w:val="21"/>
                <w:highlight w:val="none"/>
              </w:rPr>
            </w:pPr>
            <w:r>
              <w:rPr>
                <w:rFonts w:hint="eastAsia" w:ascii="宋体" w:hAnsi="宋体" w:cs="宋体"/>
                <w:b/>
                <w:bCs w:val="0"/>
                <w:szCs w:val="21"/>
                <w:highlight w:val="none"/>
                <w:lang w:val="en-US" w:eastAsia="zh-CN"/>
              </w:rPr>
              <w:t>二</w:t>
            </w:r>
            <w:r>
              <w:rPr>
                <w:rFonts w:hint="eastAsia" w:ascii="宋体" w:hAnsi="宋体" w:cs="宋体"/>
                <w:b/>
                <w:bCs w:val="0"/>
                <w:szCs w:val="21"/>
                <w:highlight w:val="none"/>
              </w:rPr>
              <w:t>标段转账注明：</w:t>
            </w:r>
            <w:r>
              <w:rPr>
                <w:rFonts w:hint="eastAsia" w:ascii="宋体" w:hAnsi="宋体" w:cs="宋体"/>
                <w:b/>
                <w:bCs w:val="0"/>
                <w:szCs w:val="21"/>
                <w:highlight w:val="none"/>
                <w:lang w:val="en-US" w:eastAsia="zh-CN"/>
              </w:rPr>
              <w:t>2026-116二标段</w:t>
            </w:r>
            <w:r>
              <w:rPr>
                <w:rFonts w:hint="eastAsia" w:ascii="宋体" w:hAnsi="宋体" w:cs="宋体"/>
                <w:b/>
                <w:bCs w:val="0"/>
                <w:szCs w:val="21"/>
                <w:highlight w:val="none"/>
              </w:rPr>
              <w:t>保证金</w:t>
            </w:r>
          </w:p>
          <w:p w14:paraId="72E2A2DB">
            <w:pPr>
              <w:shd w:val="clear" w:color="auto" w:fill="auto"/>
              <w:wordWrap w:val="0"/>
              <w:ind w:firstLine="211" w:firstLineChars="100"/>
              <w:jc w:val="left"/>
              <w:rPr>
                <w:rFonts w:hint="eastAsia" w:ascii="宋体" w:hAnsi="宋体" w:cs="宋体"/>
                <w:b/>
                <w:bCs w:val="0"/>
                <w:szCs w:val="21"/>
                <w:highlight w:val="none"/>
              </w:rPr>
            </w:pPr>
            <w:r>
              <w:rPr>
                <w:rFonts w:hint="eastAsia" w:ascii="宋体" w:hAnsi="宋体" w:cs="宋体"/>
                <w:b/>
                <w:bCs w:val="0"/>
                <w:szCs w:val="21"/>
                <w:highlight w:val="none"/>
                <w:lang w:val="en-US" w:eastAsia="zh-CN"/>
              </w:rPr>
              <w:t>三</w:t>
            </w:r>
            <w:r>
              <w:rPr>
                <w:rFonts w:hint="eastAsia" w:ascii="宋体" w:hAnsi="宋体" w:cs="宋体"/>
                <w:b/>
                <w:bCs w:val="0"/>
                <w:szCs w:val="21"/>
                <w:highlight w:val="none"/>
              </w:rPr>
              <w:t>标段转账注明：</w:t>
            </w:r>
            <w:r>
              <w:rPr>
                <w:rFonts w:hint="eastAsia" w:ascii="宋体" w:hAnsi="宋体" w:cs="宋体"/>
                <w:b/>
                <w:bCs w:val="0"/>
                <w:szCs w:val="21"/>
                <w:highlight w:val="none"/>
                <w:lang w:val="en-US" w:eastAsia="zh-CN"/>
              </w:rPr>
              <w:t>2026-116三标段</w:t>
            </w:r>
            <w:r>
              <w:rPr>
                <w:rFonts w:hint="eastAsia" w:ascii="宋体" w:hAnsi="宋体" w:cs="宋体"/>
                <w:b/>
                <w:bCs w:val="0"/>
                <w:szCs w:val="21"/>
                <w:highlight w:val="none"/>
              </w:rPr>
              <w:t>保证金</w:t>
            </w:r>
          </w:p>
          <w:p w14:paraId="5161B426">
            <w:pPr>
              <w:shd w:val="clear" w:color="auto" w:fill="auto"/>
              <w:wordWrap w:val="0"/>
              <w:ind w:firstLine="211" w:firstLineChars="100"/>
              <w:jc w:val="left"/>
              <w:rPr>
                <w:rFonts w:hint="eastAsia" w:ascii="宋体" w:hAnsi="宋体" w:cs="宋体"/>
                <w:b/>
                <w:bCs w:val="0"/>
                <w:szCs w:val="21"/>
                <w:highlight w:val="none"/>
              </w:rPr>
            </w:pPr>
            <w:r>
              <w:rPr>
                <w:rFonts w:hint="eastAsia" w:ascii="宋体" w:hAnsi="宋体" w:cs="宋体"/>
                <w:b/>
                <w:bCs w:val="0"/>
                <w:szCs w:val="21"/>
                <w:highlight w:val="none"/>
                <w:lang w:val="en-US" w:eastAsia="zh-CN"/>
              </w:rPr>
              <w:t>四</w:t>
            </w:r>
            <w:r>
              <w:rPr>
                <w:rFonts w:hint="eastAsia" w:ascii="宋体" w:hAnsi="宋体" w:cs="宋体"/>
                <w:b/>
                <w:bCs w:val="0"/>
                <w:szCs w:val="21"/>
                <w:highlight w:val="none"/>
              </w:rPr>
              <w:t>标段转账注明：</w:t>
            </w:r>
            <w:r>
              <w:rPr>
                <w:rFonts w:hint="eastAsia" w:ascii="宋体" w:hAnsi="宋体" w:cs="宋体"/>
                <w:b/>
                <w:bCs w:val="0"/>
                <w:szCs w:val="21"/>
                <w:highlight w:val="none"/>
                <w:lang w:val="en-US" w:eastAsia="zh-CN"/>
              </w:rPr>
              <w:t>2026-116四标段</w:t>
            </w:r>
            <w:r>
              <w:rPr>
                <w:rFonts w:hint="eastAsia" w:ascii="宋体" w:hAnsi="宋体" w:cs="宋体"/>
                <w:b/>
                <w:bCs w:val="0"/>
                <w:szCs w:val="21"/>
                <w:highlight w:val="none"/>
              </w:rPr>
              <w:t>保证金</w:t>
            </w:r>
          </w:p>
        </w:tc>
      </w:tr>
      <w:tr w14:paraId="1242A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2" w:hRule="atLeast"/>
          <w:jc w:val="center"/>
        </w:trPr>
        <w:tc>
          <w:tcPr>
            <w:tcW w:w="795" w:type="dxa"/>
            <w:noWrap w:val="0"/>
            <w:vAlign w:val="center"/>
          </w:tcPr>
          <w:p w14:paraId="53716245">
            <w:pPr>
              <w:pStyle w:val="18"/>
              <w:shd w:val="clear" w:color="auto" w:fill="auto"/>
              <w:ind w:firstLine="0" w:firstLineChars="0"/>
              <w:jc w:val="center"/>
              <w:rPr>
                <w:kern w:val="2"/>
                <w:sz w:val="21"/>
                <w:szCs w:val="21"/>
                <w:highlight w:val="none"/>
              </w:rPr>
            </w:pPr>
            <w:r>
              <w:rPr>
                <w:rFonts w:hint="eastAsia"/>
                <w:kern w:val="2"/>
                <w:sz w:val="21"/>
                <w:szCs w:val="21"/>
                <w:highlight w:val="none"/>
              </w:rPr>
              <w:t>19</w:t>
            </w:r>
          </w:p>
        </w:tc>
        <w:tc>
          <w:tcPr>
            <w:tcW w:w="2429" w:type="dxa"/>
            <w:noWrap w:val="0"/>
            <w:vAlign w:val="center"/>
          </w:tcPr>
          <w:p w14:paraId="533DE45E">
            <w:pPr>
              <w:pStyle w:val="18"/>
              <w:shd w:val="clear" w:color="auto" w:fill="auto"/>
              <w:ind w:firstLine="0" w:firstLineChars="0"/>
              <w:jc w:val="center"/>
              <w:rPr>
                <w:rFonts w:hint="eastAsia"/>
                <w:kern w:val="2"/>
                <w:sz w:val="21"/>
                <w:szCs w:val="21"/>
                <w:highlight w:val="none"/>
              </w:rPr>
            </w:pPr>
            <w:r>
              <w:rPr>
                <w:rFonts w:hint="eastAsia"/>
                <w:kern w:val="2"/>
                <w:sz w:val="21"/>
                <w:szCs w:val="21"/>
                <w:highlight w:val="none"/>
              </w:rPr>
              <w:t>备选投标方案和报价</w:t>
            </w:r>
          </w:p>
        </w:tc>
        <w:tc>
          <w:tcPr>
            <w:tcW w:w="6070" w:type="dxa"/>
            <w:noWrap w:val="0"/>
            <w:vAlign w:val="center"/>
          </w:tcPr>
          <w:p w14:paraId="1B4F1F25">
            <w:pPr>
              <w:pStyle w:val="18"/>
              <w:shd w:val="clear" w:color="auto" w:fill="auto"/>
              <w:ind w:firstLine="210" w:firstLineChars="100"/>
              <w:rPr>
                <w:rFonts w:hint="eastAsia"/>
                <w:kern w:val="2"/>
                <w:sz w:val="21"/>
                <w:szCs w:val="21"/>
                <w:highlight w:val="none"/>
              </w:rPr>
            </w:pPr>
            <w:r>
              <w:rPr>
                <w:rFonts w:hint="eastAsia"/>
                <w:kern w:val="2"/>
                <w:sz w:val="21"/>
                <w:szCs w:val="21"/>
                <w:highlight w:val="none"/>
              </w:rPr>
              <w:t>不接受备选投标方案和多个报价。</w:t>
            </w:r>
          </w:p>
        </w:tc>
      </w:tr>
      <w:tr w14:paraId="421FA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2" w:hRule="exact"/>
          <w:jc w:val="center"/>
        </w:trPr>
        <w:tc>
          <w:tcPr>
            <w:tcW w:w="795" w:type="dxa"/>
            <w:noWrap w:val="0"/>
            <w:vAlign w:val="center"/>
          </w:tcPr>
          <w:p w14:paraId="132F28C1">
            <w:pPr>
              <w:pStyle w:val="18"/>
              <w:shd w:val="clear" w:color="auto" w:fill="auto"/>
              <w:ind w:firstLine="0" w:firstLineChars="0"/>
              <w:jc w:val="center"/>
              <w:rPr>
                <w:rFonts w:hint="eastAsia"/>
                <w:kern w:val="2"/>
                <w:sz w:val="21"/>
                <w:szCs w:val="21"/>
                <w:highlight w:val="none"/>
              </w:rPr>
            </w:pPr>
            <w:r>
              <w:rPr>
                <w:rFonts w:hint="eastAsia"/>
                <w:kern w:val="2"/>
                <w:sz w:val="21"/>
                <w:szCs w:val="21"/>
                <w:highlight w:val="none"/>
              </w:rPr>
              <w:t>20</w:t>
            </w:r>
          </w:p>
        </w:tc>
        <w:tc>
          <w:tcPr>
            <w:tcW w:w="2429" w:type="dxa"/>
            <w:noWrap w:val="0"/>
            <w:vAlign w:val="center"/>
          </w:tcPr>
          <w:p w14:paraId="31C8394C">
            <w:pPr>
              <w:pStyle w:val="18"/>
              <w:shd w:val="clear" w:color="auto" w:fill="auto"/>
              <w:ind w:firstLine="0" w:firstLineChars="0"/>
              <w:jc w:val="center"/>
              <w:rPr>
                <w:rFonts w:hint="eastAsia"/>
                <w:color w:val="FF0000"/>
                <w:kern w:val="2"/>
                <w:sz w:val="21"/>
                <w:szCs w:val="21"/>
                <w:highlight w:val="none"/>
              </w:rPr>
            </w:pPr>
            <w:r>
              <w:rPr>
                <w:rFonts w:hint="eastAsia"/>
                <w:kern w:val="2"/>
                <w:sz w:val="21"/>
                <w:szCs w:val="21"/>
                <w:highlight w:val="none"/>
              </w:rPr>
              <w:t>签字盖章</w:t>
            </w:r>
          </w:p>
        </w:tc>
        <w:tc>
          <w:tcPr>
            <w:tcW w:w="6070" w:type="dxa"/>
            <w:noWrap w:val="0"/>
            <w:vAlign w:val="center"/>
          </w:tcPr>
          <w:p w14:paraId="2FF29807">
            <w:pPr>
              <w:pStyle w:val="18"/>
              <w:shd w:val="clear" w:color="auto" w:fill="auto"/>
              <w:ind w:firstLine="210" w:firstLineChars="100"/>
              <w:rPr>
                <w:rFonts w:hint="eastAsia"/>
                <w:kern w:val="2"/>
                <w:sz w:val="21"/>
                <w:szCs w:val="21"/>
                <w:highlight w:val="none"/>
              </w:rPr>
            </w:pPr>
            <w:r>
              <w:rPr>
                <w:rFonts w:hint="eastAsia"/>
                <w:kern w:val="2"/>
                <w:sz w:val="21"/>
                <w:szCs w:val="21"/>
                <w:highlight w:val="none"/>
              </w:rPr>
              <w:t>投标供应商必须按照招标文件的规定和要求签字、盖章。</w:t>
            </w:r>
          </w:p>
        </w:tc>
      </w:tr>
      <w:tr w14:paraId="216AB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68" w:hRule="exact"/>
          <w:jc w:val="center"/>
        </w:trPr>
        <w:tc>
          <w:tcPr>
            <w:tcW w:w="795" w:type="dxa"/>
            <w:noWrap w:val="0"/>
            <w:vAlign w:val="center"/>
          </w:tcPr>
          <w:p w14:paraId="2749725A">
            <w:pPr>
              <w:pStyle w:val="18"/>
              <w:shd w:val="clear" w:color="auto" w:fill="auto"/>
              <w:ind w:firstLine="0" w:firstLineChars="0"/>
              <w:jc w:val="center"/>
              <w:rPr>
                <w:rFonts w:hint="eastAsia"/>
                <w:kern w:val="2"/>
                <w:sz w:val="21"/>
                <w:szCs w:val="21"/>
                <w:highlight w:val="none"/>
              </w:rPr>
            </w:pPr>
            <w:r>
              <w:rPr>
                <w:rFonts w:hint="eastAsia"/>
                <w:kern w:val="2"/>
                <w:sz w:val="21"/>
                <w:szCs w:val="21"/>
                <w:highlight w:val="none"/>
              </w:rPr>
              <w:t>21</w:t>
            </w:r>
          </w:p>
        </w:tc>
        <w:tc>
          <w:tcPr>
            <w:tcW w:w="2429" w:type="dxa"/>
            <w:noWrap w:val="0"/>
            <w:vAlign w:val="center"/>
          </w:tcPr>
          <w:p w14:paraId="3FF16A62">
            <w:pPr>
              <w:pStyle w:val="18"/>
              <w:shd w:val="clear" w:color="auto" w:fill="auto"/>
              <w:ind w:firstLine="0" w:firstLineChars="0"/>
              <w:jc w:val="center"/>
              <w:rPr>
                <w:rFonts w:hint="eastAsia"/>
                <w:kern w:val="2"/>
                <w:sz w:val="21"/>
                <w:szCs w:val="21"/>
                <w:highlight w:val="none"/>
              </w:rPr>
            </w:pPr>
            <w:r>
              <w:rPr>
                <w:rFonts w:hint="eastAsia"/>
                <w:kern w:val="2"/>
                <w:sz w:val="21"/>
                <w:szCs w:val="21"/>
                <w:highlight w:val="none"/>
              </w:rPr>
              <w:t>投标文件份数</w:t>
            </w:r>
          </w:p>
        </w:tc>
        <w:tc>
          <w:tcPr>
            <w:tcW w:w="6070" w:type="dxa"/>
            <w:noWrap w:val="0"/>
            <w:vAlign w:val="center"/>
          </w:tcPr>
          <w:p w14:paraId="52FCFBD0">
            <w:pPr>
              <w:pStyle w:val="18"/>
              <w:shd w:val="clear" w:color="auto" w:fill="auto"/>
              <w:ind w:firstLine="210" w:firstLineChars="100"/>
              <w:rPr>
                <w:rFonts w:hint="eastAsia"/>
                <w:kern w:val="2"/>
                <w:sz w:val="21"/>
                <w:szCs w:val="21"/>
                <w:highlight w:val="none"/>
              </w:rPr>
            </w:pPr>
            <w:r>
              <w:rPr>
                <w:rFonts w:hint="eastAsia"/>
                <w:kern w:val="2"/>
                <w:sz w:val="21"/>
                <w:szCs w:val="21"/>
                <w:highlight w:val="none"/>
              </w:rPr>
              <w:t>1）</w:t>
            </w:r>
            <w:r>
              <w:rPr>
                <w:rFonts w:hint="eastAsia"/>
                <w:kern w:val="2"/>
                <w:sz w:val="21"/>
                <w:szCs w:val="21"/>
                <w:highlight w:val="none"/>
                <w:lang w:val="en-US" w:eastAsia="zh-CN"/>
              </w:rPr>
              <w:t>所有投标供应商在开标当天将</w:t>
            </w:r>
            <w:r>
              <w:rPr>
                <w:rFonts w:hint="eastAsia"/>
                <w:kern w:val="2"/>
                <w:sz w:val="21"/>
                <w:szCs w:val="21"/>
                <w:highlight w:val="none"/>
              </w:rPr>
              <w:t>纸质版投标文件</w:t>
            </w:r>
            <w:r>
              <w:rPr>
                <w:rFonts w:hint="eastAsia"/>
                <w:kern w:val="2"/>
                <w:sz w:val="21"/>
                <w:szCs w:val="21"/>
                <w:highlight w:val="none"/>
                <w:lang w:val="en-US" w:eastAsia="zh-CN"/>
              </w:rPr>
              <w:t>密封送至宝鸡市公共资源交易中心开标室</w:t>
            </w:r>
            <w:r>
              <w:rPr>
                <w:rFonts w:hint="eastAsia"/>
                <w:kern w:val="2"/>
                <w:sz w:val="21"/>
                <w:szCs w:val="21"/>
                <w:highlight w:val="none"/>
              </w:rPr>
              <w:t>。</w:t>
            </w:r>
          </w:p>
          <w:p w14:paraId="3BA5CD60">
            <w:pPr>
              <w:pStyle w:val="18"/>
              <w:shd w:val="clear" w:color="auto" w:fill="auto"/>
              <w:ind w:firstLine="210" w:firstLineChars="100"/>
              <w:rPr>
                <w:rFonts w:hint="eastAsia"/>
                <w:kern w:val="2"/>
                <w:sz w:val="21"/>
                <w:szCs w:val="21"/>
                <w:highlight w:val="none"/>
              </w:rPr>
            </w:pPr>
            <w:r>
              <w:rPr>
                <w:rFonts w:hint="eastAsia"/>
                <w:kern w:val="2"/>
                <w:sz w:val="21"/>
                <w:szCs w:val="21"/>
                <w:highlight w:val="none"/>
              </w:rPr>
              <w:t>2）</w:t>
            </w:r>
            <w:r>
              <w:rPr>
                <w:rFonts w:hint="eastAsia"/>
                <w:kern w:val="2"/>
                <w:sz w:val="21"/>
                <w:szCs w:val="21"/>
                <w:highlight w:val="none"/>
                <w:lang w:val="en-US" w:eastAsia="zh-CN"/>
              </w:rPr>
              <w:t>纸质文件份数</w:t>
            </w:r>
            <w:r>
              <w:rPr>
                <w:rFonts w:hint="eastAsia"/>
                <w:kern w:val="2"/>
                <w:sz w:val="21"/>
                <w:szCs w:val="21"/>
                <w:highlight w:val="none"/>
              </w:rPr>
              <w:t>正本一份，副本两份。提交的纸质投标文件须与网上上传的电子投标文件内容一致，若不一致导致的一切后果由</w:t>
            </w:r>
            <w:r>
              <w:rPr>
                <w:rFonts w:hint="eastAsia"/>
                <w:kern w:val="2"/>
                <w:sz w:val="21"/>
                <w:szCs w:val="21"/>
                <w:highlight w:val="none"/>
                <w:lang w:eastAsia="zh-CN"/>
              </w:rPr>
              <w:t>投标供应商</w:t>
            </w:r>
            <w:r>
              <w:rPr>
                <w:rFonts w:hint="eastAsia"/>
                <w:kern w:val="2"/>
                <w:sz w:val="21"/>
                <w:szCs w:val="21"/>
                <w:highlight w:val="none"/>
              </w:rPr>
              <w:t>自负。</w:t>
            </w:r>
          </w:p>
          <w:p w14:paraId="6870FA9A">
            <w:pPr>
              <w:pStyle w:val="18"/>
              <w:shd w:val="clear" w:color="auto" w:fill="auto"/>
              <w:ind w:firstLine="210" w:firstLineChars="100"/>
              <w:rPr>
                <w:rFonts w:hint="eastAsia"/>
                <w:kern w:val="2"/>
                <w:sz w:val="21"/>
                <w:szCs w:val="21"/>
                <w:highlight w:val="none"/>
              </w:rPr>
            </w:pPr>
            <w:r>
              <w:rPr>
                <w:rFonts w:hint="eastAsia"/>
                <w:kern w:val="2"/>
                <w:sz w:val="21"/>
                <w:szCs w:val="21"/>
                <w:highlight w:val="none"/>
              </w:rPr>
              <w:t>3）提供的正本和副本的封面上应清楚的标记“正本”或“副本”的字样。投标文件的正本与副本均应采用A4纸印刷，分别各自胶装成册，并编制目录和页码，不得采用活页装订。</w:t>
            </w:r>
          </w:p>
        </w:tc>
      </w:tr>
      <w:tr w14:paraId="7031D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4" w:hRule="atLeast"/>
          <w:jc w:val="center"/>
        </w:trPr>
        <w:tc>
          <w:tcPr>
            <w:tcW w:w="795" w:type="dxa"/>
            <w:noWrap w:val="0"/>
            <w:vAlign w:val="center"/>
          </w:tcPr>
          <w:p w14:paraId="676DAB1D">
            <w:pPr>
              <w:pStyle w:val="18"/>
              <w:shd w:val="clear" w:color="auto" w:fill="auto"/>
              <w:ind w:firstLine="0" w:firstLineChars="0"/>
              <w:jc w:val="center"/>
              <w:rPr>
                <w:rFonts w:hint="default"/>
                <w:kern w:val="2"/>
                <w:sz w:val="21"/>
                <w:szCs w:val="21"/>
                <w:highlight w:val="none"/>
                <w:lang w:val="en-US" w:eastAsia="zh-CN"/>
              </w:rPr>
            </w:pPr>
            <w:bookmarkStart w:id="22" w:name="_Toc89075873"/>
            <w:bookmarkStart w:id="23" w:name="_Toc183582204"/>
            <w:bookmarkStart w:id="24" w:name="_Toc217446033"/>
            <w:bookmarkStart w:id="25" w:name="_Toc77400778"/>
            <w:bookmarkStart w:id="26" w:name="_Toc183682341"/>
            <w:r>
              <w:rPr>
                <w:rFonts w:hint="eastAsia"/>
                <w:kern w:val="2"/>
                <w:sz w:val="21"/>
                <w:szCs w:val="21"/>
                <w:highlight w:val="none"/>
                <w:lang w:val="en-US" w:eastAsia="zh-CN"/>
              </w:rPr>
              <w:t>22</w:t>
            </w:r>
          </w:p>
        </w:tc>
        <w:tc>
          <w:tcPr>
            <w:tcW w:w="2429" w:type="dxa"/>
            <w:noWrap w:val="0"/>
            <w:vAlign w:val="center"/>
          </w:tcPr>
          <w:p w14:paraId="41D634F3">
            <w:pPr>
              <w:pStyle w:val="18"/>
              <w:keepNext w:val="0"/>
              <w:keepLines w:val="0"/>
              <w:pageBreakBefore w:val="0"/>
              <w:widowControl w:val="0"/>
              <w:kinsoku/>
              <w:wordWrap/>
              <w:overflowPunct/>
              <w:topLinePunct w:val="0"/>
              <w:bidi w:val="0"/>
              <w:snapToGrid/>
              <w:spacing w:line="400" w:lineRule="exact"/>
              <w:ind w:left="0" w:leftChars="0" w:firstLine="0" w:firstLineChars="0"/>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解释权</w:t>
            </w:r>
          </w:p>
        </w:tc>
        <w:tc>
          <w:tcPr>
            <w:tcW w:w="6070" w:type="dxa"/>
            <w:noWrap w:val="0"/>
            <w:vAlign w:val="center"/>
          </w:tcPr>
          <w:p w14:paraId="75F2A1BE">
            <w:pPr>
              <w:widowControl/>
              <w:snapToGrid w:val="0"/>
              <w:spacing w:line="400" w:lineRule="exact"/>
              <w:ind w:firstLine="210" w:firstLineChars="100"/>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构成本招标文件的各个组成文件应互为解释，互为说明；如有不明确或不一致，构成合同文件组成内容，以合同文件约定内容为准；除招标文件中有特别规定外，仅适用于招标阶段的规定，按招标公告、投标供应商须知、评标办法、投标文件格式的先后顺序解释；同一组成文件不同版本之间有不一致的，以形成时间在后者为准。按本款前述规定仍不能形成结论的，由采购代理负责解释。</w:t>
            </w:r>
          </w:p>
        </w:tc>
      </w:tr>
      <w:tr w14:paraId="16B5F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4" w:hRule="atLeast"/>
          <w:jc w:val="center"/>
        </w:trPr>
        <w:tc>
          <w:tcPr>
            <w:tcW w:w="795" w:type="dxa"/>
            <w:noWrap w:val="0"/>
            <w:vAlign w:val="center"/>
          </w:tcPr>
          <w:p w14:paraId="0B8C1181">
            <w:pPr>
              <w:pStyle w:val="18"/>
              <w:shd w:val="clear" w:color="auto" w:fill="auto"/>
              <w:ind w:firstLine="0" w:firstLineChars="0"/>
              <w:jc w:val="center"/>
              <w:rPr>
                <w:rFonts w:hint="default"/>
                <w:kern w:val="2"/>
                <w:sz w:val="21"/>
                <w:szCs w:val="21"/>
                <w:highlight w:val="none"/>
                <w:lang w:val="en-US" w:eastAsia="zh-CN"/>
              </w:rPr>
            </w:pPr>
            <w:r>
              <w:rPr>
                <w:rFonts w:hint="eastAsia"/>
                <w:kern w:val="2"/>
                <w:sz w:val="21"/>
                <w:szCs w:val="21"/>
                <w:highlight w:val="none"/>
                <w:lang w:val="en-US" w:eastAsia="zh-CN"/>
              </w:rPr>
              <w:t>23</w:t>
            </w:r>
          </w:p>
        </w:tc>
        <w:tc>
          <w:tcPr>
            <w:tcW w:w="2429" w:type="dxa"/>
            <w:noWrap w:val="0"/>
            <w:vAlign w:val="center"/>
          </w:tcPr>
          <w:p w14:paraId="32E59193">
            <w:pPr>
              <w:pStyle w:val="18"/>
              <w:keepNext w:val="0"/>
              <w:keepLines w:val="0"/>
              <w:pageBreakBefore w:val="0"/>
              <w:widowControl w:val="0"/>
              <w:kinsoku/>
              <w:wordWrap/>
              <w:overflowPunct/>
              <w:topLinePunct w:val="0"/>
              <w:bidi w:val="0"/>
              <w:snapToGrid/>
              <w:spacing w:line="400" w:lineRule="exact"/>
              <w:ind w:left="0" w:leftChars="0" w:firstLine="0" w:firstLineChars="0"/>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电子投标文件编制</w:t>
            </w:r>
          </w:p>
        </w:tc>
        <w:tc>
          <w:tcPr>
            <w:tcW w:w="6070" w:type="dxa"/>
            <w:noWrap w:val="0"/>
            <w:vAlign w:val="center"/>
          </w:tcPr>
          <w:p w14:paraId="798F4D87">
            <w:pPr>
              <w:widowControl/>
              <w:snapToGrid w:val="0"/>
              <w:spacing w:line="400" w:lineRule="exact"/>
              <w:ind w:firstLine="210" w:firstLineChars="100"/>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本项目的投标文件必须使用电子标书专用工具软件编制，并通过 “陕西省公共资源交易平台（http://www.sxggzyjy.cn/）” 完成开标过程，投标文件的编制和递交，应按照招标文件的规定进行。如未按照招标文件要求编制、递交电子投标文件，将可能导致投标无效，其后果由投标供应商自负。</w:t>
            </w:r>
          </w:p>
        </w:tc>
      </w:tr>
      <w:tr w14:paraId="20C7C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4" w:hRule="atLeast"/>
          <w:jc w:val="center"/>
        </w:trPr>
        <w:tc>
          <w:tcPr>
            <w:tcW w:w="795" w:type="dxa"/>
            <w:noWrap w:val="0"/>
            <w:vAlign w:val="center"/>
          </w:tcPr>
          <w:p w14:paraId="61E985A5">
            <w:pPr>
              <w:pStyle w:val="18"/>
              <w:shd w:val="clear" w:color="auto" w:fill="auto"/>
              <w:ind w:firstLine="0" w:firstLineChars="0"/>
              <w:jc w:val="center"/>
              <w:rPr>
                <w:rFonts w:hint="default"/>
                <w:kern w:val="2"/>
                <w:sz w:val="21"/>
                <w:szCs w:val="21"/>
                <w:highlight w:val="none"/>
                <w:lang w:val="en-US" w:eastAsia="zh-CN"/>
              </w:rPr>
            </w:pPr>
            <w:r>
              <w:rPr>
                <w:rFonts w:hint="eastAsia"/>
                <w:kern w:val="2"/>
                <w:sz w:val="21"/>
                <w:szCs w:val="21"/>
                <w:highlight w:val="none"/>
                <w:lang w:val="en-US" w:eastAsia="zh-CN"/>
              </w:rPr>
              <w:t>24</w:t>
            </w:r>
          </w:p>
        </w:tc>
        <w:tc>
          <w:tcPr>
            <w:tcW w:w="2429" w:type="dxa"/>
            <w:noWrap w:val="0"/>
            <w:vAlign w:val="center"/>
          </w:tcPr>
          <w:p w14:paraId="5C5C8793">
            <w:pPr>
              <w:pStyle w:val="18"/>
              <w:keepNext w:val="0"/>
              <w:keepLines w:val="0"/>
              <w:pageBreakBefore w:val="0"/>
              <w:widowControl w:val="0"/>
              <w:kinsoku/>
              <w:wordWrap/>
              <w:overflowPunct/>
              <w:topLinePunct w:val="0"/>
              <w:bidi w:val="0"/>
              <w:snapToGrid/>
              <w:spacing w:line="400" w:lineRule="exact"/>
              <w:ind w:left="0" w:leftChars="0" w:firstLine="0" w:firstLineChars="0"/>
              <w:jc w:val="center"/>
              <w:textAlignment w:val="auto"/>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电子投标注意事项</w:t>
            </w:r>
          </w:p>
        </w:tc>
        <w:tc>
          <w:tcPr>
            <w:tcW w:w="6070" w:type="dxa"/>
            <w:noWrap w:val="0"/>
            <w:vAlign w:val="center"/>
          </w:tcPr>
          <w:p w14:paraId="01C0B2CD">
            <w:pPr>
              <w:widowControl/>
              <w:snapToGrid w:val="0"/>
              <w:spacing w:line="400" w:lineRule="exact"/>
              <w:ind w:firstLine="210" w:firstLineChars="100"/>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投标供应商应在规定的时间内及时下载招标文件、澄清和修改文件以及答疑纪要等相关文件，在投标文件递交截止时间前必须登录“陕西省公共资源交易平台（http://www.sxggzyjy.cn/）”上传投标文件电子文件（*.SXSTF格式），除中标单位外，其余投标供应商无需提供纸质版投标文件；</w:t>
            </w:r>
          </w:p>
          <w:p w14:paraId="58B57CA7">
            <w:pPr>
              <w:widowControl/>
              <w:snapToGrid w:val="0"/>
              <w:spacing w:line="400" w:lineRule="exact"/>
              <w:ind w:firstLine="210" w:firstLineChars="100"/>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投标供应商应随时留意可能发布的变更公告，当澄清或修改的内容影响投标文件编制时，将在交易平台上同步发布答疑文件，此时投标供应商应从“项目流程〉答疑文件下载”下载最新发布的答疑文件（*.SXSCF格式），并使用该文件重新编制电子投标文件（*.SXSTF格式），使用旧版电子投标文件或旧版答疑文件制作的电子投标文件，系统将拒绝接收。</w:t>
            </w:r>
          </w:p>
          <w:p w14:paraId="4A0F8E82">
            <w:pPr>
              <w:widowControl/>
              <w:snapToGrid w:val="0"/>
              <w:spacing w:line="400" w:lineRule="exact"/>
              <w:ind w:firstLine="210" w:firstLineChars="100"/>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为了保证远程不见面开标顺利进行，投标供应商需使用配备相关设备的电脑提前一小时登录网络开标大厅进行线上签到。因投标供应商自身设施故障或自身原因导致无法完成投标的，由投标供应商自行承担后果。</w:t>
            </w:r>
          </w:p>
        </w:tc>
      </w:tr>
      <w:tr w14:paraId="5A362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4" w:hRule="atLeast"/>
          <w:jc w:val="center"/>
        </w:trPr>
        <w:tc>
          <w:tcPr>
            <w:tcW w:w="795" w:type="dxa"/>
            <w:noWrap w:val="0"/>
            <w:vAlign w:val="center"/>
          </w:tcPr>
          <w:p w14:paraId="420475D6">
            <w:pPr>
              <w:pStyle w:val="18"/>
              <w:shd w:val="clear" w:color="auto" w:fill="auto"/>
              <w:ind w:firstLine="0" w:firstLineChars="0"/>
              <w:jc w:val="center"/>
              <w:rPr>
                <w:rFonts w:hint="default"/>
                <w:kern w:val="2"/>
                <w:sz w:val="21"/>
                <w:szCs w:val="21"/>
                <w:highlight w:val="none"/>
                <w:lang w:val="en-US" w:eastAsia="zh-CN"/>
              </w:rPr>
            </w:pPr>
            <w:r>
              <w:rPr>
                <w:rFonts w:hint="eastAsia"/>
                <w:kern w:val="2"/>
                <w:sz w:val="21"/>
                <w:szCs w:val="21"/>
                <w:highlight w:val="none"/>
                <w:lang w:val="en-US" w:eastAsia="zh-CN"/>
              </w:rPr>
              <w:t>25</w:t>
            </w:r>
          </w:p>
        </w:tc>
        <w:tc>
          <w:tcPr>
            <w:tcW w:w="2429" w:type="dxa"/>
            <w:noWrap w:val="0"/>
            <w:vAlign w:val="center"/>
          </w:tcPr>
          <w:p w14:paraId="55696C94">
            <w:pPr>
              <w:pStyle w:val="18"/>
              <w:keepNext w:val="0"/>
              <w:keepLines w:val="0"/>
              <w:pageBreakBefore w:val="0"/>
              <w:widowControl w:val="0"/>
              <w:kinsoku/>
              <w:wordWrap/>
              <w:overflowPunct/>
              <w:topLinePunct w:val="0"/>
              <w:bidi w:val="0"/>
              <w:snapToGrid/>
              <w:spacing w:line="400" w:lineRule="exact"/>
              <w:ind w:left="0" w:leftChars="0" w:firstLine="0" w:firstLineChars="0"/>
              <w:jc w:val="center"/>
              <w:textAlignment w:val="auto"/>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不见面开标</w:t>
            </w:r>
          </w:p>
        </w:tc>
        <w:tc>
          <w:tcPr>
            <w:tcW w:w="6070" w:type="dxa"/>
            <w:noWrap w:val="0"/>
            <w:vAlign w:val="center"/>
          </w:tcPr>
          <w:p w14:paraId="1FDE3CBE">
            <w:pPr>
              <w:widowControl/>
              <w:snapToGrid w:val="0"/>
              <w:spacing w:line="400" w:lineRule="exact"/>
              <w:ind w:firstLine="210" w:firstLineChars="100"/>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该项目将采取“不见面”开标的形式，投标供应商无须到达开标现场，即可在网上直接参与开标活动。相关注意事项如下：</w:t>
            </w:r>
          </w:p>
          <w:p w14:paraId="4DF815DE">
            <w:pPr>
              <w:widowControl/>
              <w:snapToGrid w:val="0"/>
              <w:spacing w:line="400" w:lineRule="exact"/>
              <w:ind w:firstLine="210" w:firstLineChars="100"/>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1、开标当日，请各投标供应商在开标截止时间前至少提前 1 小时登录“不见面”开标系统登录方式有以下几种：</w:t>
            </w:r>
          </w:p>
          <w:p w14:paraId="7FCDA253">
            <w:pPr>
              <w:widowControl/>
              <w:snapToGrid w:val="0"/>
              <w:spacing w:line="400" w:lineRule="exact"/>
              <w:ind w:firstLine="210" w:firstLineChars="100"/>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1）IE 浏览器输入网址：</w:t>
            </w:r>
          </w:p>
          <w:p w14:paraId="58D7741B">
            <w:pPr>
              <w:widowControl/>
              <w:snapToGrid w:val="0"/>
              <w:spacing w:line="400" w:lineRule="exact"/>
              <w:ind w:firstLine="210" w:firstLineChars="100"/>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http://113.200.250.17:81/BidOpening/bidopeninghallaction/hall/login</w:t>
            </w:r>
          </w:p>
          <w:p w14:paraId="0C9B27D1">
            <w:pPr>
              <w:widowControl/>
              <w:snapToGrid w:val="0"/>
              <w:spacing w:line="400" w:lineRule="exact"/>
              <w:ind w:firstLine="210" w:firstLineChars="100"/>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2）在【全国公共资源交易平台（陕西省·宝鸡市）】网站首页点击不见面开标模块进入；</w:t>
            </w:r>
          </w:p>
          <w:p w14:paraId="2A0A3704">
            <w:pPr>
              <w:widowControl/>
              <w:snapToGrid w:val="0"/>
              <w:spacing w:line="400" w:lineRule="exact"/>
              <w:ind w:firstLine="210" w:firstLineChars="100"/>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3）在【全国公共资源交易平台（陕西省）】网站首页点击不见面开标模块选择宝鸡市进入。</w:t>
            </w:r>
          </w:p>
          <w:p w14:paraId="21AE63B5">
            <w:pPr>
              <w:widowControl/>
              <w:snapToGrid w:val="0"/>
              <w:spacing w:line="400" w:lineRule="exact"/>
              <w:ind w:firstLine="210" w:firstLineChars="100"/>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注：登录不见面开标系统请选择 IE11 浏览器</w:t>
            </w:r>
          </w:p>
          <w:p w14:paraId="0F12D8E7">
            <w:pPr>
              <w:widowControl/>
              <w:snapToGrid w:val="0"/>
              <w:spacing w:line="400" w:lineRule="exact"/>
              <w:ind w:firstLine="210" w:firstLineChars="100"/>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2、投标供应商应按要求及时签到（签到时间为投标截止时间前 1 小时内，如果未签到将视为放弃投标资格），评审过程中，评标委员会可能会就某些问题要求投标供应商进行在线澄清，请投标供应商保持在线直到评审结束；</w:t>
            </w:r>
          </w:p>
          <w:p w14:paraId="3E5CD2D4">
            <w:pPr>
              <w:widowControl/>
              <w:snapToGrid w:val="0"/>
              <w:spacing w:line="400" w:lineRule="exact"/>
              <w:ind w:firstLine="210" w:firstLineChars="100"/>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3、开标过程中，投标供应商在收到工作人员“开始解密”指令后，请及时使用CA 对电子投标文件进行解密。解密时所用 CA 应与加密投标文件时所用 CA相同；在解密时间内投标供应商全部解密完成后，可进入开标下一阶段。</w:t>
            </w:r>
          </w:p>
          <w:p w14:paraId="57FB0EDC">
            <w:pPr>
              <w:widowControl/>
              <w:snapToGrid w:val="0"/>
              <w:spacing w:line="400" w:lineRule="exact"/>
              <w:ind w:firstLine="210" w:firstLineChars="100"/>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5、相关技术问题，请咨询软件开发商：</w:t>
            </w:r>
          </w:p>
          <w:p w14:paraId="0E7BEE77">
            <w:pPr>
              <w:widowControl/>
              <w:snapToGrid w:val="0"/>
              <w:spacing w:line="400" w:lineRule="exact"/>
              <w:ind w:firstLine="210" w:firstLineChars="100"/>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（1）技术支持热线：400-998-0000/400-928-0095</w:t>
            </w:r>
          </w:p>
          <w:p w14:paraId="1F31EB72">
            <w:pPr>
              <w:widowControl/>
              <w:snapToGrid w:val="0"/>
              <w:spacing w:line="400" w:lineRule="exact"/>
              <w:ind w:firstLine="210" w:firstLineChars="100"/>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6、宝鸡市不见面开标系统操作手册下载方式：登录【全国公共资源交易平台（陕西省·宝鸡市）】网站首页选择【服务指南】-【下载专区】-点击【宝鸡市不见面开标系统操作手册（供应商）】进行下载。</w:t>
            </w:r>
          </w:p>
        </w:tc>
      </w:tr>
      <w:tr w14:paraId="1A517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4" w:hRule="atLeast"/>
          <w:jc w:val="center"/>
        </w:trPr>
        <w:tc>
          <w:tcPr>
            <w:tcW w:w="795" w:type="dxa"/>
            <w:noWrap w:val="0"/>
            <w:vAlign w:val="center"/>
          </w:tcPr>
          <w:p w14:paraId="4D62445E">
            <w:pPr>
              <w:pStyle w:val="18"/>
              <w:shd w:val="clear" w:color="auto" w:fill="auto"/>
              <w:ind w:firstLine="0" w:firstLineChars="0"/>
              <w:jc w:val="center"/>
              <w:rPr>
                <w:rFonts w:hint="default"/>
                <w:kern w:val="2"/>
                <w:sz w:val="21"/>
                <w:szCs w:val="21"/>
                <w:highlight w:val="none"/>
                <w:lang w:val="en-US" w:eastAsia="zh-CN"/>
              </w:rPr>
            </w:pPr>
            <w:r>
              <w:rPr>
                <w:rFonts w:hint="eastAsia"/>
                <w:kern w:val="2"/>
                <w:sz w:val="21"/>
                <w:szCs w:val="21"/>
                <w:highlight w:val="none"/>
                <w:lang w:val="en-US" w:eastAsia="zh-CN"/>
              </w:rPr>
              <w:t>26</w:t>
            </w:r>
          </w:p>
        </w:tc>
        <w:tc>
          <w:tcPr>
            <w:tcW w:w="2429" w:type="dxa"/>
            <w:noWrap w:val="0"/>
            <w:vAlign w:val="center"/>
          </w:tcPr>
          <w:p w14:paraId="222BB463">
            <w:pPr>
              <w:pStyle w:val="18"/>
              <w:keepNext w:val="0"/>
              <w:keepLines w:val="0"/>
              <w:pageBreakBefore w:val="0"/>
              <w:widowControl w:val="0"/>
              <w:kinsoku/>
              <w:wordWrap/>
              <w:overflowPunct/>
              <w:topLinePunct w:val="0"/>
              <w:bidi w:val="0"/>
              <w:snapToGrid/>
              <w:spacing w:line="400" w:lineRule="exact"/>
              <w:ind w:left="0" w:leftChars="0" w:firstLine="0" w:firstLineChars="0"/>
              <w:jc w:val="center"/>
              <w:textAlignment w:val="auto"/>
              <w:rPr>
                <w:rFonts w:hint="default" w:ascii="宋体" w:hAnsi="宋体" w:eastAsia="宋体" w:cs="宋体"/>
                <w:kern w:val="2"/>
                <w:sz w:val="21"/>
                <w:szCs w:val="21"/>
                <w:lang w:val="en-US" w:eastAsia="zh-CN"/>
              </w:rPr>
            </w:pPr>
            <w:r>
              <w:rPr>
                <w:rFonts w:hint="eastAsia" w:ascii="宋体" w:hAnsi="宋体" w:eastAsia="宋体" w:cs="宋体"/>
                <w:kern w:val="2"/>
                <w:sz w:val="21"/>
                <w:szCs w:val="21"/>
                <w:lang w:val="en-US" w:eastAsia="zh-CN"/>
              </w:rPr>
              <w:t>所属行业</w:t>
            </w:r>
          </w:p>
        </w:tc>
        <w:tc>
          <w:tcPr>
            <w:tcW w:w="6070" w:type="dxa"/>
            <w:noWrap w:val="0"/>
            <w:vAlign w:val="center"/>
          </w:tcPr>
          <w:p w14:paraId="6F7679C8">
            <w:pPr>
              <w:widowControl/>
              <w:snapToGrid w:val="0"/>
              <w:spacing w:line="400" w:lineRule="exact"/>
              <w:ind w:firstLine="210" w:firstLineChars="100"/>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本项目所属行业为：批发业</w:t>
            </w:r>
          </w:p>
          <w:p w14:paraId="6A5B8494">
            <w:pPr>
              <w:widowControl/>
              <w:snapToGrid w:val="0"/>
              <w:spacing w:line="400" w:lineRule="exact"/>
              <w:ind w:firstLine="210" w:firstLineChars="100"/>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中小企业声明函只对大米、面粉、菜籽油（非转基因）三个食材的制造商进行声明，其它食材无需声明。</w:t>
            </w:r>
          </w:p>
        </w:tc>
      </w:tr>
      <w:tr w14:paraId="3789C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4" w:hRule="atLeast"/>
          <w:jc w:val="center"/>
        </w:trPr>
        <w:tc>
          <w:tcPr>
            <w:tcW w:w="795" w:type="dxa"/>
            <w:noWrap w:val="0"/>
            <w:vAlign w:val="center"/>
          </w:tcPr>
          <w:p w14:paraId="341F6E7B">
            <w:pPr>
              <w:pStyle w:val="18"/>
              <w:shd w:val="clear" w:color="auto" w:fill="auto"/>
              <w:ind w:firstLine="0" w:firstLineChars="0"/>
              <w:jc w:val="center"/>
              <w:rPr>
                <w:rFonts w:hint="default"/>
                <w:kern w:val="2"/>
                <w:sz w:val="21"/>
                <w:szCs w:val="21"/>
                <w:highlight w:val="none"/>
                <w:lang w:val="en-US" w:eastAsia="zh-CN"/>
              </w:rPr>
            </w:pPr>
            <w:r>
              <w:rPr>
                <w:rFonts w:hint="eastAsia"/>
                <w:kern w:val="2"/>
                <w:sz w:val="21"/>
                <w:szCs w:val="21"/>
                <w:highlight w:val="none"/>
                <w:lang w:val="en-US" w:eastAsia="zh-CN"/>
              </w:rPr>
              <w:t>27</w:t>
            </w:r>
          </w:p>
        </w:tc>
        <w:tc>
          <w:tcPr>
            <w:tcW w:w="2429" w:type="dxa"/>
            <w:noWrap w:val="0"/>
            <w:vAlign w:val="center"/>
          </w:tcPr>
          <w:p w14:paraId="28330A9E">
            <w:pPr>
              <w:pStyle w:val="18"/>
              <w:keepNext w:val="0"/>
              <w:keepLines w:val="0"/>
              <w:pageBreakBefore w:val="0"/>
              <w:widowControl w:val="0"/>
              <w:kinsoku/>
              <w:wordWrap/>
              <w:overflowPunct/>
              <w:topLinePunct w:val="0"/>
              <w:bidi w:val="0"/>
              <w:snapToGrid/>
              <w:spacing w:line="400" w:lineRule="exact"/>
              <w:ind w:left="0" w:leftChars="0" w:firstLine="0" w:firstLineChars="0"/>
              <w:jc w:val="center"/>
              <w:textAlignment w:val="auto"/>
              <w:rPr>
                <w:rFonts w:hint="eastAsia" w:ascii="宋体" w:hAnsi="宋体" w:eastAsia="宋体" w:cs="宋体"/>
                <w:kern w:val="2"/>
                <w:sz w:val="21"/>
                <w:szCs w:val="21"/>
                <w:highlight w:val="none"/>
                <w:lang w:eastAsia="zh-CN"/>
              </w:rPr>
            </w:pPr>
            <w:r>
              <w:rPr>
                <w:rFonts w:hint="eastAsia" w:ascii="宋体" w:hAnsi="宋体" w:eastAsia="宋体" w:cs="宋体"/>
                <w:kern w:val="2"/>
                <w:sz w:val="21"/>
                <w:szCs w:val="21"/>
                <w:highlight w:val="none"/>
                <w:lang w:eastAsia="zh-CN"/>
              </w:rPr>
              <w:t>核心产品</w:t>
            </w:r>
          </w:p>
        </w:tc>
        <w:tc>
          <w:tcPr>
            <w:tcW w:w="6070" w:type="dxa"/>
            <w:noWrap w:val="0"/>
            <w:vAlign w:val="center"/>
          </w:tcPr>
          <w:p w14:paraId="3E70BCA9">
            <w:pPr>
              <w:widowControl/>
              <w:snapToGrid w:val="0"/>
              <w:spacing w:line="400" w:lineRule="exact"/>
              <w:ind w:firstLine="210" w:firstLineChars="100"/>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面粉</w:t>
            </w:r>
          </w:p>
        </w:tc>
      </w:tr>
      <w:tr w14:paraId="7A0F1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4" w:hRule="atLeast"/>
          <w:jc w:val="center"/>
        </w:trPr>
        <w:tc>
          <w:tcPr>
            <w:tcW w:w="795" w:type="dxa"/>
            <w:noWrap w:val="0"/>
            <w:vAlign w:val="center"/>
          </w:tcPr>
          <w:p w14:paraId="1C0315F6">
            <w:pPr>
              <w:pStyle w:val="18"/>
              <w:shd w:val="clear" w:color="auto" w:fill="auto"/>
              <w:ind w:firstLine="0" w:firstLineChars="0"/>
              <w:jc w:val="center"/>
              <w:rPr>
                <w:rFonts w:hint="default"/>
                <w:kern w:val="2"/>
                <w:sz w:val="21"/>
                <w:szCs w:val="21"/>
                <w:highlight w:val="none"/>
                <w:lang w:val="en-US" w:eastAsia="zh-CN"/>
              </w:rPr>
            </w:pPr>
            <w:r>
              <w:rPr>
                <w:rFonts w:hint="eastAsia"/>
                <w:kern w:val="2"/>
                <w:sz w:val="21"/>
                <w:szCs w:val="21"/>
                <w:highlight w:val="none"/>
                <w:lang w:val="en-US" w:eastAsia="zh-CN"/>
              </w:rPr>
              <w:t>28</w:t>
            </w:r>
          </w:p>
        </w:tc>
        <w:tc>
          <w:tcPr>
            <w:tcW w:w="2429" w:type="dxa"/>
            <w:noWrap w:val="0"/>
            <w:vAlign w:val="center"/>
          </w:tcPr>
          <w:p w14:paraId="7C3CFD97">
            <w:pPr>
              <w:pStyle w:val="18"/>
              <w:keepNext w:val="0"/>
              <w:keepLines w:val="0"/>
              <w:pageBreakBefore w:val="0"/>
              <w:widowControl w:val="0"/>
              <w:kinsoku/>
              <w:wordWrap/>
              <w:overflowPunct/>
              <w:topLinePunct w:val="0"/>
              <w:bidi w:val="0"/>
              <w:snapToGrid/>
              <w:spacing w:line="400" w:lineRule="exact"/>
              <w:ind w:left="0" w:leftChars="0" w:firstLine="0" w:firstLineChars="0"/>
              <w:jc w:val="center"/>
              <w:textAlignment w:val="auto"/>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同品牌多家供应商处理原则</w:t>
            </w:r>
          </w:p>
        </w:tc>
        <w:tc>
          <w:tcPr>
            <w:tcW w:w="6070" w:type="dxa"/>
            <w:noWrap w:val="0"/>
            <w:vAlign w:val="center"/>
          </w:tcPr>
          <w:p w14:paraId="5F06480A">
            <w:pPr>
              <w:widowControl/>
              <w:snapToGrid w:val="0"/>
              <w:spacing w:line="400" w:lineRule="exact"/>
              <w:ind w:firstLine="210" w:firstLineChars="100"/>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本项目核心产品全部提供相同品牌产品且通过资格审查、符合性审查的不同供应商，按一家供应商计算，评审后得分最高的同品牌供应商获得中标候选供应商推荐资格；评审得分相同的，报价最低的供应商获得中标候选供应商推荐资格。</w:t>
            </w:r>
          </w:p>
        </w:tc>
      </w:tr>
      <w:tr w14:paraId="20F6B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4" w:hRule="atLeast"/>
          <w:jc w:val="center"/>
        </w:trPr>
        <w:tc>
          <w:tcPr>
            <w:tcW w:w="795" w:type="dxa"/>
            <w:noWrap w:val="0"/>
            <w:vAlign w:val="center"/>
          </w:tcPr>
          <w:p w14:paraId="7DFCD96C">
            <w:pPr>
              <w:pStyle w:val="18"/>
              <w:shd w:val="clear" w:color="auto" w:fill="auto"/>
              <w:ind w:firstLine="0" w:firstLineChars="0"/>
              <w:jc w:val="center"/>
              <w:rPr>
                <w:rFonts w:hint="default"/>
                <w:kern w:val="2"/>
                <w:sz w:val="21"/>
                <w:szCs w:val="21"/>
                <w:highlight w:val="none"/>
                <w:lang w:val="en-US" w:eastAsia="zh-CN"/>
              </w:rPr>
            </w:pPr>
            <w:r>
              <w:rPr>
                <w:rFonts w:hint="eastAsia"/>
                <w:kern w:val="2"/>
                <w:sz w:val="21"/>
                <w:szCs w:val="21"/>
                <w:highlight w:val="none"/>
                <w:lang w:val="en-US" w:eastAsia="zh-CN"/>
              </w:rPr>
              <w:t>29</w:t>
            </w:r>
          </w:p>
        </w:tc>
        <w:tc>
          <w:tcPr>
            <w:tcW w:w="2429" w:type="dxa"/>
            <w:noWrap w:val="0"/>
            <w:vAlign w:val="center"/>
          </w:tcPr>
          <w:p w14:paraId="345AF54F">
            <w:pPr>
              <w:pStyle w:val="18"/>
              <w:keepNext w:val="0"/>
              <w:keepLines w:val="0"/>
              <w:pageBreakBefore w:val="0"/>
              <w:widowControl w:val="0"/>
              <w:kinsoku/>
              <w:wordWrap/>
              <w:overflowPunct/>
              <w:topLinePunct w:val="0"/>
              <w:bidi w:val="0"/>
              <w:snapToGrid/>
              <w:spacing w:line="400" w:lineRule="exact"/>
              <w:ind w:left="0" w:leftChars="0" w:firstLine="0" w:firstLineChars="0"/>
              <w:jc w:val="center"/>
              <w:textAlignment w:val="auto"/>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其他说明</w:t>
            </w:r>
          </w:p>
        </w:tc>
        <w:tc>
          <w:tcPr>
            <w:tcW w:w="6070" w:type="dxa"/>
            <w:noWrap w:val="0"/>
            <w:vAlign w:val="center"/>
          </w:tcPr>
          <w:p w14:paraId="0B2F3710">
            <w:pPr>
              <w:widowControl/>
              <w:snapToGrid w:val="0"/>
              <w:spacing w:line="400" w:lineRule="exact"/>
              <w:ind w:firstLine="210" w:firstLineChars="100"/>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为保证服务及产品质量，投标供应商可以参与多个标段的投标，但最终只能 获得一个标段的中标资格。开标顺序按标段依次开启，若本标段已中标的单位，将不再参与后续标段的中标候选人排序。</w:t>
            </w:r>
          </w:p>
        </w:tc>
      </w:tr>
      <w:bookmarkEnd w:id="9"/>
      <w:bookmarkEnd w:id="10"/>
      <w:bookmarkEnd w:id="11"/>
      <w:bookmarkEnd w:id="12"/>
      <w:bookmarkEnd w:id="14"/>
      <w:bookmarkEnd w:id="15"/>
      <w:bookmarkEnd w:id="16"/>
      <w:bookmarkEnd w:id="17"/>
      <w:bookmarkEnd w:id="18"/>
      <w:bookmarkEnd w:id="19"/>
      <w:bookmarkEnd w:id="20"/>
      <w:bookmarkEnd w:id="21"/>
    </w:tbl>
    <w:p w14:paraId="370BEB4E">
      <w:pPr>
        <w:shd w:val="clear" w:color="auto" w:fill="auto"/>
        <w:tabs>
          <w:tab w:val="left" w:pos="7665"/>
        </w:tabs>
        <w:ind w:firstLine="0" w:firstLineChars="0"/>
        <w:jc w:val="center"/>
        <w:rPr>
          <w:rFonts w:hint="eastAsia" w:ascii="宋体" w:hAnsi="宋体" w:cs="宋体"/>
          <w:b/>
          <w:bCs/>
          <w:color w:val="000000"/>
          <w:sz w:val="28"/>
          <w:szCs w:val="28"/>
          <w:highlight w:val="none"/>
        </w:rPr>
      </w:pPr>
      <w:r>
        <w:rPr>
          <w:rFonts w:hint="eastAsia" w:ascii="宋体" w:hAnsi="宋体" w:cs="宋体"/>
          <w:b/>
          <w:bCs/>
          <w:sz w:val="28"/>
          <w:szCs w:val="28"/>
          <w:highlight w:val="none"/>
        </w:rPr>
        <w:br w:type="page"/>
      </w:r>
      <w:r>
        <w:rPr>
          <w:rFonts w:hint="eastAsia" w:ascii="宋体" w:hAnsi="宋体" w:cs="宋体"/>
          <w:b/>
          <w:bCs/>
          <w:sz w:val="28"/>
          <w:szCs w:val="28"/>
          <w:highlight w:val="none"/>
        </w:rPr>
        <w:t>一、总  则</w:t>
      </w:r>
      <w:bookmarkEnd w:id="22"/>
      <w:bookmarkEnd w:id="23"/>
      <w:bookmarkEnd w:id="24"/>
      <w:bookmarkEnd w:id="25"/>
      <w:bookmarkEnd w:id="26"/>
    </w:p>
    <w:p w14:paraId="07D25052">
      <w:pPr>
        <w:keepNext w:val="0"/>
        <w:keepLines w:val="0"/>
        <w:pageBreakBefore w:val="0"/>
        <w:widowControl w:val="0"/>
        <w:shd w:val="clear" w:color="auto" w:fill="auto"/>
        <w:tabs>
          <w:tab w:val="left" w:pos="7665"/>
        </w:tabs>
        <w:kinsoku/>
        <w:wordWrap/>
        <w:overflowPunct/>
        <w:topLinePunct w:val="0"/>
        <w:autoSpaceDE/>
        <w:autoSpaceDN/>
        <w:bidi w:val="0"/>
        <w:adjustRightInd/>
        <w:snapToGrid/>
        <w:ind w:firstLine="482" w:firstLineChars="200"/>
        <w:textAlignment w:val="auto"/>
        <w:rPr>
          <w:rFonts w:hint="eastAsia" w:ascii="宋体" w:hAnsi="宋体" w:cs="宋体"/>
          <w:b/>
          <w:color w:val="000000"/>
          <w:sz w:val="24"/>
          <w:highlight w:val="none"/>
        </w:rPr>
      </w:pPr>
      <w:bookmarkStart w:id="27" w:name="_Toc183582205"/>
      <w:bookmarkStart w:id="28" w:name="_Toc183682342"/>
      <w:bookmarkStart w:id="29" w:name="_Toc217446034"/>
      <w:r>
        <w:rPr>
          <w:rFonts w:hint="eastAsia" w:ascii="宋体" w:hAnsi="宋体" w:cs="宋体"/>
          <w:b/>
          <w:color w:val="000000"/>
          <w:sz w:val="24"/>
          <w:highlight w:val="none"/>
        </w:rPr>
        <w:t>1.</w:t>
      </w:r>
      <w:bookmarkEnd w:id="27"/>
      <w:bookmarkEnd w:id="28"/>
      <w:r>
        <w:rPr>
          <w:rFonts w:hint="eastAsia" w:ascii="宋体" w:hAnsi="宋体" w:cs="宋体"/>
          <w:b/>
          <w:color w:val="000000"/>
          <w:sz w:val="24"/>
          <w:highlight w:val="none"/>
        </w:rPr>
        <w:t xml:space="preserve"> 适用范围</w:t>
      </w:r>
      <w:bookmarkEnd w:id="29"/>
    </w:p>
    <w:p w14:paraId="090320F4">
      <w:pPr>
        <w:keepNext w:val="0"/>
        <w:keepLines w:val="0"/>
        <w:pageBreakBefore w:val="0"/>
        <w:widowControl w:val="0"/>
        <w:shd w:val="clear" w:color="auto" w:fill="auto"/>
        <w:tabs>
          <w:tab w:val="left" w:pos="7665"/>
        </w:tabs>
        <w:kinsoku/>
        <w:wordWrap/>
        <w:overflowPunct/>
        <w:topLinePunct w:val="0"/>
        <w:autoSpaceDE/>
        <w:autoSpaceDN/>
        <w:bidi w:val="0"/>
        <w:adjustRightInd/>
        <w:snapToGrid/>
        <w:ind w:firstLine="480" w:firstLineChars="200"/>
        <w:textAlignment w:val="auto"/>
        <w:rPr>
          <w:rFonts w:hint="eastAsia" w:ascii="宋体" w:hAnsi="宋体" w:cs="宋体"/>
          <w:sz w:val="24"/>
          <w:highlight w:val="none"/>
        </w:rPr>
      </w:pPr>
      <w:r>
        <w:rPr>
          <w:rFonts w:hint="eastAsia" w:ascii="宋体" w:hAnsi="宋体" w:cs="宋体"/>
          <w:color w:val="000000"/>
          <w:sz w:val="24"/>
          <w:highlight w:val="none"/>
        </w:rPr>
        <w:t>1.1 本招标文件仅适用</w:t>
      </w:r>
      <w:r>
        <w:rPr>
          <w:rFonts w:hint="eastAsia" w:ascii="宋体" w:hAnsi="宋体" w:cs="宋体"/>
          <w:sz w:val="24"/>
          <w:highlight w:val="none"/>
        </w:rPr>
        <w:t>于本次公开招标所叙述的项目采购。</w:t>
      </w:r>
    </w:p>
    <w:p w14:paraId="379AD2C7">
      <w:pPr>
        <w:keepNext w:val="0"/>
        <w:keepLines w:val="0"/>
        <w:pageBreakBefore w:val="0"/>
        <w:widowControl w:val="0"/>
        <w:shd w:val="clear" w:color="auto" w:fill="auto"/>
        <w:tabs>
          <w:tab w:val="left" w:pos="7665"/>
        </w:tabs>
        <w:kinsoku/>
        <w:wordWrap/>
        <w:overflowPunct/>
        <w:topLinePunct w:val="0"/>
        <w:autoSpaceDE/>
        <w:autoSpaceDN/>
        <w:bidi w:val="0"/>
        <w:adjustRightInd/>
        <w:snapToGrid/>
        <w:ind w:firstLine="482" w:firstLineChars="200"/>
        <w:textAlignment w:val="auto"/>
        <w:rPr>
          <w:rFonts w:hint="eastAsia" w:ascii="宋体" w:hAnsi="宋体" w:cs="宋体"/>
          <w:b/>
          <w:color w:val="000000"/>
          <w:sz w:val="24"/>
          <w:highlight w:val="none"/>
        </w:rPr>
      </w:pPr>
      <w:bookmarkStart w:id="30" w:name="_Toc217446035"/>
      <w:bookmarkStart w:id="31" w:name="_Toc183582206"/>
      <w:bookmarkStart w:id="32" w:name="_Toc183682343"/>
      <w:r>
        <w:rPr>
          <w:rFonts w:hint="eastAsia" w:ascii="宋体" w:hAnsi="宋体" w:cs="宋体"/>
          <w:b/>
          <w:color w:val="000000"/>
          <w:sz w:val="24"/>
          <w:highlight w:val="none"/>
        </w:rPr>
        <w:t xml:space="preserve">2. </w:t>
      </w:r>
      <w:bookmarkEnd w:id="30"/>
      <w:bookmarkEnd w:id="31"/>
      <w:bookmarkEnd w:id="32"/>
      <w:r>
        <w:rPr>
          <w:rFonts w:hint="eastAsia" w:ascii="宋体" w:hAnsi="宋体" w:cs="宋体"/>
          <w:b/>
          <w:color w:val="000000"/>
          <w:sz w:val="24"/>
          <w:highlight w:val="none"/>
        </w:rPr>
        <w:t>名词解释</w:t>
      </w:r>
    </w:p>
    <w:p w14:paraId="68F47B16">
      <w:pPr>
        <w:keepNext w:val="0"/>
        <w:keepLines w:val="0"/>
        <w:pageBreakBefore w:val="0"/>
        <w:widowControl w:val="0"/>
        <w:shd w:val="clear" w:color="auto" w:fill="auto"/>
        <w:tabs>
          <w:tab w:val="left" w:pos="7665"/>
        </w:tabs>
        <w:kinsoku/>
        <w:wordWrap/>
        <w:overflowPunct/>
        <w:topLinePunct w:val="0"/>
        <w:autoSpaceDE/>
        <w:autoSpaceDN/>
        <w:bidi w:val="0"/>
        <w:adjustRightInd/>
        <w:snapToGrid/>
        <w:ind w:firstLine="480" w:firstLineChars="200"/>
        <w:textAlignment w:val="auto"/>
        <w:rPr>
          <w:rFonts w:hint="eastAsia" w:ascii="宋体" w:hAnsi="宋体" w:eastAsia="宋体" w:cs="宋体"/>
          <w:color w:val="000000"/>
          <w:sz w:val="24"/>
          <w:highlight w:val="none"/>
          <w:lang w:eastAsia="zh-CN"/>
        </w:rPr>
      </w:pPr>
      <w:bookmarkStart w:id="33" w:name="_Toc217446036"/>
      <w:bookmarkStart w:id="34" w:name="_Toc183682344"/>
      <w:bookmarkStart w:id="35" w:name="_Toc183582207"/>
      <w:bookmarkStart w:id="36" w:name="_Toc217390843"/>
      <w:r>
        <w:rPr>
          <w:rFonts w:hint="eastAsia" w:ascii="宋体" w:hAnsi="宋体" w:cs="宋体"/>
          <w:color w:val="000000"/>
          <w:sz w:val="24"/>
          <w:highlight w:val="none"/>
        </w:rPr>
        <w:t>2.1采 购 人：</w:t>
      </w:r>
      <w:r>
        <w:rPr>
          <w:rFonts w:hint="eastAsia" w:ascii="宋体" w:hAnsi="宋体" w:cs="宋体"/>
          <w:color w:val="000000"/>
          <w:sz w:val="24"/>
          <w:highlight w:val="none"/>
          <w:lang w:eastAsia="zh-CN"/>
        </w:rPr>
        <w:t>扶风县教育体育局</w:t>
      </w:r>
    </w:p>
    <w:p w14:paraId="4CCF755B">
      <w:pPr>
        <w:keepNext w:val="0"/>
        <w:keepLines w:val="0"/>
        <w:pageBreakBefore w:val="0"/>
        <w:widowControl w:val="0"/>
        <w:shd w:val="clear" w:color="auto" w:fill="auto"/>
        <w:tabs>
          <w:tab w:val="left" w:pos="7665"/>
        </w:tabs>
        <w:kinsoku/>
        <w:wordWrap/>
        <w:overflowPunct/>
        <w:topLinePunct w:val="0"/>
        <w:autoSpaceDE/>
        <w:autoSpaceDN/>
        <w:bidi w:val="0"/>
        <w:adjustRightInd/>
        <w:snapToGrid/>
        <w:ind w:firstLine="480" w:firstLineChars="200"/>
        <w:textAlignment w:va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2.2监督机构：</w:t>
      </w:r>
      <w:r>
        <w:rPr>
          <w:rFonts w:hint="eastAsia" w:ascii="宋体" w:hAnsi="宋体" w:cs="宋体"/>
          <w:color w:val="000000"/>
          <w:sz w:val="24"/>
          <w:highlight w:val="none"/>
          <w:lang w:eastAsia="zh-CN"/>
        </w:rPr>
        <w:t>扶风县财政局</w:t>
      </w:r>
    </w:p>
    <w:p w14:paraId="2FAF174B">
      <w:pPr>
        <w:keepNext w:val="0"/>
        <w:keepLines w:val="0"/>
        <w:pageBreakBefore w:val="0"/>
        <w:widowControl w:val="0"/>
        <w:shd w:val="clear" w:color="auto" w:fill="auto"/>
        <w:tabs>
          <w:tab w:val="left" w:pos="7665"/>
        </w:tabs>
        <w:kinsoku/>
        <w:wordWrap/>
        <w:overflowPunct/>
        <w:topLinePunct w:val="0"/>
        <w:autoSpaceDE/>
        <w:autoSpaceDN/>
        <w:bidi w:val="0"/>
        <w:adjustRightInd/>
        <w:snapToGrid/>
        <w:ind w:firstLine="480" w:firstLineChars="200"/>
        <w:textAlignment w:val="auto"/>
        <w:rPr>
          <w:rFonts w:hint="eastAsia" w:ascii="宋体" w:hAnsi="宋体" w:eastAsia="宋体" w:cs="宋体"/>
          <w:sz w:val="24"/>
          <w:highlight w:val="none"/>
          <w:lang w:eastAsia="zh-CN"/>
        </w:rPr>
      </w:pPr>
      <w:r>
        <w:rPr>
          <w:rFonts w:hint="eastAsia" w:ascii="宋体" w:hAnsi="宋体" w:cs="宋体"/>
          <w:sz w:val="24"/>
          <w:highlight w:val="none"/>
        </w:rPr>
        <w:t>2.3采购代理机构：</w:t>
      </w:r>
      <w:r>
        <w:rPr>
          <w:rFonts w:hint="eastAsia" w:ascii="宋体" w:hAnsi="宋体" w:cs="宋体"/>
          <w:color w:val="000000"/>
          <w:sz w:val="24"/>
          <w:highlight w:val="none"/>
          <w:lang w:eastAsia="zh-CN"/>
        </w:rPr>
        <w:t>陕西天沃工程项目管理有限公司</w:t>
      </w:r>
    </w:p>
    <w:p w14:paraId="0FA481FB">
      <w:pPr>
        <w:keepNext w:val="0"/>
        <w:keepLines w:val="0"/>
        <w:pageBreakBefore w:val="0"/>
        <w:widowControl w:val="0"/>
        <w:shd w:val="clear" w:color="auto" w:fill="auto"/>
        <w:tabs>
          <w:tab w:val="left" w:pos="7665"/>
        </w:tabs>
        <w:kinsoku/>
        <w:wordWrap/>
        <w:overflowPunct/>
        <w:topLinePunct w:val="0"/>
        <w:autoSpaceDE/>
        <w:autoSpaceDN/>
        <w:bidi w:val="0"/>
        <w:adjustRightInd/>
        <w:snapToGrid/>
        <w:ind w:firstLine="480" w:firstLineChars="200"/>
        <w:textAlignment w:val="auto"/>
        <w:rPr>
          <w:rFonts w:hint="eastAsia" w:ascii="宋体" w:hAnsi="宋体" w:cs="宋体"/>
          <w:sz w:val="24"/>
          <w:highlight w:val="none"/>
        </w:rPr>
      </w:pPr>
      <w:r>
        <w:rPr>
          <w:rFonts w:hint="eastAsia" w:ascii="宋体" w:hAnsi="宋体" w:cs="宋体"/>
          <w:sz w:val="24"/>
          <w:highlight w:val="none"/>
        </w:rPr>
        <w:t>2.4投标供应商：响应和符合招标文件规定资格条件且参与投标竞争的法人、其他组织或自然人。</w:t>
      </w:r>
    </w:p>
    <w:p w14:paraId="28C8DC67">
      <w:pPr>
        <w:keepNext w:val="0"/>
        <w:keepLines w:val="0"/>
        <w:pageBreakBefore w:val="0"/>
        <w:widowControl w:val="0"/>
        <w:numPr>
          <w:ilvl w:val="0"/>
          <w:numId w:val="1"/>
        </w:numPr>
        <w:shd w:val="clear" w:color="auto" w:fill="auto"/>
        <w:tabs>
          <w:tab w:val="left" w:pos="7665"/>
        </w:tabs>
        <w:kinsoku/>
        <w:wordWrap/>
        <w:overflowPunct/>
        <w:topLinePunct w:val="0"/>
        <w:autoSpaceDE/>
        <w:autoSpaceDN/>
        <w:bidi w:val="0"/>
        <w:adjustRightInd/>
        <w:snapToGrid/>
        <w:ind w:firstLine="482" w:firstLineChars="200"/>
        <w:textAlignment w:val="auto"/>
        <w:rPr>
          <w:rFonts w:hint="eastAsia" w:ascii="宋体" w:hAnsi="宋体" w:cs="宋体"/>
          <w:b/>
          <w:color w:val="000000"/>
          <w:sz w:val="24"/>
          <w:highlight w:val="none"/>
        </w:rPr>
      </w:pPr>
      <w:r>
        <w:rPr>
          <w:rFonts w:hint="eastAsia" w:ascii="宋体" w:hAnsi="宋体" w:cs="宋体"/>
          <w:b/>
          <w:color w:val="000000"/>
          <w:sz w:val="24"/>
          <w:highlight w:val="none"/>
        </w:rPr>
        <w:t>合格的投标</w:t>
      </w:r>
      <w:bookmarkEnd w:id="33"/>
      <w:bookmarkEnd w:id="34"/>
      <w:bookmarkEnd w:id="35"/>
      <w:bookmarkEnd w:id="36"/>
      <w:r>
        <w:rPr>
          <w:rFonts w:hint="eastAsia" w:ascii="宋体" w:hAnsi="宋体" w:cs="宋体"/>
          <w:b/>
          <w:color w:val="000000"/>
          <w:sz w:val="24"/>
          <w:highlight w:val="none"/>
        </w:rPr>
        <w:t>供应商</w:t>
      </w:r>
    </w:p>
    <w:p w14:paraId="67A7BCAC">
      <w:pPr>
        <w:keepNext w:val="0"/>
        <w:keepLines w:val="0"/>
        <w:pageBreakBefore w:val="0"/>
        <w:widowControl w:val="0"/>
        <w:shd w:val="clear" w:color="auto" w:fill="auto"/>
        <w:tabs>
          <w:tab w:val="left" w:pos="7665"/>
        </w:tabs>
        <w:kinsoku/>
        <w:wordWrap/>
        <w:overflowPunct/>
        <w:topLinePunct w:val="0"/>
        <w:autoSpaceDE/>
        <w:autoSpaceDN/>
        <w:bidi w:val="0"/>
        <w:adjustRightInd/>
        <w:snapToGrid/>
        <w:ind w:firstLine="480" w:firstLineChars="200"/>
        <w:textAlignment w:val="auto"/>
        <w:rPr>
          <w:rFonts w:hint="eastAsia" w:ascii="宋体" w:hAnsi="宋体" w:cs="宋体"/>
          <w:color w:val="000000"/>
          <w:sz w:val="24"/>
          <w:highlight w:val="none"/>
        </w:rPr>
      </w:pPr>
      <w:r>
        <w:rPr>
          <w:rFonts w:hint="eastAsia" w:ascii="宋体" w:hAnsi="宋体" w:cs="宋体"/>
          <w:color w:val="000000"/>
          <w:sz w:val="24"/>
          <w:highlight w:val="none"/>
        </w:rPr>
        <w:t>3.1合格的投标供应商应具备以下条件：</w:t>
      </w:r>
    </w:p>
    <w:p w14:paraId="730D4B1F">
      <w:pPr>
        <w:keepNext w:val="0"/>
        <w:keepLines w:val="0"/>
        <w:pageBreakBefore w:val="0"/>
        <w:widowControl w:val="0"/>
        <w:shd w:val="clear" w:color="auto" w:fill="auto"/>
        <w:tabs>
          <w:tab w:val="left" w:pos="7665"/>
        </w:tabs>
        <w:kinsoku/>
        <w:wordWrap/>
        <w:overflowPunct/>
        <w:topLinePunct w:val="0"/>
        <w:autoSpaceDE/>
        <w:autoSpaceDN/>
        <w:bidi w:val="0"/>
        <w:adjustRightInd/>
        <w:snapToGrid/>
        <w:ind w:firstLine="480" w:firstLineChars="200"/>
        <w:textAlignment w:val="auto"/>
        <w:rPr>
          <w:rFonts w:hint="eastAsia" w:ascii="宋体" w:hAnsi="宋体" w:cs="宋体"/>
          <w:color w:val="000000"/>
          <w:spacing w:val="-4"/>
          <w:sz w:val="24"/>
          <w:highlight w:val="none"/>
        </w:rPr>
      </w:pPr>
      <w:r>
        <w:rPr>
          <w:rFonts w:hint="eastAsia" w:ascii="宋体" w:hAnsi="宋体" w:cs="宋体"/>
          <w:color w:val="000000"/>
          <w:sz w:val="24"/>
          <w:highlight w:val="none"/>
        </w:rPr>
        <w:t>（1）具备且满足“招标公告”的要求</w:t>
      </w:r>
      <w:r>
        <w:rPr>
          <w:rFonts w:hint="eastAsia" w:ascii="宋体" w:hAnsi="宋体" w:cs="宋体"/>
          <w:color w:val="000000"/>
          <w:spacing w:val="-4"/>
          <w:sz w:val="24"/>
          <w:highlight w:val="none"/>
        </w:rPr>
        <w:t>；</w:t>
      </w:r>
    </w:p>
    <w:p w14:paraId="108CDE03">
      <w:pPr>
        <w:keepNext w:val="0"/>
        <w:keepLines w:val="0"/>
        <w:pageBreakBefore w:val="0"/>
        <w:widowControl w:val="0"/>
        <w:shd w:val="clear" w:color="auto" w:fill="auto"/>
        <w:tabs>
          <w:tab w:val="left" w:pos="7665"/>
        </w:tabs>
        <w:kinsoku/>
        <w:wordWrap/>
        <w:overflowPunct/>
        <w:topLinePunct w:val="0"/>
        <w:autoSpaceDE/>
        <w:autoSpaceDN/>
        <w:bidi w:val="0"/>
        <w:adjustRightInd/>
        <w:snapToGrid/>
        <w:ind w:firstLine="480" w:firstLineChars="200"/>
        <w:textAlignment w:val="auto"/>
        <w:rPr>
          <w:rFonts w:hint="eastAsia" w:ascii="宋体" w:hAnsi="宋体" w:cs="宋体"/>
          <w:color w:val="000000"/>
          <w:sz w:val="24"/>
          <w:highlight w:val="none"/>
        </w:rPr>
      </w:pPr>
      <w:r>
        <w:rPr>
          <w:rFonts w:hint="eastAsia" w:ascii="宋体" w:hAnsi="宋体" w:cs="宋体"/>
          <w:color w:val="000000"/>
          <w:sz w:val="24"/>
          <w:highlight w:val="none"/>
        </w:rPr>
        <w:t>（2）向采购代理机构购买了招标文件并登记备案；</w:t>
      </w:r>
    </w:p>
    <w:p w14:paraId="21CBBA4F">
      <w:pPr>
        <w:keepNext w:val="0"/>
        <w:keepLines w:val="0"/>
        <w:pageBreakBefore w:val="0"/>
        <w:widowControl w:val="0"/>
        <w:shd w:val="clear" w:color="auto" w:fill="auto"/>
        <w:tabs>
          <w:tab w:val="left" w:pos="7665"/>
        </w:tabs>
        <w:kinsoku/>
        <w:wordWrap/>
        <w:overflowPunct/>
        <w:topLinePunct w:val="0"/>
        <w:autoSpaceDE/>
        <w:autoSpaceDN/>
        <w:bidi w:val="0"/>
        <w:adjustRightInd/>
        <w:snapToGrid/>
        <w:ind w:firstLine="480" w:firstLineChars="200"/>
        <w:textAlignment w:val="auto"/>
        <w:rPr>
          <w:rFonts w:hint="eastAsia" w:ascii="宋体" w:hAnsi="宋体" w:cs="宋体"/>
          <w:color w:val="000000"/>
          <w:sz w:val="24"/>
          <w:highlight w:val="none"/>
        </w:rPr>
      </w:pPr>
      <w:r>
        <w:rPr>
          <w:rFonts w:hint="eastAsia" w:ascii="宋体" w:hAnsi="宋体" w:cs="宋体"/>
          <w:color w:val="000000"/>
          <w:sz w:val="24"/>
          <w:highlight w:val="none"/>
        </w:rPr>
        <w:t>（3）向采购代理机构交纳了投标保证金；</w:t>
      </w:r>
    </w:p>
    <w:p w14:paraId="62DEACDB">
      <w:pPr>
        <w:keepNext w:val="0"/>
        <w:keepLines w:val="0"/>
        <w:pageBreakBefore w:val="0"/>
        <w:widowControl w:val="0"/>
        <w:shd w:val="clear" w:color="auto" w:fill="auto"/>
        <w:tabs>
          <w:tab w:val="left" w:pos="7665"/>
        </w:tabs>
        <w:kinsoku/>
        <w:wordWrap/>
        <w:overflowPunct/>
        <w:topLinePunct w:val="0"/>
        <w:autoSpaceDE/>
        <w:autoSpaceDN/>
        <w:bidi w:val="0"/>
        <w:adjustRightInd/>
        <w:snapToGrid/>
        <w:ind w:firstLine="480" w:firstLineChars="200"/>
        <w:textAlignment w:val="auto"/>
        <w:rPr>
          <w:rFonts w:hint="eastAsia" w:ascii="宋体" w:hAnsi="宋体" w:cs="宋体"/>
          <w:color w:val="000000"/>
          <w:sz w:val="24"/>
          <w:highlight w:val="none"/>
        </w:rPr>
      </w:pPr>
      <w:r>
        <w:rPr>
          <w:rFonts w:hint="eastAsia" w:ascii="宋体" w:hAnsi="宋体" w:cs="宋体"/>
          <w:color w:val="000000"/>
          <w:sz w:val="24"/>
          <w:highlight w:val="none"/>
        </w:rPr>
        <w:t>（4）一个投标供应商只能提交一个投标文件，法定代表人为同一人的两个及两个以上法人，不得同时参加本项目投标；</w:t>
      </w:r>
    </w:p>
    <w:p w14:paraId="4BD54858">
      <w:pPr>
        <w:keepNext w:val="0"/>
        <w:keepLines w:val="0"/>
        <w:pageBreakBefore w:val="0"/>
        <w:widowControl w:val="0"/>
        <w:shd w:val="clear" w:color="auto" w:fill="auto"/>
        <w:tabs>
          <w:tab w:val="left" w:pos="7665"/>
        </w:tabs>
        <w:kinsoku/>
        <w:wordWrap/>
        <w:overflowPunct/>
        <w:topLinePunct w:val="0"/>
        <w:autoSpaceDE/>
        <w:autoSpaceDN/>
        <w:bidi w:val="0"/>
        <w:adjustRightInd/>
        <w:snapToGrid/>
        <w:ind w:firstLine="480" w:firstLineChars="200"/>
        <w:textAlignment w:val="auto"/>
        <w:rPr>
          <w:rFonts w:hint="eastAsia" w:ascii="宋体" w:hAnsi="宋体" w:cs="宋体"/>
          <w:color w:val="000000"/>
          <w:sz w:val="24"/>
          <w:highlight w:val="none"/>
        </w:rPr>
      </w:pPr>
      <w:r>
        <w:rPr>
          <w:rFonts w:hint="eastAsia" w:ascii="宋体" w:hAnsi="宋体" w:cs="宋体"/>
          <w:color w:val="000000"/>
          <w:sz w:val="24"/>
          <w:highlight w:val="none"/>
        </w:rPr>
        <w:t>（5）单位负责人为同一人或者存在直接控股、管理关系的不同供应商，不得参加同一合同项下的政府采购活动；</w:t>
      </w:r>
    </w:p>
    <w:p w14:paraId="08951C42">
      <w:pPr>
        <w:keepNext w:val="0"/>
        <w:keepLines w:val="0"/>
        <w:pageBreakBefore w:val="0"/>
        <w:widowControl w:val="0"/>
        <w:shd w:val="clear" w:color="auto" w:fill="auto"/>
        <w:tabs>
          <w:tab w:val="left" w:pos="7665"/>
        </w:tabs>
        <w:kinsoku/>
        <w:wordWrap/>
        <w:overflowPunct/>
        <w:topLinePunct w:val="0"/>
        <w:autoSpaceDE/>
        <w:autoSpaceDN/>
        <w:bidi w:val="0"/>
        <w:adjustRightInd/>
        <w:snapToGrid/>
        <w:ind w:firstLine="480" w:firstLineChars="200"/>
        <w:textAlignment w:val="auto"/>
        <w:rPr>
          <w:rFonts w:hint="eastAsia" w:ascii="宋体" w:hAnsi="宋体" w:cs="宋体"/>
          <w:color w:val="000000"/>
          <w:sz w:val="24"/>
          <w:highlight w:val="none"/>
        </w:rPr>
      </w:pPr>
      <w:r>
        <w:rPr>
          <w:rFonts w:hint="eastAsia" w:ascii="宋体" w:hAnsi="宋体" w:cs="宋体"/>
          <w:color w:val="000000"/>
          <w:sz w:val="24"/>
          <w:highlight w:val="none"/>
        </w:rPr>
        <w:t>（6）遵守国家有关的法律、法规和条例；</w:t>
      </w:r>
    </w:p>
    <w:p w14:paraId="0657A2D8">
      <w:pPr>
        <w:keepNext w:val="0"/>
        <w:keepLines w:val="0"/>
        <w:pageBreakBefore w:val="0"/>
        <w:widowControl w:val="0"/>
        <w:shd w:val="clear" w:color="auto" w:fill="auto"/>
        <w:tabs>
          <w:tab w:val="left" w:pos="7665"/>
        </w:tabs>
        <w:kinsoku/>
        <w:wordWrap/>
        <w:overflowPunct/>
        <w:topLinePunct w:val="0"/>
        <w:autoSpaceDE/>
        <w:autoSpaceDN/>
        <w:bidi w:val="0"/>
        <w:adjustRightInd/>
        <w:snapToGrid/>
        <w:ind w:firstLine="480" w:firstLineChars="200"/>
        <w:textAlignment w:val="auto"/>
        <w:rPr>
          <w:rFonts w:hint="eastAsia" w:ascii="宋体" w:hAnsi="宋体" w:cs="宋体"/>
          <w:color w:val="000000"/>
          <w:sz w:val="24"/>
          <w:highlight w:val="none"/>
        </w:rPr>
      </w:pPr>
      <w:r>
        <w:rPr>
          <w:rFonts w:hint="eastAsia" w:ascii="宋体" w:hAnsi="宋体" w:cs="宋体"/>
          <w:color w:val="000000"/>
          <w:sz w:val="24"/>
          <w:highlight w:val="none"/>
        </w:rPr>
        <w:t>（7）招标文件和法律、行政法规规定的其他条件。</w:t>
      </w:r>
    </w:p>
    <w:p w14:paraId="3EB71A8C">
      <w:pPr>
        <w:keepNext w:val="0"/>
        <w:keepLines w:val="0"/>
        <w:pageBreakBefore w:val="0"/>
        <w:widowControl w:val="0"/>
        <w:shd w:val="clear" w:color="auto" w:fill="auto"/>
        <w:tabs>
          <w:tab w:val="left" w:pos="7665"/>
        </w:tabs>
        <w:kinsoku/>
        <w:wordWrap/>
        <w:overflowPunct/>
        <w:topLinePunct w:val="0"/>
        <w:autoSpaceDE/>
        <w:autoSpaceDN/>
        <w:bidi w:val="0"/>
        <w:adjustRightInd/>
        <w:snapToGrid/>
        <w:ind w:firstLine="482" w:firstLineChars="200"/>
        <w:textAlignment w:val="auto"/>
        <w:rPr>
          <w:rFonts w:hint="eastAsia" w:ascii="宋体" w:hAnsi="宋体" w:cs="宋体"/>
          <w:b/>
          <w:color w:val="000000"/>
          <w:sz w:val="24"/>
          <w:highlight w:val="none"/>
        </w:rPr>
      </w:pPr>
      <w:bookmarkStart w:id="37" w:name="_Toc183682345"/>
      <w:bookmarkStart w:id="38" w:name="_Toc217446037"/>
      <w:bookmarkStart w:id="39" w:name="_Toc183582208"/>
      <w:r>
        <w:rPr>
          <w:rFonts w:hint="eastAsia" w:ascii="宋体" w:hAnsi="宋体" w:cs="宋体"/>
          <w:b/>
          <w:color w:val="000000"/>
          <w:sz w:val="24"/>
          <w:highlight w:val="none"/>
        </w:rPr>
        <w:t>4. 投标费用</w:t>
      </w:r>
      <w:bookmarkEnd w:id="37"/>
      <w:bookmarkEnd w:id="38"/>
      <w:bookmarkEnd w:id="39"/>
    </w:p>
    <w:p w14:paraId="0F92617C">
      <w:pPr>
        <w:keepNext w:val="0"/>
        <w:keepLines w:val="0"/>
        <w:pageBreakBefore w:val="0"/>
        <w:widowControl w:val="0"/>
        <w:shd w:val="clear" w:color="auto" w:fill="auto"/>
        <w:tabs>
          <w:tab w:val="left" w:pos="7665"/>
        </w:tabs>
        <w:kinsoku/>
        <w:wordWrap/>
        <w:overflowPunct/>
        <w:topLinePunct w:val="0"/>
        <w:autoSpaceDE/>
        <w:autoSpaceDN/>
        <w:bidi w:val="0"/>
        <w:adjustRightInd/>
        <w:snapToGrid/>
        <w:ind w:firstLine="480" w:firstLineChars="200"/>
        <w:textAlignment w:val="auto"/>
        <w:rPr>
          <w:rFonts w:hint="eastAsia" w:ascii="宋体" w:hAnsi="宋体" w:cs="宋体"/>
          <w:sz w:val="24"/>
          <w:highlight w:val="none"/>
        </w:rPr>
      </w:pPr>
      <w:r>
        <w:rPr>
          <w:rFonts w:hint="eastAsia" w:ascii="宋体" w:hAnsi="宋体" w:cs="宋体"/>
          <w:color w:val="000000"/>
          <w:sz w:val="24"/>
          <w:highlight w:val="none"/>
        </w:rPr>
        <w:t>不论投标结果如何，投标供应商应自行承担所有与准备和参加投标相关的全部费用</w:t>
      </w:r>
      <w:r>
        <w:rPr>
          <w:rFonts w:hint="eastAsia" w:ascii="宋体" w:hAnsi="宋体" w:cs="宋体"/>
          <w:sz w:val="24"/>
          <w:highlight w:val="none"/>
        </w:rPr>
        <w:t>。</w:t>
      </w:r>
      <w:bookmarkStart w:id="40" w:name="_Toc89075875"/>
      <w:bookmarkStart w:id="41" w:name="_Toc77400779"/>
      <w:bookmarkStart w:id="42" w:name="_Toc217446038"/>
      <w:bookmarkStart w:id="43" w:name="_Toc183582209"/>
      <w:bookmarkStart w:id="44" w:name="_Toc183682346"/>
    </w:p>
    <w:p w14:paraId="6936C10A">
      <w:pPr>
        <w:shd w:val="clear" w:color="auto" w:fill="auto"/>
        <w:tabs>
          <w:tab w:val="left" w:pos="7665"/>
        </w:tabs>
        <w:ind w:firstLine="0" w:firstLineChars="0"/>
        <w:jc w:val="center"/>
        <w:rPr>
          <w:rFonts w:hint="eastAsia" w:ascii="宋体" w:hAnsi="宋体" w:cs="宋体"/>
          <w:b/>
          <w:bCs/>
          <w:sz w:val="28"/>
          <w:szCs w:val="28"/>
          <w:highlight w:val="none"/>
        </w:rPr>
      </w:pPr>
      <w:r>
        <w:rPr>
          <w:rFonts w:hint="eastAsia" w:ascii="宋体" w:hAnsi="宋体" w:cs="宋体"/>
          <w:b/>
          <w:bCs/>
          <w:sz w:val="28"/>
          <w:szCs w:val="28"/>
          <w:highlight w:val="none"/>
        </w:rPr>
        <w:t>二、招标文件</w:t>
      </w:r>
      <w:bookmarkEnd w:id="40"/>
      <w:bookmarkEnd w:id="41"/>
      <w:bookmarkEnd w:id="42"/>
      <w:bookmarkEnd w:id="43"/>
      <w:bookmarkEnd w:id="44"/>
      <w:bookmarkStart w:id="45" w:name="_Toc217446039"/>
      <w:bookmarkStart w:id="46" w:name="_Toc183582210"/>
      <w:bookmarkStart w:id="47" w:name="_Toc183682347"/>
    </w:p>
    <w:p w14:paraId="74E1D603">
      <w:pPr>
        <w:keepNext w:val="0"/>
        <w:keepLines w:val="0"/>
        <w:pageBreakBefore w:val="0"/>
        <w:widowControl w:val="0"/>
        <w:shd w:val="clear" w:color="auto" w:fill="auto"/>
        <w:tabs>
          <w:tab w:val="left" w:pos="7665"/>
        </w:tabs>
        <w:kinsoku/>
        <w:wordWrap/>
        <w:overflowPunct/>
        <w:topLinePunct w:val="0"/>
        <w:autoSpaceDE/>
        <w:autoSpaceDN/>
        <w:bidi w:val="0"/>
        <w:adjustRightInd/>
        <w:snapToGrid/>
        <w:ind w:firstLine="482" w:firstLineChars="200"/>
        <w:jc w:val="left"/>
        <w:textAlignment w:val="auto"/>
        <w:rPr>
          <w:rFonts w:hint="eastAsia" w:ascii="宋体" w:hAnsi="宋体" w:cs="宋体"/>
          <w:b/>
          <w:sz w:val="24"/>
          <w:highlight w:val="none"/>
        </w:rPr>
      </w:pPr>
      <w:r>
        <w:rPr>
          <w:rFonts w:hint="eastAsia" w:ascii="宋体" w:hAnsi="宋体" w:eastAsia="宋体" w:cs="宋体"/>
          <w:b/>
          <w:color w:val="000000"/>
          <w:sz w:val="24"/>
          <w:highlight w:val="none"/>
        </w:rPr>
        <w:t>5．招</w:t>
      </w:r>
      <w:r>
        <w:rPr>
          <w:rFonts w:hint="eastAsia" w:ascii="宋体" w:hAnsi="宋体" w:cs="宋体"/>
          <w:b/>
          <w:sz w:val="24"/>
          <w:highlight w:val="none"/>
        </w:rPr>
        <w:t>标文件的构成</w:t>
      </w:r>
      <w:bookmarkEnd w:id="45"/>
      <w:bookmarkEnd w:id="46"/>
      <w:bookmarkEnd w:id="47"/>
    </w:p>
    <w:p w14:paraId="6A15829A">
      <w:pPr>
        <w:keepNext w:val="0"/>
        <w:keepLines w:val="0"/>
        <w:pageBreakBefore w:val="0"/>
        <w:widowControl w:val="0"/>
        <w:shd w:val="clear" w:color="auto" w:fill="auto"/>
        <w:tabs>
          <w:tab w:val="left" w:pos="7665"/>
        </w:tabs>
        <w:kinsoku/>
        <w:wordWrap/>
        <w:overflowPunct/>
        <w:topLinePunct w:val="0"/>
        <w:autoSpaceDE/>
        <w:autoSpaceDN/>
        <w:bidi w:val="0"/>
        <w:adjustRightInd/>
        <w:snapToGrid/>
        <w:ind w:firstLine="480" w:firstLineChars="200"/>
        <w:textAlignment w:val="auto"/>
        <w:rPr>
          <w:rFonts w:hint="eastAsia" w:ascii="宋体" w:hAnsi="宋体" w:eastAsia="宋体" w:cs="宋体"/>
          <w:sz w:val="24"/>
          <w:highlight w:val="none"/>
        </w:rPr>
      </w:pPr>
      <w:r>
        <w:rPr>
          <w:rFonts w:hint="eastAsia" w:ascii="宋体" w:hAnsi="宋体" w:cs="宋体"/>
          <w:color w:val="000000"/>
          <w:sz w:val="24"/>
          <w:highlight w:val="none"/>
        </w:rPr>
        <w:t>5</w:t>
      </w:r>
      <w:r>
        <w:rPr>
          <w:rFonts w:hint="eastAsia" w:ascii="宋体" w:hAnsi="宋体" w:cs="宋体"/>
          <w:b/>
          <w:bCs/>
          <w:color w:val="000000"/>
          <w:sz w:val="24"/>
          <w:highlight w:val="none"/>
        </w:rPr>
        <w:t>.</w:t>
      </w:r>
      <w:r>
        <w:rPr>
          <w:rFonts w:hint="eastAsia" w:ascii="宋体" w:hAnsi="宋体" w:cs="宋体"/>
          <w:color w:val="000000"/>
          <w:sz w:val="24"/>
          <w:highlight w:val="none"/>
        </w:rPr>
        <w:t>1 招标文件用以阐明招标项目所需的资质、技术、服务及报价等要求、招标投标程序、有关</w:t>
      </w:r>
      <w:r>
        <w:rPr>
          <w:rFonts w:hint="eastAsia" w:ascii="宋体" w:hAnsi="宋体" w:eastAsia="宋体" w:cs="宋体"/>
          <w:sz w:val="24"/>
          <w:highlight w:val="none"/>
        </w:rPr>
        <w:t>规定和注意事项以及合同主要条款等。本招标文件包括以下内容：</w:t>
      </w:r>
    </w:p>
    <w:p w14:paraId="70B2C9BA">
      <w:pPr>
        <w:keepNext w:val="0"/>
        <w:keepLines w:val="0"/>
        <w:pageBreakBefore w:val="0"/>
        <w:widowControl w:val="0"/>
        <w:shd w:val="clear" w:color="auto" w:fill="auto"/>
        <w:tabs>
          <w:tab w:val="left" w:pos="7665"/>
        </w:tabs>
        <w:kinsoku/>
        <w:wordWrap/>
        <w:overflowPunct/>
        <w:topLinePunct w:val="0"/>
        <w:autoSpaceDE/>
        <w:autoSpaceDN/>
        <w:bidi w:val="0"/>
        <w:adjustRightInd/>
        <w:snapToGrid/>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 xml:space="preserve">（1）招标公告；  </w:t>
      </w:r>
    </w:p>
    <w:p w14:paraId="0FCBE12F">
      <w:pPr>
        <w:keepNext w:val="0"/>
        <w:keepLines w:val="0"/>
        <w:pageBreakBefore w:val="0"/>
        <w:widowControl w:val="0"/>
        <w:shd w:val="clear" w:color="auto" w:fill="auto"/>
        <w:tabs>
          <w:tab w:val="left" w:pos="7665"/>
        </w:tabs>
        <w:kinsoku/>
        <w:wordWrap/>
        <w:overflowPunct/>
        <w:topLinePunct w:val="0"/>
        <w:autoSpaceDE/>
        <w:autoSpaceDN/>
        <w:bidi w:val="0"/>
        <w:adjustRightInd/>
        <w:snapToGrid/>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（2）投标供应商须知及前附表；</w:t>
      </w:r>
    </w:p>
    <w:p w14:paraId="5105D914">
      <w:pPr>
        <w:keepNext w:val="0"/>
        <w:keepLines w:val="0"/>
        <w:pageBreakBefore w:val="0"/>
        <w:widowControl w:val="0"/>
        <w:shd w:val="clear" w:color="auto" w:fill="auto"/>
        <w:tabs>
          <w:tab w:val="left" w:pos="7665"/>
        </w:tabs>
        <w:kinsoku/>
        <w:wordWrap/>
        <w:overflowPunct/>
        <w:topLinePunct w:val="0"/>
        <w:autoSpaceDE/>
        <w:autoSpaceDN/>
        <w:bidi w:val="0"/>
        <w:adjustRightInd/>
        <w:snapToGrid/>
        <w:ind w:firstLine="480" w:firstLineChars="200"/>
        <w:textAlignment w:val="auto"/>
        <w:rPr>
          <w:rFonts w:hint="eastAsia" w:ascii="宋体" w:hAnsi="宋体" w:cs="宋体"/>
          <w:sz w:val="24"/>
          <w:highlight w:val="none"/>
        </w:rPr>
      </w:pPr>
      <w:r>
        <w:rPr>
          <w:rFonts w:hint="eastAsia" w:ascii="宋体" w:hAnsi="宋体" w:cs="宋体"/>
          <w:sz w:val="24"/>
          <w:highlight w:val="none"/>
        </w:rPr>
        <w:t>（3）评标办法；</w:t>
      </w:r>
    </w:p>
    <w:p w14:paraId="1FA02EBD">
      <w:pPr>
        <w:keepNext w:val="0"/>
        <w:keepLines w:val="0"/>
        <w:pageBreakBefore w:val="0"/>
        <w:widowControl w:val="0"/>
        <w:shd w:val="clear" w:color="auto" w:fill="auto"/>
        <w:tabs>
          <w:tab w:val="left" w:pos="7665"/>
        </w:tabs>
        <w:kinsoku/>
        <w:wordWrap/>
        <w:overflowPunct/>
        <w:topLinePunct w:val="0"/>
        <w:autoSpaceDE/>
        <w:autoSpaceDN/>
        <w:bidi w:val="0"/>
        <w:adjustRightInd/>
        <w:snapToGrid/>
        <w:ind w:firstLine="480" w:firstLineChars="200"/>
        <w:textAlignment w:val="auto"/>
        <w:rPr>
          <w:rFonts w:hint="eastAsia" w:ascii="宋体" w:hAnsi="宋体" w:cs="宋体"/>
          <w:sz w:val="24"/>
          <w:highlight w:val="none"/>
        </w:rPr>
      </w:pPr>
      <w:r>
        <w:rPr>
          <w:rFonts w:hint="eastAsia" w:ascii="宋体" w:hAnsi="宋体" w:cs="宋体"/>
          <w:sz w:val="24"/>
          <w:highlight w:val="none"/>
        </w:rPr>
        <w:t>（4）招标内容及要求；</w:t>
      </w:r>
    </w:p>
    <w:p w14:paraId="2FC0D6ED">
      <w:pPr>
        <w:keepNext w:val="0"/>
        <w:keepLines w:val="0"/>
        <w:pageBreakBefore w:val="0"/>
        <w:widowControl w:val="0"/>
        <w:shd w:val="clear" w:color="auto" w:fill="auto"/>
        <w:tabs>
          <w:tab w:val="left" w:pos="7665"/>
        </w:tabs>
        <w:kinsoku/>
        <w:wordWrap/>
        <w:overflowPunct/>
        <w:topLinePunct w:val="0"/>
        <w:autoSpaceDE/>
        <w:autoSpaceDN/>
        <w:bidi w:val="0"/>
        <w:adjustRightInd/>
        <w:snapToGrid/>
        <w:ind w:firstLine="480" w:firstLineChars="200"/>
        <w:textAlignment w:val="auto"/>
        <w:rPr>
          <w:rFonts w:hint="eastAsia" w:ascii="宋体" w:hAnsi="宋体" w:cs="宋体"/>
          <w:sz w:val="24"/>
          <w:highlight w:val="none"/>
        </w:rPr>
      </w:pPr>
      <w:r>
        <w:rPr>
          <w:rFonts w:hint="eastAsia" w:ascii="宋体" w:hAnsi="宋体" w:cs="宋体"/>
          <w:sz w:val="24"/>
          <w:highlight w:val="none"/>
        </w:rPr>
        <w:t>（5）商务要求；</w:t>
      </w:r>
    </w:p>
    <w:p w14:paraId="2DE83B96">
      <w:pPr>
        <w:keepNext w:val="0"/>
        <w:keepLines w:val="0"/>
        <w:pageBreakBefore w:val="0"/>
        <w:widowControl w:val="0"/>
        <w:shd w:val="clear" w:color="auto" w:fill="auto"/>
        <w:tabs>
          <w:tab w:val="left" w:pos="7665"/>
        </w:tabs>
        <w:kinsoku/>
        <w:wordWrap/>
        <w:overflowPunct/>
        <w:topLinePunct w:val="0"/>
        <w:autoSpaceDE/>
        <w:autoSpaceDN/>
        <w:bidi w:val="0"/>
        <w:adjustRightInd/>
        <w:snapToGrid/>
        <w:ind w:firstLine="480" w:firstLineChars="200"/>
        <w:textAlignment w:val="auto"/>
        <w:rPr>
          <w:rFonts w:hint="eastAsia" w:ascii="宋体" w:hAnsi="宋体" w:cs="宋体"/>
          <w:sz w:val="24"/>
          <w:highlight w:val="none"/>
        </w:rPr>
      </w:pPr>
      <w:r>
        <w:rPr>
          <w:rFonts w:hint="eastAsia" w:ascii="宋体" w:hAnsi="宋体" w:cs="宋体"/>
          <w:sz w:val="24"/>
          <w:highlight w:val="none"/>
        </w:rPr>
        <w:t>（6）合同格式与主要条款；</w:t>
      </w:r>
    </w:p>
    <w:p w14:paraId="24A2CC3E">
      <w:pPr>
        <w:keepNext w:val="0"/>
        <w:keepLines w:val="0"/>
        <w:pageBreakBefore w:val="0"/>
        <w:widowControl w:val="0"/>
        <w:shd w:val="clear" w:color="auto" w:fill="auto"/>
        <w:tabs>
          <w:tab w:val="left" w:pos="7665"/>
        </w:tabs>
        <w:kinsoku/>
        <w:wordWrap/>
        <w:overflowPunct/>
        <w:topLinePunct w:val="0"/>
        <w:autoSpaceDE/>
        <w:autoSpaceDN/>
        <w:bidi w:val="0"/>
        <w:adjustRightInd/>
        <w:snapToGrid/>
        <w:ind w:firstLine="480" w:firstLineChars="200"/>
        <w:textAlignment w:val="auto"/>
        <w:rPr>
          <w:rFonts w:hint="eastAsia" w:ascii="宋体" w:hAnsi="宋体" w:cs="宋体"/>
          <w:sz w:val="24"/>
          <w:highlight w:val="none"/>
        </w:rPr>
      </w:pPr>
      <w:r>
        <w:rPr>
          <w:rFonts w:hint="eastAsia" w:ascii="宋体" w:hAnsi="宋体" w:cs="宋体"/>
          <w:sz w:val="24"/>
          <w:highlight w:val="none"/>
        </w:rPr>
        <w:t>（7）投标文件格式；</w:t>
      </w:r>
    </w:p>
    <w:p w14:paraId="2219F937">
      <w:pPr>
        <w:keepNext w:val="0"/>
        <w:keepLines w:val="0"/>
        <w:pageBreakBefore w:val="0"/>
        <w:widowControl w:val="0"/>
        <w:shd w:val="clear" w:color="auto" w:fill="auto"/>
        <w:tabs>
          <w:tab w:val="left" w:pos="7665"/>
        </w:tabs>
        <w:kinsoku/>
        <w:wordWrap/>
        <w:overflowPunct/>
        <w:topLinePunct w:val="0"/>
        <w:autoSpaceDE/>
        <w:autoSpaceDN/>
        <w:bidi w:val="0"/>
        <w:adjustRightInd/>
        <w:snapToGrid/>
        <w:ind w:firstLine="480" w:firstLineChars="200"/>
        <w:textAlignment w:val="auto"/>
        <w:rPr>
          <w:rFonts w:hint="eastAsia" w:ascii="宋体" w:hAnsi="宋体" w:cs="宋体"/>
          <w:sz w:val="24"/>
          <w:highlight w:val="none"/>
        </w:rPr>
      </w:pPr>
      <w:r>
        <w:rPr>
          <w:rFonts w:hint="eastAsia" w:ascii="宋体" w:hAnsi="宋体" w:cs="宋体"/>
          <w:sz w:val="24"/>
          <w:highlight w:val="none"/>
        </w:rPr>
        <w:t>（8）投标供应商有关资格证明文件要求。</w:t>
      </w:r>
    </w:p>
    <w:p w14:paraId="4B28861D">
      <w:pPr>
        <w:keepNext w:val="0"/>
        <w:keepLines w:val="0"/>
        <w:pageBreakBefore w:val="0"/>
        <w:widowControl w:val="0"/>
        <w:shd w:val="clear" w:color="auto" w:fill="auto"/>
        <w:tabs>
          <w:tab w:val="left" w:pos="7665"/>
        </w:tabs>
        <w:kinsoku/>
        <w:wordWrap/>
        <w:overflowPunct/>
        <w:topLinePunct w:val="0"/>
        <w:autoSpaceDE/>
        <w:autoSpaceDN/>
        <w:bidi w:val="0"/>
        <w:adjustRightInd/>
        <w:snapToGrid/>
        <w:ind w:firstLine="482" w:firstLineChars="200"/>
        <w:textAlignment w:val="auto"/>
        <w:rPr>
          <w:rFonts w:hint="eastAsia" w:ascii="宋体" w:hAnsi="宋体" w:cs="宋体"/>
          <w:color w:val="000000"/>
          <w:sz w:val="24"/>
          <w:highlight w:val="none"/>
        </w:rPr>
      </w:pPr>
      <w:r>
        <w:rPr>
          <w:rFonts w:hint="eastAsia" w:ascii="宋体" w:hAnsi="宋体" w:cs="宋体"/>
          <w:b/>
          <w:color w:val="000000"/>
          <w:sz w:val="24"/>
          <w:highlight w:val="none"/>
        </w:rPr>
        <w:t>5</w:t>
      </w:r>
      <w:r>
        <w:rPr>
          <w:rFonts w:hint="eastAsia" w:ascii="宋体" w:hAnsi="宋体" w:cs="宋体"/>
          <w:b/>
          <w:bCs/>
          <w:color w:val="000000"/>
          <w:sz w:val="24"/>
          <w:highlight w:val="none"/>
        </w:rPr>
        <w:t>.</w:t>
      </w:r>
      <w:r>
        <w:rPr>
          <w:rFonts w:hint="eastAsia" w:ascii="宋体" w:hAnsi="宋体" w:cs="宋体"/>
          <w:b/>
          <w:color w:val="000000"/>
          <w:sz w:val="24"/>
          <w:highlight w:val="none"/>
        </w:rPr>
        <w:t>2 投标供应商应认真阅读和充分理解招标文件中所有的事项、格式条款和规范要求。投标供应商没有对招标文件全面做出实质性响应是投标供应商的风险。没有按照招标文件要求做出实质性响应的投标文件将按无效投标处理。</w:t>
      </w:r>
    </w:p>
    <w:p w14:paraId="38EA5D6E">
      <w:pPr>
        <w:shd w:val="clear" w:color="auto" w:fill="auto"/>
        <w:tabs>
          <w:tab w:val="left" w:pos="7665"/>
        </w:tabs>
        <w:ind w:firstLine="482"/>
        <w:rPr>
          <w:rFonts w:hint="eastAsia" w:ascii="宋体" w:hAnsi="宋体" w:eastAsia="宋体" w:cs="宋体"/>
          <w:b/>
          <w:color w:val="000000"/>
          <w:sz w:val="24"/>
          <w:highlight w:val="none"/>
          <w:lang w:val="en-US" w:eastAsia="zh-CN"/>
        </w:rPr>
      </w:pPr>
      <w:bookmarkStart w:id="48" w:name="_Toc183582211"/>
      <w:bookmarkStart w:id="49" w:name="_Toc183682348"/>
      <w:bookmarkStart w:id="50" w:name="_Toc217446040"/>
      <w:r>
        <w:rPr>
          <w:rFonts w:hint="eastAsia" w:ascii="宋体" w:hAnsi="宋体" w:cs="宋体"/>
          <w:b/>
          <w:color w:val="000000"/>
          <w:sz w:val="24"/>
          <w:highlight w:val="none"/>
        </w:rPr>
        <w:t>6. 招标文件的澄清</w:t>
      </w:r>
      <w:bookmarkEnd w:id="48"/>
      <w:bookmarkEnd w:id="49"/>
      <w:r>
        <w:rPr>
          <w:rFonts w:hint="eastAsia" w:ascii="宋体" w:hAnsi="宋体" w:cs="宋体"/>
          <w:b/>
          <w:color w:val="000000"/>
          <w:sz w:val="24"/>
          <w:highlight w:val="none"/>
        </w:rPr>
        <w:t>和修改</w:t>
      </w:r>
      <w:bookmarkEnd w:id="50"/>
      <w:r>
        <w:rPr>
          <w:rFonts w:hint="eastAsia" w:ascii="宋体" w:hAnsi="宋体" w:cs="宋体"/>
          <w:b/>
          <w:color w:val="000000"/>
          <w:sz w:val="24"/>
          <w:highlight w:val="none"/>
          <w:lang w:val="en-US" w:eastAsia="zh-CN"/>
        </w:rPr>
        <w:t xml:space="preserve"> </w:t>
      </w:r>
    </w:p>
    <w:p w14:paraId="3BE4DE8C">
      <w:pPr>
        <w:shd w:val="clear" w:color="auto" w:fill="auto"/>
        <w:tabs>
          <w:tab w:val="left" w:pos="7665"/>
        </w:tabs>
        <w:ind w:firstLine="480"/>
        <w:rPr>
          <w:rFonts w:hint="eastAsia" w:ascii="宋体" w:hAnsi="宋体" w:cs="宋体"/>
          <w:color w:val="000000"/>
          <w:sz w:val="24"/>
          <w:highlight w:val="none"/>
        </w:rPr>
      </w:pPr>
      <w:r>
        <w:rPr>
          <w:rFonts w:hint="eastAsia" w:ascii="宋体" w:hAnsi="宋体" w:cs="宋体"/>
          <w:color w:val="000000"/>
          <w:sz w:val="24"/>
          <w:highlight w:val="none"/>
        </w:rPr>
        <w:t>6.1 在投标截止时间前，采购代理机构无论出于何种原因，可以对招标文件进行澄清或者修改。</w:t>
      </w:r>
    </w:p>
    <w:p w14:paraId="6F5CB2A8">
      <w:pPr>
        <w:shd w:val="clear" w:color="auto" w:fill="auto"/>
        <w:tabs>
          <w:tab w:val="left" w:pos="7665"/>
        </w:tabs>
        <w:ind w:firstLine="480"/>
        <w:rPr>
          <w:rFonts w:hint="eastAsia" w:ascii="宋体" w:hAnsi="宋体" w:cs="宋体"/>
          <w:sz w:val="24"/>
          <w:highlight w:val="none"/>
        </w:rPr>
      </w:pPr>
      <w:r>
        <w:rPr>
          <w:rFonts w:hint="eastAsia" w:ascii="宋体" w:hAnsi="宋体" w:cs="宋体"/>
          <w:color w:val="000000"/>
          <w:sz w:val="24"/>
          <w:highlight w:val="none"/>
        </w:rPr>
        <w:t>6.2采购代理机构可对已发出的招标文件进行必要的澄清或者修改，澄清或者修改的内容可能影响投标文件编制的，都将于提交投标文件截止时间15日前通知所有获取招标文件的潜在</w:t>
      </w:r>
      <w:r>
        <w:rPr>
          <w:rFonts w:hint="eastAsia" w:ascii="宋体" w:hAnsi="宋体" w:cs="宋体"/>
          <w:color w:val="000000"/>
          <w:sz w:val="24"/>
          <w:highlight w:val="none"/>
          <w:lang w:eastAsia="zh-CN"/>
        </w:rPr>
        <w:t>投标供应商</w:t>
      </w:r>
      <w:r>
        <w:rPr>
          <w:rFonts w:hint="eastAsia" w:ascii="宋体" w:hAnsi="宋体" w:cs="宋体"/>
          <w:color w:val="000000"/>
          <w:sz w:val="24"/>
          <w:highlight w:val="none"/>
        </w:rPr>
        <w:t>；不足十五日的采购人或者采购代理机构应当顺延提交投标文件的截止时间。澄清或者修改内容作为招标文件的组成部分</w:t>
      </w:r>
      <w:r>
        <w:rPr>
          <w:rFonts w:hint="eastAsia" w:ascii="宋体" w:hAnsi="宋体" w:cs="宋体"/>
          <w:sz w:val="24"/>
          <w:highlight w:val="none"/>
          <w:lang w:val="zh-CN"/>
        </w:rPr>
        <w:t>。</w:t>
      </w:r>
    </w:p>
    <w:p w14:paraId="1D9122D9">
      <w:pPr>
        <w:shd w:val="clear" w:color="auto" w:fill="auto"/>
        <w:ind w:firstLine="480"/>
        <w:rPr>
          <w:rFonts w:hint="eastAsia" w:ascii="宋体" w:hAnsi="宋体" w:cs="宋体"/>
          <w:sz w:val="24"/>
          <w:highlight w:val="none"/>
        </w:rPr>
      </w:pPr>
      <w:r>
        <w:rPr>
          <w:rFonts w:hint="eastAsia" w:ascii="宋体" w:hAnsi="宋体" w:cs="宋体"/>
          <w:sz w:val="24"/>
          <w:highlight w:val="none"/>
        </w:rPr>
        <w:t>6</w:t>
      </w:r>
      <w:r>
        <w:rPr>
          <w:rFonts w:hint="eastAsia" w:ascii="宋体" w:hAnsi="宋体" w:cs="宋体"/>
          <w:b/>
          <w:bCs/>
          <w:sz w:val="24"/>
          <w:highlight w:val="none"/>
        </w:rPr>
        <w:t>.</w:t>
      </w:r>
      <w:r>
        <w:rPr>
          <w:rFonts w:hint="eastAsia" w:ascii="宋体" w:hAnsi="宋体" w:cs="宋体"/>
          <w:sz w:val="24"/>
          <w:highlight w:val="none"/>
        </w:rPr>
        <w:t>3招标文件的澄清或修改内容均以“电子交易平台”发出的内容为准。当招标文件的澄清、修改、补充等在同一内容的表述上不一致时，以最后发出的为准。所有补充文件将作为招标文件的组成部分，对所有</w:t>
      </w:r>
      <w:r>
        <w:rPr>
          <w:rFonts w:hint="eastAsia" w:ascii="宋体" w:hAnsi="宋体" w:cs="宋体"/>
          <w:sz w:val="24"/>
          <w:highlight w:val="none"/>
          <w:lang w:eastAsia="zh-CN"/>
        </w:rPr>
        <w:t>投标供应商</w:t>
      </w:r>
      <w:r>
        <w:rPr>
          <w:rFonts w:hint="eastAsia" w:ascii="宋体" w:hAnsi="宋体" w:cs="宋体"/>
          <w:sz w:val="24"/>
          <w:highlight w:val="none"/>
        </w:rPr>
        <w:t>具有约束力。</w:t>
      </w:r>
    </w:p>
    <w:p w14:paraId="0141159D">
      <w:pPr>
        <w:shd w:val="clear" w:color="auto" w:fill="auto"/>
        <w:ind w:firstLine="480"/>
        <w:rPr>
          <w:rFonts w:hint="eastAsia" w:ascii="宋体" w:hAnsi="宋体" w:cs="宋体"/>
          <w:sz w:val="24"/>
          <w:highlight w:val="none"/>
        </w:rPr>
      </w:pPr>
      <w:r>
        <w:rPr>
          <w:rFonts w:hint="eastAsia" w:ascii="宋体" w:hAnsi="宋体" w:cs="宋体"/>
          <w:sz w:val="24"/>
          <w:highlight w:val="none"/>
        </w:rPr>
        <w:t xml:space="preserve">6.4 </w:t>
      </w:r>
      <w:r>
        <w:rPr>
          <w:rFonts w:hint="eastAsia" w:ascii="宋体" w:hAnsi="宋体" w:cs="宋体"/>
          <w:sz w:val="24"/>
          <w:highlight w:val="none"/>
          <w:lang w:eastAsia="zh-CN"/>
        </w:rPr>
        <w:t>投标供应商</w:t>
      </w:r>
      <w:r>
        <w:rPr>
          <w:rFonts w:hint="eastAsia" w:ascii="宋体" w:hAnsi="宋体" w:cs="宋体"/>
          <w:sz w:val="24"/>
          <w:highlight w:val="none"/>
        </w:rPr>
        <w:t>若对招标文件有任何疑问，应在</w:t>
      </w:r>
      <w:r>
        <w:rPr>
          <w:rFonts w:hint="eastAsia" w:ascii="宋体" w:hAnsi="宋体" w:cs="宋体"/>
          <w:sz w:val="24"/>
          <w:highlight w:val="none"/>
          <w:lang w:eastAsia="zh-CN"/>
        </w:rPr>
        <w:t>投标供应商</w:t>
      </w:r>
      <w:r>
        <w:rPr>
          <w:rFonts w:hint="eastAsia" w:ascii="宋体" w:hAnsi="宋体" w:cs="宋体"/>
          <w:sz w:val="24"/>
          <w:highlight w:val="none"/>
        </w:rPr>
        <w:t>须知前附表规定的时间前在全国公共资源交易平台（陕西省宝鸡市）宝鸡市公共资源交易中心提出，要求招标人对招标文件予以澄清。</w:t>
      </w:r>
      <w:bookmarkStart w:id="51" w:name="_Toc183682350"/>
      <w:bookmarkStart w:id="52" w:name="_Toc183582213"/>
      <w:bookmarkStart w:id="53" w:name="_Toc217446041"/>
      <w:bookmarkStart w:id="54" w:name="_Toc208848971"/>
    </w:p>
    <w:p w14:paraId="4FA54017">
      <w:pPr>
        <w:shd w:val="clear" w:color="auto" w:fill="auto"/>
        <w:ind w:firstLine="480"/>
        <w:rPr>
          <w:rFonts w:hint="eastAsia" w:ascii="宋体" w:hAnsi="宋体" w:cs="宋体"/>
          <w:sz w:val="24"/>
          <w:highlight w:val="none"/>
          <w:lang w:val="en-US" w:eastAsia="zh-CN"/>
        </w:rPr>
      </w:pPr>
      <w:r>
        <w:rPr>
          <w:rFonts w:hint="eastAsia" w:ascii="宋体" w:hAnsi="宋体" w:cs="宋体"/>
          <w:sz w:val="24"/>
          <w:highlight w:val="none"/>
          <w:lang w:val="en-US" w:eastAsia="zh-CN"/>
        </w:rPr>
        <w:t>6.5投标供应商认为招标文件使自己的权益受到损害的，在投标截止时间10日前，在全国公共资源交易平台（陕西省.宝鸡市）宝鸡市公共资源交易中心提出，逾期不予答复，因此带来的一切不利后果由投标供应商自负。</w:t>
      </w:r>
    </w:p>
    <w:p w14:paraId="3603DE61">
      <w:pPr>
        <w:shd w:val="clear" w:color="auto" w:fill="auto"/>
        <w:ind w:firstLine="480"/>
        <w:rPr>
          <w:rFonts w:hint="eastAsia" w:ascii="宋体" w:hAnsi="宋体" w:cs="宋体"/>
          <w:sz w:val="24"/>
          <w:highlight w:val="none"/>
          <w:lang w:val="en-US" w:eastAsia="zh-CN"/>
        </w:rPr>
      </w:pPr>
      <w:r>
        <w:rPr>
          <w:rFonts w:hint="eastAsia" w:ascii="宋体" w:hAnsi="宋体" w:cs="宋体"/>
          <w:sz w:val="24"/>
          <w:highlight w:val="none"/>
          <w:lang w:val="en-US" w:eastAsia="zh-CN"/>
        </w:rPr>
        <w:t>6.6在投标截止时间前，根据招标工作进展实际情况，采购人可酌情延长提交投标文件的截止时间，若延长将另行以书面形式通知各投标供应商并在原信息发布媒体上发布变更公告。采购代理机构和投标供应商的权利和义务将受到新的截止期的约束。</w:t>
      </w:r>
    </w:p>
    <w:p w14:paraId="440CC878">
      <w:pPr>
        <w:shd w:val="clear" w:color="auto" w:fill="auto"/>
        <w:ind w:firstLine="480"/>
        <w:rPr>
          <w:rFonts w:hint="default" w:ascii="宋体" w:hAnsi="宋体" w:cs="宋体"/>
          <w:sz w:val="24"/>
          <w:highlight w:val="none"/>
          <w:lang w:val="en-US" w:eastAsia="zh-CN"/>
        </w:rPr>
      </w:pPr>
      <w:r>
        <w:rPr>
          <w:rFonts w:hint="eastAsia" w:ascii="宋体" w:hAnsi="宋体" w:cs="宋体"/>
          <w:sz w:val="24"/>
          <w:highlight w:val="none"/>
          <w:lang w:val="en-US" w:eastAsia="zh-CN"/>
        </w:rPr>
        <w:t>6.7投标供应商应注意及时浏览网上发出的澄清、修改通知等，因投标供应商自身原因未及时获知澄清/修改内容而导致的任何后果将由投标供应商自行承担。</w:t>
      </w:r>
    </w:p>
    <w:p w14:paraId="3180885A">
      <w:pPr>
        <w:pageBreakBefore w:val="0"/>
        <w:widowControl w:val="0"/>
        <w:shd w:val="clear" w:color="auto" w:fill="auto"/>
        <w:kinsoku/>
        <w:wordWrap/>
        <w:overflowPunct/>
        <w:topLinePunct w:val="0"/>
        <w:autoSpaceDE/>
        <w:autoSpaceDN/>
        <w:bidi w:val="0"/>
        <w:ind w:firstLine="482" w:firstLineChars="200"/>
        <w:textAlignment w:val="auto"/>
        <w:rPr>
          <w:rFonts w:hint="eastAsia" w:ascii="宋体" w:hAnsi="宋体" w:cs="宋体"/>
          <w:b/>
          <w:color w:val="000000"/>
          <w:sz w:val="24"/>
          <w:highlight w:val="none"/>
        </w:rPr>
      </w:pPr>
      <w:r>
        <w:rPr>
          <w:rFonts w:hint="eastAsia" w:ascii="宋体" w:hAnsi="宋体" w:cs="宋体"/>
          <w:b/>
          <w:color w:val="000000"/>
          <w:sz w:val="24"/>
          <w:highlight w:val="none"/>
        </w:rPr>
        <w:t>7</w:t>
      </w:r>
      <w:bookmarkEnd w:id="51"/>
      <w:bookmarkEnd w:id="52"/>
      <w:r>
        <w:rPr>
          <w:rFonts w:hint="eastAsia" w:ascii="宋体" w:hAnsi="宋体" w:cs="宋体"/>
          <w:b/>
          <w:color w:val="000000"/>
          <w:sz w:val="24"/>
          <w:highlight w:val="none"/>
        </w:rPr>
        <w:t>. 答疑会和现场考察</w:t>
      </w:r>
      <w:bookmarkEnd w:id="53"/>
      <w:bookmarkEnd w:id="54"/>
    </w:p>
    <w:p w14:paraId="4483FFFC">
      <w:pPr>
        <w:pageBreakBefore w:val="0"/>
        <w:widowControl w:val="0"/>
        <w:shd w:val="clear" w:color="auto" w:fill="auto"/>
        <w:kinsoku/>
        <w:wordWrap/>
        <w:overflowPunct/>
        <w:topLinePunct w:val="0"/>
        <w:autoSpaceDE/>
        <w:autoSpaceDN/>
        <w:bidi w:val="0"/>
        <w:ind w:firstLine="480" w:firstLineChars="200"/>
        <w:textAlignment w:val="auto"/>
        <w:rPr>
          <w:rFonts w:hint="eastAsia" w:ascii="宋体" w:hAnsi="宋体" w:cs="宋体"/>
          <w:color w:val="000000"/>
          <w:sz w:val="24"/>
          <w:highlight w:val="none"/>
        </w:rPr>
      </w:pPr>
      <w:r>
        <w:rPr>
          <w:rFonts w:hint="eastAsia" w:ascii="宋体" w:hAnsi="宋体" w:cs="宋体"/>
          <w:color w:val="000000"/>
          <w:sz w:val="24"/>
          <w:highlight w:val="none"/>
        </w:rPr>
        <w:t>7.1 根据采购项目和具体情况，采购代理机构认为有必要，可以组织召开标前答疑会或组织投标供应商对项目现场进行考察。答疑会或进行现场考察的时间，招标采购单位将以书面形式通知</w:t>
      </w:r>
      <w:r>
        <w:rPr>
          <w:rFonts w:hint="eastAsia" w:ascii="宋体" w:hAnsi="宋体" w:cs="宋体"/>
          <w:sz w:val="24"/>
          <w:highlight w:val="none"/>
        </w:rPr>
        <w:t>所有购买了招标文件的供应商。</w:t>
      </w:r>
    </w:p>
    <w:p w14:paraId="69808258">
      <w:pPr>
        <w:pageBreakBefore w:val="0"/>
        <w:widowControl w:val="0"/>
        <w:shd w:val="clear" w:color="auto" w:fill="auto"/>
        <w:kinsoku/>
        <w:wordWrap/>
        <w:overflowPunct/>
        <w:topLinePunct w:val="0"/>
        <w:autoSpaceDE/>
        <w:autoSpaceDN/>
        <w:bidi w:val="0"/>
        <w:adjustRightInd w:val="0"/>
        <w:snapToGrid w:val="0"/>
        <w:ind w:firstLine="480" w:firstLineChars="200"/>
        <w:textAlignment w:val="auto"/>
        <w:rPr>
          <w:rFonts w:hint="eastAsia" w:ascii="宋体" w:hAnsi="宋体" w:cs="宋体"/>
          <w:color w:val="000000"/>
          <w:sz w:val="24"/>
          <w:highlight w:val="none"/>
        </w:rPr>
      </w:pPr>
      <w:r>
        <w:rPr>
          <w:rFonts w:hint="eastAsia" w:ascii="宋体" w:hAnsi="宋体" w:cs="宋体"/>
          <w:color w:val="000000"/>
          <w:sz w:val="24"/>
          <w:highlight w:val="none"/>
        </w:rPr>
        <w:t>7.2答疑或考察现场所发生的一切费用由投标供应商自行承担。</w:t>
      </w:r>
    </w:p>
    <w:p w14:paraId="122C8B60">
      <w:pPr>
        <w:pStyle w:val="4"/>
        <w:pageBreakBefore w:val="0"/>
        <w:widowControl w:val="0"/>
        <w:shd w:val="clear" w:color="auto" w:fill="auto"/>
        <w:kinsoku/>
        <w:wordWrap/>
        <w:overflowPunct/>
        <w:topLinePunct w:val="0"/>
        <w:autoSpaceDE/>
        <w:autoSpaceDN/>
        <w:bidi w:val="0"/>
        <w:spacing w:before="0" w:after="0" w:line="360" w:lineRule="auto"/>
        <w:ind w:firstLine="482" w:firstLineChars="200"/>
        <w:textAlignment w:val="auto"/>
        <w:rPr>
          <w:rFonts w:hint="eastAsia" w:ascii="宋体" w:hAnsi="宋体" w:cs="宋体"/>
          <w:bCs/>
          <w:sz w:val="24"/>
          <w:szCs w:val="24"/>
          <w:highlight w:val="none"/>
        </w:rPr>
      </w:pPr>
      <w:r>
        <w:rPr>
          <w:rFonts w:hint="eastAsia" w:ascii="宋体" w:hAnsi="宋体" w:cs="宋体"/>
          <w:bCs/>
          <w:sz w:val="24"/>
          <w:szCs w:val="24"/>
          <w:highlight w:val="none"/>
        </w:rPr>
        <w:t>8．投标文件的解释权</w:t>
      </w:r>
    </w:p>
    <w:p w14:paraId="10C234D1">
      <w:pPr>
        <w:pStyle w:val="5"/>
        <w:pageBreakBefore w:val="0"/>
        <w:widowControl w:val="0"/>
        <w:shd w:val="clear" w:color="auto" w:fill="auto"/>
        <w:kinsoku/>
        <w:wordWrap/>
        <w:overflowPunct/>
        <w:topLinePunct w:val="0"/>
        <w:autoSpaceDE/>
        <w:autoSpaceDN/>
        <w:bidi w:val="0"/>
        <w:ind w:firstLine="480" w:firstLineChars="200"/>
        <w:textAlignment w:val="auto"/>
        <w:rPr>
          <w:rFonts w:hint="eastAsia" w:ascii="宋体" w:hAnsi="宋体" w:cs="宋体"/>
          <w:color w:val="FF0000"/>
          <w:sz w:val="24"/>
          <w:szCs w:val="24"/>
          <w:highlight w:val="none"/>
        </w:rPr>
      </w:pPr>
      <w:r>
        <w:rPr>
          <w:rFonts w:hint="eastAsia" w:ascii="宋体" w:hAnsi="宋体" w:cs="宋体"/>
          <w:sz w:val="24"/>
          <w:szCs w:val="24"/>
          <w:highlight w:val="none"/>
        </w:rPr>
        <w:t>招标文件的解释权归采购代理机构，如发现招标文件内容与现行法律法规不相符的情况，以现行法律法规为准。</w:t>
      </w:r>
      <w:r>
        <w:rPr>
          <w:rFonts w:hint="eastAsia" w:ascii="宋体" w:hAnsi="宋体" w:cs="宋体"/>
          <w:color w:val="FF0000"/>
          <w:sz w:val="24"/>
          <w:szCs w:val="24"/>
          <w:highlight w:val="none"/>
        </w:rPr>
        <w:t xml:space="preserve"> </w:t>
      </w:r>
    </w:p>
    <w:p w14:paraId="1AC329A1">
      <w:pPr>
        <w:pStyle w:val="3"/>
        <w:shd w:val="clear" w:color="auto" w:fill="auto"/>
        <w:snapToGrid w:val="0"/>
        <w:spacing w:before="0" w:after="0" w:line="360" w:lineRule="auto"/>
        <w:ind w:firstLine="0" w:firstLineChars="0"/>
        <w:contextualSpacing/>
        <w:jc w:val="center"/>
        <w:rPr>
          <w:rFonts w:hint="eastAsia" w:ascii="宋体" w:hAnsi="宋体" w:eastAsia="宋体" w:cs="宋体"/>
          <w:bCs/>
          <w:color w:val="000000"/>
          <w:szCs w:val="28"/>
          <w:highlight w:val="none"/>
        </w:rPr>
      </w:pPr>
      <w:bookmarkStart w:id="55" w:name="_Toc217446042"/>
      <w:bookmarkStart w:id="56" w:name="_Toc89075876"/>
      <w:bookmarkStart w:id="57" w:name="_Toc183682351"/>
      <w:bookmarkStart w:id="58" w:name="_Toc183582214"/>
      <w:bookmarkStart w:id="59" w:name="_Toc77400780"/>
      <w:r>
        <w:rPr>
          <w:rFonts w:hint="eastAsia" w:ascii="宋体" w:hAnsi="宋体" w:eastAsia="宋体" w:cs="宋体"/>
          <w:bCs/>
          <w:color w:val="000000"/>
          <w:szCs w:val="28"/>
          <w:highlight w:val="none"/>
        </w:rPr>
        <w:t>三、投标文件</w:t>
      </w:r>
      <w:bookmarkEnd w:id="55"/>
      <w:bookmarkEnd w:id="56"/>
      <w:bookmarkEnd w:id="57"/>
      <w:bookmarkEnd w:id="58"/>
      <w:bookmarkEnd w:id="59"/>
    </w:p>
    <w:p w14:paraId="3C7A3EF0">
      <w:pPr>
        <w:pStyle w:val="4"/>
        <w:shd w:val="clear" w:color="auto" w:fill="auto"/>
        <w:spacing w:before="0" w:after="0" w:line="360" w:lineRule="auto"/>
        <w:ind w:firstLine="482"/>
        <w:jc w:val="left"/>
        <w:rPr>
          <w:rFonts w:hint="eastAsia" w:ascii="宋体" w:hAnsi="宋体" w:cs="宋体"/>
          <w:b/>
          <w:bCs/>
          <w:color w:val="000000"/>
          <w:kern w:val="0"/>
          <w:sz w:val="24"/>
          <w:szCs w:val="24"/>
          <w:highlight w:val="none"/>
        </w:rPr>
      </w:pPr>
      <w:bookmarkStart w:id="60" w:name="_Toc183582215"/>
      <w:bookmarkStart w:id="61" w:name="_Toc217446043"/>
      <w:bookmarkStart w:id="62" w:name="_Toc183682352"/>
      <w:r>
        <w:rPr>
          <w:rFonts w:hint="eastAsia" w:ascii="宋体" w:hAnsi="宋体" w:cs="宋体"/>
          <w:b/>
          <w:bCs/>
          <w:sz w:val="24"/>
          <w:szCs w:val="24"/>
          <w:highlight w:val="none"/>
        </w:rPr>
        <w:t>9．</w:t>
      </w:r>
      <w:r>
        <w:rPr>
          <w:rFonts w:hint="eastAsia" w:ascii="宋体" w:hAnsi="宋体" w:cs="宋体"/>
          <w:b/>
          <w:bCs/>
          <w:kern w:val="0"/>
          <w:sz w:val="24"/>
          <w:szCs w:val="24"/>
          <w:highlight w:val="none"/>
        </w:rPr>
        <w:t>投标供应商应提供下列</w:t>
      </w:r>
      <w:r>
        <w:rPr>
          <w:rFonts w:hint="eastAsia" w:ascii="宋体" w:hAnsi="宋体" w:cs="宋体"/>
          <w:b/>
          <w:bCs/>
          <w:kern w:val="0"/>
          <w:sz w:val="24"/>
          <w:szCs w:val="24"/>
          <w:highlight w:val="none"/>
          <w:lang w:eastAsia="zh-CN"/>
        </w:rPr>
        <w:t>资格证明</w:t>
      </w:r>
      <w:r>
        <w:rPr>
          <w:rFonts w:hint="eastAsia" w:ascii="宋体" w:hAnsi="宋体" w:cs="宋体"/>
          <w:b/>
          <w:bCs/>
          <w:kern w:val="0"/>
          <w:sz w:val="24"/>
          <w:szCs w:val="24"/>
          <w:highlight w:val="none"/>
        </w:rPr>
        <w:t>材料：</w:t>
      </w:r>
    </w:p>
    <w:p w14:paraId="4AED4569">
      <w:pPr>
        <w:shd w:val="clear" w:color="auto" w:fill="auto"/>
        <w:ind w:firstLine="482"/>
        <w:rPr>
          <w:rFonts w:hint="eastAsia" w:ascii="宋体" w:hAnsi="宋体" w:cs="宋体"/>
          <w:b w:val="0"/>
          <w:bCs/>
          <w:color w:val="000000"/>
          <w:sz w:val="24"/>
          <w:highlight w:val="none"/>
          <w:lang w:eastAsia="zh-CN"/>
        </w:rPr>
      </w:pPr>
      <w:r>
        <w:rPr>
          <w:rFonts w:hint="eastAsia" w:ascii="宋体" w:hAnsi="宋体" w:cs="宋体"/>
          <w:b w:val="0"/>
          <w:bCs/>
          <w:color w:val="000000"/>
          <w:sz w:val="24"/>
          <w:highlight w:val="none"/>
          <w:lang w:eastAsia="zh-CN"/>
        </w:rPr>
        <w:t>（1）供应商为合法注册的法人或其他组织或自然人，提供营业执照（或事业法人证）,自然人的身份证明；</w:t>
      </w:r>
    </w:p>
    <w:p w14:paraId="248484A5">
      <w:pPr>
        <w:shd w:val="clear" w:color="auto" w:fill="auto"/>
        <w:ind w:firstLine="482"/>
        <w:rPr>
          <w:rFonts w:hint="eastAsia" w:ascii="宋体" w:hAnsi="宋体" w:cs="宋体"/>
          <w:b w:val="0"/>
          <w:bCs/>
          <w:color w:val="000000"/>
          <w:sz w:val="24"/>
          <w:highlight w:val="none"/>
          <w:lang w:eastAsia="zh-CN"/>
        </w:rPr>
      </w:pPr>
      <w:r>
        <w:rPr>
          <w:rFonts w:hint="eastAsia" w:ascii="宋体" w:hAnsi="宋体" w:cs="宋体"/>
          <w:b w:val="0"/>
          <w:bCs/>
          <w:color w:val="000000"/>
          <w:sz w:val="24"/>
          <w:highlight w:val="none"/>
          <w:lang w:eastAsia="zh-CN"/>
        </w:rPr>
        <w:t>（2）法定代表人授权书及被授权人身份证（法定代表人直接参与投标的，只须提交其身份证明）；</w:t>
      </w:r>
    </w:p>
    <w:p w14:paraId="7B5C72B4">
      <w:pPr>
        <w:shd w:val="clear" w:color="auto" w:fill="auto"/>
        <w:ind w:firstLine="482"/>
        <w:rPr>
          <w:rFonts w:hint="eastAsia" w:ascii="宋体" w:hAnsi="宋体" w:cs="宋体"/>
          <w:b w:val="0"/>
          <w:bCs/>
          <w:color w:val="000000"/>
          <w:sz w:val="24"/>
          <w:highlight w:val="none"/>
          <w:lang w:eastAsia="zh-CN"/>
        </w:rPr>
      </w:pPr>
      <w:r>
        <w:rPr>
          <w:rFonts w:hint="eastAsia" w:ascii="宋体" w:hAnsi="宋体" w:cs="宋体"/>
          <w:b w:val="0"/>
          <w:bCs/>
          <w:color w:val="000000"/>
          <w:sz w:val="24"/>
          <w:highlight w:val="none"/>
          <w:lang w:eastAsia="zh-CN"/>
        </w:rPr>
        <w:t>（3）供应商为代理商的须提供《食品经营许可证》并提供大米、面粉、菜籽油生产厂家的《食品生产许可证》；供应商为生产厂家的须提供《食品生产许可证》；</w:t>
      </w:r>
    </w:p>
    <w:p w14:paraId="0B4BFEF8">
      <w:pPr>
        <w:shd w:val="clear" w:color="auto" w:fill="auto"/>
        <w:ind w:firstLine="482"/>
        <w:rPr>
          <w:rFonts w:hint="eastAsia" w:ascii="宋体" w:hAnsi="宋体" w:cs="宋体"/>
          <w:b w:val="0"/>
          <w:bCs/>
          <w:color w:val="000000"/>
          <w:sz w:val="24"/>
          <w:highlight w:val="none"/>
          <w:lang w:eastAsia="zh-CN"/>
        </w:rPr>
      </w:pPr>
      <w:r>
        <w:rPr>
          <w:rFonts w:hint="eastAsia" w:ascii="宋体" w:hAnsi="宋体" w:cs="宋体"/>
          <w:b w:val="0"/>
          <w:bCs/>
          <w:color w:val="000000"/>
          <w:sz w:val="24"/>
          <w:highlight w:val="none"/>
          <w:lang w:eastAsia="zh-CN"/>
        </w:rPr>
        <w:t>（</w:t>
      </w:r>
      <w:r>
        <w:rPr>
          <w:rFonts w:hint="eastAsia" w:ascii="宋体" w:hAnsi="宋体" w:cs="宋体"/>
          <w:b w:val="0"/>
          <w:bCs/>
          <w:color w:val="000000"/>
          <w:sz w:val="24"/>
          <w:highlight w:val="none"/>
          <w:lang w:val="en-US" w:eastAsia="zh-CN"/>
        </w:rPr>
        <w:t>4</w:t>
      </w:r>
      <w:r>
        <w:rPr>
          <w:rFonts w:hint="eastAsia" w:ascii="宋体" w:hAnsi="宋体" w:cs="宋体"/>
          <w:b w:val="0"/>
          <w:bCs/>
          <w:color w:val="000000"/>
          <w:sz w:val="24"/>
          <w:highlight w:val="none"/>
          <w:lang w:eastAsia="zh-CN"/>
        </w:rPr>
        <w:t>）供应商需提供鸡蛋、肉类生产企业有效期内的《动物防疫条件合格证》；鲜肉必须提供定点屠宰厂(场)的《生猪定点屠宰机构》资质；</w:t>
      </w:r>
    </w:p>
    <w:p w14:paraId="0C6CA177">
      <w:pPr>
        <w:shd w:val="clear" w:color="auto" w:fill="auto"/>
        <w:ind w:firstLine="482"/>
        <w:rPr>
          <w:rFonts w:hint="eastAsia" w:ascii="宋体" w:hAnsi="宋体" w:cs="宋体"/>
          <w:b w:val="0"/>
          <w:bCs/>
          <w:color w:val="000000"/>
          <w:sz w:val="24"/>
          <w:highlight w:val="none"/>
          <w:lang w:eastAsia="zh-CN"/>
        </w:rPr>
      </w:pPr>
      <w:r>
        <w:rPr>
          <w:rFonts w:hint="eastAsia" w:ascii="宋体" w:hAnsi="宋体" w:cs="宋体"/>
          <w:b w:val="0"/>
          <w:bCs/>
          <w:color w:val="000000"/>
          <w:sz w:val="24"/>
          <w:highlight w:val="none"/>
          <w:lang w:eastAsia="zh-CN"/>
        </w:rPr>
        <w:t>（</w:t>
      </w:r>
      <w:r>
        <w:rPr>
          <w:rFonts w:hint="eastAsia" w:ascii="宋体" w:hAnsi="宋体" w:cs="宋体"/>
          <w:b w:val="0"/>
          <w:bCs/>
          <w:color w:val="000000"/>
          <w:sz w:val="24"/>
          <w:highlight w:val="none"/>
          <w:lang w:val="en-US" w:eastAsia="zh-CN"/>
        </w:rPr>
        <w:t>5</w:t>
      </w:r>
      <w:r>
        <w:rPr>
          <w:rFonts w:hint="eastAsia" w:ascii="宋体" w:hAnsi="宋体" w:cs="宋体"/>
          <w:b w:val="0"/>
          <w:bCs/>
          <w:color w:val="000000"/>
          <w:sz w:val="24"/>
          <w:highlight w:val="none"/>
          <w:lang w:eastAsia="zh-CN"/>
        </w:rPr>
        <w:t>）具备履行合同所必须的设备和专业技术能力的说明及承诺；</w:t>
      </w:r>
    </w:p>
    <w:p w14:paraId="5728FEB2">
      <w:pPr>
        <w:shd w:val="clear" w:color="auto" w:fill="auto"/>
        <w:ind w:firstLine="482"/>
        <w:rPr>
          <w:rFonts w:hint="eastAsia" w:ascii="宋体" w:hAnsi="宋体" w:cs="宋体"/>
          <w:b w:val="0"/>
          <w:bCs/>
          <w:color w:val="000000"/>
          <w:sz w:val="24"/>
          <w:highlight w:val="none"/>
          <w:lang w:eastAsia="zh-CN"/>
        </w:rPr>
      </w:pPr>
      <w:r>
        <w:rPr>
          <w:rFonts w:hint="eastAsia" w:ascii="宋体" w:hAnsi="宋体" w:cs="宋体"/>
          <w:b w:val="0"/>
          <w:bCs/>
          <w:color w:val="000000"/>
          <w:sz w:val="24"/>
          <w:highlight w:val="none"/>
          <w:lang w:eastAsia="zh-CN"/>
        </w:rPr>
        <w:t>（</w:t>
      </w:r>
      <w:r>
        <w:rPr>
          <w:rFonts w:hint="eastAsia" w:ascii="宋体" w:hAnsi="宋体" w:cs="宋体"/>
          <w:b w:val="0"/>
          <w:bCs/>
          <w:color w:val="000000"/>
          <w:sz w:val="24"/>
          <w:highlight w:val="none"/>
          <w:lang w:val="en-US" w:eastAsia="zh-CN"/>
        </w:rPr>
        <w:t>6</w:t>
      </w:r>
      <w:r>
        <w:rPr>
          <w:rFonts w:hint="eastAsia" w:ascii="宋体" w:hAnsi="宋体" w:cs="宋体"/>
          <w:b w:val="0"/>
          <w:bCs/>
          <w:color w:val="000000"/>
          <w:sz w:val="24"/>
          <w:highlight w:val="none"/>
          <w:lang w:eastAsia="zh-CN"/>
        </w:rPr>
        <w:t>）供应商在近三年经营活动中没有重大违法记录的声明；</w:t>
      </w:r>
    </w:p>
    <w:p w14:paraId="4ED1360D">
      <w:pPr>
        <w:shd w:val="clear" w:color="auto" w:fill="auto"/>
        <w:ind w:firstLine="482"/>
        <w:rPr>
          <w:rFonts w:hint="eastAsia" w:ascii="宋体" w:hAnsi="宋体" w:cs="宋体"/>
          <w:b w:val="0"/>
          <w:bCs/>
          <w:color w:val="000000"/>
          <w:sz w:val="24"/>
          <w:highlight w:val="none"/>
          <w:lang w:eastAsia="zh-CN"/>
        </w:rPr>
      </w:pPr>
      <w:r>
        <w:rPr>
          <w:rFonts w:hint="eastAsia" w:ascii="宋体" w:hAnsi="宋体" w:cs="宋体"/>
          <w:b w:val="0"/>
          <w:bCs/>
          <w:color w:val="000000"/>
          <w:sz w:val="24"/>
          <w:highlight w:val="none"/>
          <w:lang w:eastAsia="zh-CN"/>
        </w:rPr>
        <w:t>（</w:t>
      </w:r>
      <w:r>
        <w:rPr>
          <w:rFonts w:hint="eastAsia" w:ascii="宋体" w:hAnsi="宋体" w:cs="宋体"/>
          <w:b w:val="0"/>
          <w:bCs/>
          <w:color w:val="000000"/>
          <w:sz w:val="24"/>
          <w:highlight w:val="none"/>
          <w:lang w:val="en-US" w:eastAsia="zh-CN"/>
        </w:rPr>
        <w:t>7</w:t>
      </w:r>
      <w:r>
        <w:rPr>
          <w:rFonts w:hint="eastAsia" w:ascii="宋体" w:hAnsi="宋体" w:cs="宋体"/>
          <w:b w:val="0"/>
          <w:bCs/>
          <w:color w:val="000000"/>
          <w:sz w:val="24"/>
          <w:highlight w:val="none"/>
          <w:lang w:eastAsia="zh-CN"/>
        </w:rPr>
        <w:t>）财务状况报告：供应商提供2025年度经会计事务所或审计机构审计的完整的财务审计报告（成立时间至投标文件递交截止时间不足一年的可提供成立后任意时段的资产负债表）或在投标截止时间前一个月内其开户银行出具的资信证明；</w:t>
      </w:r>
    </w:p>
    <w:p w14:paraId="4898C503">
      <w:pPr>
        <w:shd w:val="clear" w:color="auto" w:fill="auto"/>
        <w:ind w:firstLine="482"/>
        <w:rPr>
          <w:rFonts w:hint="eastAsia" w:ascii="宋体" w:hAnsi="宋体" w:cs="宋体"/>
          <w:b w:val="0"/>
          <w:bCs/>
          <w:color w:val="000000"/>
          <w:sz w:val="24"/>
          <w:highlight w:val="none"/>
          <w:lang w:eastAsia="zh-CN"/>
        </w:rPr>
      </w:pPr>
      <w:r>
        <w:rPr>
          <w:rFonts w:hint="eastAsia" w:ascii="宋体" w:hAnsi="宋体" w:cs="宋体"/>
          <w:b w:val="0"/>
          <w:bCs/>
          <w:color w:val="000000"/>
          <w:sz w:val="24"/>
          <w:highlight w:val="none"/>
          <w:lang w:eastAsia="zh-CN"/>
        </w:rPr>
        <w:t>（</w:t>
      </w:r>
      <w:r>
        <w:rPr>
          <w:rFonts w:hint="eastAsia" w:ascii="宋体" w:hAnsi="宋体" w:cs="宋体"/>
          <w:b w:val="0"/>
          <w:bCs/>
          <w:color w:val="000000"/>
          <w:sz w:val="24"/>
          <w:highlight w:val="none"/>
          <w:lang w:val="en-US" w:eastAsia="zh-CN"/>
        </w:rPr>
        <w:t>8</w:t>
      </w:r>
      <w:r>
        <w:rPr>
          <w:rFonts w:hint="eastAsia" w:ascii="宋体" w:hAnsi="宋体" w:cs="宋体"/>
          <w:b w:val="0"/>
          <w:bCs/>
          <w:color w:val="000000"/>
          <w:sz w:val="24"/>
          <w:highlight w:val="none"/>
          <w:lang w:eastAsia="zh-CN"/>
        </w:rPr>
        <w:t>）税收缴纳证明：供应商提供已缴纳的2026年1月至今任意一个月的纳税证明或完税证明（任意税种）；依法免税的单位应提供相关文件证明；</w:t>
      </w:r>
    </w:p>
    <w:p w14:paraId="641D61D5">
      <w:pPr>
        <w:shd w:val="clear" w:color="auto" w:fill="auto"/>
        <w:ind w:firstLine="482"/>
        <w:rPr>
          <w:rFonts w:hint="eastAsia" w:ascii="宋体" w:hAnsi="宋体" w:cs="宋体"/>
          <w:b w:val="0"/>
          <w:bCs/>
          <w:color w:val="000000"/>
          <w:sz w:val="24"/>
          <w:highlight w:val="none"/>
          <w:lang w:eastAsia="zh-CN"/>
        </w:rPr>
      </w:pPr>
      <w:r>
        <w:rPr>
          <w:rFonts w:hint="eastAsia" w:ascii="宋体" w:hAnsi="宋体" w:cs="宋体"/>
          <w:b w:val="0"/>
          <w:bCs/>
          <w:color w:val="000000"/>
          <w:sz w:val="24"/>
          <w:highlight w:val="none"/>
          <w:lang w:eastAsia="zh-CN"/>
        </w:rPr>
        <w:t>（</w:t>
      </w:r>
      <w:r>
        <w:rPr>
          <w:rFonts w:hint="eastAsia" w:ascii="宋体" w:hAnsi="宋体" w:cs="宋体"/>
          <w:b w:val="0"/>
          <w:bCs/>
          <w:color w:val="000000"/>
          <w:sz w:val="24"/>
          <w:highlight w:val="none"/>
          <w:lang w:val="en-US" w:eastAsia="zh-CN"/>
        </w:rPr>
        <w:t>9</w:t>
      </w:r>
      <w:r>
        <w:rPr>
          <w:rFonts w:hint="eastAsia" w:ascii="宋体" w:hAnsi="宋体" w:cs="宋体"/>
          <w:b w:val="0"/>
          <w:bCs/>
          <w:color w:val="000000"/>
          <w:sz w:val="24"/>
          <w:highlight w:val="none"/>
          <w:lang w:eastAsia="zh-CN"/>
        </w:rPr>
        <w:t>）社会保障资金缴纳证明：供应商提供已缴存的2026年1月至今任意一个月的社会保障资金缴存单据或社保机构开具的社会保险参保缴费情况证明，依法不需要缴纳社会保障资金的单位应提供相关证明材料；</w:t>
      </w:r>
    </w:p>
    <w:p w14:paraId="11A7383F">
      <w:pPr>
        <w:shd w:val="clear" w:color="auto" w:fill="auto"/>
        <w:ind w:firstLine="482"/>
        <w:rPr>
          <w:rFonts w:hint="eastAsia" w:ascii="宋体" w:hAnsi="宋体" w:cs="宋体"/>
          <w:b w:val="0"/>
          <w:bCs/>
          <w:color w:val="000000"/>
          <w:sz w:val="24"/>
          <w:highlight w:val="none"/>
          <w:lang w:eastAsia="zh-CN"/>
        </w:rPr>
      </w:pPr>
      <w:r>
        <w:rPr>
          <w:rFonts w:hint="eastAsia" w:ascii="宋体" w:hAnsi="宋体" w:cs="宋体"/>
          <w:b w:val="0"/>
          <w:bCs/>
          <w:color w:val="000000"/>
          <w:sz w:val="24"/>
          <w:highlight w:val="none"/>
          <w:lang w:eastAsia="zh-CN"/>
        </w:rPr>
        <w:t>（</w:t>
      </w:r>
      <w:r>
        <w:rPr>
          <w:rFonts w:hint="eastAsia" w:ascii="宋体" w:hAnsi="宋体" w:cs="宋体"/>
          <w:b w:val="0"/>
          <w:bCs/>
          <w:color w:val="000000"/>
          <w:sz w:val="24"/>
          <w:highlight w:val="none"/>
          <w:lang w:val="en-US" w:eastAsia="zh-CN"/>
        </w:rPr>
        <w:t>10</w:t>
      </w:r>
      <w:r>
        <w:rPr>
          <w:rFonts w:hint="eastAsia" w:ascii="宋体" w:hAnsi="宋体" w:cs="宋体"/>
          <w:b w:val="0"/>
          <w:bCs/>
          <w:color w:val="000000"/>
          <w:sz w:val="24"/>
          <w:highlight w:val="none"/>
          <w:lang w:eastAsia="zh-CN"/>
        </w:rPr>
        <w:t>）供应商不得为“信用中国”网站（www.creditchina.gov.cn）中列入失信被执行人和重大税收违法失信主体的供应商，不得为中国政府采购网（www.ccgp.gov.cn）政府采购严重违法失信行为记录名单中被财政部门禁止参加政府采购活动的供应商）（此条无需提供，采购代理机构在评标现场查询）；</w:t>
      </w:r>
    </w:p>
    <w:p w14:paraId="2D0FC8E7">
      <w:pPr>
        <w:shd w:val="clear" w:color="auto" w:fill="auto"/>
        <w:ind w:firstLine="482"/>
        <w:rPr>
          <w:rFonts w:hint="eastAsia" w:ascii="宋体" w:hAnsi="宋体" w:cs="宋体"/>
          <w:b w:val="0"/>
          <w:bCs/>
          <w:color w:val="000000"/>
          <w:sz w:val="24"/>
          <w:highlight w:val="none"/>
          <w:lang w:eastAsia="zh-CN"/>
        </w:rPr>
      </w:pPr>
      <w:r>
        <w:rPr>
          <w:rFonts w:hint="eastAsia" w:ascii="宋体" w:hAnsi="宋体" w:cs="宋体"/>
          <w:b w:val="0"/>
          <w:bCs/>
          <w:color w:val="000000"/>
          <w:sz w:val="24"/>
          <w:highlight w:val="none"/>
          <w:lang w:eastAsia="zh-CN"/>
        </w:rPr>
        <w:t>（1</w:t>
      </w:r>
      <w:r>
        <w:rPr>
          <w:rFonts w:hint="eastAsia" w:ascii="宋体" w:hAnsi="宋体" w:cs="宋体"/>
          <w:b w:val="0"/>
          <w:bCs/>
          <w:color w:val="000000"/>
          <w:sz w:val="24"/>
          <w:highlight w:val="none"/>
          <w:lang w:val="en-US" w:eastAsia="zh-CN"/>
        </w:rPr>
        <w:t>1</w:t>
      </w:r>
      <w:r>
        <w:rPr>
          <w:rFonts w:hint="eastAsia" w:ascii="宋体" w:hAnsi="宋体" w:cs="宋体"/>
          <w:b w:val="0"/>
          <w:bCs/>
          <w:color w:val="000000"/>
          <w:sz w:val="24"/>
          <w:highlight w:val="none"/>
          <w:lang w:eastAsia="zh-CN"/>
        </w:rPr>
        <w:t>）投标保证金交纳凭证（附开户许可证或基本账户存款信息）；</w:t>
      </w:r>
    </w:p>
    <w:p w14:paraId="19D71174">
      <w:pPr>
        <w:shd w:val="clear" w:color="auto" w:fill="auto"/>
        <w:ind w:firstLine="482"/>
        <w:rPr>
          <w:rFonts w:hint="eastAsia" w:ascii="宋体" w:hAnsi="宋体" w:cs="宋体"/>
          <w:b w:val="0"/>
          <w:bCs/>
          <w:color w:val="000000"/>
          <w:sz w:val="24"/>
          <w:highlight w:val="none"/>
          <w:lang w:eastAsia="zh-CN"/>
        </w:rPr>
      </w:pPr>
      <w:r>
        <w:rPr>
          <w:rFonts w:hint="eastAsia" w:ascii="宋体" w:hAnsi="宋体" w:cs="宋体"/>
          <w:b w:val="0"/>
          <w:bCs/>
          <w:color w:val="000000"/>
          <w:sz w:val="24"/>
          <w:highlight w:val="none"/>
          <w:lang w:eastAsia="zh-CN"/>
        </w:rPr>
        <w:t>（1</w:t>
      </w:r>
      <w:r>
        <w:rPr>
          <w:rFonts w:hint="eastAsia" w:ascii="宋体" w:hAnsi="宋体" w:cs="宋体"/>
          <w:b w:val="0"/>
          <w:bCs/>
          <w:color w:val="000000"/>
          <w:sz w:val="24"/>
          <w:highlight w:val="none"/>
          <w:lang w:val="en-US" w:eastAsia="zh-CN"/>
        </w:rPr>
        <w:t>2</w:t>
      </w:r>
      <w:r>
        <w:rPr>
          <w:rFonts w:hint="eastAsia" w:ascii="宋体" w:hAnsi="宋体" w:cs="宋体"/>
          <w:b w:val="0"/>
          <w:bCs/>
          <w:color w:val="000000"/>
          <w:sz w:val="24"/>
          <w:highlight w:val="none"/>
          <w:lang w:eastAsia="zh-CN"/>
        </w:rPr>
        <w:t>）本次采购项目不接受联合体投标（提供非联合体承诺书）；</w:t>
      </w:r>
    </w:p>
    <w:p w14:paraId="7C9EAB9A">
      <w:pPr>
        <w:shd w:val="clear" w:color="auto" w:fill="auto"/>
        <w:ind w:firstLine="482"/>
        <w:rPr>
          <w:rFonts w:hint="eastAsia" w:ascii="宋体" w:hAnsi="宋体" w:cs="宋体"/>
          <w:b w:val="0"/>
          <w:bCs/>
          <w:color w:val="000000"/>
          <w:sz w:val="24"/>
          <w:highlight w:val="none"/>
          <w:lang w:eastAsia="zh-CN"/>
        </w:rPr>
      </w:pPr>
      <w:r>
        <w:rPr>
          <w:rFonts w:hint="eastAsia" w:ascii="宋体" w:hAnsi="宋体" w:cs="宋体"/>
          <w:b w:val="0"/>
          <w:bCs/>
          <w:color w:val="000000"/>
          <w:sz w:val="24"/>
          <w:highlight w:val="none"/>
          <w:lang w:eastAsia="zh-CN"/>
        </w:rPr>
        <w:t>（1</w:t>
      </w:r>
      <w:r>
        <w:rPr>
          <w:rFonts w:hint="eastAsia" w:ascii="宋体" w:hAnsi="宋体" w:cs="宋体"/>
          <w:b w:val="0"/>
          <w:bCs/>
          <w:color w:val="000000"/>
          <w:sz w:val="24"/>
          <w:highlight w:val="none"/>
          <w:lang w:val="en-US" w:eastAsia="zh-CN"/>
        </w:rPr>
        <w:t>3</w:t>
      </w:r>
      <w:r>
        <w:rPr>
          <w:rFonts w:hint="eastAsia" w:ascii="宋体" w:hAnsi="宋体" w:cs="宋体"/>
          <w:b w:val="0"/>
          <w:bCs/>
          <w:color w:val="000000"/>
          <w:sz w:val="24"/>
          <w:highlight w:val="none"/>
          <w:lang w:eastAsia="zh-CN"/>
        </w:rPr>
        <w:t>）单位负责人为同一人或者存在直接控股、管理关系的不同供应商，不得参加同一合同项下的政府采购活动（提供供应商企业关系关联承诺书）；</w:t>
      </w:r>
    </w:p>
    <w:p w14:paraId="0C89CE01">
      <w:pPr>
        <w:shd w:val="clear" w:color="auto" w:fill="auto"/>
        <w:ind w:firstLine="482"/>
        <w:rPr>
          <w:rFonts w:hint="eastAsia" w:ascii="宋体" w:hAnsi="宋体" w:eastAsia="宋体" w:cs="宋体"/>
          <w:b w:val="0"/>
          <w:bCs/>
          <w:color w:val="000000"/>
          <w:sz w:val="24"/>
          <w:highlight w:val="none"/>
          <w:lang w:val="en-US" w:eastAsia="zh-CN"/>
        </w:rPr>
      </w:pPr>
      <w:r>
        <w:rPr>
          <w:rFonts w:hint="eastAsia" w:ascii="宋体" w:hAnsi="宋体" w:cs="宋体"/>
          <w:b w:val="0"/>
          <w:bCs/>
          <w:color w:val="000000"/>
          <w:sz w:val="24"/>
          <w:highlight w:val="none"/>
          <w:lang w:eastAsia="zh-CN"/>
        </w:rPr>
        <w:t>（</w:t>
      </w:r>
      <w:r>
        <w:rPr>
          <w:rFonts w:hint="eastAsia" w:ascii="宋体" w:hAnsi="宋体" w:cs="宋体"/>
          <w:b w:val="0"/>
          <w:bCs/>
          <w:color w:val="000000"/>
          <w:sz w:val="24"/>
          <w:highlight w:val="none"/>
          <w:lang w:val="en-US" w:eastAsia="zh-CN"/>
        </w:rPr>
        <w:t>14</w:t>
      </w:r>
      <w:r>
        <w:rPr>
          <w:rFonts w:hint="eastAsia" w:ascii="宋体" w:hAnsi="宋体" w:cs="宋体"/>
          <w:b w:val="0"/>
          <w:bCs/>
          <w:color w:val="000000"/>
          <w:sz w:val="24"/>
          <w:highlight w:val="none"/>
          <w:lang w:eastAsia="zh-CN"/>
        </w:rPr>
        <w:t>）本项目专门面向中小企业采购（提供中小企业声明函），非中小企业单位（监狱企业、残疾人福利单位除外）不得参与。</w:t>
      </w:r>
    </w:p>
    <w:p w14:paraId="1F6DE0E2">
      <w:pPr>
        <w:shd w:val="clear" w:color="auto" w:fill="auto"/>
        <w:ind w:firstLine="482"/>
        <w:rPr>
          <w:rFonts w:hint="eastAsia" w:ascii="宋体" w:hAnsi="宋体" w:cs="宋体"/>
          <w:b/>
          <w:color w:val="000000"/>
          <w:sz w:val="24"/>
          <w:highlight w:val="none"/>
        </w:rPr>
      </w:pPr>
      <w:r>
        <w:rPr>
          <w:rFonts w:hint="eastAsia" w:ascii="宋体" w:hAnsi="宋体" w:cs="宋体"/>
          <w:b/>
          <w:color w:val="000000"/>
          <w:sz w:val="24"/>
          <w:highlight w:val="none"/>
        </w:rPr>
        <w:t>注：上述资格证明材料为必备材料，缺少一项或某项达不到招标文件要求的按无效投标文件处理。在投标文件中应附以上完整的资格证明材料，复印件加盖投标供应商公章，资格审查时以投标文件中所附证明材料及采购代理机构的查询结果为准。</w:t>
      </w:r>
    </w:p>
    <w:p w14:paraId="5EEC984D">
      <w:pPr>
        <w:pStyle w:val="4"/>
        <w:shd w:val="clear" w:color="auto" w:fill="auto"/>
        <w:spacing w:before="0" w:after="0" w:line="360" w:lineRule="auto"/>
        <w:ind w:firstLine="482"/>
        <w:rPr>
          <w:rFonts w:hint="eastAsia" w:ascii="宋体" w:hAnsi="宋体" w:cs="宋体"/>
          <w:bCs/>
          <w:sz w:val="24"/>
          <w:szCs w:val="24"/>
          <w:highlight w:val="none"/>
        </w:rPr>
      </w:pPr>
      <w:r>
        <w:rPr>
          <w:rFonts w:hint="eastAsia" w:ascii="宋体" w:hAnsi="宋体" w:cs="宋体"/>
          <w:bCs/>
          <w:sz w:val="24"/>
          <w:szCs w:val="24"/>
          <w:highlight w:val="none"/>
        </w:rPr>
        <w:t>10.投标文件的语言</w:t>
      </w:r>
      <w:bookmarkEnd w:id="60"/>
      <w:bookmarkEnd w:id="61"/>
      <w:bookmarkEnd w:id="62"/>
    </w:p>
    <w:p w14:paraId="4DA63439">
      <w:pPr>
        <w:shd w:val="clear" w:color="auto" w:fill="auto"/>
        <w:ind w:firstLine="480"/>
        <w:rPr>
          <w:rFonts w:hint="eastAsia" w:ascii="宋体" w:hAnsi="宋体" w:cs="宋体"/>
          <w:sz w:val="24"/>
          <w:highlight w:val="none"/>
        </w:rPr>
      </w:pPr>
      <w:r>
        <w:rPr>
          <w:rFonts w:hint="eastAsia" w:ascii="宋体" w:hAnsi="宋体" w:cs="宋体"/>
          <w:sz w:val="24"/>
          <w:highlight w:val="none"/>
        </w:rPr>
        <w:t>10.1 投标供应商提交的投标文件以及投标供应商与采购代理机构就有关投标的所有来往书面文件均须使用中文。投标文件中如附有外文资料，必须逐一对应翻译成中文并加盖投标供应商公章后附在相关外文资料后面，否则，投标供应商的投标文件将作为无效投标处理。</w:t>
      </w:r>
    </w:p>
    <w:p w14:paraId="03419DBD">
      <w:pPr>
        <w:shd w:val="clear" w:color="auto" w:fill="auto"/>
        <w:ind w:firstLine="480"/>
        <w:rPr>
          <w:rFonts w:hint="eastAsia" w:ascii="宋体" w:hAnsi="宋体" w:cs="宋体"/>
          <w:sz w:val="24"/>
          <w:highlight w:val="none"/>
        </w:rPr>
      </w:pPr>
      <w:r>
        <w:rPr>
          <w:rFonts w:hint="eastAsia" w:ascii="宋体" w:hAnsi="宋体" w:cs="宋体"/>
          <w:sz w:val="24"/>
          <w:highlight w:val="none"/>
        </w:rPr>
        <w:t>10.2 翻译的中文资料与外文资料如果出现差异和矛盾时，以中文为准。但不能故意错误翻译，否则，投标供应商的投标文件将作为无效投标处理。</w:t>
      </w:r>
    </w:p>
    <w:p w14:paraId="4FE9CFFB">
      <w:pPr>
        <w:pStyle w:val="4"/>
        <w:shd w:val="clear" w:color="auto" w:fill="auto"/>
        <w:spacing w:before="0" w:after="0" w:line="360" w:lineRule="auto"/>
        <w:ind w:firstLine="482"/>
        <w:rPr>
          <w:rFonts w:hint="eastAsia" w:ascii="宋体" w:hAnsi="宋体" w:cs="宋体"/>
          <w:color w:val="000000"/>
          <w:sz w:val="24"/>
          <w:szCs w:val="24"/>
          <w:highlight w:val="none"/>
        </w:rPr>
      </w:pPr>
      <w:bookmarkStart w:id="63" w:name="_Toc217446044"/>
      <w:bookmarkStart w:id="64" w:name="_Toc183582216"/>
      <w:bookmarkStart w:id="65" w:name="_Toc183682353"/>
      <w:r>
        <w:rPr>
          <w:rFonts w:hint="eastAsia" w:ascii="宋体" w:hAnsi="宋体" w:cs="宋体"/>
          <w:color w:val="000000"/>
          <w:sz w:val="24"/>
          <w:szCs w:val="24"/>
          <w:highlight w:val="none"/>
        </w:rPr>
        <w:t>11．计量单位</w:t>
      </w:r>
      <w:bookmarkEnd w:id="63"/>
      <w:bookmarkEnd w:id="64"/>
      <w:bookmarkEnd w:id="65"/>
    </w:p>
    <w:p w14:paraId="70863868">
      <w:pPr>
        <w:shd w:val="clear" w:color="auto" w:fill="auto"/>
        <w:ind w:firstLine="470" w:firstLineChars="196"/>
        <w:rPr>
          <w:rFonts w:hint="eastAsia" w:ascii="宋体" w:hAnsi="宋体" w:cs="宋体"/>
          <w:sz w:val="24"/>
          <w:highlight w:val="none"/>
        </w:rPr>
      </w:pPr>
      <w:r>
        <w:rPr>
          <w:rFonts w:hint="eastAsia" w:ascii="宋体" w:hAnsi="宋体" w:cs="宋体"/>
          <w:color w:val="000000"/>
          <w:sz w:val="24"/>
          <w:highlight w:val="none"/>
        </w:rPr>
        <w:t>除技术规格及要求中另有规定外，本采购项下的投标均采用国家法定的计量单位。</w:t>
      </w:r>
    </w:p>
    <w:p w14:paraId="28A4BB53">
      <w:pPr>
        <w:pStyle w:val="4"/>
        <w:shd w:val="clear" w:color="auto" w:fill="auto"/>
        <w:spacing w:before="0" w:after="0" w:line="360" w:lineRule="auto"/>
        <w:ind w:firstLine="482"/>
        <w:rPr>
          <w:rFonts w:hint="eastAsia" w:ascii="宋体" w:hAnsi="宋体" w:cs="宋体"/>
          <w:color w:val="000000"/>
          <w:sz w:val="24"/>
          <w:szCs w:val="24"/>
          <w:highlight w:val="none"/>
        </w:rPr>
      </w:pPr>
      <w:bookmarkStart w:id="66" w:name="_Toc217446045"/>
      <w:r>
        <w:rPr>
          <w:rFonts w:hint="eastAsia" w:ascii="宋体" w:hAnsi="宋体" w:cs="宋体"/>
          <w:sz w:val="24"/>
          <w:szCs w:val="24"/>
          <w:highlight w:val="none"/>
        </w:rPr>
        <w:t>12. 投标货币</w:t>
      </w:r>
      <w:bookmarkEnd w:id="66"/>
    </w:p>
    <w:p w14:paraId="07C34BCD">
      <w:pPr>
        <w:shd w:val="clear" w:color="auto" w:fill="auto"/>
        <w:tabs>
          <w:tab w:val="left" w:pos="7665"/>
        </w:tabs>
        <w:ind w:left="13" w:firstLine="480"/>
        <w:rPr>
          <w:rFonts w:hint="eastAsia" w:ascii="宋体" w:hAnsi="宋体" w:cs="宋体"/>
          <w:sz w:val="24"/>
          <w:highlight w:val="none"/>
        </w:rPr>
      </w:pPr>
      <w:r>
        <w:rPr>
          <w:rFonts w:hint="eastAsia" w:ascii="宋体" w:hAnsi="宋体" w:cs="宋体"/>
          <w:sz w:val="24"/>
          <w:highlight w:val="none"/>
        </w:rPr>
        <w:t xml:space="preserve">本次招标项目的投标均以人民币报价。 </w:t>
      </w:r>
      <w:bookmarkStart w:id="67" w:name="_Toc217446046"/>
      <w:r>
        <w:rPr>
          <w:rFonts w:hint="eastAsia" w:ascii="宋体" w:hAnsi="宋体" w:cs="宋体"/>
          <w:sz w:val="24"/>
          <w:highlight w:val="none"/>
        </w:rPr>
        <w:t xml:space="preserve"> </w:t>
      </w:r>
    </w:p>
    <w:bookmarkEnd w:id="67"/>
    <w:p w14:paraId="73098029">
      <w:pPr>
        <w:pStyle w:val="7"/>
        <w:shd w:val="clear" w:color="auto" w:fill="auto"/>
        <w:ind w:firstLine="482"/>
        <w:rPr>
          <w:rFonts w:hint="eastAsia" w:ascii="宋体" w:hAnsi="宋体" w:cs="宋体"/>
          <w:b/>
          <w:bCs/>
          <w:sz w:val="24"/>
          <w:szCs w:val="24"/>
          <w:highlight w:val="none"/>
        </w:rPr>
      </w:pPr>
      <w:bookmarkStart w:id="68" w:name="_Toc217446047"/>
      <w:r>
        <w:rPr>
          <w:rFonts w:hint="eastAsia" w:ascii="宋体" w:hAnsi="宋体" w:cs="宋体"/>
          <w:b/>
          <w:bCs/>
          <w:sz w:val="24"/>
          <w:szCs w:val="24"/>
          <w:highlight w:val="none"/>
        </w:rPr>
        <w:t>13. 知识产权</w:t>
      </w:r>
      <w:bookmarkEnd w:id="68"/>
    </w:p>
    <w:p w14:paraId="75E1C1B6">
      <w:pPr>
        <w:pStyle w:val="7"/>
        <w:shd w:val="clear" w:color="auto" w:fill="auto"/>
        <w:ind w:firstLine="480"/>
        <w:rPr>
          <w:rFonts w:hint="eastAsia" w:ascii="宋体" w:hAnsi="宋体" w:cs="宋体"/>
          <w:sz w:val="24"/>
          <w:szCs w:val="24"/>
          <w:highlight w:val="none"/>
        </w:rPr>
      </w:pPr>
      <w:r>
        <w:rPr>
          <w:rFonts w:hint="eastAsia" w:ascii="宋体" w:hAnsi="宋体" w:cs="宋体"/>
          <w:sz w:val="24"/>
          <w:szCs w:val="24"/>
          <w:highlight w:val="none"/>
        </w:rPr>
        <w:t>13.1 投标供应商应保证在本项目使用的任何产品和服务（包括部分使用）时，不会产生因第三方提出侵犯其专利权、商标权或其他知识产权而引起的法律和经济纠纷，如因专利权、商标权或其他知识产权而引起法律和经济纠纷，由投标供应商承担所有相关责任。</w:t>
      </w:r>
    </w:p>
    <w:p w14:paraId="3D7E3549">
      <w:pPr>
        <w:pStyle w:val="7"/>
        <w:shd w:val="clear" w:color="auto" w:fill="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13.2 采购人享有本项目实施过程中产生的知识成果及知识产权。</w:t>
      </w:r>
    </w:p>
    <w:p w14:paraId="210EB3A1">
      <w:pPr>
        <w:shd w:val="clear" w:color="auto" w:fill="auto"/>
        <w:ind w:firstLine="480"/>
        <w:rPr>
          <w:rFonts w:hint="eastAsia" w:ascii="宋体" w:hAnsi="宋体" w:cs="宋体"/>
          <w:color w:val="000000"/>
          <w:sz w:val="24"/>
          <w:highlight w:val="none"/>
        </w:rPr>
      </w:pPr>
      <w:r>
        <w:rPr>
          <w:rFonts w:hint="eastAsia" w:ascii="宋体" w:hAnsi="宋体" w:cs="宋体"/>
          <w:sz w:val="24"/>
          <w:highlight w:val="none"/>
        </w:rPr>
        <w:t>13.3 投标供应商如欲在项目实施过程中采用自有知识成果，需在投标文件中声明，并提供相关知识产权证明文件。使用该知识成果后，投标供应商需提供开发接口和开发手册等技术文档，并承诺提供无限期技术支持，</w:t>
      </w:r>
      <w:r>
        <w:rPr>
          <w:rFonts w:hint="eastAsia" w:ascii="宋体" w:hAnsi="宋体" w:cs="宋体"/>
          <w:color w:val="000000"/>
          <w:sz w:val="24"/>
          <w:highlight w:val="none"/>
        </w:rPr>
        <w:t>采购人享有永久使用权。</w:t>
      </w:r>
    </w:p>
    <w:p w14:paraId="0AF99ED5">
      <w:pPr>
        <w:shd w:val="clear" w:color="auto" w:fill="auto"/>
        <w:ind w:firstLine="460" w:firstLineChars="192"/>
        <w:rPr>
          <w:rFonts w:hint="eastAsia" w:ascii="宋体" w:hAnsi="宋体" w:cs="宋体"/>
          <w:color w:val="000000"/>
          <w:sz w:val="24"/>
          <w:highlight w:val="none"/>
        </w:rPr>
      </w:pPr>
      <w:r>
        <w:rPr>
          <w:rFonts w:hint="eastAsia" w:ascii="宋体" w:hAnsi="宋体" w:cs="宋体"/>
          <w:sz w:val="24"/>
          <w:highlight w:val="none"/>
        </w:rPr>
        <w:t>13.4 如采用投标供应商所不拥有的知识产权，则在投标报价中必须包括合法</w:t>
      </w:r>
      <w:r>
        <w:rPr>
          <w:rFonts w:hint="eastAsia" w:ascii="宋体" w:hAnsi="宋体" w:cs="宋体"/>
          <w:color w:val="000000"/>
          <w:sz w:val="24"/>
          <w:highlight w:val="none"/>
        </w:rPr>
        <w:t xml:space="preserve">获取该知识产权的相关费用。 </w:t>
      </w:r>
    </w:p>
    <w:p w14:paraId="211F7C22">
      <w:pPr>
        <w:pStyle w:val="4"/>
        <w:shd w:val="clear" w:color="auto" w:fill="auto"/>
        <w:spacing w:before="0" w:after="0" w:line="360" w:lineRule="auto"/>
        <w:ind w:firstLine="482"/>
        <w:rPr>
          <w:rFonts w:hint="eastAsia" w:ascii="宋体" w:hAnsi="宋体" w:cs="宋体"/>
          <w:color w:val="000000"/>
          <w:sz w:val="24"/>
          <w:szCs w:val="24"/>
          <w:highlight w:val="none"/>
        </w:rPr>
      </w:pPr>
      <w:bookmarkStart w:id="69" w:name="_Toc183582217"/>
      <w:bookmarkStart w:id="70" w:name="_Toc217446048"/>
      <w:bookmarkStart w:id="71" w:name="_Toc183682354"/>
      <w:r>
        <w:rPr>
          <w:rFonts w:hint="eastAsia" w:ascii="宋体" w:hAnsi="宋体" w:cs="宋体"/>
          <w:color w:val="000000"/>
          <w:sz w:val="24"/>
          <w:szCs w:val="24"/>
          <w:highlight w:val="none"/>
        </w:rPr>
        <w:t>14．投标文件的组成</w:t>
      </w:r>
      <w:bookmarkEnd w:id="69"/>
      <w:bookmarkEnd w:id="70"/>
      <w:bookmarkEnd w:id="71"/>
    </w:p>
    <w:p w14:paraId="1582EFC9">
      <w:pPr>
        <w:shd w:val="clear" w:color="auto" w:fill="auto"/>
        <w:ind w:firstLine="470" w:firstLineChars="196"/>
        <w:rPr>
          <w:rFonts w:hint="eastAsia" w:ascii="宋体" w:hAnsi="宋体" w:cs="宋体"/>
          <w:color w:val="000000"/>
          <w:sz w:val="24"/>
          <w:highlight w:val="none"/>
        </w:rPr>
      </w:pPr>
      <w:r>
        <w:rPr>
          <w:rFonts w:hint="eastAsia" w:ascii="宋体" w:hAnsi="宋体" w:cs="宋体"/>
          <w:sz w:val="24"/>
          <w:highlight w:val="none"/>
        </w:rPr>
        <w:t>投标供应商应按照招标文件的规定和要求编制投标文件。</w:t>
      </w:r>
      <w:r>
        <w:rPr>
          <w:rFonts w:hint="eastAsia" w:ascii="宋体" w:hAnsi="宋体" w:cs="宋体"/>
          <w:color w:val="000000"/>
          <w:sz w:val="24"/>
          <w:highlight w:val="none"/>
        </w:rPr>
        <w:t>投标供应商拟在中标后将中标项目的非主体、非关键性工作交由他人完成的，应当在投标文件中载明。</w:t>
      </w:r>
      <w:r>
        <w:rPr>
          <w:rFonts w:hint="eastAsia" w:ascii="宋体" w:hAnsi="宋体" w:cs="宋体"/>
          <w:sz w:val="24"/>
          <w:highlight w:val="none"/>
        </w:rPr>
        <w:t>投标供应商编写的投标文件应包括下列部分：</w:t>
      </w:r>
    </w:p>
    <w:p w14:paraId="3F2DECBB">
      <w:pPr>
        <w:shd w:val="clear" w:color="auto" w:fill="auto"/>
        <w:ind w:firstLine="472" w:firstLineChars="196"/>
        <w:rPr>
          <w:rFonts w:hint="eastAsia" w:ascii="宋体" w:hAnsi="宋体" w:cs="宋体"/>
          <w:sz w:val="24"/>
          <w:highlight w:val="none"/>
        </w:rPr>
      </w:pPr>
      <w:r>
        <w:rPr>
          <w:rFonts w:hint="eastAsia" w:ascii="宋体" w:hAnsi="宋体" w:cs="宋体"/>
          <w:b/>
          <w:sz w:val="24"/>
          <w:highlight w:val="none"/>
        </w:rPr>
        <w:t>14.1 报价部分。</w:t>
      </w:r>
      <w:r>
        <w:rPr>
          <w:rFonts w:hint="eastAsia" w:ascii="宋体" w:hAnsi="宋体" w:cs="宋体"/>
          <w:bCs/>
          <w:sz w:val="24"/>
          <w:highlight w:val="none"/>
        </w:rPr>
        <w:t>投标供应商</w:t>
      </w:r>
      <w:r>
        <w:rPr>
          <w:rFonts w:hint="eastAsia" w:ascii="宋体" w:hAnsi="宋体" w:cs="宋体"/>
          <w:sz w:val="24"/>
          <w:highlight w:val="none"/>
        </w:rPr>
        <w:t>按照招标文件要求填写“开标一览表”及“分项报价表”。 本次招标报价要求：</w:t>
      </w:r>
    </w:p>
    <w:p w14:paraId="73306276">
      <w:pPr>
        <w:shd w:val="clear" w:color="auto" w:fill="auto"/>
        <w:ind w:firstLine="482"/>
        <w:rPr>
          <w:rFonts w:hint="eastAsia" w:ascii="宋体" w:hAnsi="宋体" w:cs="宋体"/>
          <w:sz w:val="24"/>
          <w:highlight w:val="none"/>
          <w:u w:val="single"/>
        </w:rPr>
      </w:pPr>
      <w:r>
        <w:rPr>
          <w:rFonts w:hint="eastAsia" w:ascii="宋体" w:hAnsi="宋体" w:cs="宋体"/>
          <w:b/>
          <w:bCs/>
          <w:sz w:val="24"/>
          <w:highlight w:val="none"/>
        </w:rPr>
        <w:t>14.1.1</w:t>
      </w:r>
      <w:r>
        <w:rPr>
          <w:rFonts w:hint="eastAsia" w:ascii="宋体" w:hAnsi="宋体" w:cs="宋体"/>
          <w:sz w:val="24"/>
          <w:highlight w:val="none"/>
        </w:rPr>
        <w:t>投标供应商报价超出最高限价（单价），作为不实质性响应采购文件，按无效投标处理。投标供应商的报价是投标供应商响应招标项目要求的全部工作内容的价格体现，包括投标供应商完成本项目所需的一切费用。</w:t>
      </w:r>
    </w:p>
    <w:p w14:paraId="46346C0C">
      <w:pPr>
        <w:shd w:val="clear" w:color="auto" w:fill="auto"/>
        <w:ind w:left="2" w:leftChars="1" w:firstLine="472" w:firstLineChars="197"/>
        <w:rPr>
          <w:rFonts w:hint="eastAsia" w:ascii="宋体" w:hAnsi="宋体" w:cs="宋体"/>
          <w:bCs/>
          <w:sz w:val="24"/>
          <w:highlight w:val="none"/>
        </w:rPr>
      </w:pPr>
      <w:r>
        <w:rPr>
          <w:rFonts w:hint="eastAsia" w:ascii="宋体" w:hAnsi="宋体" w:cs="宋体"/>
          <w:sz w:val="24"/>
          <w:highlight w:val="none"/>
        </w:rPr>
        <w:t>14.1.</w:t>
      </w:r>
      <w:r>
        <w:rPr>
          <w:rFonts w:hint="eastAsia" w:ascii="宋体" w:hAnsi="宋体" w:cs="宋体"/>
          <w:sz w:val="24"/>
          <w:highlight w:val="none"/>
          <w:lang w:val="en-US" w:eastAsia="zh-CN"/>
        </w:rPr>
        <w:t>2</w:t>
      </w:r>
      <w:r>
        <w:rPr>
          <w:rFonts w:hint="eastAsia" w:ascii="宋体" w:hAnsi="宋体" w:cs="宋体"/>
          <w:sz w:val="24"/>
          <w:highlight w:val="none"/>
        </w:rPr>
        <w:t xml:space="preserve"> 投标供应商每种货物只允许有一个报价，并且在合同履行过程中是固定不变的，任何有选择或可调整的报价将不予接受，并按无效投标处</w:t>
      </w:r>
      <w:r>
        <w:rPr>
          <w:rFonts w:hint="eastAsia" w:ascii="宋体" w:hAnsi="宋体" w:cs="宋体"/>
          <w:bCs/>
          <w:sz w:val="24"/>
          <w:highlight w:val="none"/>
        </w:rPr>
        <w:t>理。</w:t>
      </w:r>
    </w:p>
    <w:p w14:paraId="41D7A4E9">
      <w:pPr>
        <w:shd w:val="clear" w:color="auto" w:fill="auto"/>
        <w:ind w:firstLine="480"/>
        <w:rPr>
          <w:rFonts w:hint="eastAsia" w:ascii="宋体" w:hAnsi="宋体" w:cs="宋体"/>
          <w:bCs/>
          <w:sz w:val="24"/>
          <w:highlight w:val="none"/>
        </w:rPr>
      </w:pPr>
      <w:r>
        <w:rPr>
          <w:rFonts w:hint="eastAsia" w:ascii="宋体" w:hAnsi="宋体" w:cs="宋体"/>
          <w:bCs/>
          <w:sz w:val="24"/>
          <w:highlight w:val="none"/>
        </w:rPr>
        <w:t>14.1.</w:t>
      </w:r>
      <w:r>
        <w:rPr>
          <w:rFonts w:hint="eastAsia" w:ascii="宋体" w:hAnsi="宋体" w:cs="宋体"/>
          <w:bCs/>
          <w:sz w:val="24"/>
          <w:highlight w:val="none"/>
          <w:lang w:val="en-US" w:eastAsia="zh-CN"/>
        </w:rPr>
        <w:t>3</w:t>
      </w:r>
      <w:r>
        <w:rPr>
          <w:rFonts w:hint="eastAsia" w:ascii="宋体" w:hAnsi="宋体" w:cs="宋体"/>
          <w:bCs/>
          <w:sz w:val="24"/>
          <w:highlight w:val="none"/>
        </w:rPr>
        <w:t xml:space="preserve"> 评标委员会认为供应商的报价明显低于其他通过符合性审查供应商的报价，有可能影响产品质量或者不能诚信履约的，应当要求其在评标现场合理的时间内提供书面说明，必要时提交相关证明材料；</w:t>
      </w:r>
      <w:r>
        <w:rPr>
          <w:rFonts w:hint="eastAsia" w:ascii="宋体" w:hAnsi="宋体" w:cs="宋体"/>
          <w:bCs/>
          <w:sz w:val="24"/>
          <w:highlight w:val="none"/>
          <w:lang w:eastAsia="zh-CN"/>
        </w:rPr>
        <w:t>供</w:t>
      </w:r>
      <w:r>
        <w:rPr>
          <w:rFonts w:hint="eastAsia" w:ascii="宋体" w:hAnsi="宋体" w:cs="宋体"/>
          <w:bCs/>
          <w:sz w:val="24"/>
          <w:highlight w:val="none"/>
        </w:rPr>
        <w:t>应商不能证明其报价合理性的，评标委员会应当将其作为无效投标处理。</w:t>
      </w:r>
    </w:p>
    <w:p w14:paraId="5CF97F33">
      <w:pPr>
        <w:shd w:val="clear" w:color="auto" w:fill="auto"/>
        <w:tabs>
          <w:tab w:val="left" w:pos="540"/>
        </w:tabs>
        <w:ind w:firstLine="472" w:firstLineChars="196"/>
        <w:rPr>
          <w:rFonts w:hint="eastAsia" w:ascii="宋体" w:hAnsi="宋体" w:cs="宋体"/>
          <w:sz w:val="24"/>
          <w:highlight w:val="none"/>
        </w:rPr>
      </w:pPr>
      <w:r>
        <w:rPr>
          <w:rFonts w:hint="eastAsia" w:ascii="宋体" w:hAnsi="宋体" w:cs="宋体"/>
          <w:b/>
          <w:bCs/>
          <w:sz w:val="24"/>
          <w:highlight w:val="none"/>
        </w:rPr>
        <w:t>14.2 技术部分。</w:t>
      </w:r>
      <w:r>
        <w:rPr>
          <w:rFonts w:hint="eastAsia" w:ascii="宋体" w:hAnsi="宋体" w:cs="宋体"/>
          <w:bCs/>
          <w:sz w:val="24"/>
          <w:highlight w:val="none"/>
        </w:rPr>
        <w:t>投标供应商</w:t>
      </w:r>
      <w:r>
        <w:rPr>
          <w:rFonts w:hint="eastAsia" w:ascii="宋体" w:hAnsi="宋体" w:cs="宋体"/>
          <w:sz w:val="24"/>
          <w:highlight w:val="none"/>
        </w:rPr>
        <w:t>按照招标文件要求做出的技术应答，主要是针对招标项目的技术指标、参数、技术要求及实施方案做出的实质性响应和满足。投标供应商的技术应答应根据具体采购内容包括下列内容：</w:t>
      </w:r>
    </w:p>
    <w:p w14:paraId="37E62205">
      <w:pPr>
        <w:shd w:val="clear" w:color="auto" w:fill="auto"/>
        <w:ind w:left="508" w:leftChars="169" w:hanging="153" w:hangingChars="64"/>
        <w:rPr>
          <w:rFonts w:hint="eastAsia" w:ascii="宋体" w:hAnsi="宋体" w:cs="宋体"/>
          <w:sz w:val="24"/>
          <w:highlight w:val="none"/>
        </w:rPr>
      </w:pPr>
      <w:r>
        <w:rPr>
          <w:rFonts w:hint="eastAsia" w:ascii="宋体" w:hAnsi="宋体" w:cs="宋体"/>
          <w:sz w:val="24"/>
          <w:highlight w:val="none"/>
        </w:rPr>
        <w:t xml:space="preserve"> （1）技术方案；</w:t>
      </w:r>
    </w:p>
    <w:p w14:paraId="5CF90A9F">
      <w:pPr>
        <w:shd w:val="clear" w:color="auto" w:fill="auto"/>
        <w:ind w:left="508" w:leftChars="169" w:hanging="153" w:hangingChars="64"/>
        <w:rPr>
          <w:rFonts w:hint="eastAsia" w:ascii="宋体" w:hAnsi="宋体" w:cs="宋体"/>
          <w:sz w:val="24"/>
          <w:highlight w:val="none"/>
        </w:rPr>
      </w:pPr>
      <w:r>
        <w:rPr>
          <w:rFonts w:hint="eastAsia" w:ascii="宋体" w:hAnsi="宋体" w:cs="宋体"/>
          <w:sz w:val="24"/>
          <w:highlight w:val="none"/>
        </w:rPr>
        <w:t xml:space="preserve"> （2）</w:t>
      </w:r>
      <w:r>
        <w:rPr>
          <w:rFonts w:hint="eastAsia" w:ascii="宋体" w:hAnsi="宋体" w:cs="宋体"/>
          <w:sz w:val="24"/>
          <w:highlight w:val="none"/>
          <w:lang w:eastAsia="zh-CN"/>
        </w:rPr>
        <w:t>产品</w:t>
      </w:r>
      <w:r>
        <w:rPr>
          <w:rFonts w:hint="eastAsia" w:ascii="宋体" w:hAnsi="宋体" w:cs="宋体"/>
          <w:sz w:val="24"/>
          <w:highlight w:val="none"/>
        </w:rPr>
        <w:t>技术响应；</w:t>
      </w:r>
    </w:p>
    <w:p w14:paraId="4B6442C1">
      <w:pPr>
        <w:shd w:val="clear" w:color="auto" w:fill="auto"/>
        <w:ind w:left="527" w:leftChars="236" w:hanging="31" w:hangingChars="13"/>
        <w:rPr>
          <w:rFonts w:hint="eastAsia" w:ascii="宋体" w:hAnsi="宋体" w:cs="宋体"/>
          <w:color w:val="000000"/>
          <w:sz w:val="24"/>
          <w:highlight w:val="none"/>
        </w:rPr>
      </w:pPr>
      <w:r>
        <w:rPr>
          <w:rFonts w:hint="eastAsia" w:ascii="宋体" w:hAnsi="宋体" w:cs="宋体"/>
          <w:sz w:val="24"/>
          <w:highlight w:val="none"/>
        </w:rPr>
        <w:t>（3）实施方案响应</w:t>
      </w:r>
      <w:r>
        <w:rPr>
          <w:rFonts w:hint="eastAsia" w:ascii="宋体" w:hAnsi="宋体" w:cs="宋体"/>
          <w:color w:val="000000"/>
          <w:sz w:val="24"/>
          <w:highlight w:val="none"/>
        </w:rPr>
        <w:t>；</w:t>
      </w:r>
    </w:p>
    <w:p w14:paraId="6A710F92">
      <w:pPr>
        <w:shd w:val="clear" w:color="auto" w:fill="auto"/>
        <w:ind w:left="527" w:leftChars="236" w:hanging="31" w:hangingChars="13"/>
        <w:rPr>
          <w:rFonts w:hint="eastAsia" w:ascii="宋体" w:hAnsi="宋体" w:cs="宋体"/>
          <w:sz w:val="24"/>
          <w:highlight w:val="none"/>
        </w:rPr>
      </w:pPr>
      <w:r>
        <w:rPr>
          <w:rFonts w:hint="eastAsia" w:ascii="宋体" w:hAnsi="宋体" w:cs="宋体"/>
          <w:sz w:val="24"/>
          <w:highlight w:val="none"/>
        </w:rPr>
        <w:t>（</w:t>
      </w:r>
      <w:r>
        <w:rPr>
          <w:rFonts w:hint="eastAsia" w:ascii="宋体" w:hAnsi="宋体" w:cs="宋体"/>
          <w:sz w:val="24"/>
          <w:highlight w:val="none"/>
          <w:lang w:val="en-US" w:eastAsia="zh-CN"/>
        </w:rPr>
        <w:t>4</w:t>
      </w:r>
      <w:r>
        <w:rPr>
          <w:rFonts w:hint="eastAsia" w:ascii="宋体" w:hAnsi="宋体" w:cs="宋体"/>
          <w:sz w:val="24"/>
          <w:highlight w:val="none"/>
        </w:rPr>
        <w:t>）技术规格偏离表；</w:t>
      </w:r>
    </w:p>
    <w:p w14:paraId="3C4E0548">
      <w:pPr>
        <w:shd w:val="clear" w:color="auto" w:fill="auto"/>
        <w:ind w:left="527" w:leftChars="236" w:hanging="31" w:hangingChars="13"/>
        <w:rPr>
          <w:rFonts w:hint="eastAsia" w:ascii="宋体" w:hAnsi="宋体" w:cs="宋体"/>
          <w:sz w:val="24"/>
          <w:highlight w:val="none"/>
        </w:rPr>
      </w:pPr>
      <w:r>
        <w:rPr>
          <w:rFonts w:hint="eastAsia" w:ascii="宋体" w:hAnsi="宋体" w:cs="宋体"/>
          <w:sz w:val="24"/>
          <w:highlight w:val="none"/>
        </w:rPr>
        <w:t>（</w:t>
      </w:r>
      <w:r>
        <w:rPr>
          <w:rFonts w:hint="eastAsia" w:ascii="宋体" w:hAnsi="宋体" w:cs="宋体"/>
          <w:sz w:val="24"/>
          <w:highlight w:val="none"/>
          <w:lang w:val="en-US" w:eastAsia="zh-CN"/>
        </w:rPr>
        <w:t>5</w:t>
      </w:r>
      <w:r>
        <w:rPr>
          <w:rFonts w:hint="eastAsia" w:ascii="宋体" w:hAnsi="宋体" w:cs="宋体"/>
          <w:sz w:val="24"/>
          <w:highlight w:val="none"/>
        </w:rPr>
        <w:t>）</w:t>
      </w:r>
      <w:r>
        <w:rPr>
          <w:rFonts w:hint="eastAsia" w:ascii="宋体" w:hAnsi="宋体" w:cs="宋体"/>
          <w:color w:val="000000"/>
          <w:sz w:val="24"/>
          <w:highlight w:val="none"/>
        </w:rPr>
        <w:t>投标供应商认为需要提供的文件和资料。</w:t>
      </w:r>
    </w:p>
    <w:p w14:paraId="3D79768F">
      <w:pPr>
        <w:shd w:val="clear" w:color="auto" w:fill="auto"/>
        <w:ind w:firstLine="472" w:firstLineChars="196"/>
        <w:rPr>
          <w:rFonts w:hint="eastAsia" w:ascii="宋体" w:hAnsi="宋体" w:cs="宋体"/>
          <w:sz w:val="24"/>
          <w:highlight w:val="none"/>
        </w:rPr>
      </w:pPr>
      <w:r>
        <w:rPr>
          <w:rFonts w:hint="eastAsia" w:ascii="宋体" w:hAnsi="宋体" w:cs="宋体"/>
          <w:b/>
          <w:bCs/>
          <w:sz w:val="24"/>
          <w:highlight w:val="none"/>
        </w:rPr>
        <w:t>14.3 商务部分。</w:t>
      </w:r>
      <w:r>
        <w:rPr>
          <w:rFonts w:hint="eastAsia" w:ascii="宋体" w:hAnsi="宋体" w:cs="宋体"/>
          <w:bCs/>
          <w:sz w:val="24"/>
          <w:highlight w:val="none"/>
        </w:rPr>
        <w:t>投标供应商</w:t>
      </w:r>
      <w:r>
        <w:rPr>
          <w:rFonts w:hint="eastAsia" w:ascii="宋体" w:hAnsi="宋体" w:cs="宋体"/>
          <w:sz w:val="24"/>
          <w:highlight w:val="none"/>
        </w:rPr>
        <w:t>按照招标文件要求做出完全响应，提供的有关资格证明文件。包括以下内容：</w:t>
      </w:r>
    </w:p>
    <w:p w14:paraId="0CB95678">
      <w:pPr>
        <w:shd w:val="clear" w:color="auto" w:fill="auto"/>
        <w:ind w:firstLine="480"/>
        <w:rPr>
          <w:rFonts w:hint="eastAsia" w:ascii="宋体" w:hAnsi="宋体" w:cs="宋体"/>
          <w:sz w:val="24"/>
          <w:highlight w:val="none"/>
        </w:rPr>
      </w:pPr>
      <w:r>
        <w:rPr>
          <w:rFonts w:hint="eastAsia" w:ascii="宋体" w:hAnsi="宋体" w:cs="宋体"/>
          <w:sz w:val="24"/>
          <w:highlight w:val="none"/>
        </w:rPr>
        <w:t xml:space="preserve">（1）投标函；         </w:t>
      </w:r>
    </w:p>
    <w:p w14:paraId="2533780A">
      <w:pPr>
        <w:shd w:val="clear" w:color="auto" w:fill="auto"/>
        <w:ind w:firstLine="480"/>
        <w:rPr>
          <w:rFonts w:hint="eastAsia" w:ascii="宋体" w:hAnsi="宋体" w:cs="宋体"/>
          <w:sz w:val="24"/>
          <w:highlight w:val="none"/>
        </w:rPr>
      </w:pPr>
      <w:r>
        <w:rPr>
          <w:rFonts w:hint="eastAsia" w:ascii="宋体" w:hAnsi="宋体" w:cs="宋体"/>
          <w:sz w:val="24"/>
          <w:highlight w:val="none"/>
        </w:rPr>
        <w:t>（2）必备的资格证明文件；</w:t>
      </w:r>
    </w:p>
    <w:p w14:paraId="49880259">
      <w:pPr>
        <w:shd w:val="clear" w:color="auto" w:fill="auto"/>
        <w:ind w:firstLine="480"/>
        <w:rPr>
          <w:rFonts w:hint="eastAsia" w:ascii="宋体" w:hAnsi="宋体" w:cs="宋体"/>
          <w:sz w:val="24"/>
          <w:highlight w:val="none"/>
        </w:rPr>
      </w:pPr>
      <w:r>
        <w:rPr>
          <w:rFonts w:hint="eastAsia" w:ascii="宋体" w:hAnsi="宋体" w:cs="宋体"/>
          <w:sz w:val="24"/>
          <w:highlight w:val="none"/>
        </w:rPr>
        <w:t>（3）商务条款偏离表；</w:t>
      </w:r>
    </w:p>
    <w:p w14:paraId="33A68720">
      <w:pPr>
        <w:shd w:val="clear" w:color="auto" w:fill="auto"/>
        <w:ind w:firstLine="480"/>
        <w:rPr>
          <w:rFonts w:hint="eastAsia" w:ascii="宋体" w:hAnsi="宋体" w:cs="宋体"/>
          <w:sz w:val="24"/>
          <w:highlight w:val="none"/>
        </w:rPr>
      </w:pPr>
      <w:r>
        <w:rPr>
          <w:rFonts w:hint="eastAsia" w:ascii="宋体" w:hAnsi="宋体" w:cs="宋体"/>
          <w:sz w:val="24"/>
          <w:highlight w:val="none"/>
        </w:rPr>
        <w:t>（4）投标保证金；</w:t>
      </w:r>
    </w:p>
    <w:p w14:paraId="5F4FC705">
      <w:pPr>
        <w:shd w:val="clear" w:color="auto" w:fill="auto"/>
        <w:ind w:firstLine="480"/>
        <w:rPr>
          <w:rFonts w:hint="eastAsia" w:ascii="宋体" w:hAnsi="宋体" w:cs="宋体"/>
          <w:sz w:val="24"/>
          <w:highlight w:val="none"/>
        </w:rPr>
      </w:pPr>
      <w:r>
        <w:rPr>
          <w:rFonts w:hint="eastAsia" w:ascii="宋体" w:hAnsi="宋体" w:cs="宋体"/>
          <w:sz w:val="24"/>
          <w:highlight w:val="none"/>
        </w:rPr>
        <w:t>（5）其他需要提供的文件和资料。</w:t>
      </w:r>
    </w:p>
    <w:p w14:paraId="44FEBC5C">
      <w:pPr>
        <w:shd w:val="clear" w:color="auto" w:fill="auto"/>
        <w:ind w:left="2" w:leftChars="1" w:firstLine="482"/>
        <w:rPr>
          <w:rFonts w:hint="eastAsia" w:ascii="宋体" w:hAnsi="宋体" w:cs="宋体"/>
          <w:bCs/>
          <w:sz w:val="24"/>
          <w:highlight w:val="none"/>
        </w:rPr>
      </w:pPr>
      <w:r>
        <w:rPr>
          <w:rFonts w:hint="eastAsia" w:ascii="宋体" w:hAnsi="宋体" w:cs="宋体"/>
          <w:b/>
          <w:bCs/>
          <w:sz w:val="24"/>
          <w:highlight w:val="none"/>
        </w:rPr>
        <w:t>14.4 售后服务。</w:t>
      </w:r>
      <w:r>
        <w:rPr>
          <w:rFonts w:hint="eastAsia" w:ascii="宋体" w:hAnsi="宋体" w:cs="宋体"/>
          <w:bCs/>
          <w:sz w:val="24"/>
          <w:highlight w:val="none"/>
        </w:rPr>
        <w:t>投标供应商应按照招标文件中售后服务要求作出的积极响应。包括以下内容：</w:t>
      </w:r>
    </w:p>
    <w:p w14:paraId="594BACBC">
      <w:pPr>
        <w:shd w:val="clear" w:color="auto" w:fill="auto"/>
        <w:ind w:left="2" w:leftChars="1" w:firstLine="480"/>
        <w:rPr>
          <w:rFonts w:hint="eastAsia" w:ascii="宋体" w:hAnsi="宋体" w:cs="宋体"/>
          <w:sz w:val="24"/>
          <w:highlight w:val="none"/>
        </w:rPr>
      </w:pPr>
      <w:r>
        <w:rPr>
          <w:rFonts w:hint="eastAsia" w:ascii="宋体" w:hAnsi="宋体" w:cs="宋体"/>
          <w:sz w:val="24"/>
          <w:highlight w:val="none"/>
        </w:rPr>
        <w:t>（1）</w:t>
      </w:r>
      <w:r>
        <w:rPr>
          <w:rFonts w:hint="eastAsia" w:ascii="宋体" w:hAnsi="宋体" w:cs="宋体"/>
          <w:sz w:val="24"/>
          <w:highlight w:val="none"/>
          <w:lang w:eastAsia="zh-CN"/>
        </w:rPr>
        <w:t>产品</w:t>
      </w:r>
      <w:r>
        <w:rPr>
          <w:rFonts w:hint="eastAsia" w:ascii="宋体" w:hAnsi="宋体" w:cs="宋体"/>
          <w:sz w:val="24"/>
          <w:highlight w:val="none"/>
        </w:rPr>
        <w:t>制造厂家或投标供应商设立的售后服务机构网点清单、服务电话（加盖公章）；</w:t>
      </w:r>
    </w:p>
    <w:p w14:paraId="1455EE9D">
      <w:pPr>
        <w:shd w:val="clear" w:color="auto" w:fill="auto"/>
        <w:ind w:left="2" w:leftChars="1" w:firstLine="480"/>
        <w:rPr>
          <w:rFonts w:hint="eastAsia" w:ascii="宋体" w:hAnsi="宋体" w:cs="宋体"/>
          <w:sz w:val="24"/>
          <w:highlight w:val="none"/>
        </w:rPr>
      </w:pPr>
      <w:r>
        <w:rPr>
          <w:rFonts w:hint="eastAsia" w:ascii="宋体" w:hAnsi="宋体" w:cs="宋体"/>
          <w:sz w:val="24"/>
          <w:highlight w:val="none"/>
        </w:rPr>
        <w:t>（2）说明投标产品的</w:t>
      </w:r>
      <w:r>
        <w:rPr>
          <w:rFonts w:hint="eastAsia" w:ascii="宋体" w:hAnsi="宋体" w:cs="宋体"/>
          <w:sz w:val="24"/>
          <w:highlight w:val="none"/>
          <w:lang w:eastAsia="zh-CN"/>
        </w:rPr>
        <w:t>有效期</w:t>
      </w:r>
      <w:r>
        <w:rPr>
          <w:rFonts w:hint="eastAsia" w:ascii="宋体" w:hAnsi="宋体" w:cs="宋体"/>
          <w:sz w:val="24"/>
          <w:highlight w:val="none"/>
        </w:rPr>
        <w:t>。分别提供设备制造厂家和投标供应商的服务承诺和保障措施。</w:t>
      </w:r>
    </w:p>
    <w:p w14:paraId="011F43BA">
      <w:pPr>
        <w:shd w:val="clear" w:color="auto" w:fill="auto"/>
        <w:ind w:left="2" w:leftChars="1" w:firstLine="482"/>
        <w:rPr>
          <w:rFonts w:hint="eastAsia" w:ascii="宋体" w:hAnsi="宋体" w:cs="宋体"/>
          <w:bCs/>
          <w:sz w:val="24"/>
          <w:highlight w:val="none"/>
        </w:rPr>
      </w:pPr>
      <w:bookmarkStart w:id="72" w:name="_Toc183682355"/>
      <w:bookmarkStart w:id="73" w:name="_Toc217446049"/>
      <w:bookmarkStart w:id="74" w:name="_Toc183582218"/>
      <w:r>
        <w:rPr>
          <w:rFonts w:hint="eastAsia" w:ascii="宋体" w:hAnsi="宋体" w:cs="宋体"/>
          <w:b/>
          <w:bCs/>
          <w:sz w:val="24"/>
          <w:highlight w:val="none"/>
        </w:rPr>
        <w:t>14.5承诺部分。</w:t>
      </w:r>
      <w:r>
        <w:rPr>
          <w:rFonts w:hint="eastAsia" w:ascii="宋体" w:hAnsi="宋体" w:cs="宋体"/>
          <w:bCs/>
          <w:sz w:val="24"/>
          <w:highlight w:val="none"/>
        </w:rPr>
        <w:t>投标供应商应对以下（不限于）要求作出承诺：</w:t>
      </w:r>
    </w:p>
    <w:p w14:paraId="7CF20CAB">
      <w:pPr>
        <w:shd w:val="clear" w:color="auto" w:fill="auto"/>
        <w:ind w:left="2" w:leftChars="1" w:firstLine="480"/>
        <w:rPr>
          <w:rFonts w:hint="eastAsia" w:ascii="宋体" w:hAnsi="宋体" w:cs="宋体"/>
          <w:bCs/>
          <w:sz w:val="24"/>
          <w:highlight w:val="none"/>
        </w:rPr>
      </w:pPr>
      <w:r>
        <w:rPr>
          <w:rFonts w:hint="eastAsia" w:ascii="宋体" w:hAnsi="宋体" w:cs="宋体"/>
          <w:bCs/>
          <w:sz w:val="24"/>
          <w:highlight w:val="none"/>
        </w:rPr>
        <w:t>（1）</w:t>
      </w:r>
      <w:r>
        <w:rPr>
          <w:rFonts w:hint="eastAsia" w:ascii="宋体" w:hAnsi="宋体" w:cs="宋体"/>
          <w:sz w:val="24"/>
          <w:highlight w:val="none"/>
        </w:rPr>
        <w:t>承诺给予采购人的各种优惠条件（优惠条件事项不能包括采购项目本身所包括涉及的采购事项。投标供应商不能以“赠送、赠予”等任何名义提供设备和服务以规避招标文件的约束。否则，投标供应商提供的投标文件将作为无效投标处理，投标供应商的投标行为将作为以不正当手段排挤其他供应商认定）</w:t>
      </w:r>
      <w:r>
        <w:rPr>
          <w:rFonts w:hint="eastAsia" w:ascii="宋体" w:hAnsi="宋体" w:cs="宋体"/>
          <w:bCs/>
          <w:sz w:val="24"/>
          <w:highlight w:val="none"/>
        </w:rPr>
        <w:t>；</w:t>
      </w:r>
    </w:p>
    <w:p w14:paraId="59C27E41">
      <w:pPr>
        <w:shd w:val="clear" w:color="auto" w:fill="auto"/>
        <w:ind w:left="2" w:leftChars="1" w:firstLine="480"/>
        <w:rPr>
          <w:rFonts w:hint="eastAsia" w:ascii="宋体" w:hAnsi="宋体" w:cs="宋体"/>
          <w:bCs/>
          <w:sz w:val="24"/>
          <w:highlight w:val="none"/>
        </w:rPr>
      </w:pPr>
      <w:r>
        <w:rPr>
          <w:rFonts w:hint="eastAsia" w:ascii="宋体" w:hAnsi="宋体" w:cs="宋体"/>
          <w:bCs/>
          <w:sz w:val="24"/>
          <w:highlight w:val="none"/>
        </w:rPr>
        <w:t>（2）</w:t>
      </w:r>
      <w:r>
        <w:rPr>
          <w:rFonts w:hint="eastAsia" w:ascii="宋体" w:hAnsi="宋体" w:cs="宋体"/>
          <w:sz w:val="24"/>
          <w:highlight w:val="none"/>
        </w:rPr>
        <w:t>利于用户的售后服务承诺；</w:t>
      </w:r>
    </w:p>
    <w:p w14:paraId="44D55590">
      <w:pPr>
        <w:shd w:val="clear" w:color="auto" w:fill="auto"/>
        <w:ind w:left="2" w:leftChars="1" w:firstLine="480"/>
        <w:rPr>
          <w:rFonts w:hint="eastAsia" w:ascii="宋体" w:hAnsi="宋体" w:cs="宋体"/>
          <w:bCs/>
          <w:sz w:val="24"/>
          <w:highlight w:val="none"/>
        </w:rPr>
      </w:pPr>
      <w:r>
        <w:rPr>
          <w:rFonts w:hint="eastAsia" w:ascii="宋体" w:hAnsi="宋体" w:cs="宋体"/>
          <w:bCs/>
          <w:sz w:val="24"/>
          <w:highlight w:val="none"/>
        </w:rPr>
        <w:t>（3）严格按招标文件对本项目的要求，组织生产、供货运输；</w:t>
      </w:r>
    </w:p>
    <w:p w14:paraId="2EDFA121">
      <w:pPr>
        <w:pStyle w:val="5"/>
        <w:shd w:val="clear" w:color="auto" w:fill="auto"/>
        <w:ind w:firstLine="480"/>
        <w:rPr>
          <w:rFonts w:hint="eastAsia" w:ascii="宋体" w:hAnsi="宋体" w:cs="宋体"/>
          <w:sz w:val="24"/>
          <w:szCs w:val="24"/>
          <w:highlight w:val="none"/>
        </w:rPr>
      </w:pPr>
      <w:r>
        <w:rPr>
          <w:rFonts w:hint="eastAsia" w:ascii="宋体" w:hAnsi="宋体" w:cs="宋体"/>
          <w:sz w:val="24"/>
          <w:szCs w:val="24"/>
          <w:highlight w:val="none"/>
        </w:rPr>
        <w:t>（4）未经采购人许可，不得将本采购项目采取转包实施的办法，一经发现，立即取消其中标资格，并承担由此产生的一切经济损失；</w:t>
      </w:r>
    </w:p>
    <w:p w14:paraId="2786E87B">
      <w:pPr>
        <w:pStyle w:val="5"/>
        <w:shd w:val="clear" w:color="auto" w:fill="auto"/>
        <w:ind w:firstLine="480"/>
        <w:rPr>
          <w:rFonts w:hint="eastAsia" w:ascii="宋体" w:hAnsi="宋体" w:eastAsia="宋体" w:cs="宋体"/>
          <w:sz w:val="24"/>
          <w:szCs w:val="24"/>
          <w:highlight w:val="none"/>
          <w:lang w:eastAsia="zh-CN"/>
        </w:rPr>
      </w:pPr>
      <w:r>
        <w:rPr>
          <w:rFonts w:hint="eastAsia" w:ascii="宋体" w:hAnsi="宋体" w:cs="宋体"/>
          <w:sz w:val="24"/>
          <w:szCs w:val="24"/>
          <w:highlight w:val="none"/>
        </w:rPr>
        <w:t>（5）接受采购人或采购人委托相关单位对项目实施方案、生产进度、货物质量、售后服务、货款支付与结算审核等方面监督和管理</w:t>
      </w:r>
      <w:r>
        <w:rPr>
          <w:rFonts w:hint="eastAsia" w:ascii="宋体" w:hAnsi="宋体" w:cs="宋体"/>
          <w:sz w:val="24"/>
          <w:szCs w:val="24"/>
          <w:highlight w:val="none"/>
          <w:lang w:eastAsia="zh-CN"/>
        </w:rPr>
        <w:t>；</w:t>
      </w:r>
    </w:p>
    <w:p w14:paraId="29608BCD">
      <w:pPr>
        <w:pStyle w:val="5"/>
        <w:shd w:val="clear" w:color="auto" w:fill="auto"/>
        <w:ind w:firstLine="480"/>
        <w:rPr>
          <w:rFonts w:hint="eastAsia" w:ascii="宋体" w:hAnsi="宋体" w:cs="宋体"/>
          <w:sz w:val="24"/>
          <w:szCs w:val="24"/>
          <w:highlight w:val="none"/>
        </w:rPr>
      </w:pPr>
      <w:r>
        <w:rPr>
          <w:rFonts w:hint="eastAsia" w:ascii="宋体" w:hAnsi="宋体" w:cs="宋体"/>
          <w:sz w:val="24"/>
          <w:szCs w:val="24"/>
          <w:highlight w:val="none"/>
        </w:rPr>
        <w:t>（6）其他承诺。</w:t>
      </w:r>
    </w:p>
    <w:bookmarkEnd w:id="72"/>
    <w:bookmarkEnd w:id="73"/>
    <w:bookmarkEnd w:id="74"/>
    <w:p w14:paraId="28D01596">
      <w:pPr>
        <w:pStyle w:val="5"/>
        <w:shd w:val="clear" w:color="auto" w:fill="auto"/>
        <w:spacing w:before="120" w:beforeLines="50"/>
        <w:ind w:firstLine="482"/>
        <w:rPr>
          <w:rFonts w:hint="eastAsia" w:ascii="宋体" w:hAnsi="宋体" w:cs="宋体"/>
          <w:b/>
          <w:sz w:val="24"/>
          <w:szCs w:val="24"/>
          <w:highlight w:val="none"/>
        </w:rPr>
      </w:pPr>
      <w:bookmarkStart w:id="75" w:name="_Toc183582223"/>
      <w:bookmarkStart w:id="76" w:name="_Toc183682360"/>
      <w:bookmarkStart w:id="77" w:name="_Toc217446050"/>
      <w:r>
        <w:rPr>
          <w:rFonts w:hint="eastAsia" w:ascii="宋体" w:hAnsi="宋体" w:cs="宋体"/>
          <w:b/>
          <w:sz w:val="24"/>
          <w:szCs w:val="24"/>
          <w:highlight w:val="none"/>
        </w:rPr>
        <w:t xml:space="preserve">14.6 证明设备符合招标文件规定相关文件可以是文字资料、图纸、数据、宣传彩页等，所有证明文件，表达意思必须统一。 </w:t>
      </w:r>
    </w:p>
    <w:bookmarkEnd w:id="75"/>
    <w:bookmarkEnd w:id="76"/>
    <w:bookmarkEnd w:id="77"/>
    <w:p w14:paraId="0D96F1A9">
      <w:pPr>
        <w:pStyle w:val="5"/>
        <w:shd w:val="clear" w:color="auto" w:fill="auto"/>
        <w:ind w:firstLine="482"/>
        <w:rPr>
          <w:rFonts w:hint="eastAsia" w:ascii="宋体" w:hAnsi="宋体" w:cs="宋体"/>
          <w:b/>
          <w:color w:val="000000"/>
          <w:sz w:val="24"/>
          <w:szCs w:val="24"/>
          <w:highlight w:val="none"/>
        </w:rPr>
      </w:pPr>
      <w:bookmarkStart w:id="78" w:name="_Toc217446051"/>
      <w:bookmarkStart w:id="79" w:name="_Toc183682361"/>
      <w:bookmarkStart w:id="80" w:name="_Toc183582224"/>
      <w:r>
        <w:rPr>
          <w:rFonts w:hint="eastAsia" w:ascii="宋体" w:hAnsi="宋体" w:cs="宋体"/>
          <w:b/>
          <w:bCs/>
          <w:color w:val="000000"/>
          <w:sz w:val="24"/>
          <w:szCs w:val="24"/>
          <w:highlight w:val="none"/>
        </w:rPr>
        <w:t>15．投标保证金</w:t>
      </w:r>
    </w:p>
    <w:p w14:paraId="566F8037">
      <w:pPr>
        <w:shd w:val="clear" w:color="auto" w:fill="auto"/>
        <w:ind w:firstLine="470" w:firstLineChars="196"/>
        <w:rPr>
          <w:rFonts w:hint="eastAsia" w:ascii="宋体" w:hAnsi="宋体" w:cs="宋体"/>
          <w:color w:val="000000"/>
          <w:sz w:val="24"/>
          <w:highlight w:val="none"/>
        </w:rPr>
      </w:pPr>
      <w:r>
        <w:rPr>
          <w:rFonts w:hint="eastAsia" w:ascii="宋体" w:hAnsi="宋体" w:cs="宋体"/>
          <w:color w:val="000000"/>
          <w:sz w:val="24"/>
          <w:highlight w:val="none"/>
        </w:rPr>
        <w:t>15.1投标保证金数额见投标供应商须知前附表。投标供应商投标时，必须以人民币提交足额的投标保证金，并作为其投标的一部分。</w:t>
      </w:r>
    </w:p>
    <w:p w14:paraId="07B516B7">
      <w:pPr>
        <w:shd w:val="clear" w:color="auto" w:fill="auto"/>
        <w:ind w:firstLine="470" w:firstLineChars="196"/>
        <w:rPr>
          <w:rFonts w:hint="eastAsia" w:ascii="宋体" w:hAnsi="宋体" w:cs="宋体"/>
          <w:color w:val="000000"/>
          <w:sz w:val="24"/>
          <w:highlight w:val="none"/>
        </w:rPr>
      </w:pPr>
      <w:r>
        <w:rPr>
          <w:rFonts w:hint="eastAsia" w:ascii="宋体" w:hAnsi="宋体" w:cs="宋体"/>
          <w:color w:val="000000"/>
          <w:sz w:val="24"/>
          <w:highlight w:val="none"/>
        </w:rPr>
        <w:t>15.2 投标保证金的提交</w:t>
      </w:r>
    </w:p>
    <w:p w14:paraId="6E8AA464">
      <w:pPr>
        <w:shd w:val="clear" w:color="auto" w:fill="auto"/>
        <w:ind w:firstLine="470" w:firstLineChars="196"/>
        <w:rPr>
          <w:rFonts w:hint="eastAsia" w:ascii="宋体" w:hAnsi="宋体" w:cs="宋体"/>
          <w:sz w:val="24"/>
          <w:highlight w:val="none"/>
        </w:rPr>
      </w:pPr>
      <w:r>
        <w:rPr>
          <w:rFonts w:hint="eastAsia" w:ascii="宋体" w:hAnsi="宋体" w:cs="宋体"/>
          <w:color w:val="000000"/>
          <w:sz w:val="24"/>
          <w:highlight w:val="none"/>
        </w:rPr>
        <w:t>15.2.1开标现场不办理投标保证金事宜。</w:t>
      </w:r>
      <w:r>
        <w:rPr>
          <w:rFonts w:hint="eastAsia" w:ascii="宋体" w:hAnsi="宋体" w:cs="宋体"/>
          <w:sz w:val="24"/>
          <w:highlight w:val="none"/>
        </w:rPr>
        <w:t>未按招标文件要求在规定时间前（以银行实际到账时间为准）交纳规定数额投标保证金的投标将被拒绝。</w:t>
      </w:r>
    </w:p>
    <w:p w14:paraId="21AA46FD">
      <w:pPr>
        <w:shd w:val="clear" w:color="auto" w:fill="auto"/>
        <w:ind w:firstLine="480"/>
        <w:rPr>
          <w:rFonts w:hint="eastAsia" w:ascii="宋体" w:hAnsi="宋体" w:cs="宋体"/>
          <w:bCs/>
          <w:sz w:val="24"/>
          <w:highlight w:val="none"/>
        </w:rPr>
      </w:pPr>
      <w:r>
        <w:rPr>
          <w:rFonts w:hint="eastAsia" w:ascii="宋体" w:hAnsi="宋体" w:cs="宋体"/>
          <w:bCs/>
          <w:sz w:val="24"/>
          <w:highlight w:val="none"/>
          <w:lang w:val="en-US" w:eastAsia="zh-CN"/>
        </w:rPr>
        <w:t>15.2.2</w:t>
      </w:r>
      <w:r>
        <w:rPr>
          <w:rFonts w:hint="eastAsia" w:ascii="宋体" w:hAnsi="宋体" w:cs="宋体"/>
          <w:bCs/>
          <w:sz w:val="24"/>
          <w:highlight w:val="none"/>
        </w:rPr>
        <w:t>提交保证金后，各供应商须将其交纳保证金转账凭证（银行回单）复印件（加盖供应商印章）附在</w:t>
      </w:r>
      <w:r>
        <w:rPr>
          <w:rFonts w:hint="eastAsia" w:ascii="宋体" w:hAnsi="宋体" w:cs="宋体"/>
          <w:bCs/>
          <w:sz w:val="24"/>
          <w:highlight w:val="none"/>
          <w:lang w:eastAsia="zh-CN"/>
        </w:rPr>
        <w:t>投标</w:t>
      </w:r>
      <w:r>
        <w:rPr>
          <w:rFonts w:hint="eastAsia" w:ascii="宋体" w:hAnsi="宋体" w:cs="宋体"/>
          <w:bCs/>
          <w:sz w:val="24"/>
          <w:highlight w:val="none"/>
        </w:rPr>
        <w:t>文件中，否则视为无效文件。</w:t>
      </w:r>
    </w:p>
    <w:p w14:paraId="62530381">
      <w:pPr>
        <w:shd w:val="clear" w:color="auto" w:fill="auto"/>
        <w:ind w:firstLine="470" w:firstLineChars="196"/>
        <w:rPr>
          <w:rFonts w:hint="eastAsia" w:ascii="宋体" w:hAnsi="宋体" w:cs="宋体"/>
          <w:color w:val="000000"/>
          <w:sz w:val="24"/>
          <w:highlight w:val="none"/>
        </w:rPr>
      </w:pPr>
      <w:r>
        <w:rPr>
          <w:rFonts w:hint="eastAsia" w:ascii="宋体" w:hAnsi="宋体" w:cs="宋体"/>
          <w:color w:val="000000"/>
          <w:sz w:val="24"/>
          <w:highlight w:val="none"/>
        </w:rPr>
        <w:t>15.3 投标保证金的退还</w:t>
      </w:r>
    </w:p>
    <w:p w14:paraId="1B4D859E">
      <w:pPr>
        <w:shd w:val="clear" w:color="auto" w:fill="auto"/>
        <w:ind w:firstLine="470" w:firstLineChars="196"/>
        <w:rPr>
          <w:rFonts w:hint="eastAsia" w:ascii="宋体" w:hAnsi="宋体" w:cs="宋体"/>
          <w:b/>
          <w:color w:val="000000"/>
          <w:sz w:val="24"/>
          <w:highlight w:val="none"/>
        </w:rPr>
      </w:pPr>
      <w:r>
        <w:rPr>
          <w:rFonts w:hint="eastAsia" w:ascii="宋体" w:hAnsi="宋体" w:cs="宋体"/>
          <w:color w:val="000000"/>
          <w:sz w:val="24"/>
          <w:highlight w:val="none"/>
        </w:rPr>
        <w:t>15.3.1在</w:t>
      </w:r>
      <w:r>
        <w:rPr>
          <w:rFonts w:hint="eastAsia" w:ascii="宋体" w:hAnsi="宋体" w:cs="宋体"/>
          <w:color w:val="000000"/>
          <w:sz w:val="24"/>
          <w:highlight w:val="none"/>
          <w:lang w:eastAsia="zh-CN"/>
        </w:rPr>
        <w:t>中标</w:t>
      </w:r>
      <w:r>
        <w:rPr>
          <w:rFonts w:hint="eastAsia" w:ascii="宋体" w:hAnsi="宋体" w:cs="宋体"/>
          <w:color w:val="000000"/>
          <w:sz w:val="24"/>
          <w:highlight w:val="none"/>
        </w:rPr>
        <w:t>通知书发出后五个工作日内向宝鸡市公共资源交易中心提交未</w:t>
      </w:r>
      <w:r>
        <w:rPr>
          <w:rFonts w:hint="eastAsia" w:ascii="宋体" w:hAnsi="宋体" w:cs="宋体"/>
          <w:color w:val="000000"/>
          <w:sz w:val="24"/>
          <w:highlight w:val="none"/>
          <w:lang w:eastAsia="zh-CN"/>
        </w:rPr>
        <w:t>中标</w:t>
      </w:r>
      <w:r>
        <w:rPr>
          <w:rFonts w:hint="eastAsia" w:ascii="宋体" w:hAnsi="宋体" w:cs="宋体"/>
          <w:color w:val="000000"/>
          <w:sz w:val="24"/>
          <w:highlight w:val="none"/>
        </w:rPr>
        <w:t>供应商的保证金退还申请；</w:t>
      </w:r>
      <w:r>
        <w:rPr>
          <w:rFonts w:hint="eastAsia" w:ascii="宋体" w:hAnsi="宋体" w:cs="宋体"/>
          <w:color w:val="000000"/>
          <w:sz w:val="24"/>
          <w:highlight w:val="none"/>
          <w:lang w:eastAsia="zh-CN"/>
        </w:rPr>
        <w:t>中标</w:t>
      </w:r>
      <w:r>
        <w:rPr>
          <w:rFonts w:hint="eastAsia" w:ascii="宋体" w:hAnsi="宋体" w:cs="宋体"/>
          <w:color w:val="000000"/>
          <w:sz w:val="24"/>
          <w:highlight w:val="none"/>
        </w:rPr>
        <w:t>供应商在采购合同签订后将合同扫描件发送至（邮箱号码：2272702472@qq.com)，在收到采购合同后五个工作日内向宝鸡市公共资源交易中心提交</w:t>
      </w:r>
      <w:r>
        <w:rPr>
          <w:rFonts w:hint="eastAsia" w:ascii="宋体" w:hAnsi="宋体" w:cs="宋体"/>
          <w:color w:val="000000"/>
          <w:sz w:val="24"/>
          <w:highlight w:val="none"/>
          <w:lang w:eastAsia="zh-CN"/>
        </w:rPr>
        <w:t>中标</w:t>
      </w:r>
      <w:r>
        <w:rPr>
          <w:rFonts w:hint="eastAsia" w:ascii="宋体" w:hAnsi="宋体" w:cs="宋体"/>
          <w:color w:val="000000"/>
          <w:sz w:val="24"/>
          <w:highlight w:val="none"/>
        </w:rPr>
        <w:t>供应商的保证金退还申请。</w:t>
      </w:r>
    </w:p>
    <w:p w14:paraId="515539DA">
      <w:pPr>
        <w:shd w:val="clear" w:color="auto" w:fill="auto"/>
        <w:ind w:firstLine="470" w:firstLineChars="196"/>
        <w:rPr>
          <w:rFonts w:hint="eastAsia" w:ascii="宋体" w:hAnsi="宋体" w:cs="宋体"/>
          <w:sz w:val="24"/>
          <w:highlight w:val="none"/>
        </w:rPr>
      </w:pPr>
      <w:r>
        <w:rPr>
          <w:rFonts w:hint="eastAsia" w:ascii="宋体" w:hAnsi="宋体" w:cs="宋体"/>
          <w:sz w:val="24"/>
          <w:highlight w:val="none"/>
        </w:rPr>
        <w:t>15.3.</w:t>
      </w:r>
      <w:r>
        <w:rPr>
          <w:rFonts w:hint="eastAsia" w:ascii="宋体" w:hAnsi="宋体" w:cs="宋体"/>
          <w:sz w:val="24"/>
          <w:highlight w:val="none"/>
          <w:lang w:val="en-US" w:eastAsia="zh-CN"/>
        </w:rPr>
        <w:t>2</w:t>
      </w:r>
      <w:r>
        <w:rPr>
          <w:rFonts w:hint="eastAsia" w:ascii="宋体" w:hAnsi="宋体" w:cs="宋体"/>
          <w:sz w:val="24"/>
          <w:highlight w:val="none"/>
        </w:rPr>
        <w:t>下列任何情况发生时，采购代理机构将不予退还投标供应商交纳的投标保证金；</w:t>
      </w:r>
      <w:r>
        <w:rPr>
          <w:rFonts w:hint="eastAsia" w:ascii="宋体" w:hAnsi="宋体" w:cs="宋体"/>
          <w:sz w:val="24"/>
          <w:highlight w:val="none"/>
          <w:lang w:val="zh-CN"/>
        </w:rPr>
        <w:t>情节严重的，由财政部门将其列入不良行为记录名单，在一至三年内禁止参加政府采购活动，并予以通报：</w:t>
      </w:r>
    </w:p>
    <w:p w14:paraId="12433405">
      <w:pPr>
        <w:shd w:val="clear" w:color="auto" w:fill="auto"/>
        <w:ind w:firstLine="470" w:firstLineChars="196"/>
        <w:rPr>
          <w:rFonts w:hint="eastAsia" w:ascii="宋体" w:hAnsi="宋体" w:cs="宋体"/>
          <w:sz w:val="24"/>
          <w:highlight w:val="none"/>
        </w:rPr>
      </w:pPr>
      <w:r>
        <w:rPr>
          <w:rFonts w:hint="eastAsia" w:ascii="宋体" w:hAnsi="宋体" w:cs="宋体"/>
          <w:sz w:val="24"/>
          <w:highlight w:val="none"/>
        </w:rPr>
        <w:t>（1）供应商在</w:t>
      </w:r>
      <w:r>
        <w:rPr>
          <w:rFonts w:hint="eastAsia" w:ascii="宋体" w:hAnsi="宋体" w:cs="宋体"/>
          <w:sz w:val="24"/>
          <w:highlight w:val="none"/>
          <w:lang w:val="zh-CN"/>
        </w:rPr>
        <w:t>提交</w:t>
      </w:r>
      <w:r>
        <w:rPr>
          <w:rFonts w:hint="eastAsia" w:ascii="宋体" w:hAnsi="宋体" w:cs="宋体"/>
          <w:sz w:val="24"/>
          <w:highlight w:val="none"/>
        </w:rPr>
        <w:t>投标文件截止时间后撤回投标文件的；</w:t>
      </w:r>
    </w:p>
    <w:p w14:paraId="341DFB1E">
      <w:pPr>
        <w:shd w:val="clear" w:color="auto" w:fill="auto"/>
        <w:ind w:firstLine="470" w:firstLineChars="196"/>
        <w:rPr>
          <w:rFonts w:hint="eastAsia" w:ascii="宋体" w:hAnsi="宋体" w:cs="宋体"/>
          <w:sz w:val="24"/>
          <w:highlight w:val="none"/>
        </w:rPr>
      </w:pPr>
      <w:r>
        <w:rPr>
          <w:rFonts w:hint="eastAsia" w:ascii="宋体" w:hAnsi="宋体" w:cs="宋体"/>
          <w:sz w:val="24"/>
          <w:highlight w:val="none"/>
        </w:rPr>
        <w:t>（2）</w:t>
      </w:r>
      <w:r>
        <w:rPr>
          <w:rFonts w:hint="eastAsia" w:ascii="宋体" w:hAnsi="宋体" w:cs="宋体"/>
          <w:sz w:val="24"/>
          <w:highlight w:val="none"/>
          <w:lang w:val="zh-CN"/>
        </w:rPr>
        <w:t>供应商在</w:t>
      </w:r>
      <w:r>
        <w:rPr>
          <w:rFonts w:hint="eastAsia" w:ascii="宋体" w:hAnsi="宋体" w:cs="宋体"/>
          <w:sz w:val="24"/>
          <w:highlight w:val="none"/>
        </w:rPr>
        <w:t>投标文件中提供虚假材料的；</w:t>
      </w:r>
    </w:p>
    <w:p w14:paraId="799FC975">
      <w:pPr>
        <w:shd w:val="clear" w:color="auto" w:fill="auto"/>
        <w:ind w:firstLine="480"/>
        <w:rPr>
          <w:rFonts w:hint="eastAsia" w:ascii="宋体" w:hAnsi="宋体" w:cs="宋体"/>
          <w:sz w:val="24"/>
          <w:highlight w:val="none"/>
          <w:lang w:val="zh-CN"/>
        </w:rPr>
      </w:pPr>
      <w:r>
        <w:rPr>
          <w:rFonts w:hint="eastAsia" w:ascii="宋体" w:hAnsi="宋体" w:cs="宋体"/>
          <w:sz w:val="24"/>
          <w:highlight w:val="none"/>
        </w:rPr>
        <w:t>（3）</w:t>
      </w:r>
      <w:r>
        <w:rPr>
          <w:rFonts w:hint="eastAsia" w:ascii="宋体" w:hAnsi="宋体" w:cs="宋体"/>
          <w:sz w:val="24"/>
          <w:highlight w:val="none"/>
          <w:lang w:val="zh-CN"/>
        </w:rPr>
        <w:t>除因不可抗力或招标文件认可的情形以外，中标供应商不与采购人签订合同的；</w:t>
      </w:r>
    </w:p>
    <w:p w14:paraId="3BA3EDB2">
      <w:pPr>
        <w:shd w:val="clear" w:color="auto" w:fill="auto"/>
        <w:ind w:firstLine="480"/>
        <w:rPr>
          <w:rFonts w:hint="eastAsia" w:ascii="宋体" w:hAnsi="宋体" w:cs="宋体"/>
          <w:sz w:val="24"/>
          <w:highlight w:val="none"/>
        </w:rPr>
      </w:pPr>
      <w:r>
        <w:rPr>
          <w:rFonts w:hint="eastAsia" w:ascii="宋体" w:hAnsi="宋体" w:cs="宋体"/>
          <w:sz w:val="24"/>
          <w:highlight w:val="none"/>
        </w:rPr>
        <w:t>（4）由于中标供应商的原因未能按规定支付招标代理服务费；</w:t>
      </w:r>
    </w:p>
    <w:p w14:paraId="7A8D1F12">
      <w:pPr>
        <w:shd w:val="clear" w:color="auto" w:fill="auto"/>
        <w:ind w:firstLine="480"/>
        <w:rPr>
          <w:rFonts w:hint="eastAsia" w:ascii="宋体" w:hAnsi="宋体" w:cs="宋体"/>
          <w:sz w:val="24"/>
          <w:highlight w:val="none"/>
        </w:rPr>
      </w:pPr>
      <w:r>
        <w:rPr>
          <w:rFonts w:hint="eastAsia" w:ascii="宋体" w:hAnsi="宋体" w:cs="宋体"/>
          <w:sz w:val="24"/>
          <w:highlight w:val="none"/>
        </w:rPr>
        <w:t>（5）</w:t>
      </w:r>
      <w:r>
        <w:rPr>
          <w:rFonts w:hint="eastAsia" w:ascii="宋体" w:hAnsi="宋体" w:cs="宋体"/>
          <w:sz w:val="24"/>
          <w:highlight w:val="none"/>
          <w:lang w:val="zh-CN"/>
        </w:rPr>
        <w:t>供应商与采购人、其他供应商或采购代理机构恶意串通的；</w:t>
      </w:r>
    </w:p>
    <w:p w14:paraId="04B7B637">
      <w:pPr>
        <w:shd w:val="clear" w:color="auto" w:fill="auto"/>
        <w:ind w:firstLine="480"/>
        <w:rPr>
          <w:rFonts w:hint="eastAsia" w:ascii="宋体" w:hAnsi="宋体" w:cs="宋体"/>
          <w:sz w:val="24"/>
          <w:highlight w:val="none"/>
        </w:rPr>
      </w:pPr>
      <w:r>
        <w:rPr>
          <w:rFonts w:hint="eastAsia" w:ascii="宋体" w:hAnsi="宋体" w:cs="宋体"/>
          <w:sz w:val="24"/>
          <w:highlight w:val="none"/>
        </w:rPr>
        <w:t>（6）法律法规规定的其他内容。</w:t>
      </w:r>
    </w:p>
    <w:p w14:paraId="3E4DD454">
      <w:pPr>
        <w:shd w:val="clear" w:color="auto" w:fill="auto"/>
        <w:ind w:firstLine="482"/>
        <w:rPr>
          <w:rFonts w:hint="eastAsia" w:ascii="宋体" w:hAnsi="宋体" w:cs="宋体"/>
          <w:b/>
          <w:bCs/>
          <w:color w:val="000000"/>
          <w:sz w:val="24"/>
          <w:highlight w:val="none"/>
        </w:rPr>
      </w:pPr>
      <w:r>
        <w:rPr>
          <w:rFonts w:hint="eastAsia" w:ascii="宋体" w:hAnsi="宋体" w:cs="宋体"/>
          <w:b/>
          <w:bCs/>
          <w:color w:val="000000"/>
          <w:sz w:val="24"/>
          <w:highlight w:val="none"/>
        </w:rPr>
        <w:t>16．投标有效期</w:t>
      </w:r>
      <w:bookmarkEnd w:id="78"/>
      <w:bookmarkEnd w:id="79"/>
      <w:bookmarkEnd w:id="80"/>
    </w:p>
    <w:p w14:paraId="5468FD87">
      <w:pPr>
        <w:shd w:val="clear" w:color="auto" w:fill="auto"/>
        <w:tabs>
          <w:tab w:val="left" w:pos="7665"/>
        </w:tabs>
        <w:ind w:left="13" w:leftChars="6" w:firstLine="480"/>
        <w:rPr>
          <w:rFonts w:hint="eastAsia" w:ascii="宋体" w:hAnsi="宋体" w:cs="宋体"/>
          <w:color w:val="000000"/>
          <w:sz w:val="24"/>
          <w:highlight w:val="none"/>
        </w:rPr>
      </w:pPr>
      <w:r>
        <w:rPr>
          <w:rFonts w:hint="eastAsia" w:ascii="宋体" w:hAnsi="宋体" w:cs="宋体"/>
          <w:color w:val="000000"/>
          <w:sz w:val="24"/>
          <w:highlight w:val="none"/>
        </w:rPr>
        <w:t>16.1 投标有效期见投标供应商须知前附表。投标有效期短于此规定期限的投标，将按</w:t>
      </w:r>
      <w:r>
        <w:rPr>
          <w:rFonts w:hint="eastAsia" w:ascii="宋体" w:hAnsi="宋体" w:cs="宋体"/>
          <w:sz w:val="24"/>
          <w:highlight w:val="none"/>
        </w:rPr>
        <w:t>无效投标</w:t>
      </w:r>
      <w:r>
        <w:rPr>
          <w:rFonts w:hint="eastAsia" w:ascii="宋体" w:hAnsi="宋体" w:cs="宋体"/>
          <w:color w:val="000000"/>
          <w:sz w:val="24"/>
          <w:highlight w:val="none"/>
        </w:rPr>
        <w:t>处理。</w:t>
      </w:r>
    </w:p>
    <w:p w14:paraId="26F6033E">
      <w:pPr>
        <w:shd w:val="clear" w:color="auto" w:fill="auto"/>
        <w:tabs>
          <w:tab w:val="left" w:pos="540"/>
          <w:tab w:val="left" w:pos="7665"/>
        </w:tabs>
        <w:ind w:left="13" w:leftChars="6" w:firstLine="360" w:firstLineChars="150"/>
        <w:rPr>
          <w:rFonts w:hint="eastAsia" w:ascii="宋体" w:hAnsi="宋体" w:cs="宋体"/>
          <w:sz w:val="24"/>
          <w:highlight w:val="none"/>
        </w:rPr>
      </w:pPr>
      <w:r>
        <w:rPr>
          <w:rFonts w:hint="eastAsia" w:ascii="宋体" w:hAnsi="宋体" w:cs="宋体"/>
          <w:sz w:val="24"/>
          <w:highlight w:val="none"/>
        </w:rPr>
        <w:t xml:space="preserve"> 16.2 特殊情况下，采购代理机构可于投标有效期满之前要求投标供应商同意延长有效期，要求与答复均应为书面形式。投标供应商可以拒绝上述要求，其投标保证金</w:t>
      </w:r>
      <w:r>
        <w:rPr>
          <w:rFonts w:hint="eastAsia" w:ascii="宋体" w:hAnsi="宋体" w:cs="宋体"/>
          <w:spacing w:val="8"/>
          <w:sz w:val="24"/>
          <w:highlight w:val="none"/>
        </w:rPr>
        <w:t>不被没收。</w:t>
      </w:r>
      <w:r>
        <w:rPr>
          <w:rFonts w:hint="eastAsia" w:ascii="宋体" w:hAnsi="宋体" w:cs="宋体"/>
          <w:sz w:val="24"/>
          <w:highlight w:val="none"/>
        </w:rPr>
        <w:t>拒绝延长投标有效期的投标供应商不得再参与该项目后续采购活动。同意延长投标有效期的投标供应商不能修改其投标文件，关于投标保证金的有关规定在延长的投标有效期内继续有效。</w:t>
      </w:r>
      <w:bookmarkStart w:id="81" w:name="_Toc183582225"/>
      <w:bookmarkStart w:id="82" w:name="_Toc217446052"/>
      <w:bookmarkStart w:id="83" w:name="_Toc183682362"/>
    </w:p>
    <w:p w14:paraId="3D1654FF">
      <w:pPr>
        <w:shd w:val="clear" w:color="auto" w:fill="auto"/>
        <w:tabs>
          <w:tab w:val="left" w:pos="540"/>
          <w:tab w:val="left" w:pos="7665"/>
        </w:tabs>
        <w:ind w:firstLine="482"/>
        <w:rPr>
          <w:rFonts w:hint="eastAsia" w:ascii="宋体" w:hAnsi="宋体" w:cs="宋体"/>
          <w:b/>
          <w:bCs/>
          <w:sz w:val="24"/>
          <w:highlight w:val="none"/>
        </w:rPr>
      </w:pPr>
      <w:r>
        <w:rPr>
          <w:rFonts w:hint="eastAsia" w:ascii="宋体" w:hAnsi="宋体" w:cs="宋体"/>
          <w:b/>
          <w:bCs/>
          <w:sz w:val="24"/>
          <w:highlight w:val="none"/>
        </w:rPr>
        <w:t>17．投标文件的制作和签署</w:t>
      </w:r>
      <w:bookmarkEnd w:id="81"/>
      <w:bookmarkEnd w:id="82"/>
      <w:bookmarkEnd w:id="83"/>
    </w:p>
    <w:p w14:paraId="5D5D8798">
      <w:pPr>
        <w:shd w:val="clear" w:color="auto" w:fill="auto"/>
        <w:tabs>
          <w:tab w:val="left" w:pos="7665"/>
        </w:tabs>
        <w:ind w:firstLine="480"/>
        <w:rPr>
          <w:rFonts w:hint="eastAsia" w:ascii="宋体" w:hAnsi="宋体" w:cs="宋体"/>
          <w:sz w:val="24"/>
          <w:highlight w:val="none"/>
        </w:rPr>
      </w:pPr>
      <w:r>
        <w:rPr>
          <w:rFonts w:hint="eastAsia" w:ascii="宋体" w:hAnsi="宋体" w:cs="宋体"/>
          <w:color w:val="000000"/>
          <w:sz w:val="24"/>
          <w:highlight w:val="none"/>
        </w:rPr>
        <w:t>17.1 电子投标文件（*.SXSTF）需要使用专用制作软件——“新点投标文件制作软件（陕西公共资源）”进行编制。软件下载地址及操作手册：见宝鸡市公共资源交易平台〖首页〉服务指南〉下载专区〗中的《政府采购项目投标文件制作软件及操作手册》</w:t>
      </w:r>
      <w:r>
        <w:rPr>
          <w:rFonts w:hint="eastAsia" w:ascii="宋体" w:hAnsi="宋体" w:cs="宋体"/>
          <w:sz w:val="24"/>
          <w:highlight w:val="none"/>
        </w:rPr>
        <w:t>。</w:t>
      </w:r>
    </w:p>
    <w:p w14:paraId="33E68FE3">
      <w:pPr>
        <w:shd w:val="clear" w:color="auto" w:fill="auto"/>
        <w:tabs>
          <w:tab w:val="left" w:pos="7665"/>
        </w:tabs>
        <w:ind w:firstLine="480"/>
        <w:rPr>
          <w:rFonts w:hint="eastAsia" w:ascii="宋体" w:hAnsi="宋体" w:cs="宋体"/>
          <w:sz w:val="24"/>
          <w:highlight w:val="none"/>
        </w:rPr>
      </w:pPr>
      <w:r>
        <w:rPr>
          <w:rFonts w:hint="eastAsia" w:ascii="宋体" w:hAnsi="宋体" w:cs="宋体"/>
          <w:sz w:val="24"/>
          <w:highlight w:val="none"/>
        </w:rPr>
        <w:t>链接地址：</w:t>
      </w:r>
    </w:p>
    <w:p w14:paraId="70BD2A66">
      <w:pPr>
        <w:shd w:val="clear" w:color="auto" w:fill="auto"/>
        <w:tabs>
          <w:tab w:val="left" w:pos="7665"/>
        </w:tabs>
        <w:ind w:firstLine="480"/>
        <w:rPr>
          <w:rFonts w:hint="eastAsia" w:ascii="宋体" w:hAnsi="宋体" w:cs="宋体"/>
          <w:sz w:val="24"/>
          <w:highlight w:val="none"/>
        </w:rPr>
      </w:pPr>
      <w:r>
        <w:rPr>
          <w:rFonts w:hint="eastAsia" w:ascii="宋体" w:hAnsi="宋体" w:cs="宋体"/>
          <w:sz w:val="24"/>
          <w:highlight w:val="none"/>
        </w:rPr>
        <w:t>http://sxggzyjy.xa.gov.cn/fwzn/004003/20181115/4d59c184-e8f6-4d5a-a416-c2f6b0601e66.html</w:t>
      </w:r>
    </w:p>
    <w:p w14:paraId="18DC7066">
      <w:pPr>
        <w:shd w:val="clear" w:color="auto" w:fill="auto"/>
        <w:tabs>
          <w:tab w:val="left" w:pos="7665"/>
        </w:tabs>
        <w:ind w:firstLine="480"/>
        <w:rPr>
          <w:rFonts w:hint="eastAsia" w:ascii="宋体" w:hAnsi="宋体" w:cs="宋体"/>
          <w:sz w:val="24"/>
          <w:highlight w:val="none"/>
        </w:rPr>
      </w:pPr>
      <w:r>
        <w:rPr>
          <w:rFonts w:hint="eastAsia" w:ascii="宋体" w:hAnsi="宋体" w:cs="宋体"/>
          <w:color w:val="000000"/>
          <w:sz w:val="24"/>
          <w:highlight w:val="none"/>
        </w:rPr>
        <w:t>17.2 编制电子投标文件前，务必先做好电子招标文件的备份工作。然后按操作手册中给出的方法将电子招标文件（*.SXSZF）或答疑文件（*.SXSCF，即更新后的电子招标文件）导入制作软件，最后按照章节分别编制投标文件各个部分</w:t>
      </w:r>
      <w:r>
        <w:rPr>
          <w:rFonts w:hint="eastAsia" w:ascii="宋体" w:hAnsi="宋体" w:cs="宋体"/>
          <w:sz w:val="24"/>
          <w:highlight w:val="none"/>
        </w:rPr>
        <w:t>。</w:t>
      </w:r>
    </w:p>
    <w:p w14:paraId="22CC6501">
      <w:pPr>
        <w:shd w:val="clear" w:color="auto" w:fill="auto"/>
        <w:tabs>
          <w:tab w:val="left" w:pos="7665"/>
        </w:tabs>
        <w:ind w:firstLine="480"/>
        <w:rPr>
          <w:rFonts w:hint="eastAsia" w:ascii="宋体" w:hAnsi="宋体" w:eastAsia="宋体" w:cs="宋体"/>
          <w:color w:val="000000"/>
          <w:sz w:val="24"/>
          <w:highlight w:val="none"/>
          <w:lang w:eastAsia="zh-CN"/>
        </w:rPr>
      </w:pPr>
      <w:r>
        <w:rPr>
          <w:rFonts w:hint="eastAsia" w:ascii="宋体" w:hAnsi="宋体" w:cs="宋体"/>
          <w:sz w:val="24"/>
          <w:highlight w:val="none"/>
        </w:rPr>
        <w:t>再次提醒：提交投标文件截止时间前，供应商应随时留意“政府采购信息发布媒体”上可能</w:t>
      </w:r>
      <w:r>
        <w:rPr>
          <w:rFonts w:hint="eastAsia" w:ascii="宋体" w:hAnsi="宋体" w:eastAsia="宋体" w:cs="宋体"/>
          <w:color w:val="000000"/>
          <w:sz w:val="24"/>
          <w:highlight w:val="none"/>
        </w:rPr>
        <w:t>发布的变更公告。若变更公告中明确注明本项目伴有变更文件的，供应商应登录企业端后，从〖项目流程·〉项目管理·〉答疑文件下载〗获取更新后的电子招标文件（*.SXSCF），使用旧版电子招标文件制作的电子投标文件（*.SXSTF），系统将拒绝接收</w:t>
      </w:r>
      <w:r>
        <w:rPr>
          <w:rFonts w:hint="eastAsia" w:ascii="宋体" w:hAnsi="宋体" w:eastAsia="宋体" w:cs="宋体"/>
          <w:color w:val="000000"/>
          <w:sz w:val="24"/>
          <w:highlight w:val="none"/>
          <w:lang w:eastAsia="zh-CN"/>
        </w:rPr>
        <w:t>。</w:t>
      </w:r>
    </w:p>
    <w:p w14:paraId="4A725513">
      <w:pPr>
        <w:shd w:val="clear" w:color="auto" w:fill="auto"/>
        <w:tabs>
          <w:tab w:val="left" w:pos="7665"/>
        </w:tabs>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17.3 电子投标文件制作过程中，需要法定代表人签字或盖章的地方，请使用“法人 CA 锁”进行签章；需要加盖供应商公章的地方，请使用“企业CA 锁”进行签章。</w:t>
      </w:r>
    </w:p>
    <w:p w14:paraId="2947F40B">
      <w:pPr>
        <w:shd w:val="clear" w:color="auto" w:fill="auto"/>
        <w:tabs>
          <w:tab w:val="left" w:pos="7665"/>
        </w:tabs>
        <w:ind w:firstLine="48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若导出的 PDF 文件里看不到签章，请尝试使用专用制作软件中的“查看投标文件工具”打开未加密的电子投标文件重新导出。在制作过程中，如有其他技术性问题，请先翻阅操作手册，或致电软件开发商</w:t>
      </w:r>
      <w:r>
        <w:rPr>
          <w:rFonts w:hint="eastAsia" w:ascii="宋体" w:hAnsi="宋体" w:eastAsia="宋体" w:cs="宋体"/>
          <w:color w:val="000000"/>
          <w:sz w:val="24"/>
          <w:highlight w:val="none"/>
          <w:lang w:eastAsia="zh-CN"/>
        </w:rPr>
        <w:t>。</w:t>
      </w:r>
      <w:bookmarkStart w:id="84" w:name="_Toc183582226"/>
      <w:bookmarkStart w:id="85" w:name="_Toc89075877"/>
      <w:bookmarkStart w:id="86" w:name="_Toc217446053"/>
      <w:bookmarkStart w:id="87" w:name="_Toc183682363"/>
      <w:bookmarkStart w:id="88" w:name="_Toc77400781"/>
    </w:p>
    <w:p w14:paraId="0779B8B9">
      <w:pPr>
        <w:shd w:val="clear" w:color="auto" w:fill="auto"/>
        <w:tabs>
          <w:tab w:val="left" w:pos="7665"/>
        </w:tabs>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17.4投标文件的加密和提交</w:t>
      </w:r>
    </w:p>
    <w:p w14:paraId="778BB58C">
      <w:pPr>
        <w:shd w:val="clear" w:color="auto" w:fill="auto"/>
        <w:tabs>
          <w:tab w:val="left" w:pos="7665"/>
        </w:tabs>
        <w:ind w:firstLine="480"/>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17.4.1</w:t>
      </w:r>
      <w:r>
        <w:rPr>
          <w:rFonts w:hint="default" w:ascii="宋体" w:hAnsi="宋体" w:eastAsia="宋体" w:cs="宋体"/>
          <w:color w:val="000000"/>
          <w:sz w:val="24"/>
          <w:highlight w:val="none"/>
          <w:lang w:val="en-US" w:eastAsia="zh-CN"/>
        </w:rPr>
        <w:t>在生成电子投标文件时，需要使用 CA 锁对投标文件进行加密。</w:t>
      </w:r>
    </w:p>
    <w:p w14:paraId="2FAEF7C0">
      <w:pPr>
        <w:shd w:val="clear" w:color="auto" w:fill="auto"/>
        <w:tabs>
          <w:tab w:val="left" w:pos="7665"/>
        </w:tabs>
        <w:ind w:firstLine="480"/>
        <w:rPr>
          <w:rFonts w:hint="default" w:ascii="宋体" w:hAnsi="宋体" w:eastAsia="宋体" w:cs="宋体"/>
          <w:color w:val="000000"/>
          <w:sz w:val="24"/>
          <w:highlight w:val="none"/>
          <w:lang w:val="en-US" w:eastAsia="zh-CN"/>
        </w:rPr>
      </w:pPr>
      <w:r>
        <w:rPr>
          <w:rFonts w:hint="default" w:ascii="宋体" w:hAnsi="宋体" w:eastAsia="宋体" w:cs="宋体"/>
          <w:color w:val="000000"/>
          <w:sz w:val="24"/>
          <w:highlight w:val="none"/>
          <w:lang w:val="en-US" w:eastAsia="zh-CN"/>
        </w:rPr>
        <w:t>注意：加密投标文件和开标时解密投标文件应当使用同一 CA，否则将会导致解密失败。</w:t>
      </w:r>
    </w:p>
    <w:p w14:paraId="54B76792">
      <w:pPr>
        <w:shd w:val="clear" w:color="auto" w:fill="auto"/>
        <w:tabs>
          <w:tab w:val="left" w:pos="7665"/>
        </w:tabs>
        <w:ind w:firstLine="480"/>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17.4.</w:t>
      </w:r>
      <w:r>
        <w:rPr>
          <w:rFonts w:hint="default" w:ascii="宋体" w:hAnsi="宋体" w:eastAsia="宋体" w:cs="宋体"/>
          <w:color w:val="000000"/>
          <w:sz w:val="24"/>
          <w:highlight w:val="none"/>
          <w:lang w:val="en-US" w:eastAsia="zh-CN"/>
        </w:rPr>
        <w:t>2电子投标文件可于提交投标文件截止时间前任意时段，登录宝鸡市公共资源交易平台〖首页·〉电子交易平台·〉企业端〗，登录后切换到〖我的项目〗模块下，依次点选〖项目流程·〉项目管理·〉上传响应文件〗，上传加密后的电子投标文件（*.SXSTF）。上传成功后，宝鸡市公共资源交易平台政府采购系统将予以记录。</w:t>
      </w:r>
    </w:p>
    <w:p w14:paraId="50BF6D71">
      <w:pPr>
        <w:shd w:val="clear" w:color="auto" w:fill="auto"/>
        <w:tabs>
          <w:tab w:val="left" w:pos="7665"/>
        </w:tabs>
        <w:ind w:firstLine="480"/>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17.4.</w:t>
      </w:r>
      <w:r>
        <w:rPr>
          <w:rFonts w:hint="default" w:ascii="宋体" w:hAnsi="宋体" w:eastAsia="宋体" w:cs="宋体"/>
          <w:color w:val="000000"/>
          <w:sz w:val="24"/>
          <w:highlight w:val="none"/>
          <w:lang w:val="en-US" w:eastAsia="zh-CN"/>
        </w:rPr>
        <w:t>3上传文件有误或需要重新提交的，可先撤销已经上传的文件，然后重新上传新文件。</w:t>
      </w:r>
    </w:p>
    <w:p w14:paraId="21369449">
      <w:pPr>
        <w:shd w:val="clear" w:color="auto" w:fill="auto"/>
        <w:tabs>
          <w:tab w:val="left" w:pos="7665"/>
        </w:tabs>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17.5投标文件的补充、修改和撤回</w:t>
      </w:r>
    </w:p>
    <w:p w14:paraId="40957683">
      <w:pPr>
        <w:shd w:val="clear" w:color="auto" w:fill="auto"/>
        <w:tabs>
          <w:tab w:val="left" w:pos="7665"/>
        </w:tabs>
        <w:ind w:firstLine="480"/>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17.5.</w:t>
      </w:r>
      <w:r>
        <w:rPr>
          <w:rFonts w:hint="default" w:ascii="宋体" w:hAnsi="宋体" w:eastAsia="宋体" w:cs="宋体"/>
          <w:color w:val="000000"/>
          <w:sz w:val="24"/>
          <w:highlight w:val="none"/>
          <w:lang w:val="en-US" w:eastAsia="zh-CN"/>
        </w:rPr>
        <w:t>1供应商在提交投标文件截止时间前，可以对所提交的投标文件进行补充、修改或者撤回，并书面通知采购人、采购代理机构。补充、修改的内容作为投标文件的组成部分。补充、修改的内容与投标文件不一致的，以补充、修改的内容为准。</w:t>
      </w:r>
    </w:p>
    <w:p w14:paraId="6159493D">
      <w:pPr>
        <w:shd w:val="clear" w:color="auto" w:fill="auto"/>
        <w:tabs>
          <w:tab w:val="left" w:pos="7665"/>
        </w:tabs>
        <w:ind w:firstLine="480"/>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17.5.</w:t>
      </w:r>
      <w:r>
        <w:rPr>
          <w:rFonts w:hint="default" w:ascii="宋体" w:hAnsi="宋体" w:eastAsia="宋体" w:cs="宋体"/>
          <w:color w:val="000000"/>
          <w:sz w:val="24"/>
          <w:highlight w:val="none"/>
          <w:lang w:val="en-US" w:eastAsia="zh-CN"/>
        </w:rPr>
        <w:t>2供应商在提交投标文件截止时间后，撤回投标文件的，投标保证金不予退还。</w:t>
      </w:r>
    </w:p>
    <w:p w14:paraId="2A7A42F2">
      <w:pPr>
        <w:shd w:val="clear" w:color="auto" w:fill="auto"/>
        <w:tabs>
          <w:tab w:val="left" w:pos="7665"/>
        </w:tabs>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17.5.</w:t>
      </w:r>
      <w:r>
        <w:rPr>
          <w:rFonts w:hint="default" w:ascii="宋体" w:hAnsi="宋体" w:eastAsia="宋体" w:cs="宋体"/>
          <w:color w:val="000000"/>
          <w:sz w:val="24"/>
          <w:highlight w:val="none"/>
          <w:lang w:val="en-US" w:eastAsia="zh-CN"/>
        </w:rPr>
        <w:t>3对已提交的电子投标文件进行补充、修改的，应先从电子交易平台上撤回旧文件，再重新提交新文件；中标后提交的纸质文件（存档备案用）应从专用制作软件中直接打印，与电子投标文件保持一致，不允许补充和修改</w:t>
      </w:r>
      <w:r>
        <w:rPr>
          <w:rFonts w:hint="eastAsia" w:ascii="宋体" w:hAnsi="宋体" w:eastAsia="宋体" w:cs="宋体"/>
          <w:color w:val="000000"/>
          <w:sz w:val="24"/>
          <w:highlight w:val="none"/>
          <w:lang w:val="en-US" w:eastAsia="zh-CN"/>
        </w:rPr>
        <w:t>。</w:t>
      </w:r>
    </w:p>
    <w:p w14:paraId="6C14946A">
      <w:pPr>
        <w:shd w:val="clear" w:color="auto" w:fill="auto"/>
        <w:tabs>
          <w:tab w:val="left" w:pos="7665"/>
        </w:tabs>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17.6关于投标文件的雷同性分析</w:t>
      </w:r>
    </w:p>
    <w:p w14:paraId="542F051C">
      <w:pPr>
        <w:shd w:val="clear" w:color="auto" w:fill="auto"/>
        <w:tabs>
          <w:tab w:val="left" w:pos="7665"/>
        </w:tabs>
        <w:ind w:firstLine="480"/>
        <w:rPr>
          <w:rFonts w:hint="default" w:ascii="宋体" w:hAnsi="宋体" w:eastAsia="宋体" w:cs="宋体"/>
          <w:color w:val="000000"/>
          <w:sz w:val="24"/>
          <w:highlight w:val="none"/>
          <w:lang w:val="en-US" w:eastAsia="zh-CN"/>
        </w:rPr>
      </w:pPr>
      <w:r>
        <w:rPr>
          <w:rFonts w:hint="default" w:ascii="宋体" w:hAnsi="宋体" w:eastAsia="宋体" w:cs="宋体"/>
          <w:color w:val="000000"/>
          <w:sz w:val="24"/>
          <w:highlight w:val="none"/>
          <w:lang w:val="en-US" w:eastAsia="zh-CN"/>
        </w:rPr>
        <w:t>根据陕西省公共资源交易中心印发的《关于在政府采购交易系统中开通标书雷同性分析功能的通知》，在符合性审查环节，将由评标委员会在评标系统中对供应商的电子投标文件进行雷同性分析。</w:t>
      </w:r>
    </w:p>
    <w:p w14:paraId="404CA6A2">
      <w:pPr>
        <w:shd w:val="clear" w:color="auto" w:fill="auto"/>
        <w:tabs>
          <w:tab w:val="left" w:pos="7665"/>
        </w:tabs>
        <w:ind w:firstLine="480"/>
        <w:rPr>
          <w:rFonts w:hint="default" w:ascii="宋体" w:hAnsi="宋体" w:eastAsia="宋体" w:cs="宋体"/>
          <w:color w:val="000000"/>
          <w:sz w:val="24"/>
          <w:highlight w:val="none"/>
          <w:lang w:val="en-US" w:eastAsia="zh-CN"/>
        </w:rPr>
      </w:pPr>
      <w:r>
        <w:rPr>
          <w:rFonts w:hint="default" w:ascii="宋体" w:hAnsi="宋体" w:eastAsia="宋体" w:cs="宋体"/>
          <w:color w:val="000000"/>
          <w:sz w:val="24"/>
          <w:highlight w:val="none"/>
          <w:lang w:val="en-US" w:eastAsia="zh-CN"/>
        </w:rPr>
        <w:t>雷同性分析由两项指标组成，分别是“文件制作机器码”和“文件创建标识码”。其中，前者通过验证电子投标文件制作设备的特征信息（如 MAC地址、硬盘序列号、CPU 编号、主板号等），判断电子投标文件是否出自同一台设备。</w:t>
      </w:r>
    </w:p>
    <w:p w14:paraId="1F49518A">
      <w:pPr>
        <w:shd w:val="clear" w:color="auto" w:fill="auto"/>
        <w:tabs>
          <w:tab w:val="left" w:pos="7665"/>
        </w:tabs>
        <w:ind w:firstLine="480"/>
        <w:rPr>
          <w:rFonts w:hint="default" w:ascii="宋体" w:hAnsi="宋体" w:eastAsia="宋体" w:cs="宋体"/>
          <w:color w:val="000000"/>
          <w:sz w:val="24"/>
          <w:highlight w:val="none"/>
          <w:lang w:val="en-US" w:eastAsia="zh-CN"/>
        </w:rPr>
      </w:pPr>
      <w:r>
        <w:rPr>
          <w:rFonts w:hint="default" w:ascii="宋体" w:hAnsi="宋体" w:eastAsia="宋体" w:cs="宋体"/>
          <w:color w:val="000000"/>
          <w:sz w:val="24"/>
          <w:highlight w:val="none"/>
          <w:lang w:val="en-US" w:eastAsia="zh-CN"/>
        </w:rPr>
        <w:t>若“文件制作机器码”一致，则表明不同投标供应商的电子投标文件出自同一台制作设备，根据《陕西省财政厅关于政府采购有关政策的复函》（陕财办采函〔2019〕18 号），该情形可以视为投标供应商串通投标，其投标无效。</w:t>
      </w:r>
    </w:p>
    <w:p w14:paraId="5DC1E444">
      <w:pPr>
        <w:shd w:val="clear" w:color="auto" w:fill="auto"/>
        <w:tabs>
          <w:tab w:val="left" w:pos="7665"/>
        </w:tabs>
        <w:ind w:firstLine="480"/>
        <w:rPr>
          <w:rFonts w:hint="default" w:ascii="宋体" w:hAnsi="宋体" w:eastAsia="宋体" w:cs="宋体"/>
          <w:color w:val="000000"/>
          <w:sz w:val="24"/>
          <w:highlight w:val="none"/>
          <w:lang w:val="en-US" w:eastAsia="zh-CN"/>
        </w:rPr>
      </w:pPr>
      <w:r>
        <w:rPr>
          <w:rFonts w:hint="default" w:ascii="宋体" w:hAnsi="宋体" w:eastAsia="宋体" w:cs="宋体"/>
          <w:color w:val="000000"/>
          <w:sz w:val="24"/>
          <w:highlight w:val="none"/>
          <w:lang w:val="en-US" w:eastAsia="zh-CN"/>
        </w:rPr>
        <w:t>若“文件创建标识码”一致，则表示不同投标供应商使用投标文件制作软件时，使用同一源工程文件，该情形建议由评标委员会结合项目情况综合判定。</w:t>
      </w:r>
    </w:p>
    <w:bookmarkEnd w:id="84"/>
    <w:bookmarkEnd w:id="85"/>
    <w:bookmarkEnd w:id="86"/>
    <w:bookmarkEnd w:id="87"/>
    <w:bookmarkEnd w:id="88"/>
    <w:p w14:paraId="092CD398">
      <w:pPr>
        <w:pStyle w:val="3"/>
        <w:shd w:val="clear" w:color="auto" w:fill="auto"/>
        <w:spacing w:before="0" w:after="0" w:line="360" w:lineRule="auto"/>
        <w:ind w:firstLine="0" w:firstLineChars="0"/>
        <w:jc w:val="center"/>
        <w:rPr>
          <w:rFonts w:hint="eastAsia" w:ascii="宋体" w:hAnsi="宋体" w:eastAsia="宋体" w:cs="宋体"/>
          <w:szCs w:val="28"/>
          <w:highlight w:val="none"/>
        </w:rPr>
      </w:pPr>
      <w:bookmarkStart w:id="89" w:name="_Toc217446056"/>
      <w:bookmarkStart w:id="90" w:name="_Toc183682368"/>
      <w:bookmarkStart w:id="91" w:name="_Toc89075878"/>
      <w:bookmarkStart w:id="92" w:name="_Toc183582231"/>
      <w:bookmarkStart w:id="93" w:name="_Toc77400782"/>
      <w:r>
        <w:rPr>
          <w:rFonts w:hint="eastAsia" w:ascii="宋体" w:hAnsi="宋体" w:eastAsia="宋体" w:cs="宋体"/>
          <w:szCs w:val="28"/>
          <w:highlight w:val="none"/>
          <w:lang w:eastAsia="zh-CN"/>
        </w:rPr>
        <w:t>四</w:t>
      </w:r>
      <w:r>
        <w:rPr>
          <w:rFonts w:hint="eastAsia" w:ascii="宋体" w:hAnsi="宋体" w:eastAsia="宋体" w:cs="宋体"/>
          <w:szCs w:val="28"/>
          <w:highlight w:val="none"/>
        </w:rPr>
        <w:t>、开 标</w:t>
      </w:r>
      <w:bookmarkEnd w:id="89"/>
      <w:bookmarkEnd w:id="90"/>
      <w:bookmarkEnd w:id="91"/>
      <w:bookmarkEnd w:id="92"/>
      <w:bookmarkEnd w:id="93"/>
    </w:p>
    <w:p w14:paraId="3CAA3F87">
      <w:pPr>
        <w:shd w:val="clear" w:color="auto" w:fill="auto"/>
        <w:ind w:firstLine="482"/>
        <w:rPr>
          <w:rFonts w:hint="eastAsia" w:ascii="宋体" w:hAnsi="宋体" w:cs="宋体"/>
          <w:b/>
          <w:sz w:val="24"/>
          <w:highlight w:val="none"/>
        </w:rPr>
      </w:pPr>
      <w:r>
        <w:rPr>
          <w:rFonts w:hint="eastAsia" w:ascii="宋体" w:hAnsi="宋体" w:cs="宋体"/>
          <w:b/>
          <w:sz w:val="24"/>
          <w:highlight w:val="none"/>
          <w:lang w:val="en-US" w:eastAsia="zh-CN"/>
        </w:rPr>
        <w:t>18</w:t>
      </w:r>
      <w:r>
        <w:rPr>
          <w:rFonts w:hint="eastAsia" w:ascii="宋体" w:hAnsi="宋体" w:cs="宋体"/>
          <w:b/>
          <w:sz w:val="24"/>
          <w:highlight w:val="none"/>
        </w:rPr>
        <w:t>.开标程序</w:t>
      </w:r>
    </w:p>
    <w:p w14:paraId="5B0AFD6C">
      <w:pPr>
        <w:shd w:val="clear" w:color="auto" w:fill="auto"/>
        <w:ind w:firstLine="460" w:firstLineChars="192"/>
        <w:rPr>
          <w:rFonts w:hint="eastAsia" w:ascii="宋体" w:hAnsi="宋体" w:cs="宋体"/>
          <w:b w:val="0"/>
          <w:bCs w:val="0"/>
          <w:sz w:val="24"/>
          <w:highlight w:val="none"/>
        </w:rPr>
      </w:pPr>
      <w:r>
        <w:rPr>
          <w:rFonts w:hint="eastAsia" w:ascii="宋体" w:hAnsi="宋体" w:cs="宋体"/>
          <w:b w:val="0"/>
          <w:bCs w:val="0"/>
          <w:sz w:val="24"/>
          <w:highlight w:val="none"/>
        </w:rPr>
        <w:t>开标工作由采购代理机构组织实施，整个过程受同级政府采购监管机构的监督、管理。</w:t>
      </w:r>
    </w:p>
    <w:p w14:paraId="293FD352">
      <w:pPr>
        <w:shd w:val="clear" w:color="auto" w:fill="auto"/>
        <w:ind w:firstLine="460" w:firstLineChars="192"/>
        <w:rPr>
          <w:rFonts w:hint="eastAsia" w:ascii="宋体" w:hAnsi="宋体" w:cs="宋体"/>
          <w:b w:val="0"/>
          <w:bCs w:val="0"/>
          <w:sz w:val="24"/>
          <w:highlight w:val="none"/>
        </w:rPr>
      </w:pPr>
      <w:r>
        <w:rPr>
          <w:rFonts w:hint="eastAsia" w:ascii="宋体" w:hAnsi="宋体" w:cs="宋体"/>
          <w:b w:val="0"/>
          <w:bCs w:val="0"/>
          <w:sz w:val="24"/>
          <w:highlight w:val="none"/>
        </w:rPr>
        <w:t>“不见面开标”基本流程</w:t>
      </w:r>
    </w:p>
    <w:p w14:paraId="7C50DCEF">
      <w:pPr>
        <w:shd w:val="clear" w:color="auto" w:fill="auto"/>
        <w:ind w:firstLine="460" w:firstLineChars="192"/>
        <w:rPr>
          <w:rFonts w:hint="eastAsia" w:ascii="宋体" w:hAnsi="宋体" w:cs="宋体"/>
          <w:b w:val="0"/>
          <w:bCs w:val="0"/>
          <w:sz w:val="24"/>
          <w:highlight w:val="none"/>
        </w:rPr>
      </w:pPr>
      <w:r>
        <w:rPr>
          <w:rFonts w:hint="eastAsia" w:ascii="宋体" w:hAnsi="宋体" w:cs="宋体"/>
          <w:b w:val="0"/>
          <w:bCs w:val="0"/>
          <w:sz w:val="24"/>
          <w:highlight w:val="none"/>
        </w:rPr>
        <w:t>“不见面开标”是依托政府采购云平台实现的供应商在线参与开标的一种组织形式。供应商无需抵达开标现场，即可在线实现开标、解密、澄清等操作。</w:t>
      </w:r>
    </w:p>
    <w:p w14:paraId="426A9F65">
      <w:pPr>
        <w:numPr>
          <w:ilvl w:val="0"/>
          <w:numId w:val="2"/>
        </w:numPr>
        <w:shd w:val="clear" w:color="auto" w:fill="auto"/>
        <w:ind w:firstLine="460" w:firstLineChars="192"/>
        <w:rPr>
          <w:rFonts w:hint="eastAsia" w:ascii="宋体" w:hAnsi="宋体" w:cs="宋体"/>
          <w:b w:val="0"/>
          <w:bCs w:val="0"/>
          <w:sz w:val="24"/>
          <w:highlight w:val="none"/>
        </w:rPr>
      </w:pPr>
      <w:r>
        <w:rPr>
          <w:rFonts w:hint="eastAsia" w:ascii="宋体" w:hAnsi="宋体" w:cs="宋体"/>
          <w:b w:val="0"/>
          <w:bCs w:val="0"/>
          <w:sz w:val="24"/>
          <w:highlight w:val="none"/>
        </w:rPr>
        <w:t>供应商登录：开标前，请各供应商至少提前半小时登录宝鸡市公共资源交易平台〖首页·〉不见面开标〗系统。</w:t>
      </w:r>
      <w:bookmarkStart w:id="94" w:name="_Toc217446059"/>
    </w:p>
    <w:p w14:paraId="3C7C6EBD">
      <w:pPr>
        <w:numPr>
          <w:ilvl w:val="0"/>
          <w:numId w:val="2"/>
        </w:numPr>
        <w:shd w:val="clear" w:color="auto" w:fill="auto"/>
        <w:ind w:firstLine="460" w:firstLineChars="192"/>
        <w:rPr>
          <w:rFonts w:hint="eastAsia" w:ascii="宋体" w:hAnsi="宋体" w:cs="宋体"/>
          <w:b w:val="0"/>
          <w:bCs w:val="0"/>
          <w:sz w:val="24"/>
          <w:highlight w:val="none"/>
        </w:rPr>
      </w:pPr>
      <w:r>
        <w:rPr>
          <w:rFonts w:hint="eastAsia" w:ascii="宋体" w:hAnsi="宋体" w:cs="宋体"/>
          <w:b w:val="0"/>
          <w:bCs w:val="0"/>
          <w:sz w:val="24"/>
          <w:highlight w:val="none"/>
        </w:rPr>
        <w:t>主持人宣布开标：提交投标文件截止时间过后，系统将不再接收任何投标文件。</w:t>
      </w:r>
    </w:p>
    <w:p w14:paraId="5ED1BD3D">
      <w:pPr>
        <w:numPr>
          <w:ilvl w:val="0"/>
          <w:numId w:val="2"/>
        </w:numPr>
        <w:shd w:val="clear" w:color="auto" w:fill="auto"/>
        <w:ind w:firstLine="460" w:firstLineChars="192"/>
        <w:rPr>
          <w:rFonts w:hint="eastAsia" w:ascii="宋体" w:hAnsi="宋体" w:cs="宋体"/>
          <w:b w:val="0"/>
          <w:bCs w:val="0"/>
          <w:sz w:val="24"/>
          <w:highlight w:val="none"/>
        </w:rPr>
      </w:pPr>
      <w:r>
        <w:rPr>
          <w:rFonts w:hint="eastAsia" w:ascii="宋体" w:hAnsi="宋体" w:cs="宋体"/>
          <w:b w:val="0"/>
          <w:bCs w:val="0"/>
          <w:sz w:val="24"/>
          <w:highlight w:val="none"/>
        </w:rPr>
        <w:t>解密投标文件：供应商在收到主持人“开始解密”指令后，应使用“加密该投标文件的 CA 锁（必须是同一把锁）”在线完成投标文件解密。除因【宝鸡市公共资源交易中心】断电、断网、系统故障及其他不可抗力等因素，导致“不见面开标”系统无法正常运行外，供应商应在规定的解密时间内完成解密。</w:t>
      </w:r>
    </w:p>
    <w:p w14:paraId="6A7C38B0">
      <w:pPr>
        <w:numPr>
          <w:ilvl w:val="0"/>
          <w:numId w:val="2"/>
        </w:numPr>
        <w:shd w:val="clear" w:color="auto" w:fill="auto"/>
        <w:ind w:firstLine="460" w:firstLineChars="192"/>
        <w:rPr>
          <w:rFonts w:hint="eastAsia" w:ascii="宋体" w:hAnsi="宋体" w:cs="宋体"/>
          <w:b w:val="0"/>
          <w:bCs w:val="0"/>
          <w:sz w:val="24"/>
          <w:highlight w:val="none"/>
        </w:rPr>
      </w:pPr>
      <w:r>
        <w:rPr>
          <w:rFonts w:hint="eastAsia" w:ascii="宋体" w:hAnsi="宋体" w:cs="宋体"/>
          <w:b w:val="0"/>
          <w:bCs w:val="0"/>
          <w:sz w:val="24"/>
          <w:highlight w:val="none"/>
        </w:rPr>
        <w:t>唱标：对于公开招标项目，“不见面开标”系统将自动展示供应商名单及其投标报价。</w:t>
      </w:r>
    </w:p>
    <w:p w14:paraId="36978BB4">
      <w:pPr>
        <w:numPr>
          <w:ilvl w:val="0"/>
          <w:numId w:val="2"/>
        </w:numPr>
        <w:shd w:val="clear" w:color="auto" w:fill="auto"/>
        <w:ind w:firstLine="460" w:firstLineChars="192"/>
        <w:rPr>
          <w:rFonts w:hint="eastAsia" w:ascii="宋体" w:hAnsi="宋体" w:cs="宋体"/>
          <w:b w:val="0"/>
          <w:bCs w:val="0"/>
          <w:sz w:val="24"/>
          <w:highlight w:val="none"/>
        </w:rPr>
      </w:pPr>
      <w:r>
        <w:rPr>
          <w:rFonts w:hint="eastAsia" w:ascii="宋体" w:hAnsi="宋体" w:cs="宋体"/>
          <w:b w:val="0"/>
          <w:bCs w:val="0"/>
          <w:sz w:val="24"/>
          <w:highlight w:val="none"/>
        </w:rPr>
        <w:t>开标结束：进入评审环节。供应商请保持在线，评审期间评标委员会可能会要求供应商做相应的澄清。因供应商擅自离席造成的不利后果，由供应商自行承担。</w:t>
      </w:r>
    </w:p>
    <w:p w14:paraId="6375E32D">
      <w:pPr>
        <w:numPr>
          <w:ilvl w:val="0"/>
          <w:numId w:val="2"/>
        </w:numPr>
        <w:shd w:val="clear" w:color="auto" w:fill="auto"/>
        <w:ind w:firstLine="460" w:firstLineChars="192"/>
        <w:rPr>
          <w:rFonts w:hint="eastAsia" w:ascii="宋体" w:hAnsi="宋体" w:cs="宋体"/>
          <w:b w:val="0"/>
          <w:bCs w:val="0"/>
          <w:sz w:val="24"/>
          <w:highlight w:val="none"/>
        </w:rPr>
      </w:pPr>
      <w:r>
        <w:rPr>
          <w:rFonts w:hint="eastAsia" w:ascii="宋体" w:hAnsi="宋体" w:cs="宋体"/>
          <w:b w:val="0"/>
          <w:bCs w:val="0"/>
          <w:sz w:val="24"/>
          <w:highlight w:val="none"/>
        </w:rPr>
        <w:t>“不见面开标”系统操作说明：详见宝鸡市公共资源交易平台〖首页·〉服务指南·〉下载专区〗中的《西安公共资源交易不见面开标大厅供应商操作手册》。</w:t>
      </w:r>
    </w:p>
    <w:p w14:paraId="12BC7A99">
      <w:pPr>
        <w:keepNext w:val="0"/>
        <w:keepLines w:val="0"/>
        <w:pageBreakBefore w:val="0"/>
        <w:widowControl w:val="0"/>
        <w:numPr>
          <w:ilvl w:val="0"/>
          <w:numId w:val="2"/>
        </w:numPr>
        <w:shd w:val="clear" w:color="auto" w:fill="auto"/>
        <w:kinsoku/>
        <w:wordWrap w:val="0"/>
        <w:overflowPunct/>
        <w:topLinePunct w:val="0"/>
        <w:autoSpaceDE/>
        <w:autoSpaceDN/>
        <w:bidi w:val="0"/>
        <w:adjustRightInd/>
        <w:snapToGrid/>
        <w:ind w:firstLine="460" w:firstLineChars="192"/>
        <w:textAlignment w:val="auto"/>
        <w:rPr>
          <w:rFonts w:hint="eastAsia" w:ascii="宋体" w:hAnsi="宋体" w:cs="宋体"/>
          <w:b w:val="0"/>
          <w:bCs w:val="0"/>
          <w:sz w:val="24"/>
          <w:highlight w:val="none"/>
        </w:rPr>
      </w:pPr>
      <w:r>
        <w:rPr>
          <w:rFonts w:hint="eastAsia" w:ascii="宋体" w:hAnsi="宋体" w:cs="宋体"/>
          <w:b w:val="0"/>
          <w:bCs w:val="0"/>
          <w:sz w:val="24"/>
          <w:highlight w:val="none"/>
        </w:rPr>
        <w:t>链接地址：http://sxggzyjy.xa.gov.cn/fwzn/004003/20200426/bc8b2c1e-abe2-4168-913c-68ff93345faf.html</w:t>
      </w:r>
    </w:p>
    <w:p w14:paraId="26038979">
      <w:pPr>
        <w:keepNext w:val="0"/>
        <w:keepLines w:val="0"/>
        <w:pageBreakBefore w:val="0"/>
        <w:widowControl w:val="0"/>
        <w:numPr>
          <w:ilvl w:val="0"/>
          <w:numId w:val="0"/>
        </w:numPr>
        <w:shd w:val="clear" w:color="auto" w:fill="auto"/>
        <w:kinsoku/>
        <w:wordWrap w:val="0"/>
        <w:overflowPunct/>
        <w:topLinePunct w:val="0"/>
        <w:autoSpaceDE/>
        <w:autoSpaceDN/>
        <w:bidi w:val="0"/>
        <w:adjustRightInd/>
        <w:snapToGrid/>
        <w:textAlignment w:val="auto"/>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  </w:t>
      </w:r>
      <w:r>
        <w:rPr>
          <w:rFonts w:hint="eastAsia" w:ascii="宋体" w:hAnsi="宋体" w:cs="宋体"/>
          <w:b/>
          <w:bCs/>
          <w:sz w:val="24"/>
          <w:highlight w:val="none"/>
          <w:lang w:val="en-US" w:eastAsia="zh-CN"/>
        </w:rPr>
        <w:t xml:space="preserve">  19.开标环节投标文件视为无效的情形</w:t>
      </w:r>
    </w:p>
    <w:p w14:paraId="485A9307">
      <w:pPr>
        <w:keepNext w:val="0"/>
        <w:keepLines w:val="0"/>
        <w:pageBreakBefore w:val="0"/>
        <w:widowControl w:val="0"/>
        <w:numPr>
          <w:ilvl w:val="0"/>
          <w:numId w:val="0"/>
        </w:numPr>
        <w:shd w:val="clear" w:color="auto" w:fill="auto"/>
        <w:kinsoku/>
        <w:wordWrap w:val="0"/>
        <w:overflowPunct/>
        <w:topLinePunct w:val="0"/>
        <w:autoSpaceDE/>
        <w:autoSpaceDN/>
        <w:bidi w:val="0"/>
        <w:adjustRightInd/>
        <w:snapToGrid/>
        <w:ind w:firstLine="480"/>
        <w:textAlignment w:val="auto"/>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19.1供应商放弃或拒绝对电子投标文件进行解密的。</w:t>
      </w:r>
    </w:p>
    <w:p w14:paraId="632EEB9E">
      <w:pPr>
        <w:keepNext w:val="0"/>
        <w:keepLines w:val="0"/>
        <w:pageBreakBefore w:val="0"/>
        <w:widowControl w:val="0"/>
        <w:numPr>
          <w:ilvl w:val="0"/>
          <w:numId w:val="0"/>
        </w:numPr>
        <w:shd w:val="clear" w:color="auto" w:fill="auto"/>
        <w:kinsoku/>
        <w:wordWrap w:val="0"/>
        <w:overflowPunct/>
        <w:topLinePunct w:val="0"/>
        <w:autoSpaceDE/>
        <w:autoSpaceDN/>
        <w:bidi w:val="0"/>
        <w:adjustRightInd/>
        <w:snapToGrid/>
        <w:ind w:firstLine="480"/>
        <w:textAlignment w:val="auto"/>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19.2因供应商自身原因，导致未在规定的解密时限内完整解密的，如忘带 CA 锁、或携带的 CA 锁与加密文件的 CA 锁不同、或使用旧版招标文件编制投标文件等情形。</w:t>
      </w:r>
    </w:p>
    <w:p w14:paraId="3189114A">
      <w:pPr>
        <w:keepNext w:val="0"/>
        <w:keepLines w:val="0"/>
        <w:pageBreakBefore w:val="0"/>
        <w:widowControl w:val="0"/>
        <w:numPr>
          <w:ilvl w:val="0"/>
          <w:numId w:val="0"/>
        </w:numPr>
        <w:shd w:val="clear" w:color="auto" w:fill="auto"/>
        <w:kinsoku/>
        <w:wordWrap w:val="0"/>
        <w:overflowPunct/>
        <w:topLinePunct w:val="0"/>
        <w:autoSpaceDE/>
        <w:autoSpaceDN/>
        <w:bidi w:val="0"/>
        <w:adjustRightInd/>
        <w:snapToGrid/>
        <w:ind w:firstLine="480"/>
        <w:textAlignment w:val="auto"/>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19.3上传的电子投标文件无法正常打开的。</w:t>
      </w:r>
    </w:p>
    <w:p w14:paraId="2A7C2ED0">
      <w:pPr>
        <w:shd w:val="clear" w:color="auto" w:fill="auto"/>
        <w:ind w:firstLine="0" w:firstLineChars="0"/>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lang w:eastAsia="zh-CN"/>
        </w:rPr>
        <w:t>五</w:t>
      </w:r>
      <w:r>
        <w:rPr>
          <w:rFonts w:hint="eastAsia" w:ascii="宋体" w:hAnsi="宋体" w:cs="宋体"/>
          <w:b/>
          <w:color w:val="000000"/>
          <w:sz w:val="28"/>
          <w:szCs w:val="28"/>
          <w:highlight w:val="none"/>
        </w:rPr>
        <w:t>、评 标</w:t>
      </w:r>
      <w:bookmarkEnd w:id="94"/>
    </w:p>
    <w:p w14:paraId="1D0F92D0">
      <w:pPr>
        <w:shd w:val="clear" w:color="auto" w:fill="auto"/>
        <w:ind w:left="117" w:leftChars="50" w:hanging="12" w:hangingChars="5"/>
        <w:rPr>
          <w:rFonts w:hint="eastAsia" w:ascii="宋体" w:hAnsi="宋体" w:cs="宋体"/>
          <w:sz w:val="24"/>
          <w:highlight w:val="none"/>
        </w:rPr>
      </w:pPr>
      <w:r>
        <w:rPr>
          <w:rFonts w:hint="eastAsia" w:ascii="宋体" w:hAnsi="宋体" w:cs="宋体"/>
          <w:b/>
          <w:bCs/>
          <w:color w:val="000000"/>
          <w:sz w:val="24"/>
          <w:highlight w:val="none"/>
        </w:rPr>
        <w:t xml:space="preserve">   </w:t>
      </w:r>
      <w:r>
        <w:rPr>
          <w:rFonts w:hint="eastAsia" w:ascii="宋体" w:hAnsi="宋体" w:cs="宋体"/>
          <w:b/>
          <w:bCs/>
          <w:color w:val="000000"/>
          <w:sz w:val="24"/>
          <w:highlight w:val="none"/>
          <w:lang w:val="en-US" w:eastAsia="zh-CN"/>
        </w:rPr>
        <w:t>20</w:t>
      </w:r>
      <w:r>
        <w:rPr>
          <w:rFonts w:hint="eastAsia" w:ascii="宋体" w:hAnsi="宋体" w:cs="宋体"/>
          <w:b/>
          <w:bCs/>
          <w:sz w:val="24"/>
          <w:highlight w:val="none"/>
        </w:rPr>
        <w:t>.评</w:t>
      </w:r>
      <w:r>
        <w:rPr>
          <w:rFonts w:hint="eastAsia" w:ascii="宋体" w:hAnsi="宋体" w:cs="宋体"/>
          <w:b/>
          <w:sz w:val="24"/>
          <w:highlight w:val="none"/>
        </w:rPr>
        <w:t>标委员会</w:t>
      </w:r>
    </w:p>
    <w:p w14:paraId="53AFC723">
      <w:pPr>
        <w:shd w:val="clear" w:color="auto" w:fill="auto"/>
        <w:ind w:left="120" w:leftChars="57" w:firstLine="360" w:firstLineChars="150"/>
        <w:rPr>
          <w:rFonts w:hint="eastAsia" w:ascii="宋体" w:hAnsi="宋体" w:cs="宋体"/>
          <w:sz w:val="24"/>
          <w:highlight w:val="none"/>
        </w:rPr>
      </w:pPr>
      <w:r>
        <w:rPr>
          <w:rFonts w:hint="eastAsia" w:ascii="宋体" w:hAnsi="宋体" w:cs="宋体"/>
          <w:sz w:val="24"/>
          <w:highlight w:val="none"/>
          <w:lang w:val="en-US" w:eastAsia="zh-CN"/>
        </w:rPr>
        <w:t>20</w:t>
      </w:r>
      <w:r>
        <w:rPr>
          <w:rFonts w:hint="eastAsia" w:ascii="宋体" w:hAnsi="宋体" w:cs="宋体"/>
          <w:sz w:val="24"/>
          <w:highlight w:val="none"/>
        </w:rPr>
        <w:t>.1评标工作由采购代理机构依法组建的评标委员会（以下简称评委会）负责。评标委会由采购人代表和有关专家组成，专家人选在采购人同级或上级财政部门设立的政府采购评审专家库中随机抽取。</w:t>
      </w:r>
    </w:p>
    <w:p w14:paraId="3D91B1C6">
      <w:pPr>
        <w:shd w:val="clear" w:color="auto" w:fill="auto"/>
        <w:ind w:left="120" w:leftChars="57" w:firstLine="360" w:firstLineChars="150"/>
        <w:rPr>
          <w:rFonts w:hint="eastAsia" w:ascii="宋体" w:hAnsi="宋体" w:cs="宋体"/>
          <w:sz w:val="24"/>
          <w:highlight w:val="none"/>
        </w:rPr>
      </w:pPr>
      <w:r>
        <w:rPr>
          <w:rFonts w:hint="eastAsia" w:ascii="宋体" w:hAnsi="宋体" w:cs="宋体"/>
          <w:sz w:val="24"/>
          <w:highlight w:val="none"/>
        </w:rPr>
        <w:t>2</w:t>
      </w:r>
      <w:r>
        <w:rPr>
          <w:rFonts w:hint="eastAsia" w:ascii="宋体" w:hAnsi="宋体" w:cs="宋体"/>
          <w:sz w:val="24"/>
          <w:highlight w:val="none"/>
          <w:lang w:val="en-US" w:eastAsia="zh-CN"/>
        </w:rPr>
        <w:t>0</w:t>
      </w:r>
      <w:r>
        <w:rPr>
          <w:rFonts w:hint="eastAsia" w:ascii="宋体" w:hAnsi="宋体" w:cs="宋体"/>
          <w:sz w:val="24"/>
          <w:highlight w:val="none"/>
        </w:rPr>
        <w:t>.2 评委会成员到位后，推荐一名评审专家担任评审组长，并由评审组长牵头组织该项目评审工作，采购人授权的参加评审专家，不得担任评审组长。</w:t>
      </w:r>
    </w:p>
    <w:p w14:paraId="1341A7FC">
      <w:pPr>
        <w:shd w:val="clear" w:color="auto" w:fill="auto"/>
        <w:ind w:left="120" w:leftChars="57" w:firstLine="360" w:firstLineChars="150"/>
        <w:rPr>
          <w:rFonts w:hint="eastAsia" w:ascii="宋体" w:hAnsi="宋体" w:cs="宋体"/>
          <w:sz w:val="24"/>
          <w:highlight w:val="none"/>
        </w:rPr>
      </w:pPr>
      <w:r>
        <w:rPr>
          <w:rFonts w:hint="eastAsia" w:ascii="宋体" w:hAnsi="宋体" w:cs="宋体"/>
          <w:sz w:val="24"/>
          <w:highlight w:val="none"/>
        </w:rPr>
        <w:t>2</w:t>
      </w:r>
      <w:r>
        <w:rPr>
          <w:rFonts w:hint="eastAsia" w:ascii="宋体" w:hAnsi="宋体" w:cs="宋体"/>
          <w:sz w:val="24"/>
          <w:highlight w:val="none"/>
          <w:lang w:val="en-US" w:eastAsia="zh-CN"/>
        </w:rPr>
        <w:t>0</w:t>
      </w:r>
      <w:r>
        <w:rPr>
          <w:rFonts w:hint="eastAsia" w:ascii="宋体" w:hAnsi="宋体" w:cs="宋体"/>
          <w:sz w:val="24"/>
          <w:highlight w:val="none"/>
        </w:rPr>
        <w:t>.3 评委会成员有下列情形之一的，应当回避：</w:t>
      </w:r>
    </w:p>
    <w:p w14:paraId="5C2B2BC8">
      <w:pPr>
        <w:shd w:val="clear" w:color="auto" w:fill="auto"/>
        <w:ind w:left="120" w:leftChars="57" w:firstLine="360" w:firstLineChars="150"/>
        <w:rPr>
          <w:rFonts w:hint="eastAsia" w:ascii="宋体" w:hAnsi="宋体" w:cs="宋体"/>
          <w:sz w:val="24"/>
          <w:highlight w:val="none"/>
        </w:rPr>
      </w:pPr>
      <w:r>
        <w:rPr>
          <w:rFonts w:hint="eastAsia" w:ascii="宋体" w:hAnsi="宋体" w:cs="宋体"/>
          <w:sz w:val="24"/>
          <w:highlight w:val="none"/>
        </w:rPr>
        <w:t>（1）参加采购活动前3年内与供应商存在劳动关系；</w:t>
      </w:r>
    </w:p>
    <w:p w14:paraId="3770E5DD">
      <w:pPr>
        <w:shd w:val="clear" w:color="auto" w:fill="auto"/>
        <w:ind w:left="120" w:leftChars="57" w:firstLine="360" w:firstLineChars="150"/>
        <w:rPr>
          <w:rFonts w:hint="eastAsia" w:ascii="宋体" w:hAnsi="宋体" w:cs="宋体"/>
          <w:sz w:val="24"/>
          <w:highlight w:val="none"/>
        </w:rPr>
      </w:pPr>
      <w:r>
        <w:rPr>
          <w:rFonts w:hint="eastAsia" w:ascii="宋体" w:hAnsi="宋体" w:cs="宋体"/>
          <w:sz w:val="24"/>
          <w:highlight w:val="none"/>
        </w:rPr>
        <w:t>（2）参加采购活动前3年内担任供应商的董事、监事；</w:t>
      </w:r>
    </w:p>
    <w:p w14:paraId="748A4997">
      <w:pPr>
        <w:shd w:val="clear" w:color="auto" w:fill="auto"/>
        <w:ind w:left="120" w:leftChars="57" w:firstLine="360" w:firstLineChars="150"/>
        <w:rPr>
          <w:rFonts w:hint="eastAsia" w:ascii="宋体" w:hAnsi="宋体" w:cs="宋体"/>
          <w:sz w:val="24"/>
          <w:highlight w:val="none"/>
        </w:rPr>
      </w:pPr>
      <w:r>
        <w:rPr>
          <w:rFonts w:hint="eastAsia" w:ascii="宋体" w:hAnsi="宋体" w:cs="宋体"/>
          <w:sz w:val="24"/>
          <w:highlight w:val="none"/>
        </w:rPr>
        <w:t>（3）参加采购活动前3年内是供应商的控股股东或者实际控制人；</w:t>
      </w:r>
    </w:p>
    <w:p w14:paraId="0B3B486D">
      <w:pPr>
        <w:shd w:val="clear" w:color="auto" w:fill="auto"/>
        <w:ind w:left="120" w:leftChars="57" w:firstLine="360" w:firstLineChars="150"/>
        <w:rPr>
          <w:rFonts w:hint="eastAsia" w:ascii="宋体" w:hAnsi="宋体" w:cs="宋体"/>
          <w:sz w:val="24"/>
          <w:highlight w:val="none"/>
        </w:rPr>
      </w:pPr>
      <w:r>
        <w:rPr>
          <w:rFonts w:hint="eastAsia" w:ascii="宋体" w:hAnsi="宋体" w:cs="宋体"/>
          <w:sz w:val="24"/>
          <w:highlight w:val="none"/>
        </w:rPr>
        <w:t>（4）与供应商的法定代表人或者负责人有夫妻、直系血亲、三代以内旁系血亲或者近姻亲关系；</w:t>
      </w:r>
    </w:p>
    <w:p w14:paraId="46CBCFFF">
      <w:pPr>
        <w:shd w:val="clear" w:color="auto" w:fill="auto"/>
        <w:ind w:left="120" w:leftChars="57" w:firstLine="360" w:firstLineChars="150"/>
        <w:rPr>
          <w:rFonts w:hint="eastAsia" w:ascii="宋体" w:hAnsi="宋体" w:cs="宋体"/>
          <w:sz w:val="24"/>
          <w:highlight w:val="none"/>
        </w:rPr>
      </w:pPr>
      <w:r>
        <w:rPr>
          <w:rFonts w:hint="eastAsia" w:ascii="宋体" w:hAnsi="宋体" w:cs="宋体"/>
          <w:sz w:val="24"/>
          <w:highlight w:val="none"/>
        </w:rPr>
        <w:t>（5）与供应商有其他可能影响政府采购活动公平、公正进行的关系。</w:t>
      </w:r>
    </w:p>
    <w:p w14:paraId="535E4BE7">
      <w:pPr>
        <w:shd w:val="clear" w:color="auto" w:fill="auto"/>
        <w:ind w:left="120" w:leftChars="57" w:firstLine="360" w:firstLineChars="150"/>
        <w:rPr>
          <w:rFonts w:hint="eastAsia" w:ascii="宋体" w:hAnsi="宋体" w:cs="宋体"/>
          <w:sz w:val="24"/>
          <w:highlight w:val="none"/>
        </w:rPr>
      </w:pPr>
      <w:r>
        <w:rPr>
          <w:rFonts w:hint="eastAsia" w:ascii="宋体" w:hAnsi="宋体" w:cs="宋体"/>
          <w:sz w:val="24"/>
          <w:highlight w:val="none"/>
        </w:rPr>
        <w:t>供应商认为采购人员及相关人员与其他供应商有利害关系的，可以向采购人或者采购代理机构书面提出回避申请，并说明理由。采购人或者采购代理机构应当及时询问被申请回避人员，有利害关系的被申请回避人员应当回避。</w:t>
      </w:r>
    </w:p>
    <w:p w14:paraId="7734064C">
      <w:pPr>
        <w:shd w:val="clear" w:color="auto" w:fill="auto"/>
        <w:ind w:left="120" w:leftChars="57" w:firstLine="361" w:firstLineChars="150"/>
        <w:rPr>
          <w:rFonts w:hint="eastAsia" w:ascii="宋体" w:hAnsi="宋体" w:cs="宋体"/>
          <w:sz w:val="24"/>
          <w:highlight w:val="none"/>
        </w:rPr>
      </w:pPr>
      <w:r>
        <w:rPr>
          <w:rFonts w:hint="eastAsia" w:ascii="宋体" w:hAnsi="宋体" w:cs="宋体"/>
          <w:b/>
          <w:sz w:val="24"/>
          <w:highlight w:val="none"/>
        </w:rPr>
        <w:t>2</w:t>
      </w:r>
      <w:r>
        <w:rPr>
          <w:rFonts w:hint="eastAsia" w:ascii="宋体" w:hAnsi="宋体" w:cs="宋体"/>
          <w:b/>
          <w:sz w:val="24"/>
          <w:highlight w:val="none"/>
          <w:lang w:val="en-US" w:eastAsia="zh-CN"/>
        </w:rPr>
        <w:t>1</w:t>
      </w:r>
      <w:r>
        <w:rPr>
          <w:rFonts w:hint="eastAsia" w:ascii="宋体" w:hAnsi="宋体" w:cs="宋体"/>
          <w:b/>
          <w:sz w:val="24"/>
          <w:highlight w:val="none"/>
        </w:rPr>
        <w:t>.评标原则</w:t>
      </w:r>
    </w:p>
    <w:p w14:paraId="797EBA09">
      <w:pPr>
        <w:shd w:val="clear" w:color="auto" w:fill="auto"/>
        <w:ind w:firstLine="480"/>
        <w:rPr>
          <w:rFonts w:hint="eastAsia" w:ascii="宋体" w:hAnsi="宋体" w:cs="宋体"/>
          <w:color w:val="000000"/>
          <w:sz w:val="24"/>
          <w:highlight w:val="none"/>
        </w:rPr>
      </w:pPr>
      <w:r>
        <w:rPr>
          <w:rFonts w:hint="eastAsia" w:ascii="宋体" w:hAnsi="宋体" w:cs="宋体"/>
          <w:sz w:val="24"/>
          <w:highlight w:val="none"/>
        </w:rPr>
        <w:t>2</w:t>
      </w:r>
      <w:r>
        <w:rPr>
          <w:rFonts w:hint="eastAsia" w:ascii="宋体" w:hAnsi="宋体" w:cs="宋体"/>
          <w:sz w:val="24"/>
          <w:highlight w:val="none"/>
          <w:lang w:val="en-US" w:eastAsia="zh-CN"/>
        </w:rPr>
        <w:t>1</w:t>
      </w:r>
      <w:r>
        <w:rPr>
          <w:rFonts w:hint="eastAsia" w:ascii="宋体" w:hAnsi="宋体" w:cs="宋体"/>
          <w:sz w:val="24"/>
          <w:highlight w:val="none"/>
        </w:rPr>
        <w:t>.1 评标原则应遵循公平、公正、科学和择优的原则，</w:t>
      </w:r>
      <w:r>
        <w:rPr>
          <w:rFonts w:hint="eastAsia" w:ascii="宋体" w:hAnsi="宋体" w:cs="宋体"/>
          <w:color w:val="000000"/>
          <w:sz w:val="24"/>
          <w:highlight w:val="none"/>
        </w:rPr>
        <w:t>并以相同的评标程序和标准对待所有的投标供应商。</w:t>
      </w:r>
    </w:p>
    <w:p w14:paraId="62942BB1">
      <w:pPr>
        <w:shd w:val="clear" w:color="auto" w:fill="auto"/>
        <w:ind w:firstLine="480"/>
        <w:rPr>
          <w:rFonts w:hint="eastAsia" w:ascii="宋体" w:hAnsi="宋体" w:cs="宋体"/>
          <w:sz w:val="24"/>
          <w:highlight w:val="none"/>
        </w:rPr>
      </w:pPr>
      <w:r>
        <w:rPr>
          <w:rFonts w:hint="eastAsia" w:ascii="宋体" w:hAnsi="宋体" w:cs="宋体"/>
          <w:sz w:val="24"/>
          <w:highlight w:val="none"/>
        </w:rPr>
        <w:t>2</w:t>
      </w:r>
      <w:r>
        <w:rPr>
          <w:rFonts w:hint="eastAsia" w:ascii="宋体" w:hAnsi="宋体" w:cs="宋体"/>
          <w:sz w:val="24"/>
          <w:highlight w:val="none"/>
          <w:lang w:val="en-US" w:eastAsia="zh-CN"/>
        </w:rPr>
        <w:t>1</w:t>
      </w:r>
      <w:r>
        <w:rPr>
          <w:rFonts w:hint="eastAsia" w:ascii="宋体" w:hAnsi="宋体" w:cs="宋体"/>
          <w:sz w:val="24"/>
          <w:highlight w:val="none"/>
        </w:rPr>
        <w:t>.2 评标委员会有权对整个招标过程中出现的一切问题，根据《中华人民共和国政府采购法》及实施条例和《政府采购货物和服务招标投标管理办法》等相关规定进行处理。</w:t>
      </w:r>
    </w:p>
    <w:p w14:paraId="2BD894C1">
      <w:pPr>
        <w:shd w:val="clear" w:color="auto" w:fill="auto"/>
        <w:ind w:firstLine="482"/>
        <w:rPr>
          <w:rFonts w:hint="eastAsia" w:ascii="宋体" w:hAnsi="宋体" w:cs="宋体"/>
          <w:sz w:val="24"/>
          <w:highlight w:val="none"/>
        </w:rPr>
      </w:pPr>
      <w:r>
        <w:rPr>
          <w:rFonts w:hint="eastAsia" w:ascii="宋体" w:hAnsi="宋体" w:cs="宋体"/>
          <w:b/>
          <w:sz w:val="24"/>
          <w:highlight w:val="none"/>
        </w:rPr>
        <w:t>2</w:t>
      </w:r>
      <w:r>
        <w:rPr>
          <w:rFonts w:hint="eastAsia" w:ascii="宋体" w:hAnsi="宋体" w:cs="宋体"/>
          <w:b/>
          <w:sz w:val="24"/>
          <w:highlight w:val="none"/>
          <w:lang w:val="en-US" w:eastAsia="zh-CN"/>
        </w:rPr>
        <w:t>2</w:t>
      </w:r>
      <w:r>
        <w:rPr>
          <w:rFonts w:hint="eastAsia" w:ascii="宋体" w:hAnsi="宋体" w:cs="宋体"/>
          <w:b/>
          <w:sz w:val="24"/>
          <w:highlight w:val="none"/>
        </w:rPr>
        <w:t>. 评标</w:t>
      </w:r>
    </w:p>
    <w:p w14:paraId="4D14E764">
      <w:pPr>
        <w:shd w:val="clear" w:color="auto" w:fill="auto"/>
        <w:ind w:left="120" w:leftChars="57" w:firstLine="360" w:firstLineChars="150"/>
        <w:rPr>
          <w:rFonts w:hint="eastAsia" w:ascii="宋体" w:hAnsi="宋体" w:cs="宋体"/>
          <w:sz w:val="24"/>
          <w:highlight w:val="none"/>
        </w:rPr>
      </w:pPr>
      <w:r>
        <w:rPr>
          <w:rFonts w:hint="eastAsia" w:ascii="宋体" w:hAnsi="宋体" w:cs="宋体"/>
          <w:sz w:val="24"/>
          <w:highlight w:val="none"/>
        </w:rPr>
        <w:t>2</w:t>
      </w:r>
      <w:r>
        <w:rPr>
          <w:rFonts w:hint="eastAsia" w:ascii="宋体" w:hAnsi="宋体" w:cs="宋体"/>
          <w:sz w:val="24"/>
          <w:highlight w:val="none"/>
          <w:lang w:val="en-US" w:eastAsia="zh-CN"/>
        </w:rPr>
        <w:t>2</w:t>
      </w:r>
      <w:r>
        <w:rPr>
          <w:rFonts w:hint="eastAsia" w:ascii="宋体" w:hAnsi="宋体" w:cs="宋体"/>
          <w:sz w:val="24"/>
          <w:highlight w:val="none"/>
        </w:rPr>
        <w:t>.1 评委会严格按照招标文件规定的评标方法及标准对各投标文件进行评审。</w:t>
      </w:r>
    </w:p>
    <w:p w14:paraId="2A0E5363">
      <w:pPr>
        <w:shd w:val="clear" w:color="auto" w:fill="auto"/>
        <w:ind w:firstLine="480"/>
        <w:rPr>
          <w:rFonts w:hint="eastAsia" w:ascii="宋体" w:hAnsi="宋体" w:cs="宋体"/>
          <w:color w:val="000000"/>
          <w:sz w:val="24"/>
          <w:highlight w:val="none"/>
        </w:rPr>
      </w:pPr>
      <w:r>
        <w:rPr>
          <w:rFonts w:hint="eastAsia" w:ascii="宋体" w:hAnsi="宋体" w:cs="宋体"/>
          <w:sz w:val="24"/>
          <w:highlight w:val="none"/>
        </w:rPr>
        <w:t>2</w:t>
      </w:r>
      <w:r>
        <w:rPr>
          <w:rFonts w:hint="eastAsia" w:ascii="宋体" w:hAnsi="宋体" w:cs="宋体"/>
          <w:sz w:val="24"/>
          <w:highlight w:val="none"/>
          <w:lang w:val="en-US" w:eastAsia="zh-CN"/>
        </w:rPr>
        <w:t>2</w:t>
      </w:r>
      <w:r>
        <w:rPr>
          <w:rFonts w:hint="eastAsia" w:ascii="宋体" w:hAnsi="宋体" w:cs="宋体"/>
          <w:sz w:val="24"/>
          <w:highlight w:val="none"/>
        </w:rPr>
        <w:t xml:space="preserve">.2 </w:t>
      </w:r>
      <w:r>
        <w:rPr>
          <w:rFonts w:hint="eastAsia" w:ascii="宋体" w:hAnsi="宋体" w:cs="宋体"/>
          <w:color w:val="000000"/>
          <w:sz w:val="24"/>
          <w:highlight w:val="none"/>
        </w:rPr>
        <w:t>评标委员会独立履行下列职责：</w:t>
      </w:r>
    </w:p>
    <w:p w14:paraId="298841CF">
      <w:pPr>
        <w:shd w:val="clear" w:color="auto" w:fill="auto"/>
        <w:ind w:firstLine="480"/>
        <w:rPr>
          <w:rFonts w:hint="eastAsia" w:ascii="宋体" w:hAnsi="宋体" w:cs="宋体"/>
          <w:color w:val="000000"/>
          <w:sz w:val="24"/>
          <w:highlight w:val="none"/>
        </w:rPr>
      </w:pPr>
      <w:r>
        <w:rPr>
          <w:rFonts w:hint="eastAsia" w:ascii="宋体" w:hAnsi="宋体" w:cs="宋体"/>
          <w:color w:val="000000"/>
          <w:sz w:val="24"/>
          <w:highlight w:val="none"/>
        </w:rPr>
        <w:t>（1）审查投标文件是否符合招标文件要求，并作出评价；</w:t>
      </w:r>
    </w:p>
    <w:p w14:paraId="6D9BD925">
      <w:pPr>
        <w:shd w:val="clear" w:color="auto" w:fill="auto"/>
        <w:ind w:firstLine="480"/>
        <w:rPr>
          <w:rFonts w:hint="eastAsia" w:ascii="宋体" w:hAnsi="宋体" w:cs="宋体"/>
          <w:color w:val="000000"/>
          <w:sz w:val="24"/>
          <w:highlight w:val="none"/>
        </w:rPr>
      </w:pPr>
      <w:r>
        <w:rPr>
          <w:rFonts w:hint="eastAsia" w:ascii="宋体" w:hAnsi="宋体" w:cs="宋体"/>
          <w:color w:val="000000"/>
          <w:sz w:val="24"/>
          <w:highlight w:val="none"/>
        </w:rPr>
        <w:t>（2）要求投标供应商对投标文件有关事项作出解释或者澄清；</w:t>
      </w:r>
    </w:p>
    <w:p w14:paraId="6EBD43C2">
      <w:pPr>
        <w:shd w:val="clear" w:color="auto" w:fill="auto"/>
        <w:ind w:firstLine="480"/>
        <w:rPr>
          <w:rFonts w:hint="eastAsia" w:ascii="宋体" w:hAnsi="宋体" w:cs="宋体"/>
          <w:color w:val="000000"/>
          <w:sz w:val="24"/>
          <w:highlight w:val="none"/>
        </w:rPr>
      </w:pPr>
      <w:r>
        <w:rPr>
          <w:rFonts w:hint="eastAsia" w:ascii="宋体" w:hAnsi="宋体" w:cs="宋体"/>
          <w:color w:val="000000"/>
          <w:sz w:val="24"/>
          <w:highlight w:val="none"/>
        </w:rPr>
        <w:t>（3）推荐中标候选供应商名单，或者受采购人委托按照事先确定的办法直接确定中标供应商；</w:t>
      </w:r>
    </w:p>
    <w:p w14:paraId="568336D4">
      <w:pPr>
        <w:shd w:val="clear" w:color="auto" w:fill="auto"/>
        <w:ind w:firstLine="480"/>
        <w:rPr>
          <w:rFonts w:hint="eastAsia" w:ascii="宋体" w:hAnsi="宋体" w:cs="宋体"/>
          <w:sz w:val="24"/>
          <w:highlight w:val="none"/>
        </w:rPr>
      </w:pPr>
      <w:r>
        <w:rPr>
          <w:rFonts w:hint="eastAsia" w:ascii="宋体" w:hAnsi="宋体" w:cs="宋体"/>
          <w:sz w:val="24"/>
          <w:highlight w:val="none"/>
        </w:rPr>
        <w:t>（4）向采购人或者有关部门报告非法干预评标工作的行为。</w:t>
      </w:r>
    </w:p>
    <w:p w14:paraId="30CF913F">
      <w:pPr>
        <w:shd w:val="clear" w:color="auto" w:fill="auto"/>
        <w:ind w:left="120" w:leftChars="57" w:firstLine="360" w:firstLineChars="150"/>
        <w:rPr>
          <w:rFonts w:hint="eastAsia" w:ascii="宋体" w:hAnsi="宋体" w:cs="宋体"/>
          <w:sz w:val="24"/>
          <w:highlight w:val="none"/>
        </w:rPr>
      </w:pPr>
      <w:r>
        <w:rPr>
          <w:rFonts w:hint="eastAsia" w:ascii="宋体" w:hAnsi="宋体" w:cs="宋体"/>
          <w:sz w:val="24"/>
          <w:highlight w:val="none"/>
        </w:rPr>
        <w:t>2</w:t>
      </w:r>
      <w:r>
        <w:rPr>
          <w:rFonts w:hint="eastAsia" w:ascii="宋体" w:hAnsi="宋体" w:cs="宋体"/>
          <w:sz w:val="24"/>
          <w:highlight w:val="none"/>
          <w:lang w:val="en-US" w:eastAsia="zh-CN"/>
        </w:rPr>
        <w:t>2</w:t>
      </w:r>
      <w:r>
        <w:rPr>
          <w:rFonts w:hint="eastAsia" w:ascii="宋体" w:hAnsi="宋体" w:cs="宋体"/>
          <w:sz w:val="24"/>
          <w:highlight w:val="none"/>
        </w:rPr>
        <w:t>.3评标过程严格保密</w:t>
      </w:r>
    </w:p>
    <w:p w14:paraId="2E10E61B">
      <w:pPr>
        <w:shd w:val="clear" w:color="auto" w:fill="auto"/>
        <w:ind w:firstLine="480"/>
        <w:rPr>
          <w:rFonts w:hint="eastAsia" w:ascii="宋体" w:hAnsi="宋体" w:cs="宋体"/>
          <w:sz w:val="24"/>
          <w:highlight w:val="none"/>
        </w:rPr>
      </w:pPr>
      <w:r>
        <w:rPr>
          <w:rFonts w:hint="eastAsia" w:ascii="宋体" w:hAnsi="宋体" w:cs="宋体"/>
          <w:sz w:val="24"/>
          <w:highlight w:val="none"/>
        </w:rPr>
        <w:t>（1）</w:t>
      </w:r>
      <w:r>
        <w:rPr>
          <w:rFonts w:hint="eastAsia" w:ascii="宋体" w:hAnsi="宋体" w:cs="宋体"/>
          <w:color w:val="000000"/>
          <w:sz w:val="24"/>
          <w:highlight w:val="none"/>
        </w:rPr>
        <w:t>开标后，直至授予中标人合同为止，凡属于对投标文件的审查、澄清、评价和比较的有关资料以及中标候选人的推荐情况，与评标有关的其他任何情况均严格保密；</w:t>
      </w:r>
    </w:p>
    <w:p w14:paraId="60680B3D">
      <w:pPr>
        <w:shd w:val="clear" w:color="auto" w:fill="auto"/>
        <w:ind w:firstLine="480"/>
        <w:rPr>
          <w:rFonts w:hint="eastAsia" w:ascii="宋体" w:hAnsi="宋体" w:cs="宋体"/>
          <w:sz w:val="24"/>
          <w:highlight w:val="none"/>
        </w:rPr>
      </w:pPr>
      <w:r>
        <w:rPr>
          <w:rFonts w:hint="eastAsia" w:ascii="宋体" w:hAnsi="宋体" w:cs="宋体"/>
          <w:sz w:val="24"/>
          <w:highlight w:val="none"/>
        </w:rPr>
        <w:t>（2）投标供应商对评委会的评标过程或合同授予决定施加影响的任何行为都可能导致其投标被拒绝。</w:t>
      </w:r>
      <w:bookmarkStart w:id="95" w:name="_Toc217446060"/>
    </w:p>
    <w:p w14:paraId="6C882362">
      <w:pPr>
        <w:shd w:val="clear" w:color="auto" w:fill="auto"/>
        <w:ind w:firstLine="0" w:firstLineChars="0"/>
        <w:jc w:val="center"/>
        <w:rPr>
          <w:rFonts w:hint="eastAsia" w:ascii="宋体" w:hAnsi="宋体" w:cs="宋体"/>
          <w:b/>
          <w:sz w:val="28"/>
          <w:szCs w:val="28"/>
          <w:highlight w:val="none"/>
        </w:rPr>
      </w:pPr>
      <w:r>
        <w:rPr>
          <w:rFonts w:hint="eastAsia" w:ascii="宋体" w:hAnsi="宋体" w:cs="宋体"/>
          <w:b/>
          <w:sz w:val="28"/>
          <w:szCs w:val="28"/>
          <w:highlight w:val="none"/>
          <w:lang w:eastAsia="zh-CN"/>
        </w:rPr>
        <w:t>六</w:t>
      </w:r>
      <w:r>
        <w:rPr>
          <w:rFonts w:hint="eastAsia" w:ascii="宋体" w:hAnsi="宋体" w:cs="宋体"/>
          <w:b/>
          <w:sz w:val="28"/>
          <w:szCs w:val="28"/>
          <w:highlight w:val="none"/>
        </w:rPr>
        <w:t>、定 标</w:t>
      </w:r>
      <w:bookmarkEnd w:id="95"/>
      <w:bookmarkStart w:id="96" w:name="_Toc217446061"/>
    </w:p>
    <w:p w14:paraId="217B86D5">
      <w:pPr>
        <w:shd w:val="clear" w:color="auto" w:fill="auto"/>
        <w:ind w:firstLine="472" w:firstLineChars="196"/>
        <w:rPr>
          <w:rFonts w:hint="eastAsia" w:ascii="宋体" w:hAnsi="宋体" w:cs="宋体"/>
          <w:b/>
          <w:sz w:val="24"/>
          <w:highlight w:val="none"/>
        </w:rPr>
      </w:pPr>
      <w:r>
        <w:rPr>
          <w:rFonts w:hint="eastAsia" w:ascii="宋体" w:hAnsi="宋体" w:cs="宋体"/>
          <w:b/>
          <w:sz w:val="24"/>
          <w:highlight w:val="none"/>
        </w:rPr>
        <w:t>2</w:t>
      </w:r>
      <w:r>
        <w:rPr>
          <w:rFonts w:hint="eastAsia" w:ascii="宋体" w:hAnsi="宋体" w:cs="宋体"/>
          <w:b/>
          <w:sz w:val="24"/>
          <w:highlight w:val="none"/>
          <w:lang w:val="en-US" w:eastAsia="zh-CN"/>
        </w:rPr>
        <w:t>3</w:t>
      </w:r>
      <w:r>
        <w:rPr>
          <w:rFonts w:hint="eastAsia" w:ascii="宋体" w:hAnsi="宋体" w:cs="宋体"/>
          <w:b/>
          <w:sz w:val="24"/>
          <w:highlight w:val="none"/>
        </w:rPr>
        <w:t>.定标原则</w:t>
      </w:r>
      <w:bookmarkEnd w:id="96"/>
    </w:p>
    <w:p w14:paraId="48321A2C">
      <w:pPr>
        <w:shd w:val="clear" w:color="auto" w:fill="auto"/>
        <w:ind w:firstLine="470" w:firstLineChars="196"/>
        <w:rPr>
          <w:rFonts w:hint="eastAsia" w:ascii="宋体" w:hAnsi="宋体" w:cs="宋体"/>
          <w:sz w:val="24"/>
          <w:highlight w:val="none"/>
        </w:rPr>
      </w:pPr>
      <w:r>
        <w:rPr>
          <w:rFonts w:hint="eastAsia" w:ascii="宋体" w:hAnsi="宋体" w:cs="宋体"/>
          <w:sz w:val="24"/>
          <w:highlight w:val="none"/>
        </w:rPr>
        <w:t>采购人或其授权的评标委员会应按照评标报告中推荐的中标候选人名单，按顺序确定中标人。</w:t>
      </w:r>
      <w:bookmarkStart w:id="97" w:name="_Toc217446062"/>
    </w:p>
    <w:p w14:paraId="2AEA8161">
      <w:pPr>
        <w:shd w:val="clear" w:color="auto" w:fill="auto"/>
        <w:ind w:firstLine="472" w:firstLineChars="196"/>
        <w:rPr>
          <w:rFonts w:hint="eastAsia" w:ascii="宋体" w:hAnsi="宋体" w:cs="宋体"/>
          <w:b/>
          <w:sz w:val="24"/>
          <w:highlight w:val="none"/>
        </w:rPr>
      </w:pPr>
      <w:r>
        <w:rPr>
          <w:rFonts w:hint="eastAsia" w:ascii="宋体" w:hAnsi="宋体" w:cs="宋体"/>
          <w:b/>
          <w:sz w:val="24"/>
          <w:highlight w:val="none"/>
        </w:rPr>
        <w:t>2</w:t>
      </w:r>
      <w:r>
        <w:rPr>
          <w:rFonts w:hint="eastAsia" w:ascii="宋体" w:hAnsi="宋体" w:cs="宋体"/>
          <w:b/>
          <w:sz w:val="24"/>
          <w:highlight w:val="none"/>
          <w:lang w:val="en-US" w:eastAsia="zh-CN"/>
        </w:rPr>
        <w:t>4</w:t>
      </w:r>
      <w:r>
        <w:rPr>
          <w:rFonts w:hint="eastAsia" w:ascii="宋体" w:hAnsi="宋体" w:cs="宋体"/>
          <w:b/>
          <w:sz w:val="24"/>
          <w:highlight w:val="none"/>
        </w:rPr>
        <w:t>.定标程序</w:t>
      </w:r>
      <w:bookmarkEnd w:id="97"/>
    </w:p>
    <w:p w14:paraId="546937A7">
      <w:pPr>
        <w:shd w:val="clear" w:color="auto" w:fill="auto"/>
        <w:ind w:firstLine="420" w:firstLineChars="175"/>
        <w:rPr>
          <w:rFonts w:hint="eastAsia" w:ascii="宋体" w:hAnsi="宋体" w:cs="宋体"/>
          <w:sz w:val="24"/>
          <w:highlight w:val="none"/>
        </w:rPr>
      </w:pPr>
      <w:r>
        <w:rPr>
          <w:rFonts w:hint="eastAsia" w:ascii="宋体" w:hAnsi="宋体" w:cs="宋体"/>
          <w:sz w:val="24"/>
          <w:highlight w:val="none"/>
        </w:rPr>
        <w:t>2</w:t>
      </w:r>
      <w:r>
        <w:rPr>
          <w:rFonts w:hint="eastAsia" w:ascii="宋体" w:hAnsi="宋体" w:cs="宋体"/>
          <w:sz w:val="24"/>
          <w:highlight w:val="none"/>
          <w:lang w:val="en-US" w:eastAsia="zh-CN"/>
        </w:rPr>
        <w:t>4</w:t>
      </w:r>
      <w:r>
        <w:rPr>
          <w:rFonts w:hint="eastAsia" w:ascii="宋体" w:hAnsi="宋体" w:cs="宋体"/>
          <w:sz w:val="24"/>
          <w:highlight w:val="none"/>
        </w:rPr>
        <w:t>.1 评委会将评标情况写出书面报告，推荐三名中标候选人，并按照综合得分高低标明排列顺序。综合得分相同的，按投标报价由低到高顺序排列。得分且投标报价相同的，按技术指标优劣顺序排列。</w:t>
      </w:r>
    </w:p>
    <w:p w14:paraId="7E1BF3A2">
      <w:pPr>
        <w:shd w:val="clear" w:color="auto" w:fill="auto"/>
        <w:ind w:firstLine="420" w:firstLineChars="175"/>
        <w:rPr>
          <w:rFonts w:hint="eastAsia" w:ascii="宋体" w:hAnsi="宋体" w:cs="宋体"/>
          <w:sz w:val="24"/>
          <w:highlight w:val="none"/>
        </w:rPr>
      </w:pPr>
      <w:r>
        <w:rPr>
          <w:rFonts w:hint="eastAsia" w:ascii="宋体" w:hAnsi="宋体" w:cs="宋体"/>
          <w:sz w:val="24"/>
          <w:highlight w:val="none"/>
        </w:rPr>
        <w:t>2</w:t>
      </w:r>
      <w:r>
        <w:rPr>
          <w:rFonts w:hint="eastAsia" w:ascii="宋体" w:hAnsi="宋体" w:cs="宋体"/>
          <w:sz w:val="24"/>
          <w:highlight w:val="none"/>
          <w:lang w:val="en-US" w:eastAsia="zh-CN"/>
        </w:rPr>
        <w:t>4</w:t>
      </w:r>
      <w:r>
        <w:rPr>
          <w:rFonts w:hint="eastAsia" w:ascii="宋体" w:hAnsi="宋体" w:cs="宋体"/>
          <w:sz w:val="24"/>
          <w:highlight w:val="none"/>
        </w:rPr>
        <w:t>.2 采购代理机构在评标结束后2个工作日内将评标报告送采购人。</w:t>
      </w:r>
    </w:p>
    <w:p w14:paraId="5277C57C">
      <w:pPr>
        <w:shd w:val="clear" w:color="auto" w:fill="auto"/>
        <w:ind w:firstLine="420" w:firstLineChars="175"/>
        <w:rPr>
          <w:rFonts w:hint="eastAsia" w:ascii="宋体" w:hAnsi="宋体" w:cs="宋体"/>
          <w:sz w:val="24"/>
          <w:highlight w:val="none"/>
        </w:rPr>
      </w:pPr>
      <w:r>
        <w:rPr>
          <w:rFonts w:hint="eastAsia" w:ascii="宋体" w:hAnsi="宋体" w:cs="宋体"/>
          <w:sz w:val="24"/>
          <w:highlight w:val="none"/>
        </w:rPr>
        <w:t>2</w:t>
      </w:r>
      <w:r>
        <w:rPr>
          <w:rFonts w:hint="eastAsia" w:ascii="宋体" w:hAnsi="宋体" w:cs="宋体"/>
          <w:sz w:val="24"/>
          <w:highlight w:val="none"/>
          <w:lang w:val="en-US" w:eastAsia="zh-CN"/>
        </w:rPr>
        <w:t>4</w:t>
      </w:r>
      <w:r>
        <w:rPr>
          <w:rFonts w:hint="eastAsia" w:ascii="宋体" w:hAnsi="宋体" w:cs="宋体"/>
          <w:sz w:val="24"/>
          <w:highlight w:val="none"/>
        </w:rPr>
        <w:t>.3 采购人在收到评标报告后5个工作日内，按照评标报告中推荐的中标候选人顺序和有关规定确定中标人。同时，复函采购代理机构。</w:t>
      </w:r>
    </w:p>
    <w:p w14:paraId="22DF8A25">
      <w:pPr>
        <w:shd w:val="clear" w:color="auto" w:fill="auto"/>
        <w:ind w:firstLine="420" w:firstLineChars="175"/>
        <w:rPr>
          <w:rFonts w:hint="eastAsia" w:ascii="宋体" w:hAnsi="宋体" w:cs="宋体"/>
          <w:sz w:val="24"/>
          <w:highlight w:val="none"/>
        </w:rPr>
      </w:pPr>
      <w:r>
        <w:rPr>
          <w:rFonts w:hint="eastAsia" w:ascii="宋体" w:hAnsi="宋体" w:cs="宋体"/>
          <w:sz w:val="24"/>
          <w:highlight w:val="none"/>
        </w:rPr>
        <w:t>2</w:t>
      </w:r>
      <w:r>
        <w:rPr>
          <w:rFonts w:hint="eastAsia" w:ascii="宋体" w:hAnsi="宋体" w:cs="宋体"/>
          <w:sz w:val="24"/>
          <w:highlight w:val="none"/>
          <w:lang w:val="en-US" w:eastAsia="zh-CN"/>
        </w:rPr>
        <w:t>4</w:t>
      </w:r>
      <w:r>
        <w:rPr>
          <w:rFonts w:hint="eastAsia" w:ascii="宋体" w:hAnsi="宋体" w:cs="宋体"/>
          <w:sz w:val="24"/>
          <w:highlight w:val="none"/>
        </w:rPr>
        <w:t>.4 采购代理机构在接到采购人“定标复函”之日起2个工作日内，根据采购人确定的中标人，在财政部门指定的政府采购网和媒体上发布中标公告，公示期满后向中标人发出《中标通知书》。</w:t>
      </w:r>
    </w:p>
    <w:p w14:paraId="5F940E31">
      <w:pPr>
        <w:shd w:val="clear" w:color="auto" w:fill="auto"/>
        <w:ind w:firstLine="420" w:firstLineChars="175"/>
        <w:rPr>
          <w:rFonts w:hint="eastAsia" w:ascii="宋体" w:hAnsi="宋体" w:cs="宋体"/>
          <w:sz w:val="24"/>
          <w:highlight w:val="none"/>
        </w:rPr>
      </w:pPr>
      <w:r>
        <w:rPr>
          <w:rFonts w:hint="eastAsia" w:ascii="宋体" w:hAnsi="宋体" w:cs="宋体"/>
          <w:sz w:val="24"/>
          <w:highlight w:val="none"/>
        </w:rPr>
        <w:t>2</w:t>
      </w:r>
      <w:r>
        <w:rPr>
          <w:rFonts w:hint="eastAsia" w:ascii="宋体" w:hAnsi="宋体" w:cs="宋体"/>
          <w:sz w:val="24"/>
          <w:highlight w:val="none"/>
          <w:lang w:val="en-US" w:eastAsia="zh-CN"/>
        </w:rPr>
        <w:t>4</w:t>
      </w:r>
      <w:r>
        <w:rPr>
          <w:rFonts w:hint="eastAsia" w:ascii="宋体" w:hAnsi="宋体" w:cs="宋体"/>
          <w:sz w:val="24"/>
          <w:highlight w:val="none"/>
        </w:rPr>
        <w:t>.5 采购代理机构将评标过程与采购人情况书面报送有关监督机构备案。</w:t>
      </w:r>
      <w:bookmarkStart w:id="98" w:name="_Toc183682375"/>
      <w:bookmarkStart w:id="99" w:name="_Toc183582238"/>
      <w:bookmarkStart w:id="100" w:name="_Toc217446063"/>
    </w:p>
    <w:p w14:paraId="07A0DD1E">
      <w:pPr>
        <w:shd w:val="clear" w:color="auto" w:fill="auto"/>
        <w:ind w:firstLine="422" w:firstLineChars="175"/>
        <w:rPr>
          <w:rFonts w:hint="eastAsia" w:ascii="宋体" w:hAnsi="宋体" w:cs="宋体"/>
          <w:b/>
          <w:sz w:val="24"/>
          <w:highlight w:val="none"/>
        </w:rPr>
      </w:pPr>
      <w:r>
        <w:rPr>
          <w:rFonts w:hint="eastAsia" w:ascii="宋体" w:hAnsi="宋体" w:cs="宋体"/>
          <w:b/>
          <w:color w:val="000000"/>
          <w:sz w:val="24"/>
          <w:highlight w:val="none"/>
          <w:lang w:val="en-US" w:eastAsia="zh-CN"/>
        </w:rPr>
        <w:t>25</w:t>
      </w:r>
      <w:r>
        <w:rPr>
          <w:rFonts w:hint="eastAsia" w:ascii="宋体" w:hAnsi="宋体" w:cs="宋体"/>
          <w:b/>
          <w:color w:val="000000"/>
          <w:sz w:val="24"/>
          <w:highlight w:val="none"/>
        </w:rPr>
        <w:t>．</w:t>
      </w:r>
      <w:r>
        <w:rPr>
          <w:rFonts w:hint="eastAsia" w:ascii="宋体" w:hAnsi="宋体" w:cs="宋体"/>
          <w:b/>
          <w:sz w:val="24"/>
          <w:highlight w:val="none"/>
        </w:rPr>
        <w:t>中标通知</w:t>
      </w:r>
      <w:bookmarkEnd w:id="98"/>
      <w:bookmarkEnd w:id="99"/>
      <w:r>
        <w:rPr>
          <w:rFonts w:hint="eastAsia" w:ascii="宋体" w:hAnsi="宋体" w:cs="宋体"/>
          <w:b/>
          <w:sz w:val="24"/>
          <w:highlight w:val="none"/>
        </w:rPr>
        <w:t>书</w:t>
      </w:r>
      <w:bookmarkEnd w:id="100"/>
    </w:p>
    <w:p w14:paraId="70121861">
      <w:pPr>
        <w:shd w:val="clear" w:color="auto" w:fill="auto"/>
        <w:tabs>
          <w:tab w:val="left" w:pos="7665"/>
        </w:tabs>
        <w:ind w:firstLine="480"/>
        <w:rPr>
          <w:rFonts w:hint="eastAsia" w:ascii="宋体" w:hAnsi="宋体" w:cs="宋体"/>
          <w:sz w:val="24"/>
          <w:highlight w:val="none"/>
        </w:rPr>
      </w:pPr>
      <w:r>
        <w:rPr>
          <w:rFonts w:hint="eastAsia" w:ascii="宋体" w:hAnsi="宋体" w:cs="宋体"/>
          <w:b w:val="0"/>
          <w:bCs w:val="0"/>
          <w:sz w:val="24"/>
          <w:highlight w:val="none"/>
          <w:lang w:val="en-US" w:eastAsia="zh-CN"/>
        </w:rPr>
        <w:t>25</w:t>
      </w:r>
      <w:r>
        <w:rPr>
          <w:rFonts w:hint="eastAsia" w:ascii="宋体" w:hAnsi="宋体" w:cs="宋体"/>
          <w:b w:val="0"/>
          <w:bCs w:val="0"/>
          <w:sz w:val="24"/>
          <w:highlight w:val="none"/>
        </w:rPr>
        <w:t>.</w:t>
      </w:r>
      <w:r>
        <w:rPr>
          <w:rFonts w:hint="eastAsia" w:ascii="宋体" w:hAnsi="宋体" w:cs="宋体"/>
          <w:sz w:val="24"/>
          <w:highlight w:val="none"/>
        </w:rPr>
        <w:t>1 中标通知书为签订政府采购合同的依据，是合同的有效组成部分。</w:t>
      </w:r>
    </w:p>
    <w:p w14:paraId="25985795">
      <w:pPr>
        <w:shd w:val="clear" w:color="auto" w:fill="auto"/>
        <w:tabs>
          <w:tab w:val="left" w:pos="7665"/>
        </w:tabs>
        <w:ind w:firstLine="480"/>
        <w:rPr>
          <w:rFonts w:hint="eastAsia" w:ascii="宋体" w:hAnsi="宋体" w:cs="宋体"/>
          <w:sz w:val="24"/>
          <w:highlight w:val="none"/>
        </w:rPr>
      </w:pPr>
      <w:r>
        <w:rPr>
          <w:rFonts w:hint="eastAsia" w:ascii="宋体" w:hAnsi="宋体" w:cs="宋体"/>
          <w:sz w:val="24"/>
          <w:highlight w:val="none"/>
          <w:lang w:val="en-US" w:eastAsia="zh-CN"/>
        </w:rPr>
        <w:t>25</w:t>
      </w:r>
      <w:r>
        <w:rPr>
          <w:rFonts w:hint="eastAsia" w:ascii="宋体" w:hAnsi="宋体" w:cs="宋体"/>
          <w:sz w:val="24"/>
          <w:highlight w:val="none"/>
        </w:rPr>
        <w:t>.2 中标通知书对采购人和中标人均具有法律效力。中标通知书发出后，采购人改变中标结果，或者中标人无正当理由放弃中标的，应当承担相应的法律责任。</w:t>
      </w:r>
    </w:p>
    <w:p w14:paraId="2F0830E3">
      <w:pPr>
        <w:shd w:val="clear" w:color="auto" w:fill="auto"/>
        <w:tabs>
          <w:tab w:val="left" w:pos="7665"/>
        </w:tabs>
        <w:ind w:firstLine="480"/>
        <w:rPr>
          <w:rFonts w:hint="eastAsia" w:ascii="宋体" w:hAnsi="宋体" w:cs="宋体"/>
          <w:sz w:val="24"/>
          <w:highlight w:val="none"/>
        </w:rPr>
      </w:pPr>
      <w:r>
        <w:rPr>
          <w:rFonts w:hint="eastAsia" w:ascii="宋体" w:hAnsi="宋体" w:cs="宋体"/>
          <w:sz w:val="24"/>
          <w:highlight w:val="none"/>
          <w:lang w:val="en-US" w:eastAsia="zh-CN"/>
        </w:rPr>
        <w:t>25</w:t>
      </w:r>
      <w:r>
        <w:rPr>
          <w:rFonts w:hint="eastAsia" w:ascii="宋体" w:hAnsi="宋体" w:cs="宋体"/>
          <w:sz w:val="24"/>
          <w:highlight w:val="none"/>
        </w:rPr>
        <w:t>.3 中标人在接到采购代理机构通知之日起7个工作日内领取《中标通知书》。</w:t>
      </w:r>
    </w:p>
    <w:p w14:paraId="6734D4FE">
      <w:pPr>
        <w:shd w:val="clear" w:color="auto" w:fill="auto"/>
        <w:tabs>
          <w:tab w:val="left" w:pos="7665"/>
        </w:tabs>
        <w:ind w:firstLine="480"/>
        <w:rPr>
          <w:rFonts w:hint="eastAsia" w:ascii="宋体" w:hAnsi="宋体" w:cs="宋体"/>
          <w:sz w:val="24"/>
          <w:highlight w:val="none"/>
        </w:rPr>
      </w:pPr>
      <w:r>
        <w:rPr>
          <w:rFonts w:hint="eastAsia" w:ascii="宋体" w:hAnsi="宋体" w:cs="宋体"/>
          <w:sz w:val="24"/>
          <w:highlight w:val="none"/>
          <w:lang w:val="en-US" w:eastAsia="zh-CN"/>
        </w:rPr>
        <w:t>25</w:t>
      </w:r>
      <w:r>
        <w:rPr>
          <w:rFonts w:hint="eastAsia" w:ascii="宋体" w:hAnsi="宋体" w:cs="宋体"/>
          <w:sz w:val="24"/>
          <w:highlight w:val="none"/>
        </w:rPr>
        <w:t>.4 在《中标通知书》发出后，发现中标人有政府采购法律法规规章制度规定的中标无效情形的，采购代理机构在取得监督管理机构的认定以后，应当宣布发出的中标通知书无效，并收回发出的中标通知书（中标人也应当缴回），依法重新确定中标人或者重新开展采购活动。</w:t>
      </w:r>
    </w:p>
    <w:p w14:paraId="1AAE7F21">
      <w:pPr>
        <w:shd w:val="clear" w:color="auto" w:fill="auto"/>
        <w:ind w:firstLine="0" w:firstLineChars="0"/>
        <w:jc w:val="center"/>
        <w:rPr>
          <w:rFonts w:hint="eastAsia" w:ascii="宋体" w:hAnsi="宋体" w:cs="宋体"/>
          <w:b/>
          <w:sz w:val="28"/>
          <w:szCs w:val="28"/>
          <w:highlight w:val="none"/>
        </w:rPr>
      </w:pPr>
      <w:bookmarkStart w:id="101" w:name="_Toc217446064"/>
      <w:bookmarkStart w:id="102" w:name="_Toc183682377"/>
      <w:bookmarkStart w:id="103" w:name="_Toc183582240"/>
      <w:r>
        <w:rPr>
          <w:rFonts w:hint="eastAsia" w:ascii="宋体" w:hAnsi="宋体" w:cs="宋体"/>
          <w:b/>
          <w:sz w:val="28"/>
          <w:szCs w:val="28"/>
          <w:highlight w:val="none"/>
          <w:lang w:eastAsia="zh-CN"/>
        </w:rPr>
        <w:t>七</w:t>
      </w:r>
      <w:r>
        <w:rPr>
          <w:rFonts w:hint="eastAsia" w:ascii="宋体" w:hAnsi="宋体" w:cs="宋体"/>
          <w:b/>
          <w:sz w:val="28"/>
          <w:szCs w:val="28"/>
          <w:highlight w:val="none"/>
        </w:rPr>
        <w:t>、 废标或变更采购方式</w:t>
      </w:r>
    </w:p>
    <w:p w14:paraId="0BE39CF8">
      <w:pPr>
        <w:pStyle w:val="4"/>
        <w:shd w:val="clear" w:color="auto" w:fill="auto"/>
        <w:spacing w:before="0" w:after="0" w:line="360" w:lineRule="auto"/>
        <w:ind w:firstLine="482"/>
        <w:rPr>
          <w:rFonts w:hint="eastAsia" w:ascii="宋体" w:hAnsi="宋体" w:cs="宋体"/>
          <w:bCs/>
          <w:sz w:val="24"/>
          <w:szCs w:val="24"/>
          <w:highlight w:val="none"/>
        </w:rPr>
      </w:pPr>
      <w:bookmarkStart w:id="104" w:name="_Toc217446072"/>
      <w:r>
        <w:rPr>
          <w:rFonts w:hint="eastAsia" w:ascii="宋体" w:hAnsi="宋体" w:cs="宋体"/>
          <w:bCs/>
          <w:sz w:val="24"/>
          <w:szCs w:val="24"/>
          <w:highlight w:val="none"/>
          <w:lang w:val="en-US" w:eastAsia="zh-CN"/>
        </w:rPr>
        <w:t>26</w:t>
      </w:r>
      <w:r>
        <w:rPr>
          <w:rFonts w:hint="eastAsia" w:ascii="宋体" w:hAnsi="宋体" w:cs="宋体"/>
          <w:bCs/>
          <w:sz w:val="24"/>
          <w:szCs w:val="24"/>
          <w:highlight w:val="none"/>
        </w:rPr>
        <w:t>. 废标的情形</w:t>
      </w:r>
      <w:bookmarkEnd w:id="104"/>
    </w:p>
    <w:p w14:paraId="5BE03D98">
      <w:pPr>
        <w:pStyle w:val="5"/>
        <w:shd w:val="clear" w:color="auto" w:fill="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招标采购中，出现下列情形之一的，应予以废标：</w:t>
      </w:r>
    </w:p>
    <w:p w14:paraId="19B59A65">
      <w:pPr>
        <w:pStyle w:val="5"/>
        <w:shd w:val="clear" w:color="auto" w:fill="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（1）符合专业条件的供应商或者对招标文件作实质响应的供应商不足3家的；</w:t>
      </w:r>
    </w:p>
    <w:p w14:paraId="2547DF75">
      <w:pPr>
        <w:pStyle w:val="5"/>
        <w:shd w:val="clear" w:color="auto" w:fill="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（2）出现影响采购公正的违法、违规行为的；</w:t>
      </w:r>
    </w:p>
    <w:p w14:paraId="5BA98DDA">
      <w:pPr>
        <w:pStyle w:val="5"/>
        <w:shd w:val="clear" w:color="auto" w:fill="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（3）投标供应商的报价均超过了采购预算，采购人不能支付的；</w:t>
      </w:r>
    </w:p>
    <w:p w14:paraId="49394509">
      <w:pPr>
        <w:pStyle w:val="5"/>
        <w:shd w:val="clear" w:color="auto" w:fill="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（4）因重大变故，采购任务取消的。</w:t>
      </w:r>
    </w:p>
    <w:p w14:paraId="271B4A62">
      <w:pPr>
        <w:pStyle w:val="5"/>
        <w:shd w:val="clear" w:color="auto" w:fill="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废标后，采购代理机构应在财政部门指定采购网上公告，并公告废标的详细理由。</w:t>
      </w:r>
    </w:p>
    <w:p w14:paraId="75195F97">
      <w:pPr>
        <w:shd w:val="clear" w:color="auto" w:fill="auto"/>
        <w:tabs>
          <w:tab w:val="left" w:pos="7665"/>
        </w:tabs>
        <w:ind w:firstLine="0" w:firstLineChars="0"/>
        <w:jc w:val="center"/>
        <w:rPr>
          <w:rFonts w:hint="eastAsia" w:ascii="宋体" w:hAnsi="宋体" w:cs="宋体"/>
          <w:b/>
          <w:color w:val="FF0000"/>
          <w:sz w:val="28"/>
          <w:szCs w:val="28"/>
          <w:highlight w:val="none"/>
        </w:rPr>
      </w:pPr>
      <w:r>
        <w:rPr>
          <w:rFonts w:hint="eastAsia" w:ascii="宋体" w:hAnsi="宋体" w:cs="宋体"/>
          <w:b/>
          <w:sz w:val="28"/>
          <w:szCs w:val="28"/>
          <w:highlight w:val="none"/>
          <w:lang w:eastAsia="zh-CN"/>
        </w:rPr>
        <w:t>八</w:t>
      </w:r>
      <w:r>
        <w:rPr>
          <w:rFonts w:hint="eastAsia" w:ascii="宋体" w:hAnsi="宋体" w:cs="宋体"/>
          <w:b/>
          <w:sz w:val="28"/>
          <w:szCs w:val="28"/>
          <w:highlight w:val="none"/>
        </w:rPr>
        <w:t>、合同</w:t>
      </w:r>
      <w:bookmarkEnd w:id="101"/>
      <w:r>
        <w:rPr>
          <w:rFonts w:hint="eastAsia" w:ascii="宋体" w:hAnsi="宋体" w:cs="宋体"/>
          <w:b/>
          <w:sz w:val="28"/>
          <w:szCs w:val="28"/>
          <w:highlight w:val="none"/>
        </w:rPr>
        <w:t>授予</w:t>
      </w:r>
    </w:p>
    <w:p w14:paraId="1802C990">
      <w:pPr>
        <w:pStyle w:val="3"/>
        <w:shd w:val="clear" w:color="auto" w:fill="auto"/>
        <w:spacing w:before="0" w:after="0" w:line="360" w:lineRule="auto"/>
        <w:ind w:firstLine="472" w:firstLineChars="196"/>
        <w:rPr>
          <w:rFonts w:hint="eastAsia" w:ascii="宋体" w:hAnsi="宋体" w:eastAsia="宋体" w:cs="宋体"/>
          <w:sz w:val="24"/>
          <w:szCs w:val="24"/>
          <w:highlight w:val="none"/>
        </w:rPr>
      </w:pPr>
      <w:bookmarkStart w:id="105" w:name="_Toc217446065"/>
      <w:r>
        <w:rPr>
          <w:rFonts w:hint="eastAsia" w:ascii="宋体" w:hAnsi="宋体" w:eastAsia="宋体" w:cs="宋体"/>
          <w:sz w:val="24"/>
          <w:szCs w:val="24"/>
          <w:highlight w:val="none"/>
          <w:lang w:val="en-US" w:eastAsia="zh-CN"/>
        </w:rPr>
        <w:t>27</w:t>
      </w:r>
      <w:r>
        <w:rPr>
          <w:rFonts w:hint="eastAsia" w:ascii="宋体" w:hAnsi="宋体" w:eastAsia="宋体" w:cs="宋体"/>
          <w:sz w:val="24"/>
          <w:szCs w:val="24"/>
          <w:highlight w:val="none"/>
        </w:rPr>
        <w:t>.签订合同</w:t>
      </w:r>
      <w:bookmarkEnd w:id="105"/>
    </w:p>
    <w:p w14:paraId="77671EA5">
      <w:pPr>
        <w:shd w:val="clear" w:color="auto" w:fill="auto"/>
        <w:ind w:firstLine="480"/>
        <w:rPr>
          <w:rFonts w:hint="eastAsia" w:ascii="宋体" w:hAnsi="宋体" w:cs="宋体"/>
          <w:sz w:val="24"/>
          <w:highlight w:val="none"/>
        </w:rPr>
      </w:pPr>
      <w:r>
        <w:rPr>
          <w:rFonts w:hint="eastAsia" w:ascii="宋体" w:hAnsi="宋体" w:cs="宋体"/>
          <w:sz w:val="24"/>
          <w:highlight w:val="none"/>
          <w:lang w:val="en-US" w:eastAsia="zh-CN"/>
        </w:rPr>
        <w:t>27</w:t>
      </w:r>
      <w:r>
        <w:rPr>
          <w:rFonts w:hint="eastAsia" w:ascii="宋体" w:hAnsi="宋体" w:cs="宋体"/>
          <w:sz w:val="24"/>
          <w:highlight w:val="none"/>
        </w:rPr>
        <w:t>.1 中标供应商应在《中标通知书》发出之日起</w:t>
      </w:r>
      <w:r>
        <w:rPr>
          <w:rFonts w:hint="eastAsia" w:ascii="宋体" w:hAnsi="宋体" w:cs="宋体"/>
          <w:sz w:val="24"/>
          <w:highlight w:val="none"/>
          <w:lang w:val="en-US" w:eastAsia="zh-CN"/>
        </w:rPr>
        <w:t>25</w:t>
      </w:r>
      <w:r>
        <w:rPr>
          <w:rFonts w:hint="eastAsia" w:ascii="宋体" w:hAnsi="宋体" w:cs="宋体"/>
          <w:sz w:val="24"/>
          <w:highlight w:val="none"/>
        </w:rPr>
        <w:t>日内与采购人签订采购合同。中标供应商无正当理由拒签合同的，将视为放弃中标，取消其中标资格，其投标保证金不予退还；给采购人造成的损失超过保证金数额的，供应商应当对超过部分予以赔偿。</w:t>
      </w:r>
    </w:p>
    <w:p w14:paraId="18F65785">
      <w:pPr>
        <w:shd w:val="clear" w:color="auto" w:fill="auto"/>
        <w:ind w:firstLine="480"/>
        <w:rPr>
          <w:rFonts w:hint="eastAsia" w:ascii="宋体" w:hAnsi="宋体" w:cs="宋体"/>
          <w:sz w:val="24"/>
          <w:highlight w:val="none"/>
        </w:rPr>
      </w:pPr>
      <w:r>
        <w:rPr>
          <w:rFonts w:hint="eastAsia" w:ascii="宋体" w:hAnsi="宋体" w:cs="宋体"/>
          <w:sz w:val="24"/>
          <w:highlight w:val="none"/>
          <w:lang w:val="en-US" w:eastAsia="zh-CN"/>
        </w:rPr>
        <w:t>27</w:t>
      </w:r>
      <w:r>
        <w:rPr>
          <w:rFonts w:hint="eastAsia" w:ascii="宋体" w:hAnsi="宋体" w:cs="宋体"/>
          <w:sz w:val="24"/>
          <w:highlight w:val="none"/>
        </w:rPr>
        <w:t>.2 采购人与中标供应商洽谈合同条款及所签订的合同不得对招标文件和中标供应商投标文件作实质性修改，招标文件和供应商的投标文件均作为合同的组成部分。</w:t>
      </w:r>
    </w:p>
    <w:p w14:paraId="2EC341BD">
      <w:pPr>
        <w:shd w:val="clear" w:color="auto" w:fill="auto"/>
        <w:ind w:firstLine="480"/>
        <w:rPr>
          <w:rFonts w:hint="eastAsia" w:ascii="宋体" w:hAnsi="宋体" w:cs="宋体"/>
          <w:sz w:val="24"/>
          <w:highlight w:val="none"/>
        </w:rPr>
      </w:pPr>
      <w:r>
        <w:rPr>
          <w:rFonts w:hint="eastAsia" w:ascii="宋体" w:hAnsi="宋体" w:cs="宋体"/>
          <w:sz w:val="24"/>
          <w:highlight w:val="none"/>
          <w:lang w:val="en-US" w:eastAsia="zh-CN"/>
        </w:rPr>
        <w:t>27</w:t>
      </w:r>
      <w:r>
        <w:rPr>
          <w:rFonts w:hint="eastAsia" w:ascii="宋体" w:hAnsi="宋体" w:cs="宋体"/>
          <w:sz w:val="24"/>
          <w:highlight w:val="none"/>
        </w:rPr>
        <w:t>.3 中标供应商因不可抗力原因不能履行采购合同或放弃中标的，采购人可以与排在中标供应商之后第一位的中标候选人签订采购合同，以此类推。</w:t>
      </w:r>
      <w:bookmarkStart w:id="106" w:name="_Toc217446066"/>
    </w:p>
    <w:p w14:paraId="28759B6B">
      <w:pPr>
        <w:shd w:val="clear" w:color="auto" w:fill="auto"/>
        <w:ind w:firstLine="480"/>
        <w:rPr>
          <w:rFonts w:hint="eastAsia" w:ascii="宋体" w:hAnsi="宋体" w:cs="宋体"/>
          <w:b/>
          <w:sz w:val="24"/>
          <w:highlight w:val="none"/>
        </w:rPr>
      </w:pPr>
      <w:r>
        <w:rPr>
          <w:rFonts w:hint="eastAsia" w:ascii="宋体" w:hAnsi="宋体" w:cs="宋体"/>
          <w:b/>
          <w:bCs/>
          <w:sz w:val="24"/>
          <w:highlight w:val="none"/>
          <w:lang w:val="en-US" w:eastAsia="zh-CN"/>
        </w:rPr>
        <w:t>28.</w:t>
      </w:r>
      <w:r>
        <w:rPr>
          <w:rFonts w:hint="eastAsia" w:ascii="宋体" w:hAnsi="宋体" w:cs="宋体"/>
          <w:b/>
          <w:bCs/>
          <w:sz w:val="24"/>
          <w:highlight w:val="none"/>
        </w:rPr>
        <w:t xml:space="preserve"> 合</w:t>
      </w:r>
      <w:r>
        <w:rPr>
          <w:rFonts w:hint="eastAsia" w:ascii="宋体" w:hAnsi="宋体" w:cs="宋体"/>
          <w:b/>
          <w:sz w:val="24"/>
          <w:highlight w:val="none"/>
        </w:rPr>
        <w:t>同分包</w:t>
      </w:r>
      <w:bookmarkEnd w:id="106"/>
    </w:p>
    <w:p w14:paraId="4FC5D5AD">
      <w:pPr>
        <w:shd w:val="clear" w:color="auto" w:fill="auto"/>
        <w:ind w:firstLine="480"/>
        <w:rPr>
          <w:rFonts w:hint="eastAsia" w:ascii="宋体" w:hAnsi="宋体" w:cs="宋体"/>
          <w:sz w:val="24"/>
          <w:highlight w:val="none"/>
        </w:rPr>
      </w:pPr>
      <w:r>
        <w:rPr>
          <w:rFonts w:hint="eastAsia" w:ascii="宋体" w:hAnsi="宋体" w:cs="宋体"/>
          <w:sz w:val="24"/>
          <w:highlight w:val="none"/>
          <w:lang w:val="en-US" w:eastAsia="zh-CN"/>
        </w:rPr>
        <w:t>28</w:t>
      </w:r>
      <w:r>
        <w:rPr>
          <w:rFonts w:hint="eastAsia" w:ascii="宋体" w:hAnsi="宋体" w:cs="宋体"/>
          <w:sz w:val="24"/>
          <w:highlight w:val="none"/>
        </w:rPr>
        <w:t>.1 经采购人同意，中标人可以依法采取分包方式履行合同。这种要求应当在合同签订之前征得采购人同意，并且分包供应商履行的分包项目的品牌、规格型号及技术要求等，必须与中标的一致。</w:t>
      </w:r>
    </w:p>
    <w:p w14:paraId="67C4EEC9">
      <w:pPr>
        <w:shd w:val="clear" w:color="auto" w:fill="auto"/>
        <w:ind w:firstLine="480"/>
        <w:rPr>
          <w:rFonts w:hint="eastAsia" w:ascii="宋体" w:hAnsi="宋体" w:cs="宋体"/>
          <w:sz w:val="24"/>
          <w:highlight w:val="none"/>
        </w:rPr>
      </w:pPr>
      <w:r>
        <w:rPr>
          <w:rFonts w:hint="eastAsia" w:ascii="宋体" w:hAnsi="宋体" w:cs="宋体"/>
          <w:sz w:val="24"/>
          <w:highlight w:val="none"/>
          <w:lang w:val="en-US" w:eastAsia="zh-CN"/>
        </w:rPr>
        <w:t>28</w:t>
      </w:r>
      <w:r>
        <w:rPr>
          <w:rFonts w:hint="eastAsia" w:ascii="宋体" w:hAnsi="宋体" w:cs="宋体"/>
          <w:sz w:val="24"/>
          <w:highlight w:val="none"/>
        </w:rPr>
        <w:t>.2 采购合同实行分包履行的，中标人就采购项目和分包项目向采购人负责，分包供应商就分包项目承担责任。</w:t>
      </w:r>
      <w:bookmarkEnd w:id="102"/>
      <w:bookmarkEnd w:id="103"/>
      <w:bookmarkStart w:id="107" w:name="_Toc217446081"/>
    </w:p>
    <w:p w14:paraId="0B03345A">
      <w:pPr>
        <w:shd w:val="clear" w:color="auto" w:fill="auto"/>
        <w:ind w:firstLine="0" w:firstLineChars="0"/>
        <w:jc w:val="center"/>
        <w:rPr>
          <w:rFonts w:hint="eastAsia" w:ascii="宋体" w:hAnsi="宋体" w:cs="宋体"/>
          <w:b/>
          <w:sz w:val="28"/>
          <w:szCs w:val="28"/>
          <w:highlight w:val="none"/>
        </w:rPr>
      </w:pPr>
      <w:r>
        <w:rPr>
          <w:rFonts w:hint="eastAsia" w:ascii="宋体" w:hAnsi="宋体" w:cs="宋体"/>
          <w:b/>
          <w:sz w:val="28"/>
          <w:szCs w:val="28"/>
          <w:highlight w:val="none"/>
          <w:lang w:eastAsia="zh-CN"/>
        </w:rPr>
        <w:t>九</w:t>
      </w:r>
      <w:r>
        <w:rPr>
          <w:rFonts w:hint="eastAsia" w:ascii="宋体" w:hAnsi="宋体" w:cs="宋体"/>
          <w:b/>
          <w:sz w:val="28"/>
          <w:szCs w:val="28"/>
          <w:highlight w:val="none"/>
        </w:rPr>
        <w:t>、招标代理服务费</w:t>
      </w:r>
    </w:p>
    <w:p w14:paraId="4D32AC62">
      <w:pPr>
        <w:pStyle w:val="3"/>
        <w:shd w:val="clear" w:color="auto" w:fill="auto"/>
        <w:spacing w:before="0" w:after="0" w:line="360" w:lineRule="auto"/>
        <w:ind w:firstLine="482"/>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29</w:t>
      </w:r>
      <w:r>
        <w:rPr>
          <w:rFonts w:hint="eastAsia" w:ascii="宋体" w:hAnsi="宋体" w:eastAsia="宋体" w:cs="宋体"/>
          <w:sz w:val="24"/>
          <w:szCs w:val="24"/>
          <w:highlight w:val="none"/>
        </w:rPr>
        <w:t>.招标代理服务费的数额及交纳方式</w:t>
      </w:r>
    </w:p>
    <w:p w14:paraId="039259BF">
      <w:pPr>
        <w:shd w:val="clear" w:color="auto" w:fill="auto"/>
        <w:ind w:firstLine="480"/>
        <w:rPr>
          <w:rFonts w:hint="eastAsia" w:ascii="宋体" w:hAnsi="宋体" w:cs="宋体"/>
          <w:sz w:val="24"/>
          <w:highlight w:val="none"/>
        </w:rPr>
      </w:pPr>
      <w:r>
        <w:rPr>
          <w:rFonts w:hint="eastAsia" w:ascii="宋体" w:hAnsi="宋体" w:cs="宋体"/>
          <w:sz w:val="24"/>
          <w:highlight w:val="none"/>
          <w:lang w:val="en-US" w:eastAsia="zh-CN"/>
        </w:rPr>
        <w:t>29</w:t>
      </w:r>
      <w:r>
        <w:rPr>
          <w:rFonts w:hint="eastAsia" w:ascii="宋体" w:hAnsi="宋体" w:cs="宋体"/>
          <w:sz w:val="24"/>
          <w:highlight w:val="none"/>
        </w:rPr>
        <w:t>.1中标供应商在领取《中标通知书》之前，应向采购代理机构交纳招标代理服务费。</w:t>
      </w:r>
    </w:p>
    <w:p w14:paraId="3E054F70">
      <w:pPr>
        <w:shd w:val="clear" w:color="auto" w:fill="auto"/>
        <w:ind w:firstLine="480"/>
        <w:rPr>
          <w:rFonts w:hint="eastAsia" w:ascii="宋体" w:hAnsi="宋体" w:cs="宋体"/>
          <w:sz w:val="24"/>
          <w:highlight w:val="none"/>
        </w:rPr>
      </w:pPr>
      <w:r>
        <w:rPr>
          <w:rFonts w:hint="eastAsia" w:ascii="宋体" w:hAnsi="宋体" w:cs="宋体"/>
          <w:sz w:val="24"/>
          <w:highlight w:val="none"/>
          <w:lang w:val="en-US" w:eastAsia="zh-CN"/>
        </w:rPr>
        <w:t>29</w:t>
      </w:r>
      <w:r>
        <w:rPr>
          <w:rFonts w:hint="eastAsia" w:ascii="宋体" w:hAnsi="宋体" w:cs="宋体"/>
          <w:sz w:val="24"/>
          <w:highlight w:val="none"/>
        </w:rPr>
        <w:t>.2 招标代理服务费依据《招标代理服务收费管理暂行办法》计价格</w:t>
      </w:r>
      <w:r>
        <w:rPr>
          <w:rFonts w:hint="eastAsia" w:ascii="宋体" w:hAnsi="宋体" w:cs="宋体"/>
          <w:sz w:val="24"/>
          <w:highlight w:val="none"/>
          <w:lang w:eastAsia="zh-CN"/>
        </w:rPr>
        <w:t>〔2002〕1980号</w:t>
      </w:r>
      <w:r>
        <w:rPr>
          <w:rFonts w:hint="eastAsia" w:ascii="宋体" w:hAnsi="宋体" w:cs="宋体"/>
          <w:sz w:val="24"/>
          <w:highlight w:val="none"/>
        </w:rPr>
        <w:t>文和发改价格</w:t>
      </w:r>
      <w:r>
        <w:rPr>
          <w:rFonts w:hint="eastAsia" w:ascii="宋体" w:hAnsi="宋体" w:cs="宋体"/>
          <w:sz w:val="24"/>
          <w:highlight w:val="none"/>
          <w:lang w:eastAsia="zh-CN"/>
        </w:rPr>
        <w:t>〔2011〕534号</w:t>
      </w:r>
      <w:r>
        <w:rPr>
          <w:rFonts w:hint="eastAsia" w:ascii="宋体" w:hAnsi="宋体" w:cs="宋体"/>
          <w:sz w:val="24"/>
          <w:highlight w:val="none"/>
        </w:rPr>
        <w:t>文件规定标准</w:t>
      </w:r>
      <w:r>
        <w:rPr>
          <w:rFonts w:hint="eastAsia" w:ascii="宋体" w:hAnsi="宋体" w:cs="宋体"/>
          <w:sz w:val="24"/>
          <w:highlight w:val="none"/>
          <w:lang w:eastAsia="zh-CN"/>
        </w:rPr>
        <w:t>下浮</w:t>
      </w:r>
      <w:r>
        <w:rPr>
          <w:rFonts w:hint="eastAsia" w:ascii="宋体" w:hAnsi="宋体" w:cs="宋体"/>
          <w:sz w:val="24"/>
          <w:highlight w:val="none"/>
          <w:lang w:val="en-US" w:eastAsia="zh-CN"/>
        </w:rPr>
        <w:t>50%</w:t>
      </w:r>
      <w:r>
        <w:rPr>
          <w:rFonts w:hint="eastAsia" w:ascii="宋体" w:hAnsi="宋体" w:cs="宋体"/>
          <w:sz w:val="24"/>
          <w:highlight w:val="none"/>
        </w:rPr>
        <w:t>收取。</w:t>
      </w:r>
    </w:p>
    <w:p w14:paraId="6746D7F3">
      <w:pPr>
        <w:shd w:val="clear" w:color="auto" w:fill="auto"/>
        <w:ind w:firstLine="480"/>
        <w:rPr>
          <w:rFonts w:hint="eastAsia" w:ascii="宋体" w:hAnsi="宋体" w:cs="宋体"/>
          <w:sz w:val="24"/>
          <w:highlight w:val="none"/>
        </w:rPr>
      </w:pPr>
      <w:r>
        <w:rPr>
          <w:rFonts w:hint="eastAsia" w:ascii="宋体" w:hAnsi="宋体" w:cs="宋体"/>
          <w:sz w:val="24"/>
          <w:highlight w:val="none"/>
          <w:lang w:val="en-US" w:eastAsia="zh-CN"/>
        </w:rPr>
        <w:t>29</w:t>
      </w:r>
      <w:r>
        <w:rPr>
          <w:rFonts w:hint="eastAsia" w:ascii="宋体" w:hAnsi="宋体" w:cs="宋体"/>
          <w:sz w:val="24"/>
          <w:highlight w:val="none"/>
        </w:rPr>
        <w:t>.3 招标代理服务费，可以采取现金、转账的方式交纳。不得用投标保证金冲抵。</w:t>
      </w:r>
    </w:p>
    <w:p w14:paraId="03903113">
      <w:pPr>
        <w:shd w:val="clear" w:color="auto" w:fill="auto"/>
        <w:ind w:firstLine="480"/>
        <w:rPr>
          <w:rFonts w:hint="eastAsia" w:ascii="宋体" w:hAnsi="宋体" w:cs="宋体"/>
          <w:sz w:val="24"/>
          <w:highlight w:val="none"/>
        </w:rPr>
      </w:pPr>
      <w:r>
        <w:rPr>
          <w:rFonts w:hint="eastAsia" w:ascii="宋体" w:hAnsi="宋体" w:cs="宋体"/>
          <w:sz w:val="24"/>
          <w:highlight w:val="none"/>
          <w:lang w:val="en-US" w:eastAsia="zh-CN"/>
        </w:rPr>
        <w:t>29</w:t>
      </w:r>
      <w:r>
        <w:rPr>
          <w:rFonts w:hint="eastAsia" w:ascii="宋体" w:hAnsi="宋体" w:cs="宋体"/>
          <w:sz w:val="24"/>
          <w:highlight w:val="none"/>
        </w:rPr>
        <w:t>.4中标供应商未按规定交纳招标代理服务费的，其投标保证金将被采购代理机构全额没收。</w:t>
      </w:r>
    </w:p>
    <w:p w14:paraId="18D49800">
      <w:pPr>
        <w:shd w:val="clear" w:color="auto" w:fill="auto"/>
        <w:ind w:firstLine="480"/>
        <w:rPr>
          <w:rFonts w:hint="eastAsia" w:ascii="宋体" w:hAnsi="宋体" w:cs="宋体"/>
          <w:sz w:val="24"/>
          <w:highlight w:val="none"/>
        </w:rPr>
      </w:pPr>
      <w:r>
        <w:rPr>
          <w:rFonts w:hint="eastAsia" w:ascii="宋体" w:hAnsi="宋体" w:cs="宋体"/>
          <w:sz w:val="24"/>
          <w:highlight w:val="none"/>
          <w:lang w:val="en-US" w:eastAsia="zh-CN"/>
        </w:rPr>
        <w:t>29</w:t>
      </w:r>
      <w:r>
        <w:rPr>
          <w:rFonts w:hint="eastAsia" w:ascii="宋体" w:hAnsi="宋体" w:cs="宋体"/>
          <w:sz w:val="24"/>
          <w:highlight w:val="none"/>
        </w:rPr>
        <w:t>.5中标单位服务费交纳信息</w:t>
      </w:r>
    </w:p>
    <w:p w14:paraId="08900F49">
      <w:pPr>
        <w:shd w:val="clear" w:color="auto" w:fill="auto"/>
        <w:autoSpaceDE w:val="0"/>
        <w:autoSpaceDN w:val="0"/>
        <w:adjustRightInd w:val="0"/>
        <w:snapToGrid w:val="0"/>
        <w:ind w:firstLine="1080" w:firstLineChars="450"/>
        <w:rPr>
          <w:rFonts w:hint="eastAsia" w:ascii="宋体" w:hAnsi="宋体" w:cs="宋体"/>
          <w:sz w:val="24"/>
          <w:highlight w:val="none"/>
        </w:rPr>
      </w:pPr>
      <w:r>
        <w:rPr>
          <w:rFonts w:hint="eastAsia" w:ascii="宋体" w:hAnsi="宋体" w:cs="宋体"/>
          <w:sz w:val="24"/>
          <w:highlight w:val="none"/>
        </w:rPr>
        <w:t>中标服务费汇入以下指定银行账户：</w:t>
      </w:r>
    </w:p>
    <w:p w14:paraId="546CA214">
      <w:pPr>
        <w:shd w:val="clear" w:color="auto" w:fill="auto"/>
        <w:autoSpaceDE w:val="0"/>
        <w:autoSpaceDN w:val="0"/>
        <w:adjustRightInd w:val="0"/>
        <w:snapToGrid w:val="0"/>
        <w:ind w:firstLine="1080" w:firstLineChars="450"/>
        <w:rPr>
          <w:rFonts w:hint="eastAsia" w:ascii="宋体" w:hAnsi="宋体" w:cs="宋体"/>
          <w:sz w:val="24"/>
          <w:highlight w:val="none"/>
        </w:rPr>
      </w:pPr>
      <w:r>
        <w:rPr>
          <w:rFonts w:hint="eastAsia" w:ascii="宋体" w:hAnsi="宋体" w:cs="宋体"/>
          <w:sz w:val="24"/>
          <w:highlight w:val="none"/>
        </w:rPr>
        <w:t>户名：陕西天沃工程项目管理有限公司</w:t>
      </w:r>
    </w:p>
    <w:p w14:paraId="48770E33">
      <w:pPr>
        <w:shd w:val="clear" w:color="auto" w:fill="auto"/>
        <w:autoSpaceDE w:val="0"/>
        <w:autoSpaceDN w:val="0"/>
        <w:adjustRightInd w:val="0"/>
        <w:snapToGrid w:val="0"/>
        <w:ind w:firstLine="1080" w:firstLineChars="450"/>
        <w:rPr>
          <w:rFonts w:hint="eastAsia" w:ascii="宋体" w:hAnsi="宋体" w:cs="宋体"/>
          <w:sz w:val="24"/>
          <w:highlight w:val="none"/>
        </w:rPr>
      </w:pPr>
      <w:r>
        <w:rPr>
          <w:rFonts w:hint="eastAsia" w:ascii="宋体" w:hAnsi="宋体" w:cs="宋体"/>
          <w:sz w:val="24"/>
          <w:highlight w:val="none"/>
        </w:rPr>
        <w:t>账号：6105 0177 0045 0000 0371</w:t>
      </w:r>
    </w:p>
    <w:p w14:paraId="63BB7572">
      <w:pPr>
        <w:shd w:val="clear" w:color="auto" w:fill="auto"/>
        <w:autoSpaceDE w:val="0"/>
        <w:autoSpaceDN w:val="0"/>
        <w:adjustRightInd w:val="0"/>
        <w:snapToGrid w:val="0"/>
        <w:ind w:firstLine="1080" w:firstLineChars="450"/>
        <w:rPr>
          <w:rFonts w:hint="eastAsia" w:ascii="宋体" w:hAnsi="宋体" w:cs="宋体"/>
          <w:sz w:val="24"/>
          <w:highlight w:val="none"/>
        </w:rPr>
      </w:pPr>
      <w:r>
        <w:rPr>
          <w:rFonts w:hint="eastAsia" w:ascii="宋体" w:hAnsi="宋体" w:cs="宋体"/>
          <w:sz w:val="24"/>
          <w:highlight w:val="none"/>
        </w:rPr>
        <w:t>开户行：中国建设银行股份有限公司西安凤城十二路支行</w:t>
      </w:r>
    </w:p>
    <w:p w14:paraId="4CD1788F">
      <w:pPr>
        <w:shd w:val="clear" w:color="auto" w:fill="auto"/>
        <w:ind w:firstLine="0" w:firstLineChars="0"/>
        <w:jc w:val="center"/>
        <w:rPr>
          <w:rFonts w:hint="eastAsia" w:ascii="宋体" w:hAnsi="宋体" w:cs="宋体"/>
          <w:b/>
          <w:sz w:val="28"/>
          <w:szCs w:val="28"/>
          <w:highlight w:val="none"/>
        </w:rPr>
      </w:pPr>
      <w:r>
        <w:rPr>
          <w:rFonts w:hint="eastAsia" w:ascii="宋体" w:hAnsi="宋体" w:cs="宋体"/>
          <w:b/>
          <w:sz w:val="28"/>
          <w:szCs w:val="28"/>
          <w:highlight w:val="none"/>
        </w:rPr>
        <w:t>十、质疑与投诉</w:t>
      </w:r>
    </w:p>
    <w:p w14:paraId="56423C37">
      <w:pPr>
        <w:shd w:val="clear" w:color="auto" w:fill="auto"/>
        <w:ind w:firstLine="482"/>
        <w:rPr>
          <w:rFonts w:hint="eastAsia" w:ascii="宋体" w:hAnsi="宋体" w:cs="宋体"/>
          <w:b/>
          <w:sz w:val="24"/>
          <w:highlight w:val="none"/>
        </w:rPr>
      </w:pPr>
      <w:r>
        <w:rPr>
          <w:rFonts w:hint="eastAsia" w:ascii="宋体" w:hAnsi="宋体" w:cs="宋体"/>
          <w:b/>
          <w:sz w:val="24"/>
          <w:highlight w:val="none"/>
          <w:lang w:val="en-US" w:eastAsia="zh-CN"/>
        </w:rPr>
        <w:t>30</w:t>
      </w:r>
      <w:r>
        <w:rPr>
          <w:rFonts w:hint="eastAsia" w:ascii="宋体" w:hAnsi="宋体" w:cs="宋体"/>
          <w:b/>
          <w:sz w:val="24"/>
          <w:highlight w:val="none"/>
        </w:rPr>
        <w:t>.质疑</w:t>
      </w:r>
    </w:p>
    <w:p w14:paraId="41E2E709">
      <w:pPr>
        <w:shd w:val="clear" w:color="auto" w:fill="auto"/>
        <w:spacing w:before="120" w:beforeLines="50"/>
        <w:ind w:firstLine="480"/>
        <w:rPr>
          <w:rFonts w:hint="eastAsia" w:ascii="宋体" w:hAnsi="宋体" w:cs="宋体"/>
          <w:sz w:val="24"/>
          <w:highlight w:val="none"/>
        </w:rPr>
      </w:pPr>
      <w:r>
        <w:rPr>
          <w:rFonts w:hint="eastAsia" w:ascii="宋体" w:hAnsi="宋体" w:cs="宋体"/>
          <w:sz w:val="24"/>
          <w:highlight w:val="none"/>
        </w:rPr>
        <w:t>供应商对本次招标采购活动有疑问的，按照</w:t>
      </w:r>
      <w:r>
        <w:rPr>
          <w:rFonts w:hint="eastAsia" w:ascii="宋体" w:hAnsi="宋体" w:cs="宋体"/>
          <w:sz w:val="24"/>
          <w:highlight w:val="none"/>
          <w:lang w:eastAsia="zh-CN"/>
        </w:rPr>
        <w:t>《中华人民共和国政府采购法》</w:t>
      </w:r>
      <w:r>
        <w:rPr>
          <w:rFonts w:hint="eastAsia" w:ascii="宋体" w:hAnsi="宋体" w:cs="宋体"/>
          <w:sz w:val="24"/>
          <w:highlight w:val="none"/>
        </w:rPr>
        <w:t>《</w:t>
      </w:r>
      <w:r>
        <w:rPr>
          <w:rFonts w:hint="eastAsia" w:ascii="宋体" w:hAnsi="宋体" w:cs="宋体"/>
          <w:sz w:val="24"/>
          <w:highlight w:val="none"/>
          <w:lang w:eastAsia="zh-CN"/>
        </w:rPr>
        <w:t>中华人民共和国政府采购法实施条例</w:t>
      </w:r>
      <w:r>
        <w:rPr>
          <w:rFonts w:hint="eastAsia" w:ascii="宋体" w:hAnsi="宋体" w:cs="宋体"/>
          <w:sz w:val="24"/>
          <w:highlight w:val="none"/>
        </w:rPr>
        <w:t>》和《政府采购质疑和投诉办法》（财政部94号令）的规定办理。</w:t>
      </w:r>
    </w:p>
    <w:p w14:paraId="6992E699">
      <w:pPr>
        <w:shd w:val="clear" w:color="auto" w:fill="auto"/>
        <w:spacing w:before="120" w:beforeLines="50"/>
        <w:ind w:firstLine="482"/>
        <w:rPr>
          <w:rFonts w:hint="eastAsia" w:ascii="宋体" w:hAnsi="宋体" w:cs="宋体"/>
          <w:b/>
          <w:sz w:val="24"/>
          <w:highlight w:val="none"/>
        </w:rPr>
      </w:pPr>
      <w:r>
        <w:rPr>
          <w:rFonts w:hint="eastAsia" w:ascii="宋体" w:hAnsi="宋体" w:cs="宋体"/>
          <w:b/>
          <w:sz w:val="24"/>
          <w:highlight w:val="none"/>
        </w:rPr>
        <w:t>3</w:t>
      </w:r>
      <w:r>
        <w:rPr>
          <w:rFonts w:hint="eastAsia" w:ascii="宋体" w:hAnsi="宋体" w:cs="宋体"/>
          <w:b/>
          <w:sz w:val="24"/>
          <w:highlight w:val="none"/>
          <w:lang w:val="en-US" w:eastAsia="zh-CN"/>
        </w:rPr>
        <w:t>1</w:t>
      </w:r>
      <w:r>
        <w:rPr>
          <w:rFonts w:hint="eastAsia" w:ascii="宋体" w:hAnsi="宋体" w:cs="宋体"/>
          <w:b/>
          <w:sz w:val="24"/>
          <w:highlight w:val="none"/>
        </w:rPr>
        <w:t>.投诉</w:t>
      </w:r>
    </w:p>
    <w:p w14:paraId="2AF8F83C">
      <w:pPr>
        <w:shd w:val="clear" w:color="auto" w:fill="auto"/>
        <w:spacing w:before="120" w:beforeLines="50"/>
        <w:ind w:firstLine="480"/>
        <w:rPr>
          <w:rFonts w:hint="eastAsia" w:ascii="宋体" w:hAnsi="宋体" w:cs="宋体"/>
          <w:sz w:val="24"/>
          <w:highlight w:val="none"/>
        </w:rPr>
      </w:pPr>
      <w:r>
        <w:rPr>
          <w:rFonts w:hint="eastAsia" w:ascii="宋体" w:hAnsi="宋体" w:cs="宋体"/>
          <w:sz w:val="24"/>
          <w:highlight w:val="none"/>
        </w:rPr>
        <w:t>投标供应商和其他</w:t>
      </w:r>
      <w:r>
        <w:rPr>
          <w:rFonts w:hint="eastAsia" w:ascii="宋体" w:hAnsi="宋体" w:cs="宋体"/>
          <w:sz w:val="24"/>
          <w:highlight w:val="none"/>
          <w:lang w:eastAsia="zh-CN"/>
        </w:rPr>
        <w:t>利害</w:t>
      </w:r>
      <w:r>
        <w:rPr>
          <w:rFonts w:hint="eastAsia" w:ascii="宋体" w:hAnsi="宋体" w:cs="宋体"/>
          <w:sz w:val="24"/>
          <w:highlight w:val="none"/>
        </w:rPr>
        <w:t>关系人认为本次招标采购活动违反法律、法规和规章规定的，有权向有关行政监督机构投诉。</w:t>
      </w:r>
    </w:p>
    <w:p w14:paraId="1FEB16EF">
      <w:pPr>
        <w:shd w:val="clear" w:color="auto" w:fill="auto"/>
        <w:ind w:firstLine="0" w:firstLineChars="0"/>
        <w:jc w:val="center"/>
        <w:rPr>
          <w:rFonts w:hint="eastAsia" w:ascii="宋体" w:hAnsi="宋体" w:cs="宋体"/>
          <w:b/>
          <w:sz w:val="28"/>
          <w:szCs w:val="28"/>
          <w:highlight w:val="none"/>
        </w:rPr>
      </w:pPr>
      <w:r>
        <w:rPr>
          <w:rFonts w:hint="eastAsia" w:ascii="宋体" w:hAnsi="宋体" w:cs="宋体"/>
          <w:b/>
          <w:sz w:val="28"/>
          <w:szCs w:val="28"/>
          <w:highlight w:val="none"/>
        </w:rPr>
        <w:t>十</w:t>
      </w:r>
      <w:r>
        <w:rPr>
          <w:rFonts w:hint="eastAsia" w:ascii="宋体" w:hAnsi="宋体" w:cs="宋体"/>
          <w:b/>
          <w:sz w:val="28"/>
          <w:szCs w:val="28"/>
          <w:highlight w:val="none"/>
          <w:lang w:eastAsia="zh-CN"/>
        </w:rPr>
        <w:t>一</w:t>
      </w:r>
      <w:r>
        <w:rPr>
          <w:rFonts w:hint="eastAsia" w:ascii="宋体" w:hAnsi="宋体" w:cs="宋体"/>
          <w:b/>
          <w:sz w:val="28"/>
          <w:szCs w:val="28"/>
          <w:highlight w:val="none"/>
        </w:rPr>
        <w:t>、其他</w:t>
      </w:r>
    </w:p>
    <w:p w14:paraId="305B8A40">
      <w:pPr>
        <w:shd w:val="clear" w:color="auto" w:fill="auto"/>
        <w:wordWrap w:val="0"/>
        <w:spacing w:before="120" w:beforeLines="50"/>
        <w:ind w:firstLine="482"/>
        <w:jc w:val="left"/>
        <w:rPr>
          <w:rFonts w:hint="eastAsia" w:ascii="宋体" w:hAnsi="宋体" w:cs="宋体"/>
          <w:b/>
          <w:sz w:val="24"/>
          <w:highlight w:val="none"/>
        </w:rPr>
      </w:pPr>
      <w:r>
        <w:rPr>
          <w:rFonts w:hint="eastAsia" w:ascii="宋体" w:hAnsi="宋体" w:cs="宋体"/>
          <w:b/>
          <w:sz w:val="24"/>
          <w:highlight w:val="none"/>
          <w:lang w:val="en-US" w:eastAsia="zh-CN"/>
        </w:rPr>
        <w:t>32</w:t>
      </w:r>
      <w:r>
        <w:rPr>
          <w:rFonts w:hint="eastAsia" w:ascii="宋体" w:hAnsi="宋体" w:cs="宋体"/>
          <w:b/>
          <w:sz w:val="24"/>
          <w:highlight w:val="none"/>
        </w:rPr>
        <w:t>.其他</w:t>
      </w:r>
    </w:p>
    <w:p w14:paraId="27FC4910">
      <w:pPr>
        <w:shd w:val="clear" w:color="auto" w:fill="auto"/>
        <w:wordWrap w:val="0"/>
        <w:spacing w:before="120" w:beforeLines="50"/>
        <w:ind w:firstLine="480"/>
        <w:jc w:val="left"/>
        <w:rPr>
          <w:rFonts w:hint="eastAsia" w:ascii="宋体" w:hAnsi="宋体" w:cs="宋体"/>
          <w:sz w:val="24"/>
          <w:highlight w:val="none"/>
          <w:lang w:val="zh-CN"/>
        </w:rPr>
      </w:pPr>
      <w:r>
        <w:rPr>
          <w:rFonts w:hint="eastAsia" w:ascii="宋体" w:hAnsi="宋体" w:cs="宋体"/>
          <w:sz w:val="24"/>
          <w:highlight w:val="none"/>
          <w:lang w:val="zh-CN"/>
        </w:rPr>
        <w:t>根据《陕西省财政厅关于政府采购供应商注册登记有关事项的通知》的规定</w:t>
      </w:r>
      <w:r>
        <w:rPr>
          <w:rFonts w:hint="eastAsia" w:ascii="宋体" w:hAnsi="宋体" w:cs="宋体"/>
          <w:sz w:val="24"/>
          <w:highlight w:val="none"/>
        </w:rPr>
        <w:t>，</w:t>
      </w:r>
      <w:r>
        <w:rPr>
          <w:rFonts w:hint="eastAsia" w:ascii="宋体" w:hAnsi="宋体" w:cs="宋体"/>
          <w:sz w:val="24"/>
          <w:highlight w:val="none"/>
          <w:lang w:val="zh-CN"/>
        </w:rPr>
        <w:t>供应商在购买标书后</w:t>
      </w:r>
      <w:r>
        <w:rPr>
          <w:rFonts w:hint="eastAsia" w:ascii="宋体" w:hAnsi="宋体" w:cs="宋体"/>
          <w:sz w:val="24"/>
          <w:highlight w:val="none"/>
        </w:rPr>
        <w:t>，</w:t>
      </w:r>
      <w:r>
        <w:rPr>
          <w:rFonts w:hint="eastAsia" w:ascii="宋体" w:hAnsi="宋体" w:cs="宋体"/>
          <w:sz w:val="24"/>
          <w:highlight w:val="none"/>
          <w:lang w:val="zh-CN"/>
        </w:rPr>
        <w:t>应及时在陕西省政府采购网</w:t>
      </w:r>
      <w:r>
        <w:rPr>
          <w:rFonts w:hint="eastAsia" w:ascii="宋体" w:hAnsi="宋体" w:cs="宋体"/>
          <w:sz w:val="24"/>
          <w:highlight w:val="none"/>
        </w:rPr>
        <w:t>（http://www.ccgp-shaanxi.gov.cn/）</w:t>
      </w:r>
      <w:r>
        <w:rPr>
          <w:rFonts w:hint="eastAsia" w:ascii="宋体" w:hAnsi="宋体" w:cs="宋体"/>
          <w:sz w:val="24"/>
          <w:highlight w:val="none"/>
          <w:lang w:val="zh-CN"/>
        </w:rPr>
        <w:t>注册登记加入陕西省政府采购供应商库。因供应商自身原因未及时登记入库而导致的一切后果由供应商自行承担。</w:t>
      </w:r>
    </w:p>
    <w:p w14:paraId="5F357442">
      <w:pPr>
        <w:pStyle w:val="5"/>
        <w:shd w:val="clear" w:color="auto" w:fill="auto"/>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33.政策</w:t>
      </w:r>
    </w:p>
    <w:p w14:paraId="6413D853">
      <w:pPr>
        <w:pStyle w:val="5"/>
        <w:shd w:val="clear" w:color="auto" w:fill="auto"/>
        <w:rPr>
          <w:rFonts w:hint="default" w:ascii="宋体" w:hAnsi="宋体" w:cs="宋体"/>
          <w:sz w:val="24"/>
          <w:highlight w:val="none"/>
          <w:lang w:val="en-US" w:eastAsia="zh-CN"/>
        </w:rPr>
      </w:pPr>
      <w:r>
        <w:rPr>
          <w:rFonts w:hint="eastAsia" w:ascii="宋体" w:hAnsi="宋体" w:cs="宋体"/>
          <w:sz w:val="24"/>
          <w:highlight w:val="none"/>
          <w:lang w:val="en-US" w:eastAsia="zh-CN"/>
        </w:rPr>
        <w:t>33.1</w:t>
      </w:r>
      <w:r>
        <w:rPr>
          <w:rFonts w:hint="default" w:ascii="宋体" w:hAnsi="宋体" w:cs="宋体"/>
          <w:sz w:val="24"/>
          <w:highlight w:val="none"/>
          <w:lang w:val="en-US" w:eastAsia="zh-CN"/>
        </w:rPr>
        <w:t>、落实促进支持中小企业、监狱企业、残疾人福利性单位发展政策(如为专门面向中小企业的采购项目（或采购包），不执行</w:t>
      </w:r>
      <w:r>
        <w:rPr>
          <w:rFonts w:hint="eastAsia" w:ascii="宋体" w:hAnsi="宋体" w:cs="宋体"/>
          <w:sz w:val="24"/>
          <w:highlight w:val="none"/>
          <w:lang w:val="en-US" w:eastAsia="zh-CN"/>
        </w:rPr>
        <w:t>33.1.1</w:t>
      </w:r>
      <w:r>
        <w:rPr>
          <w:rFonts w:hint="default" w:ascii="宋体" w:hAnsi="宋体" w:cs="宋体"/>
          <w:sz w:val="24"/>
          <w:highlight w:val="none"/>
          <w:lang w:val="en-US" w:eastAsia="zh-CN"/>
        </w:rPr>
        <w:t>、</w:t>
      </w:r>
      <w:r>
        <w:rPr>
          <w:rFonts w:hint="eastAsia" w:ascii="宋体" w:hAnsi="宋体" w:cs="宋体"/>
          <w:sz w:val="24"/>
          <w:highlight w:val="none"/>
          <w:lang w:val="en-US" w:eastAsia="zh-CN"/>
        </w:rPr>
        <w:t>33.1.2</w:t>
      </w:r>
      <w:r>
        <w:rPr>
          <w:rFonts w:hint="default" w:ascii="宋体" w:hAnsi="宋体" w:cs="宋体"/>
          <w:sz w:val="24"/>
          <w:highlight w:val="none"/>
          <w:lang w:val="en-US" w:eastAsia="zh-CN"/>
        </w:rPr>
        <w:t>、</w:t>
      </w:r>
      <w:r>
        <w:rPr>
          <w:rFonts w:hint="eastAsia" w:ascii="宋体" w:hAnsi="宋体" w:cs="宋体"/>
          <w:sz w:val="24"/>
          <w:highlight w:val="none"/>
          <w:lang w:val="en-US" w:eastAsia="zh-CN"/>
        </w:rPr>
        <w:t>33.1.3</w:t>
      </w:r>
      <w:r>
        <w:rPr>
          <w:rFonts w:hint="default" w:ascii="宋体" w:hAnsi="宋体" w:cs="宋体"/>
          <w:sz w:val="24"/>
          <w:highlight w:val="none"/>
          <w:lang w:val="en-US" w:eastAsia="zh-CN"/>
        </w:rPr>
        <w:t>条款的价格扣除或加分。)</w:t>
      </w:r>
    </w:p>
    <w:p w14:paraId="3A83F8BC">
      <w:pPr>
        <w:pStyle w:val="5"/>
        <w:shd w:val="clear" w:color="auto" w:fill="auto"/>
        <w:rPr>
          <w:rFonts w:hint="default" w:ascii="宋体" w:hAnsi="宋体" w:cs="宋体"/>
          <w:sz w:val="24"/>
          <w:highlight w:val="none"/>
          <w:lang w:val="en-US" w:eastAsia="zh-CN"/>
        </w:rPr>
      </w:pPr>
      <w:r>
        <w:rPr>
          <w:rFonts w:hint="eastAsia" w:ascii="宋体" w:hAnsi="宋体" w:cs="宋体"/>
          <w:sz w:val="24"/>
          <w:highlight w:val="none"/>
          <w:lang w:val="en-US" w:eastAsia="zh-CN"/>
        </w:rPr>
        <w:t>33.1.1</w:t>
      </w:r>
      <w:r>
        <w:rPr>
          <w:rFonts w:hint="default" w:ascii="宋体" w:hAnsi="宋体" w:cs="宋体"/>
          <w:sz w:val="24"/>
          <w:highlight w:val="none"/>
          <w:lang w:val="en-US" w:eastAsia="zh-CN"/>
        </w:rPr>
        <w:t>、 《政府采购促进中小企业发展管理办法》（财库〔2020〕46号）、《关于进一步加大政府采购支持中小企业力度的通知》（财库〔2022〕19号）</w:t>
      </w:r>
    </w:p>
    <w:p w14:paraId="0957E0E1">
      <w:pPr>
        <w:pStyle w:val="5"/>
        <w:shd w:val="clear" w:color="auto" w:fill="auto"/>
        <w:rPr>
          <w:rFonts w:hint="default" w:ascii="宋体" w:hAnsi="宋体" w:cs="宋体"/>
          <w:sz w:val="24"/>
          <w:highlight w:val="none"/>
          <w:lang w:val="en-US" w:eastAsia="zh-CN"/>
        </w:rPr>
      </w:pPr>
      <w:r>
        <w:rPr>
          <w:rFonts w:hint="default" w:ascii="宋体" w:hAnsi="宋体" w:cs="宋体"/>
          <w:sz w:val="24"/>
          <w:highlight w:val="none"/>
          <w:lang w:val="en-US" w:eastAsia="zh-CN"/>
        </w:rPr>
        <w:t>在政府采购活动中，供应商提供的货物、工程或者服务符合下列情形的，享受《办法》规定的中小企业扶持政策:</w:t>
      </w:r>
    </w:p>
    <w:p w14:paraId="68D3D506">
      <w:pPr>
        <w:pStyle w:val="5"/>
        <w:shd w:val="clear" w:color="auto" w:fill="auto"/>
        <w:rPr>
          <w:rFonts w:hint="default" w:ascii="宋体" w:hAnsi="宋体" w:cs="宋体"/>
          <w:sz w:val="24"/>
          <w:highlight w:val="none"/>
          <w:lang w:val="en-US" w:eastAsia="zh-CN"/>
        </w:rPr>
      </w:pPr>
      <w:r>
        <w:rPr>
          <w:rFonts w:hint="default" w:ascii="宋体" w:hAnsi="宋体" w:cs="宋体"/>
          <w:sz w:val="24"/>
          <w:highlight w:val="none"/>
          <w:lang w:val="en-US" w:eastAsia="zh-CN"/>
        </w:rPr>
        <w:t>(一)在货物采购项目中，货物由中小企业制造，即货物由中小企业生产且使用该中小企业商号或者注册商标；</w:t>
      </w:r>
    </w:p>
    <w:p w14:paraId="6A97BE24">
      <w:pPr>
        <w:pStyle w:val="5"/>
        <w:shd w:val="clear" w:color="auto" w:fill="auto"/>
        <w:rPr>
          <w:rFonts w:hint="default" w:ascii="宋体" w:hAnsi="宋体" w:cs="宋体"/>
          <w:sz w:val="24"/>
          <w:highlight w:val="none"/>
          <w:lang w:val="en-US" w:eastAsia="zh-CN"/>
        </w:rPr>
      </w:pPr>
      <w:r>
        <w:rPr>
          <w:rFonts w:hint="default" w:ascii="宋体" w:hAnsi="宋体" w:cs="宋体"/>
          <w:sz w:val="24"/>
          <w:highlight w:val="none"/>
          <w:lang w:val="en-US" w:eastAsia="zh-CN"/>
        </w:rPr>
        <w:t>(二)在工程采购项目中，工程由中小企业承建，即工程施工单位为中小企业；</w:t>
      </w:r>
    </w:p>
    <w:p w14:paraId="1FE1EDAE">
      <w:pPr>
        <w:pStyle w:val="5"/>
        <w:shd w:val="clear" w:color="auto" w:fill="auto"/>
        <w:rPr>
          <w:rFonts w:hint="default" w:ascii="宋体" w:hAnsi="宋体" w:cs="宋体"/>
          <w:sz w:val="24"/>
          <w:highlight w:val="none"/>
          <w:lang w:val="en-US" w:eastAsia="zh-CN"/>
        </w:rPr>
      </w:pPr>
      <w:r>
        <w:rPr>
          <w:rFonts w:hint="default" w:ascii="宋体" w:hAnsi="宋体" w:cs="宋体"/>
          <w:sz w:val="24"/>
          <w:highlight w:val="none"/>
          <w:lang w:val="en-US" w:eastAsia="zh-CN"/>
        </w:rPr>
        <w:t>(三)在服务采购项目中，服务由中小企业承接，即提供服务的人员为中小企业依照《中华人民共和国劳动民法典》订立劳动合同的从业人员。</w:t>
      </w:r>
    </w:p>
    <w:p w14:paraId="7CA3D230">
      <w:pPr>
        <w:pStyle w:val="5"/>
        <w:shd w:val="clear" w:color="auto" w:fill="auto"/>
        <w:rPr>
          <w:rFonts w:hint="default" w:ascii="宋体" w:hAnsi="宋体" w:cs="宋体"/>
          <w:sz w:val="24"/>
          <w:highlight w:val="none"/>
          <w:lang w:val="en-US" w:eastAsia="zh-CN"/>
        </w:rPr>
      </w:pPr>
      <w:r>
        <w:rPr>
          <w:rFonts w:hint="default" w:ascii="宋体" w:hAnsi="宋体" w:cs="宋体"/>
          <w:sz w:val="24"/>
          <w:highlight w:val="none"/>
          <w:lang w:val="en-US" w:eastAsia="zh-CN"/>
        </w:rPr>
        <w:t>在货物采购项目中，供应商提供的货物既有中小企业制造货物，也有大型企业制造货物的，不享受《办法》规定的中小企业扶持政策。</w:t>
      </w:r>
    </w:p>
    <w:p w14:paraId="4A64E134">
      <w:pPr>
        <w:pStyle w:val="5"/>
        <w:shd w:val="clear" w:color="auto" w:fill="auto"/>
        <w:rPr>
          <w:rFonts w:hint="default" w:ascii="宋体" w:hAnsi="宋体" w:cs="宋体"/>
          <w:sz w:val="24"/>
          <w:highlight w:val="none"/>
          <w:lang w:val="en-US" w:eastAsia="zh-CN"/>
        </w:rPr>
      </w:pPr>
      <w:r>
        <w:rPr>
          <w:rFonts w:hint="default" w:ascii="宋体" w:hAnsi="宋体" w:cs="宋体"/>
          <w:sz w:val="24"/>
          <w:highlight w:val="none"/>
          <w:lang w:val="en-US" w:eastAsia="zh-CN"/>
        </w:rPr>
        <w:t>以联合体形式参加政府采购活动，联合体各方均为中小企业的，联合体视同中小企业。其中，联合体各方均为小微企业的，联合体视同小微企业。</w:t>
      </w:r>
    </w:p>
    <w:p w14:paraId="54C1A67A">
      <w:pPr>
        <w:pStyle w:val="5"/>
        <w:shd w:val="clear" w:color="auto" w:fill="auto"/>
        <w:rPr>
          <w:rFonts w:hint="default" w:ascii="宋体" w:hAnsi="宋体" w:cs="宋体"/>
          <w:sz w:val="24"/>
          <w:highlight w:val="none"/>
          <w:lang w:val="en-US" w:eastAsia="zh-CN"/>
        </w:rPr>
      </w:pPr>
      <w:r>
        <w:rPr>
          <w:rFonts w:hint="default" w:ascii="宋体" w:hAnsi="宋体" w:cs="宋体"/>
          <w:sz w:val="24"/>
          <w:highlight w:val="none"/>
          <w:lang w:val="en-US" w:eastAsia="zh-CN"/>
        </w:rPr>
        <w:t>依据《办法》规定享受扶持政策获得政府采购合同的，小微企业不得将合同分包给大中型企业，中型企业不得将合同分包给大型企业。</w:t>
      </w:r>
    </w:p>
    <w:p w14:paraId="6488F755">
      <w:pPr>
        <w:pStyle w:val="5"/>
        <w:shd w:val="clear" w:color="auto" w:fill="auto"/>
        <w:rPr>
          <w:rFonts w:hint="default" w:ascii="宋体" w:hAnsi="宋体" w:cs="宋体"/>
          <w:sz w:val="24"/>
          <w:highlight w:val="none"/>
          <w:lang w:val="en-US" w:eastAsia="zh-CN"/>
        </w:rPr>
      </w:pPr>
      <w:r>
        <w:rPr>
          <w:rFonts w:hint="default" w:ascii="宋体" w:hAnsi="宋体" w:cs="宋体"/>
          <w:sz w:val="24"/>
          <w:highlight w:val="none"/>
          <w:lang w:val="en-US" w:eastAsia="zh-CN"/>
        </w:rPr>
        <w:t>根据《政府采购促进中小企业发展管理办法》的通知（财库〔2020〕46号）规定，参加政府采购活动的中小企业应当提供《中小企业声明函》。供应商提供的《中小企业声明函》原件必须真实，否则，按照有关规定予以处理。</w:t>
      </w:r>
    </w:p>
    <w:p w14:paraId="328B78D1">
      <w:pPr>
        <w:pStyle w:val="5"/>
        <w:shd w:val="clear" w:color="auto" w:fill="auto"/>
        <w:rPr>
          <w:rFonts w:hint="default" w:ascii="宋体" w:hAnsi="宋体" w:cs="宋体"/>
          <w:sz w:val="24"/>
          <w:highlight w:val="none"/>
          <w:lang w:val="en-US" w:eastAsia="zh-CN"/>
        </w:rPr>
      </w:pPr>
      <w:r>
        <w:rPr>
          <w:rFonts w:hint="default" w:ascii="宋体" w:hAnsi="宋体" w:cs="宋体"/>
          <w:sz w:val="24"/>
          <w:highlight w:val="none"/>
          <w:lang w:val="en-US" w:eastAsia="zh-CN"/>
        </w:rPr>
        <w:t>根据《政府采购促进中小企业发展管理办法》及《关于进一步加大政府采购支持中小企业力度的通知》的相关规定，小微企业报价给予10%(工程项目为3%)的扣除，用扣除后的价格参加评审。适用招标投标法的政府采购工程建设项目，采用综合评估法但未采用低价优先法计算价格分的，评标时应当在采用原报价进行评分的基础上增加其价格得分的3%作为其价格分。</w:t>
      </w:r>
    </w:p>
    <w:p w14:paraId="1A6CD0B8">
      <w:pPr>
        <w:pStyle w:val="5"/>
        <w:shd w:val="clear" w:color="auto" w:fill="auto"/>
        <w:rPr>
          <w:rFonts w:hint="default" w:ascii="宋体" w:hAnsi="宋体" w:cs="宋体"/>
          <w:sz w:val="24"/>
          <w:highlight w:val="none"/>
          <w:lang w:val="en-US" w:eastAsia="zh-CN"/>
        </w:rPr>
      </w:pPr>
      <w:r>
        <w:rPr>
          <w:rFonts w:hint="default" w:ascii="宋体" w:hAnsi="宋体" w:cs="宋体"/>
          <w:sz w:val="24"/>
          <w:highlight w:val="none"/>
          <w:lang w:val="en-US" w:eastAsia="zh-CN"/>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工程项目为1%)的扣除，用扣除后的价格参加评审。适用招标投标法的政府采购工程建设项目，采用综合评估法但未采用低价优先法计算价格分的，评标时应当在采用原报价进行评分的基础上增加其价格得分的1%作为其价格分。组成联合体或者接受分包的小微企业与联合体内其他企业、分包企业之间存在直接控股、管理关系的，不享受价格扣除优惠政策。</w:t>
      </w:r>
    </w:p>
    <w:p w14:paraId="2B3D8400">
      <w:pPr>
        <w:pStyle w:val="5"/>
        <w:shd w:val="clear" w:color="auto" w:fill="auto"/>
        <w:rPr>
          <w:rFonts w:hint="default" w:ascii="宋体" w:hAnsi="宋体" w:cs="宋体"/>
          <w:sz w:val="24"/>
          <w:highlight w:val="none"/>
          <w:lang w:val="en-US" w:eastAsia="zh-CN"/>
        </w:rPr>
      </w:pPr>
      <w:r>
        <w:rPr>
          <w:rFonts w:hint="eastAsia" w:ascii="宋体" w:hAnsi="宋体" w:cs="宋体"/>
          <w:sz w:val="24"/>
          <w:highlight w:val="none"/>
          <w:lang w:val="en-US" w:eastAsia="zh-CN"/>
        </w:rPr>
        <w:t>33.1.2</w:t>
      </w:r>
      <w:r>
        <w:rPr>
          <w:rFonts w:hint="default" w:ascii="宋体" w:hAnsi="宋体" w:cs="宋体"/>
          <w:sz w:val="24"/>
          <w:highlight w:val="none"/>
          <w:lang w:val="en-US" w:eastAsia="zh-CN"/>
        </w:rPr>
        <w:t xml:space="preserve"> 、《财政部 司法部关于政府采购支持监狱企业发展有关问题的通知》（财库〔2014〕68号）</w:t>
      </w:r>
    </w:p>
    <w:p w14:paraId="3A85FEF9">
      <w:pPr>
        <w:pStyle w:val="5"/>
        <w:shd w:val="clear" w:color="auto" w:fill="auto"/>
        <w:rPr>
          <w:rFonts w:hint="default" w:ascii="宋体" w:hAnsi="宋体" w:cs="宋体"/>
          <w:sz w:val="24"/>
          <w:highlight w:val="none"/>
          <w:lang w:val="en-US" w:eastAsia="zh-CN"/>
        </w:rPr>
      </w:pPr>
      <w:r>
        <w:rPr>
          <w:rFonts w:hint="default" w:ascii="宋体" w:hAnsi="宋体" w:cs="宋体"/>
          <w:sz w:val="24"/>
          <w:highlight w:val="none"/>
          <w:lang w:val="en-US" w:eastAsia="zh-CN"/>
        </w:rPr>
        <w:t>监狱企业参加政府采购活动时，应当提供由省级以上监狱管理局、戒毒管理局（含新疆生产建设兵团）出具的属于监狱企业的证明文件。在政府采购活动中，监狱企业视同小型、微型企业。</w:t>
      </w:r>
    </w:p>
    <w:p w14:paraId="39530A59">
      <w:pPr>
        <w:pStyle w:val="5"/>
        <w:shd w:val="clear" w:color="auto" w:fill="auto"/>
        <w:rPr>
          <w:rFonts w:hint="default" w:ascii="宋体" w:hAnsi="宋体" w:cs="宋体"/>
          <w:sz w:val="24"/>
          <w:highlight w:val="none"/>
          <w:lang w:val="en-US" w:eastAsia="zh-CN"/>
        </w:rPr>
      </w:pPr>
      <w:r>
        <w:rPr>
          <w:rFonts w:hint="eastAsia" w:ascii="宋体" w:hAnsi="宋体" w:cs="宋体"/>
          <w:sz w:val="24"/>
          <w:highlight w:val="none"/>
          <w:lang w:val="en-US" w:eastAsia="zh-CN"/>
        </w:rPr>
        <w:t>33.1.3</w:t>
      </w:r>
      <w:r>
        <w:rPr>
          <w:rFonts w:hint="default" w:ascii="宋体" w:hAnsi="宋体" w:cs="宋体"/>
          <w:sz w:val="24"/>
          <w:highlight w:val="none"/>
          <w:lang w:val="en-US" w:eastAsia="zh-CN"/>
        </w:rPr>
        <w:t xml:space="preserve"> 、《三部门联合发布关于促进残疾人就业政府采购政策的通知》（财库〔2017〕141号）；</w:t>
      </w:r>
    </w:p>
    <w:p w14:paraId="5A6E7687">
      <w:pPr>
        <w:pStyle w:val="5"/>
        <w:shd w:val="clear" w:color="auto" w:fill="auto"/>
        <w:rPr>
          <w:rFonts w:hint="default" w:ascii="宋体" w:hAnsi="宋体" w:cs="宋体"/>
          <w:sz w:val="24"/>
          <w:highlight w:val="none"/>
          <w:lang w:val="en-US" w:eastAsia="zh-CN"/>
        </w:rPr>
      </w:pPr>
      <w:r>
        <w:rPr>
          <w:rFonts w:hint="default" w:ascii="宋体" w:hAnsi="宋体" w:cs="宋体"/>
          <w:sz w:val="24"/>
          <w:highlight w:val="none"/>
          <w:lang w:val="en-US" w:eastAsia="zh-CN"/>
        </w:rPr>
        <w:t>符合条件的残疾人福利性单位在参加政府采购活动时，应当提供本通知规定的《残疾人福利性单位声明函》，并对声明的真实性负责。在政府采购活动中，残疾人福利性单位视同小型、微型企业，享受预留份额。</w:t>
      </w:r>
    </w:p>
    <w:p w14:paraId="5330BD1C">
      <w:pPr>
        <w:pStyle w:val="5"/>
        <w:shd w:val="clear" w:color="auto" w:fill="auto"/>
        <w:rPr>
          <w:rFonts w:hint="default" w:ascii="宋体" w:hAnsi="宋体" w:cs="宋体"/>
          <w:sz w:val="24"/>
          <w:highlight w:val="none"/>
          <w:lang w:val="en-US" w:eastAsia="zh-CN"/>
        </w:rPr>
      </w:pPr>
      <w:r>
        <w:rPr>
          <w:rFonts w:hint="eastAsia" w:ascii="宋体" w:hAnsi="宋体" w:cs="宋体"/>
          <w:sz w:val="24"/>
          <w:highlight w:val="none"/>
          <w:lang w:val="en-US" w:eastAsia="zh-CN"/>
        </w:rPr>
        <w:t>33.2</w:t>
      </w:r>
      <w:r>
        <w:rPr>
          <w:rFonts w:hint="default" w:ascii="宋体" w:hAnsi="宋体" w:cs="宋体"/>
          <w:sz w:val="24"/>
          <w:highlight w:val="none"/>
          <w:lang w:val="en-US" w:eastAsia="zh-CN"/>
        </w:rPr>
        <w:t>、落实优先采购节能、环保产品的政策</w:t>
      </w:r>
    </w:p>
    <w:p w14:paraId="692B3394">
      <w:pPr>
        <w:pStyle w:val="5"/>
        <w:shd w:val="clear" w:color="auto" w:fill="auto"/>
        <w:rPr>
          <w:rFonts w:hint="default" w:ascii="宋体" w:hAnsi="宋体" w:cs="宋体"/>
          <w:sz w:val="24"/>
          <w:highlight w:val="none"/>
          <w:lang w:val="en-US" w:eastAsia="zh-CN"/>
        </w:rPr>
      </w:pPr>
      <w:r>
        <w:rPr>
          <w:rFonts w:hint="eastAsia" w:ascii="宋体" w:hAnsi="宋体" w:cs="宋体"/>
          <w:sz w:val="24"/>
          <w:highlight w:val="none"/>
          <w:lang w:val="en-US" w:eastAsia="zh-CN"/>
        </w:rPr>
        <w:t>33.2.1</w:t>
      </w:r>
      <w:r>
        <w:rPr>
          <w:rFonts w:hint="default" w:ascii="宋体" w:hAnsi="宋体" w:cs="宋体"/>
          <w:sz w:val="24"/>
          <w:highlight w:val="none"/>
          <w:lang w:val="en-US" w:eastAsia="zh-CN"/>
        </w:rPr>
        <w:t>、根据《财政部 发展改革委 生态环境部 市场监管总局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25167AF8">
      <w:pPr>
        <w:pStyle w:val="5"/>
        <w:shd w:val="clear" w:color="auto" w:fill="auto"/>
        <w:rPr>
          <w:rFonts w:hint="default" w:ascii="宋体" w:hAnsi="宋体" w:cs="宋体"/>
          <w:sz w:val="24"/>
          <w:highlight w:val="none"/>
          <w:lang w:val="en-US" w:eastAsia="zh-CN"/>
        </w:rPr>
      </w:pPr>
      <w:r>
        <w:rPr>
          <w:rFonts w:hint="default" w:ascii="宋体" w:hAnsi="宋体" w:cs="宋体"/>
          <w:sz w:val="24"/>
          <w:highlight w:val="none"/>
          <w:lang w:val="en-US" w:eastAsia="zh-CN"/>
        </w:rPr>
        <w:t>所有投标产品进入 “节能产品政府采购品目清单”的，应提供相关证书扫描件，相关证书的颁发机构应来自《参与实施政府采购节能产品认证机构名录》。</w:t>
      </w:r>
    </w:p>
    <w:p w14:paraId="68F3E5D8">
      <w:pPr>
        <w:pStyle w:val="5"/>
        <w:shd w:val="clear" w:color="auto" w:fill="auto"/>
        <w:rPr>
          <w:rFonts w:hint="default" w:ascii="宋体" w:hAnsi="宋体" w:cs="宋体"/>
          <w:sz w:val="24"/>
          <w:highlight w:val="none"/>
          <w:lang w:val="en-US" w:eastAsia="zh-CN"/>
        </w:rPr>
      </w:pPr>
      <w:r>
        <w:rPr>
          <w:rFonts w:hint="default" w:ascii="宋体" w:hAnsi="宋体" w:cs="宋体"/>
          <w:sz w:val="24"/>
          <w:highlight w:val="none"/>
          <w:lang w:val="en-US" w:eastAsia="zh-CN"/>
        </w:rPr>
        <w:t>所有投标产品进入“环境标志产品政府采购品目清单”的，应提供相关证书扫描件，相关证书的颁发机构应来自《参与实施政府采购环境标志产品认证机构名录》。</w:t>
      </w:r>
    </w:p>
    <w:p w14:paraId="2EB19D8C">
      <w:pPr>
        <w:pStyle w:val="5"/>
        <w:shd w:val="clear" w:color="auto" w:fill="auto"/>
        <w:rPr>
          <w:rFonts w:hint="default" w:ascii="宋体" w:hAnsi="宋体" w:cs="宋体"/>
          <w:sz w:val="24"/>
          <w:highlight w:val="none"/>
          <w:lang w:val="en-US" w:eastAsia="zh-CN"/>
        </w:rPr>
      </w:pPr>
      <w:r>
        <w:rPr>
          <w:rFonts w:hint="eastAsia" w:ascii="宋体" w:hAnsi="宋体" w:cs="宋体"/>
          <w:sz w:val="24"/>
          <w:highlight w:val="none"/>
          <w:lang w:val="en-US" w:eastAsia="zh-CN"/>
        </w:rPr>
        <w:t>33.3</w:t>
      </w:r>
      <w:r>
        <w:rPr>
          <w:rFonts w:hint="default" w:ascii="宋体" w:hAnsi="宋体" w:cs="宋体"/>
          <w:sz w:val="24"/>
          <w:highlight w:val="none"/>
          <w:lang w:val="en-US" w:eastAsia="zh-CN"/>
        </w:rPr>
        <w:t>、政府采购信用融资政策</w:t>
      </w:r>
    </w:p>
    <w:p w14:paraId="72B533CF">
      <w:pPr>
        <w:pStyle w:val="5"/>
        <w:shd w:val="clear" w:color="auto" w:fill="auto"/>
        <w:rPr>
          <w:rFonts w:hint="default" w:ascii="宋体" w:hAnsi="宋体" w:cs="宋体"/>
          <w:sz w:val="24"/>
          <w:highlight w:val="none"/>
          <w:lang w:val="en-US" w:eastAsia="zh-CN"/>
        </w:rPr>
      </w:pPr>
      <w:r>
        <w:rPr>
          <w:rFonts w:hint="eastAsia" w:ascii="宋体" w:hAnsi="宋体" w:cs="宋体"/>
          <w:sz w:val="24"/>
          <w:highlight w:val="none"/>
          <w:lang w:val="en-US" w:eastAsia="zh-CN"/>
        </w:rPr>
        <w:t>33.3.1</w:t>
      </w:r>
      <w:r>
        <w:rPr>
          <w:rFonts w:hint="default" w:ascii="宋体" w:hAnsi="宋体" w:cs="宋体"/>
          <w:sz w:val="24"/>
          <w:highlight w:val="none"/>
          <w:lang w:val="en-US" w:eastAsia="zh-CN"/>
        </w:rPr>
        <w:t>、融资政策</w:t>
      </w:r>
    </w:p>
    <w:p w14:paraId="6ED97B38">
      <w:pPr>
        <w:pStyle w:val="5"/>
        <w:shd w:val="clear" w:color="auto" w:fill="auto"/>
        <w:rPr>
          <w:rFonts w:hint="default" w:ascii="宋体" w:hAnsi="宋体" w:cs="宋体"/>
          <w:sz w:val="24"/>
          <w:highlight w:val="none"/>
          <w:lang w:val="en-US" w:eastAsia="zh-CN"/>
        </w:rPr>
      </w:pPr>
      <w:r>
        <w:rPr>
          <w:rFonts w:hint="default" w:ascii="宋体" w:hAnsi="宋体" w:cs="宋体"/>
          <w:sz w:val="24"/>
          <w:highlight w:val="none"/>
          <w:lang w:val="en-US" w:eastAsia="zh-CN"/>
        </w:rPr>
        <w:t>政府采购信用融资是指银行业金融机构以政府采购诚信考核和信用审查为基础，凭借政府采购合同，按优于一般中小企业的贷款利率直接向申请贷款的供应商发放贷款的一种融资方式。融资金额未超过政府采购合同金额的，银行原则上不得要求供应商提供财产抵押或第三方担保或其他任何形式的担保条件。</w:t>
      </w:r>
    </w:p>
    <w:p w14:paraId="6F7DD80D">
      <w:pPr>
        <w:pStyle w:val="5"/>
        <w:shd w:val="clear" w:color="auto" w:fill="auto"/>
        <w:rPr>
          <w:rFonts w:hint="default" w:ascii="宋体" w:hAnsi="宋体" w:cs="宋体"/>
          <w:sz w:val="24"/>
          <w:highlight w:val="none"/>
          <w:lang w:val="en-US" w:eastAsia="zh-CN"/>
        </w:rPr>
      </w:pPr>
      <w:r>
        <w:rPr>
          <w:rFonts w:hint="default" w:ascii="宋体" w:hAnsi="宋体" w:cs="宋体"/>
          <w:sz w:val="24"/>
          <w:highlight w:val="none"/>
          <w:lang w:val="en-US" w:eastAsia="zh-CN"/>
        </w:rPr>
        <w:t>依据《陕西省财政厅关于印发〈陕西省中小企业政府采购信用融资办法〉的通知》（陕财办采〔2018〕23号）、《陕西省财政厅关于加快推进我省中小企业政府采购信用融资工作的通知》（陕财办采</w:t>
      </w:r>
      <w:r>
        <w:rPr>
          <w:rFonts w:hint="eastAsia" w:ascii="宋体" w:hAnsi="宋体" w:cs="宋体"/>
          <w:sz w:val="24"/>
          <w:highlight w:val="none"/>
          <w:lang w:val="en-US" w:eastAsia="zh-CN"/>
        </w:rPr>
        <w:t>〔2020〕15号</w:t>
      </w:r>
      <w:r>
        <w:rPr>
          <w:rFonts w:hint="default" w:ascii="宋体" w:hAnsi="宋体" w:cs="宋体"/>
          <w:sz w:val="24"/>
          <w:highlight w:val="none"/>
          <w:lang w:val="en-US" w:eastAsia="zh-CN"/>
        </w:rPr>
        <w:t>），有融资需求的供应商可根据自身情况，在办理平台“http://www.ccgp-shaanxi.gov.cn/zcdservice/zcd/shanxi/”查询相关政策、业务流程并办理相关业务。</w:t>
      </w:r>
    </w:p>
    <w:p w14:paraId="4C36A817">
      <w:pPr>
        <w:shd w:val="clear" w:color="auto" w:fill="auto"/>
        <w:ind w:firstLine="0" w:firstLineChars="0"/>
        <w:jc w:val="center"/>
        <w:outlineLvl w:val="0"/>
        <w:rPr>
          <w:rFonts w:hint="eastAsia" w:ascii="宋体" w:hAnsi="宋体" w:cs="宋体"/>
          <w:b/>
          <w:bCs/>
          <w:sz w:val="24"/>
          <w:highlight w:val="none"/>
        </w:rPr>
      </w:pPr>
      <w:r>
        <w:rPr>
          <w:rFonts w:hint="eastAsia" w:ascii="宋体" w:hAnsi="宋体" w:cs="宋体"/>
          <w:b/>
          <w:bCs/>
          <w:sz w:val="24"/>
          <w:highlight w:val="none"/>
        </w:rPr>
        <w:br w:type="page"/>
      </w:r>
      <w:bookmarkStart w:id="108" w:name="_Toc20118"/>
      <w:r>
        <w:rPr>
          <w:rFonts w:hint="eastAsia" w:ascii="宋体" w:hAnsi="宋体" w:cs="宋体"/>
          <w:b/>
          <w:bCs/>
          <w:sz w:val="32"/>
          <w:szCs w:val="32"/>
          <w:highlight w:val="none"/>
        </w:rPr>
        <w:t>第三章</w:t>
      </w:r>
      <w:bookmarkStart w:id="109" w:name="_Toc217446093"/>
      <w:r>
        <w:rPr>
          <w:rFonts w:hint="eastAsia" w:ascii="宋体" w:hAnsi="宋体" w:cs="宋体"/>
          <w:b/>
          <w:bCs/>
          <w:sz w:val="32"/>
          <w:szCs w:val="32"/>
          <w:highlight w:val="none"/>
        </w:rPr>
        <w:t xml:space="preserve">  评标办法</w:t>
      </w:r>
      <w:bookmarkEnd w:id="108"/>
    </w:p>
    <w:p w14:paraId="55BC0C56">
      <w:pPr>
        <w:shd w:val="clear" w:color="auto" w:fill="auto"/>
        <w:ind w:firstLine="480"/>
        <w:rPr>
          <w:rFonts w:hint="eastAsia" w:ascii="宋体" w:hAnsi="宋体" w:cs="宋体"/>
          <w:color w:val="000000"/>
          <w:sz w:val="24"/>
          <w:highlight w:val="none"/>
        </w:rPr>
      </w:pPr>
      <w:r>
        <w:rPr>
          <w:rFonts w:hint="eastAsia" w:ascii="宋体" w:hAnsi="宋体" w:cs="宋体"/>
          <w:color w:val="000000"/>
          <w:sz w:val="24"/>
          <w:highlight w:val="none"/>
        </w:rPr>
        <w:t>根据《中华人民共和国政府采购法》及实施条例和</w:t>
      </w:r>
      <w:r>
        <w:rPr>
          <w:rFonts w:hint="eastAsia" w:ascii="宋体" w:hAnsi="宋体" w:cs="宋体"/>
          <w:sz w:val="24"/>
          <w:highlight w:val="none"/>
        </w:rPr>
        <w:t>《政府采购货物和服务招标投标管理办法》等</w:t>
      </w:r>
      <w:r>
        <w:rPr>
          <w:rFonts w:hint="eastAsia" w:ascii="宋体" w:hAnsi="宋体" w:cs="宋体"/>
          <w:color w:val="000000"/>
          <w:sz w:val="24"/>
          <w:highlight w:val="none"/>
        </w:rPr>
        <w:t>法律规章，结合采购项目特点制定本评标办法。</w:t>
      </w:r>
    </w:p>
    <w:p w14:paraId="65B43609">
      <w:pPr>
        <w:shd w:val="clear" w:color="auto" w:fill="auto"/>
        <w:ind w:firstLine="480"/>
        <w:rPr>
          <w:rFonts w:hint="eastAsia" w:ascii="宋体" w:hAnsi="宋体" w:cs="宋体"/>
          <w:b/>
          <w:sz w:val="24"/>
          <w:highlight w:val="none"/>
        </w:rPr>
      </w:pPr>
      <w:r>
        <w:rPr>
          <w:rFonts w:hint="eastAsia" w:ascii="宋体" w:hAnsi="宋体" w:eastAsia="宋体" w:cs="宋体"/>
          <w:b/>
          <w:sz w:val="24"/>
          <w:highlight w:val="none"/>
        </w:rPr>
        <w:t>1、评标</w:t>
      </w:r>
      <w:r>
        <w:rPr>
          <w:rFonts w:hint="eastAsia" w:ascii="宋体" w:hAnsi="宋体" w:cs="宋体"/>
          <w:b/>
          <w:sz w:val="24"/>
          <w:highlight w:val="none"/>
        </w:rPr>
        <w:t>程序</w:t>
      </w:r>
    </w:p>
    <w:p w14:paraId="6A6A6DBA">
      <w:pPr>
        <w:shd w:val="clear" w:color="auto" w:fill="auto"/>
        <w:ind w:firstLine="480"/>
        <w:rPr>
          <w:rFonts w:hint="eastAsia" w:ascii="宋体" w:hAnsi="宋体" w:cs="宋体"/>
          <w:color w:val="000000"/>
          <w:sz w:val="24"/>
          <w:highlight w:val="none"/>
        </w:rPr>
      </w:pPr>
      <w:r>
        <w:rPr>
          <w:rFonts w:hint="eastAsia" w:ascii="宋体" w:hAnsi="宋体" w:cs="宋体"/>
          <w:color w:val="000000"/>
          <w:sz w:val="24"/>
          <w:highlight w:val="none"/>
        </w:rPr>
        <w:t>1.1本采购项目评标按照下列工作程序进行：</w:t>
      </w:r>
    </w:p>
    <w:p w14:paraId="36DA448E">
      <w:pPr>
        <w:shd w:val="clear" w:color="auto" w:fill="auto"/>
        <w:ind w:firstLine="480"/>
        <w:rPr>
          <w:rFonts w:hint="eastAsia" w:ascii="宋体" w:hAnsi="宋体" w:cs="宋体"/>
          <w:color w:val="000000"/>
          <w:sz w:val="24"/>
          <w:highlight w:val="none"/>
        </w:rPr>
      </w:pPr>
      <w:r>
        <w:rPr>
          <w:rFonts w:hint="eastAsia" w:ascii="宋体" w:hAnsi="宋体" w:cs="宋体"/>
          <w:color w:val="000000"/>
          <w:sz w:val="24"/>
          <w:highlight w:val="none"/>
        </w:rPr>
        <w:t>（1）投标文件初审；</w:t>
      </w:r>
    </w:p>
    <w:p w14:paraId="78BE078F">
      <w:pPr>
        <w:shd w:val="clear" w:color="auto" w:fill="auto"/>
        <w:ind w:firstLine="480"/>
        <w:rPr>
          <w:rFonts w:hint="eastAsia" w:ascii="宋体" w:hAnsi="宋体" w:cs="宋体"/>
          <w:color w:val="000000"/>
          <w:sz w:val="24"/>
          <w:highlight w:val="none"/>
        </w:rPr>
      </w:pPr>
      <w:r>
        <w:rPr>
          <w:rFonts w:hint="eastAsia" w:ascii="宋体" w:hAnsi="宋体" w:cs="宋体"/>
          <w:color w:val="000000"/>
          <w:sz w:val="24"/>
          <w:highlight w:val="none"/>
        </w:rPr>
        <w:t>（2）澄清有关问题；</w:t>
      </w:r>
    </w:p>
    <w:p w14:paraId="111A47FF">
      <w:pPr>
        <w:shd w:val="clear" w:color="auto" w:fill="auto"/>
        <w:ind w:firstLine="480"/>
        <w:rPr>
          <w:rFonts w:hint="eastAsia" w:ascii="宋体" w:hAnsi="宋体" w:cs="宋体"/>
          <w:color w:val="000000"/>
          <w:sz w:val="24"/>
          <w:highlight w:val="none"/>
        </w:rPr>
      </w:pPr>
      <w:r>
        <w:rPr>
          <w:rFonts w:hint="eastAsia" w:ascii="宋体" w:hAnsi="宋体" w:cs="宋体"/>
          <w:color w:val="000000"/>
          <w:sz w:val="24"/>
          <w:highlight w:val="none"/>
        </w:rPr>
        <w:t>（3）比较与评价；</w:t>
      </w:r>
    </w:p>
    <w:p w14:paraId="357640FE">
      <w:pPr>
        <w:shd w:val="clear" w:color="auto" w:fill="auto"/>
        <w:ind w:firstLine="480"/>
        <w:rPr>
          <w:rFonts w:hint="eastAsia" w:ascii="宋体" w:hAnsi="宋体" w:cs="宋体"/>
          <w:color w:val="000000"/>
          <w:sz w:val="24"/>
          <w:highlight w:val="none"/>
        </w:rPr>
      </w:pPr>
      <w:r>
        <w:rPr>
          <w:rFonts w:hint="eastAsia" w:ascii="宋体" w:hAnsi="宋体" w:cs="宋体"/>
          <w:color w:val="000000"/>
          <w:sz w:val="24"/>
          <w:highlight w:val="none"/>
        </w:rPr>
        <w:t>（4）推荐中标候选供应商名单；</w:t>
      </w:r>
    </w:p>
    <w:p w14:paraId="156C790E">
      <w:pPr>
        <w:shd w:val="clear" w:color="auto" w:fill="auto"/>
        <w:ind w:firstLine="480"/>
        <w:rPr>
          <w:rFonts w:hint="eastAsia" w:ascii="宋体" w:hAnsi="宋体" w:cs="宋体"/>
          <w:color w:val="000000"/>
          <w:sz w:val="24"/>
          <w:highlight w:val="none"/>
        </w:rPr>
      </w:pPr>
      <w:r>
        <w:rPr>
          <w:rFonts w:hint="eastAsia" w:ascii="宋体" w:hAnsi="宋体" w:cs="宋体"/>
          <w:color w:val="000000"/>
          <w:sz w:val="24"/>
          <w:highlight w:val="none"/>
        </w:rPr>
        <w:t>（5）编写评标报告。</w:t>
      </w:r>
    </w:p>
    <w:p w14:paraId="5C0A741C">
      <w:pPr>
        <w:shd w:val="clear" w:color="auto" w:fill="auto"/>
        <w:ind w:firstLine="480"/>
        <w:rPr>
          <w:rFonts w:hint="eastAsia" w:ascii="宋体" w:hAnsi="宋体" w:cs="宋体"/>
          <w:sz w:val="24"/>
          <w:highlight w:val="none"/>
        </w:rPr>
      </w:pPr>
      <w:r>
        <w:rPr>
          <w:rFonts w:hint="eastAsia" w:ascii="宋体" w:hAnsi="宋体" w:cs="宋体"/>
          <w:color w:val="000000"/>
          <w:sz w:val="24"/>
          <w:highlight w:val="none"/>
        </w:rPr>
        <w:t>1.2</w:t>
      </w:r>
      <w:r>
        <w:rPr>
          <w:rFonts w:hint="eastAsia" w:ascii="宋体" w:hAnsi="宋体" w:cs="宋体"/>
          <w:sz w:val="24"/>
          <w:highlight w:val="none"/>
        </w:rPr>
        <w:t>投标文件初审</w:t>
      </w:r>
    </w:p>
    <w:p w14:paraId="21102B0D">
      <w:pPr>
        <w:shd w:val="clear" w:color="auto" w:fill="auto"/>
        <w:ind w:firstLine="480"/>
        <w:rPr>
          <w:rFonts w:hint="eastAsia" w:ascii="宋体" w:hAnsi="宋体" w:cs="宋体"/>
          <w:sz w:val="24"/>
          <w:highlight w:val="none"/>
        </w:rPr>
      </w:pPr>
      <w:r>
        <w:rPr>
          <w:rFonts w:hint="eastAsia" w:ascii="宋体" w:hAnsi="宋体" w:cs="宋体"/>
          <w:sz w:val="24"/>
          <w:highlight w:val="none"/>
        </w:rPr>
        <w:t>1.2.1投标文件资格审查；即对供应商的投标文件资格证明文件、投标保证金交纳情况有效性进行审查，以确保投标供应商是否具备相应资格；符合性审查，即对投标文件的完整性和对招标文件的响应程度进行审查，以确定是否对招标文件实在性内容作出响应。</w:t>
      </w:r>
    </w:p>
    <w:p w14:paraId="6FA916E4">
      <w:pPr>
        <w:shd w:val="clear" w:color="auto" w:fill="auto"/>
        <w:ind w:firstLine="480"/>
        <w:rPr>
          <w:rFonts w:hint="eastAsia" w:ascii="宋体" w:hAnsi="宋体" w:cs="宋体"/>
          <w:sz w:val="24"/>
          <w:highlight w:val="none"/>
        </w:rPr>
      </w:pPr>
      <w:r>
        <w:rPr>
          <w:rFonts w:hint="eastAsia" w:ascii="宋体" w:hAnsi="宋体" w:cs="宋体"/>
          <w:sz w:val="24"/>
          <w:highlight w:val="none"/>
        </w:rPr>
        <w:t>1.2.2在资格、符合性检查时，投标文件被认定无效投标的，不得进入后续评标环节。</w:t>
      </w:r>
    </w:p>
    <w:p w14:paraId="7D5D49BE">
      <w:pPr>
        <w:shd w:val="clear" w:color="auto" w:fill="auto"/>
        <w:ind w:firstLine="480"/>
        <w:rPr>
          <w:rFonts w:hint="eastAsia" w:ascii="宋体" w:hAnsi="宋体" w:cs="宋体"/>
          <w:sz w:val="24"/>
          <w:highlight w:val="none"/>
        </w:rPr>
      </w:pPr>
      <w:r>
        <w:rPr>
          <w:rFonts w:hint="eastAsia" w:ascii="宋体" w:hAnsi="宋体" w:cs="宋体"/>
          <w:sz w:val="24"/>
          <w:highlight w:val="none"/>
        </w:rPr>
        <w:t>1.3 投标文件的澄清</w:t>
      </w:r>
    </w:p>
    <w:p w14:paraId="35738E1D">
      <w:pPr>
        <w:shd w:val="clear" w:color="auto" w:fill="auto"/>
        <w:ind w:firstLine="480"/>
        <w:rPr>
          <w:rFonts w:hint="eastAsia" w:ascii="宋体" w:hAnsi="宋体" w:cs="宋体"/>
          <w:sz w:val="24"/>
          <w:highlight w:val="none"/>
        </w:rPr>
      </w:pPr>
      <w:r>
        <w:rPr>
          <w:rFonts w:hint="eastAsia" w:ascii="宋体" w:hAnsi="宋体" w:cs="宋体"/>
          <w:sz w:val="24"/>
          <w:highlight w:val="none"/>
        </w:rPr>
        <w:t>1.3.1 为有助于投标文件的审查、比较和评价，评委会可要求投标供应商对其投标文件中非实质性的有关问题进行澄清、说明或者补正。有关澄清、说明或者补正的要求和答复应以书面（含电传、传真）形式提交，并由其法定代表人（或被授权代表人）签字。投标供应商的澄清、说明或者补正不得超出投标文件的范围或者改变投标文件的实质性内容。</w:t>
      </w:r>
    </w:p>
    <w:p w14:paraId="4A3CFB9D">
      <w:pPr>
        <w:shd w:val="clear" w:color="auto" w:fill="auto"/>
        <w:ind w:firstLine="480"/>
        <w:rPr>
          <w:rFonts w:hint="eastAsia" w:ascii="宋体" w:hAnsi="宋体" w:cs="宋体"/>
          <w:sz w:val="24"/>
          <w:highlight w:val="none"/>
        </w:rPr>
      </w:pPr>
      <w:r>
        <w:rPr>
          <w:rFonts w:hint="eastAsia" w:ascii="宋体" w:hAnsi="宋体" w:cs="宋体"/>
          <w:sz w:val="24"/>
          <w:highlight w:val="none"/>
        </w:rPr>
        <w:t>1.4  投标文件比较与评价</w:t>
      </w:r>
    </w:p>
    <w:p w14:paraId="43402624">
      <w:pPr>
        <w:pStyle w:val="7"/>
        <w:shd w:val="clear" w:color="auto" w:fill="auto"/>
        <w:tabs>
          <w:tab w:val="left" w:pos="600"/>
        </w:tabs>
        <w:ind w:firstLine="480"/>
        <w:rPr>
          <w:rFonts w:hint="eastAsia" w:ascii="宋体" w:hAnsi="宋体" w:cs="宋体"/>
          <w:sz w:val="24"/>
          <w:szCs w:val="24"/>
          <w:highlight w:val="none"/>
        </w:rPr>
      </w:pPr>
      <w:r>
        <w:rPr>
          <w:rFonts w:hint="eastAsia" w:ascii="宋体" w:hAnsi="宋体" w:cs="宋体"/>
          <w:sz w:val="24"/>
          <w:szCs w:val="24"/>
          <w:highlight w:val="none"/>
        </w:rPr>
        <w:t>1.4.1以招标文件为依据，对投标文件分别从投标报价、商务响应和服务方案、人员配备及服务承诺、业绩能力等方面进行比较和评价，并按照百分制进行综合赋分。</w:t>
      </w:r>
    </w:p>
    <w:p w14:paraId="25CA4AAF">
      <w:pPr>
        <w:shd w:val="clear" w:color="auto" w:fill="auto"/>
        <w:ind w:firstLine="480"/>
        <w:rPr>
          <w:rFonts w:ascii="宋体" w:hAnsi="宋体" w:cs="宋体"/>
          <w:sz w:val="24"/>
          <w:highlight w:val="none"/>
        </w:rPr>
      </w:pPr>
      <w:r>
        <w:rPr>
          <w:rFonts w:hint="eastAsia" w:ascii="宋体" w:hAnsi="宋体" w:cs="宋体"/>
          <w:sz w:val="24"/>
          <w:highlight w:val="none"/>
        </w:rPr>
        <w:t>1.4.2提供相同品牌产品且通过资格审查、符合性审查的不同投标单位参加同一合同项下投标的，按一家投标单位计算，评审后得分最高的同品牌投标单位获得中标人推荐资格；评审得分相同的，报价最低的投标单位获得中标人推荐资格。</w:t>
      </w:r>
    </w:p>
    <w:p w14:paraId="75B0CE1F">
      <w:pPr>
        <w:shd w:val="clear" w:color="auto" w:fill="auto"/>
        <w:ind w:firstLine="480"/>
        <w:rPr>
          <w:rFonts w:hint="eastAsia" w:ascii="宋体" w:hAnsi="宋体" w:cs="宋体"/>
          <w:sz w:val="24"/>
          <w:highlight w:val="none"/>
        </w:rPr>
      </w:pPr>
      <w:r>
        <w:rPr>
          <w:rFonts w:hint="eastAsia" w:ascii="宋体" w:hAnsi="宋体" w:cs="宋体"/>
          <w:sz w:val="24"/>
          <w:highlight w:val="none"/>
        </w:rPr>
        <w:t>1.4.3评委会认定实质性响应招标文件的投标是投标文件与招标文件要求的全部条款、条件和规格相符，没有实质性负偏离。评委会决定投标文件的响应性依据投标文件本身的内容，而不寻求外部的证据。</w:t>
      </w:r>
    </w:p>
    <w:p w14:paraId="13C54189">
      <w:pPr>
        <w:shd w:val="clear" w:color="auto" w:fill="auto"/>
        <w:ind w:firstLine="470" w:firstLineChars="196"/>
        <w:rPr>
          <w:rFonts w:hint="eastAsia" w:ascii="宋体" w:hAnsi="宋体" w:cs="宋体"/>
          <w:sz w:val="24"/>
          <w:highlight w:val="none"/>
        </w:rPr>
      </w:pPr>
      <w:r>
        <w:rPr>
          <w:rFonts w:hint="eastAsia" w:ascii="宋体" w:hAnsi="宋体" w:cs="宋体"/>
          <w:sz w:val="24"/>
          <w:highlight w:val="none"/>
        </w:rPr>
        <w:t>1.4.4 如果投标文件没有实质性响应招标文件的要求，评委会将予以拒绝。投标供应商不得通过修正或</w:t>
      </w:r>
      <w:r>
        <w:rPr>
          <w:rFonts w:hint="eastAsia" w:ascii="宋体" w:hAnsi="宋体" w:cs="宋体"/>
          <w:sz w:val="24"/>
          <w:highlight w:val="none"/>
          <w:lang w:eastAsia="zh-CN"/>
        </w:rPr>
        <w:t>撤销不符</w:t>
      </w:r>
      <w:r>
        <w:rPr>
          <w:rFonts w:hint="eastAsia" w:ascii="宋体" w:hAnsi="宋体" w:cs="宋体"/>
          <w:sz w:val="24"/>
          <w:highlight w:val="none"/>
        </w:rPr>
        <w:t>合要求的偏离或保留从而使其投标成为实质性响应的投标。</w:t>
      </w:r>
    </w:p>
    <w:p w14:paraId="34068BC6">
      <w:pPr>
        <w:shd w:val="clear" w:color="auto" w:fill="auto"/>
        <w:ind w:firstLine="480"/>
        <w:rPr>
          <w:rFonts w:hint="eastAsia" w:ascii="宋体" w:hAnsi="宋体" w:cs="宋体"/>
          <w:sz w:val="24"/>
          <w:highlight w:val="none"/>
        </w:rPr>
      </w:pPr>
      <w:r>
        <w:rPr>
          <w:rFonts w:hint="eastAsia" w:ascii="宋体" w:hAnsi="宋体" w:cs="宋体"/>
          <w:sz w:val="24"/>
          <w:highlight w:val="none"/>
        </w:rPr>
        <w:t>1.4.5 评委会只对确定为实质性响应招标文件要求的投标文件，根据招标文件的要求采用相同的评标程序、评分办法及标准进行评价和比较。</w:t>
      </w:r>
    </w:p>
    <w:p w14:paraId="24128630">
      <w:pPr>
        <w:pStyle w:val="3"/>
        <w:shd w:val="clear" w:color="auto" w:fill="auto"/>
        <w:spacing w:before="0" w:after="0" w:line="360" w:lineRule="auto"/>
        <w:ind w:firstLine="480"/>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2. 定标及定标程序</w:t>
      </w:r>
    </w:p>
    <w:p w14:paraId="29C911B7">
      <w:pPr>
        <w:shd w:val="clear" w:color="auto" w:fill="auto"/>
        <w:ind w:firstLine="480"/>
        <w:rPr>
          <w:rFonts w:hint="eastAsia" w:ascii="宋体" w:hAnsi="宋体" w:cs="宋体"/>
          <w:sz w:val="24"/>
          <w:highlight w:val="none"/>
        </w:rPr>
      </w:pPr>
      <w:r>
        <w:rPr>
          <w:rFonts w:hint="eastAsia" w:ascii="宋体" w:hAnsi="宋体" w:cs="宋体"/>
          <w:sz w:val="24"/>
          <w:highlight w:val="none"/>
        </w:rPr>
        <w:t xml:space="preserve">   （见第二章第28、29条）</w:t>
      </w:r>
    </w:p>
    <w:p w14:paraId="0D484C4E">
      <w:pPr>
        <w:pStyle w:val="3"/>
        <w:shd w:val="clear" w:color="auto" w:fill="auto"/>
        <w:spacing w:before="0" w:after="0" w:line="360" w:lineRule="auto"/>
        <w:ind w:firstLine="48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 评标方法</w:t>
      </w:r>
    </w:p>
    <w:p w14:paraId="36487BFA">
      <w:pPr>
        <w:pStyle w:val="5"/>
        <w:shd w:val="clear" w:color="auto" w:fill="auto"/>
        <w:ind w:firstLine="480"/>
        <w:rPr>
          <w:rFonts w:hint="eastAsia" w:ascii="宋体" w:hAnsi="宋体" w:cs="宋体"/>
          <w:sz w:val="24"/>
          <w:szCs w:val="24"/>
          <w:highlight w:val="none"/>
        </w:rPr>
      </w:pPr>
      <w:r>
        <w:rPr>
          <w:rFonts w:hint="eastAsia" w:ascii="宋体" w:hAnsi="宋体" w:cs="宋体"/>
          <w:sz w:val="24"/>
          <w:szCs w:val="24"/>
          <w:highlight w:val="none"/>
        </w:rPr>
        <w:t>3.1本采购项目评标方法采用综合评分法。评委会成员对投标供应商按照评分标准进行独立记名评分，其合计即为该投标供应商的综合得分，汇总排序后，选定得分最高者为第一中标候选人。</w:t>
      </w:r>
    </w:p>
    <w:p w14:paraId="3F7B3895">
      <w:pPr>
        <w:widowControl/>
        <w:shd w:val="clear" w:color="auto" w:fill="auto"/>
        <w:autoSpaceDE w:val="0"/>
        <w:autoSpaceDN w:val="0"/>
        <w:ind w:right="53" w:firstLine="480"/>
        <w:textAlignment w:val="bottom"/>
        <w:rPr>
          <w:rFonts w:hint="eastAsia" w:ascii="宋体" w:hAnsi="宋体" w:cs="宋体"/>
          <w:color w:val="000000"/>
          <w:sz w:val="24"/>
          <w:highlight w:val="none"/>
        </w:rPr>
      </w:pPr>
      <w:r>
        <w:rPr>
          <w:rFonts w:hint="eastAsia" w:ascii="宋体" w:hAnsi="宋体" w:cs="宋体"/>
          <w:sz w:val="24"/>
          <w:highlight w:val="none"/>
        </w:rPr>
        <w:t xml:space="preserve">3.2 </w:t>
      </w:r>
      <w:r>
        <w:rPr>
          <w:rFonts w:hint="eastAsia" w:ascii="宋体" w:hAnsi="宋体" w:cs="宋体"/>
          <w:color w:val="000000"/>
          <w:sz w:val="24"/>
          <w:highlight w:val="none"/>
        </w:rPr>
        <w:t>投标文件中如果出现计算错误，可按以下原则进行修正：</w:t>
      </w:r>
    </w:p>
    <w:p w14:paraId="538C128E">
      <w:pPr>
        <w:shd w:val="clear" w:color="auto" w:fill="auto"/>
        <w:ind w:firstLine="360" w:firstLineChars="150"/>
        <w:rPr>
          <w:rFonts w:hint="eastAsia" w:ascii="宋体" w:hAnsi="宋体" w:cs="宋体"/>
          <w:sz w:val="24"/>
          <w:highlight w:val="none"/>
        </w:rPr>
      </w:pPr>
      <w:r>
        <w:rPr>
          <w:rFonts w:hint="eastAsia" w:ascii="宋体" w:hAnsi="宋体" w:cs="宋体"/>
          <w:sz w:val="24"/>
          <w:highlight w:val="none"/>
        </w:rPr>
        <w:t>（1）投标文件中的大写金额与小写金额不一致的，以大写金额为准；</w:t>
      </w:r>
    </w:p>
    <w:p w14:paraId="6FBA6C27">
      <w:pPr>
        <w:shd w:val="clear" w:color="auto" w:fill="auto"/>
        <w:ind w:firstLine="360" w:firstLineChars="150"/>
        <w:rPr>
          <w:rFonts w:hint="eastAsia" w:ascii="宋体" w:hAnsi="宋体" w:cs="宋体"/>
          <w:sz w:val="24"/>
          <w:highlight w:val="none"/>
        </w:rPr>
      </w:pPr>
      <w:r>
        <w:rPr>
          <w:rFonts w:hint="eastAsia" w:ascii="宋体" w:hAnsi="宋体" w:cs="宋体"/>
          <w:sz w:val="24"/>
          <w:highlight w:val="none"/>
        </w:rPr>
        <w:t>（2）投标文件中的总价金额与按单价计算的汇总金额不一致的，以单价计算的汇总金额为准；</w:t>
      </w:r>
    </w:p>
    <w:p w14:paraId="299D24E6">
      <w:pPr>
        <w:shd w:val="clear" w:color="auto" w:fill="auto"/>
        <w:ind w:firstLine="360" w:firstLineChars="150"/>
        <w:rPr>
          <w:rFonts w:hint="eastAsia" w:ascii="宋体" w:hAnsi="宋体" w:cs="宋体"/>
          <w:sz w:val="24"/>
          <w:highlight w:val="none"/>
        </w:rPr>
      </w:pPr>
      <w:r>
        <w:rPr>
          <w:rFonts w:hint="eastAsia" w:ascii="宋体" w:hAnsi="宋体" w:cs="宋体"/>
          <w:sz w:val="24"/>
          <w:highlight w:val="none"/>
        </w:rPr>
        <w:t>（3）投标文件中的单价金额有明显小数点错误的，以总价为准，并修改单价；</w:t>
      </w:r>
    </w:p>
    <w:p w14:paraId="5891696B">
      <w:pPr>
        <w:shd w:val="clear" w:color="auto" w:fill="auto"/>
        <w:ind w:firstLine="360" w:firstLineChars="150"/>
        <w:rPr>
          <w:rFonts w:hint="eastAsia" w:ascii="宋体" w:hAnsi="宋体" w:cs="宋体"/>
          <w:color w:val="000000"/>
          <w:sz w:val="24"/>
          <w:highlight w:val="none"/>
        </w:rPr>
      </w:pPr>
      <w:r>
        <w:rPr>
          <w:rFonts w:hint="eastAsia" w:ascii="宋体" w:hAnsi="宋体" w:cs="宋体"/>
          <w:sz w:val="24"/>
          <w:highlight w:val="none"/>
        </w:rPr>
        <w:t>（4）</w:t>
      </w:r>
      <w:r>
        <w:rPr>
          <w:rFonts w:hint="eastAsia" w:ascii="宋体" w:hAnsi="宋体" w:cs="宋体"/>
          <w:color w:val="000000"/>
          <w:sz w:val="24"/>
          <w:highlight w:val="none"/>
        </w:rPr>
        <w:t>投标文件中有关分项表内容与“开标一览表”不一致的，以“开标一览表”为准；</w:t>
      </w:r>
    </w:p>
    <w:p w14:paraId="097CE22D">
      <w:pPr>
        <w:pStyle w:val="12"/>
        <w:shd w:val="clear" w:color="auto" w:fill="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（5）投标文件中图表与文字表述不一致的，以文字表述为准；</w:t>
      </w:r>
    </w:p>
    <w:p w14:paraId="5A9888F1">
      <w:pPr>
        <w:pStyle w:val="5"/>
        <w:shd w:val="clear" w:color="auto" w:fill="auto"/>
        <w:ind w:firstLine="360" w:firstLineChars="150"/>
        <w:rPr>
          <w:rFonts w:hint="eastAsia" w:ascii="宋体" w:hAnsi="宋体" w:cs="宋体"/>
          <w:color w:val="000000"/>
          <w:sz w:val="24"/>
          <w:szCs w:val="24"/>
          <w:highlight w:val="none"/>
        </w:rPr>
      </w:pPr>
      <w:r>
        <w:rPr>
          <w:rFonts w:hint="eastAsia" w:ascii="宋体" w:hAnsi="宋体" w:cs="宋体"/>
          <w:color w:val="000000"/>
          <w:sz w:val="24"/>
          <w:szCs w:val="24"/>
          <w:highlight w:val="none"/>
        </w:rPr>
        <w:t>（</w:t>
      </w:r>
      <w:r>
        <w:rPr>
          <w:rFonts w:hint="eastAsia" w:ascii="宋体" w:hAnsi="宋体" w:cs="宋体"/>
          <w:color w:val="000000"/>
          <w:sz w:val="24"/>
          <w:szCs w:val="24"/>
          <w:highlight w:val="none"/>
          <w:lang w:val="en-US" w:eastAsia="zh-CN"/>
        </w:rPr>
        <w:t>6</w:t>
      </w:r>
      <w:r>
        <w:rPr>
          <w:rFonts w:hint="eastAsia" w:ascii="宋体" w:hAnsi="宋体" w:cs="宋体"/>
          <w:color w:val="000000"/>
          <w:sz w:val="24"/>
          <w:szCs w:val="24"/>
          <w:highlight w:val="none"/>
        </w:rPr>
        <w:t>）对不同文字文本投标文件的解释发生异议的，以中文文本为准。</w:t>
      </w:r>
    </w:p>
    <w:p w14:paraId="39FAEC5E">
      <w:pPr>
        <w:widowControl/>
        <w:shd w:val="clear" w:color="auto" w:fill="auto"/>
        <w:autoSpaceDE w:val="0"/>
        <w:autoSpaceDN w:val="0"/>
        <w:spacing w:before="120" w:beforeLines="50" w:after="120" w:afterLines="50"/>
        <w:ind w:right="51" w:firstLine="482"/>
        <w:textAlignment w:val="bottom"/>
        <w:rPr>
          <w:rFonts w:hint="eastAsia" w:ascii="宋体" w:hAnsi="宋体" w:cs="宋体"/>
          <w:b/>
          <w:color w:val="000000"/>
          <w:sz w:val="24"/>
          <w:highlight w:val="none"/>
        </w:rPr>
      </w:pPr>
      <w:r>
        <w:rPr>
          <w:rFonts w:hint="eastAsia" w:ascii="宋体" w:hAnsi="宋体" w:cs="宋体"/>
          <w:b/>
          <w:color w:val="000000"/>
          <w:sz w:val="24"/>
          <w:highlight w:val="none"/>
        </w:rPr>
        <w:t>按上述修正错误的方法调整的投标报价应对投标供应商具有约束力。如果投标供应商不接受修正后的价格，其投标将被拒绝。</w:t>
      </w:r>
    </w:p>
    <w:p w14:paraId="0B14AA19">
      <w:pPr>
        <w:widowControl/>
        <w:shd w:val="clear" w:color="auto" w:fill="auto"/>
        <w:autoSpaceDE w:val="0"/>
        <w:autoSpaceDN w:val="0"/>
        <w:ind w:right="53" w:firstLine="480"/>
        <w:textAlignment w:val="bottom"/>
        <w:rPr>
          <w:rFonts w:hint="eastAsia" w:ascii="宋体" w:hAnsi="宋体" w:cs="宋体"/>
          <w:color w:val="000000"/>
          <w:sz w:val="24"/>
          <w:highlight w:val="none"/>
        </w:rPr>
      </w:pPr>
      <w:r>
        <w:rPr>
          <w:rFonts w:hint="eastAsia" w:ascii="宋体" w:hAnsi="宋体" w:cs="宋体"/>
          <w:color w:val="000000"/>
          <w:sz w:val="24"/>
          <w:highlight w:val="none"/>
        </w:rPr>
        <w:t>3.3 评委打分超过得分界限或未按本办法赋分时，该评委的打分，按废票处理。</w:t>
      </w:r>
    </w:p>
    <w:p w14:paraId="7680CAC4">
      <w:pPr>
        <w:widowControl/>
        <w:shd w:val="clear" w:color="auto" w:fill="auto"/>
        <w:autoSpaceDE w:val="0"/>
        <w:autoSpaceDN w:val="0"/>
        <w:ind w:right="53" w:firstLine="480"/>
        <w:textAlignment w:val="bottom"/>
        <w:rPr>
          <w:rFonts w:hint="eastAsia" w:ascii="宋体" w:hAnsi="宋体" w:cs="宋体"/>
          <w:color w:val="000000"/>
          <w:sz w:val="24"/>
          <w:highlight w:val="none"/>
        </w:rPr>
      </w:pPr>
      <w:r>
        <w:rPr>
          <w:rFonts w:hint="eastAsia" w:ascii="宋体" w:hAnsi="宋体" w:cs="宋体"/>
          <w:color w:val="000000"/>
          <w:sz w:val="24"/>
          <w:highlight w:val="none"/>
        </w:rPr>
        <w:t>3.4 评标过程中，各种数字的计算结果，均保留两位小数，第三位“四舍五入”，但计算百分数时应精确到千分位，万分位“四舍五入”。</w:t>
      </w:r>
    </w:p>
    <w:p w14:paraId="3C032BB2">
      <w:pPr>
        <w:widowControl/>
        <w:shd w:val="clear" w:color="auto" w:fill="auto"/>
        <w:autoSpaceDE w:val="0"/>
        <w:autoSpaceDN w:val="0"/>
        <w:ind w:right="53" w:firstLine="480"/>
        <w:textAlignment w:val="bottom"/>
        <w:rPr>
          <w:rFonts w:hint="eastAsia" w:ascii="宋体" w:hAnsi="宋体" w:cs="宋体"/>
          <w:color w:val="000000"/>
          <w:sz w:val="24"/>
          <w:highlight w:val="none"/>
        </w:rPr>
      </w:pPr>
      <w:r>
        <w:rPr>
          <w:rFonts w:hint="eastAsia" w:ascii="宋体" w:hAnsi="宋体" w:cs="宋体"/>
          <w:color w:val="000000"/>
          <w:sz w:val="24"/>
          <w:highlight w:val="none"/>
        </w:rPr>
        <w:t>3.5 评标过程中，若出现本评标办法以外的特殊情况时，将暂停评标，待评委会商榷后，再进行评定。</w:t>
      </w:r>
    </w:p>
    <w:p w14:paraId="272F16BB">
      <w:pPr>
        <w:widowControl/>
        <w:shd w:val="clear" w:color="auto" w:fill="auto"/>
        <w:autoSpaceDE w:val="0"/>
        <w:autoSpaceDN w:val="0"/>
        <w:ind w:right="53" w:firstLine="480"/>
        <w:textAlignment w:val="bottom"/>
        <w:rPr>
          <w:rFonts w:hint="eastAsia" w:ascii="宋体" w:hAnsi="宋体" w:cs="宋体"/>
          <w:color w:val="000000"/>
          <w:sz w:val="24"/>
          <w:highlight w:val="none"/>
        </w:rPr>
      </w:pPr>
      <w:r>
        <w:rPr>
          <w:rFonts w:hint="eastAsia" w:ascii="宋体" w:hAnsi="宋体" w:cs="宋体"/>
          <w:color w:val="000000"/>
          <w:sz w:val="24"/>
          <w:highlight w:val="none"/>
        </w:rPr>
        <w:t>3.6 排名第一的候选人，主动放弃中标，或因不可抗力不能履行合同，或被查实存在影响中标结果的违法行为等情形，已不再符合中标条件的，采购人可以按照评委会提出的中标候选人名单排序依次确定其他中标候选人为中标人，也可以根据实际情况需要，依法重新招标。</w:t>
      </w:r>
    </w:p>
    <w:p w14:paraId="3CB0264B">
      <w:pPr>
        <w:widowControl/>
        <w:shd w:val="clear" w:color="auto" w:fill="auto"/>
        <w:autoSpaceDE w:val="0"/>
        <w:autoSpaceDN w:val="0"/>
        <w:ind w:right="53" w:firstLine="480"/>
        <w:textAlignment w:val="bottom"/>
        <w:rPr>
          <w:rFonts w:hint="eastAsia" w:ascii="宋体" w:hAnsi="宋体" w:cs="宋体"/>
          <w:color w:val="000000"/>
          <w:sz w:val="24"/>
          <w:highlight w:val="none"/>
        </w:rPr>
      </w:pPr>
      <w:r>
        <w:rPr>
          <w:rFonts w:hint="eastAsia" w:ascii="宋体" w:hAnsi="宋体" w:cs="宋体"/>
          <w:color w:val="000000"/>
          <w:sz w:val="24"/>
          <w:highlight w:val="none"/>
        </w:rPr>
        <w:t>3.7 评标过程中，若出现合格投标供应商少于2家时，采购人将依法报请监督机构批准重新组织招标或变更招标方式。</w:t>
      </w:r>
    </w:p>
    <w:p w14:paraId="5CCAF4CD">
      <w:pPr>
        <w:widowControl/>
        <w:shd w:val="clear" w:color="auto" w:fill="auto"/>
        <w:autoSpaceDE w:val="0"/>
        <w:autoSpaceDN w:val="0"/>
        <w:ind w:right="53" w:firstLine="480"/>
        <w:textAlignment w:val="bottom"/>
        <w:rPr>
          <w:rFonts w:hint="eastAsia" w:ascii="宋体" w:hAnsi="宋体" w:cs="宋体"/>
          <w:color w:val="000000"/>
          <w:sz w:val="24"/>
          <w:highlight w:val="none"/>
        </w:rPr>
      </w:pPr>
      <w:r>
        <w:rPr>
          <w:rFonts w:hint="eastAsia" w:ascii="宋体" w:hAnsi="宋体" w:cs="宋体"/>
          <w:color w:val="000000"/>
          <w:sz w:val="24"/>
          <w:highlight w:val="none"/>
        </w:rPr>
        <w:t>3.8 排名第一的候选人，主动放弃中标，或因不可抗力不能履行合同，或被查实存在影响中标结果的违法行为等情形，已不再符合中标条件的，采购人可以按照评委会提出的中标候选人名单排序依次确定其他中标候选人为中标人，也可以根据实际情况需要，依法重新招标。</w:t>
      </w:r>
    </w:p>
    <w:p w14:paraId="5F900EBE">
      <w:pPr>
        <w:pStyle w:val="3"/>
        <w:shd w:val="clear" w:color="auto" w:fill="auto"/>
        <w:spacing w:before="0" w:after="0" w:line="360" w:lineRule="auto"/>
        <w:ind w:firstLine="482"/>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 评标细则及标准</w:t>
      </w:r>
      <w:r>
        <w:rPr>
          <w:rFonts w:hint="eastAsia" w:ascii="宋体" w:hAnsi="宋体" w:eastAsia="宋体" w:cs="宋体"/>
          <w:sz w:val="24"/>
          <w:szCs w:val="24"/>
          <w:highlight w:val="none"/>
        </w:rPr>
        <w:t>（综合评分法）</w:t>
      </w:r>
    </w:p>
    <w:p w14:paraId="2D4D0495">
      <w:pPr>
        <w:shd w:val="clear" w:color="auto" w:fill="auto"/>
        <w:ind w:firstLine="480"/>
        <w:rPr>
          <w:rFonts w:hint="eastAsia" w:ascii="宋体" w:hAnsi="宋体" w:cs="宋体"/>
          <w:color w:val="000000"/>
          <w:sz w:val="24"/>
          <w:highlight w:val="none"/>
        </w:rPr>
      </w:pPr>
      <w:r>
        <w:rPr>
          <w:rFonts w:hint="eastAsia" w:ascii="宋体" w:hAnsi="宋体" w:cs="宋体"/>
          <w:sz w:val="24"/>
          <w:highlight w:val="none"/>
        </w:rPr>
        <w:t>4.</w:t>
      </w:r>
      <w:r>
        <w:rPr>
          <w:rFonts w:hint="eastAsia" w:ascii="宋体" w:hAnsi="宋体" w:cs="宋体"/>
          <w:sz w:val="24"/>
          <w:highlight w:val="none"/>
          <w:lang w:val="en-US" w:eastAsia="zh-CN"/>
        </w:rPr>
        <w:t>1</w:t>
      </w:r>
      <w:r>
        <w:rPr>
          <w:rFonts w:hint="eastAsia" w:ascii="宋体" w:hAnsi="宋体" w:cs="宋体"/>
          <w:sz w:val="24"/>
          <w:highlight w:val="none"/>
        </w:rPr>
        <w:t>除价格因素外，评委会成员应依据投标文件规定的评分标准和方法独立对其他因素进行比较打分。</w:t>
      </w:r>
    </w:p>
    <w:p w14:paraId="5E140E91">
      <w:pPr>
        <w:pStyle w:val="7"/>
        <w:shd w:val="clear" w:color="auto" w:fill="auto"/>
        <w:tabs>
          <w:tab w:val="left" w:pos="600"/>
        </w:tabs>
        <w:ind w:firstLine="480"/>
        <w:rPr>
          <w:rFonts w:hint="eastAsia" w:ascii="宋体" w:hAnsi="宋体" w:cs="宋体"/>
          <w:b/>
          <w:color w:val="000000"/>
          <w:sz w:val="24"/>
          <w:szCs w:val="24"/>
          <w:highlight w:val="none"/>
        </w:rPr>
      </w:pPr>
      <w:r>
        <w:rPr>
          <w:rFonts w:hint="eastAsia" w:ascii="宋体" w:hAnsi="宋体" w:cs="宋体"/>
          <w:color w:val="000000"/>
          <w:sz w:val="24"/>
          <w:szCs w:val="24"/>
          <w:highlight w:val="none"/>
        </w:rPr>
        <w:t>4.</w:t>
      </w:r>
      <w:r>
        <w:rPr>
          <w:rFonts w:hint="eastAsia" w:ascii="宋体" w:hAnsi="宋体" w:cs="宋体"/>
          <w:color w:val="000000"/>
          <w:sz w:val="24"/>
          <w:szCs w:val="24"/>
          <w:highlight w:val="none"/>
          <w:lang w:val="en-US" w:eastAsia="zh-CN"/>
        </w:rPr>
        <w:t>2</w:t>
      </w:r>
      <w:r>
        <w:rPr>
          <w:rFonts w:hint="eastAsia" w:ascii="宋体" w:hAnsi="宋体" w:cs="宋体"/>
          <w:sz w:val="24"/>
          <w:szCs w:val="24"/>
          <w:highlight w:val="none"/>
        </w:rPr>
        <w:t>资格性审查：</w:t>
      </w:r>
    </w:p>
    <w:p w14:paraId="51B35A82">
      <w:pPr>
        <w:shd w:val="clear" w:color="auto" w:fill="auto"/>
        <w:ind w:firstLine="480"/>
        <w:rPr>
          <w:rFonts w:hint="eastAsia" w:ascii="宋体" w:hAnsi="宋体" w:cs="宋体"/>
          <w:sz w:val="24"/>
          <w:highlight w:val="none"/>
        </w:rPr>
      </w:pPr>
      <w:r>
        <w:rPr>
          <w:rFonts w:hint="eastAsia" w:ascii="宋体" w:hAnsi="宋体" w:cs="宋体"/>
          <w:sz w:val="24"/>
          <w:highlight w:val="none"/>
        </w:rPr>
        <w:t>4.</w:t>
      </w:r>
      <w:r>
        <w:rPr>
          <w:rFonts w:hint="eastAsia" w:ascii="宋体" w:hAnsi="宋体" w:cs="宋体"/>
          <w:sz w:val="24"/>
          <w:highlight w:val="none"/>
          <w:lang w:val="en-US" w:eastAsia="zh-CN"/>
        </w:rPr>
        <w:t>2</w:t>
      </w:r>
      <w:r>
        <w:rPr>
          <w:rFonts w:hint="eastAsia" w:ascii="宋体" w:hAnsi="宋体" w:cs="宋体"/>
          <w:sz w:val="24"/>
          <w:highlight w:val="none"/>
        </w:rPr>
        <w:t>.1资格审查：投标文件中的资格证明文件为必备条件，由采购人</w:t>
      </w:r>
      <w:r>
        <w:rPr>
          <w:rFonts w:hint="eastAsia" w:ascii="宋体" w:hAnsi="宋体" w:cs="宋体"/>
          <w:sz w:val="24"/>
          <w:highlight w:val="none"/>
          <w:lang w:eastAsia="zh-CN"/>
        </w:rPr>
        <w:t>或采购代理机构</w:t>
      </w:r>
      <w:r>
        <w:rPr>
          <w:rFonts w:hint="eastAsia" w:ascii="宋体" w:hAnsi="宋体" w:cs="宋体"/>
          <w:sz w:val="24"/>
          <w:highlight w:val="none"/>
        </w:rPr>
        <w:t>对各供应商投标文件中的资格证明文件进行审查，缺其中一项或某项达不到招标文件要求，均按无效文件处理。</w:t>
      </w:r>
    </w:p>
    <w:p w14:paraId="683E8831">
      <w:pPr>
        <w:shd w:val="clear" w:color="auto" w:fill="auto"/>
        <w:ind w:firstLine="480"/>
        <w:rPr>
          <w:rFonts w:hint="eastAsia" w:ascii="宋体" w:hAnsi="宋体" w:cs="宋体"/>
          <w:sz w:val="24"/>
          <w:highlight w:val="none"/>
        </w:rPr>
      </w:pPr>
      <w:r>
        <w:rPr>
          <w:rFonts w:hint="eastAsia" w:ascii="宋体" w:hAnsi="宋体" w:cs="宋体"/>
          <w:sz w:val="24"/>
          <w:highlight w:val="none"/>
        </w:rPr>
        <w:t>4.</w:t>
      </w:r>
      <w:r>
        <w:rPr>
          <w:rFonts w:hint="eastAsia" w:ascii="宋体" w:hAnsi="宋体" w:cs="宋体"/>
          <w:sz w:val="24"/>
          <w:highlight w:val="none"/>
          <w:lang w:val="en-US" w:eastAsia="zh-CN"/>
        </w:rPr>
        <w:t>3</w:t>
      </w:r>
      <w:r>
        <w:rPr>
          <w:rFonts w:hint="eastAsia" w:ascii="宋体" w:hAnsi="宋体" w:cs="宋体"/>
          <w:sz w:val="24"/>
          <w:highlight w:val="none"/>
        </w:rPr>
        <w:t>符合性审查：主要对供应商投标文件进行商务和技术符合性的审定。出现下列情形之一者，其投标文件按无效文件处理：</w:t>
      </w:r>
    </w:p>
    <w:p w14:paraId="0890E9E2">
      <w:pPr>
        <w:pStyle w:val="7"/>
        <w:shd w:val="clear" w:color="auto" w:fill="auto"/>
        <w:tabs>
          <w:tab w:val="left" w:pos="600"/>
        </w:tabs>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1</w:t>
      </w:r>
      <w:r>
        <w:rPr>
          <w:rFonts w:hint="eastAsia" w:ascii="宋体" w:hAnsi="宋体" w:cs="宋体"/>
          <w:color w:val="000000"/>
          <w:sz w:val="24"/>
          <w:szCs w:val="24"/>
          <w:highlight w:val="none"/>
          <w:lang w:eastAsia="zh-CN"/>
        </w:rPr>
        <w:t>）投标文件</w:t>
      </w:r>
      <w:r>
        <w:rPr>
          <w:rFonts w:hint="eastAsia" w:ascii="宋体" w:hAnsi="宋体" w:cs="宋体"/>
          <w:color w:val="000000"/>
          <w:sz w:val="24"/>
          <w:szCs w:val="24"/>
          <w:highlight w:val="none"/>
        </w:rPr>
        <w:t>未按照</w:t>
      </w:r>
      <w:r>
        <w:rPr>
          <w:rFonts w:hint="eastAsia" w:ascii="宋体" w:hAnsi="宋体" w:cs="宋体"/>
          <w:color w:val="000000"/>
          <w:sz w:val="24"/>
          <w:szCs w:val="24"/>
          <w:highlight w:val="none"/>
          <w:lang w:eastAsia="zh-CN"/>
        </w:rPr>
        <w:t>招标文件</w:t>
      </w:r>
      <w:r>
        <w:rPr>
          <w:rFonts w:hint="eastAsia" w:ascii="宋体" w:hAnsi="宋体" w:cs="宋体"/>
          <w:color w:val="000000"/>
          <w:sz w:val="24"/>
          <w:szCs w:val="24"/>
          <w:highlight w:val="none"/>
        </w:rPr>
        <w:t>规定要求签署、盖章的；</w:t>
      </w:r>
    </w:p>
    <w:p w14:paraId="457C9632">
      <w:pPr>
        <w:pStyle w:val="7"/>
        <w:shd w:val="clear" w:color="auto" w:fill="auto"/>
        <w:tabs>
          <w:tab w:val="left" w:pos="600"/>
        </w:tabs>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2</w:t>
      </w:r>
      <w:r>
        <w:rPr>
          <w:rFonts w:hint="eastAsia" w:ascii="宋体" w:hAnsi="宋体" w:cs="宋体"/>
          <w:color w:val="000000"/>
          <w:sz w:val="24"/>
          <w:szCs w:val="24"/>
          <w:highlight w:val="none"/>
          <w:lang w:eastAsia="zh-CN"/>
        </w:rPr>
        <w:t>）投标</w:t>
      </w:r>
      <w:r>
        <w:rPr>
          <w:rFonts w:hint="eastAsia" w:ascii="宋体" w:hAnsi="宋体" w:cs="宋体"/>
          <w:color w:val="000000"/>
          <w:sz w:val="24"/>
          <w:szCs w:val="24"/>
          <w:highlight w:val="none"/>
        </w:rPr>
        <w:t>有效期不足的或无有效期的；</w:t>
      </w:r>
    </w:p>
    <w:p w14:paraId="287F80D2">
      <w:pPr>
        <w:pStyle w:val="7"/>
        <w:shd w:val="clear" w:color="auto" w:fill="auto"/>
        <w:tabs>
          <w:tab w:val="left" w:pos="600"/>
        </w:tabs>
        <w:ind w:firstLine="480"/>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3</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投标文件出现重大负偏离的；</w:t>
      </w:r>
    </w:p>
    <w:p w14:paraId="0AAF1E2D">
      <w:pPr>
        <w:pStyle w:val="7"/>
        <w:shd w:val="clear" w:color="auto" w:fill="auto"/>
        <w:tabs>
          <w:tab w:val="left" w:pos="600"/>
        </w:tabs>
        <w:ind w:firstLine="480"/>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4</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rPr>
        <w:t>报价超过</w:t>
      </w:r>
      <w:r>
        <w:rPr>
          <w:rFonts w:hint="eastAsia" w:ascii="宋体" w:hAnsi="宋体" w:cs="宋体"/>
          <w:color w:val="000000"/>
          <w:sz w:val="24"/>
          <w:szCs w:val="24"/>
          <w:highlight w:val="none"/>
          <w:lang w:eastAsia="zh-CN"/>
        </w:rPr>
        <w:t>招标文件</w:t>
      </w:r>
      <w:r>
        <w:rPr>
          <w:rFonts w:hint="eastAsia" w:ascii="宋体" w:hAnsi="宋体" w:cs="宋体"/>
          <w:color w:val="000000"/>
          <w:sz w:val="24"/>
          <w:szCs w:val="24"/>
          <w:highlight w:val="none"/>
        </w:rPr>
        <w:t>中规定的预算金额或者最高限价的</w:t>
      </w:r>
      <w:r>
        <w:rPr>
          <w:rFonts w:hint="eastAsia" w:ascii="宋体" w:hAnsi="宋体" w:cs="宋体"/>
          <w:color w:val="000000"/>
          <w:sz w:val="24"/>
          <w:szCs w:val="24"/>
          <w:highlight w:val="none"/>
          <w:lang w:eastAsia="zh-CN"/>
        </w:rPr>
        <w:t>。</w:t>
      </w:r>
    </w:p>
    <w:p w14:paraId="5612EFD5">
      <w:pPr>
        <w:shd w:val="clear" w:color="auto" w:fill="auto"/>
        <w:ind w:firstLine="480"/>
        <w:rPr>
          <w:rFonts w:hint="eastAsia" w:ascii="宋体" w:hAnsi="宋体" w:cs="宋体"/>
          <w:color w:val="000000"/>
          <w:sz w:val="24"/>
          <w:highlight w:val="none"/>
        </w:rPr>
      </w:pPr>
      <w:r>
        <w:rPr>
          <w:rFonts w:hint="eastAsia" w:ascii="宋体" w:hAnsi="宋体" w:cs="宋体"/>
          <w:color w:val="000000"/>
          <w:sz w:val="24"/>
          <w:highlight w:val="none"/>
        </w:rPr>
        <w:t>4.9非实质性偏离是指投标文件在实质上响应招标文件的要求，但在个别地方存在一些不规则、不一致、不完整的内容，并且澄清、说明或者补正这些内容不会改变投标文件的实质性内容。以下情况属于非实质性偏离：</w:t>
      </w:r>
    </w:p>
    <w:p w14:paraId="5A2B01D9">
      <w:pPr>
        <w:shd w:val="clear" w:color="auto" w:fill="auto"/>
        <w:ind w:firstLine="480"/>
        <w:rPr>
          <w:rFonts w:hint="eastAsia" w:ascii="宋体" w:hAnsi="宋体" w:cs="宋体"/>
          <w:color w:val="000000"/>
          <w:sz w:val="24"/>
          <w:highlight w:val="none"/>
        </w:rPr>
      </w:pPr>
      <w:r>
        <w:rPr>
          <w:rFonts w:hint="eastAsia" w:ascii="宋体" w:hAnsi="宋体" w:cs="宋体"/>
          <w:color w:val="000000"/>
          <w:sz w:val="24"/>
          <w:highlight w:val="none"/>
        </w:rPr>
        <w:t>（1）文字表述的内容含义不明确；</w:t>
      </w:r>
    </w:p>
    <w:p w14:paraId="5B064621">
      <w:pPr>
        <w:shd w:val="clear" w:color="auto" w:fill="auto"/>
        <w:ind w:firstLine="480"/>
        <w:rPr>
          <w:rFonts w:hint="eastAsia" w:ascii="宋体" w:hAnsi="宋体" w:cs="宋体"/>
          <w:color w:val="000000"/>
          <w:sz w:val="24"/>
          <w:highlight w:val="none"/>
        </w:rPr>
      </w:pPr>
      <w:r>
        <w:rPr>
          <w:rFonts w:hint="eastAsia" w:ascii="宋体" w:hAnsi="宋体" w:cs="宋体"/>
          <w:color w:val="000000"/>
          <w:sz w:val="24"/>
          <w:highlight w:val="none"/>
        </w:rPr>
        <w:t>（2）同类问题表述不一致；</w:t>
      </w:r>
    </w:p>
    <w:p w14:paraId="7C791859">
      <w:pPr>
        <w:shd w:val="clear" w:color="auto" w:fill="auto"/>
        <w:ind w:firstLine="480"/>
        <w:rPr>
          <w:rFonts w:hint="eastAsia" w:ascii="宋体" w:hAnsi="宋体" w:cs="宋体"/>
          <w:color w:val="000000"/>
          <w:sz w:val="24"/>
          <w:highlight w:val="none"/>
        </w:rPr>
      </w:pPr>
      <w:r>
        <w:rPr>
          <w:rFonts w:hint="eastAsia" w:ascii="宋体" w:hAnsi="宋体" w:cs="宋体"/>
          <w:color w:val="000000"/>
          <w:sz w:val="24"/>
          <w:highlight w:val="none"/>
        </w:rPr>
        <w:t>（3）有明显文字和计算错误；</w:t>
      </w:r>
    </w:p>
    <w:p w14:paraId="1BC94704">
      <w:pPr>
        <w:shd w:val="clear" w:color="auto" w:fill="auto"/>
        <w:ind w:firstLine="480"/>
        <w:rPr>
          <w:rFonts w:hint="eastAsia" w:ascii="宋体" w:hAnsi="宋体" w:cs="宋体"/>
          <w:color w:val="000000"/>
          <w:sz w:val="24"/>
          <w:highlight w:val="none"/>
        </w:rPr>
      </w:pPr>
      <w:r>
        <w:rPr>
          <w:rFonts w:hint="eastAsia" w:ascii="宋体" w:hAnsi="宋体" w:cs="宋体"/>
          <w:color w:val="000000"/>
          <w:sz w:val="24"/>
          <w:highlight w:val="none"/>
        </w:rPr>
        <w:t>（4）提供的技术信息和数据资料不完整；</w:t>
      </w:r>
    </w:p>
    <w:p w14:paraId="0A28494D">
      <w:pPr>
        <w:shd w:val="clear" w:color="auto" w:fill="auto"/>
        <w:ind w:firstLine="480"/>
        <w:rPr>
          <w:rFonts w:hint="eastAsia" w:ascii="宋体" w:hAnsi="宋体" w:cs="宋体"/>
          <w:color w:val="000000"/>
          <w:sz w:val="24"/>
          <w:highlight w:val="none"/>
        </w:rPr>
      </w:pPr>
      <w:r>
        <w:rPr>
          <w:rFonts w:hint="eastAsia" w:ascii="宋体" w:hAnsi="宋体" w:cs="宋体"/>
          <w:color w:val="000000"/>
          <w:sz w:val="24"/>
          <w:highlight w:val="none"/>
        </w:rPr>
        <w:t>（5）评标委员会认定的其他非实质性偏离。</w:t>
      </w:r>
    </w:p>
    <w:p w14:paraId="38C590CF">
      <w:pPr>
        <w:shd w:val="clear" w:color="auto" w:fill="auto"/>
        <w:tabs>
          <w:tab w:val="left" w:pos="7665"/>
        </w:tabs>
        <w:ind w:firstLine="480"/>
        <w:rPr>
          <w:rFonts w:hint="eastAsia" w:ascii="宋体" w:hAnsi="宋体" w:cs="宋体"/>
          <w:color w:val="000000"/>
          <w:sz w:val="24"/>
          <w:highlight w:val="none"/>
        </w:rPr>
      </w:pPr>
      <w:r>
        <w:rPr>
          <w:rFonts w:hint="eastAsia" w:ascii="宋体" w:hAnsi="宋体" w:cs="宋体"/>
          <w:color w:val="000000"/>
          <w:sz w:val="24"/>
          <w:highlight w:val="none"/>
        </w:rPr>
        <w:t>投标文件有上述（1）至（4）情形之一的，评标委员会应当书面要求投标供应商在规定的时间内予以澄清、说明或补正。投标供应商拒不或在规定的时间内没有进行澄清、说明或补正或澄清、说明、补正的内容也不能说明问题的，视为投标文件制作不规范，按每一项非实质性偏离进行扣分处理，直至该项分值扣完为止。评标委员会不接受投标供应商主动提出的澄清、说明或补正。</w:t>
      </w:r>
    </w:p>
    <w:p w14:paraId="3914F891">
      <w:pPr>
        <w:pStyle w:val="7"/>
        <w:shd w:val="clear" w:color="auto" w:fill="auto"/>
        <w:tabs>
          <w:tab w:val="left" w:pos="600"/>
        </w:tabs>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4.</w:t>
      </w:r>
      <w:r>
        <w:rPr>
          <w:rFonts w:hint="eastAsia" w:ascii="宋体" w:hAnsi="宋体" w:cs="宋体"/>
          <w:color w:val="000000"/>
          <w:sz w:val="24"/>
          <w:szCs w:val="24"/>
          <w:highlight w:val="none"/>
          <w:lang w:val="en-US" w:eastAsia="zh-CN"/>
        </w:rPr>
        <w:t>4</w:t>
      </w:r>
      <w:r>
        <w:rPr>
          <w:rFonts w:hint="eastAsia" w:ascii="宋体" w:hAnsi="宋体" w:cs="宋体"/>
          <w:color w:val="000000"/>
          <w:sz w:val="24"/>
          <w:szCs w:val="24"/>
          <w:highlight w:val="none"/>
        </w:rPr>
        <w:t xml:space="preserve"> 在投标文件初审过程中，如果出现评标委员会成员意见不一致的情况，按照少数服从多数的原则确定。</w:t>
      </w:r>
    </w:p>
    <w:p w14:paraId="77997FD3">
      <w:pPr>
        <w:pStyle w:val="7"/>
        <w:shd w:val="clear" w:color="auto" w:fill="auto"/>
        <w:tabs>
          <w:tab w:val="left" w:pos="600"/>
        </w:tabs>
        <w:ind w:firstLine="480"/>
        <w:rPr>
          <w:rFonts w:hint="eastAsia" w:ascii="宋体" w:hAnsi="宋体" w:cs="宋体"/>
          <w:b/>
          <w:sz w:val="24"/>
          <w:szCs w:val="24"/>
          <w:highlight w:val="none"/>
        </w:rPr>
      </w:pPr>
      <w:r>
        <w:rPr>
          <w:rFonts w:hint="eastAsia" w:ascii="宋体" w:hAnsi="宋体" w:cs="宋体"/>
          <w:sz w:val="24"/>
          <w:szCs w:val="24"/>
          <w:highlight w:val="none"/>
        </w:rPr>
        <w:t>4.</w:t>
      </w:r>
      <w:r>
        <w:rPr>
          <w:rFonts w:hint="eastAsia" w:ascii="宋体" w:hAnsi="宋体" w:cs="宋体"/>
          <w:sz w:val="24"/>
          <w:szCs w:val="24"/>
          <w:highlight w:val="none"/>
          <w:lang w:val="en-US" w:eastAsia="zh-CN"/>
        </w:rPr>
        <w:t>5</w:t>
      </w:r>
      <w:r>
        <w:rPr>
          <w:rFonts w:hint="eastAsia" w:ascii="宋体" w:hAnsi="宋体" w:cs="宋体"/>
          <w:sz w:val="24"/>
          <w:szCs w:val="24"/>
          <w:highlight w:val="none"/>
        </w:rPr>
        <w:t>综合评分明细表（满分100分）</w:t>
      </w:r>
    </w:p>
    <w:p w14:paraId="52DB905F">
      <w:pPr>
        <w:pStyle w:val="7"/>
        <w:shd w:val="clear" w:color="auto" w:fill="auto"/>
        <w:tabs>
          <w:tab w:val="left" w:pos="600"/>
        </w:tabs>
        <w:ind w:firstLine="562"/>
        <w:jc w:val="center"/>
        <w:rPr>
          <w:rFonts w:hint="eastAsia" w:ascii="宋体" w:hAnsi="宋体" w:cs="宋体"/>
          <w:b/>
          <w:sz w:val="28"/>
          <w:szCs w:val="28"/>
          <w:highlight w:val="none"/>
        </w:rPr>
      </w:pPr>
      <w:r>
        <w:rPr>
          <w:rFonts w:hint="eastAsia" w:ascii="宋体" w:hAnsi="宋体" w:cs="宋体"/>
          <w:b/>
          <w:sz w:val="28"/>
          <w:szCs w:val="28"/>
          <w:highlight w:val="none"/>
        </w:rPr>
        <w:t>评分因素及权重</w:t>
      </w:r>
    </w:p>
    <w:tbl>
      <w:tblPr>
        <w:tblStyle w:val="14"/>
        <w:tblpPr w:leftFromText="180" w:rightFromText="180" w:vertAnchor="text" w:horzAnchor="page" w:tblpXSpec="center" w:tblpY="25"/>
        <w:tblOverlap w:val="never"/>
        <w:tblW w:w="10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4"/>
        <w:gridCol w:w="788"/>
        <w:gridCol w:w="7428"/>
        <w:gridCol w:w="1000"/>
      </w:tblGrid>
      <w:tr w14:paraId="1423C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884" w:type="dxa"/>
            <w:tcBorders>
              <w:top w:val="single" w:color="auto" w:sz="4" w:space="0"/>
              <w:left w:val="single" w:color="auto" w:sz="4" w:space="0"/>
              <w:bottom w:val="single" w:color="auto" w:sz="4" w:space="0"/>
              <w:right w:val="single" w:color="auto" w:sz="4" w:space="0"/>
            </w:tcBorders>
            <w:noWrap w:val="0"/>
            <w:vAlign w:val="center"/>
          </w:tcPr>
          <w:p w14:paraId="79A4429F">
            <w:pPr>
              <w:keepNext w:val="0"/>
              <w:keepLines w:val="0"/>
              <w:pageBreakBefore w:val="0"/>
              <w:widowControl w:val="0"/>
              <w:kinsoku/>
              <w:overflowPunct/>
              <w:topLinePunct w:val="0"/>
              <w:autoSpaceDE/>
              <w:autoSpaceDN/>
              <w:bidi w:val="0"/>
              <w:adjustRightInd w:val="0"/>
              <w:snapToGrid w:val="0"/>
              <w:spacing w:line="380" w:lineRule="exact"/>
              <w:ind w:left="0" w:firstLine="0" w:firstLineChars="0"/>
              <w:jc w:val="center"/>
              <w:textAlignment w:val="auto"/>
              <w:rPr>
                <w:rFonts w:hint="eastAsia" w:ascii="宋体" w:hAnsi="宋体" w:cs="宋体"/>
                <w:color w:val="000000"/>
                <w:szCs w:val="21"/>
                <w:highlight w:val="none"/>
              </w:rPr>
            </w:pPr>
            <w:r>
              <w:rPr>
                <w:rFonts w:hint="eastAsia" w:ascii="宋体" w:hAnsi="宋体" w:cs="宋体"/>
                <w:color w:val="000000"/>
                <w:szCs w:val="21"/>
                <w:highlight w:val="none"/>
              </w:rPr>
              <w:t>评分</w:t>
            </w:r>
          </w:p>
          <w:p w14:paraId="640A2A67">
            <w:pPr>
              <w:keepNext w:val="0"/>
              <w:keepLines w:val="0"/>
              <w:pageBreakBefore w:val="0"/>
              <w:widowControl w:val="0"/>
              <w:kinsoku/>
              <w:overflowPunct/>
              <w:topLinePunct w:val="0"/>
              <w:autoSpaceDE/>
              <w:autoSpaceDN/>
              <w:bidi w:val="0"/>
              <w:adjustRightInd w:val="0"/>
              <w:snapToGrid w:val="0"/>
              <w:spacing w:line="380" w:lineRule="exact"/>
              <w:ind w:left="0" w:firstLine="0" w:firstLineChars="0"/>
              <w:jc w:val="center"/>
              <w:textAlignment w:val="auto"/>
              <w:rPr>
                <w:rFonts w:hint="eastAsia" w:ascii="宋体" w:hAnsi="宋体" w:cs="宋体"/>
                <w:color w:val="000000"/>
                <w:szCs w:val="21"/>
                <w:highlight w:val="none"/>
              </w:rPr>
            </w:pPr>
            <w:r>
              <w:rPr>
                <w:rFonts w:hint="eastAsia" w:ascii="宋体" w:hAnsi="宋体" w:cs="宋体"/>
                <w:color w:val="000000"/>
                <w:szCs w:val="21"/>
                <w:highlight w:val="none"/>
              </w:rPr>
              <w:t>因素</w:t>
            </w:r>
          </w:p>
        </w:tc>
        <w:tc>
          <w:tcPr>
            <w:tcW w:w="788" w:type="dxa"/>
            <w:tcBorders>
              <w:top w:val="single" w:color="auto" w:sz="4" w:space="0"/>
              <w:left w:val="single" w:color="auto" w:sz="4" w:space="0"/>
              <w:right w:val="single" w:color="auto" w:sz="4" w:space="0"/>
            </w:tcBorders>
            <w:noWrap w:val="0"/>
            <w:vAlign w:val="center"/>
          </w:tcPr>
          <w:p w14:paraId="08C28F0E">
            <w:pPr>
              <w:keepNext w:val="0"/>
              <w:keepLines w:val="0"/>
              <w:pageBreakBefore w:val="0"/>
              <w:widowControl w:val="0"/>
              <w:kinsoku/>
              <w:overflowPunct/>
              <w:topLinePunct w:val="0"/>
              <w:autoSpaceDE/>
              <w:autoSpaceDN/>
              <w:bidi w:val="0"/>
              <w:adjustRightInd w:val="0"/>
              <w:snapToGrid w:val="0"/>
              <w:spacing w:line="380" w:lineRule="exact"/>
              <w:ind w:left="0" w:firstLine="0" w:firstLineChars="0"/>
              <w:jc w:val="center"/>
              <w:textAlignment w:val="auto"/>
              <w:rPr>
                <w:rFonts w:hint="eastAsia" w:ascii="宋体" w:hAnsi="宋体" w:cs="宋体"/>
                <w:color w:val="000000"/>
                <w:szCs w:val="21"/>
                <w:highlight w:val="none"/>
              </w:rPr>
            </w:pPr>
            <w:r>
              <w:rPr>
                <w:rFonts w:hint="eastAsia" w:ascii="宋体" w:hAnsi="宋体" w:cs="宋体"/>
                <w:color w:val="000000"/>
                <w:szCs w:val="21"/>
                <w:highlight w:val="none"/>
              </w:rPr>
              <w:t>权值</w:t>
            </w:r>
          </w:p>
          <w:p w14:paraId="2A797A2B">
            <w:pPr>
              <w:keepNext w:val="0"/>
              <w:keepLines w:val="0"/>
              <w:pageBreakBefore w:val="0"/>
              <w:widowControl w:val="0"/>
              <w:kinsoku/>
              <w:overflowPunct/>
              <w:topLinePunct w:val="0"/>
              <w:autoSpaceDE/>
              <w:autoSpaceDN/>
              <w:bidi w:val="0"/>
              <w:adjustRightInd w:val="0"/>
              <w:snapToGrid w:val="0"/>
              <w:spacing w:line="380" w:lineRule="exact"/>
              <w:ind w:left="0" w:firstLine="0" w:firstLineChars="0"/>
              <w:jc w:val="center"/>
              <w:textAlignment w:val="auto"/>
              <w:rPr>
                <w:rFonts w:hint="eastAsia" w:ascii="宋体" w:hAnsi="宋体" w:cs="宋体"/>
                <w:color w:val="000000"/>
                <w:szCs w:val="21"/>
                <w:highlight w:val="none"/>
              </w:rPr>
            </w:pPr>
            <w:r>
              <w:rPr>
                <w:rFonts w:hint="eastAsia" w:ascii="宋体" w:hAnsi="宋体" w:cs="宋体"/>
                <w:color w:val="000000"/>
                <w:szCs w:val="21"/>
                <w:highlight w:val="none"/>
              </w:rPr>
              <w:t>（%）</w:t>
            </w:r>
          </w:p>
        </w:tc>
        <w:tc>
          <w:tcPr>
            <w:tcW w:w="7428" w:type="dxa"/>
            <w:tcBorders>
              <w:top w:val="single" w:color="auto" w:sz="4" w:space="0"/>
              <w:left w:val="single" w:color="auto" w:sz="4" w:space="0"/>
              <w:bottom w:val="single" w:color="auto" w:sz="4" w:space="0"/>
              <w:right w:val="single" w:color="auto" w:sz="4" w:space="0"/>
            </w:tcBorders>
            <w:noWrap w:val="0"/>
            <w:vAlign w:val="center"/>
          </w:tcPr>
          <w:p w14:paraId="5DA4D244">
            <w:pPr>
              <w:keepNext w:val="0"/>
              <w:keepLines w:val="0"/>
              <w:pageBreakBefore w:val="0"/>
              <w:widowControl w:val="0"/>
              <w:kinsoku/>
              <w:overflowPunct/>
              <w:topLinePunct w:val="0"/>
              <w:autoSpaceDE/>
              <w:autoSpaceDN/>
              <w:bidi w:val="0"/>
              <w:adjustRightInd w:val="0"/>
              <w:snapToGrid w:val="0"/>
              <w:spacing w:line="380" w:lineRule="exact"/>
              <w:ind w:left="0" w:firstLine="0" w:firstLineChars="0"/>
              <w:jc w:val="center"/>
              <w:textAlignment w:val="auto"/>
              <w:rPr>
                <w:rFonts w:hint="eastAsia" w:ascii="宋体" w:hAnsi="宋体" w:cs="宋体"/>
                <w:color w:val="000000"/>
                <w:szCs w:val="21"/>
                <w:highlight w:val="none"/>
              </w:rPr>
            </w:pPr>
            <w:r>
              <w:rPr>
                <w:rFonts w:hint="eastAsia" w:ascii="宋体" w:hAnsi="宋体" w:cs="宋体"/>
                <w:color w:val="000000"/>
                <w:szCs w:val="21"/>
                <w:highlight w:val="none"/>
              </w:rPr>
              <w:t>评价要素</w:t>
            </w:r>
          </w:p>
        </w:tc>
        <w:tc>
          <w:tcPr>
            <w:tcW w:w="1000" w:type="dxa"/>
            <w:tcBorders>
              <w:top w:val="single" w:color="auto" w:sz="4" w:space="0"/>
              <w:left w:val="single" w:color="auto" w:sz="4" w:space="0"/>
              <w:bottom w:val="single" w:color="auto" w:sz="4" w:space="0"/>
              <w:right w:val="single" w:color="auto" w:sz="4" w:space="0"/>
            </w:tcBorders>
            <w:noWrap w:val="0"/>
            <w:vAlign w:val="center"/>
          </w:tcPr>
          <w:p w14:paraId="193D43C4">
            <w:pPr>
              <w:keepNext w:val="0"/>
              <w:keepLines w:val="0"/>
              <w:pageBreakBefore w:val="0"/>
              <w:widowControl w:val="0"/>
              <w:kinsoku/>
              <w:overflowPunct/>
              <w:topLinePunct w:val="0"/>
              <w:autoSpaceDE/>
              <w:autoSpaceDN/>
              <w:bidi w:val="0"/>
              <w:adjustRightInd w:val="0"/>
              <w:snapToGrid w:val="0"/>
              <w:spacing w:line="380" w:lineRule="exact"/>
              <w:ind w:left="0" w:firstLine="0" w:firstLineChars="0"/>
              <w:jc w:val="center"/>
              <w:textAlignment w:val="auto"/>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是否客观项</w:t>
            </w:r>
          </w:p>
        </w:tc>
      </w:tr>
      <w:tr w14:paraId="0B48C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884" w:type="dxa"/>
            <w:tcBorders>
              <w:top w:val="single" w:color="auto" w:sz="4" w:space="0"/>
              <w:left w:val="single" w:color="auto" w:sz="4" w:space="0"/>
              <w:bottom w:val="single" w:color="auto" w:sz="4" w:space="0"/>
              <w:right w:val="single" w:color="auto" w:sz="4" w:space="0"/>
            </w:tcBorders>
            <w:noWrap w:val="0"/>
            <w:vAlign w:val="center"/>
          </w:tcPr>
          <w:p w14:paraId="0BEABFA6">
            <w:pPr>
              <w:keepNext w:val="0"/>
              <w:keepLines w:val="0"/>
              <w:pageBreakBefore w:val="0"/>
              <w:widowControl w:val="0"/>
              <w:kinsoku/>
              <w:overflowPunct/>
              <w:topLinePunct w:val="0"/>
              <w:autoSpaceDE/>
              <w:autoSpaceDN/>
              <w:bidi w:val="0"/>
              <w:adjustRightInd w:val="0"/>
              <w:snapToGrid w:val="0"/>
              <w:spacing w:line="380" w:lineRule="exact"/>
              <w:ind w:left="0" w:firstLine="0" w:firstLineChars="0"/>
              <w:jc w:val="center"/>
              <w:textAlignment w:val="auto"/>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投标报价</w:t>
            </w:r>
          </w:p>
        </w:tc>
        <w:tc>
          <w:tcPr>
            <w:tcW w:w="788" w:type="dxa"/>
            <w:tcBorders>
              <w:top w:val="single" w:color="auto" w:sz="4" w:space="0"/>
              <w:left w:val="single" w:color="auto" w:sz="4" w:space="0"/>
              <w:right w:val="single" w:color="auto" w:sz="4" w:space="0"/>
            </w:tcBorders>
            <w:noWrap w:val="0"/>
            <w:vAlign w:val="center"/>
          </w:tcPr>
          <w:p w14:paraId="7C994AAF">
            <w:pPr>
              <w:keepNext w:val="0"/>
              <w:keepLines w:val="0"/>
              <w:pageBreakBefore w:val="0"/>
              <w:widowControl w:val="0"/>
              <w:kinsoku/>
              <w:overflowPunct/>
              <w:topLinePunct w:val="0"/>
              <w:autoSpaceDE/>
              <w:autoSpaceDN/>
              <w:bidi w:val="0"/>
              <w:adjustRightInd w:val="0"/>
              <w:snapToGrid w:val="0"/>
              <w:spacing w:line="380" w:lineRule="exact"/>
              <w:ind w:left="0" w:firstLine="0" w:firstLineChars="0"/>
              <w:jc w:val="center"/>
              <w:textAlignment w:val="auto"/>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30</w:t>
            </w:r>
          </w:p>
        </w:tc>
        <w:tc>
          <w:tcPr>
            <w:tcW w:w="7428" w:type="dxa"/>
            <w:tcBorders>
              <w:top w:val="single" w:color="auto" w:sz="4" w:space="0"/>
              <w:left w:val="single" w:color="auto" w:sz="4" w:space="0"/>
              <w:bottom w:val="single" w:color="auto" w:sz="4" w:space="0"/>
              <w:right w:val="single" w:color="auto" w:sz="4" w:space="0"/>
            </w:tcBorders>
            <w:noWrap w:val="0"/>
            <w:vAlign w:val="center"/>
          </w:tcPr>
          <w:p w14:paraId="20DB058D">
            <w:pPr>
              <w:keepNext w:val="0"/>
              <w:keepLines w:val="0"/>
              <w:pageBreakBefore w:val="0"/>
              <w:widowControl w:val="0"/>
              <w:kinsoku/>
              <w:overflowPunct/>
              <w:topLinePunct w:val="0"/>
              <w:autoSpaceDE/>
              <w:autoSpaceDN/>
              <w:bidi w:val="0"/>
              <w:adjustRightInd w:val="0"/>
              <w:snapToGrid w:val="0"/>
              <w:spacing w:line="380" w:lineRule="exact"/>
              <w:ind w:left="0" w:firstLine="0" w:firstLineChars="0"/>
              <w:jc w:val="left"/>
              <w:textAlignment w:val="auto"/>
              <w:rPr>
                <w:rFonts w:hint="eastAsia" w:ascii="宋体" w:hAnsi="宋体" w:cs="宋体"/>
                <w:color w:val="000000"/>
                <w:szCs w:val="21"/>
                <w:highlight w:val="none"/>
              </w:rPr>
            </w:pPr>
            <w:r>
              <w:rPr>
                <w:rFonts w:hint="eastAsia" w:ascii="宋体" w:hAnsi="宋体" w:cs="宋体"/>
                <w:color w:val="000000"/>
                <w:szCs w:val="21"/>
                <w:highlight w:val="none"/>
              </w:rPr>
              <w:t>以满足招标文件要求且投标报价最低的有效投标报价为评审基准价（即满足招标文件要求且投标报价最低的投标报价为评审基准价），其价格分为满分。其他</w:t>
            </w:r>
            <w:r>
              <w:rPr>
                <w:rFonts w:hint="eastAsia" w:ascii="宋体" w:hAnsi="宋体" w:cs="宋体"/>
                <w:color w:val="000000"/>
                <w:szCs w:val="21"/>
                <w:highlight w:val="none"/>
                <w:lang w:eastAsia="zh-CN"/>
              </w:rPr>
              <w:t>投标供应商</w:t>
            </w:r>
            <w:r>
              <w:rPr>
                <w:rFonts w:hint="eastAsia" w:ascii="宋体" w:hAnsi="宋体" w:cs="宋体"/>
                <w:color w:val="000000"/>
                <w:szCs w:val="21"/>
                <w:highlight w:val="none"/>
              </w:rPr>
              <w:t>的价格分统一按照下列公式计算：</w:t>
            </w:r>
          </w:p>
          <w:p w14:paraId="29EDE0C6">
            <w:pPr>
              <w:keepNext w:val="0"/>
              <w:keepLines w:val="0"/>
              <w:pageBreakBefore w:val="0"/>
              <w:widowControl w:val="0"/>
              <w:kinsoku/>
              <w:overflowPunct/>
              <w:topLinePunct w:val="0"/>
              <w:autoSpaceDE/>
              <w:autoSpaceDN/>
              <w:bidi w:val="0"/>
              <w:adjustRightInd w:val="0"/>
              <w:snapToGrid w:val="0"/>
              <w:spacing w:line="380" w:lineRule="exact"/>
              <w:ind w:left="0" w:firstLine="0" w:firstLineChars="0"/>
              <w:jc w:val="left"/>
              <w:textAlignment w:val="auto"/>
              <w:rPr>
                <w:rFonts w:hint="eastAsia" w:ascii="宋体" w:hAnsi="宋体" w:cs="宋体"/>
                <w:color w:val="000000"/>
                <w:szCs w:val="21"/>
                <w:highlight w:val="none"/>
              </w:rPr>
            </w:pPr>
            <w:r>
              <w:rPr>
                <w:rFonts w:hint="eastAsia" w:ascii="宋体" w:hAnsi="宋体" w:cs="宋体"/>
                <w:color w:val="000000"/>
                <w:szCs w:val="21"/>
                <w:highlight w:val="none"/>
              </w:rPr>
              <w:t>投标报价得分=(评审基准价／投标报价)×30。</w:t>
            </w:r>
          </w:p>
          <w:p w14:paraId="40D91C6F">
            <w:pPr>
              <w:keepNext w:val="0"/>
              <w:keepLines w:val="0"/>
              <w:pageBreakBefore w:val="0"/>
              <w:widowControl w:val="0"/>
              <w:kinsoku/>
              <w:overflowPunct/>
              <w:topLinePunct w:val="0"/>
              <w:autoSpaceDE/>
              <w:autoSpaceDN/>
              <w:bidi w:val="0"/>
              <w:adjustRightInd w:val="0"/>
              <w:snapToGrid w:val="0"/>
              <w:spacing w:line="380" w:lineRule="exact"/>
              <w:ind w:left="0" w:firstLine="0" w:firstLineChars="0"/>
              <w:jc w:val="left"/>
              <w:textAlignment w:val="auto"/>
              <w:rPr>
                <w:rFonts w:hint="eastAsia" w:ascii="宋体" w:hAnsi="宋体" w:cs="宋体"/>
                <w:color w:val="000000"/>
                <w:szCs w:val="21"/>
                <w:highlight w:val="none"/>
              </w:rPr>
            </w:pPr>
            <w:r>
              <w:rPr>
                <w:rFonts w:hint="eastAsia" w:ascii="宋体" w:hAnsi="宋体" w:cs="宋体"/>
                <w:color w:val="000000"/>
                <w:szCs w:val="21"/>
                <w:highlight w:val="none"/>
              </w:rPr>
              <w:t>注：本项目专门面向中小企业采购。</w:t>
            </w:r>
            <w:r>
              <w:rPr>
                <w:rFonts w:hint="eastAsia" w:ascii="宋体" w:hAnsi="宋体" w:cs="宋体"/>
                <w:color w:val="000000"/>
                <w:szCs w:val="21"/>
                <w:highlight w:val="none"/>
                <w:lang w:eastAsia="zh-CN"/>
              </w:rPr>
              <w:t>投标供应商</w:t>
            </w:r>
            <w:r>
              <w:rPr>
                <w:rFonts w:hint="eastAsia" w:ascii="宋体" w:hAnsi="宋体" w:cs="宋体"/>
                <w:color w:val="000000"/>
                <w:szCs w:val="21"/>
                <w:highlight w:val="none"/>
              </w:rPr>
              <w:t>为中型企业、小型企业、微型企业或监狱企业或残疾人福利性单位不再进行政策性价格优惠折扣。</w:t>
            </w:r>
          </w:p>
        </w:tc>
        <w:tc>
          <w:tcPr>
            <w:tcW w:w="1000" w:type="dxa"/>
            <w:tcBorders>
              <w:top w:val="single" w:color="auto" w:sz="4" w:space="0"/>
              <w:left w:val="single" w:color="auto" w:sz="4" w:space="0"/>
              <w:bottom w:val="single" w:color="auto" w:sz="4" w:space="0"/>
              <w:right w:val="single" w:color="auto" w:sz="4" w:space="0"/>
            </w:tcBorders>
            <w:noWrap w:val="0"/>
            <w:vAlign w:val="center"/>
          </w:tcPr>
          <w:p w14:paraId="4E34167E">
            <w:pPr>
              <w:keepNext w:val="0"/>
              <w:keepLines w:val="0"/>
              <w:pageBreakBefore w:val="0"/>
              <w:widowControl w:val="0"/>
              <w:kinsoku/>
              <w:overflowPunct/>
              <w:topLinePunct w:val="0"/>
              <w:autoSpaceDE/>
              <w:autoSpaceDN/>
              <w:bidi w:val="0"/>
              <w:adjustRightInd w:val="0"/>
              <w:snapToGrid w:val="0"/>
              <w:spacing w:line="380" w:lineRule="exact"/>
              <w:ind w:left="0" w:firstLine="0" w:firstLineChars="0"/>
              <w:jc w:val="center"/>
              <w:textAlignment w:val="auto"/>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客观</w:t>
            </w:r>
          </w:p>
        </w:tc>
      </w:tr>
      <w:tr w14:paraId="0E73D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884" w:type="dxa"/>
            <w:vMerge w:val="restart"/>
            <w:tcBorders>
              <w:top w:val="single" w:color="auto" w:sz="4" w:space="0"/>
              <w:left w:val="single" w:color="auto" w:sz="4" w:space="0"/>
              <w:right w:val="single" w:color="auto" w:sz="4" w:space="0"/>
            </w:tcBorders>
            <w:noWrap w:val="0"/>
            <w:vAlign w:val="center"/>
          </w:tcPr>
          <w:p w14:paraId="631621F8">
            <w:pPr>
              <w:keepNext w:val="0"/>
              <w:keepLines w:val="0"/>
              <w:pageBreakBefore w:val="0"/>
              <w:widowControl w:val="0"/>
              <w:kinsoku/>
              <w:overflowPunct/>
              <w:topLinePunct w:val="0"/>
              <w:autoSpaceDE/>
              <w:autoSpaceDN/>
              <w:bidi w:val="0"/>
              <w:adjustRightInd w:val="0"/>
              <w:snapToGrid w:val="0"/>
              <w:spacing w:line="400" w:lineRule="exact"/>
              <w:ind w:left="0" w:firstLine="0" w:firstLineChars="0"/>
              <w:jc w:val="center"/>
              <w:textAlignment w:val="auto"/>
              <w:rPr>
                <w:rFonts w:hint="eastAsia" w:ascii="宋体" w:hAnsi="宋体" w:cs="宋体"/>
                <w:color w:val="000000"/>
                <w:szCs w:val="21"/>
                <w:highlight w:val="none"/>
              </w:rPr>
            </w:pPr>
            <w:r>
              <w:rPr>
                <w:rFonts w:hint="eastAsia" w:ascii="宋体" w:hAnsi="宋体" w:cs="宋体"/>
                <w:color w:val="000000"/>
                <w:szCs w:val="21"/>
                <w:highlight w:val="none"/>
              </w:rPr>
              <w:t>技术</w:t>
            </w:r>
          </w:p>
          <w:p w14:paraId="6E126E7E">
            <w:pPr>
              <w:keepNext w:val="0"/>
              <w:keepLines w:val="0"/>
              <w:pageBreakBefore w:val="0"/>
              <w:widowControl w:val="0"/>
              <w:kinsoku/>
              <w:overflowPunct/>
              <w:topLinePunct w:val="0"/>
              <w:autoSpaceDE/>
              <w:autoSpaceDN/>
              <w:bidi w:val="0"/>
              <w:adjustRightInd w:val="0"/>
              <w:snapToGrid w:val="0"/>
              <w:spacing w:line="400" w:lineRule="exact"/>
              <w:ind w:left="0" w:firstLine="0" w:firstLineChars="0"/>
              <w:jc w:val="center"/>
              <w:textAlignment w:val="auto"/>
              <w:rPr>
                <w:rFonts w:hint="eastAsia" w:ascii="宋体" w:hAnsi="宋体" w:cs="宋体"/>
                <w:color w:val="000000"/>
                <w:szCs w:val="21"/>
                <w:highlight w:val="none"/>
              </w:rPr>
            </w:pPr>
            <w:r>
              <w:rPr>
                <w:rFonts w:hint="eastAsia" w:ascii="宋体" w:hAnsi="宋体" w:cs="宋体"/>
                <w:color w:val="000000"/>
                <w:szCs w:val="21"/>
                <w:highlight w:val="none"/>
              </w:rPr>
              <w:t>方案</w:t>
            </w:r>
          </w:p>
        </w:tc>
        <w:tc>
          <w:tcPr>
            <w:tcW w:w="788" w:type="dxa"/>
            <w:vMerge w:val="restart"/>
            <w:tcBorders>
              <w:top w:val="single" w:color="auto" w:sz="4" w:space="0"/>
              <w:left w:val="single" w:color="auto" w:sz="4" w:space="0"/>
              <w:right w:val="single" w:color="auto" w:sz="4" w:space="0"/>
            </w:tcBorders>
            <w:noWrap w:val="0"/>
            <w:vAlign w:val="center"/>
          </w:tcPr>
          <w:p w14:paraId="33F52B7A">
            <w:pPr>
              <w:keepNext w:val="0"/>
              <w:keepLines w:val="0"/>
              <w:pageBreakBefore w:val="0"/>
              <w:widowControl w:val="0"/>
              <w:kinsoku/>
              <w:overflowPunct/>
              <w:topLinePunct w:val="0"/>
              <w:autoSpaceDE/>
              <w:autoSpaceDN/>
              <w:bidi w:val="0"/>
              <w:adjustRightInd w:val="0"/>
              <w:snapToGrid w:val="0"/>
              <w:spacing w:line="400" w:lineRule="exact"/>
              <w:ind w:left="0" w:firstLine="0" w:firstLineChars="0"/>
              <w:jc w:val="center"/>
              <w:textAlignment w:val="auto"/>
              <w:rPr>
                <w:rFonts w:hint="default"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20</w:t>
            </w:r>
          </w:p>
        </w:tc>
        <w:tc>
          <w:tcPr>
            <w:tcW w:w="7428" w:type="dxa"/>
            <w:tcBorders>
              <w:top w:val="single" w:color="auto" w:sz="4" w:space="0"/>
              <w:left w:val="single" w:color="auto" w:sz="4" w:space="0"/>
              <w:bottom w:val="single" w:color="auto" w:sz="4" w:space="0"/>
              <w:right w:val="single" w:color="auto" w:sz="4" w:space="0"/>
            </w:tcBorders>
            <w:noWrap w:val="0"/>
            <w:vAlign w:val="center"/>
          </w:tcPr>
          <w:p w14:paraId="7F867791">
            <w:pPr>
              <w:keepNext w:val="0"/>
              <w:keepLines w:val="0"/>
              <w:pageBreakBefore w:val="0"/>
              <w:widowControl w:val="0"/>
              <w:kinsoku/>
              <w:overflowPunct/>
              <w:topLinePunct w:val="0"/>
              <w:autoSpaceDE/>
              <w:autoSpaceDN/>
              <w:bidi w:val="0"/>
              <w:spacing w:line="400" w:lineRule="exact"/>
              <w:ind w:left="0" w:firstLine="0" w:firstLineChars="0"/>
              <w:jc w:val="left"/>
              <w:textAlignment w:val="auto"/>
              <w:rPr>
                <w:rFonts w:hint="eastAsia" w:ascii="宋体" w:hAnsi="宋体" w:cs="宋体"/>
                <w:color w:val="000000"/>
                <w:szCs w:val="21"/>
                <w:highlight w:val="none"/>
              </w:rPr>
            </w:pPr>
            <w:r>
              <w:rPr>
                <w:rFonts w:hint="eastAsia" w:ascii="宋体" w:hAnsi="宋体" w:cs="宋体"/>
                <w:b/>
                <w:bCs/>
                <w:color w:val="000000"/>
                <w:szCs w:val="21"/>
                <w:highlight w:val="none"/>
              </w:rPr>
              <w:t>实施方案：</w:t>
            </w:r>
            <w:r>
              <w:rPr>
                <w:rFonts w:hint="eastAsia" w:ascii="宋体" w:hAnsi="宋体" w:cs="宋体"/>
                <w:color w:val="000000"/>
                <w:szCs w:val="21"/>
                <w:highlight w:val="none"/>
              </w:rPr>
              <w:t>根据投标供应商针对本项目的组织能力、实施方案、进度计划；方案合理、详细、周到，具有科学性、可操作、实用性等。方案详细合理、实用性强得</w:t>
            </w:r>
            <w:r>
              <w:rPr>
                <w:rFonts w:hint="eastAsia" w:ascii="宋体" w:hAnsi="宋体" w:cs="宋体"/>
                <w:color w:val="000000"/>
                <w:szCs w:val="21"/>
                <w:highlight w:val="none"/>
                <w:lang w:val="en-US" w:eastAsia="zh-CN"/>
              </w:rPr>
              <w:t>3-5</w:t>
            </w:r>
            <w:r>
              <w:rPr>
                <w:rFonts w:hint="eastAsia" w:ascii="宋体" w:hAnsi="宋体" w:cs="宋体"/>
                <w:color w:val="000000"/>
                <w:szCs w:val="21"/>
                <w:highlight w:val="none"/>
              </w:rPr>
              <w:t>分；方案合理、实用性一般得</w:t>
            </w:r>
            <w:r>
              <w:rPr>
                <w:rFonts w:hint="eastAsia" w:ascii="宋体" w:hAnsi="宋体" w:cs="宋体"/>
                <w:color w:val="000000"/>
                <w:szCs w:val="21"/>
                <w:highlight w:val="none"/>
                <w:lang w:val="en-US" w:eastAsia="zh-CN"/>
              </w:rPr>
              <w:t>1-3</w:t>
            </w:r>
            <w:r>
              <w:rPr>
                <w:rFonts w:hint="eastAsia" w:ascii="宋体" w:hAnsi="宋体" w:cs="宋体"/>
                <w:color w:val="000000"/>
                <w:szCs w:val="21"/>
                <w:highlight w:val="none"/>
              </w:rPr>
              <w:t>分；方案一般合理，实用性不足得0-</w:t>
            </w:r>
            <w:r>
              <w:rPr>
                <w:rFonts w:hint="eastAsia" w:ascii="宋体" w:hAnsi="宋体" w:cs="宋体"/>
                <w:color w:val="000000"/>
                <w:szCs w:val="21"/>
                <w:highlight w:val="none"/>
                <w:lang w:val="en-US" w:eastAsia="zh-CN"/>
              </w:rPr>
              <w:t>1</w:t>
            </w:r>
            <w:r>
              <w:rPr>
                <w:rFonts w:hint="eastAsia" w:ascii="宋体" w:hAnsi="宋体" w:cs="宋体"/>
                <w:color w:val="000000"/>
                <w:szCs w:val="21"/>
                <w:highlight w:val="none"/>
              </w:rPr>
              <w:t xml:space="preserve">分。                                                                  </w:t>
            </w:r>
          </w:p>
        </w:tc>
        <w:tc>
          <w:tcPr>
            <w:tcW w:w="1000" w:type="dxa"/>
            <w:tcBorders>
              <w:top w:val="single" w:color="auto" w:sz="4" w:space="0"/>
              <w:left w:val="single" w:color="auto" w:sz="4" w:space="0"/>
              <w:bottom w:val="single" w:color="auto" w:sz="4" w:space="0"/>
              <w:right w:val="single" w:color="auto" w:sz="4" w:space="0"/>
            </w:tcBorders>
            <w:noWrap w:val="0"/>
            <w:vAlign w:val="center"/>
          </w:tcPr>
          <w:p w14:paraId="48ABF5E3">
            <w:pPr>
              <w:keepNext w:val="0"/>
              <w:keepLines w:val="0"/>
              <w:pageBreakBefore w:val="0"/>
              <w:widowControl w:val="0"/>
              <w:kinsoku/>
              <w:overflowPunct/>
              <w:topLinePunct w:val="0"/>
              <w:autoSpaceDE/>
              <w:autoSpaceDN/>
              <w:bidi w:val="0"/>
              <w:adjustRightInd w:val="0"/>
              <w:snapToGrid w:val="0"/>
              <w:spacing w:line="380" w:lineRule="exact"/>
              <w:ind w:left="0" w:firstLine="0" w:firstLineChars="0"/>
              <w:jc w:val="center"/>
              <w:textAlignment w:val="auto"/>
              <w:rPr>
                <w:rFonts w:hint="default"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主观</w:t>
            </w:r>
          </w:p>
        </w:tc>
      </w:tr>
      <w:tr w14:paraId="75F46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884" w:type="dxa"/>
            <w:vMerge w:val="continue"/>
            <w:tcBorders>
              <w:left w:val="single" w:color="auto" w:sz="4" w:space="0"/>
              <w:right w:val="single" w:color="auto" w:sz="4" w:space="0"/>
            </w:tcBorders>
            <w:noWrap w:val="0"/>
            <w:vAlign w:val="center"/>
          </w:tcPr>
          <w:p w14:paraId="1DAD4586">
            <w:pPr>
              <w:keepNext w:val="0"/>
              <w:keepLines w:val="0"/>
              <w:pageBreakBefore w:val="0"/>
              <w:widowControl w:val="0"/>
              <w:kinsoku/>
              <w:overflowPunct/>
              <w:topLinePunct w:val="0"/>
              <w:autoSpaceDE/>
              <w:autoSpaceDN/>
              <w:bidi w:val="0"/>
              <w:adjustRightInd w:val="0"/>
              <w:snapToGrid w:val="0"/>
              <w:spacing w:line="400" w:lineRule="exact"/>
              <w:ind w:left="0" w:firstLine="0" w:firstLineChars="0"/>
              <w:jc w:val="center"/>
              <w:textAlignment w:val="auto"/>
              <w:rPr>
                <w:rFonts w:hint="eastAsia" w:ascii="宋体" w:hAnsi="宋体" w:cs="宋体"/>
                <w:color w:val="000000"/>
                <w:szCs w:val="21"/>
                <w:highlight w:val="none"/>
              </w:rPr>
            </w:pPr>
          </w:p>
        </w:tc>
        <w:tc>
          <w:tcPr>
            <w:tcW w:w="788" w:type="dxa"/>
            <w:vMerge w:val="continue"/>
            <w:tcBorders>
              <w:left w:val="single" w:color="auto" w:sz="4" w:space="0"/>
              <w:right w:val="single" w:color="auto" w:sz="4" w:space="0"/>
            </w:tcBorders>
            <w:noWrap w:val="0"/>
            <w:vAlign w:val="center"/>
          </w:tcPr>
          <w:p w14:paraId="1626397B">
            <w:pPr>
              <w:keepNext w:val="0"/>
              <w:keepLines w:val="0"/>
              <w:pageBreakBefore w:val="0"/>
              <w:widowControl w:val="0"/>
              <w:kinsoku/>
              <w:overflowPunct/>
              <w:topLinePunct w:val="0"/>
              <w:autoSpaceDE/>
              <w:autoSpaceDN/>
              <w:bidi w:val="0"/>
              <w:adjustRightInd w:val="0"/>
              <w:snapToGrid w:val="0"/>
              <w:spacing w:line="400" w:lineRule="exact"/>
              <w:ind w:left="0" w:firstLine="0" w:firstLineChars="0"/>
              <w:jc w:val="center"/>
              <w:textAlignment w:val="auto"/>
              <w:rPr>
                <w:rFonts w:hint="eastAsia" w:ascii="宋体" w:hAnsi="宋体" w:cs="宋体"/>
                <w:color w:val="000000"/>
                <w:szCs w:val="21"/>
                <w:highlight w:val="none"/>
              </w:rPr>
            </w:pPr>
          </w:p>
        </w:tc>
        <w:tc>
          <w:tcPr>
            <w:tcW w:w="7428" w:type="dxa"/>
            <w:tcBorders>
              <w:top w:val="single" w:color="auto" w:sz="4" w:space="0"/>
              <w:left w:val="single" w:color="auto" w:sz="4" w:space="0"/>
              <w:bottom w:val="single" w:color="auto" w:sz="4" w:space="0"/>
              <w:right w:val="single" w:color="auto" w:sz="4" w:space="0"/>
            </w:tcBorders>
            <w:noWrap w:val="0"/>
            <w:vAlign w:val="center"/>
          </w:tcPr>
          <w:p w14:paraId="08231499">
            <w:pPr>
              <w:keepNext w:val="0"/>
              <w:keepLines w:val="0"/>
              <w:pageBreakBefore w:val="0"/>
              <w:widowControl w:val="0"/>
              <w:numPr>
                <w:ilvl w:val="0"/>
                <w:numId w:val="0"/>
              </w:numPr>
              <w:kinsoku/>
              <w:overflowPunct/>
              <w:topLinePunct w:val="0"/>
              <w:autoSpaceDE/>
              <w:autoSpaceDN/>
              <w:bidi w:val="0"/>
              <w:spacing w:line="400" w:lineRule="exact"/>
              <w:ind w:left="0" w:firstLine="0" w:firstLineChars="0"/>
              <w:jc w:val="left"/>
              <w:textAlignment w:val="auto"/>
              <w:rPr>
                <w:rFonts w:hint="eastAsia" w:ascii="宋体" w:hAnsi="宋体" w:cs="宋体"/>
                <w:color w:val="000000"/>
                <w:szCs w:val="21"/>
                <w:highlight w:val="none"/>
              </w:rPr>
            </w:pPr>
            <w:r>
              <w:rPr>
                <w:rFonts w:hint="eastAsia" w:ascii="宋体" w:hAnsi="宋体" w:cs="宋体"/>
                <w:b/>
                <w:bCs/>
                <w:color w:val="000000"/>
                <w:szCs w:val="21"/>
                <w:highlight w:val="none"/>
              </w:rPr>
              <w:t>食品参数：</w:t>
            </w:r>
            <w:r>
              <w:rPr>
                <w:rFonts w:hint="eastAsia" w:ascii="宋体" w:hAnsi="宋体" w:cs="宋体"/>
                <w:color w:val="000000"/>
                <w:szCs w:val="21"/>
                <w:highlight w:val="none"/>
              </w:rPr>
              <w:t>投标食品（产品）参数、规格、第三方检验报告等证明资料是否齐全。资料齐全计</w:t>
            </w:r>
            <w:r>
              <w:rPr>
                <w:rFonts w:hint="eastAsia" w:ascii="宋体" w:hAnsi="宋体" w:cs="宋体"/>
                <w:color w:val="000000"/>
                <w:szCs w:val="21"/>
                <w:highlight w:val="none"/>
                <w:lang w:val="en-US" w:eastAsia="zh-CN"/>
              </w:rPr>
              <w:t>3-5</w:t>
            </w:r>
            <w:r>
              <w:rPr>
                <w:rFonts w:hint="eastAsia" w:ascii="宋体" w:hAnsi="宋体" w:cs="宋体"/>
                <w:color w:val="000000"/>
                <w:szCs w:val="21"/>
                <w:highlight w:val="none"/>
              </w:rPr>
              <w:t>分、资料短缺</w:t>
            </w:r>
            <w:r>
              <w:rPr>
                <w:rFonts w:hint="eastAsia" w:ascii="宋体" w:hAnsi="宋体" w:cs="宋体"/>
                <w:color w:val="000000"/>
                <w:szCs w:val="21"/>
                <w:highlight w:val="none"/>
                <w:lang w:val="en-US" w:eastAsia="zh-CN"/>
              </w:rPr>
              <w:t>1-3</w:t>
            </w:r>
            <w:r>
              <w:rPr>
                <w:rFonts w:hint="eastAsia" w:ascii="宋体" w:hAnsi="宋体" w:cs="宋体"/>
                <w:color w:val="000000"/>
                <w:szCs w:val="21"/>
                <w:highlight w:val="none"/>
              </w:rPr>
              <w:t>分、资料表述不一致计0-</w:t>
            </w:r>
            <w:r>
              <w:rPr>
                <w:rFonts w:hint="eastAsia" w:ascii="宋体" w:hAnsi="宋体" w:cs="宋体"/>
                <w:color w:val="000000"/>
                <w:szCs w:val="21"/>
                <w:highlight w:val="none"/>
                <w:lang w:val="en-US" w:eastAsia="zh-CN"/>
              </w:rPr>
              <w:t>1</w:t>
            </w:r>
            <w:r>
              <w:rPr>
                <w:rFonts w:hint="eastAsia" w:ascii="宋体" w:hAnsi="宋体" w:cs="宋体"/>
                <w:color w:val="000000"/>
                <w:szCs w:val="21"/>
                <w:highlight w:val="none"/>
              </w:rPr>
              <w:t xml:space="preserve">分 。                                                                                                                                                                                                                            </w:t>
            </w:r>
          </w:p>
        </w:tc>
        <w:tc>
          <w:tcPr>
            <w:tcW w:w="1000" w:type="dxa"/>
            <w:tcBorders>
              <w:top w:val="single" w:color="auto" w:sz="4" w:space="0"/>
              <w:left w:val="single" w:color="auto" w:sz="4" w:space="0"/>
              <w:bottom w:val="single" w:color="auto" w:sz="4" w:space="0"/>
              <w:right w:val="single" w:color="auto" w:sz="4" w:space="0"/>
            </w:tcBorders>
            <w:noWrap w:val="0"/>
            <w:vAlign w:val="center"/>
          </w:tcPr>
          <w:p w14:paraId="13BD0025">
            <w:pPr>
              <w:keepNext w:val="0"/>
              <w:keepLines w:val="0"/>
              <w:pageBreakBefore w:val="0"/>
              <w:widowControl w:val="0"/>
              <w:kinsoku/>
              <w:overflowPunct/>
              <w:topLinePunct w:val="0"/>
              <w:autoSpaceDE/>
              <w:autoSpaceDN/>
              <w:bidi w:val="0"/>
              <w:adjustRightInd w:val="0"/>
              <w:snapToGrid w:val="0"/>
              <w:spacing w:line="380" w:lineRule="exact"/>
              <w:ind w:left="0" w:firstLine="0" w:firstLineChars="0"/>
              <w:jc w:val="center"/>
              <w:textAlignment w:val="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主观</w:t>
            </w:r>
          </w:p>
        </w:tc>
      </w:tr>
      <w:tr w14:paraId="02CDF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884" w:type="dxa"/>
            <w:vMerge w:val="continue"/>
            <w:tcBorders>
              <w:left w:val="single" w:color="auto" w:sz="4" w:space="0"/>
              <w:right w:val="single" w:color="auto" w:sz="4" w:space="0"/>
            </w:tcBorders>
            <w:noWrap w:val="0"/>
            <w:vAlign w:val="center"/>
          </w:tcPr>
          <w:p w14:paraId="27045D9B">
            <w:pPr>
              <w:keepNext w:val="0"/>
              <w:keepLines w:val="0"/>
              <w:pageBreakBefore w:val="0"/>
              <w:widowControl w:val="0"/>
              <w:kinsoku/>
              <w:overflowPunct/>
              <w:topLinePunct w:val="0"/>
              <w:autoSpaceDE/>
              <w:autoSpaceDN/>
              <w:bidi w:val="0"/>
              <w:adjustRightInd w:val="0"/>
              <w:snapToGrid w:val="0"/>
              <w:spacing w:line="400" w:lineRule="exact"/>
              <w:ind w:left="0" w:firstLine="0" w:firstLineChars="0"/>
              <w:jc w:val="center"/>
              <w:textAlignment w:val="auto"/>
              <w:rPr>
                <w:rFonts w:hint="eastAsia" w:ascii="宋体" w:hAnsi="宋体" w:cs="宋体"/>
                <w:color w:val="000000"/>
                <w:szCs w:val="21"/>
                <w:highlight w:val="none"/>
              </w:rPr>
            </w:pPr>
          </w:p>
        </w:tc>
        <w:tc>
          <w:tcPr>
            <w:tcW w:w="788" w:type="dxa"/>
            <w:vMerge w:val="continue"/>
            <w:tcBorders>
              <w:left w:val="single" w:color="auto" w:sz="4" w:space="0"/>
              <w:right w:val="single" w:color="auto" w:sz="4" w:space="0"/>
            </w:tcBorders>
            <w:noWrap w:val="0"/>
            <w:vAlign w:val="center"/>
          </w:tcPr>
          <w:p w14:paraId="4D4696E6">
            <w:pPr>
              <w:keepNext w:val="0"/>
              <w:keepLines w:val="0"/>
              <w:pageBreakBefore w:val="0"/>
              <w:widowControl w:val="0"/>
              <w:kinsoku/>
              <w:overflowPunct/>
              <w:topLinePunct w:val="0"/>
              <w:autoSpaceDE/>
              <w:autoSpaceDN/>
              <w:bidi w:val="0"/>
              <w:adjustRightInd w:val="0"/>
              <w:snapToGrid w:val="0"/>
              <w:spacing w:line="400" w:lineRule="exact"/>
              <w:ind w:left="0" w:firstLine="0" w:firstLineChars="0"/>
              <w:jc w:val="center"/>
              <w:textAlignment w:val="auto"/>
              <w:rPr>
                <w:rFonts w:hint="eastAsia" w:ascii="宋体" w:hAnsi="宋体" w:cs="宋体"/>
                <w:color w:val="000000"/>
                <w:szCs w:val="21"/>
                <w:highlight w:val="none"/>
              </w:rPr>
            </w:pPr>
          </w:p>
        </w:tc>
        <w:tc>
          <w:tcPr>
            <w:tcW w:w="7428" w:type="dxa"/>
            <w:tcBorders>
              <w:top w:val="single" w:color="auto" w:sz="4" w:space="0"/>
              <w:left w:val="single" w:color="auto" w:sz="4" w:space="0"/>
              <w:bottom w:val="single" w:color="auto" w:sz="4" w:space="0"/>
              <w:right w:val="single" w:color="auto" w:sz="4" w:space="0"/>
            </w:tcBorders>
            <w:noWrap w:val="0"/>
            <w:vAlign w:val="center"/>
          </w:tcPr>
          <w:p w14:paraId="193EB8C4">
            <w:pPr>
              <w:keepNext w:val="0"/>
              <w:keepLines w:val="0"/>
              <w:pageBreakBefore w:val="0"/>
              <w:widowControl w:val="0"/>
              <w:kinsoku/>
              <w:overflowPunct/>
              <w:topLinePunct w:val="0"/>
              <w:autoSpaceDE/>
              <w:autoSpaceDN/>
              <w:bidi w:val="0"/>
              <w:spacing w:line="400" w:lineRule="exact"/>
              <w:ind w:left="0" w:firstLine="0" w:firstLineChars="0"/>
              <w:jc w:val="left"/>
              <w:textAlignment w:val="auto"/>
              <w:rPr>
                <w:rFonts w:hint="eastAsia" w:ascii="宋体" w:hAnsi="宋体" w:cs="宋体"/>
                <w:color w:val="000000"/>
                <w:szCs w:val="21"/>
                <w:highlight w:val="none"/>
              </w:rPr>
            </w:pPr>
            <w:r>
              <w:rPr>
                <w:rFonts w:hint="eastAsia" w:ascii="宋体" w:hAnsi="宋体" w:cs="宋体"/>
                <w:b/>
                <w:bCs/>
                <w:color w:val="000000"/>
                <w:szCs w:val="21"/>
                <w:highlight w:val="none"/>
              </w:rPr>
              <w:t>应急方案：</w:t>
            </w:r>
            <w:r>
              <w:rPr>
                <w:rFonts w:hint="eastAsia" w:ascii="宋体" w:hAnsi="宋体" w:cs="宋体"/>
                <w:color w:val="000000"/>
                <w:szCs w:val="21"/>
                <w:highlight w:val="none"/>
              </w:rPr>
              <w:t>针对本项目特点提出食品安全保证措施及</w:t>
            </w:r>
            <w:r>
              <w:rPr>
                <w:rFonts w:hint="eastAsia" w:ascii="宋体" w:hAnsi="宋体" w:cs="宋体"/>
                <w:color w:val="000000"/>
                <w:szCs w:val="21"/>
                <w:highlight w:val="none"/>
                <w:lang w:eastAsia="zh-CN"/>
              </w:rPr>
              <w:t>紧急情况</w:t>
            </w:r>
            <w:r>
              <w:rPr>
                <w:rFonts w:hint="eastAsia" w:ascii="宋体" w:hAnsi="宋体" w:cs="宋体"/>
                <w:color w:val="000000"/>
                <w:szCs w:val="21"/>
                <w:highlight w:val="none"/>
              </w:rPr>
              <w:t>危机管理应急方案。（</w:t>
            </w:r>
            <w:r>
              <w:rPr>
                <w:rFonts w:hint="eastAsia" w:ascii="宋体" w:hAnsi="宋体" w:cs="宋体"/>
                <w:color w:val="000000"/>
                <w:szCs w:val="21"/>
                <w:highlight w:val="none"/>
                <w:lang w:val="en-US" w:eastAsia="zh-CN"/>
              </w:rPr>
              <w:t>遭遇恶劣天气</w:t>
            </w:r>
            <w:r>
              <w:rPr>
                <w:rFonts w:hint="eastAsia" w:ascii="宋体" w:hAnsi="宋体" w:cs="宋体"/>
                <w:color w:val="000000"/>
                <w:szCs w:val="21"/>
                <w:highlight w:val="none"/>
                <w:lang w:eastAsia="zh-CN"/>
              </w:rPr>
              <w:t>等</w:t>
            </w:r>
            <w:r>
              <w:rPr>
                <w:rFonts w:hint="eastAsia" w:ascii="宋体" w:hAnsi="宋体" w:cs="宋体"/>
                <w:color w:val="000000"/>
                <w:szCs w:val="21"/>
                <w:highlight w:val="none"/>
              </w:rPr>
              <w:t>应急方案、食物中毒应急方案、消防安全应急方案等）详细合理、针对性强得</w:t>
            </w:r>
            <w:r>
              <w:rPr>
                <w:rFonts w:hint="eastAsia" w:ascii="宋体" w:hAnsi="宋体" w:cs="宋体"/>
                <w:color w:val="000000"/>
                <w:szCs w:val="21"/>
                <w:highlight w:val="none"/>
                <w:lang w:val="en-US" w:eastAsia="zh-CN"/>
              </w:rPr>
              <w:t>3-5</w:t>
            </w:r>
            <w:r>
              <w:rPr>
                <w:rFonts w:hint="eastAsia" w:ascii="宋体" w:hAnsi="宋体" w:cs="宋体"/>
                <w:color w:val="000000"/>
                <w:szCs w:val="21"/>
                <w:highlight w:val="none"/>
              </w:rPr>
              <w:t>分；方案合理、针对性一般得</w:t>
            </w:r>
            <w:r>
              <w:rPr>
                <w:rFonts w:hint="eastAsia" w:ascii="宋体" w:hAnsi="宋体" w:cs="宋体"/>
                <w:color w:val="000000"/>
                <w:szCs w:val="21"/>
                <w:highlight w:val="none"/>
                <w:lang w:val="en-US" w:eastAsia="zh-CN"/>
              </w:rPr>
              <w:t>1-3</w:t>
            </w:r>
            <w:r>
              <w:rPr>
                <w:rFonts w:hint="eastAsia" w:ascii="宋体" w:hAnsi="宋体" w:cs="宋体"/>
                <w:color w:val="000000"/>
                <w:szCs w:val="21"/>
                <w:highlight w:val="none"/>
              </w:rPr>
              <w:t>分；方案一般合理，针对性不足得0-</w:t>
            </w:r>
            <w:r>
              <w:rPr>
                <w:rFonts w:hint="eastAsia" w:ascii="宋体" w:hAnsi="宋体" w:cs="宋体"/>
                <w:color w:val="000000"/>
                <w:szCs w:val="21"/>
                <w:highlight w:val="none"/>
                <w:lang w:val="en-US" w:eastAsia="zh-CN"/>
              </w:rPr>
              <w:t>1</w:t>
            </w:r>
            <w:r>
              <w:rPr>
                <w:rFonts w:hint="eastAsia" w:ascii="宋体" w:hAnsi="宋体" w:cs="宋体"/>
                <w:color w:val="000000"/>
                <w:szCs w:val="21"/>
                <w:highlight w:val="none"/>
              </w:rPr>
              <w:t>分。</w:t>
            </w:r>
          </w:p>
        </w:tc>
        <w:tc>
          <w:tcPr>
            <w:tcW w:w="1000" w:type="dxa"/>
            <w:tcBorders>
              <w:top w:val="single" w:color="auto" w:sz="4" w:space="0"/>
              <w:left w:val="single" w:color="auto" w:sz="4" w:space="0"/>
              <w:bottom w:val="single" w:color="auto" w:sz="4" w:space="0"/>
              <w:right w:val="single" w:color="auto" w:sz="4" w:space="0"/>
            </w:tcBorders>
            <w:noWrap w:val="0"/>
            <w:vAlign w:val="center"/>
          </w:tcPr>
          <w:p w14:paraId="16E7786E">
            <w:pPr>
              <w:keepNext w:val="0"/>
              <w:keepLines w:val="0"/>
              <w:pageBreakBefore w:val="0"/>
              <w:widowControl w:val="0"/>
              <w:kinsoku/>
              <w:overflowPunct/>
              <w:topLinePunct w:val="0"/>
              <w:autoSpaceDE/>
              <w:autoSpaceDN/>
              <w:bidi w:val="0"/>
              <w:adjustRightInd w:val="0"/>
              <w:snapToGrid w:val="0"/>
              <w:spacing w:line="380" w:lineRule="exact"/>
              <w:ind w:left="0" w:firstLine="0" w:firstLineChars="0"/>
              <w:jc w:val="center"/>
              <w:textAlignment w:val="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主观</w:t>
            </w:r>
          </w:p>
        </w:tc>
      </w:tr>
      <w:tr w14:paraId="52522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884" w:type="dxa"/>
            <w:vMerge w:val="continue"/>
            <w:tcBorders>
              <w:left w:val="single" w:color="auto" w:sz="4" w:space="0"/>
              <w:bottom w:val="single" w:color="auto" w:sz="4" w:space="0"/>
              <w:right w:val="single" w:color="auto" w:sz="4" w:space="0"/>
            </w:tcBorders>
            <w:noWrap w:val="0"/>
            <w:vAlign w:val="center"/>
          </w:tcPr>
          <w:p w14:paraId="1F984AF0">
            <w:pPr>
              <w:keepNext w:val="0"/>
              <w:keepLines w:val="0"/>
              <w:pageBreakBefore w:val="0"/>
              <w:widowControl w:val="0"/>
              <w:kinsoku/>
              <w:overflowPunct/>
              <w:topLinePunct w:val="0"/>
              <w:autoSpaceDE/>
              <w:autoSpaceDN/>
              <w:bidi w:val="0"/>
              <w:adjustRightInd w:val="0"/>
              <w:snapToGrid w:val="0"/>
              <w:spacing w:line="400" w:lineRule="exact"/>
              <w:ind w:left="0" w:firstLine="0" w:firstLineChars="0"/>
              <w:jc w:val="center"/>
              <w:textAlignment w:val="auto"/>
              <w:rPr>
                <w:rFonts w:hint="eastAsia" w:ascii="宋体" w:hAnsi="宋体" w:cs="宋体"/>
                <w:color w:val="000000"/>
                <w:szCs w:val="21"/>
                <w:highlight w:val="none"/>
              </w:rPr>
            </w:pPr>
          </w:p>
        </w:tc>
        <w:tc>
          <w:tcPr>
            <w:tcW w:w="788" w:type="dxa"/>
            <w:vMerge w:val="continue"/>
            <w:tcBorders>
              <w:left w:val="single" w:color="auto" w:sz="4" w:space="0"/>
              <w:bottom w:val="single" w:color="auto" w:sz="4" w:space="0"/>
              <w:right w:val="single" w:color="auto" w:sz="4" w:space="0"/>
            </w:tcBorders>
            <w:noWrap w:val="0"/>
            <w:vAlign w:val="center"/>
          </w:tcPr>
          <w:p w14:paraId="7AB642C7">
            <w:pPr>
              <w:keepNext w:val="0"/>
              <w:keepLines w:val="0"/>
              <w:pageBreakBefore w:val="0"/>
              <w:widowControl w:val="0"/>
              <w:kinsoku/>
              <w:overflowPunct/>
              <w:topLinePunct w:val="0"/>
              <w:autoSpaceDE/>
              <w:autoSpaceDN/>
              <w:bidi w:val="0"/>
              <w:adjustRightInd w:val="0"/>
              <w:snapToGrid w:val="0"/>
              <w:spacing w:line="400" w:lineRule="exact"/>
              <w:ind w:left="0" w:firstLine="0" w:firstLineChars="0"/>
              <w:jc w:val="center"/>
              <w:textAlignment w:val="auto"/>
              <w:rPr>
                <w:rFonts w:hint="eastAsia" w:ascii="宋体" w:hAnsi="宋体" w:cs="宋体"/>
                <w:color w:val="000000"/>
                <w:szCs w:val="21"/>
                <w:highlight w:val="none"/>
              </w:rPr>
            </w:pPr>
          </w:p>
        </w:tc>
        <w:tc>
          <w:tcPr>
            <w:tcW w:w="7428" w:type="dxa"/>
            <w:tcBorders>
              <w:top w:val="single" w:color="auto" w:sz="4" w:space="0"/>
              <w:left w:val="single" w:color="auto" w:sz="4" w:space="0"/>
              <w:bottom w:val="single" w:color="auto" w:sz="4" w:space="0"/>
              <w:right w:val="single" w:color="auto" w:sz="4" w:space="0"/>
            </w:tcBorders>
            <w:noWrap w:val="0"/>
            <w:vAlign w:val="center"/>
          </w:tcPr>
          <w:p w14:paraId="27869C37">
            <w:pPr>
              <w:keepNext w:val="0"/>
              <w:keepLines w:val="0"/>
              <w:pageBreakBefore w:val="0"/>
              <w:widowControl w:val="0"/>
              <w:kinsoku/>
              <w:wordWrap/>
              <w:overflowPunct/>
              <w:topLinePunct w:val="0"/>
              <w:autoSpaceDE/>
              <w:autoSpaceDN/>
              <w:bidi/>
              <w:adjustRightInd/>
              <w:snapToGrid/>
              <w:spacing w:line="400" w:lineRule="exact"/>
              <w:ind w:left="0" w:right="0" w:firstLine="0" w:firstLineChars="0"/>
              <w:jc w:val="right"/>
              <w:textAlignment w:val="auto"/>
              <w:rPr>
                <w:rFonts w:hint="eastAsia" w:ascii="宋体" w:hAnsi="宋体" w:cs="宋体"/>
                <w:color w:val="000000"/>
                <w:szCs w:val="21"/>
                <w:highlight w:val="none"/>
                <w:lang w:eastAsia="zh-CN"/>
              </w:rPr>
            </w:pPr>
            <w:r>
              <w:rPr>
                <w:rFonts w:hint="eastAsia" w:ascii="宋体" w:hAnsi="宋体" w:cs="宋体"/>
                <w:b/>
                <w:bCs/>
                <w:color w:val="000000"/>
                <w:szCs w:val="21"/>
                <w:highlight w:val="none"/>
              </w:rPr>
              <w:t>食品安全制度：</w:t>
            </w:r>
            <w:r>
              <w:rPr>
                <w:rFonts w:hint="eastAsia" w:ascii="宋体" w:hAnsi="宋体" w:cs="宋体"/>
                <w:color w:val="000000"/>
                <w:szCs w:val="21"/>
                <w:highlight w:val="none"/>
              </w:rPr>
              <w:t>建立健全食品安全相关制度、对各级管理、从业人员进行了全面培训；建立专人监管食品采购、</w:t>
            </w:r>
            <w:r>
              <w:rPr>
                <w:rFonts w:hint="eastAsia" w:ascii="宋体" w:hAnsi="宋体" w:cs="宋体"/>
                <w:color w:val="000000"/>
                <w:szCs w:val="21"/>
                <w:highlight w:val="none"/>
                <w:lang w:val="en-US" w:eastAsia="zh-CN"/>
              </w:rPr>
              <w:t>车辆</w:t>
            </w:r>
            <w:r>
              <w:rPr>
                <w:rFonts w:hint="eastAsia" w:ascii="宋体" w:hAnsi="宋体" w:cs="宋体"/>
                <w:color w:val="000000"/>
                <w:szCs w:val="21"/>
                <w:highlight w:val="none"/>
              </w:rPr>
              <w:t>消毒、</w:t>
            </w:r>
            <w:r>
              <w:rPr>
                <w:rFonts w:hint="eastAsia" w:ascii="宋体" w:hAnsi="宋体" w:cs="宋体"/>
                <w:color w:val="000000"/>
                <w:szCs w:val="21"/>
                <w:highlight w:val="none"/>
                <w:lang w:val="en-US" w:eastAsia="zh-CN"/>
              </w:rPr>
              <w:t>车辆</w:t>
            </w:r>
            <w:r>
              <w:rPr>
                <w:rFonts w:hint="eastAsia" w:ascii="宋体" w:hAnsi="宋体" w:cs="宋体"/>
                <w:color w:val="000000"/>
                <w:szCs w:val="21"/>
                <w:highlight w:val="none"/>
              </w:rPr>
              <w:t>清洗等环节。方案详细合理、实用性强得</w:t>
            </w:r>
            <w:r>
              <w:rPr>
                <w:rFonts w:hint="eastAsia" w:ascii="宋体" w:hAnsi="宋体" w:cs="宋体"/>
                <w:color w:val="000000"/>
                <w:szCs w:val="21"/>
                <w:highlight w:val="none"/>
                <w:lang w:val="en-US" w:eastAsia="zh-CN"/>
              </w:rPr>
              <w:t>3</w:t>
            </w:r>
            <w:r>
              <w:rPr>
                <w:rFonts w:hint="eastAsia" w:ascii="宋体" w:hAnsi="宋体" w:cs="宋体"/>
                <w:color w:val="000000"/>
                <w:szCs w:val="21"/>
                <w:highlight w:val="none"/>
              </w:rPr>
              <w:t>-</w:t>
            </w:r>
            <w:r>
              <w:rPr>
                <w:rFonts w:hint="eastAsia" w:ascii="宋体" w:hAnsi="宋体" w:cs="宋体"/>
                <w:color w:val="000000"/>
                <w:szCs w:val="21"/>
                <w:highlight w:val="none"/>
                <w:lang w:val="en-US" w:eastAsia="zh-CN"/>
              </w:rPr>
              <w:t>5</w:t>
            </w:r>
            <w:r>
              <w:rPr>
                <w:rFonts w:hint="eastAsia" w:ascii="宋体" w:hAnsi="宋体" w:cs="宋体"/>
                <w:color w:val="000000"/>
                <w:szCs w:val="21"/>
                <w:highlight w:val="none"/>
              </w:rPr>
              <w:t>分；方案合理、实用性一般得</w:t>
            </w:r>
            <w:r>
              <w:rPr>
                <w:rFonts w:hint="eastAsia" w:ascii="宋体" w:hAnsi="宋体" w:cs="宋体"/>
                <w:color w:val="000000"/>
                <w:szCs w:val="21"/>
                <w:highlight w:val="none"/>
                <w:lang w:val="en-US" w:eastAsia="zh-CN"/>
              </w:rPr>
              <w:t>1</w:t>
            </w:r>
            <w:r>
              <w:rPr>
                <w:rFonts w:hint="eastAsia" w:ascii="宋体" w:hAnsi="宋体" w:cs="宋体"/>
                <w:color w:val="000000"/>
                <w:szCs w:val="21"/>
                <w:highlight w:val="none"/>
              </w:rPr>
              <w:t>-</w:t>
            </w:r>
            <w:r>
              <w:rPr>
                <w:rFonts w:hint="eastAsia" w:ascii="宋体" w:hAnsi="宋体" w:cs="宋体"/>
                <w:color w:val="000000"/>
                <w:szCs w:val="21"/>
                <w:highlight w:val="none"/>
                <w:lang w:val="en-US" w:eastAsia="zh-CN"/>
              </w:rPr>
              <w:t>3</w:t>
            </w:r>
            <w:r>
              <w:rPr>
                <w:rFonts w:hint="eastAsia" w:ascii="宋体" w:hAnsi="宋体" w:cs="宋体"/>
                <w:color w:val="000000"/>
                <w:szCs w:val="21"/>
                <w:highlight w:val="none"/>
              </w:rPr>
              <w:t>分；方案一般合理，实用性不足得0-</w:t>
            </w:r>
            <w:r>
              <w:rPr>
                <w:rFonts w:hint="eastAsia" w:ascii="宋体" w:hAnsi="宋体" w:cs="宋体"/>
                <w:color w:val="000000"/>
                <w:szCs w:val="21"/>
                <w:highlight w:val="none"/>
                <w:lang w:val="en-US" w:eastAsia="zh-CN"/>
              </w:rPr>
              <w:t>1</w:t>
            </w:r>
            <w:r>
              <w:rPr>
                <w:rFonts w:hint="eastAsia" w:ascii="宋体" w:hAnsi="宋体" w:cs="宋体"/>
                <w:color w:val="000000"/>
                <w:szCs w:val="21"/>
                <w:highlight w:val="none"/>
              </w:rPr>
              <w:t>分</w:t>
            </w:r>
            <w:r>
              <w:rPr>
                <w:rFonts w:hint="eastAsia" w:ascii="宋体" w:hAnsi="宋体" w:cs="宋体"/>
                <w:color w:val="000000"/>
                <w:szCs w:val="21"/>
                <w:highlight w:val="none"/>
                <w:lang w:eastAsia="zh-CN"/>
              </w:rPr>
              <w:t>。</w:t>
            </w:r>
          </w:p>
        </w:tc>
        <w:tc>
          <w:tcPr>
            <w:tcW w:w="1000" w:type="dxa"/>
            <w:tcBorders>
              <w:top w:val="single" w:color="auto" w:sz="4" w:space="0"/>
              <w:left w:val="single" w:color="auto" w:sz="4" w:space="0"/>
              <w:bottom w:val="single" w:color="auto" w:sz="4" w:space="0"/>
              <w:right w:val="single" w:color="auto" w:sz="4" w:space="0"/>
            </w:tcBorders>
            <w:noWrap w:val="0"/>
            <w:vAlign w:val="center"/>
          </w:tcPr>
          <w:p w14:paraId="1AD03976">
            <w:pPr>
              <w:keepNext w:val="0"/>
              <w:keepLines w:val="0"/>
              <w:pageBreakBefore w:val="0"/>
              <w:widowControl w:val="0"/>
              <w:kinsoku/>
              <w:overflowPunct/>
              <w:topLinePunct w:val="0"/>
              <w:autoSpaceDE/>
              <w:autoSpaceDN/>
              <w:bidi w:val="0"/>
              <w:adjustRightInd w:val="0"/>
              <w:snapToGrid w:val="0"/>
              <w:spacing w:line="380" w:lineRule="exact"/>
              <w:ind w:left="0" w:firstLine="0" w:firstLineChars="0"/>
              <w:jc w:val="center"/>
              <w:textAlignment w:val="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主观</w:t>
            </w:r>
          </w:p>
        </w:tc>
      </w:tr>
      <w:tr w14:paraId="03746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884" w:type="dxa"/>
            <w:vMerge w:val="restart"/>
            <w:tcBorders>
              <w:top w:val="single" w:color="auto" w:sz="4" w:space="0"/>
              <w:left w:val="single" w:color="auto" w:sz="4" w:space="0"/>
              <w:right w:val="single" w:color="auto" w:sz="4" w:space="0"/>
            </w:tcBorders>
            <w:noWrap w:val="0"/>
            <w:vAlign w:val="center"/>
          </w:tcPr>
          <w:p w14:paraId="4278A525">
            <w:pPr>
              <w:keepNext w:val="0"/>
              <w:keepLines w:val="0"/>
              <w:pageBreakBefore w:val="0"/>
              <w:widowControl w:val="0"/>
              <w:kinsoku/>
              <w:overflowPunct/>
              <w:topLinePunct w:val="0"/>
              <w:autoSpaceDE/>
              <w:autoSpaceDN/>
              <w:bidi w:val="0"/>
              <w:adjustRightInd w:val="0"/>
              <w:snapToGrid w:val="0"/>
              <w:spacing w:line="400" w:lineRule="exact"/>
              <w:ind w:left="0" w:firstLine="0" w:firstLineChars="0"/>
              <w:jc w:val="center"/>
              <w:textAlignment w:val="auto"/>
              <w:rPr>
                <w:rFonts w:hint="eastAsia" w:ascii="宋体" w:hAnsi="宋体" w:cs="宋体"/>
                <w:color w:val="000000"/>
                <w:szCs w:val="21"/>
                <w:highlight w:val="none"/>
              </w:rPr>
            </w:pPr>
            <w:r>
              <w:rPr>
                <w:rFonts w:hint="eastAsia" w:ascii="宋体" w:hAnsi="宋体" w:cs="宋体"/>
                <w:color w:val="000000"/>
                <w:szCs w:val="21"/>
                <w:highlight w:val="none"/>
              </w:rPr>
              <w:t>质量</w:t>
            </w:r>
          </w:p>
          <w:p w14:paraId="6994E62B">
            <w:pPr>
              <w:keepNext w:val="0"/>
              <w:keepLines w:val="0"/>
              <w:pageBreakBefore w:val="0"/>
              <w:widowControl w:val="0"/>
              <w:kinsoku/>
              <w:overflowPunct/>
              <w:topLinePunct w:val="0"/>
              <w:autoSpaceDE/>
              <w:autoSpaceDN/>
              <w:bidi w:val="0"/>
              <w:adjustRightInd w:val="0"/>
              <w:snapToGrid w:val="0"/>
              <w:spacing w:line="400" w:lineRule="exact"/>
              <w:ind w:left="0" w:firstLine="0" w:firstLineChars="0"/>
              <w:jc w:val="center"/>
              <w:textAlignment w:val="auto"/>
              <w:rPr>
                <w:rFonts w:hint="eastAsia" w:ascii="宋体" w:hAnsi="宋体" w:cs="宋体"/>
                <w:color w:val="000000"/>
                <w:szCs w:val="21"/>
                <w:highlight w:val="none"/>
              </w:rPr>
            </w:pPr>
            <w:r>
              <w:rPr>
                <w:rFonts w:hint="eastAsia" w:ascii="宋体" w:hAnsi="宋体" w:cs="宋体"/>
                <w:color w:val="000000"/>
                <w:szCs w:val="21"/>
                <w:highlight w:val="none"/>
              </w:rPr>
              <w:t>保证</w:t>
            </w:r>
          </w:p>
        </w:tc>
        <w:tc>
          <w:tcPr>
            <w:tcW w:w="788" w:type="dxa"/>
            <w:vMerge w:val="restart"/>
            <w:tcBorders>
              <w:top w:val="single" w:color="auto" w:sz="4" w:space="0"/>
              <w:left w:val="single" w:color="auto" w:sz="4" w:space="0"/>
              <w:right w:val="single" w:color="auto" w:sz="4" w:space="0"/>
            </w:tcBorders>
            <w:noWrap w:val="0"/>
            <w:vAlign w:val="center"/>
          </w:tcPr>
          <w:p w14:paraId="5DF727F9">
            <w:pPr>
              <w:keepNext w:val="0"/>
              <w:keepLines w:val="0"/>
              <w:pageBreakBefore w:val="0"/>
              <w:widowControl w:val="0"/>
              <w:kinsoku/>
              <w:overflowPunct/>
              <w:topLinePunct w:val="0"/>
              <w:autoSpaceDE/>
              <w:autoSpaceDN/>
              <w:bidi w:val="0"/>
              <w:adjustRightInd w:val="0"/>
              <w:snapToGrid w:val="0"/>
              <w:spacing w:line="400" w:lineRule="exact"/>
              <w:ind w:left="0" w:firstLine="0" w:firstLineChars="0"/>
              <w:jc w:val="center"/>
              <w:textAlignment w:val="auto"/>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26</w:t>
            </w:r>
          </w:p>
        </w:tc>
        <w:tc>
          <w:tcPr>
            <w:tcW w:w="7428" w:type="dxa"/>
            <w:tcBorders>
              <w:top w:val="single" w:color="auto" w:sz="4" w:space="0"/>
              <w:left w:val="single" w:color="auto" w:sz="4" w:space="0"/>
              <w:bottom w:val="single" w:color="auto" w:sz="4" w:space="0"/>
              <w:right w:val="single" w:color="auto" w:sz="4" w:space="0"/>
            </w:tcBorders>
            <w:noWrap w:val="0"/>
            <w:vAlign w:val="center"/>
          </w:tcPr>
          <w:p w14:paraId="58112EA8">
            <w:pPr>
              <w:keepNext w:val="0"/>
              <w:keepLines w:val="0"/>
              <w:pageBreakBefore w:val="0"/>
              <w:widowControl w:val="0"/>
              <w:kinsoku/>
              <w:overflowPunct/>
              <w:topLinePunct w:val="0"/>
              <w:autoSpaceDE/>
              <w:autoSpaceDN/>
              <w:bidi w:val="0"/>
              <w:spacing w:line="400" w:lineRule="exact"/>
              <w:ind w:left="0" w:firstLine="0" w:firstLineChars="0"/>
              <w:jc w:val="left"/>
              <w:textAlignment w:val="auto"/>
              <w:rPr>
                <w:rFonts w:hint="default" w:ascii="宋体" w:hAnsi="宋体" w:cs="宋体"/>
                <w:color w:val="000000"/>
                <w:szCs w:val="21"/>
                <w:highlight w:val="none"/>
                <w:lang w:val="en-US" w:eastAsia="zh-CN"/>
              </w:rPr>
            </w:pPr>
            <w:r>
              <w:rPr>
                <w:rFonts w:hint="eastAsia" w:ascii="宋体" w:hAnsi="宋体" w:cs="宋体"/>
                <w:b/>
                <w:bCs/>
                <w:color w:val="000000"/>
                <w:szCs w:val="21"/>
                <w:highlight w:val="none"/>
                <w:lang w:eastAsia="zh-CN"/>
              </w:rPr>
              <w:t>配送车辆：</w:t>
            </w:r>
            <w:r>
              <w:rPr>
                <w:rFonts w:hint="eastAsia" w:ascii="宋体" w:hAnsi="宋体" w:cs="宋体"/>
                <w:color w:val="000000"/>
                <w:szCs w:val="21"/>
                <w:highlight w:val="none"/>
                <w:lang w:eastAsia="zh-CN"/>
              </w:rPr>
              <w:t>投标供应商需提供固定的车辆配送服务，所有食材运输必须采用符合卫生标准的外包装和运载工具，并且要保持清洁和定期消毒。提供冷链运输车和货车自有或租赁车辆证明材料。①提供1辆冷链运输车</w:t>
            </w:r>
            <w:r>
              <w:rPr>
                <w:rFonts w:hint="eastAsia" w:ascii="宋体" w:hAnsi="宋体" w:cs="宋体"/>
                <w:color w:val="000000"/>
                <w:szCs w:val="21"/>
                <w:highlight w:val="none"/>
                <w:lang w:val="en-US" w:eastAsia="zh-CN"/>
              </w:rPr>
              <w:t>5分</w:t>
            </w:r>
            <w:r>
              <w:rPr>
                <w:rFonts w:hint="eastAsia" w:ascii="宋体" w:hAnsi="宋体" w:cs="宋体"/>
                <w:color w:val="000000"/>
                <w:szCs w:val="21"/>
                <w:highlight w:val="none"/>
                <w:lang w:eastAsia="zh-CN"/>
              </w:rPr>
              <w:t>。②每提供1辆货车计</w:t>
            </w:r>
            <w:r>
              <w:rPr>
                <w:rFonts w:hint="eastAsia" w:ascii="宋体" w:hAnsi="宋体" w:cs="宋体"/>
                <w:color w:val="000000"/>
                <w:szCs w:val="21"/>
                <w:highlight w:val="none"/>
                <w:lang w:val="en-US" w:eastAsia="zh-CN"/>
              </w:rPr>
              <w:t>2.5</w:t>
            </w:r>
            <w:r>
              <w:rPr>
                <w:rFonts w:hint="eastAsia" w:ascii="宋体" w:hAnsi="宋体" w:cs="宋体"/>
                <w:color w:val="000000"/>
                <w:szCs w:val="21"/>
                <w:highlight w:val="none"/>
                <w:lang w:eastAsia="zh-CN"/>
              </w:rPr>
              <w:t>分，满分</w:t>
            </w:r>
            <w:r>
              <w:rPr>
                <w:rFonts w:hint="eastAsia" w:ascii="宋体" w:hAnsi="宋体" w:cs="宋体"/>
                <w:color w:val="000000"/>
                <w:szCs w:val="21"/>
                <w:highlight w:val="none"/>
                <w:lang w:val="en-US" w:eastAsia="zh-CN"/>
              </w:rPr>
              <w:t>5</w:t>
            </w:r>
            <w:r>
              <w:rPr>
                <w:rFonts w:hint="eastAsia" w:ascii="宋体" w:hAnsi="宋体" w:cs="宋体"/>
                <w:color w:val="000000"/>
                <w:szCs w:val="21"/>
                <w:highlight w:val="none"/>
                <w:lang w:eastAsia="zh-CN"/>
              </w:rPr>
              <w:t>分。</w:t>
            </w:r>
          </w:p>
          <w:p w14:paraId="6DE99CF3">
            <w:pPr>
              <w:keepNext w:val="0"/>
              <w:keepLines w:val="0"/>
              <w:pageBreakBefore w:val="0"/>
              <w:widowControl w:val="0"/>
              <w:kinsoku/>
              <w:overflowPunct/>
              <w:topLinePunct w:val="0"/>
              <w:autoSpaceDE/>
              <w:autoSpaceDN/>
              <w:bidi w:val="0"/>
              <w:adjustRightInd w:val="0"/>
              <w:snapToGrid w:val="0"/>
              <w:spacing w:line="400" w:lineRule="exact"/>
              <w:ind w:left="0" w:firstLine="0" w:firstLineChars="0"/>
              <w:jc w:val="left"/>
              <w:textAlignment w:val="auto"/>
              <w:rPr>
                <w:rFonts w:hint="eastAsia" w:ascii="宋体" w:hAnsi="宋体" w:cs="宋体"/>
                <w:color w:val="000000"/>
                <w:szCs w:val="21"/>
                <w:highlight w:val="none"/>
              </w:rPr>
            </w:pPr>
            <w:r>
              <w:rPr>
                <w:rFonts w:hint="eastAsia" w:ascii="宋体" w:hAnsi="宋体" w:cs="宋体"/>
                <w:color w:val="000000"/>
                <w:szCs w:val="21"/>
                <w:highlight w:val="none"/>
                <w:lang w:eastAsia="zh-CN"/>
              </w:rPr>
              <w:t>备注：企业自有的运输配送车辆需提供</w:t>
            </w:r>
            <w:r>
              <w:rPr>
                <w:rFonts w:hint="eastAsia" w:ascii="宋体" w:hAnsi="宋体" w:cs="宋体"/>
                <w:color w:val="000000"/>
                <w:szCs w:val="21"/>
                <w:highlight w:val="none"/>
                <w:lang w:val="en-US" w:eastAsia="zh-CN"/>
              </w:rPr>
              <w:t>有效的</w:t>
            </w:r>
            <w:r>
              <w:rPr>
                <w:rFonts w:hint="eastAsia" w:ascii="宋体" w:hAnsi="宋体" w:cs="宋体"/>
                <w:color w:val="000000"/>
                <w:szCs w:val="21"/>
                <w:highlight w:val="none"/>
                <w:lang w:eastAsia="zh-CN"/>
              </w:rPr>
              <w:t>车辆行驶证；租赁车辆需提供车辆租赁合同</w:t>
            </w:r>
            <w:r>
              <w:rPr>
                <w:rFonts w:hint="eastAsia" w:ascii="宋体" w:hAnsi="宋体" w:cs="宋体"/>
                <w:color w:val="000000"/>
                <w:szCs w:val="21"/>
                <w:highlight w:val="none"/>
                <w:lang w:val="en-US" w:eastAsia="zh-CN"/>
              </w:rPr>
              <w:t>及有效车辆行驶证</w:t>
            </w:r>
            <w:r>
              <w:rPr>
                <w:rFonts w:hint="eastAsia" w:ascii="宋体" w:hAnsi="宋体" w:cs="宋体"/>
                <w:color w:val="000000"/>
                <w:szCs w:val="21"/>
                <w:highlight w:val="none"/>
                <w:lang w:eastAsia="zh-CN"/>
              </w:rPr>
              <w:t>相关证明文件。</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    </w:t>
            </w:r>
          </w:p>
        </w:tc>
        <w:tc>
          <w:tcPr>
            <w:tcW w:w="1000" w:type="dxa"/>
            <w:tcBorders>
              <w:top w:val="single" w:color="auto" w:sz="4" w:space="0"/>
              <w:left w:val="single" w:color="auto" w:sz="4" w:space="0"/>
              <w:bottom w:val="single" w:color="auto" w:sz="4" w:space="0"/>
              <w:right w:val="single" w:color="auto" w:sz="4" w:space="0"/>
            </w:tcBorders>
            <w:noWrap w:val="0"/>
            <w:vAlign w:val="center"/>
          </w:tcPr>
          <w:p w14:paraId="43B60A7E">
            <w:pPr>
              <w:keepNext w:val="0"/>
              <w:keepLines w:val="0"/>
              <w:pageBreakBefore w:val="0"/>
              <w:widowControl w:val="0"/>
              <w:kinsoku/>
              <w:overflowPunct/>
              <w:topLinePunct w:val="0"/>
              <w:autoSpaceDE/>
              <w:autoSpaceDN/>
              <w:bidi w:val="0"/>
              <w:adjustRightInd w:val="0"/>
              <w:snapToGrid w:val="0"/>
              <w:spacing w:line="380" w:lineRule="exact"/>
              <w:ind w:left="0" w:firstLine="0" w:firstLineChars="0"/>
              <w:jc w:val="center"/>
              <w:textAlignment w:val="auto"/>
              <w:rPr>
                <w:rFonts w:hint="default"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客观</w:t>
            </w:r>
          </w:p>
        </w:tc>
      </w:tr>
      <w:tr w14:paraId="117FE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884" w:type="dxa"/>
            <w:vMerge w:val="continue"/>
            <w:tcBorders>
              <w:left w:val="single" w:color="auto" w:sz="4" w:space="0"/>
              <w:right w:val="single" w:color="auto" w:sz="4" w:space="0"/>
            </w:tcBorders>
            <w:noWrap w:val="0"/>
            <w:vAlign w:val="center"/>
          </w:tcPr>
          <w:p w14:paraId="473993C7">
            <w:pPr>
              <w:keepNext w:val="0"/>
              <w:keepLines w:val="0"/>
              <w:pageBreakBefore w:val="0"/>
              <w:widowControl w:val="0"/>
              <w:kinsoku/>
              <w:overflowPunct/>
              <w:topLinePunct w:val="0"/>
              <w:autoSpaceDE/>
              <w:autoSpaceDN/>
              <w:bidi w:val="0"/>
              <w:adjustRightInd w:val="0"/>
              <w:snapToGrid w:val="0"/>
              <w:spacing w:line="400" w:lineRule="exact"/>
              <w:ind w:left="0" w:firstLine="0" w:firstLineChars="0"/>
              <w:jc w:val="center"/>
              <w:textAlignment w:val="auto"/>
              <w:rPr>
                <w:rFonts w:hint="eastAsia" w:ascii="宋体" w:hAnsi="宋体" w:cs="宋体"/>
                <w:color w:val="000000"/>
                <w:szCs w:val="21"/>
                <w:highlight w:val="none"/>
              </w:rPr>
            </w:pPr>
          </w:p>
        </w:tc>
        <w:tc>
          <w:tcPr>
            <w:tcW w:w="788" w:type="dxa"/>
            <w:vMerge w:val="continue"/>
            <w:tcBorders>
              <w:left w:val="single" w:color="auto" w:sz="4" w:space="0"/>
              <w:right w:val="single" w:color="auto" w:sz="4" w:space="0"/>
            </w:tcBorders>
            <w:noWrap w:val="0"/>
            <w:vAlign w:val="center"/>
          </w:tcPr>
          <w:p w14:paraId="2F49F0DF">
            <w:pPr>
              <w:keepNext w:val="0"/>
              <w:keepLines w:val="0"/>
              <w:pageBreakBefore w:val="0"/>
              <w:widowControl w:val="0"/>
              <w:kinsoku/>
              <w:overflowPunct/>
              <w:topLinePunct w:val="0"/>
              <w:autoSpaceDE/>
              <w:autoSpaceDN/>
              <w:bidi w:val="0"/>
              <w:adjustRightInd w:val="0"/>
              <w:snapToGrid w:val="0"/>
              <w:spacing w:line="400" w:lineRule="exact"/>
              <w:ind w:left="0" w:firstLine="0" w:firstLineChars="0"/>
              <w:jc w:val="center"/>
              <w:textAlignment w:val="auto"/>
              <w:rPr>
                <w:rFonts w:hint="eastAsia" w:ascii="宋体" w:hAnsi="宋体" w:cs="宋体"/>
                <w:color w:val="000000"/>
                <w:szCs w:val="21"/>
                <w:highlight w:val="none"/>
              </w:rPr>
            </w:pPr>
          </w:p>
        </w:tc>
        <w:tc>
          <w:tcPr>
            <w:tcW w:w="7428" w:type="dxa"/>
            <w:tcBorders>
              <w:top w:val="single" w:color="auto" w:sz="4" w:space="0"/>
              <w:left w:val="single" w:color="auto" w:sz="4" w:space="0"/>
              <w:bottom w:val="single" w:color="auto" w:sz="4" w:space="0"/>
              <w:right w:val="single" w:color="auto" w:sz="4" w:space="0"/>
            </w:tcBorders>
            <w:noWrap w:val="0"/>
            <w:vAlign w:val="center"/>
          </w:tcPr>
          <w:p w14:paraId="129780E2">
            <w:pPr>
              <w:keepNext w:val="0"/>
              <w:keepLines w:val="0"/>
              <w:pageBreakBefore w:val="0"/>
              <w:widowControl w:val="0"/>
              <w:numPr>
                <w:ilvl w:val="0"/>
                <w:numId w:val="0"/>
              </w:numPr>
              <w:kinsoku/>
              <w:overflowPunct/>
              <w:topLinePunct w:val="0"/>
              <w:autoSpaceDE/>
              <w:autoSpaceDN/>
              <w:bidi w:val="0"/>
              <w:adjustRightInd w:val="0"/>
              <w:snapToGrid w:val="0"/>
              <w:spacing w:line="400" w:lineRule="exact"/>
              <w:ind w:left="0" w:leftChars="0" w:firstLine="0" w:firstLineChars="0"/>
              <w:jc w:val="left"/>
              <w:textAlignment w:val="auto"/>
              <w:rPr>
                <w:rFonts w:hint="eastAsia" w:ascii="宋体" w:hAnsi="宋体" w:cs="宋体"/>
                <w:b/>
                <w:bCs/>
                <w:color w:val="000000"/>
                <w:szCs w:val="21"/>
                <w:highlight w:val="none"/>
              </w:rPr>
            </w:pPr>
            <w:r>
              <w:rPr>
                <w:rFonts w:hint="eastAsia" w:ascii="宋体" w:hAnsi="宋体" w:cs="宋体"/>
                <w:b/>
                <w:bCs/>
                <w:color w:val="000000"/>
                <w:szCs w:val="21"/>
                <w:highlight w:val="none"/>
              </w:rPr>
              <w:t>人员配备</w:t>
            </w:r>
          </w:p>
          <w:p w14:paraId="7515D528">
            <w:pPr>
              <w:keepNext w:val="0"/>
              <w:keepLines w:val="0"/>
              <w:pageBreakBefore w:val="0"/>
              <w:widowControl w:val="0"/>
              <w:numPr>
                <w:ilvl w:val="0"/>
                <w:numId w:val="0"/>
              </w:numPr>
              <w:kinsoku/>
              <w:overflowPunct/>
              <w:topLinePunct w:val="0"/>
              <w:autoSpaceDE/>
              <w:autoSpaceDN/>
              <w:bidi w:val="0"/>
              <w:adjustRightInd w:val="0"/>
              <w:snapToGrid w:val="0"/>
              <w:spacing w:line="400" w:lineRule="exact"/>
              <w:ind w:left="0" w:leftChars="0" w:firstLine="0" w:firstLineChars="0"/>
              <w:jc w:val="left"/>
              <w:textAlignment w:val="auto"/>
              <w:rPr>
                <w:rFonts w:hint="eastAsia" w:ascii="宋体" w:hAnsi="宋体" w:cs="宋体"/>
                <w:color w:val="000000"/>
                <w:szCs w:val="21"/>
                <w:highlight w:val="none"/>
                <w:lang w:eastAsia="zh-CN"/>
              </w:rPr>
            </w:pPr>
            <w:r>
              <w:rPr>
                <w:rFonts w:hint="default" w:ascii="Calibri" w:hAnsi="Calibri" w:cs="Calibri"/>
                <w:b/>
                <w:bCs/>
                <w:color w:val="000000"/>
                <w:szCs w:val="21"/>
                <w:highlight w:val="none"/>
                <w:lang w:val="en-US" w:eastAsia="zh-CN"/>
              </w:rPr>
              <w:t>①</w:t>
            </w:r>
            <w:r>
              <w:rPr>
                <w:rFonts w:hint="eastAsia" w:ascii="宋体" w:hAnsi="宋体" w:cs="宋体"/>
                <w:b/>
                <w:bCs/>
                <w:color w:val="000000"/>
                <w:szCs w:val="21"/>
                <w:highlight w:val="none"/>
                <w:lang w:val="en-US" w:eastAsia="zh-CN"/>
              </w:rPr>
              <w:t>配备清单：</w:t>
            </w:r>
            <w:r>
              <w:rPr>
                <w:rFonts w:hint="eastAsia" w:ascii="宋体" w:hAnsi="宋体" w:cs="宋体"/>
                <w:color w:val="000000"/>
                <w:szCs w:val="21"/>
                <w:highlight w:val="none"/>
                <w:lang w:eastAsia="zh-CN"/>
              </w:rPr>
              <w:t>投标供应商提供针对本项目的人员配备清单，明确拟派项目经理、质检人员、配送人员、售后服务人员（须提供人员身份证、健康证</w:t>
            </w:r>
            <w:r>
              <w:rPr>
                <w:rFonts w:hint="eastAsia" w:ascii="宋体" w:hAnsi="宋体" w:cs="宋体"/>
                <w:color w:val="000000"/>
                <w:szCs w:val="21"/>
                <w:highlight w:val="none"/>
                <w:lang w:val="en-US" w:eastAsia="zh-CN"/>
              </w:rPr>
              <w:t>及</w:t>
            </w:r>
            <w:r>
              <w:rPr>
                <w:rFonts w:hint="eastAsia" w:ascii="宋体" w:hAnsi="宋体" w:cs="宋体"/>
                <w:color w:val="000000"/>
                <w:szCs w:val="21"/>
                <w:highlight w:val="none"/>
                <w:lang w:eastAsia="zh-CN"/>
              </w:rPr>
              <w:t>人员</w:t>
            </w:r>
            <w:r>
              <w:rPr>
                <w:rFonts w:hint="eastAsia" w:ascii="宋体" w:hAnsi="宋体" w:cs="宋体"/>
                <w:color w:val="000000"/>
                <w:szCs w:val="21"/>
                <w:highlight w:val="none"/>
                <w:lang w:val="en-US" w:eastAsia="zh-CN"/>
              </w:rPr>
              <w:t>劳动合同或社保缴纳证明</w:t>
            </w:r>
            <w:r>
              <w:rPr>
                <w:rFonts w:hint="eastAsia" w:ascii="宋体" w:hAnsi="宋体" w:cs="宋体"/>
                <w:color w:val="000000"/>
                <w:szCs w:val="21"/>
                <w:highlight w:val="none"/>
                <w:lang w:eastAsia="zh-CN"/>
              </w:rPr>
              <w:t>，</w:t>
            </w:r>
            <w:r>
              <w:rPr>
                <w:rFonts w:hint="eastAsia" w:ascii="宋体" w:hAnsi="宋体" w:cs="宋体"/>
                <w:color w:val="000000"/>
                <w:szCs w:val="21"/>
                <w:highlight w:val="none"/>
                <w:lang w:val="en-US" w:eastAsia="zh-CN"/>
              </w:rPr>
              <w:t xml:space="preserve">提供完整得6分，提供不完整或未提供不得分；                    </w:t>
            </w:r>
          </w:p>
          <w:p w14:paraId="3C50CCD9">
            <w:pPr>
              <w:keepNext w:val="0"/>
              <w:keepLines w:val="0"/>
              <w:pageBreakBefore w:val="0"/>
              <w:widowControl w:val="0"/>
              <w:kinsoku/>
              <w:overflowPunct/>
              <w:topLinePunct w:val="0"/>
              <w:autoSpaceDE/>
              <w:autoSpaceDN/>
              <w:bidi w:val="0"/>
              <w:adjustRightInd w:val="0"/>
              <w:snapToGrid w:val="0"/>
              <w:spacing w:line="400" w:lineRule="exact"/>
              <w:ind w:left="0" w:firstLine="0" w:firstLineChars="0"/>
              <w:jc w:val="left"/>
              <w:textAlignment w:val="auto"/>
              <w:rPr>
                <w:rFonts w:hint="eastAsia" w:ascii="宋体" w:hAnsi="宋体" w:cs="宋体"/>
                <w:color w:val="000000"/>
                <w:szCs w:val="21"/>
                <w:highlight w:val="none"/>
              </w:rPr>
            </w:pPr>
            <w:r>
              <w:rPr>
                <w:rFonts w:hint="default" w:ascii="Calibri" w:hAnsi="Calibri" w:cs="Calibri"/>
                <w:b/>
                <w:bCs/>
                <w:color w:val="000000"/>
                <w:szCs w:val="21"/>
                <w:highlight w:val="none"/>
                <w:lang w:val="en-US" w:eastAsia="zh-CN"/>
              </w:rPr>
              <w:t>②</w:t>
            </w:r>
            <w:r>
              <w:rPr>
                <w:rFonts w:hint="eastAsia" w:ascii="宋体" w:hAnsi="宋体" w:cs="宋体"/>
                <w:b/>
                <w:bCs/>
                <w:color w:val="000000"/>
                <w:szCs w:val="21"/>
                <w:highlight w:val="none"/>
                <w:lang w:val="en-US" w:eastAsia="zh-CN"/>
              </w:rPr>
              <w:t>承诺：</w:t>
            </w:r>
            <w:r>
              <w:rPr>
                <w:rFonts w:hint="eastAsia" w:ascii="宋体" w:hAnsi="宋体" w:cs="宋体"/>
                <w:color w:val="000000"/>
                <w:szCs w:val="21"/>
                <w:highlight w:val="none"/>
                <w:lang w:eastAsia="zh-CN"/>
              </w:rPr>
              <w:t>承诺上述所有人员需持有效健康证上岗、定期对配备人员进行食品安全培训，提供承诺函并加盖投标供应商公章。</w:t>
            </w:r>
            <w:r>
              <w:rPr>
                <w:rFonts w:hint="eastAsia" w:ascii="宋体" w:hAnsi="宋体" w:cs="宋体"/>
                <w:color w:val="000000"/>
                <w:szCs w:val="21"/>
                <w:highlight w:val="none"/>
                <w:lang w:val="en-US" w:eastAsia="zh-CN"/>
              </w:rPr>
              <w:t>提供承诺得5分；不提供不得分；</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  </w:t>
            </w:r>
          </w:p>
        </w:tc>
        <w:tc>
          <w:tcPr>
            <w:tcW w:w="1000" w:type="dxa"/>
            <w:tcBorders>
              <w:top w:val="single" w:color="auto" w:sz="4" w:space="0"/>
              <w:left w:val="single" w:color="auto" w:sz="4" w:space="0"/>
              <w:bottom w:val="single" w:color="auto" w:sz="4" w:space="0"/>
              <w:right w:val="single" w:color="auto" w:sz="4" w:space="0"/>
            </w:tcBorders>
            <w:noWrap w:val="0"/>
            <w:vAlign w:val="center"/>
          </w:tcPr>
          <w:p w14:paraId="5E077C84">
            <w:pPr>
              <w:keepNext w:val="0"/>
              <w:keepLines w:val="0"/>
              <w:pageBreakBefore w:val="0"/>
              <w:widowControl w:val="0"/>
              <w:kinsoku/>
              <w:overflowPunct/>
              <w:topLinePunct w:val="0"/>
              <w:autoSpaceDE/>
              <w:autoSpaceDN/>
              <w:bidi w:val="0"/>
              <w:adjustRightInd w:val="0"/>
              <w:snapToGrid w:val="0"/>
              <w:spacing w:line="380" w:lineRule="exact"/>
              <w:ind w:left="0" w:firstLine="0" w:firstLineChars="0"/>
              <w:jc w:val="center"/>
              <w:textAlignment w:val="auto"/>
              <w:rPr>
                <w:rFonts w:hint="default"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客观</w:t>
            </w:r>
          </w:p>
        </w:tc>
      </w:tr>
      <w:tr w14:paraId="1EEF7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884" w:type="dxa"/>
            <w:vMerge w:val="continue"/>
            <w:tcBorders>
              <w:left w:val="single" w:color="auto" w:sz="4" w:space="0"/>
              <w:right w:val="single" w:color="auto" w:sz="4" w:space="0"/>
            </w:tcBorders>
            <w:noWrap w:val="0"/>
            <w:vAlign w:val="center"/>
          </w:tcPr>
          <w:p w14:paraId="2592BCB4">
            <w:pPr>
              <w:keepNext w:val="0"/>
              <w:keepLines w:val="0"/>
              <w:pageBreakBefore w:val="0"/>
              <w:widowControl w:val="0"/>
              <w:kinsoku/>
              <w:overflowPunct/>
              <w:topLinePunct w:val="0"/>
              <w:autoSpaceDE/>
              <w:autoSpaceDN/>
              <w:bidi w:val="0"/>
              <w:adjustRightInd w:val="0"/>
              <w:snapToGrid w:val="0"/>
              <w:spacing w:line="400" w:lineRule="exact"/>
              <w:ind w:left="0" w:firstLine="0" w:firstLineChars="0"/>
              <w:jc w:val="center"/>
              <w:textAlignment w:val="auto"/>
              <w:rPr>
                <w:rFonts w:hint="eastAsia" w:ascii="宋体" w:hAnsi="宋体" w:cs="宋体"/>
                <w:color w:val="000000"/>
                <w:szCs w:val="21"/>
                <w:highlight w:val="none"/>
              </w:rPr>
            </w:pPr>
          </w:p>
        </w:tc>
        <w:tc>
          <w:tcPr>
            <w:tcW w:w="788" w:type="dxa"/>
            <w:vMerge w:val="continue"/>
            <w:tcBorders>
              <w:left w:val="single" w:color="auto" w:sz="4" w:space="0"/>
              <w:right w:val="single" w:color="auto" w:sz="4" w:space="0"/>
            </w:tcBorders>
            <w:noWrap w:val="0"/>
            <w:vAlign w:val="center"/>
          </w:tcPr>
          <w:p w14:paraId="665B4490">
            <w:pPr>
              <w:keepNext w:val="0"/>
              <w:keepLines w:val="0"/>
              <w:pageBreakBefore w:val="0"/>
              <w:widowControl w:val="0"/>
              <w:kinsoku/>
              <w:overflowPunct/>
              <w:topLinePunct w:val="0"/>
              <w:autoSpaceDE/>
              <w:autoSpaceDN/>
              <w:bidi w:val="0"/>
              <w:adjustRightInd w:val="0"/>
              <w:snapToGrid w:val="0"/>
              <w:spacing w:line="400" w:lineRule="exact"/>
              <w:ind w:left="0" w:firstLine="0" w:firstLineChars="0"/>
              <w:jc w:val="center"/>
              <w:textAlignment w:val="auto"/>
              <w:rPr>
                <w:rFonts w:hint="eastAsia" w:ascii="宋体" w:hAnsi="宋体" w:cs="宋体"/>
                <w:color w:val="000000"/>
                <w:szCs w:val="21"/>
                <w:highlight w:val="none"/>
              </w:rPr>
            </w:pPr>
          </w:p>
        </w:tc>
        <w:tc>
          <w:tcPr>
            <w:tcW w:w="7428" w:type="dxa"/>
            <w:tcBorders>
              <w:top w:val="single" w:color="auto" w:sz="4" w:space="0"/>
              <w:left w:val="single" w:color="auto" w:sz="4" w:space="0"/>
              <w:bottom w:val="single" w:color="auto" w:sz="4" w:space="0"/>
              <w:right w:val="single" w:color="auto" w:sz="4" w:space="0"/>
            </w:tcBorders>
            <w:noWrap w:val="0"/>
            <w:vAlign w:val="center"/>
          </w:tcPr>
          <w:p w14:paraId="402746BF">
            <w:pPr>
              <w:keepNext w:val="0"/>
              <w:keepLines w:val="0"/>
              <w:pageBreakBefore w:val="0"/>
              <w:widowControl w:val="0"/>
              <w:kinsoku/>
              <w:overflowPunct/>
              <w:topLinePunct w:val="0"/>
              <w:autoSpaceDE/>
              <w:autoSpaceDN/>
              <w:bidi w:val="0"/>
              <w:adjustRightInd w:val="0"/>
              <w:snapToGrid w:val="0"/>
              <w:spacing w:line="400" w:lineRule="exact"/>
              <w:ind w:left="0" w:firstLine="0" w:firstLineChars="0"/>
              <w:jc w:val="left"/>
              <w:textAlignment w:val="auto"/>
              <w:rPr>
                <w:rFonts w:hint="eastAsia" w:ascii="宋体" w:hAnsi="宋体" w:cs="宋体"/>
                <w:color w:val="000000"/>
                <w:szCs w:val="21"/>
                <w:highlight w:val="none"/>
                <w:lang w:eastAsia="zh-CN"/>
              </w:rPr>
            </w:pPr>
            <w:r>
              <w:rPr>
                <w:rFonts w:hint="eastAsia" w:ascii="宋体" w:hAnsi="宋体" w:cs="宋体"/>
                <w:b/>
                <w:bCs/>
                <w:color w:val="000000"/>
                <w:szCs w:val="21"/>
                <w:highlight w:val="none"/>
              </w:rPr>
              <w:t>食材仓储环境</w:t>
            </w:r>
            <w:r>
              <w:rPr>
                <w:rFonts w:hint="eastAsia" w:ascii="宋体" w:hAnsi="宋体" w:cs="宋体"/>
                <w:b/>
                <w:bCs/>
                <w:color w:val="000000"/>
                <w:szCs w:val="21"/>
                <w:highlight w:val="none"/>
                <w:lang w:eastAsia="zh-CN"/>
              </w:rPr>
              <w:t>：</w:t>
            </w:r>
            <w:r>
              <w:rPr>
                <w:rFonts w:hint="eastAsia" w:ascii="宋体" w:hAnsi="宋体" w:cs="宋体"/>
                <w:color w:val="000000"/>
                <w:szCs w:val="21"/>
                <w:highlight w:val="none"/>
                <w:lang w:eastAsia="zh-CN"/>
              </w:rPr>
              <w:t>投标供应商</w:t>
            </w:r>
            <w:r>
              <w:rPr>
                <w:rFonts w:hint="eastAsia" w:ascii="宋体" w:hAnsi="宋体" w:cs="宋体"/>
                <w:color w:val="000000"/>
                <w:szCs w:val="21"/>
                <w:highlight w:val="none"/>
              </w:rPr>
              <w:t>提供食材仓储环境，提供配送车间、仓储库房</w:t>
            </w:r>
            <w:r>
              <w:rPr>
                <w:rFonts w:hint="eastAsia" w:ascii="宋体" w:hAnsi="宋体" w:cs="宋体"/>
                <w:color w:val="000000"/>
                <w:szCs w:val="21"/>
                <w:highlight w:val="none"/>
                <w:lang w:eastAsia="zh-CN"/>
              </w:rPr>
              <w:t>（</w:t>
            </w:r>
            <w:r>
              <w:rPr>
                <w:rFonts w:hint="eastAsia" w:ascii="宋体" w:hAnsi="宋体" w:cs="宋体"/>
                <w:color w:val="000000"/>
                <w:szCs w:val="21"/>
                <w:highlight w:val="none"/>
                <w:lang w:val="en-US" w:eastAsia="zh-CN"/>
              </w:rPr>
              <w:t>含冷库</w:t>
            </w:r>
            <w:r>
              <w:rPr>
                <w:rFonts w:hint="eastAsia" w:ascii="宋体" w:hAnsi="宋体" w:cs="宋体"/>
                <w:color w:val="000000"/>
                <w:szCs w:val="21"/>
                <w:highlight w:val="none"/>
                <w:lang w:eastAsia="zh-CN"/>
              </w:rPr>
              <w:t>）</w:t>
            </w:r>
            <w:r>
              <w:rPr>
                <w:rFonts w:hint="eastAsia" w:ascii="宋体" w:hAnsi="宋体" w:cs="宋体"/>
                <w:color w:val="000000"/>
                <w:szCs w:val="21"/>
                <w:highlight w:val="none"/>
              </w:rPr>
              <w:t>等库房</w:t>
            </w:r>
            <w:r>
              <w:rPr>
                <w:rFonts w:hint="eastAsia" w:ascii="宋体" w:hAnsi="宋体" w:cs="宋体"/>
                <w:color w:val="000000"/>
                <w:szCs w:val="21"/>
                <w:highlight w:val="none"/>
                <w:lang w:val="en-US" w:eastAsia="zh-CN"/>
              </w:rPr>
              <w:t>租赁</w:t>
            </w:r>
            <w:r>
              <w:rPr>
                <w:rFonts w:hint="eastAsia" w:ascii="宋体" w:hAnsi="宋体" w:cs="宋体"/>
                <w:color w:val="000000"/>
                <w:szCs w:val="21"/>
                <w:highlight w:val="none"/>
              </w:rPr>
              <w:t>合同</w:t>
            </w:r>
            <w:r>
              <w:rPr>
                <w:rFonts w:hint="eastAsia" w:ascii="宋体" w:hAnsi="宋体" w:cs="宋体"/>
                <w:color w:val="000000"/>
                <w:szCs w:val="21"/>
                <w:highlight w:val="none"/>
                <w:lang w:val="en-US" w:eastAsia="zh-CN"/>
              </w:rPr>
              <w:t>或自有产权证明、</w:t>
            </w:r>
            <w:r>
              <w:rPr>
                <w:rFonts w:hint="eastAsia" w:ascii="宋体" w:hAnsi="宋体" w:cs="宋体"/>
                <w:color w:val="000000"/>
                <w:szCs w:val="21"/>
                <w:highlight w:val="none"/>
              </w:rPr>
              <w:t>仓储设备证明材料等，并附实景照片。仓储环境应能保障食材安全与品质，降低食材损耗率。</w:t>
            </w:r>
            <w:r>
              <w:rPr>
                <w:rFonts w:hint="eastAsia" w:ascii="宋体" w:hAnsi="宋体" w:cs="宋体"/>
                <w:color w:val="000000"/>
                <w:szCs w:val="21"/>
                <w:highlight w:val="none"/>
                <w:lang w:eastAsia="zh-CN"/>
              </w:rPr>
              <w:t>证明材料齐全，</w:t>
            </w:r>
            <w:r>
              <w:rPr>
                <w:rFonts w:hint="eastAsia" w:ascii="宋体" w:hAnsi="宋体" w:cs="宋体"/>
                <w:color w:val="000000"/>
                <w:szCs w:val="21"/>
                <w:highlight w:val="none"/>
              </w:rPr>
              <w:t>满足项目实施要求</w:t>
            </w:r>
            <w:r>
              <w:rPr>
                <w:rFonts w:hint="eastAsia" w:ascii="宋体" w:hAnsi="宋体" w:cs="宋体"/>
                <w:color w:val="000000"/>
                <w:szCs w:val="21"/>
                <w:highlight w:val="none"/>
                <w:lang w:eastAsia="zh-CN"/>
              </w:rPr>
              <w:t>得</w:t>
            </w:r>
            <w:r>
              <w:rPr>
                <w:rFonts w:hint="eastAsia" w:ascii="宋体" w:hAnsi="宋体" w:cs="宋体"/>
                <w:color w:val="000000"/>
                <w:szCs w:val="21"/>
                <w:highlight w:val="none"/>
                <w:lang w:val="en-US" w:eastAsia="zh-CN"/>
              </w:rPr>
              <w:t>5分；</w:t>
            </w:r>
            <w:r>
              <w:rPr>
                <w:rFonts w:hint="eastAsia" w:ascii="宋体" w:hAnsi="宋体" w:cs="宋体"/>
                <w:color w:val="000000"/>
                <w:szCs w:val="21"/>
                <w:highlight w:val="none"/>
              </w:rPr>
              <w:t>提供</w:t>
            </w:r>
            <w:r>
              <w:rPr>
                <w:rFonts w:hint="eastAsia" w:ascii="宋体" w:hAnsi="宋体" w:cs="宋体"/>
                <w:color w:val="000000"/>
                <w:szCs w:val="21"/>
                <w:highlight w:val="none"/>
                <w:lang w:eastAsia="zh-CN"/>
              </w:rPr>
              <w:t>不全得</w:t>
            </w:r>
            <w:r>
              <w:rPr>
                <w:rFonts w:hint="eastAsia" w:ascii="宋体" w:hAnsi="宋体" w:cs="宋体"/>
                <w:color w:val="000000"/>
                <w:szCs w:val="21"/>
                <w:highlight w:val="none"/>
                <w:lang w:val="en-US" w:eastAsia="zh-CN"/>
              </w:rPr>
              <w:t>3分；未提供不得分</w:t>
            </w:r>
            <w:r>
              <w:rPr>
                <w:rFonts w:hint="eastAsia" w:ascii="宋体" w:hAnsi="宋体" w:cs="宋体"/>
                <w:color w:val="000000"/>
                <w:szCs w:val="21"/>
                <w:highlight w:val="none"/>
              </w:rPr>
              <w:t>。</w:t>
            </w:r>
            <w:r>
              <w:rPr>
                <w:rFonts w:hint="eastAsia" w:ascii="宋体" w:hAnsi="宋体" w:cs="宋体"/>
                <w:color w:val="000000"/>
                <w:szCs w:val="21"/>
                <w:highlight w:val="none"/>
                <w:lang w:val="en-US" w:eastAsia="zh-CN"/>
              </w:rPr>
              <w:t xml:space="preserve">                                         </w:t>
            </w:r>
          </w:p>
        </w:tc>
        <w:tc>
          <w:tcPr>
            <w:tcW w:w="1000" w:type="dxa"/>
            <w:tcBorders>
              <w:top w:val="single" w:color="auto" w:sz="4" w:space="0"/>
              <w:left w:val="single" w:color="auto" w:sz="4" w:space="0"/>
              <w:bottom w:val="single" w:color="auto" w:sz="4" w:space="0"/>
              <w:right w:val="single" w:color="auto" w:sz="4" w:space="0"/>
            </w:tcBorders>
            <w:noWrap w:val="0"/>
            <w:vAlign w:val="center"/>
          </w:tcPr>
          <w:p w14:paraId="1345662E">
            <w:pPr>
              <w:keepNext w:val="0"/>
              <w:keepLines w:val="0"/>
              <w:pageBreakBefore w:val="0"/>
              <w:widowControl w:val="0"/>
              <w:kinsoku/>
              <w:overflowPunct/>
              <w:topLinePunct w:val="0"/>
              <w:autoSpaceDE/>
              <w:autoSpaceDN/>
              <w:bidi w:val="0"/>
              <w:adjustRightInd w:val="0"/>
              <w:snapToGrid w:val="0"/>
              <w:spacing w:line="380" w:lineRule="exact"/>
              <w:ind w:left="0" w:firstLine="0" w:firstLineChars="0"/>
              <w:jc w:val="center"/>
              <w:textAlignment w:val="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客观</w:t>
            </w:r>
          </w:p>
        </w:tc>
      </w:tr>
      <w:tr w14:paraId="7EDFA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7" w:hRule="atLeast"/>
          <w:jc w:val="center"/>
        </w:trPr>
        <w:tc>
          <w:tcPr>
            <w:tcW w:w="884" w:type="dxa"/>
            <w:tcBorders>
              <w:top w:val="single" w:color="auto" w:sz="4" w:space="0"/>
              <w:left w:val="single" w:color="auto" w:sz="4" w:space="0"/>
              <w:right w:val="single" w:color="auto" w:sz="4" w:space="0"/>
            </w:tcBorders>
            <w:noWrap w:val="0"/>
            <w:vAlign w:val="center"/>
          </w:tcPr>
          <w:p w14:paraId="329DDF31">
            <w:pPr>
              <w:keepNext w:val="0"/>
              <w:keepLines w:val="0"/>
              <w:pageBreakBefore w:val="0"/>
              <w:widowControl w:val="0"/>
              <w:kinsoku/>
              <w:overflowPunct/>
              <w:topLinePunct w:val="0"/>
              <w:autoSpaceDE/>
              <w:autoSpaceDN/>
              <w:bidi w:val="0"/>
              <w:adjustRightInd w:val="0"/>
              <w:snapToGrid w:val="0"/>
              <w:spacing w:line="400" w:lineRule="exact"/>
              <w:ind w:left="0" w:firstLine="0" w:firstLineChars="0"/>
              <w:jc w:val="center"/>
              <w:textAlignment w:val="auto"/>
              <w:rPr>
                <w:rFonts w:hint="eastAsia" w:ascii="宋体" w:hAnsi="宋体" w:cs="宋体"/>
                <w:color w:val="000000"/>
                <w:szCs w:val="21"/>
                <w:highlight w:val="none"/>
              </w:rPr>
            </w:pPr>
            <w:r>
              <w:rPr>
                <w:rFonts w:hint="eastAsia" w:ascii="宋体" w:hAnsi="宋体" w:cs="宋体"/>
                <w:color w:val="000000"/>
                <w:szCs w:val="21"/>
                <w:highlight w:val="none"/>
                <w:lang w:eastAsia="zh-CN"/>
              </w:rPr>
              <w:t>服务承诺</w:t>
            </w:r>
          </w:p>
        </w:tc>
        <w:tc>
          <w:tcPr>
            <w:tcW w:w="788" w:type="dxa"/>
            <w:tcBorders>
              <w:top w:val="single" w:color="auto" w:sz="4" w:space="0"/>
              <w:left w:val="single" w:color="auto" w:sz="4" w:space="0"/>
              <w:right w:val="single" w:color="auto" w:sz="4" w:space="0"/>
            </w:tcBorders>
            <w:noWrap w:val="0"/>
            <w:vAlign w:val="center"/>
          </w:tcPr>
          <w:p w14:paraId="789A1EA6">
            <w:pPr>
              <w:keepNext w:val="0"/>
              <w:keepLines w:val="0"/>
              <w:pageBreakBefore w:val="0"/>
              <w:widowControl w:val="0"/>
              <w:kinsoku/>
              <w:overflowPunct/>
              <w:topLinePunct w:val="0"/>
              <w:autoSpaceDE/>
              <w:autoSpaceDN/>
              <w:bidi w:val="0"/>
              <w:adjustRightInd w:val="0"/>
              <w:snapToGrid w:val="0"/>
              <w:spacing w:line="400" w:lineRule="exact"/>
              <w:ind w:left="0" w:firstLine="0" w:firstLineChars="0"/>
              <w:jc w:val="center"/>
              <w:textAlignment w:val="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6</w:t>
            </w:r>
          </w:p>
        </w:tc>
        <w:tc>
          <w:tcPr>
            <w:tcW w:w="7428" w:type="dxa"/>
            <w:tcBorders>
              <w:top w:val="single" w:color="auto" w:sz="4" w:space="0"/>
              <w:left w:val="single" w:color="auto" w:sz="4" w:space="0"/>
              <w:bottom w:val="single" w:color="auto" w:sz="4" w:space="0"/>
              <w:right w:val="single" w:color="auto" w:sz="4" w:space="0"/>
            </w:tcBorders>
            <w:noWrap w:val="0"/>
            <w:vAlign w:val="center"/>
          </w:tcPr>
          <w:p w14:paraId="1DB15326">
            <w:pPr>
              <w:keepNext w:val="0"/>
              <w:keepLines w:val="0"/>
              <w:pageBreakBefore w:val="0"/>
              <w:widowControl w:val="0"/>
              <w:kinsoku/>
              <w:overflowPunct/>
              <w:topLinePunct w:val="0"/>
              <w:autoSpaceDE/>
              <w:autoSpaceDN/>
              <w:bidi w:val="0"/>
              <w:adjustRightInd w:val="0"/>
              <w:snapToGrid w:val="0"/>
              <w:spacing w:line="360" w:lineRule="exact"/>
              <w:ind w:left="0" w:firstLine="0" w:firstLineChars="0"/>
              <w:jc w:val="left"/>
              <w:textAlignment w:val="auto"/>
              <w:rPr>
                <w:rFonts w:hint="eastAsia" w:ascii="宋体" w:hAnsi="宋体" w:cs="宋体"/>
                <w:color w:val="000000"/>
                <w:szCs w:val="21"/>
                <w:highlight w:val="none"/>
              </w:rPr>
            </w:pPr>
            <w:r>
              <w:rPr>
                <w:rFonts w:hint="eastAsia" w:ascii="宋体" w:hAnsi="宋体" w:cs="宋体"/>
                <w:b/>
                <w:bCs/>
                <w:color w:val="000000"/>
                <w:szCs w:val="21"/>
                <w:highlight w:val="none"/>
                <w:lang w:eastAsia="zh-CN"/>
              </w:rPr>
              <w:t>服务承诺：</w:t>
            </w:r>
            <w:r>
              <w:rPr>
                <w:rFonts w:hint="eastAsia" w:ascii="宋体" w:hAnsi="宋体" w:cs="宋体"/>
                <w:color w:val="000000"/>
                <w:szCs w:val="21"/>
                <w:highlight w:val="none"/>
              </w:rPr>
              <w:t>①</w:t>
            </w:r>
            <w:r>
              <w:rPr>
                <w:rFonts w:hint="eastAsia" w:ascii="宋体" w:hAnsi="宋体" w:cs="宋体"/>
                <w:color w:val="000000"/>
                <w:szCs w:val="21"/>
                <w:highlight w:val="none"/>
                <w:lang w:eastAsia="zh-CN"/>
              </w:rPr>
              <w:t>投标供应商</w:t>
            </w:r>
            <w:r>
              <w:rPr>
                <w:rFonts w:hint="eastAsia" w:ascii="宋体" w:hAnsi="宋体" w:cs="宋体"/>
                <w:color w:val="000000"/>
                <w:szCs w:val="21"/>
                <w:highlight w:val="none"/>
              </w:rPr>
              <w:t>承诺配合采购方的监督检查，接受采购方的不定期抽查和定期检查或考核。提供此承诺计</w:t>
            </w:r>
            <w:r>
              <w:rPr>
                <w:rFonts w:hint="eastAsia" w:ascii="宋体" w:hAnsi="宋体" w:cs="宋体"/>
                <w:color w:val="000000"/>
                <w:szCs w:val="21"/>
                <w:highlight w:val="none"/>
                <w:lang w:val="en-US" w:eastAsia="zh-CN"/>
              </w:rPr>
              <w:t>2</w:t>
            </w:r>
            <w:r>
              <w:rPr>
                <w:rFonts w:hint="eastAsia" w:ascii="宋体" w:hAnsi="宋体" w:cs="宋体"/>
                <w:color w:val="000000"/>
                <w:szCs w:val="21"/>
                <w:highlight w:val="none"/>
              </w:rPr>
              <w:t>分，未提供不计分。 ②承诺严格遵守国家食品安全规定，绝不配送任何法律法规明令禁止的食材（如野生蘑菇、不明来源的野菜等）。提供此承诺计</w:t>
            </w:r>
            <w:r>
              <w:rPr>
                <w:rFonts w:hint="eastAsia" w:ascii="宋体" w:hAnsi="宋体" w:cs="宋体"/>
                <w:color w:val="000000"/>
                <w:szCs w:val="21"/>
                <w:highlight w:val="none"/>
                <w:lang w:val="en-US" w:eastAsia="zh-CN"/>
              </w:rPr>
              <w:t>2</w:t>
            </w:r>
            <w:r>
              <w:rPr>
                <w:rFonts w:hint="eastAsia" w:ascii="宋体" w:hAnsi="宋体" w:cs="宋体"/>
                <w:color w:val="000000"/>
                <w:szCs w:val="21"/>
                <w:highlight w:val="none"/>
              </w:rPr>
              <w:t>分，未提供不计分。 ③食材严格按照订单数量配送，保证足秤，对于经双方确认存在质量、数量或品种不符的食材，承诺无条件退换货，并承担由此产生的一切费用。提供此承诺计</w:t>
            </w:r>
            <w:r>
              <w:rPr>
                <w:rFonts w:hint="eastAsia" w:ascii="宋体" w:hAnsi="宋体" w:cs="宋体"/>
                <w:color w:val="000000"/>
                <w:szCs w:val="21"/>
                <w:highlight w:val="none"/>
                <w:lang w:val="en-US" w:eastAsia="zh-CN"/>
              </w:rPr>
              <w:t>2</w:t>
            </w:r>
            <w:r>
              <w:rPr>
                <w:rFonts w:hint="eastAsia" w:ascii="宋体" w:hAnsi="宋体" w:cs="宋体"/>
                <w:color w:val="000000"/>
                <w:szCs w:val="21"/>
                <w:highlight w:val="none"/>
              </w:rPr>
              <w:t>分，未提供不计分。</w:t>
            </w:r>
          </w:p>
        </w:tc>
        <w:tc>
          <w:tcPr>
            <w:tcW w:w="1000" w:type="dxa"/>
            <w:tcBorders>
              <w:top w:val="single" w:color="auto" w:sz="4" w:space="0"/>
              <w:left w:val="single" w:color="auto" w:sz="4" w:space="0"/>
              <w:bottom w:val="single" w:color="auto" w:sz="4" w:space="0"/>
              <w:right w:val="single" w:color="auto" w:sz="4" w:space="0"/>
            </w:tcBorders>
            <w:noWrap w:val="0"/>
            <w:vAlign w:val="center"/>
          </w:tcPr>
          <w:p w14:paraId="123341F0">
            <w:pPr>
              <w:keepNext w:val="0"/>
              <w:keepLines w:val="0"/>
              <w:pageBreakBefore w:val="0"/>
              <w:widowControl w:val="0"/>
              <w:kinsoku/>
              <w:overflowPunct/>
              <w:topLinePunct w:val="0"/>
              <w:autoSpaceDE/>
              <w:autoSpaceDN/>
              <w:bidi w:val="0"/>
              <w:adjustRightInd w:val="0"/>
              <w:snapToGrid w:val="0"/>
              <w:spacing w:line="380" w:lineRule="exact"/>
              <w:ind w:left="0" w:firstLine="0" w:firstLineChars="0"/>
              <w:jc w:val="center"/>
              <w:textAlignment w:val="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客观</w:t>
            </w:r>
          </w:p>
        </w:tc>
      </w:tr>
      <w:tr w14:paraId="66719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7" w:hRule="atLeast"/>
          <w:jc w:val="center"/>
        </w:trPr>
        <w:tc>
          <w:tcPr>
            <w:tcW w:w="884" w:type="dxa"/>
            <w:tcBorders>
              <w:top w:val="single" w:color="auto" w:sz="4" w:space="0"/>
              <w:left w:val="single" w:color="auto" w:sz="4" w:space="0"/>
              <w:right w:val="single" w:color="auto" w:sz="4" w:space="0"/>
            </w:tcBorders>
            <w:noWrap w:val="0"/>
            <w:vAlign w:val="center"/>
          </w:tcPr>
          <w:p w14:paraId="192ABFF5">
            <w:pPr>
              <w:keepNext w:val="0"/>
              <w:keepLines w:val="0"/>
              <w:pageBreakBefore w:val="0"/>
              <w:widowControl w:val="0"/>
              <w:kinsoku/>
              <w:overflowPunct/>
              <w:topLinePunct w:val="0"/>
              <w:autoSpaceDE/>
              <w:autoSpaceDN/>
              <w:bidi w:val="0"/>
              <w:adjustRightInd w:val="0"/>
              <w:snapToGrid w:val="0"/>
              <w:spacing w:line="400" w:lineRule="exact"/>
              <w:ind w:left="0" w:firstLine="0" w:firstLineChars="0"/>
              <w:jc w:val="center"/>
              <w:textAlignment w:val="auto"/>
              <w:rPr>
                <w:rFonts w:hint="eastAsia" w:ascii="宋体" w:hAnsi="宋体" w:cs="宋体"/>
                <w:color w:val="000000"/>
                <w:szCs w:val="21"/>
                <w:highlight w:val="none"/>
                <w:lang w:eastAsia="zh-CN"/>
              </w:rPr>
            </w:pPr>
            <w:r>
              <w:rPr>
                <w:rFonts w:hint="eastAsia" w:ascii="宋体" w:hAnsi="宋体" w:cs="宋体"/>
                <w:color w:val="000000"/>
                <w:szCs w:val="21"/>
                <w:highlight w:val="none"/>
                <w:lang w:val="en-US" w:eastAsia="zh-CN"/>
              </w:rPr>
              <w:t>合理化建议</w:t>
            </w:r>
          </w:p>
        </w:tc>
        <w:tc>
          <w:tcPr>
            <w:tcW w:w="788" w:type="dxa"/>
            <w:tcBorders>
              <w:top w:val="single" w:color="auto" w:sz="4" w:space="0"/>
              <w:left w:val="single" w:color="auto" w:sz="4" w:space="0"/>
              <w:right w:val="single" w:color="auto" w:sz="4" w:space="0"/>
            </w:tcBorders>
            <w:noWrap w:val="0"/>
            <w:vAlign w:val="center"/>
          </w:tcPr>
          <w:p w14:paraId="7A89C08E">
            <w:pPr>
              <w:keepNext w:val="0"/>
              <w:keepLines w:val="0"/>
              <w:pageBreakBefore w:val="0"/>
              <w:widowControl w:val="0"/>
              <w:kinsoku/>
              <w:overflowPunct/>
              <w:topLinePunct w:val="0"/>
              <w:autoSpaceDE/>
              <w:autoSpaceDN/>
              <w:bidi w:val="0"/>
              <w:adjustRightInd w:val="0"/>
              <w:snapToGrid w:val="0"/>
              <w:spacing w:line="400" w:lineRule="exact"/>
              <w:ind w:left="0" w:firstLine="0" w:firstLineChars="0"/>
              <w:jc w:val="center"/>
              <w:textAlignment w:val="auto"/>
              <w:rPr>
                <w:rFonts w:hint="default"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3</w:t>
            </w:r>
          </w:p>
        </w:tc>
        <w:tc>
          <w:tcPr>
            <w:tcW w:w="7428" w:type="dxa"/>
            <w:tcBorders>
              <w:top w:val="single" w:color="auto" w:sz="4" w:space="0"/>
              <w:left w:val="single" w:color="auto" w:sz="4" w:space="0"/>
              <w:bottom w:val="single" w:color="auto" w:sz="4" w:space="0"/>
              <w:right w:val="single" w:color="auto" w:sz="4" w:space="0"/>
            </w:tcBorders>
            <w:noWrap w:val="0"/>
            <w:vAlign w:val="center"/>
          </w:tcPr>
          <w:p w14:paraId="5D7D0641">
            <w:pPr>
              <w:keepNext w:val="0"/>
              <w:keepLines w:val="0"/>
              <w:pageBreakBefore w:val="0"/>
              <w:widowControl w:val="0"/>
              <w:kinsoku/>
              <w:overflowPunct/>
              <w:topLinePunct w:val="0"/>
              <w:autoSpaceDE/>
              <w:autoSpaceDN/>
              <w:bidi w:val="0"/>
              <w:adjustRightInd w:val="0"/>
              <w:snapToGrid w:val="0"/>
              <w:spacing w:line="360" w:lineRule="exact"/>
              <w:ind w:left="0" w:firstLine="0" w:firstLineChars="0"/>
              <w:jc w:val="left"/>
              <w:textAlignment w:val="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合理化建议：</w:t>
            </w:r>
            <w:r>
              <w:rPr>
                <w:rFonts w:hint="eastAsia" w:ascii="宋体" w:hAnsi="宋体" w:cs="宋体"/>
                <w:color w:val="000000"/>
                <w:szCs w:val="21"/>
                <w:highlight w:val="none"/>
                <w:lang w:eastAsia="zh-CN"/>
              </w:rPr>
              <w:t>投标供应商</w:t>
            </w:r>
            <w:r>
              <w:rPr>
                <w:rFonts w:hint="eastAsia" w:ascii="宋体" w:hAnsi="宋体" w:cs="宋体"/>
                <w:color w:val="000000"/>
                <w:szCs w:val="21"/>
                <w:highlight w:val="none"/>
              </w:rPr>
              <w:t>为采购人提供食材存储与使用指导（如保鲜、防止损耗等方面建议），每提供一条具有实质性的建议计1</w:t>
            </w:r>
            <w:r>
              <w:rPr>
                <w:rFonts w:hint="eastAsia" w:ascii="宋体" w:hAnsi="宋体" w:cs="宋体"/>
                <w:color w:val="000000"/>
                <w:szCs w:val="21"/>
                <w:highlight w:val="none"/>
                <w:lang w:val="en-US" w:eastAsia="zh-CN"/>
              </w:rPr>
              <w:t>.5</w:t>
            </w:r>
            <w:r>
              <w:rPr>
                <w:rFonts w:hint="eastAsia" w:ascii="宋体" w:hAnsi="宋体" w:cs="宋体"/>
                <w:color w:val="000000"/>
                <w:szCs w:val="21"/>
                <w:highlight w:val="none"/>
              </w:rPr>
              <w:t>分，满分</w:t>
            </w:r>
            <w:r>
              <w:rPr>
                <w:rFonts w:hint="eastAsia" w:ascii="宋体" w:hAnsi="宋体" w:cs="宋体"/>
                <w:color w:val="000000"/>
                <w:szCs w:val="21"/>
                <w:highlight w:val="none"/>
                <w:lang w:val="en-US" w:eastAsia="zh-CN"/>
              </w:rPr>
              <w:t>3</w:t>
            </w:r>
            <w:r>
              <w:rPr>
                <w:rFonts w:hint="eastAsia" w:ascii="宋体" w:hAnsi="宋体" w:cs="宋体"/>
                <w:color w:val="000000"/>
                <w:szCs w:val="21"/>
                <w:highlight w:val="none"/>
              </w:rPr>
              <w:t>分；未提供或提供空话、套话无实际意义内容不计分。 备注： 请各</w:t>
            </w:r>
            <w:r>
              <w:rPr>
                <w:rFonts w:hint="eastAsia" w:ascii="宋体" w:hAnsi="宋体" w:cs="宋体"/>
                <w:color w:val="000000"/>
                <w:szCs w:val="21"/>
                <w:highlight w:val="none"/>
                <w:lang w:eastAsia="zh-CN"/>
              </w:rPr>
              <w:t>投标供应商</w:t>
            </w:r>
            <w:r>
              <w:rPr>
                <w:rFonts w:hint="eastAsia" w:ascii="宋体" w:hAnsi="宋体" w:cs="宋体"/>
                <w:color w:val="000000"/>
                <w:szCs w:val="21"/>
                <w:highlight w:val="none"/>
              </w:rPr>
              <w:t>结合项目需求，提供契合本项目特点的建议，以上建议评审现场由评标委员会一致认定后给予赋分，存在争议的，按照少数服从多数原则进行认定</w:t>
            </w:r>
            <w:r>
              <w:rPr>
                <w:rFonts w:hint="eastAsia" w:ascii="宋体" w:hAnsi="宋体" w:cs="宋体"/>
                <w:color w:val="000000"/>
                <w:szCs w:val="21"/>
                <w:highlight w:val="none"/>
                <w:lang w:eastAsia="zh-CN"/>
              </w:rPr>
              <w:t>。</w:t>
            </w:r>
          </w:p>
        </w:tc>
        <w:tc>
          <w:tcPr>
            <w:tcW w:w="1000" w:type="dxa"/>
            <w:tcBorders>
              <w:top w:val="single" w:color="auto" w:sz="4" w:space="0"/>
              <w:left w:val="single" w:color="auto" w:sz="4" w:space="0"/>
              <w:bottom w:val="single" w:color="auto" w:sz="4" w:space="0"/>
              <w:right w:val="single" w:color="auto" w:sz="4" w:space="0"/>
            </w:tcBorders>
            <w:noWrap w:val="0"/>
            <w:vAlign w:val="center"/>
          </w:tcPr>
          <w:p w14:paraId="1741AFD0">
            <w:pPr>
              <w:keepNext w:val="0"/>
              <w:keepLines w:val="0"/>
              <w:pageBreakBefore w:val="0"/>
              <w:widowControl w:val="0"/>
              <w:kinsoku/>
              <w:overflowPunct/>
              <w:topLinePunct w:val="0"/>
              <w:autoSpaceDE/>
              <w:autoSpaceDN/>
              <w:bidi w:val="0"/>
              <w:adjustRightInd w:val="0"/>
              <w:snapToGrid w:val="0"/>
              <w:spacing w:line="380" w:lineRule="exact"/>
              <w:ind w:left="0" w:firstLine="0" w:firstLineChars="0"/>
              <w:jc w:val="center"/>
              <w:textAlignment w:val="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客观</w:t>
            </w:r>
          </w:p>
        </w:tc>
      </w:tr>
      <w:tr w14:paraId="6D826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7" w:hRule="atLeast"/>
          <w:jc w:val="center"/>
        </w:trPr>
        <w:tc>
          <w:tcPr>
            <w:tcW w:w="884" w:type="dxa"/>
            <w:tcBorders>
              <w:top w:val="single" w:color="auto" w:sz="4" w:space="0"/>
              <w:left w:val="single" w:color="auto" w:sz="4" w:space="0"/>
              <w:right w:val="single" w:color="auto" w:sz="4" w:space="0"/>
            </w:tcBorders>
            <w:noWrap w:val="0"/>
            <w:vAlign w:val="center"/>
          </w:tcPr>
          <w:p w14:paraId="3292141B">
            <w:pPr>
              <w:keepNext w:val="0"/>
              <w:keepLines w:val="0"/>
              <w:pageBreakBefore w:val="0"/>
              <w:widowControl w:val="0"/>
              <w:kinsoku/>
              <w:overflowPunct/>
              <w:topLinePunct w:val="0"/>
              <w:autoSpaceDE/>
              <w:autoSpaceDN/>
              <w:bidi w:val="0"/>
              <w:adjustRightInd w:val="0"/>
              <w:snapToGrid w:val="0"/>
              <w:spacing w:line="400" w:lineRule="exact"/>
              <w:ind w:left="0" w:firstLine="0" w:firstLineChars="0"/>
              <w:jc w:val="center"/>
              <w:textAlignment w:val="auto"/>
              <w:rPr>
                <w:rFonts w:hint="eastAsia" w:ascii="宋体" w:hAnsi="宋体" w:cs="宋体"/>
                <w:color w:val="000000"/>
                <w:szCs w:val="21"/>
                <w:highlight w:val="none"/>
              </w:rPr>
            </w:pPr>
            <w:r>
              <w:rPr>
                <w:rFonts w:hint="eastAsia" w:ascii="宋体" w:hAnsi="宋体" w:cs="宋体"/>
                <w:color w:val="000000"/>
                <w:szCs w:val="21"/>
                <w:highlight w:val="none"/>
              </w:rPr>
              <w:t>业绩</w:t>
            </w:r>
          </w:p>
        </w:tc>
        <w:tc>
          <w:tcPr>
            <w:tcW w:w="788" w:type="dxa"/>
            <w:tcBorders>
              <w:top w:val="single" w:color="auto" w:sz="4" w:space="0"/>
              <w:left w:val="single" w:color="auto" w:sz="4" w:space="0"/>
              <w:right w:val="single" w:color="auto" w:sz="4" w:space="0"/>
            </w:tcBorders>
            <w:noWrap w:val="0"/>
            <w:vAlign w:val="center"/>
          </w:tcPr>
          <w:p w14:paraId="57EE16A9">
            <w:pPr>
              <w:keepNext w:val="0"/>
              <w:keepLines w:val="0"/>
              <w:pageBreakBefore w:val="0"/>
              <w:widowControl w:val="0"/>
              <w:kinsoku/>
              <w:overflowPunct/>
              <w:topLinePunct w:val="0"/>
              <w:autoSpaceDE/>
              <w:autoSpaceDN/>
              <w:bidi w:val="0"/>
              <w:adjustRightInd w:val="0"/>
              <w:snapToGrid w:val="0"/>
              <w:spacing w:line="400" w:lineRule="exact"/>
              <w:ind w:left="0" w:firstLine="0" w:firstLineChars="0"/>
              <w:jc w:val="center"/>
              <w:textAlignment w:val="auto"/>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15</w:t>
            </w:r>
          </w:p>
        </w:tc>
        <w:tc>
          <w:tcPr>
            <w:tcW w:w="7428" w:type="dxa"/>
            <w:tcBorders>
              <w:top w:val="single" w:color="auto" w:sz="4" w:space="0"/>
              <w:left w:val="single" w:color="auto" w:sz="4" w:space="0"/>
              <w:bottom w:val="single" w:color="auto" w:sz="4" w:space="0"/>
              <w:right w:val="single" w:color="auto" w:sz="4" w:space="0"/>
            </w:tcBorders>
            <w:noWrap w:val="0"/>
            <w:vAlign w:val="center"/>
          </w:tcPr>
          <w:p w14:paraId="34B19C78">
            <w:pPr>
              <w:keepNext w:val="0"/>
              <w:keepLines w:val="0"/>
              <w:pageBreakBefore w:val="0"/>
              <w:widowControl w:val="0"/>
              <w:kinsoku/>
              <w:overflowPunct/>
              <w:topLinePunct w:val="0"/>
              <w:autoSpaceDE/>
              <w:autoSpaceDN/>
              <w:bidi w:val="0"/>
              <w:adjustRightInd w:val="0"/>
              <w:snapToGrid w:val="0"/>
              <w:spacing w:line="360" w:lineRule="exact"/>
              <w:ind w:left="0" w:firstLine="0" w:firstLineChars="0"/>
              <w:jc w:val="left"/>
              <w:textAlignment w:val="auto"/>
              <w:rPr>
                <w:rFonts w:hint="eastAsia" w:ascii="宋体" w:hAnsi="宋体" w:cs="宋体"/>
                <w:color w:val="000000"/>
                <w:szCs w:val="21"/>
                <w:highlight w:val="none"/>
              </w:rPr>
            </w:pPr>
            <w:r>
              <w:rPr>
                <w:rFonts w:hint="eastAsia" w:ascii="宋体" w:hAnsi="宋体" w:cs="宋体"/>
                <w:color w:val="000000"/>
                <w:szCs w:val="21"/>
                <w:highlight w:val="none"/>
              </w:rPr>
              <w:t>业绩：202</w:t>
            </w:r>
            <w:r>
              <w:rPr>
                <w:rFonts w:hint="eastAsia" w:ascii="宋体" w:hAnsi="宋体" w:cs="宋体"/>
                <w:color w:val="000000"/>
                <w:szCs w:val="21"/>
                <w:highlight w:val="none"/>
                <w:lang w:val="en-US" w:eastAsia="zh-CN"/>
              </w:rPr>
              <w:t>3</w:t>
            </w:r>
            <w:r>
              <w:rPr>
                <w:rFonts w:hint="eastAsia" w:ascii="宋体" w:hAnsi="宋体" w:cs="宋体"/>
                <w:color w:val="000000"/>
                <w:szCs w:val="21"/>
                <w:highlight w:val="none"/>
              </w:rPr>
              <w:t>年7月至今以来签订的类似项目业绩（以签订的合同为准，加盖公章的复印件须附于投标文件中）（每提供1个得</w:t>
            </w:r>
            <w:r>
              <w:rPr>
                <w:rFonts w:hint="eastAsia" w:ascii="宋体" w:hAnsi="宋体" w:cs="宋体"/>
                <w:color w:val="000000"/>
                <w:szCs w:val="21"/>
                <w:highlight w:val="none"/>
                <w:lang w:val="en-US" w:eastAsia="zh-CN"/>
              </w:rPr>
              <w:t>5</w:t>
            </w:r>
            <w:r>
              <w:rPr>
                <w:rFonts w:hint="eastAsia" w:ascii="宋体" w:hAnsi="宋体" w:cs="宋体"/>
                <w:color w:val="000000"/>
                <w:szCs w:val="21"/>
                <w:highlight w:val="none"/>
              </w:rPr>
              <w:t>分，最高</w:t>
            </w:r>
            <w:r>
              <w:rPr>
                <w:rFonts w:hint="eastAsia" w:ascii="宋体" w:hAnsi="宋体" w:cs="宋体"/>
                <w:color w:val="000000"/>
                <w:szCs w:val="21"/>
                <w:highlight w:val="none"/>
                <w:lang w:val="en-US" w:eastAsia="zh-CN"/>
              </w:rPr>
              <w:t>15</w:t>
            </w:r>
            <w:r>
              <w:rPr>
                <w:rFonts w:hint="eastAsia" w:ascii="宋体" w:hAnsi="宋体" w:cs="宋体"/>
                <w:color w:val="000000"/>
                <w:szCs w:val="21"/>
                <w:highlight w:val="none"/>
              </w:rPr>
              <w:t xml:space="preserve">分）。                                                                                                                                                                                                                                                        </w:t>
            </w:r>
          </w:p>
        </w:tc>
        <w:tc>
          <w:tcPr>
            <w:tcW w:w="1000" w:type="dxa"/>
            <w:tcBorders>
              <w:top w:val="single" w:color="auto" w:sz="4" w:space="0"/>
              <w:left w:val="single" w:color="auto" w:sz="4" w:space="0"/>
              <w:bottom w:val="single" w:color="auto" w:sz="4" w:space="0"/>
              <w:right w:val="single" w:color="auto" w:sz="4" w:space="0"/>
            </w:tcBorders>
            <w:noWrap w:val="0"/>
            <w:vAlign w:val="center"/>
          </w:tcPr>
          <w:p w14:paraId="413BECA0">
            <w:pPr>
              <w:keepNext w:val="0"/>
              <w:keepLines w:val="0"/>
              <w:pageBreakBefore w:val="0"/>
              <w:widowControl w:val="0"/>
              <w:kinsoku/>
              <w:overflowPunct/>
              <w:topLinePunct w:val="0"/>
              <w:autoSpaceDE/>
              <w:autoSpaceDN/>
              <w:bidi w:val="0"/>
              <w:adjustRightInd w:val="0"/>
              <w:snapToGrid w:val="0"/>
              <w:spacing w:line="380" w:lineRule="exact"/>
              <w:ind w:left="0" w:firstLine="0" w:firstLineChars="0"/>
              <w:jc w:val="center"/>
              <w:textAlignment w:val="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客观</w:t>
            </w:r>
          </w:p>
        </w:tc>
      </w:tr>
    </w:tbl>
    <w:p w14:paraId="582CF75B">
      <w:pPr>
        <w:shd w:val="clear" w:color="auto" w:fill="auto"/>
        <w:ind w:firstLine="482"/>
        <w:rPr>
          <w:rFonts w:hint="eastAsia" w:ascii="宋体" w:hAnsi="宋体" w:cs="宋体"/>
          <w:b/>
          <w:sz w:val="24"/>
          <w:highlight w:val="none"/>
        </w:rPr>
      </w:pPr>
      <w:r>
        <w:rPr>
          <w:rFonts w:hint="eastAsia" w:ascii="宋体" w:hAnsi="宋体" w:cs="宋体"/>
          <w:b/>
          <w:sz w:val="24"/>
          <w:highlight w:val="none"/>
        </w:rPr>
        <w:t>注：以上评审项，缺项不得分</w:t>
      </w:r>
    </w:p>
    <w:p w14:paraId="0F26B95E">
      <w:pPr>
        <w:shd w:val="clear" w:color="auto" w:fill="auto"/>
        <w:ind w:firstLine="482"/>
        <w:rPr>
          <w:rFonts w:hint="eastAsia" w:ascii="宋体" w:hAnsi="宋体" w:cs="宋体"/>
          <w:bCs/>
          <w:color w:val="000000"/>
          <w:sz w:val="24"/>
          <w:highlight w:val="none"/>
        </w:rPr>
      </w:pPr>
      <w:r>
        <w:rPr>
          <w:rFonts w:hint="eastAsia" w:ascii="宋体" w:hAnsi="宋体" w:cs="宋体"/>
          <w:b/>
          <w:sz w:val="24"/>
          <w:highlight w:val="none"/>
        </w:rPr>
        <w:t>5.</w:t>
      </w:r>
      <w:r>
        <w:rPr>
          <w:rFonts w:hint="eastAsia" w:ascii="宋体" w:hAnsi="宋体" w:cs="宋体"/>
          <w:b/>
          <w:color w:val="FF0000"/>
          <w:sz w:val="24"/>
          <w:highlight w:val="none"/>
        </w:rPr>
        <w:t xml:space="preserve"> </w:t>
      </w:r>
      <w:r>
        <w:rPr>
          <w:rFonts w:hint="eastAsia" w:ascii="宋体" w:hAnsi="宋体" w:cs="宋体"/>
          <w:b/>
          <w:sz w:val="24"/>
          <w:highlight w:val="none"/>
        </w:rPr>
        <w:t>评标专家在</w:t>
      </w:r>
      <w:r>
        <w:rPr>
          <w:rFonts w:hint="eastAsia" w:ascii="宋体" w:hAnsi="宋体" w:cs="宋体"/>
          <w:b/>
          <w:color w:val="000000"/>
          <w:sz w:val="24"/>
          <w:highlight w:val="none"/>
        </w:rPr>
        <w:t>政府采购活动</w:t>
      </w:r>
      <w:r>
        <w:rPr>
          <w:rFonts w:hint="eastAsia" w:ascii="宋体" w:hAnsi="宋体" w:cs="宋体"/>
          <w:b/>
          <w:sz w:val="24"/>
          <w:highlight w:val="none"/>
        </w:rPr>
        <w:t>中承担以下义务：</w:t>
      </w:r>
    </w:p>
    <w:p w14:paraId="34BBF29D">
      <w:pPr>
        <w:widowControl/>
        <w:shd w:val="clear" w:color="auto" w:fill="auto"/>
        <w:autoSpaceDE w:val="0"/>
        <w:autoSpaceDN w:val="0"/>
        <w:ind w:right="53" w:firstLine="480"/>
        <w:textAlignment w:val="bottom"/>
        <w:rPr>
          <w:rFonts w:hint="eastAsia" w:ascii="宋体" w:hAnsi="宋体" w:cs="宋体"/>
          <w:color w:val="000000"/>
          <w:sz w:val="24"/>
          <w:highlight w:val="none"/>
        </w:rPr>
      </w:pPr>
      <w:r>
        <w:rPr>
          <w:rFonts w:hint="eastAsia" w:ascii="宋体" w:hAnsi="宋体" w:cs="宋体"/>
          <w:color w:val="000000"/>
          <w:sz w:val="24"/>
          <w:highlight w:val="none"/>
        </w:rPr>
        <w:t>5.1 遵纪守法，客观、公正、廉洁地履行职责。</w:t>
      </w:r>
    </w:p>
    <w:p w14:paraId="777D40E9">
      <w:pPr>
        <w:widowControl/>
        <w:shd w:val="clear" w:color="auto" w:fill="auto"/>
        <w:autoSpaceDE w:val="0"/>
        <w:autoSpaceDN w:val="0"/>
        <w:ind w:right="53" w:firstLine="480"/>
        <w:textAlignment w:val="bottom"/>
        <w:rPr>
          <w:rFonts w:hint="eastAsia" w:ascii="宋体" w:hAnsi="宋体" w:cs="宋体"/>
          <w:color w:val="000000"/>
          <w:sz w:val="24"/>
          <w:highlight w:val="none"/>
        </w:rPr>
      </w:pPr>
      <w:r>
        <w:rPr>
          <w:rFonts w:hint="eastAsia" w:ascii="宋体" w:hAnsi="宋体" w:cs="宋体"/>
          <w:color w:val="000000"/>
          <w:sz w:val="24"/>
          <w:highlight w:val="none"/>
        </w:rPr>
        <w:t>5.2 按照政府采购法律法规和采购文件的规定要求对供应商的资格条件和供应商提供的产品价格、技术、商务、服务等方面严格进行评判，提供科学合理、公平公正的评审意见，参与起草评审报告，并予签字确认。</w:t>
      </w:r>
    </w:p>
    <w:p w14:paraId="25639412">
      <w:pPr>
        <w:widowControl/>
        <w:shd w:val="clear" w:color="auto" w:fill="auto"/>
        <w:autoSpaceDE w:val="0"/>
        <w:autoSpaceDN w:val="0"/>
        <w:ind w:right="53" w:firstLine="480"/>
        <w:textAlignment w:val="bottom"/>
        <w:rPr>
          <w:rFonts w:hint="eastAsia" w:ascii="宋体" w:hAnsi="宋体" w:cs="宋体"/>
          <w:color w:val="000000"/>
          <w:sz w:val="24"/>
          <w:highlight w:val="none"/>
        </w:rPr>
      </w:pPr>
      <w:r>
        <w:rPr>
          <w:rFonts w:hint="eastAsia" w:ascii="宋体" w:hAnsi="宋体" w:cs="宋体"/>
          <w:color w:val="000000"/>
          <w:sz w:val="24"/>
          <w:highlight w:val="none"/>
        </w:rPr>
        <w:t>5.3 保守秘密。不得透露采购文件咨询情况，</w:t>
      </w:r>
      <w:r>
        <w:rPr>
          <w:rFonts w:hint="eastAsia" w:ascii="宋体" w:hAnsi="宋体" w:cs="宋体"/>
          <w:color w:val="000000"/>
          <w:sz w:val="24"/>
          <w:highlight w:val="none"/>
          <w:lang w:eastAsia="zh-CN"/>
        </w:rPr>
        <w:t>不得泄露</w:t>
      </w:r>
      <w:r>
        <w:rPr>
          <w:rFonts w:hint="eastAsia" w:ascii="宋体" w:hAnsi="宋体" w:cs="宋体"/>
          <w:color w:val="000000"/>
          <w:sz w:val="24"/>
          <w:highlight w:val="none"/>
        </w:rPr>
        <w:t>供应商的投标文件及知悉的商业秘密，不得向供应商透露评审情况。</w:t>
      </w:r>
    </w:p>
    <w:p w14:paraId="115D14E3">
      <w:pPr>
        <w:widowControl/>
        <w:shd w:val="clear" w:color="auto" w:fill="auto"/>
        <w:autoSpaceDE w:val="0"/>
        <w:autoSpaceDN w:val="0"/>
        <w:ind w:right="51" w:firstLine="480"/>
        <w:textAlignment w:val="bottom"/>
        <w:rPr>
          <w:rFonts w:hint="eastAsia" w:ascii="宋体" w:hAnsi="宋体" w:cs="宋体"/>
          <w:color w:val="000000"/>
          <w:sz w:val="24"/>
          <w:highlight w:val="none"/>
        </w:rPr>
      </w:pPr>
      <w:r>
        <w:rPr>
          <w:rFonts w:hint="eastAsia" w:ascii="宋体" w:hAnsi="宋体" w:cs="宋体"/>
          <w:color w:val="000000"/>
          <w:sz w:val="24"/>
          <w:highlight w:val="none"/>
        </w:rPr>
        <w:t>5.4 发现供应商在政府采购活动中有不正当竞争或恶意串通等违规行为，及时向政府采购评审工作的组织者或财政部门报告并加以制止。发现采购人、政府采购代理机构及其工作人员在政府采购活动中有干预评审、发表倾向性和歧视性言论、受贿或者接受供应商的其他好处及其他违法违规行为，及时向财政部门报告。</w:t>
      </w:r>
    </w:p>
    <w:p w14:paraId="7A8C829B">
      <w:pPr>
        <w:widowControl/>
        <w:shd w:val="clear" w:color="auto" w:fill="auto"/>
        <w:autoSpaceDE w:val="0"/>
        <w:autoSpaceDN w:val="0"/>
        <w:ind w:right="53" w:firstLine="480"/>
        <w:textAlignment w:val="bottom"/>
        <w:rPr>
          <w:rFonts w:hint="eastAsia" w:ascii="宋体" w:hAnsi="宋体" w:cs="宋体"/>
          <w:color w:val="000000"/>
          <w:sz w:val="24"/>
          <w:highlight w:val="none"/>
        </w:rPr>
      </w:pPr>
      <w:r>
        <w:rPr>
          <w:rFonts w:hint="eastAsia" w:ascii="宋体" w:hAnsi="宋体" w:cs="宋体"/>
          <w:color w:val="000000"/>
          <w:sz w:val="24"/>
          <w:highlight w:val="none"/>
        </w:rPr>
        <w:t>5.5 解答有关方面对政府采购评审工作中有关问题的询问，配合采购人或者政府采购代理机构答复供应商质疑，配合财政部门的投诉处理工作等事宜。</w:t>
      </w:r>
    </w:p>
    <w:p w14:paraId="7391550D">
      <w:pPr>
        <w:widowControl/>
        <w:shd w:val="clear" w:color="auto" w:fill="auto"/>
        <w:autoSpaceDE w:val="0"/>
        <w:autoSpaceDN w:val="0"/>
        <w:ind w:right="53" w:firstLine="480"/>
        <w:textAlignment w:val="bottom"/>
        <w:rPr>
          <w:rFonts w:hint="eastAsia" w:ascii="宋体" w:hAnsi="宋体" w:cs="宋体"/>
          <w:color w:val="000000"/>
          <w:sz w:val="24"/>
          <w:highlight w:val="none"/>
        </w:rPr>
      </w:pPr>
      <w:r>
        <w:rPr>
          <w:rFonts w:hint="eastAsia" w:ascii="宋体" w:hAnsi="宋体" w:cs="宋体"/>
          <w:color w:val="000000"/>
          <w:sz w:val="24"/>
          <w:highlight w:val="none"/>
        </w:rPr>
        <w:t>5.6 法律、法规和规章规定的其他义务。</w:t>
      </w:r>
    </w:p>
    <w:p w14:paraId="3C1D5E52">
      <w:pPr>
        <w:widowControl/>
        <w:shd w:val="clear" w:color="auto" w:fill="auto"/>
        <w:autoSpaceDE w:val="0"/>
        <w:autoSpaceDN w:val="0"/>
        <w:ind w:right="51" w:firstLine="482"/>
        <w:textAlignment w:val="bottom"/>
        <w:rPr>
          <w:rFonts w:hint="eastAsia" w:ascii="宋体" w:hAnsi="宋体" w:cs="宋体"/>
          <w:b/>
          <w:color w:val="000000"/>
          <w:sz w:val="24"/>
          <w:highlight w:val="none"/>
        </w:rPr>
      </w:pPr>
      <w:r>
        <w:rPr>
          <w:rFonts w:hint="eastAsia" w:ascii="宋体" w:hAnsi="宋体" w:cs="宋体"/>
          <w:b/>
          <w:color w:val="000000"/>
          <w:sz w:val="24"/>
          <w:highlight w:val="none"/>
        </w:rPr>
        <w:t>6.评审专家在政府采购活动中应当遵守以下工作纪律：</w:t>
      </w:r>
    </w:p>
    <w:p w14:paraId="67FD2AC2">
      <w:pPr>
        <w:widowControl/>
        <w:shd w:val="clear" w:color="auto" w:fill="auto"/>
        <w:autoSpaceDE w:val="0"/>
        <w:autoSpaceDN w:val="0"/>
        <w:ind w:right="53" w:firstLine="480"/>
        <w:textAlignment w:val="bottom"/>
        <w:rPr>
          <w:rFonts w:hint="eastAsia" w:ascii="宋体" w:hAnsi="宋体" w:cs="宋体"/>
          <w:color w:val="000000"/>
          <w:sz w:val="24"/>
          <w:highlight w:val="none"/>
        </w:rPr>
      </w:pPr>
      <w:r>
        <w:rPr>
          <w:rFonts w:hint="eastAsia" w:ascii="宋体" w:hAnsi="宋体" w:cs="宋体"/>
          <w:color w:val="000000"/>
          <w:sz w:val="24"/>
          <w:highlight w:val="none"/>
        </w:rPr>
        <w:t>6.1 应邀按时参加评审和咨询活动。遇特殊情况不能出席或途中遇阻不能按时参加评审或咨询的，应及时告知采购代理机构，不得私自转托他人。</w:t>
      </w:r>
    </w:p>
    <w:p w14:paraId="071A577B">
      <w:pPr>
        <w:widowControl/>
        <w:shd w:val="clear" w:color="auto" w:fill="auto"/>
        <w:autoSpaceDE w:val="0"/>
        <w:autoSpaceDN w:val="0"/>
        <w:ind w:right="53" w:firstLine="480"/>
        <w:textAlignment w:val="bottom"/>
        <w:rPr>
          <w:rFonts w:hint="eastAsia" w:ascii="宋体" w:hAnsi="宋体" w:cs="宋体"/>
          <w:color w:val="000000"/>
          <w:sz w:val="24"/>
          <w:highlight w:val="none"/>
        </w:rPr>
      </w:pPr>
      <w:r>
        <w:rPr>
          <w:rFonts w:hint="eastAsia" w:ascii="宋体" w:hAnsi="宋体" w:cs="宋体"/>
          <w:color w:val="000000"/>
          <w:sz w:val="24"/>
          <w:highlight w:val="none"/>
        </w:rPr>
        <w:t>6.2 不得参加与自己有利害关系的政府采购项目的评审活动。对与自己有利害关系的评审项目，如受到邀请，应主动提出回避。行政监督部门、采购人或政府采购代理机构也可要求该评审专家回避。</w:t>
      </w:r>
    </w:p>
    <w:p w14:paraId="57FB72D7">
      <w:pPr>
        <w:widowControl/>
        <w:shd w:val="clear" w:color="auto" w:fill="auto"/>
        <w:autoSpaceDE w:val="0"/>
        <w:autoSpaceDN w:val="0"/>
        <w:ind w:right="51" w:firstLine="480"/>
        <w:textAlignment w:val="bottom"/>
        <w:rPr>
          <w:rFonts w:hint="eastAsia" w:ascii="宋体" w:hAnsi="宋体" w:cs="宋体"/>
          <w:color w:val="000000"/>
          <w:sz w:val="24"/>
          <w:highlight w:val="none"/>
        </w:rPr>
      </w:pPr>
      <w:r>
        <w:rPr>
          <w:rFonts w:hint="eastAsia" w:ascii="宋体" w:hAnsi="宋体" w:cs="宋体"/>
          <w:color w:val="000000"/>
          <w:sz w:val="24"/>
          <w:highlight w:val="none"/>
        </w:rPr>
        <w:t>有利害关系主要是指三年内曾在参加该采购项目供应商中任职(包括一般工作)或担任顾问，配偶或直系亲属在参加该采购项目的供应商中任职或担任顾问，与参加该采购项目供应商发生过法律纠纷，以及其他可能影响公正评审的情况。</w:t>
      </w:r>
    </w:p>
    <w:p w14:paraId="031519B8">
      <w:pPr>
        <w:widowControl/>
        <w:shd w:val="clear" w:color="auto" w:fill="auto"/>
        <w:autoSpaceDE w:val="0"/>
        <w:autoSpaceDN w:val="0"/>
        <w:ind w:right="53" w:firstLine="480"/>
        <w:textAlignment w:val="bottom"/>
        <w:rPr>
          <w:rFonts w:hint="eastAsia" w:ascii="宋体" w:hAnsi="宋体" w:cs="宋体"/>
          <w:color w:val="000000"/>
          <w:sz w:val="24"/>
          <w:highlight w:val="none"/>
        </w:rPr>
      </w:pPr>
      <w:r>
        <w:rPr>
          <w:rFonts w:hint="eastAsia" w:ascii="宋体" w:hAnsi="宋体" w:cs="宋体"/>
          <w:color w:val="000000"/>
          <w:sz w:val="24"/>
          <w:highlight w:val="none"/>
        </w:rPr>
        <w:t>6.3 评审或咨询过程中关闭通讯设备，不得与外界联系。因发生不可预见情况，确实需要与外界联系的，应当有在场工作人员陪同。</w:t>
      </w:r>
    </w:p>
    <w:p w14:paraId="0A233157">
      <w:pPr>
        <w:widowControl/>
        <w:shd w:val="clear" w:color="auto" w:fill="auto"/>
        <w:autoSpaceDE w:val="0"/>
        <w:autoSpaceDN w:val="0"/>
        <w:ind w:right="53" w:firstLine="480"/>
        <w:textAlignment w:val="bottom"/>
        <w:rPr>
          <w:rFonts w:hint="eastAsia" w:ascii="宋体" w:hAnsi="宋体" w:cs="宋体"/>
          <w:color w:val="000000"/>
          <w:sz w:val="24"/>
          <w:highlight w:val="none"/>
        </w:rPr>
      </w:pPr>
      <w:r>
        <w:rPr>
          <w:rFonts w:hint="eastAsia" w:ascii="宋体" w:hAnsi="宋体" w:cs="宋体"/>
          <w:color w:val="000000"/>
          <w:sz w:val="24"/>
          <w:highlight w:val="none"/>
        </w:rPr>
        <w:t>6.4 评审过程中，不得发表影响评审公正的倾向性、歧视性言论；不得征询或者接受采购人的倾向性意见；不得以任何明示或暗示的方式要求参加该采购项目的供应商以澄清、说明或补正为借口，表达与其原投标文件原意不同的新意见；不得以采购文件没有规定的方法和标准作为评审的依据；不得违反规定的评审格式评分和撰写评审意见；不得拒绝对自己的评审意见签字确认。</w:t>
      </w:r>
    </w:p>
    <w:p w14:paraId="740A0F09">
      <w:pPr>
        <w:widowControl/>
        <w:shd w:val="clear" w:color="auto" w:fill="auto"/>
        <w:autoSpaceDE w:val="0"/>
        <w:autoSpaceDN w:val="0"/>
        <w:ind w:right="53" w:firstLine="480"/>
        <w:textAlignment w:val="bottom"/>
        <w:rPr>
          <w:rFonts w:hint="eastAsia" w:ascii="宋体" w:hAnsi="宋体" w:cs="宋体"/>
          <w:color w:val="000000"/>
          <w:sz w:val="24"/>
          <w:highlight w:val="none"/>
        </w:rPr>
      </w:pPr>
      <w:r>
        <w:rPr>
          <w:rFonts w:hint="eastAsia" w:ascii="宋体" w:hAnsi="宋体" w:cs="宋体"/>
          <w:color w:val="000000"/>
          <w:sz w:val="24"/>
          <w:highlight w:val="none"/>
        </w:rPr>
        <w:t>6.5 在咨询工作中，严格执行国家产业政策和产品标准，认真听取咨询方的合理要求，提出科学合理的、无倾向性和歧视性的咨询方案，并对所提出的意见和建议承担个人责任。</w:t>
      </w:r>
    </w:p>
    <w:p w14:paraId="43C6F4A9">
      <w:pPr>
        <w:widowControl/>
        <w:shd w:val="clear" w:color="auto" w:fill="auto"/>
        <w:autoSpaceDE w:val="0"/>
        <w:autoSpaceDN w:val="0"/>
        <w:ind w:right="51" w:firstLine="480"/>
        <w:textAlignment w:val="bottom"/>
        <w:rPr>
          <w:rFonts w:hint="eastAsia" w:ascii="宋体" w:hAnsi="宋体" w:cs="宋体"/>
          <w:color w:val="000000"/>
          <w:sz w:val="24"/>
          <w:highlight w:val="none"/>
        </w:rPr>
      </w:pPr>
      <w:r>
        <w:rPr>
          <w:rFonts w:hint="eastAsia" w:ascii="宋体" w:hAnsi="宋体" w:cs="宋体"/>
          <w:color w:val="000000"/>
          <w:sz w:val="24"/>
          <w:highlight w:val="none"/>
        </w:rPr>
        <w:t>6.6 有关部门（机构）制定的其他评审工作纪律。</w:t>
      </w:r>
    </w:p>
    <w:p w14:paraId="4B376E9C">
      <w:pPr>
        <w:pStyle w:val="3"/>
        <w:shd w:val="clear" w:color="auto" w:fill="auto"/>
        <w:spacing w:before="120" w:beforeLines="50" w:after="0" w:line="360" w:lineRule="auto"/>
        <w:ind w:firstLine="0" w:firstLineChars="0"/>
        <w:jc w:val="center"/>
        <w:outlineLvl w:val="0"/>
        <w:rPr>
          <w:rFonts w:hint="default" w:ascii="宋体" w:hAnsi="宋体" w:eastAsia="宋体" w:cs="宋体"/>
          <w:sz w:val="24"/>
          <w:szCs w:val="24"/>
          <w:lang w:val="en-US" w:eastAsia="zh-CN"/>
        </w:rPr>
      </w:pPr>
      <w:r>
        <w:rPr>
          <w:rFonts w:hint="eastAsia" w:ascii="宋体" w:hAnsi="宋体" w:eastAsia="宋体" w:cs="宋体"/>
          <w:szCs w:val="28"/>
          <w:highlight w:val="none"/>
        </w:rPr>
        <w:br w:type="page"/>
      </w:r>
      <w:bookmarkStart w:id="110" w:name="_Toc15377"/>
      <w:r>
        <w:rPr>
          <w:rFonts w:hint="eastAsia" w:ascii="宋体" w:hAnsi="宋体" w:eastAsia="宋体" w:cs="宋体"/>
          <w:color w:val="auto"/>
          <w:sz w:val="32"/>
          <w:szCs w:val="32"/>
          <w:highlight w:val="none"/>
        </w:rPr>
        <w:t>第四章 招标内容及要求</w:t>
      </w:r>
      <w:bookmarkEnd w:id="109"/>
      <w:bookmarkEnd w:id="110"/>
    </w:p>
    <w:p w14:paraId="0F460F31">
      <w:pPr>
        <w:keepNext w:val="0"/>
        <w:keepLines w:val="0"/>
        <w:pageBreakBefore w:val="0"/>
        <w:widowControl/>
        <w:shd w:val="clear" w:color="auto" w:fill="auto"/>
        <w:kinsoku/>
        <w:wordWrap/>
        <w:overflowPunct/>
        <w:topLinePunct w:val="0"/>
        <w:autoSpaceDE w:val="0"/>
        <w:autoSpaceDN w:val="0"/>
        <w:bidi w:val="0"/>
        <w:adjustRightInd/>
        <w:snapToGrid/>
        <w:ind w:right="0" w:firstLine="480" w:firstLineChars="200"/>
        <w:textAlignment w:val="bottom"/>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一、项目概况</w:t>
      </w:r>
    </w:p>
    <w:p w14:paraId="57DBFE88">
      <w:pPr>
        <w:keepNext w:val="0"/>
        <w:keepLines w:val="0"/>
        <w:pageBreakBefore w:val="0"/>
        <w:widowControl/>
        <w:shd w:val="clear" w:color="auto" w:fill="auto"/>
        <w:kinsoku/>
        <w:wordWrap/>
        <w:overflowPunct/>
        <w:topLinePunct w:val="0"/>
        <w:autoSpaceDE w:val="0"/>
        <w:autoSpaceDN w:val="0"/>
        <w:bidi w:val="0"/>
        <w:adjustRightInd/>
        <w:snapToGrid/>
        <w:ind w:right="0" w:firstLine="480" w:firstLineChars="200"/>
        <w:textAlignment w:val="bottom"/>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扶风县农村义务教育学生营养改善计划学校食堂食材采购项目，食材供应种类：米、面粉、菜籽油（非转基因）、肉类、蛋类、蔬菜类、干菜类、调味品类</w:t>
      </w:r>
    </w:p>
    <w:p w14:paraId="0FFF5C84">
      <w:pPr>
        <w:keepNext w:val="0"/>
        <w:keepLines w:val="0"/>
        <w:pageBreakBefore w:val="0"/>
        <w:widowControl/>
        <w:numPr>
          <w:ilvl w:val="0"/>
          <w:numId w:val="3"/>
        </w:numPr>
        <w:shd w:val="clear" w:color="auto" w:fill="auto"/>
        <w:kinsoku/>
        <w:wordWrap/>
        <w:overflowPunct/>
        <w:topLinePunct w:val="0"/>
        <w:autoSpaceDE w:val="0"/>
        <w:autoSpaceDN w:val="0"/>
        <w:bidi w:val="0"/>
        <w:adjustRightInd/>
        <w:snapToGrid/>
        <w:ind w:right="0" w:firstLine="480" w:firstLineChars="200"/>
        <w:textAlignment w:val="bottom"/>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食材采购要求</w:t>
      </w:r>
    </w:p>
    <w:p w14:paraId="6E961924">
      <w:pPr>
        <w:keepNext w:val="0"/>
        <w:keepLines w:val="0"/>
        <w:pageBreakBefore w:val="0"/>
        <w:widowControl/>
        <w:shd w:val="clear" w:color="auto" w:fill="auto"/>
        <w:kinsoku/>
        <w:wordWrap/>
        <w:overflowPunct/>
        <w:topLinePunct w:val="0"/>
        <w:autoSpaceDE w:val="0"/>
        <w:autoSpaceDN w:val="0"/>
        <w:bidi w:val="0"/>
        <w:adjustRightInd/>
        <w:snapToGrid/>
        <w:ind w:right="0" w:firstLine="480" w:firstLineChars="200"/>
        <w:textAlignment w:val="bottom"/>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1、原材料质量标准：采购带包装的食品时，禁止采购“三无”产品，即无“生产日期、保质期或有效食用截止日期、生产厂家”，三者缺一不可。</w:t>
      </w:r>
    </w:p>
    <w:p w14:paraId="5B632A34">
      <w:pPr>
        <w:keepNext w:val="0"/>
        <w:keepLines w:val="0"/>
        <w:pageBreakBefore w:val="0"/>
        <w:widowControl/>
        <w:shd w:val="clear" w:color="auto" w:fill="auto"/>
        <w:kinsoku/>
        <w:wordWrap/>
        <w:overflowPunct/>
        <w:topLinePunct w:val="0"/>
        <w:autoSpaceDE w:val="0"/>
        <w:autoSpaceDN w:val="0"/>
        <w:bidi w:val="0"/>
        <w:adjustRightInd/>
        <w:snapToGrid/>
        <w:ind w:right="0" w:firstLine="480" w:firstLineChars="200"/>
        <w:textAlignment w:val="bottom"/>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2、食品原材料品质的基本要求和标准：①根据招标人对膳食的要求，按照合理和营养的原则来确定；②按照招标人就餐者对原料的食用习惯和食用价值确定。</w:t>
      </w:r>
    </w:p>
    <w:p w14:paraId="70439A30">
      <w:pPr>
        <w:keepNext w:val="0"/>
        <w:keepLines w:val="0"/>
        <w:pageBreakBefore w:val="0"/>
        <w:widowControl/>
        <w:numPr>
          <w:ilvl w:val="0"/>
          <w:numId w:val="3"/>
        </w:numPr>
        <w:shd w:val="clear" w:color="auto" w:fill="auto"/>
        <w:kinsoku/>
        <w:wordWrap/>
        <w:overflowPunct/>
        <w:topLinePunct w:val="0"/>
        <w:autoSpaceDE w:val="0"/>
        <w:autoSpaceDN w:val="0"/>
        <w:bidi w:val="0"/>
        <w:adjustRightInd/>
        <w:snapToGrid/>
        <w:ind w:right="0" w:firstLine="480" w:firstLineChars="200"/>
        <w:textAlignment w:val="bottom"/>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食材种类</w:t>
      </w:r>
    </w:p>
    <w:p w14:paraId="4F814C7B">
      <w:pPr>
        <w:keepNext w:val="0"/>
        <w:keepLines w:val="0"/>
        <w:pageBreakBefore w:val="0"/>
        <w:widowControl/>
        <w:shd w:val="clear" w:color="auto" w:fill="auto"/>
        <w:kinsoku/>
        <w:wordWrap/>
        <w:overflowPunct/>
        <w:topLinePunct w:val="0"/>
        <w:autoSpaceDE w:val="0"/>
        <w:autoSpaceDN w:val="0"/>
        <w:bidi w:val="0"/>
        <w:adjustRightInd/>
        <w:snapToGrid/>
        <w:ind w:right="0" w:firstLine="480" w:firstLineChars="200"/>
        <w:textAlignment w:val="bottom"/>
        <w:rPr>
          <w:rFonts w:hint="default" w:ascii="宋体" w:hAnsi="宋体" w:eastAsia="宋体" w:cs="宋体"/>
          <w:color w:val="000000"/>
          <w:sz w:val="24"/>
          <w:highlight w:val="none"/>
          <w:lang w:val="en-US" w:eastAsia="zh-CN"/>
        </w:rPr>
      </w:pPr>
      <w:r>
        <w:rPr>
          <w:rFonts w:hint="default" w:ascii="宋体" w:hAnsi="宋体" w:eastAsia="宋体" w:cs="宋体"/>
          <w:color w:val="000000"/>
          <w:sz w:val="24"/>
          <w:highlight w:val="none"/>
          <w:lang w:val="en-US" w:eastAsia="zh-CN"/>
        </w:rPr>
        <w:t>大宗食材(大米、面粉、菜籽油、肉、蛋)及原辅材料(新鲜蔬菜、干货、调味品等原辅材料)。</w:t>
      </w:r>
    </w:p>
    <w:p w14:paraId="0E58092E">
      <w:pPr>
        <w:keepNext w:val="0"/>
        <w:keepLines w:val="0"/>
        <w:pageBreakBefore w:val="0"/>
        <w:widowControl/>
        <w:shd w:val="clear" w:color="auto" w:fill="auto"/>
        <w:kinsoku/>
        <w:wordWrap/>
        <w:overflowPunct/>
        <w:topLinePunct w:val="0"/>
        <w:autoSpaceDE w:val="0"/>
        <w:autoSpaceDN w:val="0"/>
        <w:bidi w:val="0"/>
        <w:adjustRightInd/>
        <w:snapToGrid/>
        <w:ind w:right="0" w:firstLine="480" w:firstLineChars="200"/>
        <w:textAlignment w:val="bottom"/>
        <w:rPr>
          <w:rFonts w:hint="default" w:ascii="宋体" w:hAnsi="宋体" w:eastAsia="宋体" w:cs="宋体"/>
          <w:color w:val="000000"/>
          <w:sz w:val="24"/>
          <w:highlight w:val="none"/>
          <w:lang w:val="en-US" w:eastAsia="zh-CN"/>
        </w:rPr>
      </w:pPr>
      <w:r>
        <w:rPr>
          <w:rFonts w:hint="default" w:ascii="宋体" w:hAnsi="宋体" w:eastAsia="宋体" w:cs="宋体"/>
          <w:color w:val="000000"/>
          <w:sz w:val="24"/>
          <w:highlight w:val="none"/>
          <w:lang w:val="en-US" w:eastAsia="zh-CN"/>
        </w:rPr>
        <w:t>1、品种：大米</w:t>
      </w:r>
    </w:p>
    <w:p w14:paraId="5B27BA5A">
      <w:pPr>
        <w:keepNext w:val="0"/>
        <w:keepLines w:val="0"/>
        <w:pageBreakBefore w:val="0"/>
        <w:widowControl/>
        <w:shd w:val="clear" w:color="auto" w:fill="auto"/>
        <w:kinsoku/>
        <w:wordWrap/>
        <w:overflowPunct/>
        <w:topLinePunct w:val="0"/>
        <w:autoSpaceDE w:val="0"/>
        <w:autoSpaceDN w:val="0"/>
        <w:bidi w:val="0"/>
        <w:adjustRightInd/>
        <w:snapToGrid/>
        <w:ind w:right="0" w:firstLine="480" w:firstLineChars="200"/>
        <w:textAlignment w:val="bottom"/>
        <w:rPr>
          <w:rFonts w:hint="default" w:ascii="宋体" w:hAnsi="宋体" w:eastAsia="宋体" w:cs="宋体"/>
          <w:color w:val="000000"/>
          <w:sz w:val="24"/>
          <w:highlight w:val="none"/>
          <w:lang w:val="en-US" w:eastAsia="zh-CN"/>
        </w:rPr>
      </w:pPr>
      <w:r>
        <w:rPr>
          <w:rFonts w:hint="default" w:ascii="宋体" w:hAnsi="宋体" w:eastAsia="宋体" w:cs="宋体"/>
          <w:color w:val="000000"/>
          <w:sz w:val="24"/>
          <w:highlight w:val="none"/>
          <w:lang w:val="en-US" w:eastAsia="zh-CN"/>
        </w:rPr>
        <w:t>规格：25kg/袋，执行标准：GB/T1354－2018，质量等级：一级</w:t>
      </w:r>
      <w:r>
        <w:rPr>
          <w:rFonts w:hint="eastAsia" w:ascii="宋体" w:hAnsi="宋体" w:eastAsia="宋体" w:cs="宋体"/>
          <w:color w:val="000000"/>
          <w:sz w:val="24"/>
          <w:highlight w:val="none"/>
          <w:lang w:val="en-US" w:eastAsia="zh-CN"/>
        </w:rPr>
        <w:t>粳米</w:t>
      </w:r>
      <w:r>
        <w:rPr>
          <w:rFonts w:hint="default" w:ascii="宋体" w:hAnsi="宋体" w:eastAsia="宋体" w:cs="宋体"/>
          <w:color w:val="000000"/>
          <w:sz w:val="24"/>
          <w:highlight w:val="none"/>
          <w:lang w:val="en-US" w:eastAsia="zh-CN"/>
        </w:rPr>
        <w:t>，限价：120.00元/袋</w:t>
      </w:r>
    </w:p>
    <w:p w14:paraId="45FD40BD">
      <w:pPr>
        <w:keepNext w:val="0"/>
        <w:keepLines w:val="0"/>
        <w:pageBreakBefore w:val="0"/>
        <w:widowControl/>
        <w:shd w:val="clear" w:color="auto" w:fill="auto"/>
        <w:kinsoku/>
        <w:wordWrap/>
        <w:overflowPunct/>
        <w:topLinePunct w:val="0"/>
        <w:autoSpaceDE w:val="0"/>
        <w:autoSpaceDN w:val="0"/>
        <w:bidi w:val="0"/>
        <w:adjustRightInd/>
        <w:snapToGrid/>
        <w:ind w:right="0" w:firstLine="480" w:firstLineChars="200"/>
        <w:textAlignment w:val="bottom"/>
        <w:rPr>
          <w:rFonts w:hint="default" w:ascii="宋体" w:hAnsi="宋体" w:eastAsia="宋体" w:cs="宋体"/>
          <w:color w:val="000000"/>
          <w:sz w:val="24"/>
          <w:highlight w:val="none"/>
          <w:lang w:val="en-US" w:eastAsia="zh-CN"/>
        </w:rPr>
      </w:pPr>
      <w:r>
        <w:rPr>
          <w:rFonts w:hint="default" w:ascii="宋体" w:hAnsi="宋体" w:eastAsia="宋体" w:cs="宋体"/>
          <w:color w:val="000000"/>
          <w:sz w:val="24"/>
          <w:highlight w:val="none"/>
          <w:lang w:val="en-US" w:eastAsia="zh-CN"/>
        </w:rPr>
        <w:t>要求：质量符合国家现行标准要求（须提供有资质的检测机构出具的检验报告）；便于运输，储存。外包装上必须标明生产日期，保质期，储存条件，生产厂家，产地等，执行最新现行标准。</w:t>
      </w:r>
    </w:p>
    <w:p w14:paraId="68F372D1">
      <w:pPr>
        <w:keepNext w:val="0"/>
        <w:keepLines w:val="0"/>
        <w:pageBreakBefore w:val="0"/>
        <w:widowControl/>
        <w:shd w:val="clear" w:color="auto" w:fill="auto"/>
        <w:kinsoku/>
        <w:wordWrap/>
        <w:overflowPunct/>
        <w:topLinePunct w:val="0"/>
        <w:autoSpaceDE w:val="0"/>
        <w:autoSpaceDN w:val="0"/>
        <w:bidi w:val="0"/>
        <w:adjustRightInd/>
        <w:snapToGrid/>
        <w:ind w:right="0" w:firstLine="480" w:firstLineChars="200"/>
        <w:textAlignment w:val="bottom"/>
        <w:rPr>
          <w:rFonts w:hint="default" w:ascii="宋体" w:hAnsi="宋体" w:eastAsia="宋体" w:cs="宋体"/>
          <w:color w:val="000000"/>
          <w:sz w:val="24"/>
          <w:highlight w:val="none"/>
          <w:lang w:val="en-US" w:eastAsia="zh-CN"/>
        </w:rPr>
      </w:pPr>
      <w:r>
        <w:rPr>
          <w:rFonts w:hint="default" w:ascii="宋体" w:hAnsi="宋体" w:eastAsia="宋体" w:cs="宋体"/>
          <w:color w:val="000000"/>
          <w:sz w:val="24"/>
          <w:highlight w:val="none"/>
          <w:lang w:val="en-US" w:eastAsia="zh-CN"/>
        </w:rPr>
        <w:t>2、品种：面粉（*）（核心产品）</w:t>
      </w:r>
    </w:p>
    <w:p w14:paraId="5A93DDEE">
      <w:pPr>
        <w:keepNext w:val="0"/>
        <w:keepLines w:val="0"/>
        <w:pageBreakBefore w:val="0"/>
        <w:widowControl/>
        <w:shd w:val="clear" w:color="auto" w:fill="auto"/>
        <w:kinsoku/>
        <w:wordWrap/>
        <w:overflowPunct/>
        <w:topLinePunct w:val="0"/>
        <w:autoSpaceDE w:val="0"/>
        <w:autoSpaceDN w:val="0"/>
        <w:bidi w:val="0"/>
        <w:adjustRightInd/>
        <w:snapToGrid/>
        <w:ind w:right="0" w:firstLine="480" w:firstLineChars="200"/>
        <w:textAlignment w:val="bottom"/>
        <w:rPr>
          <w:rFonts w:hint="default" w:ascii="宋体" w:hAnsi="宋体" w:eastAsia="宋体" w:cs="宋体"/>
          <w:color w:val="000000"/>
          <w:sz w:val="24"/>
          <w:highlight w:val="none"/>
          <w:lang w:val="en-US" w:eastAsia="zh-CN"/>
        </w:rPr>
      </w:pPr>
      <w:r>
        <w:rPr>
          <w:rFonts w:hint="default" w:ascii="宋体" w:hAnsi="宋体" w:eastAsia="宋体" w:cs="宋体"/>
          <w:color w:val="000000"/>
          <w:sz w:val="24"/>
          <w:highlight w:val="none"/>
          <w:lang w:val="en-US" w:eastAsia="zh-CN"/>
        </w:rPr>
        <w:t>规格：25kg/袋，执行标准：GB/T1355</w:t>
      </w:r>
      <w:r>
        <w:rPr>
          <w:rFonts w:hint="eastAsia" w:ascii="宋体" w:hAnsi="宋体" w:eastAsia="宋体" w:cs="宋体"/>
          <w:color w:val="000000"/>
          <w:sz w:val="24"/>
          <w:highlight w:val="none"/>
          <w:lang w:val="en-US" w:eastAsia="zh-CN"/>
        </w:rPr>
        <w:t>-2021</w:t>
      </w:r>
      <w:r>
        <w:rPr>
          <w:rFonts w:hint="default" w:ascii="宋体" w:hAnsi="宋体" w:eastAsia="宋体" w:cs="宋体"/>
          <w:color w:val="000000"/>
          <w:sz w:val="24"/>
          <w:highlight w:val="none"/>
          <w:lang w:val="en-US" w:eastAsia="zh-CN"/>
        </w:rPr>
        <w:t>，质量等级：一级，限价：110.00元/袋</w:t>
      </w:r>
    </w:p>
    <w:p w14:paraId="55FC6792">
      <w:pPr>
        <w:keepNext w:val="0"/>
        <w:keepLines w:val="0"/>
        <w:pageBreakBefore w:val="0"/>
        <w:widowControl/>
        <w:shd w:val="clear" w:color="auto" w:fill="auto"/>
        <w:kinsoku/>
        <w:wordWrap/>
        <w:overflowPunct/>
        <w:topLinePunct w:val="0"/>
        <w:autoSpaceDE w:val="0"/>
        <w:autoSpaceDN w:val="0"/>
        <w:bidi w:val="0"/>
        <w:adjustRightInd/>
        <w:snapToGrid/>
        <w:ind w:right="0" w:firstLine="480" w:firstLineChars="200"/>
        <w:textAlignment w:val="bottom"/>
        <w:rPr>
          <w:rFonts w:hint="default" w:ascii="宋体" w:hAnsi="宋体" w:eastAsia="宋体" w:cs="宋体"/>
          <w:color w:val="000000"/>
          <w:sz w:val="24"/>
          <w:highlight w:val="none"/>
          <w:lang w:val="en-US" w:eastAsia="zh-CN"/>
        </w:rPr>
      </w:pPr>
      <w:r>
        <w:rPr>
          <w:rFonts w:hint="default" w:ascii="宋体" w:hAnsi="宋体" w:eastAsia="宋体" w:cs="宋体"/>
          <w:color w:val="000000"/>
          <w:sz w:val="24"/>
          <w:highlight w:val="none"/>
          <w:lang w:val="en-US" w:eastAsia="zh-CN"/>
        </w:rPr>
        <w:t>要求：质量符合国家现行标准要求（须提供有资质的检测机构出具的检验报告）；便于运输，储存。外包装上必须标明生产日期，保质期，储存条件，生产厂家，产地等，执行最新现行标准。</w:t>
      </w:r>
    </w:p>
    <w:p w14:paraId="17D4FC4C">
      <w:pPr>
        <w:keepNext w:val="0"/>
        <w:keepLines w:val="0"/>
        <w:pageBreakBefore w:val="0"/>
        <w:widowControl/>
        <w:shd w:val="clear" w:color="auto" w:fill="auto"/>
        <w:kinsoku/>
        <w:wordWrap/>
        <w:overflowPunct/>
        <w:topLinePunct w:val="0"/>
        <w:autoSpaceDE w:val="0"/>
        <w:autoSpaceDN w:val="0"/>
        <w:bidi w:val="0"/>
        <w:adjustRightInd/>
        <w:snapToGrid/>
        <w:ind w:right="0" w:firstLine="480" w:firstLineChars="200"/>
        <w:textAlignment w:val="bottom"/>
        <w:rPr>
          <w:rFonts w:hint="default" w:ascii="宋体" w:hAnsi="宋体" w:eastAsia="宋体" w:cs="宋体"/>
          <w:color w:val="000000"/>
          <w:sz w:val="24"/>
          <w:highlight w:val="none"/>
          <w:lang w:val="en-US" w:eastAsia="zh-CN"/>
        </w:rPr>
      </w:pPr>
      <w:r>
        <w:rPr>
          <w:rFonts w:hint="default" w:ascii="宋体" w:hAnsi="宋体" w:eastAsia="宋体" w:cs="宋体"/>
          <w:color w:val="000000"/>
          <w:sz w:val="24"/>
          <w:highlight w:val="none"/>
          <w:lang w:val="en-US" w:eastAsia="zh-CN"/>
        </w:rPr>
        <w:t>3、品种：菜籽油（非转基因）</w:t>
      </w:r>
    </w:p>
    <w:p w14:paraId="7F70E838">
      <w:pPr>
        <w:keepNext w:val="0"/>
        <w:keepLines w:val="0"/>
        <w:pageBreakBefore w:val="0"/>
        <w:widowControl/>
        <w:shd w:val="clear" w:color="auto" w:fill="auto"/>
        <w:kinsoku/>
        <w:wordWrap/>
        <w:overflowPunct/>
        <w:topLinePunct w:val="0"/>
        <w:autoSpaceDE w:val="0"/>
        <w:autoSpaceDN w:val="0"/>
        <w:bidi w:val="0"/>
        <w:adjustRightInd/>
        <w:snapToGrid/>
        <w:ind w:right="0" w:firstLine="480" w:firstLineChars="200"/>
        <w:textAlignment w:val="bottom"/>
        <w:rPr>
          <w:rFonts w:hint="default" w:ascii="宋体" w:hAnsi="宋体" w:eastAsia="宋体" w:cs="宋体"/>
          <w:color w:val="000000"/>
          <w:sz w:val="24"/>
          <w:highlight w:val="none"/>
          <w:lang w:val="en-US" w:eastAsia="zh-CN"/>
        </w:rPr>
      </w:pPr>
      <w:r>
        <w:rPr>
          <w:rFonts w:hint="default" w:ascii="宋体" w:hAnsi="宋体" w:eastAsia="宋体" w:cs="宋体"/>
          <w:color w:val="000000"/>
          <w:sz w:val="24"/>
          <w:highlight w:val="none"/>
          <w:lang w:val="en-US" w:eastAsia="zh-CN"/>
        </w:rPr>
        <w:t>规格：16.4L/桶（一次性包装），生产工艺：压榨，执行标准：GB/T1536－2021（菜籽油），质量等级：二级及以上，限价：220.00元/桶</w:t>
      </w:r>
    </w:p>
    <w:p w14:paraId="0DED3FE3">
      <w:pPr>
        <w:keepNext w:val="0"/>
        <w:keepLines w:val="0"/>
        <w:pageBreakBefore w:val="0"/>
        <w:widowControl/>
        <w:shd w:val="clear" w:color="auto" w:fill="auto"/>
        <w:kinsoku/>
        <w:wordWrap/>
        <w:overflowPunct/>
        <w:topLinePunct w:val="0"/>
        <w:autoSpaceDE w:val="0"/>
        <w:autoSpaceDN w:val="0"/>
        <w:bidi w:val="0"/>
        <w:adjustRightInd/>
        <w:snapToGrid/>
        <w:ind w:right="0" w:firstLine="480" w:firstLineChars="200"/>
        <w:textAlignment w:val="bottom"/>
        <w:rPr>
          <w:rFonts w:hint="eastAsia" w:ascii="宋体" w:hAnsi="宋体" w:eastAsia="宋体" w:cs="宋体"/>
          <w:color w:val="000000"/>
          <w:sz w:val="24"/>
          <w:highlight w:val="none"/>
          <w:lang w:val="en-US" w:eastAsia="zh-CN"/>
        </w:rPr>
      </w:pPr>
      <w:r>
        <w:rPr>
          <w:rFonts w:hint="default" w:ascii="宋体" w:hAnsi="宋体" w:eastAsia="宋体" w:cs="宋体"/>
          <w:color w:val="000000"/>
          <w:sz w:val="24"/>
          <w:highlight w:val="none"/>
          <w:lang w:val="en-US" w:eastAsia="zh-CN"/>
        </w:rPr>
        <w:t>要求：质量符合国家现行标准要求（须提供有资质的检测机构出具的检验报告）；便于运输，储存。外包装上必须标明生产日期，保质期，储存条件，生产厂家，产地等，执行最新现行标准，要求为压榨成品菜籽油</w:t>
      </w:r>
      <w:r>
        <w:rPr>
          <w:rFonts w:hint="eastAsia" w:ascii="宋体" w:hAnsi="宋体" w:eastAsia="宋体" w:cs="宋体"/>
          <w:color w:val="000000"/>
          <w:sz w:val="24"/>
          <w:highlight w:val="none"/>
          <w:lang w:val="en-US" w:eastAsia="zh-CN"/>
        </w:rPr>
        <w:t>。</w:t>
      </w:r>
    </w:p>
    <w:p w14:paraId="76C70DA1">
      <w:pPr>
        <w:keepNext w:val="0"/>
        <w:keepLines w:val="0"/>
        <w:pageBreakBefore w:val="0"/>
        <w:widowControl/>
        <w:shd w:val="clear" w:color="auto" w:fill="auto"/>
        <w:kinsoku/>
        <w:wordWrap/>
        <w:overflowPunct/>
        <w:topLinePunct w:val="0"/>
        <w:autoSpaceDE w:val="0"/>
        <w:autoSpaceDN w:val="0"/>
        <w:bidi w:val="0"/>
        <w:adjustRightInd/>
        <w:snapToGrid/>
        <w:ind w:right="0" w:firstLine="480" w:firstLineChars="200"/>
        <w:textAlignment w:val="bottom"/>
        <w:rPr>
          <w:rFonts w:hint="default" w:ascii="宋体" w:hAnsi="宋体" w:eastAsia="宋体" w:cs="宋体"/>
          <w:color w:val="000000"/>
          <w:sz w:val="24"/>
          <w:highlight w:val="none"/>
          <w:lang w:val="en-US" w:eastAsia="zh-CN"/>
        </w:rPr>
      </w:pPr>
      <w:r>
        <w:rPr>
          <w:rFonts w:hint="default" w:ascii="宋体" w:hAnsi="宋体" w:eastAsia="宋体" w:cs="宋体"/>
          <w:color w:val="000000"/>
          <w:sz w:val="24"/>
          <w:highlight w:val="none"/>
          <w:lang w:val="en-US" w:eastAsia="zh-CN"/>
        </w:rPr>
        <w:t xml:space="preserve">4、品种：肉类 </w:t>
      </w:r>
    </w:p>
    <w:p w14:paraId="75A40486">
      <w:pPr>
        <w:keepNext w:val="0"/>
        <w:keepLines w:val="0"/>
        <w:pageBreakBefore w:val="0"/>
        <w:widowControl/>
        <w:shd w:val="clear" w:color="auto" w:fill="auto"/>
        <w:kinsoku/>
        <w:wordWrap/>
        <w:overflowPunct/>
        <w:topLinePunct w:val="0"/>
        <w:autoSpaceDE w:val="0"/>
        <w:autoSpaceDN w:val="0"/>
        <w:bidi w:val="0"/>
        <w:adjustRightInd/>
        <w:snapToGrid/>
        <w:ind w:right="0" w:firstLine="480" w:firstLineChars="200"/>
        <w:textAlignment w:val="bottom"/>
        <w:rPr>
          <w:rFonts w:hint="default" w:ascii="宋体" w:hAnsi="宋体" w:eastAsia="宋体" w:cs="宋体"/>
          <w:color w:val="000000"/>
          <w:sz w:val="24"/>
          <w:highlight w:val="none"/>
          <w:lang w:val="en-US" w:eastAsia="zh-CN"/>
        </w:rPr>
      </w:pPr>
      <w:r>
        <w:rPr>
          <w:rFonts w:hint="default" w:ascii="宋体" w:hAnsi="宋体" w:eastAsia="宋体" w:cs="宋体"/>
          <w:color w:val="000000"/>
          <w:sz w:val="24"/>
          <w:highlight w:val="none"/>
          <w:lang w:val="en-US" w:eastAsia="zh-CN"/>
        </w:rPr>
        <w:t>取得国家定点屠宰许可的屠宰场生产的新鲜、干爽的肉品，具有合格动物检验检疫证明、肉类质量合格证等证明材料。执行国家食品安全标准GB</w:t>
      </w:r>
      <w:r>
        <w:rPr>
          <w:rFonts w:hint="eastAsia" w:ascii="宋体" w:hAnsi="宋体" w:eastAsia="宋体" w:cs="宋体"/>
          <w:color w:val="000000"/>
          <w:sz w:val="24"/>
          <w:highlight w:val="none"/>
          <w:lang w:val="en-US" w:eastAsia="zh-CN"/>
        </w:rPr>
        <w:t>2707-2016</w:t>
      </w:r>
      <w:r>
        <w:rPr>
          <w:rFonts w:hint="default" w:ascii="宋体" w:hAnsi="宋体" w:eastAsia="宋体" w:cs="宋体"/>
          <w:color w:val="000000"/>
          <w:sz w:val="24"/>
          <w:highlight w:val="none"/>
          <w:lang w:val="en-US" w:eastAsia="zh-CN"/>
        </w:rPr>
        <w:t>。</w:t>
      </w:r>
    </w:p>
    <w:p w14:paraId="475A983E">
      <w:pPr>
        <w:keepNext w:val="0"/>
        <w:keepLines w:val="0"/>
        <w:pageBreakBefore w:val="0"/>
        <w:widowControl/>
        <w:shd w:val="clear" w:color="auto" w:fill="auto"/>
        <w:kinsoku/>
        <w:wordWrap/>
        <w:overflowPunct/>
        <w:topLinePunct w:val="0"/>
        <w:autoSpaceDE w:val="0"/>
        <w:autoSpaceDN w:val="0"/>
        <w:bidi w:val="0"/>
        <w:adjustRightInd/>
        <w:snapToGrid/>
        <w:ind w:right="0" w:firstLine="480" w:firstLineChars="200"/>
        <w:textAlignment w:val="bottom"/>
        <w:rPr>
          <w:rFonts w:hint="default" w:ascii="宋体" w:hAnsi="宋体" w:eastAsia="宋体" w:cs="宋体"/>
          <w:color w:val="000000"/>
          <w:sz w:val="24"/>
          <w:highlight w:val="none"/>
          <w:lang w:val="en-US" w:eastAsia="zh-CN"/>
        </w:rPr>
      </w:pPr>
      <w:r>
        <w:rPr>
          <w:rFonts w:hint="default" w:ascii="宋体" w:hAnsi="宋体" w:eastAsia="宋体" w:cs="宋体"/>
          <w:color w:val="000000"/>
          <w:sz w:val="24"/>
          <w:highlight w:val="none"/>
          <w:lang w:val="en-US" w:eastAsia="zh-CN"/>
        </w:rPr>
        <w:t>5、品种：蛋类</w:t>
      </w:r>
    </w:p>
    <w:p w14:paraId="7473AE19">
      <w:pPr>
        <w:keepNext w:val="0"/>
        <w:keepLines w:val="0"/>
        <w:pageBreakBefore w:val="0"/>
        <w:widowControl/>
        <w:shd w:val="clear" w:color="auto" w:fill="auto"/>
        <w:kinsoku/>
        <w:wordWrap/>
        <w:overflowPunct/>
        <w:topLinePunct w:val="0"/>
        <w:autoSpaceDE w:val="0"/>
        <w:autoSpaceDN w:val="0"/>
        <w:bidi w:val="0"/>
        <w:adjustRightInd/>
        <w:snapToGrid/>
        <w:ind w:right="0" w:firstLine="480" w:firstLineChars="200"/>
        <w:textAlignment w:val="bottom"/>
        <w:rPr>
          <w:rFonts w:hint="default" w:ascii="宋体" w:hAnsi="宋体" w:eastAsia="宋体" w:cs="宋体"/>
          <w:color w:val="000000"/>
          <w:sz w:val="24"/>
          <w:highlight w:val="none"/>
          <w:lang w:val="en-US" w:eastAsia="zh-CN"/>
        </w:rPr>
      </w:pPr>
      <w:r>
        <w:rPr>
          <w:rFonts w:hint="default" w:ascii="宋体" w:hAnsi="宋体" w:eastAsia="宋体" w:cs="宋体"/>
          <w:color w:val="000000"/>
          <w:sz w:val="24"/>
          <w:highlight w:val="none"/>
          <w:lang w:val="en-US" w:eastAsia="zh-CN"/>
        </w:rPr>
        <w:t>鲜蛋，未经加工或仅用冷藏法、液相法、涂膜法、消毒法、气调法、干藏法等贮藏方法处理的带壳蛋。执行国家食品安全标准GB</w:t>
      </w:r>
      <w:r>
        <w:rPr>
          <w:rFonts w:hint="eastAsia" w:ascii="宋体" w:hAnsi="宋体" w:eastAsia="宋体" w:cs="宋体"/>
          <w:color w:val="000000"/>
          <w:sz w:val="24"/>
          <w:highlight w:val="none"/>
          <w:lang w:val="en-US" w:eastAsia="zh-CN"/>
        </w:rPr>
        <w:t>2749-2015</w:t>
      </w:r>
      <w:r>
        <w:rPr>
          <w:rFonts w:hint="default" w:ascii="宋体" w:hAnsi="宋体" w:eastAsia="宋体" w:cs="宋体"/>
          <w:color w:val="000000"/>
          <w:sz w:val="24"/>
          <w:highlight w:val="none"/>
          <w:lang w:val="en-US" w:eastAsia="zh-CN"/>
        </w:rPr>
        <w:t>。</w:t>
      </w:r>
    </w:p>
    <w:p w14:paraId="0BD84AFE">
      <w:pPr>
        <w:keepNext w:val="0"/>
        <w:keepLines w:val="0"/>
        <w:pageBreakBefore w:val="0"/>
        <w:widowControl/>
        <w:shd w:val="clear" w:color="auto" w:fill="auto"/>
        <w:kinsoku/>
        <w:wordWrap/>
        <w:overflowPunct/>
        <w:topLinePunct w:val="0"/>
        <w:autoSpaceDE w:val="0"/>
        <w:autoSpaceDN w:val="0"/>
        <w:bidi w:val="0"/>
        <w:adjustRightInd/>
        <w:snapToGrid/>
        <w:ind w:right="0" w:firstLine="480" w:firstLineChars="200"/>
        <w:textAlignment w:val="bottom"/>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6、品种：蔬菜类</w:t>
      </w:r>
    </w:p>
    <w:p w14:paraId="69442FB5">
      <w:pPr>
        <w:keepNext w:val="0"/>
        <w:keepLines w:val="0"/>
        <w:pageBreakBefore w:val="0"/>
        <w:widowControl/>
        <w:shd w:val="clear" w:color="auto" w:fill="auto"/>
        <w:kinsoku/>
        <w:wordWrap/>
        <w:overflowPunct/>
        <w:topLinePunct w:val="0"/>
        <w:autoSpaceDE w:val="0"/>
        <w:autoSpaceDN w:val="0"/>
        <w:bidi w:val="0"/>
        <w:adjustRightInd/>
        <w:snapToGrid/>
        <w:ind w:right="0" w:firstLine="480" w:firstLineChars="200"/>
        <w:textAlignment w:val="bottom"/>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当季各类新鲜蔬菜以及大棚种植蔬菜，蔬菜类必须保证无黄叶、枯死叶、无虫、无杂质，须48小时内采摘供应，原菜须保证菜面干净、无明显泥土、码放整齐、无破损、大小基本统一、不得过熟或欠熟；净菜须保证菜面完全干净、无泥土、按统一标准加工、码放整齐、无须二次处理可以直接进行熟加工。</w:t>
      </w:r>
    </w:p>
    <w:p w14:paraId="627ECCF2">
      <w:pPr>
        <w:keepNext w:val="0"/>
        <w:keepLines w:val="0"/>
        <w:pageBreakBefore w:val="0"/>
        <w:widowControl/>
        <w:shd w:val="clear" w:color="auto" w:fill="auto"/>
        <w:kinsoku/>
        <w:wordWrap/>
        <w:overflowPunct/>
        <w:topLinePunct w:val="0"/>
        <w:autoSpaceDE w:val="0"/>
        <w:autoSpaceDN w:val="0"/>
        <w:bidi w:val="0"/>
        <w:adjustRightInd/>
        <w:snapToGrid/>
        <w:ind w:right="0" w:firstLine="480" w:firstLineChars="200"/>
        <w:textAlignment w:val="bottom"/>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标准：应符合《中华人民共和国食品安全法》《中华人民共和国农产品质量安全法》《食用农产品市场销售质量监督管理办法》，并且提供相关的质量合格凭证。</w:t>
      </w:r>
    </w:p>
    <w:p w14:paraId="6EA82F96">
      <w:pPr>
        <w:keepNext w:val="0"/>
        <w:keepLines w:val="0"/>
        <w:pageBreakBefore w:val="0"/>
        <w:widowControl/>
        <w:shd w:val="clear" w:color="auto" w:fill="auto"/>
        <w:kinsoku/>
        <w:wordWrap/>
        <w:overflowPunct/>
        <w:topLinePunct w:val="0"/>
        <w:autoSpaceDE w:val="0"/>
        <w:autoSpaceDN w:val="0"/>
        <w:bidi w:val="0"/>
        <w:adjustRightInd/>
        <w:snapToGrid/>
        <w:ind w:right="0" w:firstLine="480" w:firstLineChars="200"/>
        <w:textAlignment w:val="bottom"/>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（1）根茎类：包括但不限于土豆、姜、红白萝卜等，去掉茎叶，不带泥沙，红白萝卜可留少量青苗。</w:t>
      </w:r>
    </w:p>
    <w:p w14:paraId="2EDF94A1">
      <w:pPr>
        <w:keepNext w:val="0"/>
        <w:keepLines w:val="0"/>
        <w:pageBreakBefore w:val="0"/>
        <w:widowControl/>
        <w:shd w:val="clear" w:color="auto" w:fill="auto"/>
        <w:kinsoku/>
        <w:wordWrap/>
        <w:overflowPunct/>
        <w:topLinePunct w:val="0"/>
        <w:autoSpaceDE w:val="0"/>
        <w:autoSpaceDN w:val="0"/>
        <w:bidi w:val="0"/>
        <w:adjustRightInd/>
        <w:snapToGrid/>
        <w:ind w:right="0" w:firstLine="480" w:firstLineChars="200"/>
        <w:textAlignment w:val="bottom"/>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（2）瓜豆类：包括但不限于冬瓜、南瓜、苦瓜、丝瓜、金瓜、荷兰豆等，不带茎叶。</w:t>
      </w:r>
    </w:p>
    <w:p w14:paraId="00B8E226">
      <w:pPr>
        <w:keepNext w:val="0"/>
        <w:keepLines w:val="0"/>
        <w:pageBreakBefore w:val="0"/>
        <w:widowControl/>
        <w:shd w:val="clear" w:color="auto" w:fill="auto"/>
        <w:kinsoku/>
        <w:wordWrap/>
        <w:overflowPunct/>
        <w:topLinePunct w:val="0"/>
        <w:autoSpaceDE w:val="0"/>
        <w:autoSpaceDN w:val="0"/>
        <w:bidi w:val="0"/>
        <w:adjustRightInd/>
        <w:snapToGrid/>
        <w:ind w:right="0" w:firstLine="480" w:firstLineChars="200"/>
        <w:textAlignment w:val="bottom"/>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（3）叶菜类：包括但不限于白菜、卷心菜、芥菜、通心菜、茼蒿、生菜、菠菜、苋菜、芥兰、小白菜等，不带枯黄叶，去菜头。</w:t>
      </w:r>
    </w:p>
    <w:p w14:paraId="649B4E55">
      <w:pPr>
        <w:keepNext w:val="0"/>
        <w:keepLines w:val="0"/>
        <w:pageBreakBefore w:val="0"/>
        <w:widowControl/>
        <w:shd w:val="clear" w:color="auto" w:fill="auto"/>
        <w:kinsoku/>
        <w:wordWrap/>
        <w:overflowPunct/>
        <w:topLinePunct w:val="0"/>
        <w:autoSpaceDE w:val="0"/>
        <w:autoSpaceDN w:val="0"/>
        <w:bidi w:val="0"/>
        <w:adjustRightInd/>
        <w:snapToGrid/>
        <w:ind w:right="0" w:firstLine="480" w:firstLineChars="200"/>
        <w:textAlignment w:val="bottom"/>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（4）花菜类：包括但不限于菜花、西蓝花等，无根，可保留少量叶柄。</w:t>
      </w:r>
    </w:p>
    <w:p w14:paraId="7A04C74D">
      <w:pPr>
        <w:keepNext w:val="0"/>
        <w:keepLines w:val="0"/>
        <w:pageBreakBefore w:val="0"/>
        <w:widowControl/>
        <w:shd w:val="clear" w:color="auto" w:fill="auto"/>
        <w:kinsoku/>
        <w:wordWrap/>
        <w:overflowPunct/>
        <w:topLinePunct w:val="0"/>
        <w:autoSpaceDE w:val="0"/>
        <w:autoSpaceDN w:val="0"/>
        <w:bidi w:val="0"/>
        <w:adjustRightInd/>
        <w:snapToGrid/>
        <w:ind w:right="0" w:firstLine="480" w:firstLineChars="200"/>
        <w:textAlignment w:val="bottom"/>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（5）芽菜类：包括但不限于大豆芽、绿豆芽等，去豆衣。</w:t>
      </w:r>
    </w:p>
    <w:p w14:paraId="04D323E4">
      <w:pPr>
        <w:keepNext w:val="0"/>
        <w:keepLines w:val="0"/>
        <w:pageBreakBefore w:val="0"/>
        <w:widowControl/>
        <w:shd w:val="clear" w:color="auto" w:fill="auto"/>
        <w:kinsoku/>
        <w:wordWrap/>
        <w:overflowPunct/>
        <w:topLinePunct w:val="0"/>
        <w:autoSpaceDE w:val="0"/>
        <w:autoSpaceDN w:val="0"/>
        <w:bidi w:val="0"/>
        <w:adjustRightInd/>
        <w:snapToGrid/>
        <w:ind w:right="0" w:firstLine="480" w:firstLineChars="200"/>
        <w:textAlignment w:val="bottom"/>
        <w:rPr>
          <w:rFonts w:hint="default" w:ascii="宋体" w:hAnsi="宋体" w:eastAsia="宋体" w:cs="宋体"/>
          <w:color w:val="000000"/>
          <w:sz w:val="24"/>
          <w:highlight w:val="none"/>
          <w:lang w:val="en-US" w:eastAsia="zh-CN"/>
        </w:rPr>
      </w:pPr>
      <w:r>
        <w:rPr>
          <w:rFonts w:hint="default" w:ascii="宋体" w:hAnsi="宋体" w:eastAsia="宋体" w:cs="宋体"/>
          <w:color w:val="000000"/>
          <w:sz w:val="24"/>
          <w:highlight w:val="none"/>
          <w:lang w:val="en-US" w:eastAsia="zh-CN"/>
        </w:rPr>
        <w:t>具体蔬菜供货清单规格按照招标人实际需求进行供应</w:t>
      </w:r>
      <w:r>
        <w:rPr>
          <w:rFonts w:hint="eastAsia" w:ascii="宋体" w:hAnsi="宋体" w:eastAsia="宋体" w:cs="宋体"/>
          <w:color w:val="000000"/>
          <w:sz w:val="24"/>
          <w:highlight w:val="none"/>
          <w:lang w:val="en-US" w:eastAsia="zh-CN"/>
        </w:rPr>
        <w:t>。</w:t>
      </w:r>
    </w:p>
    <w:p w14:paraId="3FAAE288">
      <w:pPr>
        <w:keepNext w:val="0"/>
        <w:keepLines w:val="0"/>
        <w:pageBreakBefore w:val="0"/>
        <w:widowControl/>
        <w:shd w:val="clear" w:color="auto" w:fill="auto"/>
        <w:kinsoku/>
        <w:wordWrap/>
        <w:overflowPunct/>
        <w:topLinePunct w:val="0"/>
        <w:autoSpaceDE w:val="0"/>
        <w:autoSpaceDN w:val="0"/>
        <w:bidi w:val="0"/>
        <w:adjustRightInd/>
        <w:snapToGrid/>
        <w:ind w:right="0" w:firstLine="480" w:firstLineChars="200"/>
        <w:textAlignment w:val="bottom"/>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7、品种：干菜类</w:t>
      </w:r>
    </w:p>
    <w:p w14:paraId="28F13BED">
      <w:pPr>
        <w:keepNext w:val="0"/>
        <w:keepLines w:val="0"/>
        <w:pageBreakBefore w:val="0"/>
        <w:widowControl/>
        <w:shd w:val="clear" w:color="auto" w:fill="auto"/>
        <w:kinsoku/>
        <w:wordWrap/>
        <w:overflowPunct/>
        <w:topLinePunct w:val="0"/>
        <w:autoSpaceDE w:val="0"/>
        <w:autoSpaceDN w:val="0"/>
        <w:bidi w:val="0"/>
        <w:adjustRightInd/>
        <w:snapToGrid/>
        <w:ind w:right="0" w:firstLine="480" w:firstLineChars="200"/>
        <w:textAlignment w:val="bottom"/>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外包装无污物、无泄漏，无胀袋或胖听或鼓盖现象，无变质发霉现象。封口平整，无破包，夹包，漏包，无污染。</w:t>
      </w:r>
    </w:p>
    <w:p w14:paraId="40AB02B4">
      <w:pPr>
        <w:keepNext w:val="0"/>
        <w:keepLines w:val="0"/>
        <w:pageBreakBefore w:val="0"/>
        <w:widowControl/>
        <w:shd w:val="clear" w:color="auto" w:fill="auto"/>
        <w:kinsoku/>
        <w:wordWrap/>
        <w:overflowPunct/>
        <w:topLinePunct w:val="0"/>
        <w:autoSpaceDE w:val="0"/>
        <w:autoSpaceDN w:val="0"/>
        <w:bidi w:val="0"/>
        <w:adjustRightInd/>
        <w:snapToGrid/>
        <w:ind w:right="0" w:firstLine="480" w:firstLineChars="200"/>
        <w:textAlignment w:val="bottom"/>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标准：产品无发霉、无变质、无变味、不掺杂、不掺假、不掺水、干货无受潮。产品包装应该有产品名称、厂名、厂址或出产地等，应有产品质量合格证明。产品应符合国家食品卫生法规规定的标准。</w:t>
      </w:r>
    </w:p>
    <w:p w14:paraId="22F2B3EE">
      <w:pPr>
        <w:keepNext w:val="0"/>
        <w:keepLines w:val="0"/>
        <w:pageBreakBefore w:val="0"/>
        <w:widowControl/>
        <w:shd w:val="clear" w:color="auto" w:fill="auto"/>
        <w:kinsoku/>
        <w:wordWrap/>
        <w:overflowPunct/>
        <w:topLinePunct w:val="0"/>
        <w:autoSpaceDE w:val="0"/>
        <w:autoSpaceDN w:val="0"/>
        <w:bidi w:val="0"/>
        <w:adjustRightInd/>
        <w:snapToGrid/>
        <w:ind w:right="0" w:firstLine="480" w:firstLineChars="200"/>
        <w:textAlignment w:val="bottom"/>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具体干菜供货清单规格按照招标人实际需求进行供应。</w:t>
      </w:r>
    </w:p>
    <w:p w14:paraId="0AA15F11">
      <w:pPr>
        <w:keepNext w:val="0"/>
        <w:keepLines w:val="0"/>
        <w:pageBreakBefore w:val="0"/>
        <w:widowControl/>
        <w:shd w:val="clear" w:color="auto" w:fill="auto"/>
        <w:kinsoku/>
        <w:wordWrap/>
        <w:overflowPunct/>
        <w:topLinePunct w:val="0"/>
        <w:autoSpaceDE w:val="0"/>
        <w:autoSpaceDN w:val="0"/>
        <w:bidi w:val="0"/>
        <w:adjustRightInd/>
        <w:snapToGrid/>
        <w:ind w:right="0" w:firstLine="480" w:firstLineChars="200"/>
        <w:textAlignment w:val="bottom"/>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8、调味品类</w:t>
      </w:r>
    </w:p>
    <w:p w14:paraId="2FE44912">
      <w:pPr>
        <w:keepNext w:val="0"/>
        <w:keepLines w:val="0"/>
        <w:pageBreakBefore w:val="0"/>
        <w:widowControl/>
        <w:shd w:val="clear" w:color="auto" w:fill="auto"/>
        <w:kinsoku/>
        <w:wordWrap/>
        <w:overflowPunct/>
        <w:topLinePunct w:val="0"/>
        <w:autoSpaceDE w:val="0"/>
        <w:autoSpaceDN w:val="0"/>
        <w:bidi w:val="0"/>
        <w:adjustRightInd/>
        <w:snapToGrid/>
        <w:ind w:right="0" w:firstLine="480" w:firstLineChars="200"/>
        <w:textAlignment w:val="bottom"/>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外包装无污物、无泄漏，无胀袋或胖听或鼓盖现象，无变质发霉现象。色泽正常，具有该品种固有的香味，滋味无异味，油酱均匀的酱体或无结块的粉状固体，封口平整，无破包，夹包，漏包，无污染。</w:t>
      </w:r>
    </w:p>
    <w:p w14:paraId="00F7F634">
      <w:pPr>
        <w:keepNext w:val="0"/>
        <w:keepLines w:val="0"/>
        <w:pageBreakBefore w:val="0"/>
        <w:widowControl/>
        <w:shd w:val="clear" w:color="auto" w:fill="auto"/>
        <w:kinsoku/>
        <w:wordWrap/>
        <w:overflowPunct/>
        <w:topLinePunct w:val="0"/>
        <w:autoSpaceDE w:val="0"/>
        <w:autoSpaceDN w:val="0"/>
        <w:bidi w:val="0"/>
        <w:adjustRightInd/>
        <w:snapToGrid/>
        <w:ind w:right="0" w:firstLine="480" w:firstLineChars="200"/>
        <w:textAlignment w:val="bottom"/>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标准：产品无发霉、无变质、无变味、不掺杂、不掺假、不掺水、干货无受潮。产品包装应该有产品名称、厂名、厂址或出产地等，应有产品质量合格证明。产品应符合国家食品卫生法规规定的标准。</w:t>
      </w:r>
    </w:p>
    <w:p w14:paraId="6C51F1A8">
      <w:pPr>
        <w:keepNext w:val="0"/>
        <w:keepLines w:val="0"/>
        <w:pageBreakBefore w:val="0"/>
        <w:widowControl/>
        <w:shd w:val="clear" w:color="auto" w:fill="auto"/>
        <w:kinsoku/>
        <w:wordWrap/>
        <w:overflowPunct/>
        <w:topLinePunct w:val="0"/>
        <w:autoSpaceDE w:val="0"/>
        <w:autoSpaceDN w:val="0"/>
        <w:bidi w:val="0"/>
        <w:adjustRightInd/>
        <w:snapToGrid/>
        <w:ind w:right="0" w:firstLine="480" w:firstLineChars="200"/>
        <w:textAlignment w:val="bottom"/>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具体调味品供货清单规格按照招标人实际需求进行供应。</w:t>
      </w:r>
    </w:p>
    <w:p w14:paraId="6463E79C">
      <w:pPr>
        <w:keepNext w:val="0"/>
        <w:keepLines w:val="0"/>
        <w:pageBreakBefore w:val="0"/>
        <w:widowControl/>
        <w:shd w:val="clear" w:color="auto" w:fill="auto"/>
        <w:kinsoku/>
        <w:wordWrap/>
        <w:overflowPunct/>
        <w:topLinePunct w:val="0"/>
        <w:autoSpaceDE w:val="0"/>
        <w:autoSpaceDN w:val="0"/>
        <w:bidi w:val="0"/>
        <w:adjustRightInd/>
        <w:snapToGrid/>
        <w:ind w:right="0" w:firstLine="480" w:firstLineChars="200"/>
        <w:textAlignment w:val="bottom"/>
        <w:rPr>
          <w:rFonts w:hint="default" w:ascii="宋体" w:hAnsi="宋体" w:eastAsia="宋体" w:cs="宋体"/>
          <w:color w:val="000000"/>
          <w:sz w:val="24"/>
          <w:highlight w:val="none"/>
          <w:lang w:val="en-US" w:eastAsia="zh-CN"/>
        </w:rPr>
      </w:pPr>
      <w:r>
        <w:rPr>
          <w:rFonts w:hint="default" w:ascii="宋体" w:hAnsi="宋体" w:eastAsia="宋体" w:cs="宋体"/>
          <w:color w:val="000000"/>
          <w:sz w:val="24"/>
          <w:highlight w:val="none"/>
          <w:lang w:val="en-US" w:eastAsia="zh-CN"/>
        </w:rPr>
        <w:t>9</w:t>
      </w:r>
      <w:r>
        <w:rPr>
          <w:rFonts w:hint="eastAsia" w:ascii="宋体" w:hAnsi="宋体" w:eastAsia="宋体" w:cs="宋体"/>
          <w:color w:val="000000"/>
          <w:sz w:val="24"/>
          <w:highlight w:val="none"/>
          <w:lang w:val="en-US" w:eastAsia="zh-CN"/>
        </w:rPr>
        <w:t>、</w:t>
      </w:r>
      <w:r>
        <w:rPr>
          <w:rFonts w:hint="default" w:ascii="宋体" w:hAnsi="宋体" w:eastAsia="宋体" w:cs="宋体"/>
          <w:color w:val="000000"/>
          <w:sz w:val="24"/>
          <w:highlight w:val="none"/>
          <w:lang w:val="en-US" w:eastAsia="zh-CN"/>
        </w:rPr>
        <w:t>其他食材：除以上学校食堂加工食品以外还需要的其他食材，比如豆类、小米以及粉条、海带等，应符合食品安全标准，并且提供相应的合格证明材料。</w:t>
      </w:r>
    </w:p>
    <w:p w14:paraId="3B4E5D43">
      <w:pPr>
        <w:keepNext w:val="0"/>
        <w:keepLines w:val="0"/>
        <w:pageBreakBefore w:val="0"/>
        <w:widowControl/>
        <w:numPr>
          <w:ilvl w:val="0"/>
          <w:numId w:val="3"/>
        </w:numPr>
        <w:shd w:val="clear" w:color="auto" w:fill="auto"/>
        <w:kinsoku/>
        <w:wordWrap/>
        <w:overflowPunct/>
        <w:topLinePunct w:val="0"/>
        <w:autoSpaceDE w:val="0"/>
        <w:autoSpaceDN w:val="0"/>
        <w:bidi w:val="0"/>
        <w:adjustRightInd/>
        <w:snapToGrid/>
        <w:ind w:left="0" w:leftChars="0" w:right="0" w:rightChars="0" w:firstLine="480" w:firstLineChars="200"/>
        <w:textAlignment w:val="bottom"/>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质量标准要求</w:t>
      </w:r>
    </w:p>
    <w:p w14:paraId="0F5AF1A1">
      <w:pPr>
        <w:keepNext w:val="0"/>
        <w:keepLines w:val="0"/>
        <w:pageBreakBefore w:val="0"/>
        <w:widowControl/>
        <w:numPr>
          <w:ilvl w:val="0"/>
          <w:numId w:val="0"/>
        </w:numPr>
        <w:shd w:val="clear" w:color="auto" w:fill="auto"/>
        <w:kinsoku/>
        <w:wordWrap/>
        <w:overflowPunct/>
        <w:topLinePunct w:val="0"/>
        <w:autoSpaceDE w:val="0"/>
        <w:autoSpaceDN w:val="0"/>
        <w:bidi w:val="0"/>
        <w:adjustRightInd/>
        <w:snapToGrid/>
        <w:ind w:leftChars="0" w:right="0" w:rightChars="0" w:firstLine="480" w:firstLineChars="200"/>
        <w:textAlignment w:val="bottom"/>
        <w:rPr>
          <w:rFonts w:hint="default" w:ascii="宋体" w:hAnsi="宋体" w:eastAsia="宋体" w:cs="宋体"/>
          <w:color w:val="000000"/>
          <w:sz w:val="24"/>
          <w:highlight w:val="none"/>
          <w:lang w:val="en-US" w:eastAsia="zh-CN"/>
        </w:rPr>
      </w:pPr>
      <w:r>
        <w:rPr>
          <w:rFonts w:hint="default" w:ascii="宋体" w:hAnsi="宋体" w:eastAsia="宋体" w:cs="宋体"/>
          <w:color w:val="000000"/>
          <w:sz w:val="24"/>
          <w:highlight w:val="none"/>
          <w:lang w:val="en-US" w:eastAsia="zh-CN"/>
        </w:rPr>
        <w:t>1、总体质量要求（如国家标准修订或变更，按最新标准执行）：</w:t>
      </w:r>
    </w:p>
    <w:p w14:paraId="1D936B54">
      <w:pPr>
        <w:keepNext w:val="0"/>
        <w:keepLines w:val="0"/>
        <w:pageBreakBefore w:val="0"/>
        <w:widowControl/>
        <w:numPr>
          <w:ilvl w:val="0"/>
          <w:numId w:val="0"/>
        </w:numPr>
        <w:shd w:val="clear" w:color="auto" w:fill="auto"/>
        <w:kinsoku/>
        <w:wordWrap/>
        <w:overflowPunct/>
        <w:topLinePunct w:val="0"/>
        <w:autoSpaceDE w:val="0"/>
        <w:autoSpaceDN w:val="0"/>
        <w:bidi w:val="0"/>
        <w:adjustRightInd/>
        <w:snapToGrid/>
        <w:ind w:leftChars="0" w:right="0" w:rightChars="0" w:firstLine="480" w:firstLineChars="200"/>
        <w:textAlignment w:val="bottom"/>
        <w:rPr>
          <w:rFonts w:hint="default" w:ascii="宋体" w:hAnsi="宋体" w:eastAsia="宋体" w:cs="宋体"/>
          <w:color w:val="000000"/>
          <w:sz w:val="24"/>
          <w:highlight w:val="none"/>
          <w:lang w:val="en-US" w:eastAsia="zh-CN"/>
        </w:rPr>
      </w:pPr>
      <w:r>
        <w:rPr>
          <w:rFonts w:hint="default" w:ascii="宋体" w:hAnsi="宋体" w:eastAsia="宋体" w:cs="宋体"/>
          <w:color w:val="000000"/>
          <w:sz w:val="24"/>
          <w:highlight w:val="none"/>
          <w:lang w:val="en-US" w:eastAsia="zh-CN"/>
        </w:rPr>
        <w:t>（1）满足现行的食用农产品质量安全标准、食品卫生标准、食品质量标准和有关食品的行业标准中强制执行的标准；</w:t>
      </w:r>
    </w:p>
    <w:p w14:paraId="66A03D89">
      <w:pPr>
        <w:keepNext w:val="0"/>
        <w:keepLines w:val="0"/>
        <w:pageBreakBefore w:val="0"/>
        <w:widowControl/>
        <w:numPr>
          <w:ilvl w:val="0"/>
          <w:numId w:val="0"/>
        </w:numPr>
        <w:shd w:val="clear" w:color="auto" w:fill="auto"/>
        <w:kinsoku/>
        <w:wordWrap/>
        <w:overflowPunct/>
        <w:topLinePunct w:val="0"/>
        <w:autoSpaceDE w:val="0"/>
        <w:autoSpaceDN w:val="0"/>
        <w:bidi w:val="0"/>
        <w:adjustRightInd/>
        <w:snapToGrid/>
        <w:ind w:leftChars="0" w:right="0" w:rightChars="0" w:firstLine="480" w:firstLineChars="200"/>
        <w:textAlignment w:val="bottom"/>
        <w:rPr>
          <w:rFonts w:hint="default" w:ascii="宋体" w:hAnsi="宋体" w:eastAsia="宋体" w:cs="宋体"/>
          <w:color w:val="000000"/>
          <w:sz w:val="24"/>
          <w:highlight w:val="none"/>
          <w:lang w:val="en-US" w:eastAsia="zh-CN"/>
        </w:rPr>
      </w:pPr>
      <w:r>
        <w:rPr>
          <w:rFonts w:hint="default" w:ascii="宋体" w:hAnsi="宋体" w:eastAsia="宋体" w:cs="宋体"/>
          <w:color w:val="000000"/>
          <w:sz w:val="24"/>
          <w:highlight w:val="none"/>
          <w:lang w:val="en-US" w:eastAsia="zh-CN"/>
        </w:rPr>
        <w:t>（2）《食品安全国家标准 食品中真菌毒素限量》（GB 2761 现行标准）</w:t>
      </w:r>
    </w:p>
    <w:p w14:paraId="5C29CC83">
      <w:pPr>
        <w:keepNext w:val="0"/>
        <w:keepLines w:val="0"/>
        <w:pageBreakBefore w:val="0"/>
        <w:widowControl/>
        <w:numPr>
          <w:ilvl w:val="0"/>
          <w:numId w:val="0"/>
        </w:numPr>
        <w:shd w:val="clear" w:color="auto" w:fill="auto"/>
        <w:kinsoku/>
        <w:wordWrap/>
        <w:overflowPunct/>
        <w:topLinePunct w:val="0"/>
        <w:autoSpaceDE w:val="0"/>
        <w:autoSpaceDN w:val="0"/>
        <w:bidi w:val="0"/>
        <w:adjustRightInd/>
        <w:snapToGrid/>
        <w:ind w:leftChars="0" w:right="0" w:rightChars="0" w:firstLine="480" w:firstLineChars="200"/>
        <w:textAlignment w:val="bottom"/>
        <w:rPr>
          <w:rFonts w:hint="default" w:ascii="宋体" w:hAnsi="宋体" w:eastAsia="宋体" w:cs="宋体"/>
          <w:color w:val="000000"/>
          <w:sz w:val="24"/>
          <w:highlight w:val="none"/>
          <w:lang w:val="en-US" w:eastAsia="zh-CN"/>
        </w:rPr>
      </w:pPr>
      <w:r>
        <w:rPr>
          <w:rFonts w:hint="default" w:ascii="宋体" w:hAnsi="宋体" w:eastAsia="宋体" w:cs="宋体"/>
          <w:color w:val="000000"/>
          <w:sz w:val="24"/>
          <w:highlight w:val="none"/>
          <w:lang w:val="en-US" w:eastAsia="zh-CN"/>
        </w:rPr>
        <w:t>（3）《食品安全国家标准 食品中污染物限量》（GB2762 现行标准）</w:t>
      </w:r>
    </w:p>
    <w:p w14:paraId="3AE0172B">
      <w:pPr>
        <w:keepNext w:val="0"/>
        <w:keepLines w:val="0"/>
        <w:pageBreakBefore w:val="0"/>
        <w:widowControl/>
        <w:numPr>
          <w:ilvl w:val="0"/>
          <w:numId w:val="0"/>
        </w:numPr>
        <w:shd w:val="clear" w:color="auto" w:fill="auto"/>
        <w:kinsoku/>
        <w:wordWrap/>
        <w:overflowPunct/>
        <w:topLinePunct w:val="0"/>
        <w:autoSpaceDE w:val="0"/>
        <w:autoSpaceDN w:val="0"/>
        <w:bidi w:val="0"/>
        <w:adjustRightInd/>
        <w:snapToGrid/>
        <w:ind w:leftChars="0" w:right="0" w:rightChars="0" w:firstLine="480" w:firstLineChars="200"/>
        <w:textAlignment w:val="bottom"/>
        <w:rPr>
          <w:rFonts w:hint="default" w:ascii="宋体" w:hAnsi="宋体" w:eastAsia="宋体" w:cs="宋体"/>
          <w:color w:val="000000"/>
          <w:sz w:val="24"/>
          <w:highlight w:val="none"/>
          <w:lang w:val="en-US" w:eastAsia="zh-CN"/>
        </w:rPr>
      </w:pPr>
      <w:r>
        <w:rPr>
          <w:rFonts w:hint="default" w:ascii="宋体" w:hAnsi="宋体" w:eastAsia="宋体" w:cs="宋体"/>
          <w:color w:val="000000"/>
          <w:sz w:val="24"/>
          <w:highlight w:val="none"/>
          <w:lang w:val="en-US" w:eastAsia="zh-CN"/>
        </w:rPr>
        <w:t>（4）《食品安全国家标准 食品中农药最大残留限量》（GB2763 现行标准）</w:t>
      </w:r>
    </w:p>
    <w:p w14:paraId="4E0D2969">
      <w:pPr>
        <w:keepNext w:val="0"/>
        <w:keepLines w:val="0"/>
        <w:pageBreakBefore w:val="0"/>
        <w:widowControl/>
        <w:numPr>
          <w:ilvl w:val="0"/>
          <w:numId w:val="0"/>
        </w:numPr>
        <w:shd w:val="clear" w:color="auto" w:fill="auto"/>
        <w:kinsoku/>
        <w:wordWrap/>
        <w:overflowPunct/>
        <w:topLinePunct w:val="0"/>
        <w:autoSpaceDE w:val="0"/>
        <w:autoSpaceDN w:val="0"/>
        <w:bidi w:val="0"/>
        <w:adjustRightInd/>
        <w:snapToGrid/>
        <w:ind w:leftChars="0" w:right="0" w:rightChars="0" w:firstLine="480" w:firstLineChars="200"/>
        <w:textAlignment w:val="bottom"/>
        <w:rPr>
          <w:rFonts w:hint="default" w:ascii="宋体" w:hAnsi="宋体" w:eastAsia="宋体" w:cs="宋体"/>
          <w:color w:val="000000"/>
          <w:sz w:val="24"/>
          <w:highlight w:val="none"/>
          <w:lang w:val="en-US" w:eastAsia="zh-CN"/>
        </w:rPr>
      </w:pPr>
      <w:r>
        <w:rPr>
          <w:rFonts w:hint="default" w:ascii="宋体" w:hAnsi="宋体" w:eastAsia="宋体" w:cs="宋体"/>
          <w:color w:val="000000"/>
          <w:sz w:val="24"/>
          <w:highlight w:val="none"/>
          <w:lang w:val="en-US" w:eastAsia="zh-CN"/>
        </w:rPr>
        <w:t>（5）《食品安全国家标准 食品中致病菌限量》（GB29921 现行标准）</w:t>
      </w:r>
    </w:p>
    <w:p w14:paraId="0A229F92">
      <w:pPr>
        <w:keepNext w:val="0"/>
        <w:keepLines w:val="0"/>
        <w:pageBreakBefore w:val="0"/>
        <w:widowControl/>
        <w:numPr>
          <w:ilvl w:val="0"/>
          <w:numId w:val="0"/>
        </w:numPr>
        <w:shd w:val="clear" w:color="auto" w:fill="auto"/>
        <w:kinsoku/>
        <w:wordWrap/>
        <w:overflowPunct/>
        <w:topLinePunct w:val="0"/>
        <w:autoSpaceDE w:val="0"/>
        <w:autoSpaceDN w:val="0"/>
        <w:bidi w:val="0"/>
        <w:adjustRightInd/>
        <w:snapToGrid/>
        <w:ind w:leftChars="0" w:right="0" w:rightChars="0" w:firstLine="480" w:firstLineChars="200"/>
        <w:textAlignment w:val="bottom"/>
        <w:rPr>
          <w:rFonts w:hint="default" w:ascii="宋体" w:hAnsi="宋体" w:eastAsia="宋体" w:cs="宋体"/>
          <w:color w:val="000000"/>
          <w:sz w:val="24"/>
          <w:highlight w:val="none"/>
          <w:lang w:val="en-US" w:eastAsia="zh-CN"/>
        </w:rPr>
      </w:pPr>
      <w:r>
        <w:rPr>
          <w:rFonts w:hint="default" w:ascii="宋体" w:hAnsi="宋体" w:eastAsia="宋体" w:cs="宋体"/>
          <w:color w:val="000000"/>
          <w:sz w:val="24"/>
          <w:highlight w:val="none"/>
          <w:lang w:val="en-US" w:eastAsia="zh-CN"/>
        </w:rPr>
        <w:t>（6）所有货物必须在质保期内，交货时产品的剩余保质期不小于其外包装标明的保质期的三分之二；质保期不足 3 日或者质保期不能明确的，生产日期应当为供货日期当日。</w:t>
      </w:r>
    </w:p>
    <w:p w14:paraId="7C1D0850">
      <w:pPr>
        <w:keepNext w:val="0"/>
        <w:keepLines w:val="0"/>
        <w:pageBreakBefore w:val="0"/>
        <w:widowControl/>
        <w:numPr>
          <w:ilvl w:val="0"/>
          <w:numId w:val="0"/>
        </w:numPr>
        <w:shd w:val="clear" w:color="auto" w:fill="auto"/>
        <w:kinsoku/>
        <w:wordWrap/>
        <w:overflowPunct/>
        <w:topLinePunct w:val="0"/>
        <w:autoSpaceDE w:val="0"/>
        <w:autoSpaceDN w:val="0"/>
        <w:bidi w:val="0"/>
        <w:adjustRightInd/>
        <w:snapToGrid/>
        <w:ind w:leftChars="0" w:right="0" w:rightChars="0" w:firstLine="480" w:firstLineChars="200"/>
        <w:textAlignment w:val="bottom"/>
        <w:rPr>
          <w:rFonts w:hint="default" w:ascii="宋体" w:hAnsi="宋体" w:eastAsia="宋体" w:cs="宋体"/>
          <w:color w:val="000000"/>
          <w:sz w:val="24"/>
          <w:highlight w:val="none"/>
          <w:lang w:val="en-US" w:eastAsia="zh-CN"/>
        </w:rPr>
      </w:pPr>
      <w:r>
        <w:rPr>
          <w:rFonts w:hint="default" w:ascii="宋体" w:hAnsi="宋体" w:eastAsia="宋体" w:cs="宋体"/>
          <w:color w:val="000000"/>
          <w:sz w:val="24"/>
          <w:highlight w:val="none"/>
          <w:lang w:val="en-US" w:eastAsia="zh-CN"/>
        </w:rPr>
        <w:t>（7）属于“SC”认证范围的产品，必须通过“SC”食品质量安全认证。</w:t>
      </w:r>
    </w:p>
    <w:p w14:paraId="7243F382">
      <w:pPr>
        <w:keepNext w:val="0"/>
        <w:keepLines w:val="0"/>
        <w:pageBreakBefore w:val="0"/>
        <w:widowControl/>
        <w:numPr>
          <w:ilvl w:val="0"/>
          <w:numId w:val="0"/>
        </w:numPr>
        <w:shd w:val="clear" w:color="auto" w:fill="auto"/>
        <w:kinsoku/>
        <w:wordWrap/>
        <w:overflowPunct/>
        <w:topLinePunct w:val="0"/>
        <w:autoSpaceDE w:val="0"/>
        <w:autoSpaceDN w:val="0"/>
        <w:bidi w:val="0"/>
        <w:adjustRightInd/>
        <w:snapToGrid/>
        <w:ind w:leftChars="0" w:right="0" w:rightChars="0" w:firstLine="480" w:firstLineChars="200"/>
        <w:textAlignment w:val="bottom"/>
        <w:rPr>
          <w:rFonts w:hint="default" w:ascii="宋体" w:hAnsi="宋体" w:eastAsia="宋体" w:cs="宋体"/>
          <w:color w:val="000000"/>
          <w:sz w:val="24"/>
          <w:highlight w:val="none"/>
          <w:lang w:val="en-US" w:eastAsia="zh-CN"/>
        </w:rPr>
      </w:pPr>
      <w:r>
        <w:rPr>
          <w:rFonts w:hint="default" w:ascii="宋体" w:hAnsi="宋体" w:eastAsia="宋体" w:cs="宋体"/>
          <w:color w:val="000000"/>
          <w:sz w:val="24"/>
          <w:highlight w:val="none"/>
          <w:lang w:val="en-US" w:eastAsia="zh-CN"/>
        </w:rPr>
        <w:t>（8）货物必须符合卫生，不得有腐烂、变质、油脂酸败、霉变、生虫、污秽</w:t>
      </w:r>
      <w:r>
        <w:rPr>
          <w:rFonts w:hint="eastAsia" w:ascii="宋体" w:hAnsi="宋体" w:eastAsia="宋体" w:cs="宋体"/>
          <w:color w:val="000000"/>
          <w:sz w:val="24"/>
          <w:highlight w:val="none"/>
          <w:lang w:val="en-US" w:eastAsia="zh-CN"/>
        </w:rPr>
        <w:t>不洁</w:t>
      </w:r>
      <w:r>
        <w:rPr>
          <w:rFonts w:hint="default" w:ascii="宋体" w:hAnsi="宋体" w:eastAsia="宋体" w:cs="宋体"/>
          <w:color w:val="000000"/>
          <w:sz w:val="24"/>
          <w:highlight w:val="none"/>
          <w:lang w:val="en-US" w:eastAsia="zh-CN"/>
        </w:rPr>
        <w:t>、混有异物或者其他感官性状异常，并可能对人体健康有害的物质。</w:t>
      </w:r>
    </w:p>
    <w:p w14:paraId="353874DD">
      <w:pPr>
        <w:keepNext w:val="0"/>
        <w:keepLines w:val="0"/>
        <w:pageBreakBefore w:val="0"/>
        <w:widowControl/>
        <w:numPr>
          <w:ilvl w:val="0"/>
          <w:numId w:val="0"/>
        </w:numPr>
        <w:shd w:val="clear" w:color="auto" w:fill="auto"/>
        <w:kinsoku/>
        <w:wordWrap/>
        <w:overflowPunct/>
        <w:topLinePunct w:val="0"/>
        <w:autoSpaceDE w:val="0"/>
        <w:autoSpaceDN w:val="0"/>
        <w:bidi w:val="0"/>
        <w:adjustRightInd/>
        <w:snapToGrid/>
        <w:ind w:leftChars="0" w:right="0" w:rightChars="0" w:firstLine="480" w:firstLineChars="200"/>
        <w:textAlignment w:val="bottom"/>
        <w:rPr>
          <w:rFonts w:hint="default" w:ascii="宋体" w:hAnsi="宋体" w:eastAsia="宋体" w:cs="宋体"/>
          <w:color w:val="000000"/>
          <w:sz w:val="24"/>
          <w:highlight w:val="none"/>
          <w:lang w:val="en-US" w:eastAsia="zh-CN"/>
        </w:rPr>
      </w:pPr>
      <w:r>
        <w:rPr>
          <w:rFonts w:hint="default" w:ascii="宋体" w:hAnsi="宋体" w:eastAsia="宋体" w:cs="宋体"/>
          <w:color w:val="000000"/>
          <w:sz w:val="24"/>
          <w:highlight w:val="none"/>
          <w:lang w:val="en-US" w:eastAsia="zh-CN"/>
        </w:rPr>
        <w:t>（9）供货时要提供“SC”认证、国家机关发出的产品检验合格证书。包装食品：包装箱完整，同时包装箱要印有生产厂家名称、厂址、出厂日期、产品合格证、保质期限、产品</w:t>
      </w:r>
      <w:r>
        <w:rPr>
          <w:rFonts w:hint="eastAsia" w:ascii="宋体" w:hAnsi="宋体" w:eastAsia="宋体" w:cs="宋体"/>
          <w:color w:val="000000"/>
          <w:sz w:val="24"/>
          <w:highlight w:val="none"/>
          <w:lang w:val="en-US" w:eastAsia="zh-CN"/>
        </w:rPr>
        <w:t>成分</w:t>
      </w:r>
      <w:r>
        <w:rPr>
          <w:rFonts w:hint="default" w:ascii="宋体" w:hAnsi="宋体" w:eastAsia="宋体" w:cs="宋体"/>
          <w:color w:val="000000"/>
          <w:sz w:val="24"/>
          <w:highlight w:val="none"/>
          <w:lang w:val="en-US" w:eastAsia="zh-CN"/>
        </w:rPr>
        <w:t>、厂家电话号码及食品生产许可证编码。散装食品：提供生产厂家营业执照、食品生产许可证、国家机关发出的产品检验合格证书。所提供产品质量必须要符合行业标准要求，不得有掺假、变质、变味、过期等现象出现，严禁伪劣、假冒、无证不合格物品进入供货品中。</w:t>
      </w:r>
    </w:p>
    <w:p w14:paraId="644515A1">
      <w:pPr>
        <w:keepNext w:val="0"/>
        <w:keepLines w:val="0"/>
        <w:pageBreakBefore w:val="0"/>
        <w:widowControl/>
        <w:numPr>
          <w:ilvl w:val="0"/>
          <w:numId w:val="0"/>
        </w:numPr>
        <w:shd w:val="clear" w:color="auto" w:fill="auto"/>
        <w:kinsoku/>
        <w:wordWrap/>
        <w:overflowPunct/>
        <w:topLinePunct w:val="0"/>
        <w:autoSpaceDE w:val="0"/>
        <w:autoSpaceDN w:val="0"/>
        <w:bidi w:val="0"/>
        <w:adjustRightInd/>
        <w:snapToGrid/>
        <w:ind w:leftChars="0" w:right="0" w:rightChars="0" w:firstLine="480" w:firstLineChars="200"/>
        <w:textAlignment w:val="bottom"/>
        <w:rPr>
          <w:rFonts w:hint="default" w:ascii="宋体" w:hAnsi="宋体" w:eastAsia="宋体" w:cs="宋体"/>
          <w:color w:val="000000"/>
          <w:sz w:val="24"/>
          <w:highlight w:val="none"/>
          <w:lang w:val="en-US" w:eastAsia="zh-CN"/>
        </w:rPr>
      </w:pPr>
      <w:r>
        <w:rPr>
          <w:rFonts w:hint="default" w:ascii="宋体" w:hAnsi="宋体" w:eastAsia="宋体" w:cs="宋体"/>
          <w:color w:val="000000"/>
          <w:sz w:val="24"/>
          <w:highlight w:val="none"/>
          <w:lang w:val="en-US" w:eastAsia="zh-CN"/>
        </w:rPr>
        <w:t>（10）米、面粉、菜籽油（非转基因）及</w:t>
      </w:r>
      <w:r>
        <w:rPr>
          <w:rFonts w:hint="eastAsia" w:ascii="宋体" w:hAnsi="宋体" w:eastAsia="宋体" w:cs="宋体"/>
          <w:color w:val="000000"/>
          <w:sz w:val="24"/>
          <w:highlight w:val="none"/>
          <w:lang w:val="en-US" w:eastAsia="zh-CN"/>
        </w:rPr>
        <w:t>干菜</w:t>
      </w:r>
      <w:r>
        <w:rPr>
          <w:rFonts w:hint="default" w:ascii="宋体" w:hAnsi="宋体" w:eastAsia="宋体" w:cs="宋体"/>
          <w:color w:val="000000"/>
          <w:sz w:val="24"/>
          <w:highlight w:val="none"/>
          <w:lang w:val="en-US" w:eastAsia="zh-CN"/>
        </w:rPr>
        <w:t>调味品的产品要提供产品检验合格证书，有明确的商品标签，有生产日期、保质期、质量等级的产品，定期向招标人提供产品的检测报告。</w:t>
      </w:r>
    </w:p>
    <w:p w14:paraId="3D4BFF99">
      <w:pPr>
        <w:keepNext w:val="0"/>
        <w:keepLines w:val="0"/>
        <w:pageBreakBefore w:val="0"/>
        <w:widowControl/>
        <w:numPr>
          <w:ilvl w:val="0"/>
          <w:numId w:val="0"/>
        </w:numPr>
        <w:shd w:val="clear" w:color="auto" w:fill="auto"/>
        <w:kinsoku/>
        <w:wordWrap/>
        <w:overflowPunct/>
        <w:topLinePunct w:val="0"/>
        <w:autoSpaceDE w:val="0"/>
        <w:autoSpaceDN w:val="0"/>
        <w:bidi w:val="0"/>
        <w:adjustRightInd/>
        <w:snapToGrid/>
        <w:ind w:leftChars="0" w:right="0" w:rightChars="0" w:firstLine="480" w:firstLineChars="200"/>
        <w:textAlignment w:val="bottom"/>
        <w:rPr>
          <w:rFonts w:hint="default" w:ascii="宋体" w:hAnsi="宋体" w:eastAsia="宋体" w:cs="宋体"/>
          <w:color w:val="000000"/>
          <w:sz w:val="24"/>
          <w:highlight w:val="none"/>
          <w:lang w:val="en-US" w:eastAsia="zh-CN"/>
        </w:rPr>
      </w:pPr>
      <w:r>
        <w:rPr>
          <w:rFonts w:hint="default" w:ascii="宋体" w:hAnsi="宋体" w:eastAsia="宋体" w:cs="宋体"/>
          <w:color w:val="000000"/>
          <w:sz w:val="24"/>
          <w:highlight w:val="none"/>
          <w:lang w:val="en-US" w:eastAsia="zh-CN"/>
        </w:rPr>
        <w:t>（11）所有产品能清晰列出产品品牌、规格、类型、包装净重等相关参数，包装符合国家规范要求，无污染、破损。</w:t>
      </w:r>
    </w:p>
    <w:p w14:paraId="7659FFD4">
      <w:pPr>
        <w:keepNext w:val="0"/>
        <w:keepLines w:val="0"/>
        <w:pageBreakBefore w:val="0"/>
        <w:widowControl/>
        <w:numPr>
          <w:ilvl w:val="0"/>
          <w:numId w:val="0"/>
        </w:numPr>
        <w:shd w:val="clear" w:color="auto" w:fill="auto"/>
        <w:kinsoku/>
        <w:wordWrap/>
        <w:overflowPunct/>
        <w:topLinePunct w:val="0"/>
        <w:autoSpaceDE w:val="0"/>
        <w:autoSpaceDN w:val="0"/>
        <w:bidi w:val="0"/>
        <w:adjustRightInd/>
        <w:snapToGrid/>
        <w:ind w:leftChars="0" w:right="0" w:rightChars="0" w:firstLine="480" w:firstLineChars="200"/>
        <w:textAlignment w:val="bottom"/>
        <w:rPr>
          <w:rFonts w:hint="default" w:ascii="宋体" w:hAnsi="宋体" w:eastAsia="宋体" w:cs="宋体"/>
          <w:color w:val="000000"/>
          <w:sz w:val="24"/>
          <w:highlight w:val="none"/>
          <w:lang w:val="en-US" w:eastAsia="zh-CN"/>
        </w:rPr>
      </w:pPr>
      <w:r>
        <w:rPr>
          <w:rFonts w:hint="default" w:ascii="宋体" w:hAnsi="宋体" w:eastAsia="宋体" w:cs="宋体"/>
          <w:color w:val="000000"/>
          <w:sz w:val="24"/>
          <w:highlight w:val="none"/>
          <w:lang w:val="en-US" w:eastAsia="zh-CN"/>
        </w:rPr>
        <w:t>（12）蔬菜类每次送货时须提供送货单及第三方的蔬菜农药残留检测合格报告。</w:t>
      </w:r>
    </w:p>
    <w:p w14:paraId="264825E3">
      <w:pPr>
        <w:keepNext w:val="0"/>
        <w:keepLines w:val="0"/>
        <w:pageBreakBefore w:val="0"/>
        <w:widowControl/>
        <w:numPr>
          <w:ilvl w:val="0"/>
          <w:numId w:val="0"/>
        </w:numPr>
        <w:shd w:val="clear" w:color="auto" w:fill="auto"/>
        <w:kinsoku/>
        <w:wordWrap/>
        <w:overflowPunct/>
        <w:topLinePunct w:val="0"/>
        <w:autoSpaceDE w:val="0"/>
        <w:autoSpaceDN w:val="0"/>
        <w:bidi w:val="0"/>
        <w:adjustRightInd/>
        <w:snapToGrid/>
        <w:ind w:leftChars="0" w:right="0" w:rightChars="0" w:firstLine="480" w:firstLineChars="200"/>
        <w:textAlignment w:val="bottom"/>
        <w:rPr>
          <w:rFonts w:hint="default" w:ascii="宋体" w:hAnsi="宋体" w:eastAsia="宋体" w:cs="宋体"/>
          <w:color w:val="000000"/>
          <w:sz w:val="24"/>
          <w:highlight w:val="none"/>
          <w:lang w:val="en-US" w:eastAsia="zh-CN"/>
        </w:rPr>
      </w:pPr>
      <w:r>
        <w:rPr>
          <w:rFonts w:hint="default" w:ascii="宋体" w:hAnsi="宋体" w:eastAsia="宋体" w:cs="宋体"/>
          <w:color w:val="000000"/>
          <w:sz w:val="24"/>
          <w:highlight w:val="none"/>
          <w:lang w:val="en-US" w:eastAsia="zh-CN"/>
        </w:rPr>
        <w:t>（13）产品必须符合国家所制定的行业标准、证件齐全。严格执行“一批一检一报告”要求，并随货物向招标人提供相关检测、检疫报告。</w:t>
      </w:r>
    </w:p>
    <w:p w14:paraId="4CD6B5B2">
      <w:pPr>
        <w:keepNext w:val="0"/>
        <w:keepLines w:val="0"/>
        <w:pageBreakBefore w:val="0"/>
        <w:widowControl/>
        <w:numPr>
          <w:ilvl w:val="0"/>
          <w:numId w:val="0"/>
        </w:numPr>
        <w:shd w:val="clear" w:color="auto" w:fill="auto"/>
        <w:kinsoku/>
        <w:wordWrap/>
        <w:overflowPunct/>
        <w:topLinePunct w:val="0"/>
        <w:autoSpaceDE w:val="0"/>
        <w:autoSpaceDN w:val="0"/>
        <w:bidi w:val="0"/>
        <w:adjustRightInd/>
        <w:snapToGrid/>
        <w:ind w:leftChars="0" w:right="0" w:rightChars="0" w:firstLine="482" w:firstLineChars="200"/>
        <w:textAlignment w:val="bottom"/>
        <w:rPr>
          <w:rFonts w:hint="default" w:ascii="宋体" w:hAnsi="宋体" w:eastAsia="宋体" w:cs="宋体"/>
          <w:b/>
          <w:bCs/>
          <w:color w:val="000000"/>
          <w:sz w:val="24"/>
          <w:highlight w:val="none"/>
          <w:lang w:val="en-US" w:eastAsia="zh-CN"/>
        </w:rPr>
      </w:pPr>
      <w:r>
        <w:rPr>
          <w:rFonts w:hint="default" w:ascii="宋体" w:hAnsi="宋体" w:eastAsia="宋体" w:cs="宋体"/>
          <w:b/>
          <w:bCs/>
          <w:color w:val="000000"/>
          <w:sz w:val="24"/>
          <w:highlight w:val="none"/>
          <w:lang w:val="en-US" w:eastAsia="zh-CN"/>
        </w:rPr>
        <w:t>所有食材均须符合《中华人民共和国食品安全法》，须具备所配送产品的检测报告或食品检验合格证。</w:t>
      </w:r>
    </w:p>
    <w:p w14:paraId="5B58AA7A">
      <w:pPr>
        <w:keepNext w:val="0"/>
        <w:keepLines w:val="0"/>
        <w:pageBreakBefore w:val="0"/>
        <w:widowControl/>
        <w:numPr>
          <w:ilvl w:val="0"/>
          <w:numId w:val="0"/>
        </w:numPr>
        <w:shd w:val="clear" w:color="auto" w:fill="auto"/>
        <w:kinsoku/>
        <w:wordWrap/>
        <w:overflowPunct/>
        <w:topLinePunct w:val="0"/>
        <w:autoSpaceDE w:val="0"/>
        <w:autoSpaceDN w:val="0"/>
        <w:bidi w:val="0"/>
        <w:adjustRightInd/>
        <w:snapToGrid/>
        <w:ind w:leftChars="0" w:right="0" w:rightChars="0" w:firstLine="480" w:firstLineChars="200"/>
        <w:textAlignment w:val="bottom"/>
        <w:rPr>
          <w:rFonts w:hint="default" w:ascii="宋体" w:hAnsi="宋体" w:eastAsia="宋体" w:cs="宋体"/>
          <w:color w:val="000000"/>
          <w:sz w:val="24"/>
          <w:highlight w:val="none"/>
          <w:lang w:val="en-US" w:eastAsia="zh-CN"/>
        </w:rPr>
      </w:pPr>
      <w:r>
        <w:rPr>
          <w:rFonts w:hint="default" w:ascii="宋体" w:hAnsi="宋体" w:eastAsia="宋体" w:cs="宋体"/>
          <w:color w:val="000000"/>
          <w:sz w:val="24"/>
          <w:highlight w:val="none"/>
          <w:lang w:val="en-US" w:eastAsia="zh-CN"/>
        </w:rPr>
        <w:t>注:如国家制定新的食品安全标准，即按新标准执行。</w:t>
      </w:r>
    </w:p>
    <w:p w14:paraId="7A637BF4">
      <w:pPr>
        <w:keepNext w:val="0"/>
        <w:keepLines w:val="0"/>
        <w:pageBreakBefore w:val="0"/>
        <w:widowControl/>
        <w:numPr>
          <w:ilvl w:val="0"/>
          <w:numId w:val="0"/>
        </w:numPr>
        <w:shd w:val="clear" w:color="auto" w:fill="auto"/>
        <w:kinsoku/>
        <w:wordWrap/>
        <w:overflowPunct/>
        <w:topLinePunct w:val="0"/>
        <w:autoSpaceDE w:val="0"/>
        <w:autoSpaceDN w:val="0"/>
        <w:bidi w:val="0"/>
        <w:adjustRightInd/>
        <w:snapToGrid/>
        <w:ind w:leftChars="0" w:right="0" w:rightChars="0" w:firstLine="480" w:firstLineChars="200"/>
        <w:textAlignment w:val="bottom"/>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五、食材配送及验收</w:t>
      </w:r>
    </w:p>
    <w:p w14:paraId="001E8CC7">
      <w:pPr>
        <w:keepNext w:val="0"/>
        <w:keepLines w:val="0"/>
        <w:pageBreakBefore w:val="0"/>
        <w:widowControl/>
        <w:numPr>
          <w:ilvl w:val="0"/>
          <w:numId w:val="0"/>
        </w:numPr>
        <w:shd w:val="clear" w:color="auto" w:fill="auto"/>
        <w:kinsoku/>
        <w:wordWrap/>
        <w:overflowPunct/>
        <w:topLinePunct w:val="0"/>
        <w:autoSpaceDE w:val="0"/>
        <w:autoSpaceDN w:val="0"/>
        <w:bidi w:val="0"/>
        <w:adjustRightInd/>
        <w:snapToGrid/>
        <w:ind w:leftChars="0" w:right="0" w:rightChars="0" w:firstLine="480" w:firstLineChars="200"/>
        <w:textAlignment w:val="bottom"/>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1、原材料配送时间要求</w:t>
      </w:r>
    </w:p>
    <w:p w14:paraId="5544B2F4">
      <w:pPr>
        <w:keepNext w:val="0"/>
        <w:keepLines w:val="0"/>
        <w:pageBreakBefore w:val="0"/>
        <w:widowControl/>
        <w:numPr>
          <w:ilvl w:val="0"/>
          <w:numId w:val="0"/>
        </w:numPr>
        <w:shd w:val="clear" w:color="auto" w:fill="auto"/>
        <w:kinsoku/>
        <w:wordWrap/>
        <w:overflowPunct/>
        <w:topLinePunct w:val="0"/>
        <w:autoSpaceDE w:val="0"/>
        <w:autoSpaceDN w:val="0"/>
        <w:bidi w:val="0"/>
        <w:adjustRightInd/>
        <w:snapToGrid/>
        <w:ind w:leftChars="0" w:right="0" w:rightChars="0" w:firstLine="480" w:firstLineChars="200"/>
        <w:textAlignment w:val="bottom"/>
        <w:rPr>
          <w:rFonts w:hint="default" w:ascii="宋体" w:hAnsi="宋体" w:eastAsia="宋体" w:cs="宋体"/>
          <w:color w:val="000000"/>
          <w:sz w:val="24"/>
          <w:highlight w:val="none"/>
          <w:lang w:val="en-US" w:eastAsia="zh-CN"/>
        </w:rPr>
      </w:pPr>
      <w:r>
        <w:rPr>
          <w:rFonts w:hint="default" w:ascii="宋体" w:hAnsi="宋体" w:eastAsia="宋体" w:cs="宋体"/>
          <w:color w:val="000000"/>
          <w:sz w:val="24"/>
          <w:highlight w:val="none"/>
          <w:lang w:val="en-US" w:eastAsia="zh-CN"/>
        </w:rPr>
        <w:t>配送时间：招标人提前下采购单（书写或表格形式）告知中标人，中标人保证次日7点前将食材配送至招标人指定地点（遇法定节假日双方协商解决）。紧急情况下接到招标人通知后2小时内配送到位。</w:t>
      </w:r>
    </w:p>
    <w:p w14:paraId="43F11913">
      <w:pPr>
        <w:keepNext w:val="0"/>
        <w:keepLines w:val="0"/>
        <w:pageBreakBefore w:val="0"/>
        <w:widowControl/>
        <w:numPr>
          <w:ilvl w:val="0"/>
          <w:numId w:val="0"/>
        </w:numPr>
        <w:shd w:val="clear" w:color="auto" w:fill="auto"/>
        <w:kinsoku/>
        <w:wordWrap/>
        <w:overflowPunct/>
        <w:topLinePunct w:val="0"/>
        <w:autoSpaceDE w:val="0"/>
        <w:autoSpaceDN w:val="0"/>
        <w:bidi w:val="0"/>
        <w:adjustRightInd/>
        <w:snapToGrid/>
        <w:ind w:leftChars="0" w:right="0" w:rightChars="0" w:firstLine="480" w:firstLineChars="200"/>
        <w:textAlignment w:val="bottom"/>
        <w:rPr>
          <w:rFonts w:hint="default" w:ascii="宋体" w:hAnsi="宋体" w:eastAsia="宋体" w:cs="宋体"/>
          <w:color w:val="000000"/>
          <w:sz w:val="24"/>
          <w:highlight w:val="none"/>
          <w:lang w:val="en-US" w:eastAsia="zh-CN"/>
        </w:rPr>
      </w:pPr>
      <w:r>
        <w:rPr>
          <w:rFonts w:hint="default" w:ascii="宋体" w:hAnsi="宋体" w:eastAsia="宋体" w:cs="宋体"/>
          <w:color w:val="000000"/>
          <w:sz w:val="24"/>
          <w:highlight w:val="none"/>
          <w:lang w:val="en-US" w:eastAsia="zh-CN"/>
        </w:rPr>
        <w:t>2、配送品目及数量：当日配送种类与数量以前一天招标人通知（书写或表格形式）菜单为准，招标人根据需求开出每日菜单的品种及数量，</w:t>
      </w:r>
      <w:r>
        <w:rPr>
          <w:rFonts w:hint="eastAsia" w:ascii="宋体" w:hAnsi="宋体" w:eastAsia="宋体" w:cs="宋体"/>
          <w:color w:val="000000"/>
          <w:sz w:val="24"/>
          <w:highlight w:val="none"/>
          <w:lang w:val="en-US" w:eastAsia="zh-CN"/>
        </w:rPr>
        <w:t>投标供应商</w:t>
      </w:r>
      <w:r>
        <w:rPr>
          <w:rFonts w:hint="default" w:ascii="宋体" w:hAnsi="宋体" w:eastAsia="宋体" w:cs="宋体"/>
          <w:color w:val="000000"/>
          <w:sz w:val="24"/>
          <w:highlight w:val="none"/>
          <w:lang w:val="en-US" w:eastAsia="zh-CN"/>
        </w:rPr>
        <w:t>须在当日内做出响应，如有某些菜品出现市场断档，应当日及时告知招标人，以便招标人根据实际情况做出必要调整。注：如遇招标人所属单位出现紧急任务或加班备勤等突发状况时，中标人必须在第一时间内将食品原材料配送到位。</w:t>
      </w:r>
    </w:p>
    <w:p w14:paraId="6FF12AD0">
      <w:pPr>
        <w:keepNext w:val="0"/>
        <w:keepLines w:val="0"/>
        <w:pageBreakBefore w:val="0"/>
        <w:widowControl/>
        <w:numPr>
          <w:ilvl w:val="0"/>
          <w:numId w:val="0"/>
        </w:numPr>
        <w:shd w:val="clear" w:color="auto" w:fill="auto"/>
        <w:kinsoku/>
        <w:wordWrap/>
        <w:overflowPunct/>
        <w:topLinePunct w:val="0"/>
        <w:autoSpaceDE w:val="0"/>
        <w:autoSpaceDN w:val="0"/>
        <w:bidi w:val="0"/>
        <w:adjustRightInd/>
        <w:snapToGrid/>
        <w:ind w:leftChars="0" w:right="0" w:rightChars="0" w:firstLine="480" w:firstLineChars="200"/>
        <w:textAlignment w:val="bottom"/>
        <w:rPr>
          <w:rFonts w:hint="default" w:ascii="宋体" w:hAnsi="宋体" w:eastAsia="宋体" w:cs="宋体"/>
          <w:color w:val="000000"/>
          <w:sz w:val="24"/>
          <w:highlight w:val="none"/>
          <w:lang w:val="en-US" w:eastAsia="zh-CN"/>
        </w:rPr>
      </w:pPr>
      <w:r>
        <w:rPr>
          <w:rFonts w:hint="default" w:ascii="宋体" w:hAnsi="宋体" w:eastAsia="宋体" w:cs="宋体"/>
          <w:color w:val="000000"/>
          <w:sz w:val="24"/>
          <w:highlight w:val="none"/>
          <w:lang w:val="en-US" w:eastAsia="zh-CN"/>
        </w:rPr>
        <w:t>3、供货要求</w:t>
      </w:r>
    </w:p>
    <w:p w14:paraId="6FC00170">
      <w:pPr>
        <w:keepNext w:val="0"/>
        <w:keepLines w:val="0"/>
        <w:pageBreakBefore w:val="0"/>
        <w:widowControl/>
        <w:numPr>
          <w:ilvl w:val="0"/>
          <w:numId w:val="0"/>
        </w:numPr>
        <w:shd w:val="clear" w:color="auto" w:fill="auto"/>
        <w:kinsoku/>
        <w:wordWrap/>
        <w:overflowPunct/>
        <w:topLinePunct w:val="0"/>
        <w:autoSpaceDE w:val="0"/>
        <w:autoSpaceDN w:val="0"/>
        <w:bidi w:val="0"/>
        <w:adjustRightInd/>
        <w:snapToGrid/>
        <w:ind w:leftChars="0" w:right="0" w:rightChars="0" w:firstLine="480" w:firstLineChars="200"/>
        <w:textAlignment w:val="bottom"/>
        <w:rPr>
          <w:rFonts w:hint="default" w:ascii="宋体" w:hAnsi="宋体" w:eastAsia="宋体" w:cs="宋体"/>
          <w:color w:val="000000"/>
          <w:sz w:val="24"/>
          <w:highlight w:val="none"/>
          <w:lang w:val="en-US" w:eastAsia="zh-CN"/>
        </w:rPr>
      </w:pPr>
      <w:r>
        <w:rPr>
          <w:rFonts w:hint="default" w:ascii="宋体" w:hAnsi="宋体" w:eastAsia="宋体" w:cs="宋体"/>
          <w:color w:val="000000"/>
          <w:sz w:val="24"/>
          <w:highlight w:val="none"/>
          <w:lang w:val="en-US" w:eastAsia="zh-CN"/>
        </w:rPr>
        <w:t>3.1、一般供货要求：</w:t>
      </w:r>
      <w:r>
        <w:rPr>
          <w:rFonts w:hint="eastAsia" w:ascii="宋体" w:hAnsi="宋体" w:eastAsia="宋体" w:cs="宋体"/>
          <w:color w:val="000000"/>
          <w:sz w:val="24"/>
          <w:highlight w:val="none"/>
          <w:lang w:val="en-US" w:eastAsia="zh-CN"/>
        </w:rPr>
        <w:t>投标供应商</w:t>
      </w:r>
      <w:r>
        <w:rPr>
          <w:rFonts w:hint="default" w:ascii="宋体" w:hAnsi="宋体" w:eastAsia="宋体" w:cs="宋体"/>
          <w:color w:val="000000"/>
          <w:sz w:val="24"/>
          <w:highlight w:val="none"/>
          <w:lang w:val="en-US" w:eastAsia="zh-CN"/>
        </w:rPr>
        <w:t>须按招标人指定配送时间，将所订购的货物送至招标人指定地点（遇法定节假日双方协商解决）。</w:t>
      </w:r>
      <w:r>
        <w:rPr>
          <w:rFonts w:hint="eastAsia" w:ascii="宋体" w:hAnsi="宋体" w:eastAsia="宋体" w:cs="宋体"/>
          <w:color w:val="000000"/>
          <w:sz w:val="24"/>
          <w:highlight w:val="none"/>
          <w:lang w:val="en-US" w:eastAsia="zh-CN"/>
        </w:rPr>
        <w:t>投标供应商</w:t>
      </w:r>
      <w:r>
        <w:rPr>
          <w:rFonts w:hint="default" w:ascii="宋体" w:hAnsi="宋体" w:eastAsia="宋体" w:cs="宋体"/>
          <w:color w:val="000000"/>
          <w:sz w:val="24"/>
          <w:highlight w:val="none"/>
          <w:lang w:val="en-US" w:eastAsia="zh-CN"/>
        </w:rPr>
        <w:t>所供的货品必须按招标人所规定的配送时间准时送达，到货后</w:t>
      </w:r>
      <w:r>
        <w:rPr>
          <w:rFonts w:hint="eastAsia" w:ascii="宋体" w:hAnsi="宋体" w:eastAsia="宋体" w:cs="宋体"/>
          <w:color w:val="000000"/>
          <w:sz w:val="24"/>
          <w:highlight w:val="none"/>
          <w:lang w:val="en-US" w:eastAsia="zh-CN"/>
        </w:rPr>
        <w:t>投标供应商</w:t>
      </w:r>
      <w:r>
        <w:rPr>
          <w:rFonts w:hint="default" w:ascii="宋体" w:hAnsi="宋体" w:eastAsia="宋体" w:cs="宋体"/>
          <w:color w:val="000000"/>
          <w:sz w:val="24"/>
          <w:highlight w:val="none"/>
          <w:lang w:val="en-US" w:eastAsia="zh-CN"/>
        </w:rPr>
        <w:t>需协助招标人的工作人员过秤入库。因运输装卸过程中造成的损耗（例如包装严重变形、破损、食品污染、变异等）、发现的破损、变异食品必须无条件在两个小时内更换并送到指定地点。</w:t>
      </w:r>
    </w:p>
    <w:p w14:paraId="7C8E2633">
      <w:pPr>
        <w:keepNext w:val="0"/>
        <w:keepLines w:val="0"/>
        <w:pageBreakBefore w:val="0"/>
        <w:widowControl/>
        <w:numPr>
          <w:ilvl w:val="0"/>
          <w:numId w:val="0"/>
        </w:numPr>
        <w:shd w:val="clear" w:color="auto" w:fill="auto"/>
        <w:kinsoku/>
        <w:wordWrap/>
        <w:overflowPunct/>
        <w:topLinePunct w:val="0"/>
        <w:autoSpaceDE w:val="0"/>
        <w:autoSpaceDN w:val="0"/>
        <w:bidi w:val="0"/>
        <w:adjustRightInd/>
        <w:snapToGrid/>
        <w:ind w:leftChars="0" w:right="0" w:rightChars="0" w:firstLine="480" w:firstLineChars="200"/>
        <w:textAlignment w:val="bottom"/>
        <w:rPr>
          <w:rFonts w:hint="default" w:ascii="宋体" w:hAnsi="宋体" w:eastAsia="宋体" w:cs="宋体"/>
          <w:color w:val="000000"/>
          <w:sz w:val="24"/>
          <w:highlight w:val="none"/>
          <w:lang w:val="en-US" w:eastAsia="zh-CN"/>
        </w:rPr>
      </w:pPr>
      <w:r>
        <w:rPr>
          <w:rFonts w:hint="default" w:ascii="宋体" w:hAnsi="宋体" w:eastAsia="宋体" w:cs="宋体"/>
          <w:color w:val="000000"/>
          <w:sz w:val="24"/>
          <w:highlight w:val="none"/>
          <w:lang w:val="en-US" w:eastAsia="zh-CN"/>
        </w:rPr>
        <w:t>3.2、紧急供货要求：在收到招标人发出紧急供货通知后，</w:t>
      </w:r>
      <w:r>
        <w:rPr>
          <w:rFonts w:hint="eastAsia" w:ascii="宋体" w:hAnsi="宋体" w:eastAsia="宋体" w:cs="宋体"/>
          <w:color w:val="000000"/>
          <w:sz w:val="24"/>
          <w:highlight w:val="none"/>
          <w:lang w:val="en-US" w:eastAsia="zh-CN"/>
        </w:rPr>
        <w:t>投标供应商</w:t>
      </w:r>
      <w:r>
        <w:rPr>
          <w:rFonts w:hint="default" w:ascii="宋体" w:hAnsi="宋体" w:eastAsia="宋体" w:cs="宋体"/>
          <w:color w:val="000000"/>
          <w:sz w:val="24"/>
          <w:highlight w:val="none"/>
          <w:lang w:val="en-US" w:eastAsia="zh-CN"/>
        </w:rPr>
        <w:t>须按招标人所规定时间内将原材料配送到位，所送食材必须达到招标人要求，如果因食材质量未达到招标人要求和送货时间延迟未送达到招标人指定地点，累计超过 3 次招标人有权解除合同，乙方还需承担招标人所有损失。</w:t>
      </w:r>
    </w:p>
    <w:p w14:paraId="626623A6">
      <w:pPr>
        <w:keepNext w:val="0"/>
        <w:keepLines w:val="0"/>
        <w:pageBreakBefore w:val="0"/>
        <w:widowControl/>
        <w:numPr>
          <w:ilvl w:val="0"/>
          <w:numId w:val="0"/>
        </w:numPr>
        <w:shd w:val="clear" w:color="auto" w:fill="auto"/>
        <w:kinsoku/>
        <w:wordWrap/>
        <w:overflowPunct/>
        <w:topLinePunct w:val="0"/>
        <w:autoSpaceDE w:val="0"/>
        <w:autoSpaceDN w:val="0"/>
        <w:bidi w:val="0"/>
        <w:adjustRightInd/>
        <w:snapToGrid/>
        <w:ind w:leftChars="0" w:right="0" w:rightChars="0" w:firstLine="480" w:firstLineChars="200"/>
        <w:textAlignment w:val="bottom"/>
        <w:rPr>
          <w:rFonts w:hint="default" w:ascii="宋体" w:hAnsi="宋体" w:eastAsia="宋体" w:cs="宋体"/>
          <w:color w:val="000000"/>
          <w:sz w:val="24"/>
          <w:highlight w:val="none"/>
          <w:lang w:val="en-US" w:eastAsia="zh-CN"/>
        </w:rPr>
      </w:pPr>
      <w:r>
        <w:rPr>
          <w:rFonts w:hint="default" w:ascii="宋体" w:hAnsi="宋体" w:eastAsia="宋体" w:cs="宋体"/>
          <w:color w:val="000000"/>
          <w:sz w:val="24"/>
          <w:highlight w:val="none"/>
          <w:lang w:val="en-US" w:eastAsia="zh-CN"/>
        </w:rPr>
        <w:t>3.</w:t>
      </w:r>
      <w:r>
        <w:rPr>
          <w:rFonts w:hint="eastAsia" w:ascii="宋体" w:hAnsi="宋体" w:eastAsia="宋体" w:cs="宋体"/>
          <w:color w:val="000000"/>
          <w:sz w:val="24"/>
          <w:highlight w:val="none"/>
          <w:lang w:val="en-US" w:eastAsia="zh-CN"/>
        </w:rPr>
        <w:t>3</w:t>
      </w:r>
      <w:r>
        <w:rPr>
          <w:rFonts w:hint="default" w:ascii="宋体" w:hAnsi="宋体" w:eastAsia="宋体" w:cs="宋体"/>
          <w:color w:val="000000"/>
          <w:sz w:val="24"/>
          <w:highlight w:val="none"/>
          <w:lang w:val="en-US" w:eastAsia="zh-CN"/>
        </w:rPr>
        <w:t>、乙方如不能满足供货要求时，应提前 1 个月以书面形式通知甲方，甲方同意后方可</w:t>
      </w:r>
      <w:r>
        <w:rPr>
          <w:rFonts w:hint="eastAsia" w:ascii="宋体" w:hAnsi="宋体" w:eastAsia="宋体" w:cs="宋体"/>
          <w:color w:val="000000"/>
          <w:sz w:val="24"/>
          <w:highlight w:val="none"/>
          <w:lang w:val="en-US" w:eastAsia="zh-CN"/>
        </w:rPr>
        <w:t>终止合同</w:t>
      </w:r>
      <w:r>
        <w:rPr>
          <w:rFonts w:hint="default" w:ascii="宋体" w:hAnsi="宋体" w:eastAsia="宋体" w:cs="宋体"/>
          <w:color w:val="000000"/>
          <w:sz w:val="24"/>
          <w:highlight w:val="none"/>
          <w:lang w:val="en-US" w:eastAsia="zh-CN"/>
        </w:rPr>
        <w:t>，因此产生的损失由乙方承担。</w:t>
      </w:r>
    </w:p>
    <w:p w14:paraId="1B7A532A">
      <w:pPr>
        <w:keepNext w:val="0"/>
        <w:keepLines w:val="0"/>
        <w:pageBreakBefore w:val="0"/>
        <w:widowControl/>
        <w:numPr>
          <w:ilvl w:val="0"/>
          <w:numId w:val="0"/>
        </w:numPr>
        <w:shd w:val="clear" w:color="auto" w:fill="auto"/>
        <w:kinsoku/>
        <w:wordWrap/>
        <w:overflowPunct/>
        <w:topLinePunct w:val="0"/>
        <w:autoSpaceDE w:val="0"/>
        <w:autoSpaceDN w:val="0"/>
        <w:bidi w:val="0"/>
        <w:adjustRightInd/>
        <w:snapToGrid/>
        <w:ind w:leftChars="0" w:right="0" w:rightChars="0" w:firstLine="480" w:firstLineChars="200"/>
        <w:textAlignment w:val="bottom"/>
        <w:rPr>
          <w:rFonts w:hint="default" w:ascii="宋体" w:hAnsi="宋体" w:eastAsia="宋体" w:cs="宋体"/>
          <w:color w:val="000000"/>
          <w:sz w:val="24"/>
          <w:highlight w:val="none"/>
          <w:lang w:val="en-US" w:eastAsia="zh-CN"/>
        </w:rPr>
      </w:pPr>
      <w:r>
        <w:rPr>
          <w:rFonts w:hint="default" w:ascii="宋体" w:hAnsi="宋体" w:eastAsia="宋体" w:cs="宋体"/>
          <w:color w:val="000000"/>
          <w:sz w:val="24"/>
          <w:highlight w:val="none"/>
          <w:lang w:val="en-US" w:eastAsia="zh-CN"/>
        </w:rPr>
        <w:t>4、原材料验收要求</w:t>
      </w:r>
    </w:p>
    <w:p w14:paraId="40485FA6">
      <w:pPr>
        <w:keepNext w:val="0"/>
        <w:keepLines w:val="0"/>
        <w:pageBreakBefore w:val="0"/>
        <w:widowControl/>
        <w:numPr>
          <w:ilvl w:val="0"/>
          <w:numId w:val="0"/>
        </w:numPr>
        <w:shd w:val="clear" w:color="auto" w:fill="auto"/>
        <w:kinsoku/>
        <w:wordWrap/>
        <w:overflowPunct/>
        <w:topLinePunct w:val="0"/>
        <w:autoSpaceDE w:val="0"/>
        <w:autoSpaceDN w:val="0"/>
        <w:bidi w:val="0"/>
        <w:adjustRightInd/>
        <w:snapToGrid/>
        <w:ind w:leftChars="0" w:right="0" w:rightChars="0" w:firstLine="480" w:firstLineChars="200"/>
        <w:textAlignment w:val="bottom"/>
        <w:rPr>
          <w:rFonts w:hint="default" w:ascii="宋体" w:hAnsi="宋体" w:eastAsia="宋体" w:cs="宋体"/>
          <w:color w:val="000000"/>
          <w:sz w:val="24"/>
          <w:highlight w:val="none"/>
          <w:lang w:val="en-US" w:eastAsia="zh-CN"/>
        </w:rPr>
      </w:pPr>
      <w:r>
        <w:rPr>
          <w:rFonts w:hint="default" w:ascii="宋体" w:hAnsi="宋体" w:eastAsia="宋体" w:cs="宋体"/>
          <w:color w:val="000000"/>
          <w:sz w:val="24"/>
          <w:highlight w:val="none"/>
          <w:lang w:val="en-US" w:eastAsia="zh-CN"/>
        </w:rPr>
        <w:t>4.1、原材料验收由招标人、</w:t>
      </w:r>
      <w:r>
        <w:rPr>
          <w:rFonts w:hint="eastAsia" w:ascii="宋体" w:hAnsi="宋体" w:eastAsia="宋体" w:cs="宋体"/>
          <w:color w:val="000000"/>
          <w:sz w:val="24"/>
          <w:highlight w:val="none"/>
          <w:lang w:val="en-US" w:eastAsia="zh-CN"/>
        </w:rPr>
        <w:t>投标供应商</w:t>
      </w:r>
      <w:r>
        <w:rPr>
          <w:rFonts w:hint="default" w:ascii="宋体" w:hAnsi="宋体" w:eastAsia="宋体" w:cs="宋体"/>
          <w:color w:val="000000"/>
          <w:sz w:val="24"/>
          <w:highlight w:val="none"/>
          <w:lang w:val="en-US" w:eastAsia="zh-CN"/>
        </w:rPr>
        <w:t>，双方现场检验，对供应产品的质量无异议数量准确无误后，双方签字，各自留存。</w:t>
      </w:r>
    </w:p>
    <w:p w14:paraId="3986527B">
      <w:pPr>
        <w:keepNext w:val="0"/>
        <w:keepLines w:val="0"/>
        <w:pageBreakBefore w:val="0"/>
        <w:widowControl/>
        <w:numPr>
          <w:ilvl w:val="0"/>
          <w:numId w:val="0"/>
        </w:numPr>
        <w:shd w:val="clear" w:color="auto" w:fill="auto"/>
        <w:kinsoku/>
        <w:wordWrap/>
        <w:overflowPunct/>
        <w:topLinePunct w:val="0"/>
        <w:autoSpaceDE w:val="0"/>
        <w:autoSpaceDN w:val="0"/>
        <w:bidi w:val="0"/>
        <w:adjustRightInd/>
        <w:snapToGrid/>
        <w:ind w:leftChars="0" w:right="0" w:rightChars="0" w:firstLine="480" w:firstLineChars="200"/>
        <w:textAlignment w:val="bottom"/>
        <w:rPr>
          <w:rFonts w:hint="default" w:ascii="宋体" w:hAnsi="宋体" w:eastAsia="宋体" w:cs="宋体"/>
          <w:color w:val="000000"/>
          <w:sz w:val="24"/>
          <w:highlight w:val="none"/>
          <w:lang w:val="en-US" w:eastAsia="zh-CN"/>
        </w:rPr>
      </w:pPr>
      <w:r>
        <w:rPr>
          <w:rFonts w:hint="default" w:ascii="宋体" w:hAnsi="宋体" w:eastAsia="宋体" w:cs="宋体"/>
          <w:color w:val="000000"/>
          <w:sz w:val="24"/>
          <w:highlight w:val="none"/>
          <w:lang w:val="en-US" w:eastAsia="zh-CN"/>
        </w:rPr>
        <w:t>4.2、原材料在验收时有不符合要求的，一律退回，</w:t>
      </w:r>
      <w:r>
        <w:rPr>
          <w:rFonts w:hint="eastAsia" w:ascii="宋体" w:hAnsi="宋体" w:eastAsia="宋体" w:cs="宋体"/>
          <w:color w:val="000000"/>
          <w:sz w:val="24"/>
          <w:highlight w:val="none"/>
          <w:lang w:val="en-US" w:eastAsia="zh-CN"/>
        </w:rPr>
        <w:t>投标供应商</w:t>
      </w:r>
      <w:r>
        <w:rPr>
          <w:rFonts w:hint="default" w:ascii="宋体" w:hAnsi="宋体" w:eastAsia="宋体" w:cs="宋体"/>
          <w:color w:val="000000"/>
          <w:sz w:val="24"/>
          <w:highlight w:val="none"/>
          <w:lang w:val="en-US" w:eastAsia="zh-CN"/>
        </w:rPr>
        <w:t>无条件重新更换配送货物，更换后仍然不符合标准的招标人有权对</w:t>
      </w:r>
      <w:r>
        <w:rPr>
          <w:rFonts w:hint="eastAsia" w:ascii="宋体" w:hAnsi="宋体" w:eastAsia="宋体" w:cs="宋体"/>
          <w:color w:val="000000"/>
          <w:sz w:val="24"/>
          <w:highlight w:val="none"/>
          <w:lang w:val="en-US" w:eastAsia="zh-CN"/>
        </w:rPr>
        <w:t>投标供应商</w:t>
      </w:r>
      <w:r>
        <w:rPr>
          <w:rFonts w:hint="default" w:ascii="宋体" w:hAnsi="宋体" w:eastAsia="宋体" w:cs="宋体"/>
          <w:color w:val="000000"/>
          <w:sz w:val="24"/>
          <w:highlight w:val="none"/>
          <w:lang w:val="en-US" w:eastAsia="zh-CN"/>
        </w:rPr>
        <w:t>处以一定金额的罚款。</w:t>
      </w:r>
    </w:p>
    <w:p w14:paraId="3CAC9C74">
      <w:pPr>
        <w:keepNext w:val="0"/>
        <w:keepLines w:val="0"/>
        <w:pageBreakBefore w:val="0"/>
        <w:widowControl/>
        <w:numPr>
          <w:ilvl w:val="0"/>
          <w:numId w:val="0"/>
        </w:numPr>
        <w:shd w:val="clear" w:color="auto" w:fill="auto"/>
        <w:kinsoku/>
        <w:wordWrap/>
        <w:overflowPunct/>
        <w:topLinePunct w:val="0"/>
        <w:autoSpaceDE w:val="0"/>
        <w:autoSpaceDN w:val="0"/>
        <w:bidi w:val="0"/>
        <w:adjustRightInd/>
        <w:snapToGrid/>
        <w:ind w:leftChars="0" w:right="0" w:rightChars="0" w:firstLine="480" w:firstLineChars="200"/>
        <w:textAlignment w:val="bottom"/>
        <w:rPr>
          <w:rFonts w:hint="default" w:ascii="宋体" w:hAnsi="宋体" w:eastAsia="宋体" w:cs="宋体"/>
          <w:color w:val="000000"/>
          <w:sz w:val="24"/>
          <w:highlight w:val="none"/>
          <w:lang w:val="en-US" w:eastAsia="zh-CN"/>
        </w:rPr>
      </w:pPr>
      <w:r>
        <w:rPr>
          <w:rFonts w:hint="default" w:ascii="宋体" w:hAnsi="宋体" w:eastAsia="宋体" w:cs="宋体"/>
          <w:color w:val="000000"/>
          <w:sz w:val="24"/>
          <w:highlight w:val="none"/>
          <w:lang w:val="en-US" w:eastAsia="zh-CN"/>
        </w:rPr>
        <w:t>4.3</w:t>
      </w:r>
      <w:r>
        <w:rPr>
          <w:rFonts w:hint="eastAsia" w:ascii="宋体" w:hAnsi="宋体" w:eastAsia="宋体" w:cs="宋体"/>
          <w:color w:val="000000"/>
          <w:sz w:val="24"/>
          <w:highlight w:val="none"/>
          <w:lang w:val="en-US" w:eastAsia="zh-CN"/>
        </w:rPr>
        <w:t>、</w:t>
      </w:r>
      <w:r>
        <w:rPr>
          <w:rFonts w:hint="default" w:ascii="宋体" w:hAnsi="宋体" w:eastAsia="宋体" w:cs="宋体"/>
          <w:color w:val="000000"/>
          <w:sz w:val="24"/>
          <w:highlight w:val="none"/>
          <w:lang w:val="en-US" w:eastAsia="zh-CN"/>
        </w:rPr>
        <w:t>肉类交货时提供所送肉品必须有当天送货商品的《动物产品检疫合格证</w:t>
      </w:r>
      <w:r>
        <w:rPr>
          <w:rFonts w:hint="eastAsia" w:ascii="宋体" w:hAnsi="宋体" w:eastAsia="宋体" w:cs="宋体"/>
          <w:color w:val="000000"/>
          <w:sz w:val="24"/>
          <w:highlight w:val="none"/>
          <w:lang w:val="en-US" w:eastAsia="zh-CN"/>
        </w:rPr>
        <w:t>》《</w:t>
      </w:r>
      <w:r>
        <w:rPr>
          <w:rFonts w:hint="default" w:ascii="宋体" w:hAnsi="宋体" w:eastAsia="宋体" w:cs="宋体"/>
          <w:color w:val="000000"/>
          <w:sz w:val="24"/>
          <w:highlight w:val="none"/>
          <w:lang w:val="en-US" w:eastAsia="zh-CN"/>
        </w:rPr>
        <w:t>肉品品质检验合格证》、动物检疫验讫印章、肉品品质检验验讫印章、和非洲猪瘟病毒检测合格，由招标人检查核实，按“平头”规格去头，不带脑顶肉，去生殖器、去三腺（甲状腺、肾片腺、病变淋巴腺），放尽血，干净无伤斑。肌肉有光泽、颜色均匀、脂肪洁白、无出血点和</w:t>
      </w:r>
      <w:r>
        <w:rPr>
          <w:rFonts w:hint="eastAsia" w:ascii="宋体" w:hAnsi="宋体" w:eastAsia="宋体" w:cs="宋体"/>
          <w:color w:val="000000"/>
          <w:sz w:val="24"/>
          <w:highlight w:val="none"/>
          <w:lang w:val="en-US" w:eastAsia="zh-CN"/>
        </w:rPr>
        <w:t>瘀斑</w:t>
      </w:r>
      <w:r>
        <w:rPr>
          <w:rFonts w:hint="default" w:ascii="宋体" w:hAnsi="宋体" w:eastAsia="宋体" w:cs="宋体"/>
          <w:color w:val="000000"/>
          <w:sz w:val="24"/>
          <w:highlight w:val="none"/>
          <w:lang w:val="en-US" w:eastAsia="zh-CN"/>
        </w:rPr>
        <w:t>。外表微干或微湿润，不粘手。指压后的凹陷立即恢复，具有鲜猪肉的正常气味。</w:t>
      </w:r>
    </w:p>
    <w:p w14:paraId="73D6EBA2">
      <w:pPr>
        <w:keepNext w:val="0"/>
        <w:keepLines w:val="0"/>
        <w:pageBreakBefore w:val="0"/>
        <w:widowControl/>
        <w:numPr>
          <w:ilvl w:val="0"/>
          <w:numId w:val="0"/>
        </w:numPr>
        <w:shd w:val="clear" w:color="auto" w:fill="auto"/>
        <w:kinsoku/>
        <w:wordWrap/>
        <w:overflowPunct/>
        <w:topLinePunct w:val="0"/>
        <w:autoSpaceDE w:val="0"/>
        <w:autoSpaceDN w:val="0"/>
        <w:bidi w:val="0"/>
        <w:adjustRightInd/>
        <w:snapToGrid/>
        <w:ind w:leftChars="0" w:right="0" w:rightChars="0" w:firstLine="480" w:firstLineChars="200"/>
        <w:textAlignment w:val="bottom"/>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4.4、蛋类交货时提供质检报告，由招标人检查核实。</w:t>
      </w:r>
    </w:p>
    <w:p w14:paraId="71CAB4C3">
      <w:pPr>
        <w:keepNext w:val="0"/>
        <w:keepLines w:val="0"/>
        <w:pageBreakBefore w:val="0"/>
        <w:widowControl/>
        <w:numPr>
          <w:ilvl w:val="0"/>
          <w:numId w:val="0"/>
        </w:numPr>
        <w:shd w:val="clear" w:color="auto" w:fill="auto"/>
        <w:kinsoku/>
        <w:wordWrap/>
        <w:overflowPunct/>
        <w:topLinePunct w:val="0"/>
        <w:autoSpaceDE w:val="0"/>
        <w:autoSpaceDN w:val="0"/>
        <w:bidi w:val="0"/>
        <w:adjustRightInd/>
        <w:snapToGrid/>
        <w:ind w:leftChars="0" w:right="0" w:rightChars="0" w:firstLine="480" w:firstLineChars="200"/>
        <w:textAlignment w:val="bottom"/>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六、配送要求及责任</w:t>
      </w:r>
    </w:p>
    <w:p w14:paraId="1484A51F">
      <w:pPr>
        <w:keepNext w:val="0"/>
        <w:keepLines w:val="0"/>
        <w:pageBreakBefore w:val="0"/>
        <w:widowControl/>
        <w:numPr>
          <w:ilvl w:val="0"/>
          <w:numId w:val="0"/>
        </w:numPr>
        <w:shd w:val="clear" w:color="auto" w:fill="auto"/>
        <w:kinsoku/>
        <w:wordWrap/>
        <w:overflowPunct/>
        <w:topLinePunct w:val="0"/>
        <w:autoSpaceDE w:val="0"/>
        <w:autoSpaceDN w:val="0"/>
        <w:bidi w:val="0"/>
        <w:adjustRightInd/>
        <w:snapToGrid/>
        <w:ind w:leftChars="0" w:right="0" w:rightChars="0" w:firstLine="480" w:firstLineChars="200"/>
        <w:textAlignment w:val="bottom"/>
        <w:rPr>
          <w:rFonts w:hint="default" w:ascii="宋体" w:hAnsi="宋体" w:eastAsia="宋体" w:cs="宋体"/>
          <w:color w:val="000000"/>
          <w:sz w:val="24"/>
          <w:highlight w:val="none"/>
          <w:lang w:val="en-US" w:eastAsia="zh-CN"/>
        </w:rPr>
      </w:pPr>
      <w:r>
        <w:rPr>
          <w:rFonts w:hint="default" w:ascii="宋体" w:hAnsi="宋体" w:eastAsia="宋体" w:cs="宋体"/>
          <w:color w:val="000000"/>
          <w:sz w:val="24"/>
          <w:highlight w:val="none"/>
          <w:lang w:val="en-US" w:eastAsia="zh-CN"/>
        </w:rPr>
        <w:t>1、</w:t>
      </w:r>
      <w:r>
        <w:rPr>
          <w:rFonts w:hint="eastAsia" w:ascii="宋体" w:hAnsi="宋体" w:eastAsia="宋体" w:cs="宋体"/>
          <w:color w:val="000000"/>
          <w:sz w:val="24"/>
          <w:highlight w:val="none"/>
          <w:lang w:val="en-US" w:eastAsia="zh-CN"/>
        </w:rPr>
        <w:t>投标供应商</w:t>
      </w:r>
      <w:r>
        <w:rPr>
          <w:rFonts w:hint="default" w:ascii="宋体" w:hAnsi="宋体" w:eastAsia="宋体" w:cs="宋体"/>
          <w:color w:val="000000"/>
          <w:sz w:val="24"/>
          <w:highlight w:val="none"/>
          <w:lang w:val="en-US" w:eastAsia="zh-CN"/>
        </w:rPr>
        <w:t>须保证所供原材料均为符合国家卫生、质量检验标准的正规产品，保证配送品种、数量、质量完全满足招标人要求，所有原材料每日均留存样品一份，保存时间为48小时，确认期间无任何食品安全问题后丢弃。</w:t>
      </w:r>
    </w:p>
    <w:p w14:paraId="461C51BD">
      <w:pPr>
        <w:keepNext w:val="0"/>
        <w:keepLines w:val="0"/>
        <w:pageBreakBefore w:val="0"/>
        <w:widowControl/>
        <w:numPr>
          <w:ilvl w:val="0"/>
          <w:numId w:val="0"/>
        </w:numPr>
        <w:shd w:val="clear" w:color="auto" w:fill="auto"/>
        <w:kinsoku/>
        <w:wordWrap/>
        <w:overflowPunct/>
        <w:topLinePunct w:val="0"/>
        <w:autoSpaceDE w:val="0"/>
        <w:autoSpaceDN w:val="0"/>
        <w:bidi w:val="0"/>
        <w:adjustRightInd/>
        <w:snapToGrid/>
        <w:ind w:leftChars="0" w:right="0" w:rightChars="0" w:firstLine="480" w:firstLineChars="200"/>
        <w:textAlignment w:val="bottom"/>
        <w:rPr>
          <w:rFonts w:hint="default" w:ascii="宋体" w:hAnsi="宋体" w:eastAsia="宋体" w:cs="宋体"/>
          <w:color w:val="000000"/>
          <w:sz w:val="24"/>
          <w:highlight w:val="none"/>
          <w:lang w:val="en-US" w:eastAsia="zh-CN"/>
        </w:rPr>
      </w:pPr>
      <w:r>
        <w:rPr>
          <w:rFonts w:hint="default" w:ascii="宋体" w:hAnsi="宋体" w:eastAsia="宋体" w:cs="宋体"/>
          <w:color w:val="000000"/>
          <w:sz w:val="24"/>
          <w:highlight w:val="none"/>
          <w:lang w:val="en-US" w:eastAsia="zh-CN"/>
        </w:rPr>
        <w:t>2、按照《中华人民共和国食品安全法</w:t>
      </w:r>
      <w:r>
        <w:rPr>
          <w:rFonts w:hint="eastAsia" w:ascii="宋体" w:hAnsi="宋体" w:eastAsia="宋体" w:cs="宋体"/>
          <w:color w:val="000000"/>
          <w:sz w:val="24"/>
          <w:highlight w:val="none"/>
          <w:lang w:val="en-US" w:eastAsia="zh-CN"/>
        </w:rPr>
        <w:t>》《中华人民共和国农产品质量安全法</w:t>
      </w:r>
      <w:r>
        <w:rPr>
          <w:rFonts w:hint="default" w:ascii="宋体" w:hAnsi="宋体" w:eastAsia="宋体" w:cs="宋体"/>
          <w:color w:val="000000"/>
          <w:sz w:val="24"/>
          <w:highlight w:val="none"/>
          <w:lang w:val="en-US" w:eastAsia="zh-CN"/>
        </w:rPr>
        <w:t>》等规定，提供有关的证明材料和证件是</w:t>
      </w:r>
      <w:r>
        <w:rPr>
          <w:rFonts w:hint="eastAsia" w:ascii="宋体" w:hAnsi="宋体" w:eastAsia="宋体" w:cs="宋体"/>
          <w:color w:val="000000"/>
          <w:sz w:val="24"/>
          <w:highlight w:val="none"/>
          <w:lang w:val="en-US" w:eastAsia="zh-CN"/>
        </w:rPr>
        <w:t>投标供应商</w:t>
      </w:r>
      <w:r>
        <w:rPr>
          <w:rFonts w:hint="default" w:ascii="宋体" w:hAnsi="宋体" w:eastAsia="宋体" w:cs="宋体"/>
          <w:color w:val="000000"/>
          <w:sz w:val="24"/>
          <w:highlight w:val="none"/>
          <w:lang w:val="en-US" w:eastAsia="zh-CN"/>
        </w:rPr>
        <w:t>的义务，在合同期内</w:t>
      </w:r>
      <w:r>
        <w:rPr>
          <w:rFonts w:hint="eastAsia" w:ascii="宋体" w:hAnsi="宋体" w:eastAsia="宋体" w:cs="宋体"/>
          <w:color w:val="000000"/>
          <w:sz w:val="24"/>
          <w:highlight w:val="none"/>
          <w:lang w:val="en-US" w:eastAsia="zh-CN"/>
        </w:rPr>
        <w:t>投标供应商</w:t>
      </w:r>
      <w:r>
        <w:rPr>
          <w:rFonts w:hint="default" w:ascii="宋体" w:hAnsi="宋体" w:eastAsia="宋体" w:cs="宋体"/>
          <w:color w:val="000000"/>
          <w:sz w:val="24"/>
          <w:highlight w:val="none"/>
          <w:lang w:val="en-US" w:eastAsia="zh-CN"/>
        </w:rPr>
        <w:t>应提供产品检验合格证等相关证明，无证产品招标人不予接受。</w:t>
      </w:r>
      <w:r>
        <w:rPr>
          <w:rFonts w:hint="eastAsia" w:ascii="宋体" w:hAnsi="宋体" w:eastAsia="宋体" w:cs="宋体"/>
          <w:color w:val="000000"/>
          <w:sz w:val="24"/>
          <w:highlight w:val="none"/>
          <w:lang w:val="en-US" w:eastAsia="zh-CN"/>
        </w:rPr>
        <w:t>投标供应商</w:t>
      </w:r>
      <w:r>
        <w:rPr>
          <w:rFonts w:hint="default" w:ascii="宋体" w:hAnsi="宋体" w:eastAsia="宋体" w:cs="宋体"/>
          <w:color w:val="000000"/>
          <w:sz w:val="24"/>
          <w:highlight w:val="none"/>
          <w:lang w:val="en-US" w:eastAsia="zh-CN"/>
        </w:rPr>
        <w:t>要保证产品质量稳定，符合国家相关技术标准，未发生过重大产品质量安全事故，</w:t>
      </w:r>
      <w:r>
        <w:rPr>
          <w:rFonts w:hint="eastAsia" w:ascii="宋体" w:hAnsi="宋体" w:eastAsia="宋体" w:cs="宋体"/>
          <w:color w:val="000000"/>
          <w:sz w:val="24"/>
          <w:highlight w:val="none"/>
          <w:lang w:val="en-US" w:eastAsia="zh-CN"/>
        </w:rPr>
        <w:t>投标供应商</w:t>
      </w:r>
      <w:r>
        <w:rPr>
          <w:rFonts w:hint="default" w:ascii="宋体" w:hAnsi="宋体" w:eastAsia="宋体" w:cs="宋体"/>
          <w:color w:val="000000"/>
          <w:sz w:val="24"/>
          <w:highlight w:val="none"/>
          <w:lang w:val="en-US" w:eastAsia="zh-CN"/>
        </w:rPr>
        <w:t>对最终的产品质量负完全责任，由食品质量问题和安全问题造成的损失由</w:t>
      </w:r>
      <w:r>
        <w:rPr>
          <w:rFonts w:hint="eastAsia" w:ascii="宋体" w:hAnsi="宋体" w:eastAsia="宋体" w:cs="宋体"/>
          <w:color w:val="000000"/>
          <w:sz w:val="24"/>
          <w:highlight w:val="none"/>
          <w:lang w:val="en-US" w:eastAsia="zh-CN"/>
        </w:rPr>
        <w:t>投标供应商</w:t>
      </w:r>
      <w:r>
        <w:rPr>
          <w:rFonts w:hint="default" w:ascii="宋体" w:hAnsi="宋体" w:eastAsia="宋体" w:cs="宋体"/>
          <w:color w:val="000000"/>
          <w:sz w:val="24"/>
          <w:highlight w:val="none"/>
          <w:lang w:val="en-US" w:eastAsia="zh-CN"/>
        </w:rPr>
        <w:t>承担。</w:t>
      </w:r>
    </w:p>
    <w:p w14:paraId="0F27E71E">
      <w:pPr>
        <w:keepNext w:val="0"/>
        <w:keepLines w:val="0"/>
        <w:pageBreakBefore w:val="0"/>
        <w:widowControl/>
        <w:numPr>
          <w:ilvl w:val="0"/>
          <w:numId w:val="0"/>
        </w:numPr>
        <w:shd w:val="clear" w:color="auto" w:fill="auto"/>
        <w:kinsoku/>
        <w:wordWrap/>
        <w:overflowPunct/>
        <w:topLinePunct w:val="0"/>
        <w:autoSpaceDE w:val="0"/>
        <w:autoSpaceDN w:val="0"/>
        <w:bidi w:val="0"/>
        <w:adjustRightInd/>
        <w:snapToGrid/>
        <w:ind w:leftChars="0" w:right="0" w:rightChars="0" w:firstLine="480" w:firstLineChars="200"/>
        <w:textAlignment w:val="bottom"/>
        <w:rPr>
          <w:rFonts w:hint="default" w:ascii="宋体" w:hAnsi="宋体" w:eastAsia="宋体" w:cs="宋体"/>
          <w:color w:val="000000"/>
          <w:sz w:val="24"/>
          <w:highlight w:val="none"/>
          <w:lang w:val="en-US" w:eastAsia="zh-CN"/>
        </w:rPr>
      </w:pPr>
      <w:r>
        <w:rPr>
          <w:rFonts w:hint="default" w:ascii="宋体" w:hAnsi="宋体" w:eastAsia="宋体" w:cs="宋体"/>
          <w:color w:val="000000"/>
          <w:sz w:val="24"/>
          <w:highlight w:val="none"/>
          <w:lang w:val="en-US" w:eastAsia="zh-CN"/>
        </w:rPr>
        <w:t>3、</w:t>
      </w:r>
      <w:r>
        <w:rPr>
          <w:rFonts w:hint="eastAsia" w:ascii="宋体" w:hAnsi="宋体" w:eastAsia="宋体" w:cs="宋体"/>
          <w:color w:val="000000"/>
          <w:sz w:val="24"/>
          <w:highlight w:val="none"/>
          <w:lang w:val="en-US" w:eastAsia="zh-CN"/>
        </w:rPr>
        <w:t>投标供应商</w:t>
      </w:r>
      <w:r>
        <w:rPr>
          <w:rFonts w:hint="default" w:ascii="宋体" w:hAnsi="宋体" w:eastAsia="宋体" w:cs="宋体"/>
          <w:color w:val="000000"/>
          <w:sz w:val="24"/>
          <w:highlight w:val="none"/>
          <w:lang w:val="en-US" w:eastAsia="zh-CN"/>
        </w:rPr>
        <w:t>不得差量供货和超量供货，不得擅自更改招标人确认后的货物品种和数量。</w:t>
      </w:r>
    </w:p>
    <w:p w14:paraId="739346BC">
      <w:pPr>
        <w:keepNext w:val="0"/>
        <w:keepLines w:val="0"/>
        <w:pageBreakBefore w:val="0"/>
        <w:widowControl/>
        <w:numPr>
          <w:ilvl w:val="0"/>
          <w:numId w:val="0"/>
        </w:numPr>
        <w:shd w:val="clear" w:color="auto" w:fill="auto"/>
        <w:kinsoku/>
        <w:wordWrap/>
        <w:overflowPunct/>
        <w:topLinePunct w:val="0"/>
        <w:autoSpaceDE w:val="0"/>
        <w:autoSpaceDN w:val="0"/>
        <w:bidi w:val="0"/>
        <w:adjustRightInd/>
        <w:snapToGrid/>
        <w:ind w:leftChars="0" w:right="0" w:rightChars="0" w:firstLine="480" w:firstLineChars="200"/>
        <w:textAlignment w:val="bottom"/>
        <w:rPr>
          <w:rFonts w:hint="default" w:ascii="宋体" w:hAnsi="宋体" w:eastAsia="宋体" w:cs="宋体"/>
          <w:color w:val="000000"/>
          <w:sz w:val="24"/>
          <w:highlight w:val="none"/>
          <w:lang w:val="en-US" w:eastAsia="zh-CN"/>
        </w:rPr>
      </w:pPr>
      <w:r>
        <w:rPr>
          <w:rFonts w:hint="default" w:ascii="宋体" w:hAnsi="宋体" w:eastAsia="宋体" w:cs="宋体"/>
          <w:color w:val="000000"/>
          <w:sz w:val="24"/>
          <w:highlight w:val="none"/>
          <w:lang w:val="en-US" w:eastAsia="zh-CN"/>
        </w:rPr>
        <w:t>4、</w:t>
      </w:r>
      <w:r>
        <w:rPr>
          <w:rFonts w:hint="eastAsia" w:ascii="宋体" w:hAnsi="宋体" w:eastAsia="宋体" w:cs="宋体"/>
          <w:color w:val="000000"/>
          <w:sz w:val="24"/>
          <w:highlight w:val="none"/>
          <w:lang w:val="en-US" w:eastAsia="zh-CN"/>
        </w:rPr>
        <w:t>投标供应商</w:t>
      </w:r>
      <w:r>
        <w:rPr>
          <w:rFonts w:hint="default" w:ascii="宋体" w:hAnsi="宋体" w:eastAsia="宋体" w:cs="宋体"/>
          <w:color w:val="000000"/>
          <w:sz w:val="24"/>
          <w:highlight w:val="none"/>
          <w:lang w:val="en-US" w:eastAsia="zh-CN"/>
        </w:rPr>
        <w:t>必须建立配送、验收</w:t>
      </w:r>
      <w:r>
        <w:rPr>
          <w:rFonts w:hint="eastAsia" w:ascii="宋体" w:hAnsi="宋体" w:eastAsia="宋体" w:cs="宋体"/>
          <w:color w:val="000000"/>
          <w:sz w:val="24"/>
          <w:highlight w:val="none"/>
          <w:lang w:val="en-US" w:eastAsia="zh-CN"/>
        </w:rPr>
        <w:t>台账</w:t>
      </w:r>
      <w:r>
        <w:rPr>
          <w:rFonts w:hint="default" w:ascii="宋体" w:hAnsi="宋体" w:eastAsia="宋体" w:cs="宋体"/>
          <w:color w:val="000000"/>
          <w:sz w:val="24"/>
          <w:highlight w:val="none"/>
          <w:lang w:val="en-US" w:eastAsia="zh-CN"/>
        </w:rPr>
        <w:t>，注明配送时间、数量、规格、货源、送货人、验收人、验收情况等相关信息；建立一套完善、科学的管理制度，并指定专人负责，定期检查执行情况，及时解决存在的问题，确保产品及服务质量。</w:t>
      </w:r>
    </w:p>
    <w:p w14:paraId="4CAF8AA3">
      <w:pPr>
        <w:keepNext w:val="0"/>
        <w:keepLines w:val="0"/>
        <w:pageBreakBefore w:val="0"/>
        <w:widowControl/>
        <w:numPr>
          <w:ilvl w:val="0"/>
          <w:numId w:val="0"/>
        </w:numPr>
        <w:shd w:val="clear" w:color="auto" w:fill="auto"/>
        <w:kinsoku/>
        <w:wordWrap/>
        <w:overflowPunct/>
        <w:topLinePunct w:val="0"/>
        <w:autoSpaceDE w:val="0"/>
        <w:autoSpaceDN w:val="0"/>
        <w:bidi w:val="0"/>
        <w:adjustRightInd/>
        <w:snapToGrid/>
        <w:ind w:leftChars="0" w:right="0" w:rightChars="0" w:firstLine="480" w:firstLineChars="200"/>
        <w:textAlignment w:val="bottom"/>
        <w:rPr>
          <w:rFonts w:hint="default" w:ascii="宋体" w:hAnsi="宋体" w:eastAsia="宋体" w:cs="宋体"/>
          <w:color w:val="000000"/>
          <w:sz w:val="24"/>
          <w:highlight w:val="none"/>
          <w:lang w:val="en-US" w:eastAsia="zh-CN"/>
        </w:rPr>
      </w:pPr>
      <w:r>
        <w:rPr>
          <w:rFonts w:hint="default" w:ascii="宋体" w:hAnsi="宋体" w:eastAsia="宋体" w:cs="宋体"/>
          <w:color w:val="000000"/>
          <w:sz w:val="24"/>
          <w:highlight w:val="none"/>
          <w:lang w:val="en-US" w:eastAsia="zh-CN"/>
        </w:rPr>
        <w:t>5、</w:t>
      </w:r>
      <w:r>
        <w:rPr>
          <w:rFonts w:hint="eastAsia" w:ascii="宋体" w:hAnsi="宋体" w:eastAsia="宋体" w:cs="宋体"/>
          <w:color w:val="000000"/>
          <w:sz w:val="24"/>
          <w:highlight w:val="none"/>
          <w:lang w:val="en-US" w:eastAsia="zh-CN"/>
        </w:rPr>
        <w:t>投标供应商</w:t>
      </w:r>
      <w:r>
        <w:rPr>
          <w:rFonts w:hint="default" w:ascii="宋体" w:hAnsi="宋体" w:eastAsia="宋体" w:cs="宋体"/>
          <w:color w:val="000000"/>
          <w:sz w:val="24"/>
          <w:highlight w:val="none"/>
          <w:lang w:val="en-US" w:eastAsia="zh-CN"/>
        </w:rPr>
        <w:t>对于自身原材料生产、外部原材料的采购、销售，其合格标准与检验标准。</w:t>
      </w:r>
    </w:p>
    <w:p w14:paraId="268D9ECF">
      <w:pPr>
        <w:keepNext w:val="0"/>
        <w:keepLines w:val="0"/>
        <w:pageBreakBefore w:val="0"/>
        <w:widowControl/>
        <w:numPr>
          <w:ilvl w:val="0"/>
          <w:numId w:val="0"/>
        </w:numPr>
        <w:shd w:val="clear" w:color="auto" w:fill="auto"/>
        <w:kinsoku/>
        <w:wordWrap/>
        <w:overflowPunct/>
        <w:topLinePunct w:val="0"/>
        <w:autoSpaceDE w:val="0"/>
        <w:autoSpaceDN w:val="0"/>
        <w:bidi w:val="0"/>
        <w:adjustRightInd/>
        <w:snapToGrid/>
        <w:ind w:leftChars="0" w:right="0" w:rightChars="0" w:firstLine="480" w:firstLineChars="200"/>
        <w:textAlignment w:val="bottom"/>
        <w:rPr>
          <w:rFonts w:hint="default" w:ascii="宋体" w:hAnsi="宋体" w:eastAsia="宋体" w:cs="宋体"/>
          <w:color w:val="000000"/>
          <w:sz w:val="24"/>
          <w:highlight w:val="none"/>
          <w:lang w:val="en-US" w:eastAsia="zh-CN"/>
        </w:rPr>
      </w:pPr>
      <w:r>
        <w:rPr>
          <w:rFonts w:hint="default" w:ascii="宋体" w:hAnsi="宋体" w:eastAsia="宋体" w:cs="宋体"/>
          <w:color w:val="000000"/>
          <w:sz w:val="24"/>
          <w:highlight w:val="none"/>
          <w:lang w:val="en-US" w:eastAsia="zh-CN"/>
        </w:rPr>
        <w:t>6、</w:t>
      </w:r>
      <w:r>
        <w:rPr>
          <w:rFonts w:hint="eastAsia" w:ascii="宋体" w:hAnsi="宋体" w:eastAsia="宋体" w:cs="宋体"/>
          <w:color w:val="000000"/>
          <w:sz w:val="24"/>
          <w:highlight w:val="none"/>
          <w:lang w:val="en-US" w:eastAsia="zh-CN"/>
        </w:rPr>
        <w:t>投标供应商</w:t>
      </w:r>
      <w:r>
        <w:rPr>
          <w:rFonts w:hint="default" w:ascii="宋体" w:hAnsi="宋体" w:eastAsia="宋体" w:cs="宋体"/>
          <w:color w:val="000000"/>
          <w:sz w:val="24"/>
          <w:highlight w:val="none"/>
          <w:lang w:val="en-US" w:eastAsia="zh-CN"/>
        </w:rPr>
        <w:t>对于可能的违约责任或食品安全承担说明及责任。</w:t>
      </w:r>
    </w:p>
    <w:p w14:paraId="3453EF88">
      <w:pPr>
        <w:keepNext w:val="0"/>
        <w:keepLines w:val="0"/>
        <w:pageBreakBefore w:val="0"/>
        <w:widowControl/>
        <w:numPr>
          <w:ilvl w:val="0"/>
          <w:numId w:val="0"/>
        </w:numPr>
        <w:shd w:val="clear" w:color="auto" w:fill="auto"/>
        <w:kinsoku/>
        <w:wordWrap/>
        <w:overflowPunct/>
        <w:topLinePunct w:val="0"/>
        <w:autoSpaceDE w:val="0"/>
        <w:autoSpaceDN w:val="0"/>
        <w:bidi w:val="0"/>
        <w:adjustRightInd/>
        <w:snapToGrid/>
        <w:ind w:leftChars="0" w:right="0" w:rightChars="0" w:firstLine="480" w:firstLineChars="200"/>
        <w:textAlignment w:val="bottom"/>
        <w:rPr>
          <w:rFonts w:hint="default" w:ascii="宋体" w:hAnsi="宋体" w:eastAsia="宋体" w:cs="宋体"/>
          <w:color w:val="000000"/>
          <w:sz w:val="24"/>
          <w:highlight w:val="none"/>
          <w:lang w:val="en-US" w:eastAsia="zh-CN"/>
        </w:rPr>
      </w:pPr>
      <w:r>
        <w:rPr>
          <w:rFonts w:hint="default" w:ascii="宋体" w:hAnsi="宋体" w:eastAsia="宋体" w:cs="宋体"/>
          <w:color w:val="000000"/>
          <w:sz w:val="24"/>
          <w:highlight w:val="none"/>
          <w:lang w:val="en-US" w:eastAsia="zh-CN"/>
        </w:rPr>
        <w:t>7、</w:t>
      </w:r>
      <w:r>
        <w:rPr>
          <w:rFonts w:hint="eastAsia" w:ascii="宋体" w:hAnsi="宋体" w:eastAsia="宋体" w:cs="宋体"/>
          <w:color w:val="000000"/>
          <w:sz w:val="24"/>
          <w:highlight w:val="none"/>
          <w:lang w:val="en-US" w:eastAsia="zh-CN"/>
        </w:rPr>
        <w:t>投标供应商</w:t>
      </w:r>
      <w:r>
        <w:rPr>
          <w:rFonts w:hint="default" w:ascii="宋体" w:hAnsi="宋体" w:eastAsia="宋体" w:cs="宋体"/>
          <w:color w:val="000000"/>
          <w:sz w:val="24"/>
          <w:highlight w:val="none"/>
          <w:lang w:val="en-US" w:eastAsia="zh-CN"/>
        </w:rPr>
        <w:t>所供货物供货延迟或所供货物达不到有关食品卫生要求，经有关机构鉴定造成食品质量安全事故或其他经济损失的，由</w:t>
      </w:r>
      <w:r>
        <w:rPr>
          <w:rFonts w:hint="eastAsia" w:ascii="宋体" w:hAnsi="宋体" w:eastAsia="宋体" w:cs="宋体"/>
          <w:color w:val="000000"/>
          <w:sz w:val="24"/>
          <w:highlight w:val="none"/>
          <w:lang w:val="en-US" w:eastAsia="zh-CN"/>
        </w:rPr>
        <w:t>投标供应商</w:t>
      </w:r>
      <w:r>
        <w:rPr>
          <w:rFonts w:hint="default" w:ascii="宋体" w:hAnsi="宋体" w:eastAsia="宋体" w:cs="宋体"/>
          <w:color w:val="000000"/>
          <w:sz w:val="24"/>
          <w:highlight w:val="none"/>
          <w:lang w:val="en-US" w:eastAsia="zh-CN"/>
        </w:rPr>
        <w:t>依法按自身责任比例承担事故责任。</w:t>
      </w:r>
    </w:p>
    <w:p w14:paraId="7266C57C">
      <w:pPr>
        <w:keepNext w:val="0"/>
        <w:keepLines w:val="0"/>
        <w:pageBreakBefore w:val="0"/>
        <w:widowControl/>
        <w:numPr>
          <w:ilvl w:val="0"/>
          <w:numId w:val="0"/>
        </w:numPr>
        <w:shd w:val="clear" w:color="auto" w:fill="auto"/>
        <w:kinsoku/>
        <w:wordWrap/>
        <w:overflowPunct/>
        <w:topLinePunct w:val="0"/>
        <w:autoSpaceDE w:val="0"/>
        <w:autoSpaceDN w:val="0"/>
        <w:bidi w:val="0"/>
        <w:adjustRightInd/>
        <w:snapToGrid/>
        <w:ind w:leftChars="0" w:right="0" w:rightChars="0" w:firstLine="480" w:firstLineChars="200"/>
        <w:textAlignment w:val="bottom"/>
        <w:rPr>
          <w:rFonts w:hint="default" w:ascii="宋体" w:hAnsi="宋体" w:eastAsia="宋体" w:cs="宋体"/>
          <w:color w:val="000000"/>
          <w:sz w:val="24"/>
          <w:highlight w:val="none"/>
          <w:lang w:val="en-US" w:eastAsia="zh-CN"/>
        </w:rPr>
      </w:pPr>
      <w:r>
        <w:rPr>
          <w:rFonts w:hint="default" w:ascii="宋体" w:hAnsi="宋体" w:eastAsia="宋体" w:cs="宋体"/>
          <w:color w:val="000000"/>
          <w:sz w:val="24"/>
          <w:highlight w:val="none"/>
          <w:lang w:val="en-US" w:eastAsia="zh-CN"/>
        </w:rPr>
        <w:t>8、</w:t>
      </w:r>
      <w:r>
        <w:rPr>
          <w:rFonts w:hint="eastAsia" w:ascii="宋体" w:hAnsi="宋体" w:eastAsia="宋体" w:cs="宋体"/>
          <w:color w:val="000000"/>
          <w:sz w:val="24"/>
          <w:highlight w:val="none"/>
          <w:lang w:val="en-US" w:eastAsia="zh-CN"/>
        </w:rPr>
        <w:t>投标供应商</w:t>
      </w:r>
      <w:r>
        <w:rPr>
          <w:rFonts w:hint="default" w:ascii="宋体" w:hAnsi="宋体" w:eastAsia="宋体" w:cs="宋体"/>
          <w:color w:val="000000"/>
          <w:sz w:val="24"/>
          <w:highlight w:val="none"/>
          <w:lang w:val="en-US" w:eastAsia="zh-CN"/>
        </w:rPr>
        <w:t>所供货物须经过采购方指定人员验收，若不能达到供货要求，招标人有权当即拒收。造成餐厅工作不能正常运行，以当日需求计划总量两倍价款赔付当日损失，同时招标人将对责任原材料</w:t>
      </w:r>
      <w:r>
        <w:rPr>
          <w:rFonts w:hint="eastAsia" w:ascii="宋体" w:hAnsi="宋体" w:eastAsia="宋体" w:cs="宋体"/>
          <w:color w:val="000000"/>
          <w:sz w:val="24"/>
          <w:highlight w:val="none"/>
          <w:lang w:val="en-US" w:eastAsia="zh-CN"/>
        </w:rPr>
        <w:t>投标供应商</w:t>
      </w:r>
      <w:r>
        <w:rPr>
          <w:rFonts w:hint="default" w:ascii="宋体" w:hAnsi="宋体" w:eastAsia="宋体" w:cs="宋体"/>
          <w:color w:val="000000"/>
          <w:sz w:val="24"/>
          <w:highlight w:val="none"/>
          <w:lang w:val="en-US" w:eastAsia="zh-CN"/>
        </w:rPr>
        <w:t>进行处罚。</w:t>
      </w:r>
    </w:p>
    <w:p w14:paraId="44E3450C">
      <w:pPr>
        <w:keepNext w:val="0"/>
        <w:keepLines/>
        <w:pageBreakBefore w:val="0"/>
        <w:widowControl w:val="0"/>
        <w:numPr>
          <w:ilvl w:val="0"/>
          <w:numId w:val="0"/>
        </w:numPr>
        <w:shd w:val="clear" w:color="auto" w:fill="auto"/>
        <w:kinsoku/>
        <w:wordWrap w:val="0"/>
        <w:overflowPunct/>
        <w:topLinePunct/>
        <w:autoSpaceDE w:val="0"/>
        <w:autoSpaceDN w:val="0"/>
        <w:bidi w:val="0"/>
        <w:adjustRightInd/>
        <w:snapToGrid/>
        <w:ind w:leftChars="0" w:right="0" w:rightChars="0" w:firstLine="480" w:firstLineChars="200"/>
        <w:textAlignment w:val="auto"/>
        <w:rPr>
          <w:rFonts w:hint="default" w:ascii="宋体" w:hAnsi="宋体" w:eastAsia="宋体" w:cs="宋体"/>
          <w:color w:val="000000"/>
          <w:sz w:val="24"/>
          <w:highlight w:val="none"/>
          <w:lang w:val="en-US" w:eastAsia="zh-CN"/>
        </w:rPr>
      </w:pPr>
      <w:r>
        <w:rPr>
          <w:rFonts w:hint="default" w:ascii="宋体" w:hAnsi="宋体" w:eastAsia="宋体" w:cs="宋体"/>
          <w:color w:val="000000"/>
          <w:sz w:val="24"/>
          <w:highlight w:val="none"/>
          <w:lang w:val="en-US" w:eastAsia="zh-CN"/>
        </w:rPr>
        <w:t>9、</w:t>
      </w:r>
      <w:r>
        <w:rPr>
          <w:rFonts w:hint="eastAsia" w:ascii="宋体" w:hAnsi="宋体" w:eastAsia="宋体" w:cs="宋体"/>
          <w:color w:val="000000"/>
          <w:sz w:val="24"/>
          <w:highlight w:val="none"/>
          <w:lang w:val="en-US" w:eastAsia="zh-CN"/>
        </w:rPr>
        <w:t>投标供应商</w:t>
      </w:r>
      <w:r>
        <w:rPr>
          <w:rFonts w:hint="default" w:ascii="宋体" w:hAnsi="宋体" w:eastAsia="宋体" w:cs="宋体"/>
          <w:color w:val="000000"/>
          <w:sz w:val="24"/>
          <w:highlight w:val="none"/>
          <w:lang w:val="en-US" w:eastAsia="zh-CN"/>
        </w:rPr>
        <w:t>必须确定本公司固定人员长期送货，不得指派身份或单位不明的人员送货。</w:t>
      </w:r>
    </w:p>
    <w:p w14:paraId="42C16F92">
      <w:pPr>
        <w:keepNext w:val="0"/>
        <w:keepLines/>
        <w:pageBreakBefore w:val="0"/>
        <w:widowControl w:val="0"/>
        <w:numPr>
          <w:ilvl w:val="0"/>
          <w:numId w:val="0"/>
        </w:numPr>
        <w:shd w:val="clear" w:color="auto" w:fill="auto"/>
        <w:kinsoku/>
        <w:wordWrap w:val="0"/>
        <w:overflowPunct/>
        <w:topLinePunct/>
        <w:autoSpaceDE w:val="0"/>
        <w:autoSpaceDN w:val="0"/>
        <w:bidi w:val="0"/>
        <w:adjustRightInd/>
        <w:snapToGrid/>
        <w:ind w:leftChars="0" w:right="0" w:rightChars="0" w:firstLine="480" w:firstLineChars="200"/>
        <w:textAlignment w:val="auto"/>
        <w:rPr>
          <w:rFonts w:hint="default" w:ascii="宋体" w:hAnsi="宋体" w:eastAsia="宋体" w:cs="宋体"/>
          <w:color w:val="000000"/>
          <w:sz w:val="24"/>
          <w:highlight w:val="none"/>
          <w:lang w:val="en-US" w:eastAsia="zh-CN"/>
        </w:rPr>
      </w:pPr>
      <w:r>
        <w:rPr>
          <w:rFonts w:hint="default" w:ascii="宋体" w:hAnsi="宋体" w:eastAsia="宋体" w:cs="宋体"/>
          <w:color w:val="000000"/>
          <w:sz w:val="24"/>
          <w:highlight w:val="none"/>
          <w:lang w:val="en-US" w:eastAsia="zh-CN"/>
        </w:rPr>
        <w:t>10、对于仅从外观无法辨别的商品质量问题，例如外观</w:t>
      </w:r>
      <w:r>
        <w:rPr>
          <w:rFonts w:hint="eastAsia" w:ascii="宋体" w:hAnsi="宋体" w:eastAsia="宋体" w:cs="宋体"/>
          <w:color w:val="000000"/>
          <w:sz w:val="24"/>
          <w:highlight w:val="none"/>
          <w:lang w:val="en-US" w:eastAsia="zh-CN"/>
        </w:rPr>
        <w:t>完好无缺</w:t>
      </w:r>
      <w:r>
        <w:rPr>
          <w:rFonts w:hint="default" w:ascii="宋体" w:hAnsi="宋体" w:eastAsia="宋体" w:cs="宋体"/>
          <w:color w:val="000000"/>
          <w:sz w:val="24"/>
          <w:highlight w:val="none"/>
          <w:lang w:val="en-US" w:eastAsia="zh-CN"/>
        </w:rPr>
        <w:t>，招标人在加工过程中发现商品内瓤存在发黑、过生、过熟的情况，</w:t>
      </w:r>
      <w:r>
        <w:rPr>
          <w:rFonts w:hint="eastAsia" w:ascii="宋体" w:hAnsi="宋体" w:eastAsia="宋体" w:cs="宋体"/>
          <w:color w:val="000000"/>
          <w:sz w:val="24"/>
          <w:highlight w:val="none"/>
          <w:lang w:val="en-US" w:eastAsia="zh-CN"/>
        </w:rPr>
        <w:t>投标供应商</w:t>
      </w:r>
      <w:r>
        <w:rPr>
          <w:rFonts w:hint="default" w:ascii="宋体" w:hAnsi="宋体" w:eastAsia="宋体" w:cs="宋体"/>
          <w:color w:val="000000"/>
          <w:sz w:val="24"/>
          <w:highlight w:val="none"/>
          <w:lang w:val="en-US" w:eastAsia="zh-CN"/>
        </w:rPr>
        <w:t>应以不影响甲方正常开餐时间为基准进行商品更换。但该类产品仅能在收货当天要求更换。</w:t>
      </w:r>
    </w:p>
    <w:p w14:paraId="11D9C2D9">
      <w:pPr>
        <w:keepNext w:val="0"/>
        <w:keepLines/>
        <w:pageBreakBefore w:val="0"/>
        <w:widowControl w:val="0"/>
        <w:numPr>
          <w:ilvl w:val="0"/>
          <w:numId w:val="0"/>
        </w:numPr>
        <w:shd w:val="clear" w:color="auto" w:fill="auto"/>
        <w:kinsoku/>
        <w:wordWrap w:val="0"/>
        <w:overflowPunct/>
        <w:topLinePunct/>
        <w:autoSpaceDE w:val="0"/>
        <w:autoSpaceDN w:val="0"/>
        <w:bidi w:val="0"/>
        <w:adjustRightInd/>
        <w:snapToGrid/>
        <w:ind w:leftChars="0" w:right="0" w:rightChars="0" w:firstLine="480" w:firstLineChars="200"/>
        <w:textAlignment w:val="auto"/>
        <w:rPr>
          <w:rFonts w:hint="default" w:ascii="宋体" w:hAnsi="宋体" w:eastAsia="宋体" w:cs="宋体"/>
          <w:color w:val="000000"/>
          <w:sz w:val="24"/>
          <w:highlight w:val="none"/>
          <w:lang w:val="en-US" w:eastAsia="zh-CN"/>
        </w:rPr>
      </w:pPr>
      <w:r>
        <w:rPr>
          <w:rFonts w:hint="default" w:ascii="宋体" w:hAnsi="宋体" w:eastAsia="宋体" w:cs="宋体"/>
          <w:color w:val="000000"/>
          <w:sz w:val="24"/>
          <w:highlight w:val="none"/>
          <w:lang w:val="en-US" w:eastAsia="zh-CN"/>
        </w:rPr>
        <w:t>11、任何因原材料质量问题导致的食品安全或食物中毒责任，在确认导致问题的原材料品种后，由该</w:t>
      </w:r>
      <w:r>
        <w:rPr>
          <w:rFonts w:hint="eastAsia" w:ascii="宋体" w:hAnsi="宋体" w:eastAsia="宋体" w:cs="宋体"/>
          <w:color w:val="000000"/>
          <w:sz w:val="24"/>
          <w:highlight w:val="none"/>
          <w:lang w:val="en-US" w:eastAsia="zh-CN"/>
        </w:rPr>
        <w:t>投标供应商</w:t>
      </w:r>
      <w:r>
        <w:rPr>
          <w:rFonts w:hint="default" w:ascii="宋体" w:hAnsi="宋体" w:eastAsia="宋体" w:cs="宋体"/>
          <w:color w:val="000000"/>
          <w:sz w:val="24"/>
          <w:highlight w:val="none"/>
          <w:lang w:val="en-US" w:eastAsia="zh-CN"/>
        </w:rPr>
        <w:t>承担除依法按自身责任比例承担医疗及赔偿等费用外，还应承担给甲方造成的损失。同时，甲方可立即单方解除本合同。</w:t>
      </w:r>
    </w:p>
    <w:p w14:paraId="1A03A1AF">
      <w:pPr>
        <w:keepNext w:val="0"/>
        <w:keepLines w:val="0"/>
        <w:pageBreakBefore w:val="0"/>
        <w:widowControl/>
        <w:numPr>
          <w:ilvl w:val="0"/>
          <w:numId w:val="0"/>
        </w:numPr>
        <w:shd w:val="clear" w:color="auto" w:fill="auto"/>
        <w:kinsoku/>
        <w:wordWrap/>
        <w:overflowPunct/>
        <w:topLinePunct w:val="0"/>
        <w:autoSpaceDE w:val="0"/>
        <w:autoSpaceDN w:val="0"/>
        <w:bidi w:val="0"/>
        <w:adjustRightInd/>
        <w:snapToGrid/>
        <w:ind w:leftChars="0" w:right="0" w:rightChars="0" w:firstLine="480" w:firstLineChars="200"/>
        <w:jc w:val="center"/>
        <w:textAlignment w:val="bottom"/>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标段划分（共计45所学校，8736名学生，预算资金8736000.00元）</w:t>
      </w:r>
    </w:p>
    <w:tbl>
      <w:tblPr>
        <w:tblStyle w:val="1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9"/>
        <w:gridCol w:w="841"/>
        <w:gridCol w:w="1808"/>
        <w:gridCol w:w="1221"/>
        <w:gridCol w:w="1041"/>
        <w:gridCol w:w="788"/>
        <w:gridCol w:w="2018"/>
        <w:gridCol w:w="1247"/>
      </w:tblGrid>
      <w:tr w14:paraId="73D39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0" w:hRule="atLeast"/>
          <w:jc w:val="center"/>
        </w:trPr>
        <w:tc>
          <w:tcPr>
            <w:tcW w:w="999" w:type="dxa"/>
            <w:noWrap w:val="0"/>
            <w:vAlign w:val="center"/>
          </w:tcPr>
          <w:p w14:paraId="64FADAFB">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标段</w:t>
            </w:r>
          </w:p>
        </w:tc>
        <w:tc>
          <w:tcPr>
            <w:tcW w:w="841" w:type="dxa"/>
            <w:noWrap w:val="0"/>
            <w:vAlign w:val="center"/>
          </w:tcPr>
          <w:p w14:paraId="7FC64A16">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序号</w:t>
            </w:r>
          </w:p>
        </w:tc>
        <w:tc>
          <w:tcPr>
            <w:tcW w:w="1808" w:type="dxa"/>
            <w:noWrap w:val="0"/>
            <w:vAlign w:val="center"/>
          </w:tcPr>
          <w:p w14:paraId="428A7155">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学校</w:t>
            </w:r>
          </w:p>
        </w:tc>
        <w:tc>
          <w:tcPr>
            <w:tcW w:w="1221" w:type="dxa"/>
            <w:noWrap w:val="0"/>
            <w:vAlign w:val="center"/>
          </w:tcPr>
          <w:p w14:paraId="3C9DA28D">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人数</w:t>
            </w:r>
          </w:p>
        </w:tc>
        <w:tc>
          <w:tcPr>
            <w:tcW w:w="1041" w:type="dxa"/>
            <w:noWrap w:val="0"/>
            <w:vAlign w:val="center"/>
          </w:tcPr>
          <w:p w14:paraId="0A195F36">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eastAsia="zh-CN"/>
              </w:rPr>
              <w:t>标段</w:t>
            </w:r>
          </w:p>
        </w:tc>
        <w:tc>
          <w:tcPr>
            <w:tcW w:w="788" w:type="dxa"/>
            <w:noWrap w:val="0"/>
            <w:vAlign w:val="center"/>
          </w:tcPr>
          <w:p w14:paraId="346B6EE2">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eastAsia="zh-CN"/>
              </w:rPr>
              <w:t>序号</w:t>
            </w:r>
          </w:p>
        </w:tc>
        <w:tc>
          <w:tcPr>
            <w:tcW w:w="2018" w:type="dxa"/>
            <w:noWrap w:val="0"/>
            <w:vAlign w:val="center"/>
          </w:tcPr>
          <w:p w14:paraId="3A363E33">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eastAsia="zh-CN"/>
              </w:rPr>
              <w:t>学校</w:t>
            </w:r>
          </w:p>
        </w:tc>
        <w:tc>
          <w:tcPr>
            <w:tcW w:w="1247" w:type="dxa"/>
            <w:noWrap w:val="0"/>
            <w:vAlign w:val="center"/>
          </w:tcPr>
          <w:p w14:paraId="7259A776">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eastAsia="zh-CN"/>
              </w:rPr>
              <w:t>人数</w:t>
            </w:r>
          </w:p>
        </w:tc>
      </w:tr>
      <w:tr w14:paraId="66907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999" w:type="dxa"/>
            <w:vMerge w:val="restart"/>
            <w:noWrap w:val="0"/>
            <w:vAlign w:val="center"/>
          </w:tcPr>
          <w:p w14:paraId="56331D3D">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default" w:ascii="宋体" w:hAnsi="宋体" w:eastAsia="宋体" w:cs="宋体"/>
                <w:b w:val="0"/>
                <w:color w:val="auto"/>
                <w:sz w:val="24"/>
                <w:szCs w:val="24"/>
                <w:vertAlign w:val="baseline"/>
                <w:lang w:val="en-US" w:eastAsia="zh-CN"/>
              </w:rPr>
            </w:pPr>
            <w:r>
              <w:rPr>
                <w:rFonts w:hint="eastAsia" w:ascii="宋体" w:hAnsi="宋体" w:eastAsia="宋体" w:cs="宋体"/>
                <w:color w:val="auto"/>
                <w:sz w:val="24"/>
                <w:szCs w:val="24"/>
                <w:lang w:eastAsia="zh-CN"/>
              </w:rPr>
              <w:t>一</w:t>
            </w:r>
            <w:r>
              <w:rPr>
                <w:rFonts w:hint="eastAsia" w:ascii="宋体" w:hAnsi="宋体" w:cs="宋体"/>
                <w:color w:val="auto"/>
                <w:sz w:val="24"/>
                <w:szCs w:val="24"/>
                <w:lang w:val="en-US" w:eastAsia="zh-CN"/>
              </w:rPr>
              <w:t>标段</w:t>
            </w:r>
          </w:p>
        </w:tc>
        <w:tc>
          <w:tcPr>
            <w:tcW w:w="841" w:type="dxa"/>
            <w:noWrap w:val="0"/>
            <w:vAlign w:val="center"/>
          </w:tcPr>
          <w:p w14:paraId="03E3415A">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1808" w:type="dxa"/>
            <w:noWrap w:val="0"/>
            <w:vAlign w:val="center"/>
          </w:tcPr>
          <w:p w14:paraId="028C36FF">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sz w:val="24"/>
                <w:szCs w:val="24"/>
                <w:vertAlign w:val="baseline"/>
              </w:rPr>
            </w:pPr>
            <w:r>
              <w:rPr>
                <w:rFonts w:hint="eastAsia" w:ascii="宋体" w:hAnsi="宋体" w:eastAsia="宋体" w:cs="宋体"/>
                <w:color w:val="auto"/>
                <w:sz w:val="24"/>
                <w:szCs w:val="24"/>
              </w:rPr>
              <w:t>绛帐初中</w:t>
            </w:r>
          </w:p>
        </w:tc>
        <w:tc>
          <w:tcPr>
            <w:tcW w:w="1221" w:type="dxa"/>
            <w:noWrap w:val="0"/>
            <w:vAlign w:val="center"/>
          </w:tcPr>
          <w:p w14:paraId="4BAA74E4">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sz w:val="24"/>
                <w:szCs w:val="24"/>
                <w:vertAlign w:val="baseline"/>
                <w:lang w:val="en-US" w:eastAsia="zh-CN"/>
              </w:rPr>
            </w:pPr>
            <w:r>
              <w:rPr>
                <w:rFonts w:hint="eastAsia" w:ascii="宋体" w:hAnsi="宋体" w:eastAsia="宋体" w:cs="宋体"/>
                <w:b w:val="0"/>
                <w:color w:val="auto"/>
                <w:sz w:val="24"/>
                <w:szCs w:val="24"/>
                <w:vertAlign w:val="baseline"/>
                <w:lang w:val="en-US" w:eastAsia="zh-CN"/>
              </w:rPr>
              <w:t>1200</w:t>
            </w:r>
          </w:p>
        </w:tc>
        <w:tc>
          <w:tcPr>
            <w:tcW w:w="1041" w:type="dxa"/>
            <w:vMerge w:val="restart"/>
            <w:noWrap w:val="0"/>
            <w:vAlign w:val="center"/>
          </w:tcPr>
          <w:p w14:paraId="24EEDCD5">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sz w:val="24"/>
                <w:szCs w:val="24"/>
                <w:vertAlign w:val="baseline"/>
                <w:lang w:eastAsia="zh-CN"/>
              </w:rPr>
            </w:pPr>
            <w:r>
              <w:rPr>
                <w:rFonts w:hint="eastAsia" w:ascii="宋体" w:hAnsi="宋体" w:eastAsia="宋体" w:cs="宋体"/>
                <w:color w:val="auto"/>
                <w:sz w:val="24"/>
                <w:szCs w:val="24"/>
                <w:lang w:eastAsia="zh-CN"/>
              </w:rPr>
              <w:t>二标段</w:t>
            </w:r>
          </w:p>
        </w:tc>
        <w:tc>
          <w:tcPr>
            <w:tcW w:w="788" w:type="dxa"/>
            <w:noWrap w:val="0"/>
            <w:vAlign w:val="center"/>
          </w:tcPr>
          <w:p w14:paraId="720F48EA">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1</w:t>
            </w:r>
          </w:p>
        </w:tc>
        <w:tc>
          <w:tcPr>
            <w:tcW w:w="2018" w:type="dxa"/>
            <w:noWrap w:val="0"/>
            <w:vAlign w:val="center"/>
          </w:tcPr>
          <w:p w14:paraId="13E6A161">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法门九年制学校</w:t>
            </w:r>
          </w:p>
        </w:tc>
        <w:tc>
          <w:tcPr>
            <w:tcW w:w="1247" w:type="dxa"/>
            <w:noWrap w:val="0"/>
            <w:vAlign w:val="center"/>
          </w:tcPr>
          <w:p w14:paraId="327C44B6">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kern w:val="2"/>
                <w:sz w:val="24"/>
                <w:szCs w:val="24"/>
                <w:vertAlign w:val="baseline"/>
                <w:lang w:val="en-US" w:eastAsia="zh-CN" w:bidi="ar-SA"/>
              </w:rPr>
            </w:pPr>
            <w:r>
              <w:rPr>
                <w:rFonts w:hint="eastAsia" w:ascii="宋体" w:hAnsi="宋体" w:eastAsia="宋体" w:cs="宋体"/>
                <w:b w:val="0"/>
                <w:color w:val="auto"/>
                <w:sz w:val="24"/>
                <w:szCs w:val="24"/>
                <w:vertAlign w:val="baseline"/>
                <w:lang w:val="en-US" w:eastAsia="zh-CN"/>
              </w:rPr>
              <w:t>665</w:t>
            </w:r>
          </w:p>
        </w:tc>
      </w:tr>
      <w:tr w14:paraId="75EB7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999" w:type="dxa"/>
            <w:vMerge w:val="continue"/>
            <w:noWrap w:val="0"/>
            <w:vAlign w:val="center"/>
          </w:tcPr>
          <w:p w14:paraId="3E9B2CA2">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sz w:val="24"/>
                <w:szCs w:val="24"/>
                <w:vertAlign w:val="baseline"/>
              </w:rPr>
            </w:pPr>
          </w:p>
        </w:tc>
        <w:tc>
          <w:tcPr>
            <w:tcW w:w="841" w:type="dxa"/>
            <w:noWrap w:val="0"/>
            <w:vAlign w:val="center"/>
          </w:tcPr>
          <w:p w14:paraId="5BD86EBB">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1808" w:type="dxa"/>
            <w:noWrap w:val="0"/>
            <w:vAlign w:val="center"/>
          </w:tcPr>
          <w:p w14:paraId="015570D4">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sz w:val="24"/>
                <w:szCs w:val="24"/>
                <w:vertAlign w:val="baseline"/>
              </w:rPr>
            </w:pPr>
            <w:r>
              <w:rPr>
                <w:rFonts w:hint="eastAsia" w:ascii="宋体" w:hAnsi="宋体" w:eastAsia="宋体" w:cs="宋体"/>
                <w:color w:val="auto"/>
                <w:sz w:val="24"/>
                <w:szCs w:val="24"/>
              </w:rPr>
              <w:t>上宋初中</w:t>
            </w:r>
          </w:p>
        </w:tc>
        <w:tc>
          <w:tcPr>
            <w:tcW w:w="1221" w:type="dxa"/>
            <w:noWrap w:val="0"/>
            <w:vAlign w:val="center"/>
          </w:tcPr>
          <w:p w14:paraId="6AB49EB9">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sz w:val="24"/>
                <w:szCs w:val="24"/>
                <w:vertAlign w:val="baseline"/>
                <w:lang w:val="en-US" w:eastAsia="zh-CN"/>
              </w:rPr>
            </w:pPr>
            <w:r>
              <w:rPr>
                <w:rFonts w:hint="eastAsia" w:ascii="宋体" w:hAnsi="宋体" w:eastAsia="宋体" w:cs="宋体"/>
                <w:b w:val="0"/>
                <w:color w:val="auto"/>
                <w:sz w:val="24"/>
                <w:szCs w:val="24"/>
                <w:vertAlign w:val="baseline"/>
                <w:lang w:val="en-US" w:eastAsia="zh-CN"/>
              </w:rPr>
              <w:t>69</w:t>
            </w:r>
          </w:p>
        </w:tc>
        <w:tc>
          <w:tcPr>
            <w:tcW w:w="1041" w:type="dxa"/>
            <w:vMerge w:val="continue"/>
            <w:noWrap w:val="0"/>
            <w:vAlign w:val="center"/>
          </w:tcPr>
          <w:p w14:paraId="59EA8F42">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sz w:val="24"/>
                <w:szCs w:val="24"/>
                <w:vertAlign w:val="baseline"/>
              </w:rPr>
            </w:pPr>
          </w:p>
        </w:tc>
        <w:tc>
          <w:tcPr>
            <w:tcW w:w="788" w:type="dxa"/>
            <w:noWrap w:val="0"/>
            <w:vAlign w:val="center"/>
          </w:tcPr>
          <w:p w14:paraId="344C4A34">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2</w:t>
            </w:r>
          </w:p>
        </w:tc>
        <w:tc>
          <w:tcPr>
            <w:tcW w:w="2018" w:type="dxa"/>
            <w:noWrap w:val="0"/>
            <w:vAlign w:val="center"/>
          </w:tcPr>
          <w:p w14:paraId="106F371E">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黄堆小学</w:t>
            </w:r>
          </w:p>
        </w:tc>
        <w:tc>
          <w:tcPr>
            <w:tcW w:w="1247" w:type="dxa"/>
            <w:noWrap w:val="0"/>
            <w:vAlign w:val="center"/>
          </w:tcPr>
          <w:p w14:paraId="01F06033">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kern w:val="2"/>
                <w:sz w:val="24"/>
                <w:szCs w:val="24"/>
                <w:vertAlign w:val="baseline"/>
                <w:lang w:val="en-US" w:eastAsia="zh-CN" w:bidi="ar-SA"/>
              </w:rPr>
            </w:pPr>
            <w:r>
              <w:rPr>
                <w:rFonts w:hint="eastAsia" w:ascii="宋体" w:hAnsi="宋体" w:eastAsia="宋体" w:cs="宋体"/>
                <w:b w:val="0"/>
                <w:color w:val="auto"/>
                <w:sz w:val="24"/>
                <w:szCs w:val="24"/>
                <w:vertAlign w:val="baseline"/>
                <w:lang w:val="en-US" w:eastAsia="zh-CN"/>
              </w:rPr>
              <w:t>66</w:t>
            </w:r>
          </w:p>
        </w:tc>
      </w:tr>
      <w:tr w14:paraId="0B981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999" w:type="dxa"/>
            <w:vMerge w:val="continue"/>
            <w:noWrap w:val="0"/>
            <w:vAlign w:val="center"/>
          </w:tcPr>
          <w:p w14:paraId="345CED6E">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sz w:val="24"/>
                <w:szCs w:val="24"/>
                <w:vertAlign w:val="baseline"/>
              </w:rPr>
            </w:pPr>
          </w:p>
        </w:tc>
        <w:tc>
          <w:tcPr>
            <w:tcW w:w="841" w:type="dxa"/>
            <w:noWrap w:val="0"/>
            <w:vAlign w:val="center"/>
          </w:tcPr>
          <w:p w14:paraId="0CF12DC3">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p>
        </w:tc>
        <w:tc>
          <w:tcPr>
            <w:tcW w:w="1808" w:type="dxa"/>
            <w:noWrap w:val="0"/>
            <w:vAlign w:val="center"/>
          </w:tcPr>
          <w:p w14:paraId="5402BE8D">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sz w:val="24"/>
                <w:szCs w:val="24"/>
                <w:vertAlign w:val="baseline"/>
              </w:rPr>
            </w:pPr>
            <w:r>
              <w:rPr>
                <w:rFonts w:hint="eastAsia" w:ascii="宋体" w:hAnsi="宋体" w:eastAsia="宋体" w:cs="宋体"/>
                <w:color w:val="auto"/>
                <w:sz w:val="24"/>
                <w:szCs w:val="24"/>
              </w:rPr>
              <w:t>上权小学</w:t>
            </w:r>
          </w:p>
        </w:tc>
        <w:tc>
          <w:tcPr>
            <w:tcW w:w="1221" w:type="dxa"/>
            <w:noWrap w:val="0"/>
            <w:vAlign w:val="center"/>
          </w:tcPr>
          <w:p w14:paraId="6B739012">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sz w:val="24"/>
                <w:szCs w:val="24"/>
                <w:vertAlign w:val="baseline"/>
                <w:lang w:val="en-US"/>
              </w:rPr>
            </w:pPr>
            <w:r>
              <w:rPr>
                <w:rFonts w:hint="eastAsia" w:ascii="宋体" w:hAnsi="宋体" w:eastAsia="宋体" w:cs="宋体"/>
                <w:b w:val="0"/>
                <w:color w:val="auto"/>
                <w:sz w:val="24"/>
                <w:szCs w:val="24"/>
                <w:vertAlign w:val="baseline"/>
                <w:lang w:val="en-US"/>
              </w:rPr>
              <w:t>84</w:t>
            </w:r>
          </w:p>
        </w:tc>
        <w:tc>
          <w:tcPr>
            <w:tcW w:w="1041" w:type="dxa"/>
            <w:vMerge w:val="continue"/>
            <w:noWrap w:val="0"/>
            <w:vAlign w:val="center"/>
          </w:tcPr>
          <w:p w14:paraId="3DA64B23">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sz w:val="24"/>
                <w:szCs w:val="24"/>
                <w:vertAlign w:val="baseline"/>
              </w:rPr>
            </w:pPr>
          </w:p>
        </w:tc>
        <w:tc>
          <w:tcPr>
            <w:tcW w:w="788" w:type="dxa"/>
            <w:noWrap w:val="0"/>
            <w:vAlign w:val="center"/>
          </w:tcPr>
          <w:p w14:paraId="04F2B3F9">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3</w:t>
            </w:r>
          </w:p>
        </w:tc>
        <w:tc>
          <w:tcPr>
            <w:tcW w:w="2018" w:type="dxa"/>
            <w:noWrap w:val="0"/>
            <w:vAlign w:val="center"/>
          </w:tcPr>
          <w:p w14:paraId="45BBC4D2">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晨光小学</w:t>
            </w:r>
          </w:p>
        </w:tc>
        <w:tc>
          <w:tcPr>
            <w:tcW w:w="1247" w:type="dxa"/>
            <w:noWrap w:val="0"/>
            <w:vAlign w:val="center"/>
          </w:tcPr>
          <w:p w14:paraId="3C131EA5">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kern w:val="2"/>
                <w:sz w:val="24"/>
                <w:szCs w:val="24"/>
                <w:vertAlign w:val="baseline"/>
                <w:lang w:val="en-US" w:eastAsia="zh-CN" w:bidi="ar-SA"/>
              </w:rPr>
            </w:pPr>
            <w:r>
              <w:rPr>
                <w:rFonts w:hint="eastAsia" w:ascii="宋体" w:hAnsi="宋体" w:eastAsia="宋体" w:cs="宋体"/>
                <w:b w:val="0"/>
                <w:color w:val="auto"/>
                <w:sz w:val="24"/>
                <w:szCs w:val="24"/>
                <w:vertAlign w:val="baseline"/>
                <w:lang w:val="en-US" w:eastAsia="zh-CN"/>
              </w:rPr>
              <w:t>196</w:t>
            </w:r>
          </w:p>
        </w:tc>
      </w:tr>
      <w:tr w14:paraId="6624B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999" w:type="dxa"/>
            <w:vMerge w:val="continue"/>
            <w:noWrap w:val="0"/>
            <w:vAlign w:val="center"/>
          </w:tcPr>
          <w:p w14:paraId="542CC77A">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sz w:val="24"/>
                <w:szCs w:val="24"/>
                <w:vertAlign w:val="baseline"/>
              </w:rPr>
            </w:pPr>
          </w:p>
        </w:tc>
        <w:tc>
          <w:tcPr>
            <w:tcW w:w="841" w:type="dxa"/>
            <w:noWrap w:val="0"/>
            <w:vAlign w:val="center"/>
          </w:tcPr>
          <w:p w14:paraId="24755988">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w:t>
            </w:r>
          </w:p>
        </w:tc>
        <w:tc>
          <w:tcPr>
            <w:tcW w:w="1808" w:type="dxa"/>
            <w:noWrap w:val="0"/>
            <w:vAlign w:val="center"/>
          </w:tcPr>
          <w:p w14:paraId="64588C9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val="0"/>
                <w:color w:val="auto"/>
                <w:sz w:val="24"/>
                <w:szCs w:val="24"/>
                <w:vertAlign w:val="baseline"/>
              </w:rPr>
            </w:pPr>
            <w:r>
              <w:rPr>
                <w:rFonts w:hint="eastAsia" w:ascii="宋体" w:hAnsi="宋体" w:eastAsia="宋体" w:cs="宋体"/>
                <w:color w:val="auto"/>
                <w:sz w:val="24"/>
                <w:szCs w:val="24"/>
              </w:rPr>
              <w:t>恒大小学</w:t>
            </w:r>
          </w:p>
        </w:tc>
        <w:tc>
          <w:tcPr>
            <w:tcW w:w="1221" w:type="dxa"/>
            <w:noWrap w:val="0"/>
            <w:vAlign w:val="center"/>
          </w:tcPr>
          <w:p w14:paraId="59542832">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sz w:val="24"/>
                <w:szCs w:val="24"/>
                <w:vertAlign w:val="baseline"/>
                <w:lang w:val="en-US" w:eastAsia="zh-CN"/>
              </w:rPr>
            </w:pPr>
            <w:r>
              <w:rPr>
                <w:rFonts w:hint="eastAsia" w:ascii="宋体" w:hAnsi="宋体" w:eastAsia="宋体" w:cs="宋体"/>
                <w:b w:val="0"/>
                <w:color w:val="auto"/>
                <w:sz w:val="24"/>
                <w:szCs w:val="24"/>
                <w:vertAlign w:val="baseline"/>
                <w:lang w:val="en-US" w:eastAsia="zh-CN"/>
              </w:rPr>
              <w:t>814</w:t>
            </w:r>
          </w:p>
        </w:tc>
        <w:tc>
          <w:tcPr>
            <w:tcW w:w="1041" w:type="dxa"/>
            <w:vMerge w:val="continue"/>
            <w:noWrap w:val="0"/>
            <w:vAlign w:val="center"/>
          </w:tcPr>
          <w:p w14:paraId="5A65DBB0">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sz w:val="24"/>
                <w:szCs w:val="24"/>
                <w:vertAlign w:val="baseline"/>
              </w:rPr>
            </w:pPr>
          </w:p>
        </w:tc>
        <w:tc>
          <w:tcPr>
            <w:tcW w:w="788" w:type="dxa"/>
            <w:noWrap w:val="0"/>
            <w:vAlign w:val="center"/>
          </w:tcPr>
          <w:p w14:paraId="0BC856DE">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4</w:t>
            </w:r>
          </w:p>
        </w:tc>
        <w:tc>
          <w:tcPr>
            <w:tcW w:w="2018" w:type="dxa"/>
            <w:noWrap w:val="0"/>
            <w:vAlign w:val="center"/>
          </w:tcPr>
          <w:p w14:paraId="147E1FC1">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eastAsia="zh-CN"/>
              </w:rPr>
              <w:t>宝塔小学</w:t>
            </w:r>
          </w:p>
        </w:tc>
        <w:tc>
          <w:tcPr>
            <w:tcW w:w="1247" w:type="dxa"/>
            <w:noWrap w:val="0"/>
            <w:vAlign w:val="center"/>
          </w:tcPr>
          <w:p w14:paraId="0833CF3C">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kern w:val="2"/>
                <w:sz w:val="24"/>
                <w:szCs w:val="24"/>
                <w:vertAlign w:val="baseline"/>
                <w:lang w:val="en-US" w:eastAsia="zh-CN" w:bidi="ar-SA"/>
              </w:rPr>
            </w:pPr>
            <w:r>
              <w:rPr>
                <w:rFonts w:hint="eastAsia" w:ascii="宋体" w:hAnsi="宋体" w:eastAsia="宋体" w:cs="宋体"/>
                <w:b w:val="0"/>
                <w:color w:val="auto"/>
                <w:sz w:val="24"/>
                <w:szCs w:val="24"/>
                <w:vertAlign w:val="baseline"/>
                <w:lang w:val="en-US" w:eastAsia="zh-CN"/>
              </w:rPr>
              <w:t>50</w:t>
            </w:r>
          </w:p>
        </w:tc>
      </w:tr>
      <w:tr w14:paraId="11B79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999" w:type="dxa"/>
            <w:vMerge w:val="continue"/>
            <w:noWrap w:val="0"/>
            <w:vAlign w:val="center"/>
          </w:tcPr>
          <w:p w14:paraId="7867FF5F">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sz w:val="24"/>
                <w:szCs w:val="24"/>
                <w:vertAlign w:val="baseline"/>
              </w:rPr>
            </w:pPr>
          </w:p>
        </w:tc>
        <w:tc>
          <w:tcPr>
            <w:tcW w:w="841" w:type="dxa"/>
            <w:noWrap w:val="0"/>
            <w:vAlign w:val="center"/>
          </w:tcPr>
          <w:p w14:paraId="1C042758">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w:t>
            </w:r>
          </w:p>
        </w:tc>
        <w:tc>
          <w:tcPr>
            <w:tcW w:w="1808" w:type="dxa"/>
            <w:noWrap w:val="0"/>
            <w:vAlign w:val="center"/>
          </w:tcPr>
          <w:p w14:paraId="57CB2010">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sz w:val="24"/>
                <w:szCs w:val="24"/>
                <w:vertAlign w:val="baseline"/>
              </w:rPr>
            </w:pPr>
            <w:r>
              <w:rPr>
                <w:rFonts w:hint="eastAsia" w:ascii="宋体" w:hAnsi="宋体" w:eastAsia="宋体" w:cs="宋体"/>
                <w:color w:val="auto"/>
                <w:sz w:val="24"/>
                <w:szCs w:val="24"/>
              </w:rPr>
              <w:t>罗家小学</w:t>
            </w:r>
          </w:p>
        </w:tc>
        <w:tc>
          <w:tcPr>
            <w:tcW w:w="1221" w:type="dxa"/>
            <w:noWrap w:val="0"/>
            <w:vAlign w:val="center"/>
          </w:tcPr>
          <w:p w14:paraId="07718D51">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sz w:val="24"/>
                <w:szCs w:val="24"/>
                <w:vertAlign w:val="baseline"/>
                <w:lang w:val="en-US" w:eastAsia="zh-CN"/>
              </w:rPr>
            </w:pPr>
            <w:r>
              <w:rPr>
                <w:rFonts w:hint="eastAsia" w:ascii="宋体" w:hAnsi="宋体" w:eastAsia="宋体" w:cs="宋体"/>
                <w:b w:val="0"/>
                <w:color w:val="auto"/>
                <w:sz w:val="24"/>
                <w:szCs w:val="24"/>
                <w:vertAlign w:val="baseline"/>
                <w:lang w:val="en-US" w:eastAsia="zh-CN"/>
              </w:rPr>
              <w:t>89</w:t>
            </w:r>
          </w:p>
        </w:tc>
        <w:tc>
          <w:tcPr>
            <w:tcW w:w="1041" w:type="dxa"/>
            <w:vMerge w:val="continue"/>
            <w:noWrap w:val="0"/>
            <w:vAlign w:val="center"/>
          </w:tcPr>
          <w:p w14:paraId="690B07EF">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sz w:val="24"/>
                <w:szCs w:val="24"/>
                <w:vertAlign w:val="baseline"/>
              </w:rPr>
            </w:pPr>
          </w:p>
        </w:tc>
        <w:tc>
          <w:tcPr>
            <w:tcW w:w="788" w:type="dxa"/>
            <w:noWrap w:val="0"/>
            <w:vAlign w:val="center"/>
          </w:tcPr>
          <w:p w14:paraId="1FA8C4AD">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5</w:t>
            </w:r>
          </w:p>
        </w:tc>
        <w:tc>
          <w:tcPr>
            <w:tcW w:w="2018" w:type="dxa"/>
            <w:noWrap w:val="0"/>
            <w:vAlign w:val="center"/>
          </w:tcPr>
          <w:p w14:paraId="7785542E">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eastAsia="zh-CN"/>
              </w:rPr>
              <w:t>美阳小学</w:t>
            </w:r>
          </w:p>
        </w:tc>
        <w:tc>
          <w:tcPr>
            <w:tcW w:w="1247" w:type="dxa"/>
            <w:noWrap w:val="0"/>
            <w:vAlign w:val="center"/>
          </w:tcPr>
          <w:p w14:paraId="76B38EAB">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kern w:val="2"/>
                <w:sz w:val="24"/>
                <w:szCs w:val="24"/>
                <w:vertAlign w:val="baseline"/>
                <w:lang w:val="en-US" w:eastAsia="zh-CN" w:bidi="ar-SA"/>
              </w:rPr>
            </w:pPr>
            <w:r>
              <w:rPr>
                <w:rFonts w:hint="eastAsia" w:ascii="宋体" w:hAnsi="宋体" w:eastAsia="宋体" w:cs="宋体"/>
                <w:b w:val="0"/>
                <w:color w:val="auto"/>
                <w:sz w:val="24"/>
                <w:szCs w:val="24"/>
                <w:vertAlign w:val="baseline"/>
                <w:lang w:val="en-US" w:eastAsia="zh-CN"/>
              </w:rPr>
              <w:t>22</w:t>
            </w:r>
          </w:p>
        </w:tc>
      </w:tr>
      <w:tr w14:paraId="395DC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999" w:type="dxa"/>
            <w:vMerge w:val="continue"/>
            <w:noWrap w:val="0"/>
            <w:vAlign w:val="center"/>
          </w:tcPr>
          <w:p w14:paraId="0AE068D8">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sz w:val="24"/>
                <w:szCs w:val="24"/>
                <w:vertAlign w:val="baseline"/>
              </w:rPr>
            </w:pPr>
          </w:p>
        </w:tc>
        <w:tc>
          <w:tcPr>
            <w:tcW w:w="841" w:type="dxa"/>
            <w:noWrap w:val="0"/>
            <w:vAlign w:val="center"/>
          </w:tcPr>
          <w:p w14:paraId="703803AB">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w:t>
            </w:r>
          </w:p>
        </w:tc>
        <w:tc>
          <w:tcPr>
            <w:tcW w:w="1808" w:type="dxa"/>
            <w:noWrap w:val="0"/>
            <w:vAlign w:val="center"/>
          </w:tcPr>
          <w:p w14:paraId="109B8B3D">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sz w:val="24"/>
                <w:szCs w:val="24"/>
                <w:vertAlign w:val="baseline"/>
              </w:rPr>
            </w:pPr>
            <w:r>
              <w:rPr>
                <w:rFonts w:hint="eastAsia" w:ascii="宋体" w:hAnsi="宋体" w:eastAsia="宋体" w:cs="宋体"/>
                <w:color w:val="auto"/>
                <w:sz w:val="24"/>
                <w:szCs w:val="24"/>
              </w:rPr>
              <w:t>营中小学</w:t>
            </w:r>
          </w:p>
        </w:tc>
        <w:tc>
          <w:tcPr>
            <w:tcW w:w="1221" w:type="dxa"/>
            <w:noWrap w:val="0"/>
            <w:vAlign w:val="center"/>
          </w:tcPr>
          <w:p w14:paraId="1DA5BEA4">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sz w:val="24"/>
                <w:szCs w:val="24"/>
                <w:vertAlign w:val="baseline"/>
                <w:lang w:val="en-US" w:eastAsia="zh-CN"/>
              </w:rPr>
            </w:pPr>
            <w:r>
              <w:rPr>
                <w:rFonts w:hint="eastAsia" w:ascii="宋体" w:hAnsi="宋体" w:eastAsia="宋体" w:cs="宋体"/>
                <w:b w:val="0"/>
                <w:color w:val="auto"/>
                <w:sz w:val="24"/>
                <w:szCs w:val="24"/>
                <w:vertAlign w:val="baseline"/>
                <w:lang w:val="en-US" w:eastAsia="zh-CN"/>
              </w:rPr>
              <w:t>128</w:t>
            </w:r>
          </w:p>
        </w:tc>
        <w:tc>
          <w:tcPr>
            <w:tcW w:w="1041" w:type="dxa"/>
            <w:vMerge w:val="continue"/>
            <w:noWrap w:val="0"/>
            <w:vAlign w:val="center"/>
          </w:tcPr>
          <w:p w14:paraId="34B92C88">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sz w:val="24"/>
                <w:szCs w:val="24"/>
                <w:vertAlign w:val="baseline"/>
              </w:rPr>
            </w:pPr>
          </w:p>
        </w:tc>
        <w:tc>
          <w:tcPr>
            <w:tcW w:w="788" w:type="dxa"/>
            <w:noWrap w:val="0"/>
            <w:vAlign w:val="center"/>
          </w:tcPr>
          <w:p w14:paraId="7FA855C4">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6</w:t>
            </w:r>
          </w:p>
        </w:tc>
        <w:tc>
          <w:tcPr>
            <w:tcW w:w="2018" w:type="dxa"/>
            <w:noWrap w:val="0"/>
            <w:vAlign w:val="center"/>
          </w:tcPr>
          <w:p w14:paraId="269AC5F4">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kern w:val="2"/>
                <w:sz w:val="24"/>
                <w:szCs w:val="24"/>
                <w:vertAlign w:val="baseline"/>
                <w:lang w:val="en-US" w:eastAsia="zh-CN" w:bidi="ar-SA"/>
              </w:rPr>
            </w:pPr>
            <w:r>
              <w:rPr>
                <w:rFonts w:hint="eastAsia" w:ascii="宋体" w:hAnsi="宋体" w:eastAsia="宋体" w:cs="宋体"/>
                <w:color w:val="auto"/>
                <w:sz w:val="24"/>
                <w:szCs w:val="24"/>
              </w:rPr>
              <w:t>午井初中</w:t>
            </w:r>
          </w:p>
        </w:tc>
        <w:tc>
          <w:tcPr>
            <w:tcW w:w="1247" w:type="dxa"/>
            <w:noWrap w:val="0"/>
            <w:vAlign w:val="center"/>
          </w:tcPr>
          <w:p w14:paraId="1774FF0D">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kern w:val="2"/>
                <w:sz w:val="24"/>
                <w:szCs w:val="24"/>
                <w:vertAlign w:val="baseline"/>
                <w:lang w:val="en-US" w:eastAsia="zh-CN" w:bidi="ar-SA"/>
              </w:rPr>
            </w:pPr>
            <w:r>
              <w:rPr>
                <w:rFonts w:hint="eastAsia" w:ascii="宋体" w:hAnsi="宋体" w:eastAsia="宋体" w:cs="宋体"/>
                <w:b w:val="0"/>
                <w:color w:val="auto"/>
                <w:sz w:val="24"/>
                <w:szCs w:val="24"/>
                <w:vertAlign w:val="baseline"/>
                <w:lang w:val="en-US" w:eastAsia="zh-CN"/>
              </w:rPr>
              <w:t>320</w:t>
            </w:r>
          </w:p>
        </w:tc>
      </w:tr>
      <w:tr w14:paraId="7982C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999" w:type="dxa"/>
            <w:vMerge w:val="continue"/>
            <w:noWrap w:val="0"/>
            <w:vAlign w:val="center"/>
          </w:tcPr>
          <w:p w14:paraId="196B95C4">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sz w:val="24"/>
                <w:szCs w:val="24"/>
                <w:vertAlign w:val="baseline"/>
              </w:rPr>
            </w:pPr>
          </w:p>
        </w:tc>
        <w:tc>
          <w:tcPr>
            <w:tcW w:w="841" w:type="dxa"/>
            <w:noWrap w:val="0"/>
            <w:vAlign w:val="center"/>
          </w:tcPr>
          <w:p w14:paraId="0270E3F0">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w:t>
            </w:r>
          </w:p>
        </w:tc>
        <w:tc>
          <w:tcPr>
            <w:tcW w:w="1808" w:type="dxa"/>
            <w:noWrap w:val="0"/>
            <w:vAlign w:val="center"/>
          </w:tcPr>
          <w:p w14:paraId="64D8F49C">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sz w:val="24"/>
                <w:szCs w:val="24"/>
                <w:vertAlign w:val="baseline"/>
              </w:rPr>
            </w:pPr>
            <w:r>
              <w:rPr>
                <w:rFonts w:hint="eastAsia" w:ascii="宋体" w:hAnsi="宋体" w:eastAsia="宋体" w:cs="宋体"/>
                <w:color w:val="auto"/>
                <w:sz w:val="24"/>
                <w:szCs w:val="24"/>
              </w:rPr>
              <w:t>东西湾小学</w:t>
            </w:r>
          </w:p>
        </w:tc>
        <w:tc>
          <w:tcPr>
            <w:tcW w:w="1221" w:type="dxa"/>
            <w:noWrap w:val="0"/>
            <w:vAlign w:val="center"/>
          </w:tcPr>
          <w:p w14:paraId="0245AF76">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sz w:val="24"/>
                <w:szCs w:val="24"/>
                <w:vertAlign w:val="baseline"/>
                <w:lang w:val="en-US" w:eastAsia="zh-CN"/>
              </w:rPr>
            </w:pPr>
            <w:r>
              <w:rPr>
                <w:rFonts w:hint="eastAsia" w:ascii="宋体" w:hAnsi="宋体" w:eastAsia="宋体" w:cs="宋体"/>
                <w:b w:val="0"/>
                <w:color w:val="auto"/>
                <w:sz w:val="24"/>
                <w:szCs w:val="24"/>
                <w:vertAlign w:val="baseline"/>
                <w:lang w:val="en-US" w:eastAsia="zh-CN"/>
              </w:rPr>
              <w:t>49</w:t>
            </w:r>
          </w:p>
        </w:tc>
        <w:tc>
          <w:tcPr>
            <w:tcW w:w="1041" w:type="dxa"/>
            <w:vMerge w:val="continue"/>
            <w:noWrap w:val="0"/>
            <w:vAlign w:val="center"/>
          </w:tcPr>
          <w:p w14:paraId="328FCE23">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sz w:val="24"/>
                <w:szCs w:val="24"/>
                <w:vertAlign w:val="baseline"/>
              </w:rPr>
            </w:pPr>
          </w:p>
        </w:tc>
        <w:tc>
          <w:tcPr>
            <w:tcW w:w="788" w:type="dxa"/>
            <w:noWrap w:val="0"/>
            <w:vAlign w:val="center"/>
          </w:tcPr>
          <w:p w14:paraId="3452CC8B">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7</w:t>
            </w:r>
          </w:p>
        </w:tc>
        <w:tc>
          <w:tcPr>
            <w:tcW w:w="2018" w:type="dxa"/>
            <w:noWrap w:val="0"/>
            <w:vAlign w:val="center"/>
          </w:tcPr>
          <w:p w14:paraId="4BB09531">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kern w:val="2"/>
                <w:sz w:val="24"/>
                <w:szCs w:val="24"/>
                <w:vertAlign w:val="baseline"/>
                <w:lang w:val="en-US" w:eastAsia="zh-CN" w:bidi="ar-SA"/>
              </w:rPr>
            </w:pPr>
            <w:r>
              <w:rPr>
                <w:rFonts w:hint="eastAsia" w:ascii="宋体" w:hAnsi="宋体" w:eastAsia="宋体" w:cs="宋体"/>
                <w:color w:val="auto"/>
                <w:sz w:val="24"/>
                <w:szCs w:val="24"/>
              </w:rPr>
              <w:t>午井中心小学</w:t>
            </w:r>
          </w:p>
        </w:tc>
        <w:tc>
          <w:tcPr>
            <w:tcW w:w="1247" w:type="dxa"/>
            <w:noWrap w:val="0"/>
            <w:vAlign w:val="center"/>
          </w:tcPr>
          <w:p w14:paraId="1C253F20">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kern w:val="2"/>
                <w:sz w:val="24"/>
                <w:szCs w:val="24"/>
                <w:vertAlign w:val="baseline"/>
                <w:lang w:val="en-US" w:eastAsia="zh-CN" w:bidi="ar-SA"/>
              </w:rPr>
            </w:pPr>
            <w:r>
              <w:rPr>
                <w:rFonts w:hint="eastAsia" w:ascii="宋体" w:hAnsi="宋体" w:eastAsia="宋体" w:cs="宋体"/>
                <w:b w:val="0"/>
                <w:color w:val="auto"/>
                <w:sz w:val="24"/>
                <w:szCs w:val="24"/>
                <w:vertAlign w:val="baseline"/>
                <w:lang w:val="en-US" w:eastAsia="zh-CN"/>
              </w:rPr>
              <w:t>255</w:t>
            </w:r>
          </w:p>
        </w:tc>
      </w:tr>
      <w:tr w14:paraId="2515F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999" w:type="dxa"/>
            <w:vMerge w:val="continue"/>
            <w:noWrap w:val="0"/>
            <w:vAlign w:val="center"/>
          </w:tcPr>
          <w:p w14:paraId="50AB2B69">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sz w:val="24"/>
                <w:szCs w:val="24"/>
                <w:vertAlign w:val="baseline"/>
              </w:rPr>
            </w:pPr>
          </w:p>
        </w:tc>
        <w:tc>
          <w:tcPr>
            <w:tcW w:w="841" w:type="dxa"/>
            <w:noWrap w:val="0"/>
            <w:vAlign w:val="center"/>
          </w:tcPr>
          <w:p w14:paraId="53C04A2F">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w:t>
            </w:r>
          </w:p>
        </w:tc>
        <w:tc>
          <w:tcPr>
            <w:tcW w:w="1808" w:type="dxa"/>
            <w:noWrap w:val="0"/>
            <w:vAlign w:val="center"/>
          </w:tcPr>
          <w:p w14:paraId="11B7F2AA">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sz w:val="24"/>
                <w:szCs w:val="24"/>
                <w:vertAlign w:val="baseline"/>
              </w:rPr>
            </w:pPr>
            <w:r>
              <w:rPr>
                <w:rFonts w:hint="eastAsia" w:ascii="宋体" w:hAnsi="宋体" w:eastAsia="宋体" w:cs="宋体"/>
                <w:color w:val="auto"/>
                <w:sz w:val="24"/>
                <w:szCs w:val="24"/>
              </w:rPr>
              <w:t>侯家小学</w:t>
            </w:r>
          </w:p>
        </w:tc>
        <w:tc>
          <w:tcPr>
            <w:tcW w:w="1221" w:type="dxa"/>
            <w:noWrap w:val="0"/>
            <w:vAlign w:val="center"/>
          </w:tcPr>
          <w:p w14:paraId="16982527">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sz w:val="24"/>
                <w:szCs w:val="24"/>
                <w:vertAlign w:val="baseline"/>
                <w:lang w:val="en-US" w:eastAsia="zh-CN"/>
              </w:rPr>
            </w:pPr>
            <w:r>
              <w:rPr>
                <w:rFonts w:hint="eastAsia" w:ascii="宋体" w:hAnsi="宋体" w:eastAsia="宋体" w:cs="宋体"/>
                <w:b w:val="0"/>
                <w:color w:val="auto"/>
                <w:sz w:val="24"/>
                <w:szCs w:val="24"/>
                <w:vertAlign w:val="baseline"/>
                <w:lang w:val="en-US" w:eastAsia="zh-CN"/>
              </w:rPr>
              <w:t>58</w:t>
            </w:r>
          </w:p>
        </w:tc>
        <w:tc>
          <w:tcPr>
            <w:tcW w:w="1041" w:type="dxa"/>
            <w:vMerge w:val="continue"/>
            <w:noWrap w:val="0"/>
            <w:vAlign w:val="center"/>
          </w:tcPr>
          <w:p w14:paraId="3BCA54AF">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sz w:val="24"/>
                <w:szCs w:val="24"/>
                <w:vertAlign w:val="baseline"/>
              </w:rPr>
            </w:pPr>
          </w:p>
        </w:tc>
        <w:tc>
          <w:tcPr>
            <w:tcW w:w="788" w:type="dxa"/>
            <w:noWrap w:val="0"/>
            <w:vAlign w:val="center"/>
          </w:tcPr>
          <w:p w14:paraId="74D3F05D">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8</w:t>
            </w:r>
          </w:p>
        </w:tc>
        <w:tc>
          <w:tcPr>
            <w:tcW w:w="2018" w:type="dxa"/>
            <w:noWrap w:val="0"/>
            <w:vAlign w:val="center"/>
          </w:tcPr>
          <w:p w14:paraId="20E91FD6">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kern w:val="2"/>
                <w:sz w:val="24"/>
                <w:szCs w:val="24"/>
                <w:vertAlign w:val="baseline"/>
                <w:lang w:val="en-US" w:eastAsia="zh-CN" w:bidi="ar-SA"/>
              </w:rPr>
            </w:pPr>
            <w:r>
              <w:rPr>
                <w:rFonts w:hint="eastAsia" w:ascii="宋体" w:hAnsi="宋体" w:eastAsia="宋体" w:cs="宋体"/>
                <w:color w:val="auto"/>
                <w:sz w:val="24"/>
                <w:szCs w:val="24"/>
              </w:rPr>
              <w:t>午井二小</w:t>
            </w:r>
          </w:p>
        </w:tc>
        <w:tc>
          <w:tcPr>
            <w:tcW w:w="1247" w:type="dxa"/>
            <w:noWrap w:val="0"/>
            <w:vAlign w:val="center"/>
          </w:tcPr>
          <w:p w14:paraId="13301810">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kern w:val="2"/>
                <w:sz w:val="24"/>
                <w:szCs w:val="24"/>
                <w:vertAlign w:val="baseline"/>
                <w:lang w:val="en-US" w:eastAsia="zh-CN" w:bidi="ar-SA"/>
              </w:rPr>
            </w:pPr>
            <w:r>
              <w:rPr>
                <w:rFonts w:hint="eastAsia" w:ascii="宋体" w:hAnsi="宋体" w:eastAsia="宋体" w:cs="宋体"/>
                <w:b w:val="0"/>
                <w:color w:val="auto"/>
                <w:sz w:val="24"/>
                <w:szCs w:val="24"/>
                <w:vertAlign w:val="baseline"/>
                <w:lang w:val="en-US" w:eastAsia="zh-CN"/>
              </w:rPr>
              <w:t>125</w:t>
            </w:r>
          </w:p>
        </w:tc>
      </w:tr>
      <w:tr w14:paraId="7882C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999" w:type="dxa"/>
            <w:vMerge w:val="continue"/>
            <w:noWrap w:val="0"/>
            <w:vAlign w:val="center"/>
          </w:tcPr>
          <w:p w14:paraId="5AB1AE6D">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sz w:val="24"/>
                <w:szCs w:val="24"/>
                <w:vertAlign w:val="baseline"/>
              </w:rPr>
            </w:pPr>
          </w:p>
        </w:tc>
        <w:tc>
          <w:tcPr>
            <w:tcW w:w="841" w:type="dxa"/>
            <w:noWrap w:val="0"/>
            <w:vAlign w:val="center"/>
          </w:tcPr>
          <w:p w14:paraId="5FCE8C4E">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w:t>
            </w:r>
          </w:p>
        </w:tc>
        <w:tc>
          <w:tcPr>
            <w:tcW w:w="1808" w:type="dxa"/>
            <w:noWrap w:val="0"/>
            <w:vAlign w:val="center"/>
          </w:tcPr>
          <w:p w14:paraId="506EB48A">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sz w:val="24"/>
                <w:szCs w:val="24"/>
                <w:vertAlign w:val="baseline"/>
              </w:rPr>
            </w:pPr>
            <w:r>
              <w:rPr>
                <w:rFonts w:hint="eastAsia" w:ascii="宋体" w:hAnsi="宋体" w:eastAsia="宋体" w:cs="宋体"/>
                <w:color w:val="auto"/>
                <w:sz w:val="24"/>
                <w:szCs w:val="24"/>
              </w:rPr>
              <w:t>凤鸣小学</w:t>
            </w:r>
          </w:p>
        </w:tc>
        <w:tc>
          <w:tcPr>
            <w:tcW w:w="1221" w:type="dxa"/>
            <w:noWrap w:val="0"/>
            <w:vAlign w:val="center"/>
          </w:tcPr>
          <w:p w14:paraId="3AA2B0EC">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sz w:val="24"/>
                <w:szCs w:val="24"/>
                <w:vertAlign w:val="baseline"/>
                <w:lang w:val="en-US" w:eastAsia="zh-CN"/>
              </w:rPr>
            </w:pPr>
            <w:r>
              <w:rPr>
                <w:rFonts w:hint="eastAsia" w:ascii="宋体" w:hAnsi="宋体" w:eastAsia="宋体" w:cs="宋体"/>
                <w:b w:val="0"/>
                <w:color w:val="auto"/>
                <w:sz w:val="24"/>
                <w:szCs w:val="24"/>
                <w:vertAlign w:val="baseline"/>
                <w:lang w:val="en-US" w:eastAsia="zh-CN"/>
              </w:rPr>
              <w:t>54</w:t>
            </w:r>
          </w:p>
        </w:tc>
        <w:tc>
          <w:tcPr>
            <w:tcW w:w="1041" w:type="dxa"/>
            <w:vMerge w:val="continue"/>
            <w:noWrap w:val="0"/>
            <w:vAlign w:val="center"/>
          </w:tcPr>
          <w:p w14:paraId="3284E457">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sz w:val="24"/>
                <w:szCs w:val="24"/>
                <w:vertAlign w:val="baseline"/>
              </w:rPr>
            </w:pPr>
          </w:p>
        </w:tc>
        <w:tc>
          <w:tcPr>
            <w:tcW w:w="788" w:type="dxa"/>
            <w:noWrap w:val="0"/>
            <w:vAlign w:val="center"/>
          </w:tcPr>
          <w:p w14:paraId="6E475883">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9</w:t>
            </w:r>
          </w:p>
        </w:tc>
        <w:tc>
          <w:tcPr>
            <w:tcW w:w="2018" w:type="dxa"/>
            <w:noWrap w:val="0"/>
            <w:vAlign w:val="center"/>
          </w:tcPr>
          <w:p w14:paraId="7CABE14A">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kern w:val="2"/>
                <w:sz w:val="24"/>
                <w:szCs w:val="24"/>
                <w:vertAlign w:val="baseline"/>
                <w:lang w:val="en-US" w:eastAsia="zh-CN" w:bidi="ar-SA"/>
              </w:rPr>
            </w:pPr>
            <w:r>
              <w:rPr>
                <w:rFonts w:hint="eastAsia" w:ascii="宋体" w:hAnsi="宋体" w:eastAsia="宋体" w:cs="宋体"/>
                <w:color w:val="auto"/>
                <w:sz w:val="24"/>
                <w:szCs w:val="24"/>
              </w:rPr>
              <w:t>扶风四小</w:t>
            </w:r>
          </w:p>
        </w:tc>
        <w:tc>
          <w:tcPr>
            <w:tcW w:w="1247" w:type="dxa"/>
            <w:noWrap w:val="0"/>
            <w:vAlign w:val="center"/>
          </w:tcPr>
          <w:p w14:paraId="2909DD09">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kern w:val="2"/>
                <w:sz w:val="24"/>
                <w:szCs w:val="24"/>
                <w:vertAlign w:val="baseline"/>
                <w:lang w:val="en-US" w:eastAsia="zh-CN" w:bidi="ar-SA"/>
              </w:rPr>
            </w:pPr>
            <w:r>
              <w:rPr>
                <w:rFonts w:hint="eastAsia" w:ascii="宋体" w:hAnsi="宋体" w:eastAsia="宋体" w:cs="宋体"/>
                <w:b w:val="0"/>
                <w:color w:val="auto"/>
                <w:sz w:val="24"/>
                <w:szCs w:val="24"/>
                <w:vertAlign w:val="baseline"/>
                <w:lang w:val="en-US" w:eastAsia="zh-CN"/>
              </w:rPr>
              <w:t>200</w:t>
            </w:r>
          </w:p>
        </w:tc>
      </w:tr>
      <w:tr w14:paraId="1C3D3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999" w:type="dxa"/>
            <w:vMerge w:val="continue"/>
            <w:noWrap w:val="0"/>
            <w:vAlign w:val="center"/>
          </w:tcPr>
          <w:p w14:paraId="646CB5C1">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sz w:val="24"/>
                <w:szCs w:val="24"/>
                <w:vertAlign w:val="baseline"/>
              </w:rPr>
            </w:pPr>
          </w:p>
        </w:tc>
        <w:tc>
          <w:tcPr>
            <w:tcW w:w="841" w:type="dxa"/>
            <w:noWrap w:val="0"/>
            <w:vAlign w:val="center"/>
          </w:tcPr>
          <w:p w14:paraId="389FBC1E">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w:t>
            </w:r>
          </w:p>
        </w:tc>
        <w:tc>
          <w:tcPr>
            <w:tcW w:w="1808" w:type="dxa"/>
            <w:noWrap w:val="0"/>
            <w:vAlign w:val="center"/>
          </w:tcPr>
          <w:p w14:paraId="20468146">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天池寺小学</w:t>
            </w:r>
          </w:p>
        </w:tc>
        <w:tc>
          <w:tcPr>
            <w:tcW w:w="1221" w:type="dxa"/>
            <w:noWrap w:val="0"/>
            <w:vAlign w:val="center"/>
          </w:tcPr>
          <w:p w14:paraId="7D731D2F">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sz w:val="24"/>
                <w:szCs w:val="24"/>
                <w:vertAlign w:val="baseline"/>
                <w:lang w:val="en-US" w:eastAsia="zh-CN"/>
              </w:rPr>
            </w:pPr>
            <w:r>
              <w:rPr>
                <w:rFonts w:hint="eastAsia" w:ascii="宋体" w:hAnsi="宋体" w:eastAsia="宋体" w:cs="宋体"/>
                <w:b w:val="0"/>
                <w:color w:val="auto"/>
                <w:sz w:val="24"/>
                <w:szCs w:val="24"/>
                <w:vertAlign w:val="baseline"/>
                <w:lang w:val="en-US" w:eastAsia="zh-CN"/>
              </w:rPr>
              <w:t>82</w:t>
            </w:r>
          </w:p>
        </w:tc>
        <w:tc>
          <w:tcPr>
            <w:tcW w:w="1041" w:type="dxa"/>
            <w:vMerge w:val="continue"/>
            <w:noWrap w:val="0"/>
            <w:vAlign w:val="center"/>
          </w:tcPr>
          <w:p w14:paraId="481552DE">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sz w:val="24"/>
                <w:szCs w:val="24"/>
                <w:vertAlign w:val="baseline"/>
              </w:rPr>
            </w:pPr>
          </w:p>
        </w:tc>
        <w:tc>
          <w:tcPr>
            <w:tcW w:w="788" w:type="dxa"/>
            <w:noWrap w:val="0"/>
            <w:vAlign w:val="center"/>
          </w:tcPr>
          <w:p w14:paraId="5ADD1D8C">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10</w:t>
            </w:r>
          </w:p>
        </w:tc>
        <w:tc>
          <w:tcPr>
            <w:tcW w:w="2018" w:type="dxa"/>
            <w:noWrap w:val="0"/>
            <w:vAlign w:val="center"/>
          </w:tcPr>
          <w:p w14:paraId="68EC7174">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sz w:val="24"/>
                <w:szCs w:val="24"/>
                <w:vertAlign w:val="baseline"/>
              </w:rPr>
            </w:pPr>
          </w:p>
        </w:tc>
        <w:tc>
          <w:tcPr>
            <w:tcW w:w="1247" w:type="dxa"/>
            <w:noWrap w:val="0"/>
            <w:vAlign w:val="center"/>
          </w:tcPr>
          <w:p w14:paraId="42E5DDAB">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sz w:val="24"/>
                <w:szCs w:val="24"/>
                <w:vertAlign w:val="baseline"/>
                <w:lang w:val="en-US" w:eastAsia="zh-CN"/>
              </w:rPr>
            </w:pPr>
          </w:p>
        </w:tc>
      </w:tr>
      <w:tr w14:paraId="7094A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999" w:type="dxa"/>
            <w:vMerge w:val="continue"/>
            <w:noWrap w:val="0"/>
            <w:vAlign w:val="center"/>
          </w:tcPr>
          <w:p w14:paraId="5B6F46A8">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sz w:val="24"/>
                <w:szCs w:val="24"/>
                <w:vertAlign w:val="baseline"/>
              </w:rPr>
            </w:pPr>
          </w:p>
        </w:tc>
        <w:tc>
          <w:tcPr>
            <w:tcW w:w="841" w:type="dxa"/>
            <w:noWrap w:val="0"/>
            <w:vAlign w:val="center"/>
          </w:tcPr>
          <w:p w14:paraId="02478F56">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11</w:t>
            </w:r>
          </w:p>
        </w:tc>
        <w:tc>
          <w:tcPr>
            <w:tcW w:w="1808" w:type="dxa"/>
            <w:noWrap w:val="0"/>
            <w:vAlign w:val="center"/>
          </w:tcPr>
          <w:p w14:paraId="542120C5">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龙渠寺小学</w:t>
            </w:r>
          </w:p>
        </w:tc>
        <w:tc>
          <w:tcPr>
            <w:tcW w:w="1221" w:type="dxa"/>
            <w:noWrap w:val="0"/>
            <w:vAlign w:val="center"/>
          </w:tcPr>
          <w:p w14:paraId="19BDB86B">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sz w:val="24"/>
                <w:szCs w:val="24"/>
                <w:vertAlign w:val="baseline"/>
                <w:lang w:val="en-US" w:eastAsia="zh-CN"/>
              </w:rPr>
            </w:pPr>
            <w:r>
              <w:rPr>
                <w:rFonts w:hint="eastAsia" w:ascii="宋体" w:hAnsi="宋体" w:eastAsia="宋体" w:cs="宋体"/>
                <w:b w:val="0"/>
                <w:color w:val="auto"/>
                <w:sz w:val="24"/>
                <w:szCs w:val="24"/>
                <w:vertAlign w:val="baseline"/>
                <w:lang w:val="en-US" w:eastAsia="zh-CN"/>
              </w:rPr>
              <w:t>21</w:t>
            </w:r>
          </w:p>
        </w:tc>
        <w:tc>
          <w:tcPr>
            <w:tcW w:w="1041" w:type="dxa"/>
            <w:vMerge w:val="continue"/>
            <w:noWrap w:val="0"/>
            <w:vAlign w:val="center"/>
          </w:tcPr>
          <w:p w14:paraId="7F87E249">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sz w:val="24"/>
                <w:szCs w:val="24"/>
                <w:vertAlign w:val="baseline"/>
              </w:rPr>
            </w:pPr>
          </w:p>
        </w:tc>
        <w:tc>
          <w:tcPr>
            <w:tcW w:w="788" w:type="dxa"/>
            <w:noWrap w:val="0"/>
            <w:vAlign w:val="center"/>
          </w:tcPr>
          <w:p w14:paraId="12EE6A94">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11</w:t>
            </w:r>
          </w:p>
        </w:tc>
        <w:tc>
          <w:tcPr>
            <w:tcW w:w="2018" w:type="dxa"/>
            <w:noWrap w:val="0"/>
            <w:vAlign w:val="center"/>
          </w:tcPr>
          <w:p w14:paraId="3FE70A5D">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sz w:val="24"/>
                <w:szCs w:val="24"/>
                <w:vertAlign w:val="baseline"/>
              </w:rPr>
            </w:pPr>
          </w:p>
        </w:tc>
        <w:tc>
          <w:tcPr>
            <w:tcW w:w="1247" w:type="dxa"/>
            <w:noWrap w:val="0"/>
            <w:vAlign w:val="center"/>
          </w:tcPr>
          <w:p w14:paraId="6313E307">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sz w:val="24"/>
                <w:szCs w:val="24"/>
                <w:vertAlign w:val="baseline"/>
                <w:lang w:val="en-US" w:eastAsia="zh-CN"/>
              </w:rPr>
            </w:pPr>
          </w:p>
        </w:tc>
      </w:tr>
      <w:tr w14:paraId="08217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999" w:type="dxa"/>
            <w:vMerge w:val="continue"/>
            <w:noWrap w:val="0"/>
            <w:vAlign w:val="center"/>
          </w:tcPr>
          <w:p w14:paraId="6D730F30">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sz w:val="24"/>
                <w:szCs w:val="24"/>
                <w:vertAlign w:val="baseline"/>
              </w:rPr>
            </w:pPr>
          </w:p>
        </w:tc>
        <w:tc>
          <w:tcPr>
            <w:tcW w:w="841" w:type="dxa"/>
            <w:noWrap w:val="0"/>
            <w:vAlign w:val="center"/>
          </w:tcPr>
          <w:p w14:paraId="5BD58FAD">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12</w:t>
            </w:r>
          </w:p>
        </w:tc>
        <w:tc>
          <w:tcPr>
            <w:tcW w:w="1808" w:type="dxa"/>
            <w:noWrap w:val="0"/>
            <w:vAlign w:val="center"/>
          </w:tcPr>
          <w:p w14:paraId="6A2F7483">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lang w:eastAsia="zh-CN"/>
              </w:rPr>
              <w:t>车站小学</w:t>
            </w:r>
          </w:p>
        </w:tc>
        <w:tc>
          <w:tcPr>
            <w:tcW w:w="1221" w:type="dxa"/>
            <w:noWrap w:val="0"/>
            <w:vAlign w:val="center"/>
          </w:tcPr>
          <w:p w14:paraId="2BA93CBC">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sz w:val="24"/>
                <w:szCs w:val="24"/>
                <w:vertAlign w:val="baseline"/>
                <w:lang w:val="en-US" w:eastAsia="zh-CN"/>
              </w:rPr>
            </w:pPr>
            <w:r>
              <w:rPr>
                <w:rFonts w:hint="eastAsia" w:ascii="宋体" w:hAnsi="宋体" w:eastAsia="宋体" w:cs="宋体"/>
                <w:b w:val="0"/>
                <w:color w:val="auto"/>
                <w:sz w:val="24"/>
                <w:szCs w:val="24"/>
                <w:vertAlign w:val="baseline"/>
                <w:lang w:val="en-US" w:eastAsia="zh-CN"/>
              </w:rPr>
              <w:t>492</w:t>
            </w:r>
          </w:p>
        </w:tc>
        <w:tc>
          <w:tcPr>
            <w:tcW w:w="1041" w:type="dxa"/>
            <w:vMerge w:val="continue"/>
            <w:noWrap w:val="0"/>
            <w:vAlign w:val="center"/>
          </w:tcPr>
          <w:p w14:paraId="68AF4AFA">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sz w:val="24"/>
                <w:szCs w:val="24"/>
                <w:vertAlign w:val="baseline"/>
              </w:rPr>
            </w:pPr>
          </w:p>
        </w:tc>
        <w:tc>
          <w:tcPr>
            <w:tcW w:w="788" w:type="dxa"/>
            <w:noWrap w:val="0"/>
            <w:vAlign w:val="center"/>
          </w:tcPr>
          <w:p w14:paraId="4EEECF9B">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12</w:t>
            </w:r>
          </w:p>
        </w:tc>
        <w:tc>
          <w:tcPr>
            <w:tcW w:w="2018" w:type="dxa"/>
            <w:noWrap w:val="0"/>
            <w:vAlign w:val="center"/>
          </w:tcPr>
          <w:p w14:paraId="2924EFC2">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sz w:val="24"/>
                <w:szCs w:val="24"/>
                <w:vertAlign w:val="baseline"/>
              </w:rPr>
            </w:pPr>
          </w:p>
        </w:tc>
        <w:tc>
          <w:tcPr>
            <w:tcW w:w="1247" w:type="dxa"/>
            <w:noWrap w:val="0"/>
            <w:vAlign w:val="center"/>
          </w:tcPr>
          <w:p w14:paraId="2F6A070D">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sz w:val="24"/>
                <w:szCs w:val="24"/>
                <w:vertAlign w:val="baseline"/>
                <w:lang w:val="en-US" w:eastAsia="zh-CN"/>
              </w:rPr>
            </w:pPr>
          </w:p>
        </w:tc>
      </w:tr>
      <w:tr w14:paraId="3C025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999" w:type="dxa"/>
            <w:vMerge w:val="continue"/>
            <w:noWrap w:val="0"/>
            <w:vAlign w:val="center"/>
          </w:tcPr>
          <w:p w14:paraId="6F12D37E">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sz w:val="24"/>
                <w:szCs w:val="24"/>
                <w:vertAlign w:val="baseline"/>
              </w:rPr>
            </w:pPr>
          </w:p>
        </w:tc>
        <w:tc>
          <w:tcPr>
            <w:tcW w:w="841" w:type="dxa"/>
            <w:noWrap w:val="0"/>
            <w:vAlign w:val="center"/>
          </w:tcPr>
          <w:p w14:paraId="74B47812">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13</w:t>
            </w:r>
          </w:p>
        </w:tc>
        <w:tc>
          <w:tcPr>
            <w:tcW w:w="1808" w:type="dxa"/>
            <w:noWrap w:val="0"/>
            <w:vAlign w:val="center"/>
          </w:tcPr>
          <w:p w14:paraId="776E9CC2">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lang w:eastAsia="zh-CN"/>
              </w:rPr>
              <w:t>牛仓小学</w:t>
            </w:r>
          </w:p>
        </w:tc>
        <w:tc>
          <w:tcPr>
            <w:tcW w:w="1221" w:type="dxa"/>
            <w:noWrap w:val="0"/>
            <w:vAlign w:val="center"/>
          </w:tcPr>
          <w:p w14:paraId="4C091BAD">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sz w:val="24"/>
                <w:szCs w:val="24"/>
                <w:vertAlign w:val="baseline"/>
                <w:lang w:val="en-US" w:eastAsia="zh-CN"/>
              </w:rPr>
            </w:pPr>
            <w:r>
              <w:rPr>
                <w:rFonts w:hint="eastAsia" w:ascii="宋体" w:hAnsi="宋体" w:eastAsia="宋体" w:cs="宋体"/>
                <w:b w:val="0"/>
                <w:color w:val="auto"/>
                <w:sz w:val="24"/>
                <w:szCs w:val="24"/>
                <w:vertAlign w:val="baseline"/>
                <w:lang w:val="en-US" w:eastAsia="zh-CN"/>
              </w:rPr>
              <w:t>27</w:t>
            </w:r>
          </w:p>
        </w:tc>
        <w:tc>
          <w:tcPr>
            <w:tcW w:w="1041" w:type="dxa"/>
            <w:vMerge w:val="continue"/>
            <w:noWrap w:val="0"/>
            <w:vAlign w:val="center"/>
          </w:tcPr>
          <w:p w14:paraId="55C41DB4">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sz w:val="24"/>
                <w:szCs w:val="24"/>
                <w:vertAlign w:val="baseline"/>
              </w:rPr>
            </w:pPr>
          </w:p>
        </w:tc>
        <w:tc>
          <w:tcPr>
            <w:tcW w:w="788" w:type="dxa"/>
            <w:noWrap w:val="0"/>
            <w:vAlign w:val="center"/>
          </w:tcPr>
          <w:p w14:paraId="60109E3B">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13</w:t>
            </w:r>
          </w:p>
        </w:tc>
        <w:tc>
          <w:tcPr>
            <w:tcW w:w="2018" w:type="dxa"/>
            <w:noWrap w:val="0"/>
            <w:vAlign w:val="center"/>
          </w:tcPr>
          <w:p w14:paraId="44671B79">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sz w:val="24"/>
                <w:szCs w:val="24"/>
                <w:vertAlign w:val="baseline"/>
              </w:rPr>
            </w:pPr>
          </w:p>
        </w:tc>
        <w:tc>
          <w:tcPr>
            <w:tcW w:w="1247" w:type="dxa"/>
            <w:noWrap w:val="0"/>
            <w:vAlign w:val="center"/>
          </w:tcPr>
          <w:p w14:paraId="34EC0665">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sz w:val="24"/>
                <w:szCs w:val="24"/>
                <w:vertAlign w:val="baseline"/>
              </w:rPr>
            </w:pPr>
          </w:p>
        </w:tc>
      </w:tr>
      <w:tr w14:paraId="7402A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3648" w:type="dxa"/>
            <w:gridSpan w:val="3"/>
            <w:noWrap w:val="0"/>
            <w:vAlign w:val="center"/>
          </w:tcPr>
          <w:p w14:paraId="4DEB1BCE">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小计</w:t>
            </w:r>
          </w:p>
        </w:tc>
        <w:tc>
          <w:tcPr>
            <w:tcW w:w="1221" w:type="dxa"/>
            <w:noWrap w:val="0"/>
            <w:vAlign w:val="center"/>
          </w:tcPr>
          <w:p w14:paraId="07330340">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3167</w:t>
            </w:r>
          </w:p>
        </w:tc>
        <w:tc>
          <w:tcPr>
            <w:tcW w:w="3847" w:type="dxa"/>
            <w:gridSpan w:val="3"/>
            <w:noWrap w:val="0"/>
            <w:vAlign w:val="center"/>
          </w:tcPr>
          <w:p w14:paraId="32F3B9BC">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小计</w:t>
            </w:r>
          </w:p>
        </w:tc>
        <w:tc>
          <w:tcPr>
            <w:tcW w:w="1247" w:type="dxa"/>
            <w:noWrap w:val="0"/>
            <w:vAlign w:val="center"/>
          </w:tcPr>
          <w:p w14:paraId="7DDDB999">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sz w:val="24"/>
                <w:szCs w:val="24"/>
                <w:vertAlign w:val="baseline"/>
                <w:lang w:val="en-US" w:eastAsia="zh-CN"/>
              </w:rPr>
            </w:pPr>
            <w:r>
              <w:rPr>
                <w:rFonts w:hint="eastAsia" w:ascii="宋体" w:hAnsi="宋体" w:eastAsia="宋体" w:cs="宋体"/>
                <w:b w:val="0"/>
                <w:color w:val="auto"/>
                <w:sz w:val="24"/>
                <w:szCs w:val="24"/>
                <w:vertAlign w:val="baseline"/>
                <w:lang w:val="en-US" w:eastAsia="zh-CN"/>
              </w:rPr>
              <w:t>1899</w:t>
            </w:r>
          </w:p>
        </w:tc>
      </w:tr>
      <w:tr w14:paraId="72552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999" w:type="dxa"/>
            <w:noWrap w:val="0"/>
            <w:vAlign w:val="center"/>
          </w:tcPr>
          <w:p w14:paraId="02985DFD">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eastAsia="zh-CN"/>
              </w:rPr>
              <w:t>标段</w:t>
            </w:r>
          </w:p>
        </w:tc>
        <w:tc>
          <w:tcPr>
            <w:tcW w:w="841" w:type="dxa"/>
            <w:noWrap w:val="0"/>
            <w:vAlign w:val="center"/>
          </w:tcPr>
          <w:p w14:paraId="2E17B11A">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eastAsia="zh-CN"/>
              </w:rPr>
              <w:t>序号</w:t>
            </w:r>
          </w:p>
        </w:tc>
        <w:tc>
          <w:tcPr>
            <w:tcW w:w="1808" w:type="dxa"/>
            <w:noWrap w:val="0"/>
            <w:vAlign w:val="center"/>
          </w:tcPr>
          <w:p w14:paraId="1C175260">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eastAsia="zh-CN"/>
              </w:rPr>
              <w:t>学校</w:t>
            </w:r>
          </w:p>
        </w:tc>
        <w:tc>
          <w:tcPr>
            <w:tcW w:w="1221" w:type="dxa"/>
            <w:noWrap w:val="0"/>
            <w:vAlign w:val="center"/>
          </w:tcPr>
          <w:p w14:paraId="4F722BBC">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eastAsia="zh-CN"/>
              </w:rPr>
              <w:t>人数</w:t>
            </w:r>
          </w:p>
        </w:tc>
        <w:tc>
          <w:tcPr>
            <w:tcW w:w="1041" w:type="dxa"/>
            <w:noWrap w:val="0"/>
            <w:vAlign w:val="center"/>
          </w:tcPr>
          <w:p w14:paraId="35EA5ADF">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eastAsia="zh-CN"/>
              </w:rPr>
              <w:t>标段</w:t>
            </w:r>
          </w:p>
        </w:tc>
        <w:tc>
          <w:tcPr>
            <w:tcW w:w="788" w:type="dxa"/>
            <w:noWrap w:val="0"/>
            <w:vAlign w:val="center"/>
          </w:tcPr>
          <w:p w14:paraId="1B57F4BC">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eastAsia="zh-CN"/>
              </w:rPr>
              <w:t>序号</w:t>
            </w:r>
          </w:p>
        </w:tc>
        <w:tc>
          <w:tcPr>
            <w:tcW w:w="2018" w:type="dxa"/>
            <w:noWrap w:val="0"/>
            <w:vAlign w:val="center"/>
          </w:tcPr>
          <w:p w14:paraId="0C91D65D">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eastAsia="zh-CN"/>
              </w:rPr>
              <w:t>学校</w:t>
            </w:r>
          </w:p>
        </w:tc>
        <w:tc>
          <w:tcPr>
            <w:tcW w:w="1247" w:type="dxa"/>
            <w:noWrap w:val="0"/>
            <w:vAlign w:val="center"/>
          </w:tcPr>
          <w:p w14:paraId="5C4FA556">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eastAsia="zh-CN"/>
              </w:rPr>
              <w:t>人数</w:t>
            </w:r>
          </w:p>
        </w:tc>
      </w:tr>
      <w:tr w14:paraId="34FDD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999" w:type="dxa"/>
            <w:vMerge w:val="restart"/>
            <w:noWrap w:val="0"/>
            <w:vAlign w:val="center"/>
          </w:tcPr>
          <w:p w14:paraId="286082CB">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三</w:t>
            </w:r>
            <w:r>
              <w:rPr>
                <w:rFonts w:hint="eastAsia" w:ascii="宋体" w:hAnsi="宋体" w:cs="宋体"/>
                <w:color w:val="auto"/>
                <w:sz w:val="24"/>
                <w:szCs w:val="24"/>
                <w:lang w:val="en-US" w:eastAsia="zh-CN"/>
              </w:rPr>
              <w:t>标段</w:t>
            </w:r>
          </w:p>
        </w:tc>
        <w:tc>
          <w:tcPr>
            <w:tcW w:w="841" w:type="dxa"/>
            <w:noWrap w:val="0"/>
            <w:vAlign w:val="center"/>
          </w:tcPr>
          <w:p w14:paraId="52E9EDDC">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1</w:t>
            </w:r>
          </w:p>
        </w:tc>
        <w:tc>
          <w:tcPr>
            <w:tcW w:w="1808" w:type="dxa"/>
            <w:noWrap w:val="0"/>
            <w:vAlign w:val="center"/>
          </w:tcPr>
          <w:p w14:paraId="1B032203">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kern w:val="2"/>
                <w:sz w:val="24"/>
                <w:szCs w:val="24"/>
                <w:vertAlign w:val="baseline"/>
                <w:lang w:val="en-US" w:eastAsia="zh-CN" w:bidi="ar-SA"/>
              </w:rPr>
            </w:pPr>
            <w:r>
              <w:rPr>
                <w:rFonts w:hint="eastAsia" w:ascii="宋体" w:hAnsi="宋体" w:eastAsia="宋体" w:cs="宋体"/>
                <w:color w:val="auto"/>
                <w:sz w:val="24"/>
                <w:szCs w:val="24"/>
              </w:rPr>
              <w:t>新店初中</w:t>
            </w:r>
          </w:p>
        </w:tc>
        <w:tc>
          <w:tcPr>
            <w:tcW w:w="1221" w:type="dxa"/>
            <w:noWrap w:val="0"/>
            <w:vAlign w:val="center"/>
          </w:tcPr>
          <w:p w14:paraId="3B0E2FC2">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kern w:val="2"/>
                <w:sz w:val="24"/>
                <w:szCs w:val="24"/>
                <w:vertAlign w:val="baseline"/>
                <w:lang w:val="en-US" w:eastAsia="zh-CN" w:bidi="ar-SA"/>
              </w:rPr>
            </w:pPr>
            <w:r>
              <w:rPr>
                <w:rFonts w:hint="eastAsia" w:ascii="宋体" w:hAnsi="宋体" w:eastAsia="宋体" w:cs="宋体"/>
                <w:b w:val="0"/>
                <w:color w:val="auto"/>
                <w:sz w:val="24"/>
                <w:szCs w:val="24"/>
                <w:vertAlign w:val="baseline"/>
                <w:lang w:val="en-US" w:eastAsia="zh-CN"/>
              </w:rPr>
              <w:t>54</w:t>
            </w:r>
          </w:p>
        </w:tc>
        <w:tc>
          <w:tcPr>
            <w:tcW w:w="1041" w:type="dxa"/>
            <w:vMerge w:val="restart"/>
            <w:noWrap w:val="0"/>
            <w:vAlign w:val="center"/>
          </w:tcPr>
          <w:p w14:paraId="45ED9089">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四</w:t>
            </w:r>
            <w:r>
              <w:rPr>
                <w:rFonts w:hint="eastAsia" w:ascii="宋体" w:hAnsi="宋体" w:cs="宋体"/>
                <w:color w:val="auto"/>
                <w:sz w:val="24"/>
                <w:szCs w:val="24"/>
                <w:lang w:val="en-US" w:eastAsia="zh-CN"/>
              </w:rPr>
              <w:t>标段</w:t>
            </w:r>
          </w:p>
        </w:tc>
        <w:tc>
          <w:tcPr>
            <w:tcW w:w="788" w:type="dxa"/>
            <w:noWrap w:val="0"/>
            <w:vAlign w:val="center"/>
          </w:tcPr>
          <w:p w14:paraId="51F3577A">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1</w:t>
            </w:r>
          </w:p>
        </w:tc>
        <w:tc>
          <w:tcPr>
            <w:tcW w:w="2018" w:type="dxa"/>
            <w:noWrap w:val="0"/>
            <w:vAlign w:val="center"/>
          </w:tcPr>
          <w:p w14:paraId="15C092BF">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eastAsia="zh-CN"/>
              </w:rPr>
              <w:t>召公初中</w:t>
            </w:r>
          </w:p>
        </w:tc>
        <w:tc>
          <w:tcPr>
            <w:tcW w:w="1247" w:type="dxa"/>
            <w:noWrap w:val="0"/>
            <w:vAlign w:val="center"/>
          </w:tcPr>
          <w:p w14:paraId="2B7656B5">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kern w:val="2"/>
                <w:sz w:val="24"/>
                <w:szCs w:val="24"/>
                <w:vertAlign w:val="baseline"/>
                <w:lang w:val="en-US" w:eastAsia="zh-CN" w:bidi="ar-SA"/>
              </w:rPr>
            </w:pPr>
            <w:r>
              <w:rPr>
                <w:rFonts w:hint="eastAsia" w:ascii="宋体" w:hAnsi="宋体" w:eastAsia="宋体" w:cs="宋体"/>
                <w:b w:val="0"/>
                <w:color w:val="auto"/>
                <w:sz w:val="24"/>
                <w:szCs w:val="24"/>
                <w:vertAlign w:val="baseline"/>
                <w:lang w:val="en-US" w:eastAsia="zh-CN"/>
              </w:rPr>
              <w:t>143</w:t>
            </w:r>
          </w:p>
        </w:tc>
      </w:tr>
      <w:tr w14:paraId="7653D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999" w:type="dxa"/>
            <w:vMerge w:val="continue"/>
            <w:noWrap w:val="0"/>
            <w:vAlign w:val="center"/>
          </w:tcPr>
          <w:p w14:paraId="0A442EC6">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sz w:val="24"/>
                <w:szCs w:val="24"/>
                <w:lang w:eastAsia="zh-CN"/>
              </w:rPr>
            </w:pPr>
          </w:p>
        </w:tc>
        <w:tc>
          <w:tcPr>
            <w:tcW w:w="841" w:type="dxa"/>
            <w:noWrap w:val="0"/>
            <w:vAlign w:val="center"/>
          </w:tcPr>
          <w:p w14:paraId="3EA7D659">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2</w:t>
            </w:r>
          </w:p>
        </w:tc>
        <w:tc>
          <w:tcPr>
            <w:tcW w:w="1808" w:type="dxa"/>
            <w:noWrap w:val="0"/>
            <w:vAlign w:val="center"/>
          </w:tcPr>
          <w:p w14:paraId="49FD3848">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kern w:val="2"/>
                <w:sz w:val="24"/>
                <w:szCs w:val="24"/>
                <w:vertAlign w:val="baseline"/>
                <w:lang w:val="en-US" w:eastAsia="zh-CN" w:bidi="ar-SA"/>
              </w:rPr>
            </w:pPr>
            <w:r>
              <w:rPr>
                <w:rFonts w:hint="eastAsia" w:ascii="宋体" w:hAnsi="宋体" w:eastAsia="宋体" w:cs="宋体"/>
                <w:color w:val="auto"/>
                <w:sz w:val="24"/>
                <w:szCs w:val="24"/>
              </w:rPr>
              <w:t>新店小学</w:t>
            </w:r>
          </w:p>
        </w:tc>
        <w:tc>
          <w:tcPr>
            <w:tcW w:w="1221" w:type="dxa"/>
            <w:noWrap w:val="0"/>
            <w:vAlign w:val="center"/>
          </w:tcPr>
          <w:p w14:paraId="6FFB0251">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kern w:val="2"/>
                <w:sz w:val="24"/>
                <w:szCs w:val="24"/>
                <w:vertAlign w:val="baseline"/>
                <w:lang w:val="en-US" w:eastAsia="zh-CN" w:bidi="ar-SA"/>
              </w:rPr>
            </w:pPr>
            <w:r>
              <w:rPr>
                <w:rFonts w:hint="eastAsia" w:ascii="宋体" w:hAnsi="宋体" w:eastAsia="宋体" w:cs="宋体"/>
                <w:b w:val="0"/>
                <w:color w:val="auto"/>
                <w:sz w:val="24"/>
                <w:szCs w:val="24"/>
                <w:vertAlign w:val="baseline"/>
                <w:lang w:val="en-US" w:eastAsia="zh-CN"/>
              </w:rPr>
              <w:t>107</w:t>
            </w:r>
          </w:p>
        </w:tc>
        <w:tc>
          <w:tcPr>
            <w:tcW w:w="1041" w:type="dxa"/>
            <w:vMerge w:val="continue"/>
            <w:noWrap w:val="0"/>
            <w:vAlign w:val="center"/>
          </w:tcPr>
          <w:p w14:paraId="13C97BC4">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sz w:val="24"/>
                <w:szCs w:val="24"/>
                <w:lang w:eastAsia="zh-CN"/>
              </w:rPr>
            </w:pPr>
          </w:p>
        </w:tc>
        <w:tc>
          <w:tcPr>
            <w:tcW w:w="788" w:type="dxa"/>
            <w:noWrap w:val="0"/>
            <w:vAlign w:val="center"/>
          </w:tcPr>
          <w:p w14:paraId="1347BCBA">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2</w:t>
            </w:r>
          </w:p>
        </w:tc>
        <w:tc>
          <w:tcPr>
            <w:tcW w:w="2018" w:type="dxa"/>
            <w:noWrap w:val="0"/>
            <w:vAlign w:val="center"/>
          </w:tcPr>
          <w:p w14:paraId="6D2401FD">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召公中心小学</w:t>
            </w:r>
          </w:p>
        </w:tc>
        <w:tc>
          <w:tcPr>
            <w:tcW w:w="1247" w:type="dxa"/>
            <w:noWrap w:val="0"/>
            <w:vAlign w:val="center"/>
          </w:tcPr>
          <w:p w14:paraId="0EF52B8E">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kern w:val="2"/>
                <w:sz w:val="24"/>
                <w:szCs w:val="24"/>
                <w:vertAlign w:val="baseline"/>
                <w:lang w:val="en-US" w:eastAsia="zh-CN" w:bidi="ar-SA"/>
              </w:rPr>
            </w:pPr>
            <w:r>
              <w:rPr>
                <w:rFonts w:hint="eastAsia" w:ascii="宋体" w:hAnsi="宋体" w:eastAsia="宋体" w:cs="宋体"/>
                <w:b w:val="0"/>
                <w:color w:val="auto"/>
                <w:sz w:val="24"/>
                <w:szCs w:val="24"/>
                <w:vertAlign w:val="baseline"/>
                <w:lang w:val="en-US" w:eastAsia="zh-CN"/>
              </w:rPr>
              <w:t>195</w:t>
            </w:r>
          </w:p>
        </w:tc>
      </w:tr>
      <w:tr w14:paraId="2730F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999" w:type="dxa"/>
            <w:vMerge w:val="continue"/>
            <w:noWrap w:val="0"/>
            <w:vAlign w:val="center"/>
          </w:tcPr>
          <w:p w14:paraId="3C44F4EA">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sz w:val="24"/>
                <w:szCs w:val="24"/>
                <w:lang w:eastAsia="zh-CN"/>
              </w:rPr>
            </w:pPr>
          </w:p>
        </w:tc>
        <w:tc>
          <w:tcPr>
            <w:tcW w:w="841" w:type="dxa"/>
            <w:noWrap w:val="0"/>
            <w:vAlign w:val="center"/>
          </w:tcPr>
          <w:p w14:paraId="52B10C33">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3</w:t>
            </w:r>
          </w:p>
        </w:tc>
        <w:tc>
          <w:tcPr>
            <w:tcW w:w="1808" w:type="dxa"/>
            <w:noWrap w:val="0"/>
            <w:vAlign w:val="center"/>
          </w:tcPr>
          <w:p w14:paraId="30201935">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kern w:val="2"/>
                <w:sz w:val="24"/>
                <w:szCs w:val="24"/>
                <w:vertAlign w:val="baseline"/>
                <w:lang w:val="en-US" w:eastAsia="zh-CN" w:bidi="ar-SA"/>
              </w:rPr>
            </w:pPr>
            <w:r>
              <w:rPr>
                <w:rFonts w:hint="eastAsia" w:ascii="宋体" w:hAnsi="宋体" w:eastAsia="宋体" w:cs="宋体"/>
                <w:color w:val="auto"/>
                <w:sz w:val="24"/>
                <w:szCs w:val="24"/>
              </w:rPr>
              <w:t>赵家小学</w:t>
            </w:r>
          </w:p>
        </w:tc>
        <w:tc>
          <w:tcPr>
            <w:tcW w:w="1221" w:type="dxa"/>
            <w:noWrap w:val="0"/>
            <w:vAlign w:val="center"/>
          </w:tcPr>
          <w:p w14:paraId="5CBB6933">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kern w:val="2"/>
                <w:sz w:val="24"/>
                <w:szCs w:val="24"/>
                <w:vertAlign w:val="baseline"/>
                <w:lang w:val="en-US" w:eastAsia="zh-CN" w:bidi="ar-SA"/>
              </w:rPr>
            </w:pPr>
            <w:r>
              <w:rPr>
                <w:rFonts w:hint="eastAsia" w:ascii="宋体" w:hAnsi="宋体" w:eastAsia="宋体" w:cs="宋体"/>
                <w:b w:val="0"/>
                <w:color w:val="auto"/>
                <w:sz w:val="24"/>
                <w:szCs w:val="24"/>
                <w:vertAlign w:val="baseline"/>
                <w:lang w:val="en-US" w:eastAsia="zh-CN"/>
              </w:rPr>
              <w:t>119</w:t>
            </w:r>
          </w:p>
        </w:tc>
        <w:tc>
          <w:tcPr>
            <w:tcW w:w="1041" w:type="dxa"/>
            <w:vMerge w:val="continue"/>
            <w:noWrap w:val="0"/>
            <w:vAlign w:val="center"/>
          </w:tcPr>
          <w:p w14:paraId="4747F64A">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sz w:val="24"/>
                <w:szCs w:val="24"/>
                <w:lang w:eastAsia="zh-CN"/>
              </w:rPr>
            </w:pPr>
          </w:p>
        </w:tc>
        <w:tc>
          <w:tcPr>
            <w:tcW w:w="788" w:type="dxa"/>
            <w:noWrap w:val="0"/>
            <w:vAlign w:val="center"/>
          </w:tcPr>
          <w:p w14:paraId="35C8549E">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3</w:t>
            </w:r>
          </w:p>
        </w:tc>
        <w:tc>
          <w:tcPr>
            <w:tcW w:w="2018" w:type="dxa"/>
            <w:noWrap w:val="0"/>
            <w:vAlign w:val="center"/>
          </w:tcPr>
          <w:p w14:paraId="1BECA49A">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召首小学</w:t>
            </w:r>
          </w:p>
        </w:tc>
        <w:tc>
          <w:tcPr>
            <w:tcW w:w="1247" w:type="dxa"/>
            <w:noWrap w:val="0"/>
            <w:vAlign w:val="center"/>
          </w:tcPr>
          <w:p w14:paraId="363D19D6">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kern w:val="2"/>
                <w:sz w:val="24"/>
                <w:szCs w:val="24"/>
                <w:vertAlign w:val="baseline"/>
                <w:lang w:val="en-US" w:eastAsia="zh-CN" w:bidi="ar-SA"/>
              </w:rPr>
            </w:pPr>
            <w:r>
              <w:rPr>
                <w:rFonts w:hint="eastAsia" w:ascii="宋体" w:hAnsi="宋体" w:eastAsia="宋体" w:cs="宋体"/>
                <w:b w:val="0"/>
                <w:color w:val="auto"/>
                <w:sz w:val="24"/>
                <w:szCs w:val="24"/>
                <w:vertAlign w:val="baseline"/>
                <w:lang w:val="en-US" w:eastAsia="zh-CN"/>
              </w:rPr>
              <w:t>78</w:t>
            </w:r>
          </w:p>
        </w:tc>
      </w:tr>
      <w:tr w14:paraId="3D2D1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999" w:type="dxa"/>
            <w:vMerge w:val="continue"/>
            <w:noWrap w:val="0"/>
            <w:vAlign w:val="center"/>
          </w:tcPr>
          <w:p w14:paraId="62513DBF">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sz w:val="24"/>
                <w:szCs w:val="24"/>
                <w:lang w:eastAsia="zh-CN"/>
              </w:rPr>
            </w:pPr>
          </w:p>
        </w:tc>
        <w:tc>
          <w:tcPr>
            <w:tcW w:w="841" w:type="dxa"/>
            <w:noWrap w:val="0"/>
            <w:vAlign w:val="center"/>
          </w:tcPr>
          <w:p w14:paraId="02527884">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4</w:t>
            </w:r>
          </w:p>
        </w:tc>
        <w:tc>
          <w:tcPr>
            <w:tcW w:w="1808" w:type="dxa"/>
            <w:noWrap w:val="0"/>
            <w:vAlign w:val="center"/>
          </w:tcPr>
          <w:p w14:paraId="6C3DB6CB">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val="0"/>
                <w:color w:val="auto"/>
                <w:kern w:val="2"/>
                <w:sz w:val="24"/>
                <w:szCs w:val="24"/>
                <w:vertAlign w:val="baseline"/>
                <w:lang w:val="en-US" w:eastAsia="zh-CN" w:bidi="ar-SA"/>
              </w:rPr>
            </w:pPr>
            <w:r>
              <w:rPr>
                <w:rFonts w:hint="eastAsia" w:ascii="宋体" w:hAnsi="宋体" w:eastAsia="宋体" w:cs="宋体"/>
                <w:color w:val="auto"/>
                <w:sz w:val="24"/>
                <w:szCs w:val="24"/>
              </w:rPr>
              <w:t>秦华小学</w:t>
            </w:r>
          </w:p>
        </w:tc>
        <w:tc>
          <w:tcPr>
            <w:tcW w:w="1221" w:type="dxa"/>
            <w:noWrap w:val="0"/>
            <w:vAlign w:val="center"/>
          </w:tcPr>
          <w:p w14:paraId="66978737">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kern w:val="2"/>
                <w:sz w:val="24"/>
                <w:szCs w:val="24"/>
                <w:vertAlign w:val="baseline"/>
                <w:lang w:val="en-US" w:eastAsia="zh-CN" w:bidi="ar-SA"/>
              </w:rPr>
            </w:pPr>
            <w:r>
              <w:rPr>
                <w:rFonts w:hint="eastAsia" w:ascii="宋体" w:hAnsi="宋体" w:eastAsia="宋体" w:cs="宋体"/>
                <w:b w:val="0"/>
                <w:color w:val="auto"/>
                <w:sz w:val="24"/>
                <w:szCs w:val="24"/>
                <w:vertAlign w:val="baseline"/>
                <w:lang w:val="en-US" w:eastAsia="zh-CN"/>
              </w:rPr>
              <w:t>43</w:t>
            </w:r>
          </w:p>
        </w:tc>
        <w:tc>
          <w:tcPr>
            <w:tcW w:w="1041" w:type="dxa"/>
            <w:vMerge w:val="continue"/>
            <w:noWrap w:val="0"/>
            <w:vAlign w:val="center"/>
          </w:tcPr>
          <w:p w14:paraId="5AF33E04">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sz w:val="24"/>
                <w:szCs w:val="24"/>
                <w:lang w:eastAsia="zh-CN"/>
              </w:rPr>
            </w:pPr>
          </w:p>
        </w:tc>
        <w:tc>
          <w:tcPr>
            <w:tcW w:w="788" w:type="dxa"/>
            <w:noWrap w:val="0"/>
            <w:vAlign w:val="center"/>
          </w:tcPr>
          <w:p w14:paraId="293B35C4">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4</w:t>
            </w:r>
          </w:p>
        </w:tc>
        <w:tc>
          <w:tcPr>
            <w:tcW w:w="2018" w:type="dxa"/>
            <w:noWrap w:val="0"/>
            <w:vAlign w:val="center"/>
          </w:tcPr>
          <w:p w14:paraId="110F1827">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杏林初中</w:t>
            </w:r>
          </w:p>
        </w:tc>
        <w:tc>
          <w:tcPr>
            <w:tcW w:w="1247" w:type="dxa"/>
            <w:noWrap w:val="0"/>
            <w:vAlign w:val="center"/>
          </w:tcPr>
          <w:p w14:paraId="1ED732B6">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kern w:val="2"/>
                <w:sz w:val="24"/>
                <w:szCs w:val="24"/>
                <w:vertAlign w:val="baseline"/>
                <w:lang w:val="en-US" w:eastAsia="zh-CN" w:bidi="ar-SA"/>
              </w:rPr>
            </w:pPr>
            <w:r>
              <w:rPr>
                <w:rFonts w:hint="eastAsia" w:ascii="宋体" w:hAnsi="宋体" w:eastAsia="宋体" w:cs="宋体"/>
                <w:b w:val="0"/>
                <w:color w:val="auto"/>
                <w:sz w:val="24"/>
                <w:szCs w:val="24"/>
                <w:vertAlign w:val="baseline"/>
                <w:lang w:val="en-US" w:eastAsia="zh-CN"/>
              </w:rPr>
              <w:t>316</w:t>
            </w:r>
          </w:p>
        </w:tc>
      </w:tr>
      <w:tr w14:paraId="7F623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999" w:type="dxa"/>
            <w:vMerge w:val="continue"/>
            <w:noWrap w:val="0"/>
            <w:vAlign w:val="center"/>
          </w:tcPr>
          <w:p w14:paraId="6C846DEA">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sz w:val="24"/>
                <w:szCs w:val="24"/>
                <w:lang w:eastAsia="zh-CN"/>
              </w:rPr>
            </w:pPr>
          </w:p>
        </w:tc>
        <w:tc>
          <w:tcPr>
            <w:tcW w:w="841" w:type="dxa"/>
            <w:noWrap w:val="0"/>
            <w:vAlign w:val="center"/>
          </w:tcPr>
          <w:p w14:paraId="1E8F666A">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5</w:t>
            </w:r>
          </w:p>
        </w:tc>
        <w:tc>
          <w:tcPr>
            <w:tcW w:w="1808" w:type="dxa"/>
            <w:noWrap w:val="0"/>
            <w:vAlign w:val="center"/>
          </w:tcPr>
          <w:p w14:paraId="550173E8">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kern w:val="2"/>
                <w:sz w:val="24"/>
                <w:szCs w:val="24"/>
                <w:vertAlign w:val="baseline"/>
                <w:lang w:val="en-US" w:eastAsia="zh-CN" w:bidi="ar-SA"/>
              </w:rPr>
            </w:pPr>
            <w:r>
              <w:rPr>
                <w:rFonts w:hint="eastAsia" w:ascii="宋体" w:hAnsi="宋体" w:eastAsia="宋体" w:cs="宋体"/>
                <w:color w:val="auto"/>
                <w:sz w:val="24"/>
                <w:szCs w:val="24"/>
              </w:rPr>
              <w:t>伟思特学校</w:t>
            </w:r>
          </w:p>
        </w:tc>
        <w:tc>
          <w:tcPr>
            <w:tcW w:w="1221" w:type="dxa"/>
            <w:noWrap w:val="0"/>
            <w:vAlign w:val="center"/>
          </w:tcPr>
          <w:p w14:paraId="1FEF111D">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kern w:val="2"/>
                <w:sz w:val="24"/>
                <w:szCs w:val="24"/>
                <w:vertAlign w:val="baseline"/>
                <w:lang w:val="en-US" w:eastAsia="zh-CN" w:bidi="ar-SA"/>
              </w:rPr>
            </w:pPr>
            <w:r>
              <w:rPr>
                <w:rFonts w:hint="eastAsia" w:ascii="宋体" w:hAnsi="宋体" w:eastAsia="宋体" w:cs="宋体"/>
                <w:b w:val="0"/>
                <w:color w:val="auto"/>
                <w:sz w:val="24"/>
                <w:szCs w:val="24"/>
                <w:vertAlign w:val="baseline"/>
                <w:lang w:val="en-US" w:eastAsia="zh-CN"/>
              </w:rPr>
              <w:t>126</w:t>
            </w:r>
          </w:p>
        </w:tc>
        <w:tc>
          <w:tcPr>
            <w:tcW w:w="1041" w:type="dxa"/>
            <w:vMerge w:val="continue"/>
            <w:noWrap w:val="0"/>
            <w:vAlign w:val="center"/>
          </w:tcPr>
          <w:p w14:paraId="1D1CB813">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sz w:val="24"/>
                <w:szCs w:val="24"/>
                <w:lang w:eastAsia="zh-CN"/>
              </w:rPr>
            </w:pPr>
          </w:p>
        </w:tc>
        <w:tc>
          <w:tcPr>
            <w:tcW w:w="788" w:type="dxa"/>
            <w:noWrap w:val="0"/>
            <w:vAlign w:val="center"/>
          </w:tcPr>
          <w:p w14:paraId="3730045D">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5</w:t>
            </w:r>
          </w:p>
        </w:tc>
        <w:tc>
          <w:tcPr>
            <w:tcW w:w="2018" w:type="dxa"/>
            <w:noWrap w:val="0"/>
            <w:vAlign w:val="center"/>
          </w:tcPr>
          <w:p w14:paraId="4FCA89C2">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杏林中心小学</w:t>
            </w:r>
          </w:p>
        </w:tc>
        <w:tc>
          <w:tcPr>
            <w:tcW w:w="1247" w:type="dxa"/>
            <w:noWrap w:val="0"/>
            <w:vAlign w:val="center"/>
          </w:tcPr>
          <w:p w14:paraId="170CA621">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kern w:val="2"/>
                <w:sz w:val="24"/>
                <w:szCs w:val="24"/>
                <w:vertAlign w:val="baseline"/>
                <w:lang w:val="en-US" w:eastAsia="zh-CN" w:bidi="ar-SA"/>
              </w:rPr>
            </w:pPr>
            <w:r>
              <w:rPr>
                <w:rFonts w:hint="eastAsia" w:ascii="宋体" w:hAnsi="宋体" w:eastAsia="宋体" w:cs="宋体"/>
                <w:b w:val="0"/>
                <w:color w:val="auto"/>
                <w:sz w:val="24"/>
                <w:szCs w:val="24"/>
                <w:vertAlign w:val="baseline"/>
                <w:lang w:val="en-US" w:eastAsia="zh-CN"/>
              </w:rPr>
              <w:t>353</w:t>
            </w:r>
          </w:p>
        </w:tc>
      </w:tr>
      <w:tr w14:paraId="520DA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999" w:type="dxa"/>
            <w:vMerge w:val="continue"/>
            <w:noWrap w:val="0"/>
            <w:vAlign w:val="center"/>
          </w:tcPr>
          <w:p w14:paraId="47F61E42">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sz w:val="24"/>
                <w:szCs w:val="24"/>
                <w:lang w:eastAsia="zh-CN"/>
              </w:rPr>
            </w:pPr>
          </w:p>
        </w:tc>
        <w:tc>
          <w:tcPr>
            <w:tcW w:w="841" w:type="dxa"/>
            <w:noWrap w:val="0"/>
            <w:vAlign w:val="center"/>
          </w:tcPr>
          <w:p w14:paraId="7EDB4212">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6</w:t>
            </w:r>
          </w:p>
        </w:tc>
        <w:tc>
          <w:tcPr>
            <w:tcW w:w="1808" w:type="dxa"/>
            <w:noWrap w:val="0"/>
            <w:vAlign w:val="center"/>
          </w:tcPr>
          <w:p w14:paraId="5D21C8F9">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kern w:val="2"/>
                <w:sz w:val="24"/>
                <w:szCs w:val="24"/>
                <w:vertAlign w:val="baseline"/>
                <w:lang w:val="en-US" w:eastAsia="zh-CN" w:bidi="ar-SA"/>
              </w:rPr>
            </w:pPr>
            <w:r>
              <w:rPr>
                <w:rFonts w:hint="eastAsia" w:ascii="宋体" w:hAnsi="宋体" w:eastAsia="宋体" w:cs="宋体"/>
                <w:color w:val="auto"/>
                <w:sz w:val="24"/>
                <w:szCs w:val="24"/>
              </w:rPr>
              <w:t>段家初中</w:t>
            </w:r>
          </w:p>
        </w:tc>
        <w:tc>
          <w:tcPr>
            <w:tcW w:w="1221" w:type="dxa"/>
            <w:noWrap w:val="0"/>
            <w:vAlign w:val="center"/>
          </w:tcPr>
          <w:p w14:paraId="2D6F38A2">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kern w:val="2"/>
                <w:sz w:val="24"/>
                <w:szCs w:val="24"/>
                <w:vertAlign w:val="baseline"/>
                <w:lang w:val="en-US" w:eastAsia="zh-CN" w:bidi="ar-SA"/>
              </w:rPr>
            </w:pPr>
            <w:r>
              <w:rPr>
                <w:rFonts w:hint="eastAsia" w:ascii="宋体" w:hAnsi="宋体" w:eastAsia="宋体" w:cs="宋体"/>
                <w:b w:val="0"/>
                <w:color w:val="auto"/>
                <w:sz w:val="24"/>
                <w:szCs w:val="24"/>
                <w:vertAlign w:val="baseline"/>
                <w:lang w:val="en-US" w:eastAsia="zh-CN"/>
              </w:rPr>
              <w:t>199</w:t>
            </w:r>
          </w:p>
        </w:tc>
        <w:tc>
          <w:tcPr>
            <w:tcW w:w="1041" w:type="dxa"/>
            <w:vMerge w:val="continue"/>
            <w:noWrap w:val="0"/>
            <w:vAlign w:val="center"/>
          </w:tcPr>
          <w:p w14:paraId="6F75C246">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sz w:val="24"/>
                <w:szCs w:val="24"/>
                <w:lang w:eastAsia="zh-CN"/>
              </w:rPr>
            </w:pPr>
          </w:p>
        </w:tc>
        <w:tc>
          <w:tcPr>
            <w:tcW w:w="788" w:type="dxa"/>
            <w:noWrap w:val="0"/>
            <w:vAlign w:val="center"/>
          </w:tcPr>
          <w:p w14:paraId="7EFB04EE">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6</w:t>
            </w:r>
          </w:p>
        </w:tc>
        <w:tc>
          <w:tcPr>
            <w:tcW w:w="2018" w:type="dxa"/>
            <w:noWrap w:val="0"/>
            <w:vAlign w:val="center"/>
          </w:tcPr>
          <w:p w14:paraId="5D11B80F">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天度初中</w:t>
            </w:r>
          </w:p>
        </w:tc>
        <w:tc>
          <w:tcPr>
            <w:tcW w:w="1247" w:type="dxa"/>
            <w:noWrap w:val="0"/>
            <w:vAlign w:val="center"/>
          </w:tcPr>
          <w:p w14:paraId="03AB44B9">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sz w:val="24"/>
                <w:szCs w:val="24"/>
                <w:vertAlign w:val="baseline"/>
                <w:lang w:val="en-US" w:eastAsia="zh-CN"/>
              </w:rPr>
            </w:pPr>
            <w:r>
              <w:rPr>
                <w:rFonts w:hint="eastAsia" w:ascii="宋体" w:hAnsi="宋体" w:eastAsia="宋体" w:cs="宋体"/>
                <w:b w:val="0"/>
                <w:color w:val="auto"/>
                <w:sz w:val="24"/>
                <w:szCs w:val="24"/>
                <w:vertAlign w:val="baseline"/>
                <w:lang w:val="en-US" w:eastAsia="zh-CN"/>
              </w:rPr>
              <w:t>140</w:t>
            </w:r>
          </w:p>
        </w:tc>
      </w:tr>
      <w:tr w14:paraId="3F7EE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999" w:type="dxa"/>
            <w:vMerge w:val="continue"/>
            <w:noWrap w:val="0"/>
            <w:vAlign w:val="center"/>
          </w:tcPr>
          <w:p w14:paraId="26C8967A">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sz w:val="24"/>
                <w:szCs w:val="24"/>
                <w:lang w:eastAsia="zh-CN"/>
              </w:rPr>
            </w:pPr>
          </w:p>
        </w:tc>
        <w:tc>
          <w:tcPr>
            <w:tcW w:w="841" w:type="dxa"/>
            <w:noWrap w:val="0"/>
            <w:vAlign w:val="center"/>
          </w:tcPr>
          <w:p w14:paraId="48D08FA0">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7</w:t>
            </w:r>
          </w:p>
        </w:tc>
        <w:tc>
          <w:tcPr>
            <w:tcW w:w="1808" w:type="dxa"/>
            <w:noWrap w:val="0"/>
            <w:vAlign w:val="center"/>
          </w:tcPr>
          <w:p w14:paraId="3A2275EA">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kern w:val="2"/>
                <w:sz w:val="24"/>
                <w:szCs w:val="24"/>
                <w:vertAlign w:val="baseline"/>
                <w:lang w:val="en-US" w:eastAsia="zh-CN" w:bidi="ar-SA"/>
              </w:rPr>
            </w:pPr>
            <w:r>
              <w:rPr>
                <w:rFonts w:hint="eastAsia" w:ascii="宋体" w:hAnsi="宋体" w:eastAsia="宋体" w:cs="宋体"/>
                <w:color w:val="auto"/>
                <w:sz w:val="24"/>
                <w:szCs w:val="24"/>
              </w:rPr>
              <w:t>段家小学</w:t>
            </w:r>
          </w:p>
        </w:tc>
        <w:tc>
          <w:tcPr>
            <w:tcW w:w="1221" w:type="dxa"/>
            <w:noWrap w:val="0"/>
            <w:vAlign w:val="center"/>
          </w:tcPr>
          <w:p w14:paraId="5E01C61C">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kern w:val="2"/>
                <w:sz w:val="24"/>
                <w:szCs w:val="24"/>
                <w:vertAlign w:val="baseline"/>
                <w:lang w:val="en-US" w:eastAsia="zh-CN" w:bidi="ar-SA"/>
              </w:rPr>
            </w:pPr>
            <w:r>
              <w:rPr>
                <w:rFonts w:hint="eastAsia" w:ascii="宋体" w:hAnsi="宋体" w:eastAsia="宋体" w:cs="宋体"/>
                <w:b w:val="0"/>
                <w:color w:val="auto"/>
                <w:sz w:val="24"/>
                <w:szCs w:val="24"/>
                <w:vertAlign w:val="baseline"/>
                <w:lang w:val="en-US"/>
              </w:rPr>
              <w:t>48</w:t>
            </w:r>
          </w:p>
        </w:tc>
        <w:tc>
          <w:tcPr>
            <w:tcW w:w="1041" w:type="dxa"/>
            <w:vMerge w:val="continue"/>
            <w:noWrap w:val="0"/>
            <w:vAlign w:val="center"/>
          </w:tcPr>
          <w:p w14:paraId="5AAD6E2B">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sz w:val="24"/>
                <w:szCs w:val="24"/>
                <w:lang w:eastAsia="zh-CN"/>
              </w:rPr>
            </w:pPr>
          </w:p>
        </w:tc>
        <w:tc>
          <w:tcPr>
            <w:tcW w:w="788" w:type="dxa"/>
            <w:noWrap w:val="0"/>
            <w:vAlign w:val="center"/>
          </w:tcPr>
          <w:p w14:paraId="15B6398E">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7</w:t>
            </w:r>
          </w:p>
        </w:tc>
        <w:tc>
          <w:tcPr>
            <w:tcW w:w="2018" w:type="dxa"/>
            <w:noWrap w:val="0"/>
            <w:vAlign w:val="center"/>
          </w:tcPr>
          <w:p w14:paraId="0C963483">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南阳初中</w:t>
            </w:r>
          </w:p>
        </w:tc>
        <w:tc>
          <w:tcPr>
            <w:tcW w:w="1247" w:type="dxa"/>
            <w:noWrap w:val="0"/>
            <w:vAlign w:val="center"/>
          </w:tcPr>
          <w:p w14:paraId="7BC88880">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sz w:val="24"/>
                <w:szCs w:val="24"/>
                <w:vertAlign w:val="baseline"/>
                <w:lang w:val="en-US" w:eastAsia="zh-CN"/>
              </w:rPr>
            </w:pPr>
            <w:r>
              <w:rPr>
                <w:rFonts w:hint="eastAsia" w:ascii="宋体" w:hAnsi="宋体" w:eastAsia="宋体" w:cs="宋体"/>
                <w:b w:val="0"/>
                <w:color w:val="auto"/>
                <w:sz w:val="24"/>
                <w:szCs w:val="24"/>
                <w:vertAlign w:val="baseline"/>
                <w:lang w:val="en-US" w:eastAsia="zh-CN"/>
              </w:rPr>
              <w:t>38</w:t>
            </w:r>
          </w:p>
        </w:tc>
      </w:tr>
      <w:tr w14:paraId="6B645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999" w:type="dxa"/>
            <w:vMerge w:val="continue"/>
            <w:noWrap w:val="0"/>
            <w:vAlign w:val="center"/>
          </w:tcPr>
          <w:p w14:paraId="54B7530E">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sz w:val="24"/>
                <w:szCs w:val="24"/>
                <w:lang w:eastAsia="zh-CN"/>
              </w:rPr>
            </w:pPr>
          </w:p>
        </w:tc>
        <w:tc>
          <w:tcPr>
            <w:tcW w:w="841" w:type="dxa"/>
            <w:noWrap w:val="0"/>
            <w:vAlign w:val="center"/>
          </w:tcPr>
          <w:p w14:paraId="596F3A80">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8</w:t>
            </w:r>
          </w:p>
        </w:tc>
        <w:tc>
          <w:tcPr>
            <w:tcW w:w="1808" w:type="dxa"/>
            <w:noWrap w:val="0"/>
            <w:vAlign w:val="center"/>
          </w:tcPr>
          <w:p w14:paraId="20E0E841">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kern w:val="2"/>
                <w:sz w:val="24"/>
                <w:szCs w:val="24"/>
                <w:vertAlign w:val="baseline"/>
                <w:lang w:val="en-US" w:eastAsia="zh-CN" w:bidi="ar-SA"/>
              </w:rPr>
            </w:pPr>
            <w:r>
              <w:rPr>
                <w:rFonts w:hint="eastAsia" w:ascii="宋体" w:hAnsi="宋体" w:eastAsia="宋体" w:cs="宋体"/>
                <w:color w:val="auto"/>
                <w:sz w:val="24"/>
                <w:szCs w:val="24"/>
              </w:rPr>
              <w:t>太白中心小学</w:t>
            </w:r>
          </w:p>
        </w:tc>
        <w:tc>
          <w:tcPr>
            <w:tcW w:w="1221" w:type="dxa"/>
            <w:noWrap w:val="0"/>
            <w:vAlign w:val="center"/>
          </w:tcPr>
          <w:p w14:paraId="7FEFC417">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kern w:val="2"/>
                <w:sz w:val="24"/>
                <w:szCs w:val="24"/>
                <w:vertAlign w:val="baseline"/>
                <w:lang w:val="en-US" w:eastAsia="zh-CN" w:bidi="ar-SA"/>
              </w:rPr>
            </w:pPr>
            <w:r>
              <w:rPr>
                <w:rFonts w:hint="eastAsia" w:ascii="宋体" w:hAnsi="宋体" w:eastAsia="宋体" w:cs="宋体"/>
                <w:b w:val="0"/>
                <w:color w:val="auto"/>
                <w:sz w:val="24"/>
                <w:szCs w:val="24"/>
                <w:vertAlign w:val="baseline"/>
                <w:lang w:val="en-US" w:eastAsia="zh-CN"/>
              </w:rPr>
              <w:t>228</w:t>
            </w:r>
          </w:p>
        </w:tc>
        <w:tc>
          <w:tcPr>
            <w:tcW w:w="1041" w:type="dxa"/>
            <w:vMerge w:val="continue"/>
            <w:noWrap w:val="0"/>
            <w:vAlign w:val="center"/>
          </w:tcPr>
          <w:p w14:paraId="171EF262">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sz w:val="24"/>
                <w:szCs w:val="24"/>
                <w:lang w:eastAsia="zh-CN"/>
              </w:rPr>
            </w:pPr>
          </w:p>
        </w:tc>
        <w:tc>
          <w:tcPr>
            <w:tcW w:w="788" w:type="dxa"/>
            <w:noWrap w:val="0"/>
            <w:vAlign w:val="center"/>
          </w:tcPr>
          <w:p w14:paraId="278A70B0">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8</w:t>
            </w:r>
          </w:p>
        </w:tc>
        <w:tc>
          <w:tcPr>
            <w:tcW w:w="2018" w:type="dxa"/>
            <w:noWrap w:val="0"/>
            <w:vAlign w:val="center"/>
          </w:tcPr>
          <w:p w14:paraId="0E32FE1C">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天度中心小学</w:t>
            </w:r>
          </w:p>
        </w:tc>
        <w:tc>
          <w:tcPr>
            <w:tcW w:w="1247" w:type="dxa"/>
            <w:noWrap w:val="0"/>
            <w:vAlign w:val="center"/>
          </w:tcPr>
          <w:p w14:paraId="33CB2589">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sz w:val="24"/>
                <w:szCs w:val="24"/>
                <w:vertAlign w:val="baseline"/>
                <w:lang w:val="en-US" w:eastAsia="zh-CN"/>
              </w:rPr>
            </w:pPr>
            <w:r>
              <w:rPr>
                <w:rFonts w:hint="eastAsia" w:ascii="宋体" w:hAnsi="宋体" w:eastAsia="宋体" w:cs="宋体"/>
                <w:b w:val="0"/>
                <w:color w:val="auto"/>
                <w:sz w:val="24"/>
                <w:szCs w:val="24"/>
                <w:vertAlign w:val="baseline"/>
                <w:lang w:val="en-US" w:eastAsia="zh-CN"/>
              </w:rPr>
              <w:t>237</w:t>
            </w:r>
          </w:p>
        </w:tc>
      </w:tr>
      <w:tr w14:paraId="25441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999" w:type="dxa"/>
            <w:vMerge w:val="continue"/>
            <w:noWrap w:val="0"/>
            <w:vAlign w:val="center"/>
          </w:tcPr>
          <w:p w14:paraId="17A0719F">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sz w:val="24"/>
                <w:szCs w:val="24"/>
                <w:lang w:eastAsia="zh-CN"/>
              </w:rPr>
            </w:pPr>
          </w:p>
        </w:tc>
        <w:tc>
          <w:tcPr>
            <w:tcW w:w="841" w:type="dxa"/>
            <w:noWrap w:val="0"/>
            <w:vAlign w:val="center"/>
          </w:tcPr>
          <w:p w14:paraId="680DAE84">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9</w:t>
            </w:r>
          </w:p>
        </w:tc>
        <w:tc>
          <w:tcPr>
            <w:tcW w:w="1808" w:type="dxa"/>
            <w:noWrap w:val="0"/>
            <w:vAlign w:val="center"/>
          </w:tcPr>
          <w:p w14:paraId="005DA3A8">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扶风小学</w:t>
            </w:r>
          </w:p>
        </w:tc>
        <w:tc>
          <w:tcPr>
            <w:tcW w:w="1221" w:type="dxa"/>
            <w:noWrap w:val="0"/>
            <w:vAlign w:val="center"/>
          </w:tcPr>
          <w:p w14:paraId="66A4B030">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kern w:val="2"/>
                <w:sz w:val="24"/>
                <w:szCs w:val="24"/>
                <w:vertAlign w:val="baseline"/>
                <w:lang w:val="en-US" w:eastAsia="zh-CN" w:bidi="ar-SA"/>
              </w:rPr>
            </w:pPr>
            <w:r>
              <w:rPr>
                <w:rFonts w:hint="eastAsia" w:ascii="宋体" w:hAnsi="宋体" w:eastAsia="宋体" w:cs="宋体"/>
                <w:b w:val="0"/>
                <w:color w:val="auto"/>
                <w:sz w:val="24"/>
                <w:szCs w:val="24"/>
                <w:vertAlign w:val="baseline"/>
                <w:lang w:val="en-US" w:eastAsia="zh-CN"/>
              </w:rPr>
              <w:t>139</w:t>
            </w:r>
          </w:p>
        </w:tc>
        <w:tc>
          <w:tcPr>
            <w:tcW w:w="1041" w:type="dxa"/>
            <w:vMerge w:val="continue"/>
            <w:noWrap w:val="0"/>
            <w:vAlign w:val="center"/>
          </w:tcPr>
          <w:p w14:paraId="46BFA513">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sz w:val="24"/>
                <w:szCs w:val="24"/>
                <w:lang w:eastAsia="zh-CN"/>
              </w:rPr>
            </w:pPr>
          </w:p>
        </w:tc>
        <w:tc>
          <w:tcPr>
            <w:tcW w:w="788" w:type="dxa"/>
            <w:noWrap w:val="0"/>
            <w:vAlign w:val="center"/>
          </w:tcPr>
          <w:p w14:paraId="1A6ABB03">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9</w:t>
            </w:r>
          </w:p>
        </w:tc>
        <w:tc>
          <w:tcPr>
            <w:tcW w:w="2018" w:type="dxa"/>
            <w:noWrap w:val="0"/>
            <w:vAlign w:val="center"/>
          </w:tcPr>
          <w:p w14:paraId="28FDFE7C">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南阳小学</w:t>
            </w:r>
          </w:p>
        </w:tc>
        <w:tc>
          <w:tcPr>
            <w:tcW w:w="1247" w:type="dxa"/>
            <w:noWrap w:val="0"/>
            <w:vAlign w:val="center"/>
          </w:tcPr>
          <w:p w14:paraId="71B7C477">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sz w:val="24"/>
                <w:szCs w:val="24"/>
                <w:vertAlign w:val="baseline"/>
                <w:lang w:val="en-US" w:eastAsia="zh-CN"/>
              </w:rPr>
            </w:pPr>
            <w:r>
              <w:rPr>
                <w:rFonts w:hint="eastAsia" w:ascii="宋体" w:hAnsi="宋体" w:eastAsia="宋体" w:cs="宋体"/>
                <w:b w:val="0"/>
                <w:color w:val="auto"/>
                <w:sz w:val="24"/>
                <w:szCs w:val="24"/>
                <w:vertAlign w:val="baseline"/>
                <w:lang w:val="en-US" w:eastAsia="zh-CN"/>
              </w:rPr>
              <w:t>10</w:t>
            </w:r>
          </w:p>
        </w:tc>
      </w:tr>
      <w:tr w14:paraId="4B1BE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999" w:type="dxa"/>
            <w:vMerge w:val="continue"/>
            <w:noWrap w:val="0"/>
            <w:vAlign w:val="center"/>
          </w:tcPr>
          <w:p w14:paraId="471BA8AD">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sz w:val="24"/>
                <w:szCs w:val="24"/>
                <w:lang w:eastAsia="zh-CN"/>
              </w:rPr>
            </w:pPr>
          </w:p>
        </w:tc>
        <w:tc>
          <w:tcPr>
            <w:tcW w:w="841" w:type="dxa"/>
            <w:noWrap w:val="0"/>
            <w:vAlign w:val="center"/>
          </w:tcPr>
          <w:p w14:paraId="4853C14D">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10</w:t>
            </w:r>
          </w:p>
        </w:tc>
        <w:tc>
          <w:tcPr>
            <w:tcW w:w="1808" w:type="dxa"/>
            <w:noWrap w:val="0"/>
            <w:vAlign w:val="center"/>
          </w:tcPr>
          <w:p w14:paraId="05D618A8">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eastAsia="zh-CN"/>
              </w:rPr>
              <w:t>扶风三小</w:t>
            </w:r>
          </w:p>
        </w:tc>
        <w:tc>
          <w:tcPr>
            <w:tcW w:w="1221" w:type="dxa"/>
            <w:noWrap w:val="0"/>
            <w:vAlign w:val="center"/>
          </w:tcPr>
          <w:p w14:paraId="1B394992">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kern w:val="2"/>
                <w:sz w:val="24"/>
                <w:szCs w:val="24"/>
                <w:vertAlign w:val="baseline"/>
                <w:lang w:val="en-US" w:eastAsia="zh-CN" w:bidi="ar-SA"/>
              </w:rPr>
            </w:pPr>
            <w:r>
              <w:rPr>
                <w:rFonts w:hint="eastAsia" w:ascii="宋体" w:hAnsi="宋体" w:eastAsia="宋体" w:cs="宋体"/>
                <w:b w:val="0"/>
                <w:color w:val="auto"/>
                <w:sz w:val="24"/>
                <w:szCs w:val="24"/>
                <w:vertAlign w:val="baseline"/>
                <w:lang w:val="en-US" w:eastAsia="zh-CN"/>
              </w:rPr>
              <w:t>152</w:t>
            </w:r>
          </w:p>
        </w:tc>
        <w:tc>
          <w:tcPr>
            <w:tcW w:w="1041" w:type="dxa"/>
            <w:vMerge w:val="continue"/>
            <w:noWrap w:val="0"/>
            <w:vAlign w:val="center"/>
          </w:tcPr>
          <w:p w14:paraId="537CB637">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sz w:val="24"/>
                <w:szCs w:val="24"/>
                <w:lang w:eastAsia="zh-CN"/>
              </w:rPr>
            </w:pPr>
          </w:p>
        </w:tc>
        <w:tc>
          <w:tcPr>
            <w:tcW w:w="788" w:type="dxa"/>
            <w:noWrap w:val="0"/>
            <w:vAlign w:val="center"/>
          </w:tcPr>
          <w:p w14:paraId="40B775B4">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10</w:t>
            </w:r>
          </w:p>
        </w:tc>
        <w:tc>
          <w:tcPr>
            <w:tcW w:w="2018" w:type="dxa"/>
            <w:noWrap w:val="0"/>
            <w:vAlign w:val="center"/>
          </w:tcPr>
          <w:p w14:paraId="4E8CC5D6">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扶风初中</w:t>
            </w:r>
          </w:p>
        </w:tc>
        <w:tc>
          <w:tcPr>
            <w:tcW w:w="1247" w:type="dxa"/>
            <w:noWrap w:val="0"/>
            <w:vAlign w:val="center"/>
          </w:tcPr>
          <w:p w14:paraId="790E5C25">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kern w:val="2"/>
                <w:sz w:val="24"/>
                <w:szCs w:val="24"/>
                <w:vertAlign w:val="baseline"/>
                <w:lang w:val="en-US" w:eastAsia="zh-CN" w:bidi="ar-SA"/>
              </w:rPr>
            </w:pPr>
            <w:r>
              <w:rPr>
                <w:rFonts w:hint="eastAsia" w:ascii="宋体" w:hAnsi="宋体" w:eastAsia="宋体" w:cs="宋体"/>
                <w:b w:val="0"/>
                <w:color w:val="auto"/>
                <w:sz w:val="24"/>
                <w:szCs w:val="24"/>
                <w:vertAlign w:val="baseline"/>
                <w:lang w:val="en-US" w:eastAsia="zh-CN"/>
              </w:rPr>
              <w:t>483</w:t>
            </w:r>
          </w:p>
        </w:tc>
      </w:tr>
      <w:tr w14:paraId="25CBA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999" w:type="dxa"/>
            <w:vMerge w:val="continue"/>
            <w:noWrap w:val="0"/>
            <w:vAlign w:val="center"/>
          </w:tcPr>
          <w:p w14:paraId="1FEA0B0A">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sz w:val="24"/>
                <w:szCs w:val="24"/>
                <w:lang w:eastAsia="zh-CN"/>
              </w:rPr>
            </w:pPr>
          </w:p>
        </w:tc>
        <w:tc>
          <w:tcPr>
            <w:tcW w:w="841" w:type="dxa"/>
            <w:noWrap w:val="0"/>
            <w:vAlign w:val="center"/>
          </w:tcPr>
          <w:p w14:paraId="14AB3729">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11</w:t>
            </w:r>
          </w:p>
        </w:tc>
        <w:tc>
          <w:tcPr>
            <w:tcW w:w="1808" w:type="dxa"/>
            <w:noWrap w:val="0"/>
            <w:vAlign w:val="center"/>
          </w:tcPr>
          <w:p w14:paraId="2511472B">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特教学校</w:t>
            </w:r>
          </w:p>
        </w:tc>
        <w:tc>
          <w:tcPr>
            <w:tcW w:w="1221" w:type="dxa"/>
            <w:noWrap w:val="0"/>
            <w:vAlign w:val="center"/>
          </w:tcPr>
          <w:p w14:paraId="09F5DDE3">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kern w:val="2"/>
                <w:sz w:val="24"/>
                <w:szCs w:val="24"/>
                <w:vertAlign w:val="baseline"/>
                <w:lang w:val="en-US" w:eastAsia="zh-CN" w:bidi="ar-SA"/>
              </w:rPr>
            </w:pPr>
            <w:r>
              <w:rPr>
                <w:rFonts w:hint="eastAsia" w:ascii="宋体" w:hAnsi="宋体" w:eastAsia="宋体" w:cs="宋体"/>
                <w:b w:val="0"/>
                <w:color w:val="auto"/>
                <w:sz w:val="24"/>
                <w:szCs w:val="24"/>
                <w:vertAlign w:val="baseline"/>
                <w:lang w:val="en-US" w:eastAsia="zh-CN"/>
              </w:rPr>
              <w:t>73</w:t>
            </w:r>
          </w:p>
        </w:tc>
        <w:tc>
          <w:tcPr>
            <w:tcW w:w="1041" w:type="dxa"/>
            <w:vMerge w:val="continue"/>
            <w:noWrap w:val="0"/>
            <w:vAlign w:val="center"/>
          </w:tcPr>
          <w:p w14:paraId="6A36FA37">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sz w:val="24"/>
                <w:szCs w:val="24"/>
                <w:lang w:eastAsia="zh-CN"/>
              </w:rPr>
            </w:pPr>
          </w:p>
        </w:tc>
        <w:tc>
          <w:tcPr>
            <w:tcW w:w="788" w:type="dxa"/>
            <w:noWrap w:val="0"/>
            <w:vAlign w:val="center"/>
          </w:tcPr>
          <w:p w14:paraId="1444D1A5">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kern w:val="2"/>
                <w:sz w:val="24"/>
                <w:szCs w:val="24"/>
                <w:lang w:val="en-US" w:eastAsia="zh-CN" w:bidi="ar-SA"/>
              </w:rPr>
            </w:pPr>
          </w:p>
        </w:tc>
        <w:tc>
          <w:tcPr>
            <w:tcW w:w="2018" w:type="dxa"/>
            <w:noWrap w:val="0"/>
            <w:vAlign w:val="center"/>
          </w:tcPr>
          <w:p w14:paraId="786F9AAA">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kern w:val="2"/>
                <w:sz w:val="24"/>
                <w:szCs w:val="24"/>
                <w:lang w:val="en-US" w:eastAsia="zh-CN" w:bidi="ar-SA"/>
              </w:rPr>
            </w:pPr>
          </w:p>
        </w:tc>
        <w:tc>
          <w:tcPr>
            <w:tcW w:w="1247" w:type="dxa"/>
            <w:noWrap w:val="0"/>
            <w:vAlign w:val="center"/>
          </w:tcPr>
          <w:p w14:paraId="226F1E2A">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kern w:val="2"/>
                <w:sz w:val="24"/>
                <w:szCs w:val="24"/>
                <w:vertAlign w:val="baseline"/>
                <w:lang w:val="en-US" w:eastAsia="zh-CN" w:bidi="ar-SA"/>
              </w:rPr>
            </w:pPr>
          </w:p>
        </w:tc>
      </w:tr>
      <w:tr w14:paraId="30500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999" w:type="dxa"/>
            <w:vMerge w:val="continue"/>
            <w:noWrap w:val="0"/>
            <w:vAlign w:val="center"/>
          </w:tcPr>
          <w:p w14:paraId="7FC68F59">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sz w:val="24"/>
                <w:szCs w:val="24"/>
                <w:lang w:eastAsia="zh-CN"/>
              </w:rPr>
            </w:pPr>
          </w:p>
        </w:tc>
        <w:tc>
          <w:tcPr>
            <w:tcW w:w="841" w:type="dxa"/>
            <w:noWrap w:val="0"/>
            <w:vAlign w:val="center"/>
          </w:tcPr>
          <w:p w14:paraId="3565AC88">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12</w:t>
            </w:r>
          </w:p>
        </w:tc>
        <w:tc>
          <w:tcPr>
            <w:tcW w:w="1808" w:type="dxa"/>
            <w:noWrap w:val="0"/>
            <w:vAlign w:val="center"/>
          </w:tcPr>
          <w:p w14:paraId="17D21DEA">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扶风二中</w:t>
            </w:r>
          </w:p>
        </w:tc>
        <w:tc>
          <w:tcPr>
            <w:tcW w:w="1221" w:type="dxa"/>
            <w:noWrap w:val="0"/>
            <w:vAlign w:val="center"/>
          </w:tcPr>
          <w:p w14:paraId="44812C02">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kern w:val="2"/>
                <w:sz w:val="24"/>
                <w:szCs w:val="24"/>
                <w:vertAlign w:val="baseline"/>
                <w:lang w:val="en-US" w:eastAsia="zh-CN" w:bidi="ar-SA"/>
              </w:rPr>
            </w:pPr>
            <w:r>
              <w:rPr>
                <w:rFonts w:hint="eastAsia" w:ascii="宋体" w:hAnsi="宋体" w:eastAsia="宋体" w:cs="宋体"/>
                <w:b w:val="0"/>
                <w:color w:val="auto"/>
                <w:sz w:val="24"/>
                <w:szCs w:val="24"/>
                <w:vertAlign w:val="baseline"/>
                <w:lang w:val="en-US" w:eastAsia="zh-CN"/>
              </w:rPr>
              <w:t>258</w:t>
            </w:r>
          </w:p>
        </w:tc>
        <w:tc>
          <w:tcPr>
            <w:tcW w:w="1041" w:type="dxa"/>
            <w:vMerge w:val="continue"/>
            <w:noWrap w:val="0"/>
            <w:vAlign w:val="center"/>
          </w:tcPr>
          <w:p w14:paraId="36E72944">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kern w:val="2"/>
                <w:sz w:val="24"/>
                <w:szCs w:val="24"/>
                <w:lang w:val="en-US" w:eastAsia="zh-CN" w:bidi="ar-SA"/>
              </w:rPr>
            </w:pPr>
          </w:p>
        </w:tc>
        <w:tc>
          <w:tcPr>
            <w:tcW w:w="788" w:type="dxa"/>
            <w:noWrap w:val="0"/>
            <w:vAlign w:val="center"/>
          </w:tcPr>
          <w:p w14:paraId="03EB2B16">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kern w:val="2"/>
                <w:sz w:val="24"/>
                <w:szCs w:val="24"/>
                <w:lang w:val="en-US" w:eastAsia="zh-CN" w:bidi="ar-SA"/>
              </w:rPr>
            </w:pPr>
          </w:p>
        </w:tc>
        <w:tc>
          <w:tcPr>
            <w:tcW w:w="2018" w:type="dxa"/>
            <w:noWrap w:val="0"/>
            <w:vAlign w:val="center"/>
          </w:tcPr>
          <w:p w14:paraId="726BDF9D">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kern w:val="2"/>
                <w:sz w:val="24"/>
                <w:szCs w:val="24"/>
                <w:lang w:val="en-US" w:eastAsia="zh-CN" w:bidi="ar-SA"/>
              </w:rPr>
            </w:pPr>
          </w:p>
        </w:tc>
        <w:tc>
          <w:tcPr>
            <w:tcW w:w="1247" w:type="dxa"/>
            <w:noWrap w:val="0"/>
            <w:vAlign w:val="center"/>
          </w:tcPr>
          <w:p w14:paraId="711310D5">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kern w:val="2"/>
                <w:sz w:val="24"/>
                <w:szCs w:val="24"/>
                <w:vertAlign w:val="baseline"/>
                <w:lang w:val="en-US" w:eastAsia="zh-CN" w:bidi="ar-SA"/>
              </w:rPr>
            </w:pPr>
          </w:p>
        </w:tc>
      </w:tr>
      <w:tr w14:paraId="56B9F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999" w:type="dxa"/>
            <w:vMerge w:val="continue"/>
            <w:noWrap w:val="0"/>
            <w:vAlign w:val="center"/>
          </w:tcPr>
          <w:p w14:paraId="4A092F8B">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sz w:val="24"/>
                <w:szCs w:val="24"/>
                <w:lang w:eastAsia="zh-CN"/>
              </w:rPr>
            </w:pPr>
          </w:p>
        </w:tc>
        <w:tc>
          <w:tcPr>
            <w:tcW w:w="841" w:type="dxa"/>
            <w:noWrap w:val="0"/>
            <w:vAlign w:val="center"/>
          </w:tcPr>
          <w:p w14:paraId="5EAC1A87">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13</w:t>
            </w:r>
          </w:p>
        </w:tc>
        <w:tc>
          <w:tcPr>
            <w:tcW w:w="1808" w:type="dxa"/>
            <w:noWrap w:val="0"/>
            <w:vAlign w:val="center"/>
          </w:tcPr>
          <w:p w14:paraId="14016525">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扶风二小</w:t>
            </w:r>
          </w:p>
        </w:tc>
        <w:tc>
          <w:tcPr>
            <w:tcW w:w="1221" w:type="dxa"/>
            <w:noWrap w:val="0"/>
            <w:vAlign w:val="center"/>
          </w:tcPr>
          <w:p w14:paraId="7A3871D9">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kern w:val="2"/>
                <w:sz w:val="24"/>
                <w:szCs w:val="24"/>
                <w:vertAlign w:val="baseline"/>
                <w:lang w:val="en-US" w:eastAsia="zh-CN" w:bidi="ar-SA"/>
              </w:rPr>
            </w:pPr>
            <w:r>
              <w:rPr>
                <w:rFonts w:hint="eastAsia" w:ascii="宋体" w:hAnsi="宋体" w:eastAsia="宋体" w:cs="宋体"/>
                <w:b w:val="0"/>
                <w:color w:val="auto"/>
                <w:sz w:val="24"/>
                <w:szCs w:val="24"/>
                <w:vertAlign w:val="baseline"/>
                <w:lang w:val="en-US" w:eastAsia="zh-CN"/>
              </w:rPr>
              <w:t>131</w:t>
            </w:r>
          </w:p>
        </w:tc>
        <w:tc>
          <w:tcPr>
            <w:tcW w:w="1041" w:type="dxa"/>
            <w:vMerge w:val="continue"/>
            <w:noWrap w:val="0"/>
            <w:vAlign w:val="center"/>
          </w:tcPr>
          <w:p w14:paraId="3988EFF4">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kern w:val="2"/>
                <w:sz w:val="24"/>
                <w:szCs w:val="24"/>
                <w:lang w:val="en-US" w:eastAsia="zh-CN" w:bidi="ar-SA"/>
              </w:rPr>
            </w:pPr>
          </w:p>
        </w:tc>
        <w:tc>
          <w:tcPr>
            <w:tcW w:w="788" w:type="dxa"/>
            <w:noWrap w:val="0"/>
            <w:vAlign w:val="center"/>
          </w:tcPr>
          <w:p w14:paraId="19544025">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sz w:val="24"/>
                <w:szCs w:val="24"/>
                <w:lang w:eastAsia="zh-CN"/>
              </w:rPr>
            </w:pPr>
          </w:p>
        </w:tc>
        <w:tc>
          <w:tcPr>
            <w:tcW w:w="2018" w:type="dxa"/>
            <w:noWrap w:val="0"/>
            <w:vAlign w:val="center"/>
          </w:tcPr>
          <w:p w14:paraId="7B2BB985">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sz w:val="24"/>
                <w:szCs w:val="24"/>
              </w:rPr>
            </w:pPr>
          </w:p>
        </w:tc>
        <w:tc>
          <w:tcPr>
            <w:tcW w:w="1247" w:type="dxa"/>
            <w:noWrap w:val="0"/>
            <w:vAlign w:val="center"/>
          </w:tcPr>
          <w:p w14:paraId="683BD8D7">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sz w:val="24"/>
                <w:szCs w:val="24"/>
                <w:vertAlign w:val="baseline"/>
                <w:lang w:val="en-US" w:eastAsia="zh-CN"/>
              </w:rPr>
            </w:pPr>
          </w:p>
        </w:tc>
      </w:tr>
      <w:tr w14:paraId="07172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3648" w:type="dxa"/>
            <w:gridSpan w:val="3"/>
            <w:noWrap w:val="0"/>
            <w:vAlign w:val="center"/>
          </w:tcPr>
          <w:p w14:paraId="4A5C3812">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eastAsia="zh-CN"/>
              </w:rPr>
              <w:t>小计</w:t>
            </w:r>
          </w:p>
        </w:tc>
        <w:tc>
          <w:tcPr>
            <w:tcW w:w="1221" w:type="dxa"/>
            <w:noWrap w:val="0"/>
            <w:vAlign w:val="center"/>
          </w:tcPr>
          <w:p w14:paraId="5FB4A5D6">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kern w:val="2"/>
                <w:sz w:val="24"/>
                <w:szCs w:val="24"/>
                <w:vertAlign w:val="baseline"/>
                <w:lang w:val="en-US" w:eastAsia="zh-CN" w:bidi="ar-SA"/>
              </w:rPr>
            </w:pPr>
            <w:r>
              <w:rPr>
                <w:rFonts w:hint="eastAsia" w:ascii="宋体" w:hAnsi="宋体" w:eastAsia="宋体" w:cs="宋体"/>
                <w:b w:val="0"/>
                <w:color w:val="auto"/>
                <w:kern w:val="2"/>
                <w:sz w:val="24"/>
                <w:szCs w:val="24"/>
                <w:vertAlign w:val="baseline"/>
                <w:lang w:val="en-US" w:eastAsia="zh-CN" w:bidi="ar-SA"/>
              </w:rPr>
              <w:t>1677</w:t>
            </w:r>
          </w:p>
        </w:tc>
        <w:tc>
          <w:tcPr>
            <w:tcW w:w="3847" w:type="dxa"/>
            <w:gridSpan w:val="3"/>
            <w:noWrap w:val="0"/>
            <w:vAlign w:val="center"/>
          </w:tcPr>
          <w:p w14:paraId="03FE2CB2">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eastAsia="zh-CN"/>
              </w:rPr>
              <w:t>小计</w:t>
            </w:r>
          </w:p>
        </w:tc>
        <w:tc>
          <w:tcPr>
            <w:tcW w:w="1247" w:type="dxa"/>
            <w:noWrap w:val="0"/>
            <w:vAlign w:val="center"/>
          </w:tcPr>
          <w:p w14:paraId="066D3F67">
            <w:pPr>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jc w:val="center"/>
              <w:rPr>
                <w:rFonts w:hint="eastAsia" w:ascii="宋体" w:hAnsi="宋体" w:eastAsia="宋体" w:cs="宋体"/>
                <w:b w:val="0"/>
                <w:color w:val="auto"/>
                <w:kern w:val="2"/>
                <w:sz w:val="24"/>
                <w:szCs w:val="24"/>
                <w:vertAlign w:val="baseline"/>
                <w:lang w:val="en-US" w:eastAsia="zh-CN" w:bidi="ar-SA"/>
              </w:rPr>
            </w:pPr>
            <w:r>
              <w:rPr>
                <w:rFonts w:hint="eastAsia" w:ascii="宋体" w:hAnsi="宋体" w:eastAsia="宋体" w:cs="宋体"/>
                <w:b w:val="0"/>
                <w:color w:val="auto"/>
                <w:sz w:val="24"/>
                <w:szCs w:val="24"/>
                <w:vertAlign w:val="baseline"/>
                <w:lang w:val="en-US" w:eastAsia="zh-CN"/>
              </w:rPr>
              <w:t>1993</w:t>
            </w:r>
          </w:p>
        </w:tc>
      </w:tr>
    </w:tbl>
    <w:p w14:paraId="5AD01DDD">
      <w:pPr>
        <w:keepNext w:val="0"/>
        <w:keepLines w:val="0"/>
        <w:pageBreakBefore w:val="0"/>
        <w:widowControl/>
        <w:numPr>
          <w:ilvl w:val="0"/>
          <w:numId w:val="0"/>
        </w:numPr>
        <w:shd w:val="clear" w:color="auto" w:fill="auto"/>
        <w:kinsoku/>
        <w:wordWrap/>
        <w:overflowPunct/>
        <w:topLinePunct w:val="0"/>
        <w:autoSpaceDE w:val="0"/>
        <w:autoSpaceDN w:val="0"/>
        <w:bidi w:val="0"/>
        <w:adjustRightInd/>
        <w:snapToGrid/>
        <w:ind w:leftChars="0" w:right="0" w:rightChars="0" w:firstLine="480" w:firstLineChars="200"/>
        <w:textAlignment w:val="bottom"/>
        <w:rPr>
          <w:rFonts w:hint="default" w:ascii="宋体" w:hAnsi="宋体" w:eastAsia="宋体" w:cs="宋体"/>
          <w:color w:val="000000"/>
          <w:sz w:val="24"/>
          <w:highlight w:val="none"/>
          <w:lang w:val="en-US" w:eastAsia="zh-CN"/>
        </w:rPr>
      </w:pPr>
    </w:p>
    <w:p w14:paraId="14AAE106">
      <w:pPr>
        <w:pStyle w:val="2"/>
        <w:shd w:val="clear" w:color="auto" w:fill="auto"/>
        <w:spacing w:before="0" w:after="0" w:line="240" w:lineRule="auto"/>
        <w:ind w:firstLine="0" w:firstLineChars="0"/>
        <w:jc w:val="center"/>
        <w:rPr>
          <w:rFonts w:hint="eastAsia" w:ascii="宋体" w:hAnsi="宋体" w:cs="宋体"/>
          <w:sz w:val="28"/>
          <w:szCs w:val="28"/>
          <w:highlight w:val="none"/>
        </w:rPr>
      </w:pPr>
      <w:r>
        <w:rPr>
          <w:rFonts w:hint="eastAsia" w:ascii="宋体" w:hAnsi="宋体" w:cs="宋体"/>
          <w:sz w:val="28"/>
          <w:szCs w:val="28"/>
          <w:highlight w:val="none"/>
        </w:rPr>
        <w:br w:type="page"/>
      </w:r>
      <w:bookmarkStart w:id="111" w:name="_Toc21805"/>
      <w:r>
        <w:rPr>
          <w:rFonts w:hint="eastAsia" w:ascii="宋体" w:hAnsi="宋体" w:cs="宋体"/>
          <w:szCs w:val="32"/>
          <w:highlight w:val="none"/>
        </w:rPr>
        <w:t>第五章  商务要求</w:t>
      </w:r>
      <w:bookmarkEnd w:id="111"/>
    </w:p>
    <w:p w14:paraId="47D02E38">
      <w:pPr>
        <w:shd w:val="clear" w:color="auto" w:fill="auto"/>
        <w:ind w:firstLine="482"/>
        <w:jc w:val="left"/>
        <w:rPr>
          <w:rFonts w:hint="eastAsia" w:ascii="宋体" w:hAnsi="宋体" w:cs="宋体"/>
          <w:b/>
          <w:sz w:val="24"/>
          <w:highlight w:val="none"/>
        </w:rPr>
      </w:pPr>
      <w:r>
        <w:rPr>
          <w:rFonts w:hint="eastAsia" w:ascii="宋体" w:hAnsi="宋体" w:cs="宋体"/>
          <w:b/>
          <w:sz w:val="24"/>
          <w:highlight w:val="none"/>
          <w:lang w:val="en-US" w:eastAsia="zh-CN"/>
        </w:rPr>
        <w:t>一、</w:t>
      </w:r>
      <w:r>
        <w:rPr>
          <w:rFonts w:hint="eastAsia" w:ascii="宋体" w:hAnsi="宋体" w:cs="宋体"/>
          <w:b/>
          <w:sz w:val="24"/>
          <w:highlight w:val="none"/>
        </w:rPr>
        <w:t>质量要求：</w:t>
      </w:r>
      <w:r>
        <w:rPr>
          <w:rFonts w:hint="eastAsia" w:ascii="宋体" w:hAnsi="宋体" w:cs="宋体"/>
          <w:b w:val="0"/>
          <w:bCs/>
          <w:sz w:val="24"/>
          <w:highlight w:val="none"/>
        </w:rPr>
        <w:t>符合国家及行业相关质量合格标准</w:t>
      </w:r>
      <w:r>
        <w:rPr>
          <w:rFonts w:hint="eastAsia" w:ascii="宋体" w:hAnsi="宋体" w:cs="宋体"/>
          <w:sz w:val="24"/>
          <w:highlight w:val="none"/>
        </w:rPr>
        <w:t>。</w:t>
      </w:r>
    </w:p>
    <w:p w14:paraId="75A95B24">
      <w:pPr>
        <w:shd w:val="clear" w:color="auto" w:fill="auto"/>
        <w:ind w:firstLine="482"/>
        <w:rPr>
          <w:rFonts w:hint="eastAsia" w:ascii="宋体" w:hAnsi="宋体" w:cs="宋体"/>
          <w:b/>
          <w:sz w:val="24"/>
          <w:highlight w:val="none"/>
        </w:rPr>
      </w:pPr>
      <w:r>
        <w:rPr>
          <w:rFonts w:hint="eastAsia" w:ascii="宋体" w:hAnsi="宋体" w:cs="宋体"/>
          <w:b/>
          <w:sz w:val="24"/>
          <w:highlight w:val="none"/>
          <w:lang w:val="en-US" w:eastAsia="zh-CN"/>
        </w:rPr>
        <w:t>二</w:t>
      </w:r>
      <w:r>
        <w:rPr>
          <w:rFonts w:hint="eastAsia" w:ascii="宋体" w:hAnsi="宋体" w:cs="宋体"/>
          <w:b/>
          <w:sz w:val="24"/>
          <w:highlight w:val="none"/>
        </w:rPr>
        <w:t>、</w:t>
      </w:r>
      <w:r>
        <w:rPr>
          <w:rFonts w:hint="eastAsia" w:ascii="宋体" w:hAnsi="宋体" w:cs="宋体"/>
          <w:b/>
          <w:sz w:val="24"/>
          <w:highlight w:val="none"/>
          <w:lang w:val="en-US" w:eastAsia="zh-CN"/>
        </w:rPr>
        <w:t>交货地点</w:t>
      </w:r>
      <w:r>
        <w:rPr>
          <w:rFonts w:hint="eastAsia" w:ascii="宋体" w:hAnsi="宋体" w:cs="宋体"/>
          <w:b/>
          <w:sz w:val="24"/>
          <w:highlight w:val="none"/>
        </w:rPr>
        <w:t>：</w:t>
      </w:r>
      <w:r>
        <w:rPr>
          <w:rFonts w:hint="eastAsia" w:ascii="宋体" w:hAnsi="宋体" w:cs="宋体"/>
          <w:sz w:val="24"/>
          <w:highlight w:val="none"/>
        </w:rPr>
        <w:t>采购人指定地点。</w:t>
      </w:r>
      <w:r>
        <w:rPr>
          <w:rFonts w:hint="eastAsia" w:ascii="宋体" w:hAnsi="宋体" w:cs="宋体"/>
          <w:b/>
          <w:sz w:val="24"/>
          <w:highlight w:val="none"/>
        </w:rPr>
        <w:t xml:space="preserve"> </w:t>
      </w:r>
    </w:p>
    <w:p w14:paraId="15586664">
      <w:pPr>
        <w:shd w:val="clear" w:color="auto" w:fill="auto"/>
        <w:ind w:firstLine="482"/>
        <w:rPr>
          <w:rFonts w:hint="default" w:ascii="宋体" w:hAnsi="宋体" w:cs="宋体"/>
          <w:b/>
          <w:sz w:val="24"/>
          <w:highlight w:val="none"/>
          <w:lang w:val="en-US" w:eastAsia="zh-CN"/>
        </w:rPr>
      </w:pPr>
      <w:r>
        <w:rPr>
          <w:rFonts w:hint="eastAsia" w:ascii="宋体" w:hAnsi="宋体" w:cs="宋体"/>
          <w:b/>
          <w:sz w:val="24"/>
          <w:highlight w:val="none"/>
          <w:lang w:val="en-US" w:eastAsia="zh-CN"/>
        </w:rPr>
        <w:t>三、质保期：</w:t>
      </w:r>
      <w:r>
        <w:rPr>
          <w:rFonts w:hint="eastAsia" w:ascii="宋体" w:hAnsi="宋体" w:cs="宋体"/>
          <w:b w:val="0"/>
          <w:bCs/>
          <w:sz w:val="24"/>
          <w:highlight w:val="none"/>
          <w:lang w:val="en-US" w:eastAsia="zh-CN"/>
        </w:rPr>
        <w:t>交货时产品的剩余保质期不小于其外包装标明的保质期的三分之二，质保期不足 3 日或者质保期不能明确的，生产日期应当为供货日期当日。</w:t>
      </w:r>
    </w:p>
    <w:p w14:paraId="4D6A48EF">
      <w:pPr>
        <w:shd w:val="clear" w:color="auto" w:fill="auto"/>
        <w:ind w:firstLine="482"/>
        <w:rPr>
          <w:rFonts w:hint="eastAsia" w:ascii="宋体" w:hAnsi="宋体" w:cs="宋体"/>
          <w:b/>
          <w:sz w:val="24"/>
          <w:highlight w:val="none"/>
        </w:rPr>
      </w:pPr>
      <w:r>
        <w:rPr>
          <w:rFonts w:hint="eastAsia" w:ascii="宋体" w:hAnsi="宋体" w:cs="宋体"/>
          <w:b/>
          <w:sz w:val="24"/>
          <w:highlight w:val="none"/>
          <w:lang w:val="en-US" w:eastAsia="zh-CN"/>
        </w:rPr>
        <w:t>四</w:t>
      </w:r>
      <w:r>
        <w:rPr>
          <w:rFonts w:hint="eastAsia" w:ascii="宋体" w:hAnsi="宋体" w:cs="宋体"/>
          <w:b/>
          <w:sz w:val="24"/>
          <w:highlight w:val="none"/>
        </w:rPr>
        <w:t>、</w:t>
      </w:r>
      <w:r>
        <w:rPr>
          <w:rFonts w:hint="eastAsia" w:ascii="宋体" w:hAnsi="宋体" w:cs="宋体"/>
          <w:b/>
          <w:sz w:val="24"/>
          <w:highlight w:val="none"/>
          <w:lang w:eastAsia="zh-CN"/>
        </w:rPr>
        <w:t>配送周期</w:t>
      </w:r>
      <w:r>
        <w:rPr>
          <w:rFonts w:hint="eastAsia" w:ascii="宋体" w:hAnsi="宋体" w:cs="宋体"/>
          <w:b/>
          <w:sz w:val="24"/>
          <w:highlight w:val="none"/>
        </w:rPr>
        <w:t>：</w:t>
      </w:r>
      <w:r>
        <w:rPr>
          <w:rFonts w:hint="eastAsia" w:ascii="宋体" w:hAnsi="宋体" w:cs="宋体"/>
          <w:b w:val="0"/>
          <w:bCs/>
          <w:sz w:val="24"/>
          <w:highlight w:val="none"/>
        </w:rPr>
        <w:t>一学年</w:t>
      </w:r>
      <w:r>
        <w:rPr>
          <w:rFonts w:hint="eastAsia" w:ascii="宋体" w:hAnsi="宋体" w:cs="宋体"/>
          <w:b w:val="0"/>
          <w:bCs/>
          <w:sz w:val="24"/>
          <w:highlight w:val="none"/>
          <w:lang w:eastAsia="zh-CN"/>
        </w:rPr>
        <w:t>2026年8月-2027年7月</w:t>
      </w:r>
      <w:r>
        <w:rPr>
          <w:rFonts w:hint="eastAsia" w:ascii="宋体" w:hAnsi="宋体" w:cs="宋体"/>
          <w:b w:val="0"/>
          <w:bCs/>
          <w:sz w:val="24"/>
          <w:highlight w:val="none"/>
        </w:rPr>
        <w:t>，具体以招标人要求为准</w:t>
      </w:r>
    </w:p>
    <w:p w14:paraId="5B589A8C">
      <w:pPr>
        <w:shd w:val="clear" w:color="auto" w:fill="auto"/>
        <w:ind w:firstLine="482"/>
        <w:rPr>
          <w:rFonts w:hint="default" w:ascii="宋体" w:hAnsi="宋体" w:cs="宋体"/>
          <w:b/>
          <w:sz w:val="24"/>
          <w:highlight w:val="none"/>
          <w:lang w:val="en-US" w:eastAsia="zh-CN"/>
        </w:rPr>
      </w:pPr>
      <w:r>
        <w:rPr>
          <w:rFonts w:hint="eastAsia" w:ascii="宋体" w:hAnsi="宋体" w:cs="宋体"/>
          <w:b/>
          <w:sz w:val="24"/>
          <w:highlight w:val="none"/>
          <w:lang w:val="en-US" w:eastAsia="zh-CN"/>
        </w:rPr>
        <w:t>五、配送响应时间：</w:t>
      </w:r>
      <w:r>
        <w:rPr>
          <w:rFonts w:hint="eastAsia" w:ascii="宋体" w:hAnsi="宋体" w:cs="宋体"/>
          <w:b w:val="0"/>
          <w:bCs/>
          <w:sz w:val="24"/>
          <w:highlight w:val="none"/>
          <w:lang w:val="en-US" w:eastAsia="zh-CN"/>
        </w:rPr>
        <w:t>采购人提前下采购单（书写或表格形式）告知中标人，中标人保证次日7点前将食材配送至招标人指定地点（遇法定节假日双方协商解决）。紧急情况下接到招标人通知后2小时内配送到位。</w:t>
      </w:r>
    </w:p>
    <w:p w14:paraId="71D56403">
      <w:pPr>
        <w:shd w:val="clear" w:color="auto" w:fill="auto"/>
        <w:ind w:firstLine="482"/>
        <w:rPr>
          <w:rFonts w:hint="eastAsia" w:ascii="宋体" w:hAnsi="宋体" w:cs="宋体"/>
          <w:b/>
          <w:sz w:val="24"/>
          <w:highlight w:val="none"/>
        </w:rPr>
      </w:pPr>
      <w:r>
        <w:rPr>
          <w:rFonts w:hint="eastAsia" w:ascii="宋体" w:hAnsi="宋体" w:cs="宋体"/>
          <w:b/>
          <w:sz w:val="24"/>
          <w:highlight w:val="none"/>
          <w:lang w:val="en-US" w:eastAsia="zh-CN"/>
        </w:rPr>
        <w:t>六</w:t>
      </w:r>
      <w:r>
        <w:rPr>
          <w:rFonts w:hint="eastAsia" w:ascii="宋体" w:hAnsi="宋体" w:cs="宋体"/>
          <w:b/>
          <w:sz w:val="24"/>
          <w:highlight w:val="none"/>
        </w:rPr>
        <w:t>、合同价款：</w:t>
      </w:r>
    </w:p>
    <w:p w14:paraId="0092FCAB">
      <w:pPr>
        <w:shd w:val="clear" w:color="auto" w:fill="auto"/>
        <w:ind w:firstLine="480"/>
        <w:rPr>
          <w:rFonts w:hint="eastAsia" w:ascii="宋体" w:hAnsi="宋体" w:cs="宋体"/>
          <w:sz w:val="24"/>
          <w:highlight w:val="none"/>
        </w:rPr>
      </w:pPr>
      <w:r>
        <w:rPr>
          <w:rFonts w:hint="eastAsia" w:ascii="宋体" w:hAnsi="宋体" w:cs="宋体"/>
          <w:sz w:val="24"/>
          <w:highlight w:val="none"/>
        </w:rPr>
        <w:t>1、</w:t>
      </w:r>
      <w:r>
        <w:rPr>
          <w:rFonts w:hint="eastAsia" w:ascii="宋体" w:hAnsi="宋体" w:cs="宋体"/>
          <w:sz w:val="24"/>
          <w:highlight w:val="none"/>
          <w:lang w:eastAsia="zh-CN"/>
        </w:rPr>
        <w:t>投标供应商</w:t>
      </w:r>
      <w:r>
        <w:rPr>
          <w:rFonts w:hint="eastAsia" w:ascii="宋体" w:hAnsi="宋体" w:cs="宋体"/>
          <w:sz w:val="24"/>
          <w:highlight w:val="none"/>
        </w:rPr>
        <w:t>的报价应考虑为完成本项目的全部费用，投标单价应包括食品的生产、包装、储藏、运输、配送、留样、税金等其他一切相关费用。</w:t>
      </w:r>
    </w:p>
    <w:p w14:paraId="001E5827">
      <w:pPr>
        <w:shd w:val="clear" w:color="auto" w:fill="auto"/>
        <w:ind w:firstLine="482"/>
        <w:rPr>
          <w:rFonts w:hint="eastAsia" w:ascii="宋体" w:hAnsi="宋体" w:cs="宋体"/>
          <w:b/>
          <w:sz w:val="24"/>
          <w:highlight w:val="none"/>
        </w:rPr>
      </w:pPr>
      <w:r>
        <w:rPr>
          <w:rFonts w:hint="eastAsia" w:ascii="宋体" w:hAnsi="宋体" w:cs="宋体"/>
          <w:b/>
          <w:sz w:val="24"/>
          <w:highlight w:val="none"/>
          <w:lang w:val="en-US" w:eastAsia="zh-CN"/>
        </w:rPr>
        <w:t>七</w:t>
      </w:r>
      <w:r>
        <w:rPr>
          <w:rFonts w:hint="eastAsia" w:ascii="宋体" w:hAnsi="宋体" w:cs="宋体"/>
          <w:b/>
          <w:sz w:val="24"/>
          <w:highlight w:val="none"/>
        </w:rPr>
        <w:t>、付款方式：</w:t>
      </w:r>
    </w:p>
    <w:p w14:paraId="105BDAC0">
      <w:pPr>
        <w:shd w:val="clear" w:color="auto" w:fill="auto"/>
        <w:ind w:firstLine="480"/>
        <w:rPr>
          <w:rFonts w:hint="eastAsia" w:ascii="宋体" w:hAnsi="宋体" w:cs="宋体"/>
          <w:sz w:val="24"/>
          <w:highlight w:val="none"/>
        </w:rPr>
      </w:pPr>
      <w:r>
        <w:rPr>
          <w:rFonts w:hint="eastAsia" w:ascii="宋体" w:hAnsi="宋体" w:cs="宋体"/>
          <w:sz w:val="24"/>
          <w:highlight w:val="none"/>
        </w:rPr>
        <w:t>1、付款方式:付款实行按月结算。</w:t>
      </w:r>
    </w:p>
    <w:p w14:paraId="308EBE12">
      <w:pPr>
        <w:shd w:val="clear" w:color="auto" w:fill="auto"/>
        <w:ind w:firstLine="480"/>
        <w:rPr>
          <w:rFonts w:hint="eastAsia" w:ascii="宋体" w:hAnsi="宋体" w:cs="宋体"/>
          <w:sz w:val="24"/>
          <w:highlight w:val="none"/>
        </w:rPr>
      </w:pPr>
      <w:r>
        <w:rPr>
          <w:rFonts w:hint="eastAsia" w:ascii="宋体" w:hAnsi="宋体" w:cs="宋体"/>
          <w:sz w:val="24"/>
          <w:highlight w:val="none"/>
        </w:rPr>
        <w:t>①米、面粉、菜籽油：按中标价单价*实际供货数量进行结算；</w:t>
      </w:r>
    </w:p>
    <w:p w14:paraId="027A8126">
      <w:pPr>
        <w:shd w:val="clear" w:color="auto" w:fill="auto"/>
        <w:ind w:firstLine="480"/>
        <w:rPr>
          <w:rFonts w:hint="eastAsia" w:ascii="宋体" w:hAnsi="宋体" w:eastAsia="宋体" w:cs="宋体"/>
          <w:sz w:val="24"/>
          <w:highlight w:val="none"/>
          <w:lang w:eastAsia="zh-CN"/>
        </w:rPr>
      </w:pPr>
      <w:r>
        <w:rPr>
          <w:rFonts w:hint="eastAsia" w:ascii="宋体" w:hAnsi="宋体" w:cs="宋体"/>
          <w:sz w:val="24"/>
          <w:highlight w:val="none"/>
        </w:rPr>
        <w:t>②肉类、蛋类、蔬菜类：招标人每周进行一次市场询价，核算价格按照市场询价结果平均值下浮8%执行，若核算价高于</w:t>
      </w:r>
      <w:r>
        <w:rPr>
          <w:rFonts w:hint="eastAsia" w:ascii="宋体" w:hAnsi="宋体" w:cs="宋体"/>
          <w:sz w:val="24"/>
          <w:highlight w:val="none"/>
          <w:lang w:eastAsia="zh-CN"/>
        </w:rPr>
        <w:t>投标供应商</w:t>
      </w:r>
      <w:r>
        <w:rPr>
          <w:rFonts w:hint="eastAsia" w:ascii="宋体" w:hAnsi="宋体" w:cs="宋体"/>
          <w:sz w:val="24"/>
          <w:highlight w:val="none"/>
        </w:rPr>
        <w:t>报价，则以</w:t>
      </w:r>
      <w:r>
        <w:rPr>
          <w:rFonts w:hint="eastAsia" w:ascii="宋体" w:hAnsi="宋体" w:cs="宋体"/>
          <w:sz w:val="24"/>
          <w:highlight w:val="none"/>
          <w:lang w:eastAsia="zh-CN"/>
        </w:rPr>
        <w:t>投标供应商</w:t>
      </w:r>
      <w:r>
        <w:rPr>
          <w:rFonts w:hint="eastAsia" w:ascii="宋体" w:hAnsi="宋体" w:cs="宋体"/>
          <w:sz w:val="24"/>
          <w:highlight w:val="none"/>
        </w:rPr>
        <w:t>报价下浮8%作为最终结算价，若核算价低于</w:t>
      </w:r>
      <w:r>
        <w:rPr>
          <w:rFonts w:hint="eastAsia" w:ascii="宋体" w:hAnsi="宋体" w:cs="宋体"/>
          <w:sz w:val="24"/>
          <w:highlight w:val="none"/>
          <w:lang w:eastAsia="zh-CN"/>
        </w:rPr>
        <w:t>投标供应商</w:t>
      </w:r>
      <w:r>
        <w:rPr>
          <w:rFonts w:hint="eastAsia" w:ascii="宋体" w:hAnsi="宋体" w:cs="宋体"/>
          <w:sz w:val="24"/>
          <w:highlight w:val="none"/>
        </w:rPr>
        <w:t>报价，则以核算价作为最终结算价。每次询价地点不得少于3个，覆盖超市和农贸市场</w:t>
      </w:r>
      <w:r>
        <w:rPr>
          <w:rFonts w:hint="eastAsia" w:ascii="宋体" w:hAnsi="宋体" w:cs="宋体"/>
          <w:sz w:val="24"/>
          <w:highlight w:val="none"/>
          <w:lang w:val="en-US" w:eastAsia="zh-CN"/>
        </w:rPr>
        <w:t>等</w:t>
      </w:r>
      <w:r>
        <w:rPr>
          <w:rFonts w:hint="eastAsia" w:ascii="宋体" w:hAnsi="宋体" w:cs="宋体"/>
          <w:sz w:val="24"/>
          <w:highlight w:val="none"/>
          <w:lang w:eastAsia="zh-CN"/>
        </w:rPr>
        <w:t>。</w:t>
      </w:r>
    </w:p>
    <w:p w14:paraId="047B1F9E">
      <w:pPr>
        <w:shd w:val="clear" w:color="auto" w:fill="auto"/>
        <w:ind w:firstLine="480"/>
        <w:rPr>
          <w:rFonts w:hint="eastAsia" w:ascii="宋体" w:hAnsi="宋体" w:eastAsia="宋体" w:cs="宋体"/>
          <w:sz w:val="24"/>
          <w:highlight w:val="none"/>
          <w:lang w:eastAsia="zh-CN"/>
        </w:rPr>
      </w:pPr>
      <w:r>
        <w:rPr>
          <w:rFonts w:hint="eastAsia" w:ascii="宋体" w:hAnsi="宋体" w:cs="宋体"/>
          <w:sz w:val="24"/>
          <w:highlight w:val="none"/>
        </w:rPr>
        <w:t>③干菜、调味品类：招标人在秋季开学前后一月内进行一次询价，合同期内不再进行询价。核算价格按照市场询价结果平均值下浮8%执行，若核算价高于</w:t>
      </w:r>
      <w:r>
        <w:rPr>
          <w:rFonts w:hint="eastAsia" w:ascii="宋体" w:hAnsi="宋体" w:cs="宋体"/>
          <w:sz w:val="24"/>
          <w:highlight w:val="none"/>
          <w:lang w:eastAsia="zh-CN"/>
        </w:rPr>
        <w:t>投标供应商</w:t>
      </w:r>
      <w:r>
        <w:rPr>
          <w:rFonts w:hint="eastAsia" w:ascii="宋体" w:hAnsi="宋体" w:cs="宋体"/>
          <w:sz w:val="24"/>
          <w:highlight w:val="none"/>
        </w:rPr>
        <w:t>报价，则以</w:t>
      </w:r>
      <w:r>
        <w:rPr>
          <w:rFonts w:hint="eastAsia" w:ascii="宋体" w:hAnsi="宋体" w:cs="宋体"/>
          <w:sz w:val="24"/>
          <w:highlight w:val="none"/>
          <w:lang w:eastAsia="zh-CN"/>
        </w:rPr>
        <w:t>投标供应商</w:t>
      </w:r>
      <w:r>
        <w:rPr>
          <w:rFonts w:hint="eastAsia" w:ascii="宋体" w:hAnsi="宋体" w:cs="宋体"/>
          <w:sz w:val="24"/>
          <w:highlight w:val="none"/>
        </w:rPr>
        <w:t>报价下浮8%作为最终结算价，若核算价低于</w:t>
      </w:r>
      <w:r>
        <w:rPr>
          <w:rFonts w:hint="eastAsia" w:ascii="宋体" w:hAnsi="宋体" w:cs="宋体"/>
          <w:sz w:val="24"/>
          <w:highlight w:val="none"/>
          <w:lang w:eastAsia="zh-CN"/>
        </w:rPr>
        <w:t>投标供应商</w:t>
      </w:r>
      <w:r>
        <w:rPr>
          <w:rFonts w:hint="eastAsia" w:ascii="宋体" w:hAnsi="宋体" w:cs="宋体"/>
          <w:sz w:val="24"/>
          <w:highlight w:val="none"/>
        </w:rPr>
        <w:t>报价，则以核算价作为最终结算价。询价地点不得少于3个，覆盖超市和农贸市场</w:t>
      </w:r>
      <w:r>
        <w:rPr>
          <w:rFonts w:hint="eastAsia" w:ascii="宋体" w:hAnsi="宋体" w:cs="宋体"/>
          <w:sz w:val="24"/>
          <w:highlight w:val="none"/>
          <w:lang w:val="en-US" w:eastAsia="zh-CN"/>
        </w:rPr>
        <w:t>等</w:t>
      </w:r>
      <w:r>
        <w:rPr>
          <w:rFonts w:hint="eastAsia" w:ascii="宋体" w:hAnsi="宋体" w:cs="宋体"/>
          <w:sz w:val="24"/>
          <w:highlight w:val="none"/>
          <w:lang w:eastAsia="zh-CN"/>
        </w:rPr>
        <w:t>。</w:t>
      </w:r>
    </w:p>
    <w:p w14:paraId="290B01F1">
      <w:pPr>
        <w:shd w:val="clear" w:color="auto" w:fill="auto"/>
        <w:ind w:firstLine="480"/>
        <w:rPr>
          <w:rFonts w:hint="eastAsia" w:ascii="宋体" w:hAnsi="宋体" w:cs="宋体"/>
          <w:sz w:val="24"/>
          <w:highlight w:val="none"/>
        </w:rPr>
      </w:pPr>
      <w:r>
        <w:rPr>
          <w:rFonts w:hint="eastAsia" w:ascii="宋体" w:hAnsi="宋体" w:cs="宋体"/>
          <w:sz w:val="24"/>
          <w:highlight w:val="none"/>
        </w:rPr>
        <w:t>每月结算一次，如遇特殊情况顺延，因乙方手续不齐全或其它缘故，逾期未能结算的将放置下一个结算日期结算。</w:t>
      </w:r>
    </w:p>
    <w:p w14:paraId="246354DC">
      <w:pPr>
        <w:shd w:val="clear" w:color="auto" w:fill="auto"/>
        <w:ind w:firstLine="480"/>
        <w:rPr>
          <w:rFonts w:hint="eastAsia" w:ascii="宋体" w:hAnsi="宋体" w:cs="宋体"/>
          <w:sz w:val="24"/>
          <w:highlight w:val="none"/>
        </w:rPr>
      </w:pPr>
      <w:r>
        <w:rPr>
          <w:rFonts w:hint="eastAsia" w:ascii="宋体" w:hAnsi="宋体" w:cs="宋体"/>
          <w:sz w:val="24"/>
          <w:highlight w:val="none"/>
        </w:rPr>
        <w:t>2、结算方式:由各学校与中标供应商进行结算，中标供应商须提供等额的符合国家规定的发票。</w:t>
      </w:r>
    </w:p>
    <w:p w14:paraId="6FAE54FB">
      <w:pPr>
        <w:shd w:val="clear" w:color="auto" w:fill="auto"/>
        <w:ind w:firstLine="480"/>
        <w:rPr>
          <w:rFonts w:hint="eastAsia" w:ascii="宋体" w:hAnsi="宋体" w:cs="宋体"/>
          <w:sz w:val="24"/>
          <w:highlight w:val="none"/>
        </w:rPr>
      </w:pPr>
      <w:r>
        <w:rPr>
          <w:rFonts w:hint="eastAsia" w:ascii="宋体" w:hAnsi="宋体" w:cs="宋体"/>
          <w:sz w:val="24"/>
          <w:highlight w:val="none"/>
        </w:rPr>
        <w:t>3、支付方式:银行转账。</w:t>
      </w:r>
    </w:p>
    <w:p w14:paraId="111F5895">
      <w:pPr>
        <w:shd w:val="clear" w:color="auto" w:fill="auto"/>
        <w:ind w:left="105" w:leftChars="50" w:firstLine="361" w:firstLineChars="150"/>
        <w:rPr>
          <w:rFonts w:hint="eastAsia" w:ascii="宋体" w:hAnsi="宋体" w:eastAsia="宋体" w:cs="宋体"/>
          <w:b/>
          <w:sz w:val="24"/>
          <w:highlight w:val="none"/>
          <w:lang w:eastAsia="zh-CN"/>
        </w:rPr>
      </w:pPr>
      <w:r>
        <w:rPr>
          <w:rFonts w:hint="eastAsia" w:ascii="宋体" w:hAnsi="宋体" w:cs="宋体"/>
          <w:b/>
          <w:sz w:val="24"/>
          <w:highlight w:val="none"/>
          <w:lang w:val="en-US" w:eastAsia="zh-CN"/>
        </w:rPr>
        <w:t>八</w:t>
      </w:r>
      <w:r>
        <w:rPr>
          <w:rFonts w:hint="eastAsia" w:ascii="宋体" w:hAnsi="宋体" w:cs="宋体"/>
          <w:b/>
          <w:sz w:val="24"/>
          <w:highlight w:val="none"/>
        </w:rPr>
        <w:t>、</w:t>
      </w:r>
      <w:r>
        <w:rPr>
          <w:rFonts w:hint="eastAsia" w:ascii="宋体" w:hAnsi="宋体" w:cs="宋体"/>
          <w:b/>
          <w:sz w:val="24"/>
          <w:highlight w:val="none"/>
          <w:lang w:eastAsia="zh-CN"/>
        </w:rPr>
        <w:t>验收</w:t>
      </w:r>
    </w:p>
    <w:p w14:paraId="2E7E6635">
      <w:pPr>
        <w:shd w:val="clear" w:color="auto" w:fill="auto"/>
        <w:ind w:firstLine="480"/>
        <w:rPr>
          <w:rFonts w:hint="eastAsia" w:ascii="宋体" w:hAnsi="宋体" w:cs="宋体"/>
          <w:sz w:val="24"/>
          <w:highlight w:val="none"/>
        </w:rPr>
      </w:pPr>
      <w:r>
        <w:rPr>
          <w:rFonts w:hint="eastAsia" w:ascii="宋体" w:hAnsi="宋体" w:cs="宋体"/>
          <w:sz w:val="24"/>
          <w:highlight w:val="none"/>
          <w:lang w:val="en-US" w:eastAsia="zh-CN"/>
        </w:rPr>
        <w:t>1、每次配送量应包含留样1份，（送到每个学校留样1份）由使用单位和中标人共同对所有食品的品种、规格、数量及保质期进行验收</w:t>
      </w:r>
      <w:r>
        <w:rPr>
          <w:rFonts w:hint="eastAsia" w:ascii="宋体" w:hAnsi="宋体" w:cs="宋体"/>
          <w:sz w:val="24"/>
          <w:highlight w:val="none"/>
        </w:rPr>
        <w:t>。</w:t>
      </w:r>
    </w:p>
    <w:p w14:paraId="2E58B38D">
      <w:pPr>
        <w:shd w:val="clear" w:color="auto" w:fill="auto"/>
        <w:ind w:firstLine="48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2</w:t>
      </w:r>
      <w:r>
        <w:rPr>
          <w:rFonts w:hint="eastAsia" w:ascii="宋体" w:hAnsi="宋体" w:cs="宋体"/>
          <w:color w:val="auto"/>
          <w:sz w:val="24"/>
          <w:highlight w:val="none"/>
          <w:lang w:eastAsia="zh-CN"/>
        </w:rPr>
        <w:t>、</w:t>
      </w:r>
      <w:r>
        <w:rPr>
          <w:rFonts w:hint="eastAsia" w:ascii="宋体" w:hAnsi="宋体" w:cs="宋体"/>
          <w:color w:val="auto"/>
          <w:sz w:val="24"/>
          <w:highlight w:val="none"/>
        </w:rPr>
        <w:t>中标人每次供货须向使用单位提供“供货清单 ”（供货清单一式三份，招标人一份，中标人一份，使用单位一份）；经验收合格后，由使用单位在“供货清单 ”上签字。</w:t>
      </w:r>
    </w:p>
    <w:p w14:paraId="5711FC71">
      <w:pPr>
        <w:shd w:val="clear" w:color="auto" w:fill="auto"/>
        <w:autoSpaceDE w:val="0"/>
        <w:autoSpaceDN w:val="0"/>
        <w:adjustRightInd w:val="0"/>
        <w:ind w:firstLine="482"/>
        <w:rPr>
          <w:rFonts w:hint="eastAsia" w:ascii="宋体" w:hAnsi="宋体" w:cs="宋体"/>
          <w:sz w:val="24"/>
          <w:highlight w:val="none"/>
          <w:lang w:val="en-US" w:eastAsia="zh-CN"/>
        </w:rPr>
      </w:pPr>
      <w:r>
        <w:rPr>
          <w:rFonts w:hint="eastAsia" w:ascii="宋体" w:hAnsi="宋体" w:cs="宋体"/>
          <w:sz w:val="24"/>
          <w:highlight w:val="none"/>
          <w:lang w:val="en-US" w:eastAsia="zh-CN"/>
        </w:rPr>
        <w:t>3、若验收不合格，中标单位必须及时换货，保证使用单位的正常使用，否则将终止其供货合同，并赔偿招标人的损失。</w:t>
      </w:r>
    </w:p>
    <w:p w14:paraId="67D06A70">
      <w:pPr>
        <w:shd w:val="clear" w:color="auto" w:fill="auto"/>
        <w:autoSpaceDE w:val="0"/>
        <w:autoSpaceDN w:val="0"/>
        <w:adjustRightInd w:val="0"/>
        <w:ind w:firstLine="482"/>
        <w:rPr>
          <w:rFonts w:hint="eastAsia" w:ascii="宋体" w:hAnsi="宋体" w:cs="宋体"/>
          <w:sz w:val="24"/>
          <w:highlight w:val="none"/>
          <w:lang w:val="en-US" w:eastAsia="zh-CN"/>
        </w:rPr>
      </w:pPr>
      <w:r>
        <w:rPr>
          <w:rFonts w:hint="eastAsia" w:ascii="宋体" w:hAnsi="宋体" w:cs="宋体"/>
          <w:sz w:val="24"/>
          <w:highlight w:val="none"/>
          <w:lang w:val="en-US" w:eastAsia="zh-CN"/>
        </w:rPr>
        <w:t>4、验收依据：</w:t>
      </w:r>
    </w:p>
    <w:p w14:paraId="533D2C23">
      <w:pPr>
        <w:shd w:val="clear" w:color="auto" w:fill="auto"/>
        <w:autoSpaceDE w:val="0"/>
        <w:autoSpaceDN w:val="0"/>
        <w:adjustRightInd w:val="0"/>
        <w:ind w:firstLine="482"/>
        <w:rPr>
          <w:rFonts w:hint="eastAsia" w:ascii="宋体" w:hAnsi="宋体" w:cs="宋体"/>
          <w:sz w:val="24"/>
          <w:highlight w:val="none"/>
          <w:lang w:val="en-US" w:eastAsia="zh-CN"/>
        </w:rPr>
      </w:pPr>
      <w:r>
        <w:rPr>
          <w:rFonts w:hint="eastAsia" w:ascii="宋体" w:hAnsi="宋体" w:cs="宋体"/>
          <w:sz w:val="24"/>
          <w:highlight w:val="none"/>
          <w:lang w:val="en-US" w:eastAsia="zh-CN"/>
        </w:rPr>
        <w:t>（1）合同文本及合同补充文件（条款）。</w:t>
      </w:r>
    </w:p>
    <w:p w14:paraId="30B6EBE3">
      <w:pPr>
        <w:shd w:val="clear" w:color="auto" w:fill="auto"/>
        <w:autoSpaceDE w:val="0"/>
        <w:autoSpaceDN w:val="0"/>
        <w:adjustRightInd w:val="0"/>
        <w:ind w:firstLine="482"/>
        <w:rPr>
          <w:rFonts w:hint="eastAsia" w:ascii="宋体" w:hAnsi="宋体" w:cs="宋体"/>
          <w:sz w:val="24"/>
          <w:highlight w:val="none"/>
          <w:lang w:val="en-US" w:eastAsia="zh-CN"/>
        </w:rPr>
      </w:pPr>
      <w:r>
        <w:rPr>
          <w:rFonts w:hint="eastAsia" w:ascii="宋体" w:hAnsi="宋体" w:cs="宋体"/>
          <w:sz w:val="24"/>
          <w:highlight w:val="none"/>
          <w:lang w:val="en-US" w:eastAsia="zh-CN"/>
        </w:rPr>
        <w:t>（2）国家有关的验收标准及规范。</w:t>
      </w:r>
    </w:p>
    <w:p w14:paraId="73E16998">
      <w:pPr>
        <w:shd w:val="clear" w:color="auto" w:fill="auto"/>
        <w:autoSpaceDE w:val="0"/>
        <w:autoSpaceDN w:val="0"/>
        <w:adjustRightInd w:val="0"/>
        <w:ind w:firstLine="482"/>
        <w:rPr>
          <w:rFonts w:hint="eastAsia" w:ascii="宋体" w:hAnsi="宋体" w:cs="宋体"/>
          <w:sz w:val="24"/>
          <w:highlight w:val="none"/>
          <w:lang w:val="en-US" w:eastAsia="zh-CN"/>
        </w:rPr>
      </w:pPr>
      <w:r>
        <w:rPr>
          <w:rFonts w:hint="eastAsia" w:ascii="宋体" w:hAnsi="宋体" w:cs="宋体"/>
          <w:sz w:val="24"/>
          <w:highlight w:val="none"/>
          <w:lang w:val="en-US" w:eastAsia="zh-CN"/>
        </w:rPr>
        <w:t>（3）招标文件。</w:t>
      </w:r>
    </w:p>
    <w:p w14:paraId="43249FC3">
      <w:pPr>
        <w:shd w:val="clear" w:color="auto" w:fill="auto"/>
        <w:autoSpaceDE w:val="0"/>
        <w:autoSpaceDN w:val="0"/>
        <w:adjustRightInd w:val="0"/>
        <w:ind w:firstLine="482"/>
        <w:rPr>
          <w:rFonts w:hint="eastAsia" w:ascii="宋体" w:hAnsi="宋体" w:cs="宋体"/>
          <w:sz w:val="24"/>
          <w:highlight w:val="none"/>
          <w:lang w:val="en-US" w:eastAsia="zh-CN"/>
        </w:rPr>
      </w:pPr>
      <w:r>
        <w:rPr>
          <w:rFonts w:hint="eastAsia" w:ascii="宋体" w:hAnsi="宋体" w:cs="宋体"/>
          <w:sz w:val="24"/>
          <w:highlight w:val="none"/>
          <w:lang w:val="en-US" w:eastAsia="zh-CN"/>
        </w:rPr>
        <w:t>（4）中标人的投标文件及每批次食品检验报告单。</w:t>
      </w:r>
    </w:p>
    <w:p w14:paraId="3863A9B5">
      <w:pPr>
        <w:shd w:val="clear" w:color="auto" w:fill="auto"/>
        <w:autoSpaceDE w:val="0"/>
        <w:autoSpaceDN w:val="0"/>
        <w:adjustRightInd w:val="0"/>
        <w:ind w:firstLine="482"/>
        <w:rPr>
          <w:rFonts w:hint="eastAsia" w:ascii="宋体" w:hAnsi="宋体" w:cs="宋体"/>
          <w:sz w:val="24"/>
          <w:highlight w:val="none"/>
          <w:lang w:val="en-US" w:eastAsia="zh-CN"/>
        </w:rPr>
      </w:pPr>
      <w:r>
        <w:rPr>
          <w:rFonts w:hint="eastAsia" w:ascii="宋体" w:hAnsi="宋体" w:cs="宋体"/>
          <w:sz w:val="24"/>
          <w:highlight w:val="none"/>
          <w:lang w:val="en-US" w:eastAsia="zh-CN"/>
        </w:rPr>
        <w:t>5、验收标准：</w:t>
      </w:r>
    </w:p>
    <w:p w14:paraId="1EB83073">
      <w:pPr>
        <w:shd w:val="clear" w:color="auto" w:fill="auto"/>
        <w:autoSpaceDE w:val="0"/>
        <w:autoSpaceDN w:val="0"/>
        <w:adjustRightInd w:val="0"/>
        <w:ind w:firstLine="482"/>
        <w:rPr>
          <w:rFonts w:hint="eastAsia" w:ascii="宋体" w:hAnsi="宋体" w:cs="宋体"/>
          <w:sz w:val="24"/>
          <w:highlight w:val="none"/>
          <w:lang w:val="en-US" w:eastAsia="zh-CN"/>
        </w:rPr>
      </w:pPr>
      <w:r>
        <w:rPr>
          <w:rFonts w:hint="eastAsia" w:ascii="宋体" w:hAnsi="宋体" w:cs="宋体"/>
          <w:sz w:val="24"/>
          <w:highlight w:val="none"/>
          <w:lang w:val="en-US" w:eastAsia="zh-CN"/>
        </w:rPr>
        <w:t>投标供应商每次随货送上一式三份的送货清单，招标人须指派专人接收、称重并验收菜品质量；验收合格后由招标人指定验收员签字核认，作为结算凭证。对不符合质量的品种，甲方有权退、换货。货品验收合格后签收。库管、采购员负责入库食品检验，值班厨师配合质量验收，食品验收填写《原料购进验收单》，验收标准如下：</w:t>
      </w:r>
    </w:p>
    <w:p w14:paraId="35265330">
      <w:pPr>
        <w:shd w:val="clear" w:color="auto" w:fill="auto"/>
        <w:autoSpaceDE w:val="0"/>
        <w:autoSpaceDN w:val="0"/>
        <w:adjustRightInd w:val="0"/>
        <w:ind w:firstLine="482"/>
        <w:rPr>
          <w:rFonts w:hint="eastAsia" w:ascii="宋体" w:hAnsi="宋体" w:cs="宋体"/>
          <w:sz w:val="24"/>
          <w:highlight w:val="none"/>
          <w:lang w:val="en-US" w:eastAsia="zh-CN"/>
        </w:rPr>
      </w:pPr>
      <w:r>
        <w:rPr>
          <w:rFonts w:hint="eastAsia" w:ascii="宋体" w:hAnsi="宋体" w:cs="宋体"/>
          <w:sz w:val="24"/>
          <w:highlight w:val="none"/>
          <w:lang w:val="en-US" w:eastAsia="zh-CN"/>
        </w:rPr>
        <w:t>（1）定型包装食品，应检验包装标识或者产品说明书是否标出品名、产地、厂名、生产日期、批号或者代号、规格、配方或者主要成分、保质期限、食用或者使用方法等，防止购进假冒伪劣产品，禁止“三无 ”产品进入食堂；</w:t>
      </w:r>
    </w:p>
    <w:p w14:paraId="78253A12">
      <w:pPr>
        <w:shd w:val="clear" w:color="auto" w:fill="auto"/>
        <w:autoSpaceDE w:val="0"/>
        <w:autoSpaceDN w:val="0"/>
        <w:adjustRightInd w:val="0"/>
        <w:ind w:firstLine="482"/>
        <w:rPr>
          <w:rFonts w:hint="eastAsia" w:ascii="宋体" w:hAnsi="宋体" w:cs="宋体"/>
          <w:sz w:val="24"/>
          <w:highlight w:val="none"/>
          <w:lang w:val="en-US" w:eastAsia="zh-CN"/>
        </w:rPr>
      </w:pPr>
      <w:r>
        <w:rPr>
          <w:rFonts w:hint="eastAsia" w:ascii="宋体" w:hAnsi="宋体" w:cs="宋体"/>
          <w:sz w:val="24"/>
          <w:highlight w:val="none"/>
          <w:lang w:val="en-US" w:eastAsia="zh-CN"/>
        </w:rPr>
        <w:t>（2）主要食材中的定型包装食品，如米面油类，投标供应商需要提供生产厂家的食品生产许可证；</w:t>
      </w:r>
    </w:p>
    <w:p w14:paraId="39BFC08C">
      <w:pPr>
        <w:shd w:val="clear" w:color="auto" w:fill="auto"/>
        <w:autoSpaceDE w:val="0"/>
        <w:autoSpaceDN w:val="0"/>
        <w:adjustRightInd w:val="0"/>
        <w:ind w:firstLine="482"/>
        <w:rPr>
          <w:rFonts w:hint="eastAsia" w:ascii="宋体" w:hAnsi="宋体" w:cs="宋体"/>
          <w:sz w:val="24"/>
          <w:highlight w:val="none"/>
          <w:lang w:val="en-US" w:eastAsia="zh-CN"/>
        </w:rPr>
      </w:pPr>
      <w:r>
        <w:rPr>
          <w:rFonts w:hint="eastAsia" w:ascii="宋体" w:hAnsi="宋体" w:cs="宋体"/>
          <w:sz w:val="24"/>
          <w:highlight w:val="none"/>
          <w:lang w:val="en-US" w:eastAsia="zh-CN"/>
        </w:rPr>
        <w:t>（3）包装污秽不洁、严重破损、运输工具不洁等造成污染的产品不得验收入库；</w:t>
      </w:r>
    </w:p>
    <w:p w14:paraId="096A5B0F">
      <w:pPr>
        <w:shd w:val="clear" w:color="auto" w:fill="auto"/>
        <w:autoSpaceDE w:val="0"/>
        <w:autoSpaceDN w:val="0"/>
        <w:adjustRightInd w:val="0"/>
        <w:ind w:firstLine="482"/>
        <w:rPr>
          <w:rFonts w:hint="eastAsia" w:ascii="宋体" w:hAnsi="宋体" w:cs="宋体"/>
          <w:sz w:val="24"/>
          <w:highlight w:val="none"/>
          <w:lang w:val="en-US" w:eastAsia="zh-CN"/>
        </w:rPr>
      </w:pPr>
      <w:r>
        <w:rPr>
          <w:rFonts w:hint="eastAsia" w:ascii="宋体" w:hAnsi="宋体" w:cs="宋体"/>
          <w:sz w:val="24"/>
          <w:highlight w:val="none"/>
          <w:lang w:val="en-US" w:eastAsia="zh-CN"/>
        </w:rPr>
        <w:t>（4）非定型包装的食品（或原材料）需进行感官检查：若发现腐败变质、油脂酸度、霉变、生虫、不洁，混有异物或者其他感官性状异常现象，不得入库；未经卫生检验部门或者检验不合格的肉类及其制品不得入库；掺假、掺杂、伪造的食品不得入库。</w:t>
      </w:r>
    </w:p>
    <w:p w14:paraId="4BBCA6F4">
      <w:pPr>
        <w:shd w:val="clear" w:color="auto" w:fill="auto"/>
        <w:autoSpaceDE w:val="0"/>
        <w:autoSpaceDN w:val="0"/>
        <w:adjustRightInd w:val="0"/>
        <w:ind w:firstLine="482"/>
        <w:rPr>
          <w:rFonts w:hint="eastAsia" w:ascii="宋体" w:hAnsi="宋体" w:cs="宋体"/>
          <w:sz w:val="24"/>
          <w:highlight w:val="none"/>
          <w:lang w:val="en-US" w:eastAsia="zh-CN"/>
        </w:rPr>
      </w:pPr>
      <w:r>
        <w:rPr>
          <w:rFonts w:hint="eastAsia" w:ascii="宋体" w:hAnsi="宋体" w:cs="宋体"/>
          <w:sz w:val="24"/>
          <w:highlight w:val="none"/>
          <w:lang w:val="en-US" w:eastAsia="zh-CN"/>
        </w:rPr>
        <w:t>（5）食堂采购员、库管员和值班厨师共同对所购食品原辅料的质量、数量进行核对验收，验收合格的及时入库，并在《原料购进验收单》上签字确认。不合格产品应及时退回投标供应商，同时做好验收记录。</w:t>
      </w:r>
    </w:p>
    <w:p w14:paraId="0F6DDA1A">
      <w:pPr>
        <w:shd w:val="clear" w:color="auto" w:fill="auto"/>
        <w:autoSpaceDE w:val="0"/>
        <w:autoSpaceDN w:val="0"/>
        <w:adjustRightInd w:val="0"/>
        <w:ind w:firstLine="482"/>
        <w:rPr>
          <w:rFonts w:hint="eastAsia" w:ascii="宋体" w:hAnsi="宋体" w:cs="宋体"/>
          <w:sz w:val="24"/>
          <w:highlight w:val="none"/>
          <w:lang w:val="en-US" w:eastAsia="zh-CN"/>
        </w:rPr>
      </w:pPr>
      <w:r>
        <w:rPr>
          <w:rFonts w:hint="eastAsia" w:ascii="宋体" w:hAnsi="宋体" w:cs="宋体"/>
          <w:sz w:val="24"/>
          <w:highlight w:val="none"/>
          <w:lang w:val="en-US" w:eastAsia="zh-CN"/>
        </w:rPr>
        <w:t>（6）入库时，保管员要清点入库物品的数量、规格，做到数量、规格、品种准确无误，入库时按不同的材质、规格、功能和要求，分类、分别储存，做到账物相符。</w:t>
      </w:r>
    </w:p>
    <w:p w14:paraId="135555B1">
      <w:pPr>
        <w:shd w:val="clear" w:color="auto" w:fill="auto"/>
        <w:autoSpaceDE w:val="0"/>
        <w:autoSpaceDN w:val="0"/>
        <w:adjustRightInd w:val="0"/>
        <w:ind w:firstLine="482"/>
        <w:rPr>
          <w:rFonts w:hint="eastAsia" w:ascii="宋体" w:hAnsi="宋体" w:cs="宋体"/>
          <w:sz w:val="24"/>
          <w:highlight w:val="none"/>
          <w:lang w:val="en-US" w:eastAsia="zh-CN"/>
        </w:rPr>
      </w:pPr>
      <w:r>
        <w:rPr>
          <w:rFonts w:hint="eastAsia" w:ascii="宋体" w:hAnsi="宋体" w:cs="宋体"/>
          <w:sz w:val="24"/>
          <w:highlight w:val="none"/>
          <w:lang w:val="en-US" w:eastAsia="zh-CN"/>
        </w:rPr>
        <w:t>6、包装与质量要求</w:t>
      </w:r>
    </w:p>
    <w:p w14:paraId="6B16C659">
      <w:pPr>
        <w:shd w:val="clear" w:color="auto" w:fill="auto"/>
        <w:autoSpaceDE w:val="0"/>
        <w:autoSpaceDN w:val="0"/>
        <w:adjustRightInd w:val="0"/>
        <w:ind w:firstLine="482"/>
        <w:rPr>
          <w:rFonts w:hint="default" w:ascii="宋体" w:hAnsi="宋体" w:cs="宋体"/>
          <w:sz w:val="24"/>
          <w:highlight w:val="none"/>
          <w:lang w:val="en-US" w:eastAsia="zh-CN"/>
        </w:rPr>
      </w:pPr>
      <w:r>
        <w:rPr>
          <w:rFonts w:hint="eastAsia" w:ascii="宋体" w:hAnsi="宋体" w:cs="宋体"/>
          <w:sz w:val="24"/>
          <w:highlight w:val="none"/>
          <w:lang w:val="en-US" w:eastAsia="zh-CN"/>
        </w:rPr>
        <w:t>（1）</w:t>
      </w:r>
      <w:r>
        <w:rPr>
          <w:rFonts w:hint="default" w:ascii="宋体" w:hAnsi="宋体" w:cs="宋体"/>
          <w:sz w:val="24"/>
          <w:highlight w:val="none"/>
          <w:lang w:val="en-US" w:eastAsia="zh-CN"/>
        </w:rPr>
        <w:t>外包装完好无损、无杂质、无污染、商标图案清晰、有生产日期、无霉变情况，保质期大米、小麦粉、食用油、肉、蛋等配送到学校的出厂日期为最近的生产日期。因运输装卸过程中造成的损耗（例如包装严重变形、破损、食品污染、变异等）、发现的破损、变异食品必须无条件一对一更换。</w:t>
      </w:r>
    </w:p>
    <w:p w14:paraId="015D92BC">
      <w:pPr>
        <w:shd w:val="clear" w:color="auto" w:fill="auto"/>
        <w:autoSpaceDE w:val="0"/>
        <w:autoSpaceDN w:val="0"/>
        <w:adjustRightInd w:val="0"/>
        <w:ind w:firstLine="482"/>
        <w:rPr>
          <w:rFonts w:hint="default" w:ascii="宋体" w:hAnsi="宋体" w:cs="宋体"/>
          <w:sz w:val="24"/>
          <w:highlight w:val="none"/>
          <w:lang w:val="en-US" w:eastAsia="zh-CN"/>
        </w:rPr>
      </w:pPr>
      <w:r>
        <w:rPr>
          <w:rFonts w:hint="eastAsia" w:ascii="宋体" w:hAnsi="宋体" w:cs="宋体"/>
          <w:sz w:val="24"/>
          <w:highlight w:val="none"/>
          <w:lang w:val="en-US" w:eastAsia="zh-CN"/>
        </w:rPr>
        <w:t>（2）</w:t>
      </w:r>
      <w:r>
        <w:rPr>
          <w:rFonts w:hint="default" w:ascii="宋体" w:hAnsi="宋体" w:cs="宋体"/>
          <w:sz w:val="24"/>
          <w:highlight w:val="none"/>
          <w:lang w:val="en-US" w:eastAsia="zh-CN"/>
        </w:rPr>
        <w:t>肉及肉制品类供货：产品应为在政府规定的屠宰场所屠杀的生鲜禽畜肉；产品应符合国家食品安全标准；产品应经检验、检疫合格，有相应的检验、检疫证明，有当地农业农村主管部门出具的动物检疫合格证明、有当地农业农村主管部门定点屠宰厂“瘦肉精”残留检测合格证明和肉品品质检验合格证供采购人随时抽查，抽查发现供应商提供的证明材料与鲜肉不符时，按相关法律法规进行处罚。肉类及冷鲜食品运输时必须单独分开并使用冷链设备。</w:t>
      </w:r>
    </w:p>
    <w:p w14:paraId="4E9F656C">
      <w:pPr>
        <w:shd w:val="clear" w:color="auto" w:fill="auto"/>
        <w:autoSpaceDE w:val="0"/>
        <w:autoSpaceDN w:val="0"/>
        <w:adjustRightInd w:val="0"/>
        <w:ind w:firstLine="482"/>
        <w:rPr>
          <w:rFonts w:hint="default" w:ascii="宋体" w:hAnsi="宋体" w:cs="宋体"/>
          <w:sz w:val="24"/>
          <w:highlight w:val="none"/>
          <w:lang w:val="en-US" w:eastAsia="zh-CN"/>
        </w:rPr>
      </w:pPr>
      <w:r>
        <w:rPr>
          <w:rFonts w:hint="eastAsia" w:ascii="宋体" w:hAnsi="宋体" w:cs="宋体"/>
          <w:sz w:val="24"/>
          <w:highlight w:val="none"/>
          <w:lang w:val="en-US" w:eastAsia="zh-CN"/>
        </w:rPr>
        <w:t>（3）</w:t>
      </w:r>
      <w:r>
        <w:rPr>
          <w:rFonts w:hint="default" w:ascii="宋体" w:hAnsi="宋体" w:cs="宋体"/>
          <w:sz w:val="24"/>
          <w:highlight w:val="none"/>
          <w:lang w:val="en-US" w:eastAsia="zh-CN"/>
        </w:rPr>
        <w:t>不得提供未经检疫（检验）或者检疫（检验）不合格的肉类品（含熟制品），对带骨头肉制品按要求切块，或根据采购方要求对肉制品进行其他加工（切片、绞肉等），须当批次产品质量合格证明供采购人随时抽查，抽查发现供应商提供的物资合格证材料与本批次物资不符时，按相关法律法规进行处罚。</w:t>
      </w:r>
    </w:p>
    <w:p w14:paraId="1CFD69BD">
      <w:pPr>
        <w:shd w:val="clear" w:color="auto" w:fill="auto"/>
        <w:autoSpaceDE w:val="0"/>
        <w:autoSpaceDN w:val="0"/>
        <w:adjustRightInd w:val="0"/>
        <w:ind w:firstLine="482"/>
        <w:rPr>
          <w:rFonts w:hint="default" w:ascii="宋体" w:hAnsi="宋体" w:cs="宋体"/>
          <w:sz w:val="24"/>
          <w:highlight w:val="none"/>
          <w:lang w:val="en-US" w:eastAsia="zh-CN"/>
        </w:rPr>
      </w:pPr>
      <w:r>
        <w:rPr>
          <w:rFonts w:hint="eastAsia" w:ascii="宋体" w:hAnsi="宋体" w:cs="宋体"/>
          <w:sz w:val="24"/>
          <w:highlight w:val="none"/>
          <w:lang w:val="en-US" w:eastAsia="zh-CN"/>
        </w:rPr>
        <w:t>（4）</w:t>
      </w:r>
      <w:r>
        <w:rPr>
          <w:rFonts w:hint="default" w:ascii="宋体" w:hAnsi="宋体" w:cs="宋体"/>
          <w:sz w:val="24"/>
          <w:highlight w:val="none"/>
          <w:lang w:val="en-US" w:eastAsia="zh-CN"/>
        </w:rPr>
        <w:t>蛋类供货：应符合中国现行国家农业标准、行业标准和食品安全标准，不得超过有害物质残留标准，产品包装外观应整齐无残缺，无破损，不得有发霉等异味，包装要足斤足量，干净整洁，不得受潮，不得破损。</w:t>
      </w:r>
    </w:p>
    <w:p w14:paraId="4653AE8A">
      <w:pPr>
        <w:shd w:val="clear" w:color="auto" w:fill="auto"/>
        <w:autoSpaceDE w:val="0"/>
        <w:autoSpaceDN w:val="0"/>
        <w:adjustRightInd w:val="0"/>
        <w:ind w:firstLine="482"/>
        <w:rPr>
          <w:rFonts w:hint="default" w:ascii="宋体" w:hAnsi="宋体" w:cs="宋体"/>
          <w:sz w:val="24"/>
          <w:highlight w:val="none"/>
          <w:lang w:val="en-US" w:eastAsia="zh-CN"/>
        </w:rPr>
      </w:pPr>
      <w:r>
        <w:rPr>
          <w:rFonts w:hint="eastAsia" w:ascii="宋体" w:hAnsi="宋体" w:cs="宋体"/>
          <w:sz w:val="24"/>
          <w:highlight w:val="none"/>
          <w:lang w:val="en-US" w:eastAsia="zh-CN"/>
        </w:rPr>
        <w:t>（5）</w:t>
      </w:r>
      <w:r>
        <w:rPr>
          <w:rFonts w:hint="default" w:ascii="宋体" w:hAnsi="宋体" w:cs="宋体"/>
          <w:sz w:val="24"/>
          <w:highlight w:val="none"/>
          <w:lang w:val="en-US" w:eastAsia="zh-CN"/>
        </w:rPr>
        <w:t>保质期出现的质量问题由中标供应商负责解决并承担所有费用。</w:t>
      </w:r>
    </w:p>
    <w:p w14:paraId="66AD87A9">
      <w:pPr>
        <w:shd w:val="clear" w:color="auto" w:fill="auto"/>
        <w:autoSpaceDE w:val="0"/>
        <w:autoSpaceDN w:val="0"/>
        <w:adjustRightInd w:val="0"/>
        <w:ind w:firstLine="482"/>
        <w:rPr>
          <w:rFonts w:hint="default" w:ascii="宋体" w:hAnsi="宋体" w:cs="宋体"/>
          <w:sz w:val="24"/>
          <w:highlight w:val="none"/>
          <w:lang w:val="en-US" w:eastAsia="zh-CN"/>
        </w:rPr>
      </w:pPr>
      <w:r>
        <w:rPr>
          <w:rFonts w:hint="eastAsia" w:ascii="宋体" w:hAnsi="宋体" w:cs="宋体"/>
          <w:sz w:val="24"/>
          <w:highlight w:val="none"/>
          <w:lang w:val="en-US" w:eastAsia="zh-CN"/>
        </w:rPr>
        <w:t>（6）</w:t>
      </w:r>
      <w:r>
        <w:rPr>
          <w:rFonts w:hint="default" w:ascii="宋体" w:hAnsi="宋体" w:cs="宋体"/>
          <w:sz w:val="24"/>
          <w:highlight w:val="none"/>
          <w:lang w:val="en-US" w:eastAsia="zh-CN"/>
        </w:rPr>
        <w:t>货物包装应完好无破漏，可视的内容物无腐败霉变或影响使用的变型，不存在危及人身、财产安全的不合理危险。</w:t>
      </w:r>
    </w:p>
    <w:p w14:paraId="1C352D29">
      <w:pPr>
        <w:shd w:val="clear" w:color="auto" w:fill="auto"/>
        <w:autoSpaceDE w:val="0"/>
        <w:autoSpaceDN w:val="0"/>
        <w:adjustRightInd w:val="0"/>
        <w:ind w:firstLine="482"/>
        <w:rPr>
          <w:rFonts w:hint="default" w:ascii="宋体" w:hAnsi="宋体" w:cs="宋体"/>
          <w:sz w:val="24"/>
          <w:highlight w:val="none"/>
          <w:lang w:val="en-US" w:eastAsia="zh-CN"/>
        </w:rPr>
      </w:pPr>
      <w:r>
        <w:rPr>
          <w:rFonts w:hint="eastAsia" w:ascii="宋体" w:hAnsi="宋体" w:cs="宋体"/>
          <w:sz w:val="24"/>
          <w:highlight w:val="none"/>
          <w:lang w:val="en-US" w:eastAsia="zh-CN"/>
        </w:rPr>
        <w:t>（7）</w:t>
      </w:r>
      <w:r>
        <w:rPr>
          <w:rFonts w:hint="default" w:ascii="宋体" w:hAnsi="宋体" w:cs="宋体"/>
          <w:sz w:val="24"/>
          <w:highlight w:val="none"/>
          <w:lang w:val="en-US" w:eastAsia="zh-CN"/>
        </w:rPr>
        <w:t>食品包装标签应符合《食品安全国家标准预包装食品标签通则》(GB 7718-2011) 要求，包括食品名称、配料表、净含量、规格、制造商（或）经销者的名称、地址和联系方式、生产日期和保质期、贮存条件、食品生产许可证编号、产品标准代号等内容。</w:t>
      </w:r>
    </w:p>
    <w:p w14:paraId="4CB914DC">
      <w:pPr>
        <w:shd w:val="clear" w:color="auto" w:fill="auto"/>
        <w:autoSpaceDE w:val="0"/>
        <w:autoSpaceDN w:val="0"/>
        <w:adjustRightInd w:val="0"/>
        <w:ind w:firstLine="482"/>
        <w:rPr>
          <w:rFonts w:hint="default" w:ascii="宋体" w:hAnsi="宋体" w:cs="宋体"/>
          <w:sz w:val="24"/>
          <w:highlight w:val="none"/>
          <w:lang w:val="en-US" w:eastAsia="zh-CN"/>
        </w:rPr>
      </w:pPr>
      <w:r>
        <w:rPr>
          <w:rFonts w:hint="eastAsia" w:ascii="宋体" w:hAnsi="宋体" w:cs="宋体"/>
          <w:sz w:val="24"/>
          <w:highlight w:val="none"/>
          <w:lang w:val="en-US" w:eastAsia="zh-CN"/>
        </w:rPr>
        <w:t>（8）</w:t>
      </w:r>
      <w:r>
        <w:rPr>
          <w:rFonts w:hint="default" w:ascii="宋体" w:hAnsi="宋体" w:cs="宋体"/>
          <w:sz w:val="24"/>
          <w:highlight w:val="none"/>
          <w:lang w:val="en-US" w:eastAsia="zh-CN"/>
        </w:rPr>
        <w:t>供应商配送的食品应当符合</w:t>
      </w:r>
      <w:r>
        <w:rPr>
          <w:rFonts w:hint="eastAsia" w:ascii="宋体" w:hAnsi="宋体" w:cs="宋体"/>
          <w:sz w:val="24"/>
          <w:highlight w:val="none"/>
          <w:lang w:val="en-US" w:eastAsia="zh-CN"/>
        </w:rPr>
        <w:t>《中华人民共和国食品安全法》</w:t>
      </w:r>
      <w:r>
        <w:rPr>
          <w:rFonts w:hint="default" w:ascii="宋体" w:hAnsi="宋体" w:cs="宋体"/>
          <w:sz w:val="24"/>
          <w:highlight w:val="none"/>
          <w:lang w:val="en-US" w:eastAsia="zh-CN"/>
        </w:rPr>
        <w:t>等相关法律法规规定的质量标准，未具体约定的应当符合国家食品安全要求的质量标准；没有国家标准的按照本省地方标准执行；无国家质量标准或本省地方标准的，按照通常标准或者符合合同目的的特定标准履行。不得提供腐败变质、油脂酸败、霉变、生虫、污秽不洁、混有异物或者其他感官性状异常、含有毒有害物质或者被有毒有害物质污染，可能对人体健康有害的物品。</w:t>
      </w:r>
    </w:p>
    <w:p w14:paraId="2F8E7905">
      <w:pPr>
        <w:shd w:val="clear" w:color="auto" w:fill="auto"/>
        <w:autoSpaceDE w:val="0"/>
        <w:autoSpaceDN w:val="0"/>
        <w:adjustRightInd w:val="0"/>
        <w:ind w:firstLine="482"/>
        <w:rPr>
          <w:rFonts w:hint="default" w:ascii="宋体" w:hAnsi="宋体" w:cs="宋体"/>
          <w:sz w:val="24"/>
          <w:highlight w:val="none"/>
          <w:lang w:val="en-US" w:eastAsia="zh-CN"/>
        </w:rPr>
      </w:pPr>
      <w:r>
        <w:rPr>
          <w:rFonts w:hint="eastAsia" w:ascii="宋体" w:hAnsi="宋体" w:cs="宋体"/>
          <w:sz w:val="24"/>
          <w:highlight w:val="none"/>
          <w:lang w:val="en-US" w:eastAsia="zh-CN"/>
        </w:rPr>
        <w:t>（9）</w:t>
      </w:r>
      <w:r>
        <w:rPr>
          <w:rFonts w:hint="default" w:ascii="宋体" w:hAnsi="宋体" w:cs="宋体"/>
          <w:sz w:val="24"/>
          <w:highlight w:val="none"/>
          <w:lang w:val="en-US" w:eastAsia="zh-CN"/>
        </w:rPr>
        <w:t>不得提供未经检测或者检测不合格的蔬菜，须当批次蔬菜农药残留检测报告供采购人随时抽查，抽查发现供应商提供的物资合格证材料与本批次物资不符时，按相关法律法规进行处罚。</w:t>
      </w:r>
    </w:p>
    <w:p w14:paraId="4C117BB8">
      <w:pPr>
        <w:shd w:val="clear" w:color="auto" w:fill="auto"/>
        <w:autoSpaceDE w:val="0"/>
        <w:autoSpaceDN w:val="0"/>
        <w:adjustRightInd w:val="0"/>
        <w:ind w:firstLine="482"/>
        <w:rPr>
          <w:rFonts w:hint="default" w:ascii="宋体" w:hAnsi="宋体" w:cs="宋体"/>
          <w:sz w:val="24"/>
          <w:highlight w:val="none"/>
          <w:lang w:val="en-US" w:eastAsia="zh-CN"/>
        </w:rPr>
      </w:pPr>
      <w:r>
        <w:rPr>
          <w:rFonts w:hint="eastAsia" w:ascii="宋体" w:hAnsi="宋体" w:cs="宋体"/>
          <w:sz w:val="24"/>
          <w:highlight w:val="none"/>
          <w:lang w:val="en-US" w:eastAsia="zh-CN"/>
        </w:rPr>
        <w:t>（10）</w:t>
      </w:r>
      <w:r>
        <w:rPr>
          <w:rFonts w:hint="default" w:ascii="宋体" w:hAnsi="宋体" w:cs="宋体"/>
          <w:sz w:val="24"/>
          <w:highlight w:val="none"/>
          <w:lang w:val="en-US" w:eastAsia="zh-CN"/>
        </w:rPr>
        <w:t>不得提供来历不明、不能提供相应产品标签的散装物品。</w:t>
      </w:r>
    </w:p>
    <w:p w14:paraId="62DE5D81">
      <w:pPr>
        <w:shd w:val="clear" w:color="auto" w:fill="auto"/>
        <w:autoSpaceDE w:val="0"/>
        <w:autoSpaceDN w:val="0"/>
        <w:adjustRightInd w:val="0"/>
        <w:ind w:firstLine="482"/>
        <w:rPr>
          <w:rFonts w:hint="default" w:ascii="宋体" w:hAnsi="宋体" w:cs="宋体"/>
          <w:sz w:val="24"/>
          <w:highlight w:val="none"/>
          <w:lang w:val="en-US" w:eastAsia="zh-CN"/>
        </w:rPr>
      </w:pPr>
      <w:r>
        <w:rPr>
          <w:rFonts w:hint="eastAsia" w:ascii="宋体" w:hAnsi="宋体" w:cs="宋体"/>
          <w:sz w:val="24"/>
          <w:highlight w:val="none"/>
          <w:lang w:val="en-US" w:eastAsia="zh-CN"/>
        </w:rPr>
        <w:t>（11）</w:t>
      </w:r>
      <w:r>
        <w:rPr>
          <w:rFonts w:hint="default" w:ascii="宋体" w:hAnsi="宋体" w:cs="宋体"/>
          <w:sz w:val="24"/>
          <w:highlight w:val="none"/>
          <w:lang w:val="en-US" w:eastAsia="zh-CN"/>
        </w:rPr>
        <w:t>当天送达食材，在检查过程中发现存在变质腐败、油脂酸败、霉变、生虫、污秽不洁、混有异物或者其他感官性状异常、含有毒有害物质或者被有毒有害物质污染，可能对人体健康有害的物品，供应商必须在当天及时更换货物，如有造成的损失由供应商承担。</w:t>
      </w:r>
    </w:p>
    <w:p w14:paraId="2A57462C">
      <w:pPr>
        <w:shd w:val="clear" w:color="auto" w:fill="auto"/>
        <w:autoSpaceDE w:val="0"/>
        <w:autoSpaceDN w:val="0"/>
        <w:adjustRightInd w:val="0"/>
        <w:ind w:firstLine="482"/>
        <w:rPr>
          <w:rFonts w:hint="default" w:ascii="宋体" w:hAnsi="宋体" w:cs="宋体"/>
          <w:sz w:val="24"/>
          <w:highlight w:val="none"/>
          <w:lang w:val="en-US" w:eastAsia="zh-CN"/>
        </w:rPr>
      </w:pPr>
      <w:r>
        <w:rPr>
          <w:rFonts w:hint="eastAsia" w:ascii="宋体" w:hAnsi="宋体" w:cs="宋体"/>
          <w:sz w:val="24"/>
          <w:highlight w:val="none"/>
          <w:lang w:val="en-US" w:eastAsia="zh-CN"/>
        </w:rPr>
        <w:t>（12）</w:t>
      </w:r>
      <w:r>
        <w:rPr>
          <w:rFonts w:hint="default" w:ascii="宋体" w:hAnsi="宋体" w:cs="宋体"/>
          <w:sz w:val="24"/>
          <w:highlight w:val="none"/>
          <w:lang w:val="en-US" w:eastAsia="zh-CN"/>
        </w:rPr>
        <w:t>供应商提供的食材必须达到国家规定的食品安全标准，蔬菜、调味品等能够按有相应的质量检疫检验报告供采购人随时抽查，抽查发现供应商提供的报告与本批次物资不符时，按照相关法律法规进行处罚。</w:t>
      </w:r>
    </w:p>
    <w:p w14:paraId="0F74D42F">
      <w:pPr>
        <w:shd w:val="clear" w:color="auto" w:fill="auto"/>
        <w:autoSpaceDE w:val="0"/>
        <w:autoSpaceDN w:val="0"/>
        <w:adjustRightInd w:val="0"/>
        <w:ind w:firstLine="482"/>
        <w:rPr>
          <w:rFonts w:hint="default" w:ascii="宋体" w:hAnsi="宋体" w:cs="宋体"/>
          <w:sz w:val="24"/>
          <w:highlight w:val="none"/>
          <w:lang w:val="en-US" w:eastAsia="zh-CN"/>
        </w:rPr>
      </w:pPr>
      <w:r>
        <w:rPr>
          <w:rFonts w:hint="eastAsia" w:ascii="宋体" w:hAnsi="宋体" w:cs="宋体"/>
          <w:sz w:val="24"/>
          <w:highlight w:val="none"/>
          <w:lang w:val="en-US" w:eastAsia="zh-CN"/>
        </w:rPr>
        <w:t>（13）</w:t>
      </w:r>
      <w:r>
        <w:rPr>
          <w:rFonts w:hint="default" w:ascii="宋体" w:hAnsi="宋体" w:cs="宋体"/>
          <w:sz w:val="24"/>
          <w:highlight w:val="none"/>
          <w:lang w:val="en-US" w:eastAsia="zh-CN"/>
        </w:rPr>
        <w:t>食材及原辅材料在送达采购人指定地点时保质期剩余时间应在三分之二以上。</w:t>
      </w:r>
    </w:p>
    <w:p w14:paraId="2C8A5137">
      <w:pPr>
        <w:shd w:val="clear" w:color="auto" w:fill="auto"/>
        <w:autoSpaceDE w:val="0"/>
        <w:autoSpaceDN w:val="0"/>
        <w:adjustRightInd w:val="0"/>
        <w:ind w:firstLine="482"/>
        <w:rPr>
          <w:rFonts w:hint="default" w:ascii="宋体" w:hAnsi="宋体" w:cs="宋体"/>
          <w:sz w:val="24"/>
          <w:highlight w:val="none"/>
          <w:lang w:val="en-US" w:eastAsia="zh-CN"/>
        </w:rPr>
      </w:pPr>
      <w:r>
        <w:rPr>
          <w:rFonts w:hint="eastAsia" w:ascii="宋体" w:hAnsi="宋体" w:cs="宋体"/>
          <w:sz w:val="24"/>
          <w:highlight w:val="none"/>
          <w:lang w:val="en-US" w:eastAsia="zh-CN"/>
        </w:rPr>
        <w:t>（14）</w:t>
      </w:r>
      <w:r>
        <w:rPr>
          <w:rFonts w:hint="default" w:ascii="宋体" w:hAnsi="宋体" w:cs="宋体"/>
          <w:sz w:val="24"/>
          <w:highlight w:val="none"/>
          <w:lang w:val="en-US" w:eastAsia="zh-CN"/>
        </w:rPr>
        <w:t>如因供应商提供的食材，因质量等问题而使采购人员发生食物中毒事件的，供应商将承担相应的法律责任。</w:t>
      </w:r>
    </w:p>
    <w:p w14:paraId="13557235">
      <w:pPr>
        <w:shd w:val="clear" w:color="auto" w:fill="auto"/>
        <w:autoSpaceDE w:val="0"/>
        <w:autoSpaceDN w:val="0"/>
        <w:adjustRightInd w:val="0"/>
        <w:ind w:firstLine="482"/>
        <w:rPr>
          <w:rFonts w:hint="default" w:ascii="宋体" w:hAnsi="宋体" w:cs="宋体"/>
          <w:sz w:val="24"/>
          <w:highlight w:val="none"/>
          <w:lang w:val="en-US" w:eastAsia="zh-CN"/>
        </w:rPr>
      </w:pPr>
      <w:r>
        <w:rPr>
          <w:rFonts w:hint="eastAsia" w:ascii="宋体" w:hAnsi="宋体" w:cs="宋体"/>
          <w:sz w:val="24"/>
          <w:highlight w:val="none"/>
          <w:lang w:val="en-US" w:eastAsia="zh-CN"/>
        </w:rPr>
        <w:t>（15）</w:t>
      </w:r>
      <w:r>
        <w:rPr>
          <w:rFonts w:hint="default" w:ascii="宋体" w:hAnsi="宋体" w:cs="宋体"/>
          <w:sz w:val="24"/>
          <w:highlight w:val="none"/>
          <w:lang w:val="en-US" w:eastAsia="zh-CN"/>
        </w:rPr>
        <w:t>供应商配送的食材应无毒、无害，具有完好的形、色、香、味等性状，并符合下述质量要求。</w:t>
      </w:r>
    </w:p>
    <w:p w14:paraId="78266E3B">
      <w:pPr>
        <w:shd w:val="clear" w:color="auto" w:fill="auto"/>
        <w:autoSpaceDE w:val="0"/>
        <w:autoSpaceDN w:val="0"/>
        <w:adjustRightInd w:val="0"/>
        <w:ind w:firstLine="482"/>
        <w:rPr>
          <w:rFonts w:hint="default" w:ascii="宋体" w:hAnsi="宋体" w:cs="宋体"/>
          <w:sz w:val="24"/>
          <w:highlight w:val="none"/>
          <w:lang w:val="en-US" w:eastAsia="zh-CN"/>
        </w:rPr>
      </w:pPr>
      <w:r>
        <w:rPr>
          <w:rFonts w:hint="default" w:ascii="宋体" w:hAnsi="宋体" w:cs="宋体"/>
          <w:sz w:val="24"/>
          <w:highlight w:val="none"/>
          <w:lang w:val="en-US" w:eastAsia="zh-CN"/>
        </w:rPr>
        <w:t>豆制品供货：豆腐、豆腐干、绿豆芽、黄豆芽、红豆等；须保证食材干净、不含非食品用化学物质、按统一标准加工、存放整齐、无须二次处理可以直接进行熟加工。</w:t>
      </w:r>
    </w:p>
    <w:p w14:paraId="33177AA3">
      <w:pPr>
        <w:shd w:val="clear" w:color="auto" w:fill="auto"/>
        <w:autoSpaceDE w:val="0"/>
        <w:autoSpaceDN w:val="0"/>
        <w:adjustRightInd w:val="0"/>
        <w:ind w:firstLine="482"/>
        <w:rPr>
          <w:rFonts w:hint="default" w:ascii="宋体" w:hAnsi="宋体" w:cs="宋体"/>
          <w:sz w:val="24"/>
          <w:highlight w:val="none"/>
          <w:lang w:val="en-US" w:eastAsia="zh-CN"/>
        </w:rPr>
      </w:pPr>
      <w:r>
        <w:rPr>
          <w:rFonts w:hint="default" w:ascii="宋体" w:hAnsi="宋体" w:cs="宋体"/>
          <w:sz w:val="24"/>
          <w:highlight w:val="none"/>
          <w:lang w:val="en-US" w:eastAsia="zh-CN"/>
        </w:rPr>
        <w:t>蔬菜供货：供应商销售给采购人的蔬菜应当是新鲜、青嫩、干净、无腐烂、无杂质、无杂草、无黄叶、无老叶、无浸水泡水或注水，并提供农药残留检测报告。</w:t>
      </w:r>
    </w:p>
    <w:p w14:paraId="0490B266">
      <w:pPr>
        <w:shd w:val="clear" w:color="auto" w:fill="auto"/>
        <w:autoSpaceDE w:val="0"/>
        <w:autoSpaceDN w:val="0"/>
        <w:adjustRightInd w:val="0"/>
        <w:ind w:firstLine="482"/>
        <w:rPr>
          <w:rFonts w:hint="default" w:ascii="宋体" w:hAnsi="宋体" w:cs="宋体"/>
          <w:sz w:val="24"/>
          <w:highlight w:val="none"/>
          <w:lang w:val="en-US" w:eastAsia="zh-CN"/>
        </w:rPr>
      </w:pPr>
      <w:r>
        <w:rPr>
          <w:rFonts w:hint="default" w:ascii="宋体" w:hAnsi="宋体" w:cs="宋体"/>
          <w:sz w:val="24"/>
          <w:highlight w:val="none"/>
          <w:lang w:val="en-US" w:eastAsia="zh-CN"/>
        </w:rPr>
        <w:t>新鲜指各类蔬菜无腐烂、变质、无臭水伤味、无糟软状态，尤其是黄、绿豆芽鲜菌类应保持应有的新鲜度；青嫩是指绝大多数蔬菜（除冬瓜、南瓜等外）不但青而且嫩；葫芦瓜等要保持青色，外壳不能呈白色；青菜类和白菜类的外叶折断时不能有丝相连不断连的现象；丝瓜、苦瓜等折而易断；鲜蒜苗叶子不黄，头部与杆部一般大小相同；干净、无杂质、无杂草泛指各类蔬菜，特别是根（块）茎类的蔬菜不能有泥巴，鲜蒜、香葱、香菜、洋葱等的根部要干净；无黄叶、老叶主要指青菜、白菜类不能有老叶，鲜蒜、香葱等的杆部应当见白；无浸水、泡水或注水主要指白菜类（含花菜）、瓜果类、鲜菌类及根（块）茎类蔬菜不能浸水、泡水或注水；净菜率须在95%以上。</w:t>
      </w:r>
    </w:p>
    <w:p w14:paraId="630242EB">
      <w:pPr>
        <w:shd w:val="clear" w:color="auto" w:fill="auto"/>
        <w:autoSpaceDE w:val="0"/>
        <w:autoSpaceDN w:val="0"/>
        <w:adjustRightInd w:val="0"/>
        <w:ind w:firstLine="482"/>
        <w:rPr>
          <w:rFonts w:hint="default" w:ascii="宋体" w:hAnsi="宋体" w:cs="宋体"/>
          <w:sz w:val="24"/>
          <w:highlight w:val="none"/>
          <w:lang w:val="en-US" w:eastAsia="zh-CN"/>
        </w:rPr>
      </w:pPr>
      <w:r>
        <w:rPr>
          <w:rFonts w:hint="default" w:ascii="宋体" w:hAnsi="宋体" w:cs="宋体"/>
          <w:sz w:val="24"/>
          <w:highlight w:val="none"/>
          <w:lang w:val="en-US" w:eastAsia="zh-CN"/>
        </w:rPr>
        <w:t>冻货类供货：符合食品安全国家标准，每批次应提供《出厂检验合格证明》；个头饱满，均匀；箱（袋）内无杂质，无破损，无漏气；箱头有生产企业名称，厂址、电话、生产日期，保质期，且剩余保质期不少于质保期三分之二；内包装：要求有聚乙烯薄膜内衬或内包装袋。</w:t>
      </w:r>
    </w:p>
    <w:p w14:paraId="4ABDB17C">
      <w:pPr>
        <w:shd w:val="clear" w:color="auto" w:fill="auto"/>
        <w:autoSpaceDE w:val="0"/>
        <w:autoSpaceDN w:val="0"/>
        <w:adjustRightInd w:val="0"/>
        <w:ind w:firstLine="482"/>
        <w:rPr>
          <w:rFonts w:hint="default" w:ascii="宋体" w:hAnsi="宋体" w:cs="宋体"/>
          <w:sz w:val="24"/>
          <w:highlight w:val="none"/>
          <w:lang w:val="en-US" w:eastAsia="zh-CN"/>
        </w:rPr>
      </w:pPr>
      <w:r>
        <w:rPr>
          <w:rFonts w:hint="default" w:ascii="宋体" w:hAnsi="宋体" w:cs="宋体"/>
          <w:sz w:val="24"/>
          <w:highlight w:val="none"/>
          <w:lang w:val="en-US" w:eastAsia="zh-CN"/>
        </w:rPr>
        <w:t>杂粮、干货、调味品及其他类供货产品无发霉、无变质、无变味、不掺杂、不掺假、不掺水、干货无受潮；产品包装应该有产品名称、厂名、厂址或出产地等，应有产品质量合格证明；产品应符合国家食品法规规定的标准。</w:t>
      </w:r>
    </w:p>
    <w:p w14:paraId="2A6FCA8E">
      <w:pPr>
        <w:shd w:val="clear" w:color="auto" w:fill="auto"/>
        <w:autoSpaceDE w:val="0"/>
        <w:autoSpaceDN w:val="0"/>
        <w:adjustRightInd w:val="0"/>
        <w:ind w:firstLine="482"/>
        <w:rPr>
          <w:rFonts w:hint="default" w:ascii="宋体" w:hAnsi="宋体" w:cs="宋体"/>
          <w:sz w:val="24"/>
          <w:highlight w:val="none"/>
          <w:lang w:val="en-US" w:eastAsia="zh-CN"/>
        </w:rPr>
      </w:pPr>
      <w:r>
        <w:rPr>
          <w:rFonts w:hint="default" w:ascii="宋体" w:hAnsi="宋体" w:cs="宋体"/>
          <w:sz w:val="24"/>
          <w:highlight w:val="none"/>
          <w:lang w:val="en-US" w:eastAsia="zh-CN"/>
        </w:rPr>
        <w:t>供货商应及时提供相关产品的检验、检疫等报告。</w:t>
      </w:r>
    </w:p>
    <w:p w14:paraId="724D39C6">
      <w:pPr>
        <w:shd w:val="clear" w:color="auto" w:fill="auto"/>
        <w:ind w:firstLine="480"/>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九、质量保证</w:t>
      </w:r>
    </w:p>
    <w:p w14:paraId="75250994">
      <w:pPr>
        <w:shd w:val="clear" w:color="auto" w:fill="auto"/>
        <w:ind w:firstLine="480"/>
        <w:rPr>
          <w:rFonts w:hint="eastAsia" w:ascii="宋体" w:hAnsi="宋体" w:cs="宋体"/>
          <w:sz w:val="24"/>
          <w:highlight w:val="none"/>
          <w:lang w:val="en-US" w:eastAsia="zh-CN"/>
        </w:rPr>
      </w:pPr>
      <w:r>
        <w:rPr>
          <w:rFonts w:hint="eastAsia" w:ascii="宋体" w:hAnsi="宋体" w:cs="宋体"/>
          <w:sz w:val="24"/>
          <w:highlight w:val="none"/>
          <w:lang w:val="en-US" w:eastAsia="zh-CN"/>
        </w:rPr>
        <w:t>1、外包装完好无损、无杂质、无污染、商标图案清晰、有生产日期、无霉变情况，保质期大米、面粉、菜籽油、肉、蛋配送到校点的出厂日期为最近的生产日期。因运输装卸过程中造成的损耗（例如包装严重变形、破损、食品污染、变异等）、发现的破损、变异食品必须无条件一对一更换。</w:t>
      </w:r>
    </w:p>
    <w:p w14:paraId="6A21DEA0">
      <w:pPr>
        <w:shd w:val="clear" w:color="auto" w:fill="auto"/>
        <w:ind w:firstLine="480"/>
        <w:rPr>
          <w:rFonts w:hint="eastAsia" w:ascii="宋体" w:hAnsi="宋体" w:cs="宋体"/>
          <w:sz w:val="24"/>
          <w:highlight w:val="none"/>
          <w:lang w:val="en-US" w:eastAsia="zh-CN"/>
        </w:rPr>
      </w:pPr>
      <w:r>
        <w:rPr>
          <w:rFonts w:hint="eastAsia" w:ascii="宋体" w:hAnsi="宋体" w:cs="宋体"/>
          <w:sz w:val="24"/>
          <w:highlight w:val="none"/>
          <w:lang w:val="en-US" w:eastAsia="zh-CN"/>
        </w:rPr>
        <w:t>2、肉制品类供货:产品为在政府规定的屠宰场所屠杀的生鲜禽畜肉；产品应符合国家食品安全标准；产品非病死禽畜肉；产品非“注水 ”禽畜肉、母猪肉、老猪肉；肉质紧密有弹性，手指轻按凹陷地方马上按复，脂肪为白色或乳白色、瘦肉呈红色或粉红色，整体色泽光滑、切面红色、微微湿润但不粘手、无淤血、无注水、无寄虫、肉无异味、臭味；产品应经检验、检疫合格，有相应的检验、检疫证明，有当地卫生主管部门出具的动物检疫合格证明、有当地政府部门定点屠宰厂“瘦肉精 ”残留检测合格证明和肉品品质检验合格证供招标人随时抽查，抽查发现投标供应商提供的证明材料与鲜肉不符时，招标人按本批鲜肉量合同价值的3倍给予处罚。肉类及冷鲜食品运输时必须单独分开并使用冷链设备。</w:t>
      </w:r>
    </w:p>
    <w:p w14:paraId="11D607FB">
      <w:pPr>
        <w:shd w:val="clear" w:color="auto" w:fill="auto"/>
        <w:ind w:firstLine="480"/>
        <w:rPr>
          <w:rFonts w:hint="eastAsia" w:ascii="宋体" w:hAnsi="宋体" w:cs="宋体"/>
          <w:sz w:val="24"/>
          <w:highlight w:val="none"/>
          <w:lang w:val="en-US" w:eastAsia="zh-CN"/>
        </w:rPr>
      </w:pPr>
      <w:r>
        <w:rPr>
          <w:rFonts w:hint="eastAsia" w:ascii="宋体" w:hAnsi="宋体" w:cs="宋体"/>
          <w:sz w:val="24"/>
          <w:highlight w:val="none"/>
          <w:lang w:val="en-US" w:eastAsia="zh-CN"/>
        </w:rPr>
        <w:t>3、不得提供未经检疫或者检疫不合格的肉类品(含熟制品)，对带骨头肉制品按要求切块，或根据采购方要求对肉制品进行其他加工(切片、绞肉等)，须当批次《肉类卫生防疫证明》供招标人随时抽查，抽查发现投标供应商提供的物资合格证材料与本批次物资不符时，每次给予处罚1000元违约金。</w:t>
      </w:r>
    </w:p>
    <w:p w14:paraId="3D7E29ED">
      <w:pPr>
        <w:shd w:val="clear" w:color="auto" w:fill="auto"/>
        <w:ind w:firstLine="480"/>
        <w:rPr>
          <w:rFonts w:hint="eastAsia" w:ascii="宋体" w:hAnsi="宋体" w:cs="宋体"/>
          <w:sz w:val="24"/>
          <w:highlight w:val="none"/>
          <w:lang w:val="en-US" w:eastAsia="zh-CN"/>
        </w:rPr>
      </w:pPr>
      <w:r>
        <w:rPr>
          <w:rFonts w:hint="eastAsia" w:ascii="宋体" w:hAnsi="宋体" w:cs="宋体"/>
          <w:sz w:val="24"/>
          <w:highlight w:val="none"/>
          <w:lang w:val="en-US" w:eastAsia="zh-CN"/>
        </w:rPr>
        <w:t>4、蛋类供货：满足国家标准：GB2749-2015，产品包装外观应无残缺，无破损，不得有发霉等异味，包装要足斤足量，干净整洁，不得受潮，不得破损。</w:t>
      </w:r>
    </w:p>
    <w:p w14:paraId="4B4F02BE">
      <w:pPr>
        <w:shd w:val="clear" w:color="auto" w:fill="auto"/>
        <w:ind w:firstLine="480"/>
        <w:rPr>
          <w:rFonts w:hint="eastAsia" w:ascii="宋体" w:hAnsi="宋体" w:cs="宋体"/>
          <w:sz w:val="24"/>
          <w:highlight w:val="none"/>
          <w:lang w:val="en-US" w:eastAsia="zh-CN"/>
        </w:rPr>
      </w:pPr>
      <w:r>
        <w:rPr>
          <w:rFonts w:hint="eastAsia" w:ascii="宋体" w:hAnsi="宋体" w:cs="宋体"/>
          <w:sz w:val="24"/>
          <w:highlight w:val="none"/>
          <w:lang w:val="en-US" w:eastAsia="zh-CN"/>
        </w:rPr>
        <w:t>5、保质期出现的质量问题由中标人负责解决并承担所有费用。</w:t>
      </w:r>
    </w:p>
    <w:p w14:paraId="437660C6">
      <w:pPr>
        <w:shd w:val="clear" w:color="auto" w:fill="auto"/>
        <w:ind w:firstLine="480"/>
        <w:rPr>
          <w:rFonts w:hint="default" w:ascii="宋体" w:hAnsi="宋体" w:cs="宋体"/>
          <w:sz w:val="24"/>
          <w:highlight w:val="none"/>
          <w:lang w:val="en-US" w:eastAsia="zh-CN"/>
        </w:rPr>
      </w:pPr>
      <w:r>
        <w:rPr>
          <w:rFonts w:hint="eastAsia" w:ascii="宋体" w:hAnsi="宋体" w:cs="宋体"/>
          <w:sz w:val="24"/>
          <w:highlight w:val="none"/>
          <w:lang w:val="en-US" w:eastAsia="zh-CN"/>
        </w:rPr>
        <w:t>6、任何因原材料质量问题导致的食品安全或食物中毒责任，在确认导致问题的原材料品种后，由该投标供应商承担全部法律责任与经济损失，除对招标人进行赔付外，招标人有权单方终止合同。</w:t>
      </w:r>
    </w:p>
    <w:p w14:paraId="722C2F96">
      <w:pPr>
        <w:shd w:val="clear" w:color="auto" w:fill="auto"/>
        <w:ind w:firstLine="480"/>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十、运输及送货</w:t>
      </w:r>
    </w:p>
    <w:p w14:paraId="0A274325">
      <w:pPr>
        <w:shd w:val="clear" w:color="auto" w:fill="auto"/>
        <w:ind w:firstLine="480"/>
        <w:rPr>
          <w:rFonts w:hint="eastAsia" w:ascii="宋体" w:hAnsi="宋体" w:cs="宋体"/>
          <w:sz w:val="24"/>
          <w:highlight w:val="none"/>
          <w:lang w:val="en-US" w:eastAsia="zh-CN"/>
        </w:rPr>
      </w:pPr>
      <w:r>
        <w:rPr>
          <w:rFonts w:hint="eastAsia" w:ascii="宋体" w:hAnsi="宋体" w:cs="宋体"/>
          <w:sz w:val="24"/>
          <w:highlight w:val="none"/>
          <w:lang w:val="en-US" w:eastAsia="zh-CN"/>
        </w:rPr>
        <w:t>1、食材分拣人员及配送人员应提供有效的健康证明。</w:t>
      </w:r>
    </w:p>
    <w:p w14:paraId="00C4211E">
      <w:pPr>
        <w:shd w:val="clear" w:color="auto" w:fill="auto"/>
        <w:ind w:firstLine="480"/>
        <w:rPr>
          <w:rFonts w:hint="default" w:ascii="宋体" w:hAnsi="宋体" w:cs="宋体"/>
          <w:sz w:val="24"/>
          <w:highlight w:val="none"/>
          <w:lang w:val="en-US" w:eastAsia="zh-CN"/>
        </w:rPr>
      </w:pPr>
      <w:r>
        <w:rPr>
          <w:rFonts w:hint="eastAsia" w:ascii="宋体" w:hAnsi="宋体" w:cs="宋体"/>
          <w:sz w:val="24"/>
          <w:highlight w:val="none"/>
          <w:lang w:val="en-US" w:eastAsia="zh-CN"/>
        </w:rPr>
        <w:t>2、运输工具应清洁卫生无污染：食品运输必须采用符合卫生标准的外包装和运载工具，并且要保持清洁和定期消毒。运输车厢的内仓，包括地面、墙面和顶，应使用抗腐蚀、防潮，易清洁消毒的材料。车厢内无不良气味、异味；运输途中严防日晒、雨淋，注意通风散热。食品堆放科学合理，避免造成食品的交叉污染；如对温度有要求的食品应确定食品的温度。鲜肉及冷冻食品需冷链运输。</w:t>
      </w:r>
    </w:p>
    <w:p w14:paraId="77DE1342">
      <w:pPr>
        <w:shd w:val="clear" w:color="auto" w:fill="auto"/>
        <w:ind w:firstLine="480"/>
        <w:rPr>
          <w:rFonts w:hint="eastAsia" w:ascii="宋体" w:hAnsi="宋体" w:cs="宋体"/>
          <w:sz w:val="24"/>
          <w:highlight w:val="none"/>
          <w:lang w:val="en-US" w:eastAsia="zh-CN"/>
        </w:rPr>
      </w:pPr>
      <w:r>
        <w:rPr>
          <w:rFonts w:hint="eastAsia" w:ascii="宋体" w:hAnsi="宋体" w:cs="宋体"/>
          <w:sz w:val="24"/>
          <w:highlight w:val="none"/>
          <w:lang w:val="en-US" w:eastAsia="zh-CN"/>
        </w:rPr>
        <w:t>3、中标人负责按每批次订单所需货物量配送，中标人所报价应综合考虑运杂费及运输保险费，招标人不再额外支付。</w:t>
      </w:r>
    </w:p>
    <w:p w14:paraId="06AEFA26">
      <w:pPr>
        <w:shd w:val="clear" w:color="auto" w:fill="auto"/>
        <w:ind w:firstLine="480"/>
        <w:rPr>
          <w:rFonts w:hint="default" w:ascii="宋体" w:hAnsi="宋体" w:cs="宋体"/>
          <w:sz w:val="24"/>
          <w:highlight w:val="none"/>
          <w:lang w:val="en-US" w:eastAsia="zh-CN"/>
        </w:rPr>
      </w:pPr>
      <w:r>
        <w:rPr>
          <w:rFonts w:hint="default" w:ascii="宋体" w:hAnsi="宋体" w:cs="宋体"/>
          <w:sz w:val="24"/>
          <w:highlight w:val="none"/>
          <w:lang w:val="en-US" w:eastAsia="zh-CN"/>
        </w:rPr>
        <w:t>4、项目实施期间，中标人用于本项目的所有车辆、人员，如若发生安全事故由中标人自行负责。</w:t>
      </w:r>
    </w:p>
    <w:p w14:paraId="0F49DEAA">
      <w:pPr>
        <w:shd w:val="clear" w:color="auto" w:fill="auto"/>
        <w:ind w:firstLine="480"/>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十一、考核标准</w:t>
      </w:r>
    </w:p>
    <w:p w14:paraId="55090050">
      <w:pPr>
        <w:shd w:val="clear" w:color="auto" w:fill="auto"/>
        <w:ind w:firstLine="480"/>
        <w:rPr>
          <w:rFonts w:hint="default" w:ascii="宋体" w:hAnsi="宋体" w:cs="宋体"/>
          <w:sz w:val="24"/>
          <w:highlight w:val="none"/>
          <w:lang w:val="en-US" w:eastAsia="zh-CN"/>
        </w:rPr>
      </w:pPr>
      <w:r>
        <w:rPr>
          <w:rFonts w:hint="default" w:ascii="宋体" w:hAnsi="宋体" w:cs="宋体"/>
          <w:sz w:val="24"/>
          <w:highlight w:val="none"/>
          <w:lang w:val="en-US" w:eastAsia="zh-CN"/>
        </w:rPr>
        <w:t>1、供货商必须按照招标人要求时间每天9点之前准时将所需食材送到招标人指定食堂 (特殊情况供货商需合理安排工作准点送达）并分类整理，完成配送服务且须保证产品质量。招标人如需临时加送食材（应提前2小时通知供货商），供货商必须无条件送达。 日常配送不得迟到，如遇特殊情况需提前告知。如因延迟送货而影响招标人正常开餐，以致耽误生产，招标人有权对供货商追究责任，由供货商赔偿相应所有经济损失，如出现三次延迟送货招标人将终止协议。</w:t>
      </w:r>
    </w:p>
    <w:p w14:paraId="2C1551F0">
      <w:pPr>
        <w:shd w:val="clear" w:color="auto" w:fill="auto"/>
        <w:ind w:firstLine="480"/>
        <w:rPr>
          <w:rFonts w:hint="default" w:ascii="宋体" w:hAnsi="宋体" w:cs="宋体"/>
          <w:sz w:val="24"/>
          <w:highlight w:val="none"/>
          <w:lang w:val="en-US" w:eastAsia="zh-CN"/>
        </w:rPr>
      </w:pPr>
      <w:r>
        <w:rPr>
          <w:rFonts w:hint="default" w:ascii="宋体" w:hAnsi="宋体" w:cs="宋体"/>
          <w:sz w:val="24"/>
          <w:highlight w:val="none"/>
          <w:lang w:val="en-US" w:eastAsia="zh-CN"/>
        </w:rPr>
        <w:t>2、供货商必须提供合格产品，并提供其相应的质量文件。</w:t>
      </w:r>
    </w:p>
    <w:p w14:paraId="6697CCB8">
      <w:pPr>
        <w:shd w:val="clear" w:color="auto" w:fill="auto"/>
        <w:ind w:firstLine="480"/>
        <w:rPr>
          <w:rFonts w:hint="default" w:ascii="宋体" w:hAnsi="宋体" w:cs="宋体"/>
          <w:sz w:val="24"/>
          <w:highlight w:val="none"/>
          <w:lang w:val="en-US" w:eastAsia="zh-CN"/>
        </w:rPr>
      </w:pPr>
      <w:r>
        <w:rPr>
          <w:rFonts w:hint="default" w:ascii="宋体" w:hAnsi="宋体" w:cs="宋体"/>
          <w:sz w:val="24"/>
          <w:highlight w:val="none"/>
          <w:lang w:val="en-US" w:eastAsia="zh-CN"/>
        </w:rPr>
        <w:t>3、供货期间未经招标人同意不得随意变更配送单据的货品名称、数量、品牌等内容，如供货商录单时因疏忽而造成损失，由供货商承担，并</w:t>
      </w:r>
      <w:r>
        <w:rPr>
          <w:rFonts w:hint="eastAsia" w:ascii="宋体" w:hAnsi="宋体" w:cs="宋体"/>
          <w:sz w:val="24"/>
          <w:highlight w:val="none"/>
          <w:lang w:val="en-US" w:eastAsia="zh-CN"/>
        </w:rPr>
        <w:t>给予</w:t>
      </w:r>
      <w:r>
        <w:rPr>
          <w:rFonts w:hint="default" w:ascii="宋体" w:hAnsi="宋体" w:cs="宋体"/>
          <w:sz w:val="24"/>
          <w:highlight w:val="none"/>
          <w:lang w:val="en-US" w:eastAsia="zh-CN"/>
        </w:rPr>
        <w:t>招标人相应的货品补偿。</w:t>
      </w:r>
    </w:p>
    <w:p w14:paraId="154735A3">
      <w:pPr>
        <w:shd w:val="clear" w:color="auto" w:fill="auto"/>
        <w:ind w:firstLine="480"/>
        <w:rPr>
          <w:rFonts w:hint="default" w:ascii="宋体" w:hAnsi="宋体" w:cs="宋体"/>
          <w:sz w:val="24"/>
          <w:highlight w:val="none"/>
          <w:lang w:val="en-US" w:eastAsia="zh-CN"/>
        </w:rPr>
      </w:pPr>
      <w:r>
        <w:rPr>
          <w:rFonts w:hint="default" w:ascii="宋体" w:hAnsi="宋体" w:cs="宋体"/>
          <w:sz w:val="24"/>
          <w:highlight w:val="none"/>
          <w:lang w:val="en-US" w:eastAsia="zh-CN"/>
        </w:rPr>
        <w:t>4、如因市场断货等原因，采购清单中所需食材无法配送，需提前告知招标人，经招标人同意后配送其它品牌食材，未经招标人同意私自更换食材品牌规格，招标人则扣除当日货款的3%作为违约处罚。</w:t>
      </w:r>
      <w:r>
        <w:rPr>
          <w:rFonts w:hint="eastAsia" w:ascii="宋体" w:hAnsi="宋体" w:cs="宋体"/>
          <w:sz w:val="24"/>
          <w:highlight w:val="none"/>
          <w:lang w:val="en-US" w:eastAsia="zh-CN"/>
        </w:rPr>
        <w:t>投标供应商</w:t>
      </w:r>
      <w:r>
        <w:rPr>
          <w:rFonts w:hint="default" w:ascii="宋体" w:hAnsi="宋体" w:cs="宋体"/>
          <w:sz w:val="24"/>
          <w:highlight w:val="none"/>
          <w:lang w:val="en-US" w:eastAsia="zh-CN"/>
        </w:rPr>
        <w:t>禁止在定价周期内，不得以食材涨价缺货为借口，拒绝配送所用食材。如出现此情况，招标人则扣除当日货款的3%作为违约处罚。</w:t>
      </w:r>
    </w:p>
    <w:p w14:paraId="2B88DAA6">
      <w:pPr>
        <w:shd w:val="clear" w:color="auto" w:fill="auto"/>
        <w:ind w:firstLine="480"/>
        <w:rPr>
          <w:rFonts w:hint="default" w:ascii="宋体" w:hAnsi="宋体" w:cs="宋体"/>
          <w:sz w:val="24"/>
          <w:highlight w:val="none"/>
          <w:lang w:val="en-US" w:eastAsia="zh-CN"/>
        </w:rPr>
      </w:pPr>
      <w:r>
        <w:rPr>
          <w:rFonts w:hint="default" w:ascii="宋体" w:hAnsi="宋体" w:cs="宋体"/>
          <w:sz w:val="24"/>
          <w:highlight w:val="none"/>
          <w:lang w:val="en-US" w:eastAsia="zh-CN"/>
        </w:rPr>
        <w:t>5、每次所供货品为同一品质等级货品，不得用其他品质货品替代，不得短斤缺两、破损腐烂等现象，若质量和重量等相关方面未达到要求，应无条件立即退换，所产生的一切费用由供货商自理，如因更换不及时，而影响采购方使用时间的，在一月内出现三次，招标人有权单方终止合同。</w:t>
      </w:r>
    </w:p>
    <w:p w14:paraId="4B6664CB">
      <w:pPr>
        <w:shd w:val="clear" w:color="auto" w:fill="auto"/>
        <w:ind w:firstLine="480"/>
        <w:rPr>
          <w:rFonts w:hint="default" w:ascii="宋体" w:hAnsi="宋体" w:cs="宋体"/>
          <w:sz w:val="24"/>
          <w:highlight w:val="none"/>
          <w:lang w:val="en-US" w:eastAsia="zh-CN"/>
        </w:rPr>
      </w:pPr>
      <w:r>
        <w:rPr>
          <w:rFonts w:hint="default" w:ascii="宋体" w:hAnsi="宋体" w:cs="宋体"/>
          <w:sz w:val="24"/>
          <w:highlight w:val="none"/>
          <w:lang w:val="en-US" w:eastAsia="zh-CN"/>
        </w:rPr>
        <w:t>6、所有配送食材需在外包装外张贴标签注明食材配送日期、所送学校食堂名称、供货商名称、配送人、食材规格等信息。散装食品在标签基础上注明食材出厂日期、保质期。</w:t>
      </w:r>
    </w:p>
    <w:p w14:paraId="7F7369A6">
      <w:pPr>
        <w:shd w:val="clear" w:color="auto" w:fill="auto"/>
        <w:ind w:firstLine="480"/>
        <w:rPr>
          <w:rFonts w:hint="default" w:ascii="宋体" w:hAnsi="宋体" w:cs="宋体"/>
          <w:sz w:val="24"/>
          <w:highlight w:val="none"/>
          <w:lang w:val="en-US" w:eastAsia="zh-CN"/>
        </w:rPr>
      </w:pPr>
      <w:r>
        <w:rPr>
          <w:rFonts w:hint="default" w:ascii="宋体" w:hAnsi="宋体" w:cs="宋体"/>
          <w:sz w:val="24"/>
          <w:highlight w:val="none"/>
          <w:lang w:val="en-US" w:eastAsia="zh-CN"/>
        </w:rPr>
        <w:t>7、保证配送产品斤两的准确性，以招标人的验货称为准，供货商每次随货送上一式三份的送货清单（加盖</w:t>
      </w:r>
      <w:r>
        <w:rPr>
          <w:rFonts w:hint="eastAsia" w:ascii="宋体" w:hAnsi="宋体" w:cs="宋体"/>
          <w:sz w:val="24"/>
          <w:highlight w:val="none"/>
          <w:lang w:val="en-US" w:eastAsia="zh-CN"/>
        </w:rPr>
        <w:t>投标供应商</w:t>
      </w:r>
      <w:r>
        <w:rPr>
          <w:rFonts w:hint="default" w:ascii="宋体" w:hAnsi="宋体" w:cs="宋体"/>
          <w:sz w:val="24"/>
          <w:highlight w:val="none"/>
          <w:lang w:val="en-US" w:eastAsia="zh-CN"/>
        </w:rPr>
        <w:t>公章），招标人验货后双方签字确认，招标人、实施学校、供货商各执一份，作为送收货凭证。供货商配送产品时，送货数量以前一天采购清单数量为准，重量差距以正负3%为限，否则招标人有权退还给供货商。</w:t>
      </w:r>
    </w:p>
    <w:p w14:paraId="0AE82CAF">
      <w:pPr>
        <w:shd w:val="clear" w:color="auto" w:fill="auto"/>
        <w:ind w:firstLine="480"/>
        <w:rPr>
          <w:rFonts w:hint="default" w:ascii="宋体" w:hAnsi="宋体" w:cs="宋体"/>
          <w:sz w:val="24"/>
          <w:highlight w:val="none"/>
          <w:lang w:val="en-US" w:eastAsia="zh-CN"/>
        </w:rPr>
      </w:pPr>
      <w:r>
        <w:rPr>
          <w:rFonts w:hint="default" w:ascii="宋体" w:hAnsi="宋体" w:cs="宋体"/>
          <w:sz w:val="24"/>
          <w:highlight w:val="none"/>
          <w:lang w:val="en-US" w:eastAsia="zh-CN"/>
        </w:rPr>
        <w:t>8、每天食材配送单据必须准确无误，并将食材具体信息标注清楚。</w:t>
      </w:r>
    </w:p>
    <w:p w14:paraId="6E967611">
      <w:pPr>
        <w:shd w:val="clear" w:color="auto" w:fill="auto"/>
        <w:ind w:firstLine="480"/>
        <w:rPr>
          <w:rFonts w:hint="default" w:ascii="宋体" w:hAnsi="宋体" w:cs="宋体"/>
          <w:b/>
          <w:bCs/>
          <w:sz w:val="24"/>
          <w:highlight w:val="none"/>
          <w:lang w:val="en-US" w:eastAsia="zh-CN"/>
        </w:rPr>
      </w:pPr>
      <w:r>
        <w:rPr>
          <w:rFonts w:hint="eastAsia" w:ascii="宋体" w:hAnsi="宋体" w:cs="宋体"/>
          <w:b/>
          <w:bCs/>
          <w:sz w:val="24"/>
          <w:highlight w:val="none"/>
          <w:lang w:val="en-US" w:eastAsia="zh-CN"/>
        </w:rPr>
        <w:t>十二、</w:t>
      </w:r>
      <w:r>
        <w:rPr>
          <w:rFonts w:hint="default" w:ascii="宋体" w:hAnsi="宋体" w:cs="宋体"/>
          <w:b/>
          <w:bCs/>
          <w:sz w:val="24"/>
          <w:highlight w:val="none"/>
          <w:lang w:val="en-US" w:eastAsia="zh-CN"/>
        </w:rPr>
        <w:t>售后服务</w:t>
      </w:r>
    </w:p>
    <w:p w14:paraId="176CEE4E">
      <w:pPr>
        <w:shd w:val="clear" w:color="auto" w:fill="auto"/>
        <w:ind w:firstLine="480"/>
        <w:rPr>
          <w:rFonts w:hint="default" w:ascii="宋体" w:hAnsi="宋体" w:cs="宋体"/>
          <w:sz w:val="24"/>
          <w:highlight w:val="none"/>
          <w:lang w:val="en-US" w:eastAsia="zh-CN"/>
        </w:rPr>
      </w:pPr>
      <w:r>
        <w:rPr>
          <w:rFonts w:hint="default" w:ascii="宋体" w:hAnsi="宋体" w:cs="宋体"/>
          <w:sz w:val="24"/>
          <w:highlight w:val="none"/>
          <w:lang w:val="en-US" w:eastAsia="zh-CN"/>
        </w:rPr>
        <w:t>因产品质量问题出现安全事故，供货商应在2小时内到达现场处理，主动做好协调、救援、安抚、善后等工作。若出现群体呕吐、腹泻等其他情况，经相关职能部门或机构检测确系产品质量问题导致的，由供货商负全责，招标人有权终止合同，所造成的一切经济损失和法律责任由供货商自行承担。</w:t>
      </w:r>
    </w:p>
    <w:p w14:paraId="0239F87A">
      <w:pPr>
        <w:shd w:val="clear" w:color="auto" w:fill="auto"/>
        <w:ind w:firstLine="480"/>
        <w:rPr>
          <w:rFonts w:hint="default" w:ascii="宋体" w:hAnsi="宋体" w:cs="宋体"/>
          <w:sz w:val="24"/>
          <w:highlight w:val="none"/>
          <w:lang w:val="en-US" w:eastAsia="zh-CN"/>
        </w:rPr>
      </w:pPr>
      <w:r>
        <w:rPr>
          <w:rFonts w:hint="default" w:ascii="宋体" w:hAnsi="宋体" w:cs="宋体"/>
          <w:sz w:val="24"/>
          <w:highlight w:val="none"/>
          <w:lang w:val="en-US" w:eastAsia="zh-CN"/>
        </w:rPr>
        <w:t>供货商主要负责人和相关主管人员必须到现场指导、处理，慰问，做好安抚工作和善后处理，并承担一切责任和产生的一切费用。</w:t>
      </w:r>
    </w:p>
    <w:p w14:paraId="6B9F0DAF">
      <w:pPr>
        <w:shd w:val="clear" w:color="auto" w:fill="auto"/>
        <w:ind w:firstLine="480"/>
        <w:rPr>
          <w:rFonts w:hint="default" w:ascii="宋体" w:hAnsi="宋体" w:cs="宋体"/>
          <w:b/>
          <w:bCs/>
          <w:sz w:val="24"/>
          <w:highlight w:val="none"/>
          <w:lang w:val="en-US" w:eastAsia="zh-CN"/>
        </w:rPr>
      </w:pPr>
      <w:r>
        <w:rPr>
          <w:rFonts w:hint="eastAsia" w:ascii="宋体" w:hAnsi="宋体" w:cs="宋体"/>
          <w:b/>
          <w:bCs/>
          <w:sz w:val="24"/>
          <w:highlight w:val="none"/>
          <w:lang w:val="en-US" w:eastAsia="zh-CN"/>
        </w:rPr>
        <w:t>十三、</w:t>
      </w:r>
      <w:r>
        <w:rPr>
          <w:rFonts w:hint="default" w:ascii="宋体" w:hAnsi="宋体" w:cs="宋体"/>
          <w:b/>
          <w:bCs/>
          <w:sz w:val="24"/>
          <w:highlight w:val="none"/>
          <w:lang w:val="en-US" w:eastAsia="zh-CN"/>
        </w:rPr>
        <w:t>其他要求</w:t>
      </w:r>
    </w:p>
    <w:p w14:paraId="62C68344">
      <w:pPr>
        <w:shd w:val="clear" w:color="auto" w:fill="auto"/>
        <w:ind w:firstLine="480"/>
        <w:rPr>
          <w:rFonts w:hint="default" w:ascii="宋体" w:hAnsi="宋体" w:cs="宋体"/>
          <w:sz w:val="24"/>
          <w:highlight w:val="none"/>
          <w:lang w:val="en-US" w:eastAsia="zh-CN"/>
        </w:rPr>
      </w:pPr>
      <w:r>
        <w:rPr>
          <w:rFonts w:hint="default" w:ascii="宋体" w:hAnsi="宋体" w:cs="宋体"/>
          <w:sz w:val="24"/>
          <w:highlight w:val="none"/>
          <w:lang w:val="en-US" w:eastAsia="zh-CN"/>
        </w:rPr>
        <w:t>1、</w:t>
      </w:r>
      <w:r>
        <w:rPr>
          <w:rFonts w:hint="eastAsia" w:ascii="宋体" w:hAnsi="宋体" w:cs="宋体"/>
          <w:sz w:val="24"/>
          <w:highlight w:val="none"/>
          <w:lang w:val="en-US" w:eastAsia="zh-CN"/>
        </w:rPr>
        <w:t>投标供应商</w:t>
      </w:r>
      <w:r>
        <w:rPr>
          <w:rFonts w:hint="default" w:ascii="宋体" w:hAnsi="宋体" w:cs="宋体"/>
          <w:sz w:val="24"/>
          <w:highlight w:val="none"/>
          <w:lang w:val="en-US" w:eastAsia="zh-CN"/>
        </w:rPr>
        <w:t>应严格遵守《中华人民共和国食品卫生法》、《动物检疫法》、《食品安全国家标准食品添加剂使用标准》（GB2760-</w:t>
      </w:r>
      <w:r>
        <w:rPr>
          <w:rFonts w:hint="eastAsia" w:ascii="宋体" w:hAnsi="宋体" w:cs="宋体"/>
          <w:sz w:val="24"/>
          <w:highlight w:val="none"/>
          <w:lang w:val="en-US" w:eastAsia="zh-CN"/>
        </w:rPr>
        <w:t>2024</w:t>
      </w:r>
      <w:r>
        <w:rPr>
          <w:rFonts w:hint="default" w:ascii="宋体" w:hAnsi="宋体" w:cs="宋体"/>
          <w:sz w:val="24"/>
          <w:highlight w:val="none"/>
          <w:lang w:val="en-US" w:eastAsia="zh-CN"/>
        </w:rPr>
        <w:t>）等相关规定，一经发现供应以下食品，除全部退货外，将取消供货单位的供货资格，并由供货商承担由此造成的经济责任和法律责任：</w:t>
      </w:r>
    </w:p>
    <w:p w14:paraId="388EED7E">
      <w:pPr>
        <w:shd w:val="clear" w:color="auto" w:fill="auto"/>
        <w:ind w:firstLine="480"/>
        <w:rPr>
          <w:rFonts w:hint="default" w:ascii="宋体" w:hAnsi="宋体" w:cs="宋体"/>
          <w:sz w:val="24"/>
          <w:highlight w:val="none"/>
          <w:lang w:val="en-US" w:eastAsia="zh-CN"/>
        </w:rPr>
      </w:pPr>
      <w:r>
        <w:rPr>
          <w:rFonts w:hint="default" w:ascii="宋体" w:hAnsi="宋体" w:cs="宋体"/>
          <w:sz w:val="24"/>
          <w:highlight w:val="none"/>
          <w:lang w:val="en-US" w:eastAsia="zh-CN"/>
        </w:rPr>
        <w:t>（1）腐败变质，油脂酸败，霉变，生虫，污秽不洁，混有异物或者其他感官性状异常，含有毒，有害物质污染，可能对人体健康有害的食品；</w:t>
      </w:r>
    </w:p>
    <w:p w14:paraId="4D7540D9">
      <w:pPr>
        <w:shd w:val="clear" w:color="auto" w:fill="auto"/>
        <w:ind w:firstLine="480"/>
        <w:rPr>
          <w:rFonts w:hint="default" w:ascii="宋体" w:hAnsi="宋体" w:cs="宋体"/>
          <w:sz w:val="24"/>
          <w:highlight w:val="none"/>
          <w:lang w:val="en-US" w:eastAsia="zh-CN"/>
        </w:rPr>
      </w:pPr>
      <w:r>
        <w:rPr>
          <w:rFonts w:hint="default" w:ascii="宋体" w:hAnsi="宋体" w:cs="宋体"/>
          <w:sz w:val="24"/>
          <w:highlight w:val="none"/>
          <w:lang w:val="en-US" w:eastAsia="zh-CN"/>
        </w:rPr>
        <w:t>（2）含有毒、有害物质或者被有害物质污染，对人体健康有害的；</w:t>
      </w:r>
    </w:p>
    <w:p w14:paraId="5872259A">
      <w:pPr>
        <w:shd w:val="clear" w:color="auto" w:fill="auto"/>
        <w:ind w:firstLine="480"/>
        <w:rPr>
          <w:rFonts w:hint="default" w:ascii="宋体" w:hAnsi="宋体" w:cs="宋体"/>
          <w:sz w:val="24"/>
          <w:highlight w:val="none"/>
          <w:lang w:val="en-US" w:eastAsia="zh-CN"/>
        </w:rPr>
      </w:pPr>
      <w:r>
        <w:rPr>
          <w:rFonts w:hint="default" w:ascii="宋体" w:hAnsi="宋体" w:cs="宋体"/>
          <w:sz w:val="24"/>
          <w:highlight w:val="none"/>
          <w:lang w:val="en-US" w:eastAsia="zh-CN"/>
        </w:rPr>
        <w:t>（3）含有致病性寄生虫、微生物或者微生物含量超过国家限定标准的；</w:t>
      </w:r>
    </w:p>
    <w:p w14:paraId="6216DD40">
      <w:pPr>
        <w:shd w:val="clear" w:color="auto" w:fill="auto"/>
        <w:ind w:firstLine="480"/>
        <w:rPr>
          <w:rFonts w:hint="default" w:ascii="宋体" w:hAnsi="宋体" w:cs="宋体"/>
          <w:sz w:val="24"/>
          <w:highlight w:val="none"/>
          <w:lang w:val="en-US" w:eastAsia="zh-CN"/>
        </w:rPr>
      </w:pPr>
      <w:r>
        <w:rPr>
          <w:rFonts w:hint="default" w:ascii="宋体" w:hAnsi="宋体" w:cs="宋体"/>
          <w:sz w:val="24"/>
          <w:highlight w:val="none"/>
          <w:lang w:val="en-US" w:eastAsia="zh-CN"/>
        </w:rPr>
        <w:t>（4）未经动物检疫部门检疫、检验或者检疫、检验不合格的肉类及其制品；</w:t>
      </w:r>
    </w:p>
    <w:p w14:paraId="4D35881E">
      <w:pPr>
        <w:shd w:val="clear" w:color="auto" w:fill="auto"/>
        <w:ind w:firstLine="480"/>
        <w:rPr>
          <w:rFonts w:hint="default" w:ascii="宋体" w:hAnsi="宋体" w:cs="宋体"/>
          <w:sz w:val="24"/>
          <w:highlight w:val="none"/>
          <w:lang w:val="en-US" w:eastAsia="zh-CN"/>
        </w:rPr>
      </w:pPr>
      <w:r>
        <w:rPr>
          <w:rFonts w:hint="default" w:ascii="宋体" w:hAnsi="宋体" w:cs="宋体"/>
          <w:sz w:val="24"/>
          <w:highlight w:val="none"/>
          <w:lang w:val="en-US" w:eastAsia="zh-CN"/>
        </w:rPr>
        <w:t>（5）掺假、掺杂、以次充好，影响营养、卫生的；</w:t>
      </w:r>
    </w:p>
    <w:p w14:paraId="3CC3AB3F">
      <w:pPr>
        <w:shd w:val="clear" w:color="auto" w:fill="auto"/>
        <w:ind w:firstLine="480"/>
        <w:rPr>
          <w:rFonts w:hint="default" w:ascii="宋体" w:hAnsi="宋体" w:cs="宋体"/>
          <w:sz w:val="24"/>
          <w:highlight w:val="none"/>
          <w:lang w:val="en-US" w:eastAsia="zh-CN"/>
        </w:rPr>
      </w:pPr>
      <w:r>
        <w:rPr>
          <w:rFonts w:hint="default" w:ascii="宋体" w:hAnsi="宋体" w:cs="宋体"/>
          <w:sz w:val="24"/>
          <w:highlight w:val="none"/>
          <w:lang w:val="en-US" w:eastAsia="zh-CN"/>
        </w:rPr>
        <w:t>（6）用非食品原料加工的，加入非食品用化学物质。</w:t>
      </w:r>
    </w:p>
    <w:p w14:paraId="2D0FE24D">
      <w:pPr>
        <w:shd w:val="clear" w:color="auto" w:fill="auto"/>
        <w:ind w:firstLine="480"/>
        <w:rPr>
          <w:rFonts w:hint="default" w:ascii="宋体" w:hAnsi="宋体" w:cs="宋体"/>
          <w:sz w:val="24"/>
          <w:highlight w:val="none"/>
          <w:lang w:val="en-US" w:eastAsia="zh-CN"/>
        </w:rPr>
      </w:pPr>
      <w:r>
        <w:rPr>
          <w:rFonts w:hint="default" w:ascii="宋体" w:hAnsi="宋体" w:cs="宋体"/>
          <w:sz w:val="24"/>
          <w:highlight w:val="none"/>
          <w:lang w:val="en-US" w:eastAsia="zh-CN"/>
        </w:rPr>
        <w:t>2、中标人在供货时不得提供以下产品，一经发现招标人有权取消该供货商供货资格。</w:t>
      </w:r>
    </w:p>
    <w:p w14:paraId="52C41CC7">
      <w:pPr>
        <w:shd w:val="clear" w:color="auto" w:fill="auto"/>
        <w:ind w:firstLine="480"/>
        <w:rPr>
          <w:rFonts w:hint="default" w:ascii="宋体" w:hAnsi="宋体" w:cs="宋体"/>
          <w:sz w:val="24"/>
          <w:highlight w:val="none"/>
          <w:lang w:val="en-US" w:eastAsia="zh-CN"/>
        </w:rPr>
      </w:pPr>
      <w:r>
        <w:rPr>
          <w:rFonts w:hint="default" w:ascii="宋体" w:hAnsi="宋体" w:cs="宋体"/>
          <w:sz w:val="24"/>
          <w:highlight w:val="none"/>
          <w:lang w:val="en-US" w:eastAsia="zh-CN"/>
        </w:rPr>
        <w:t>（1）无品名、产地、厂名，生产日期，保质期及中文标识及原料说明的定型包装食品。</w:t>
      </w:r>
    </w:p>
    <w:p w14:paraId="57C71168">
      <w:pPr>
        <w:shd w:val="clear" w:color="auto" w:fill="auto"/>
        <w:ind w:firstLine="480"/>
        <w:rPr>
          <w:rFonts w:hint="default" w:ascii="宋体" w:hAnsi="宋体" w:cs="宋体"/>
          <w:sz w:val="24"/>
          <w:highlight w:val="none"/>
          <w:lang w:val="en-US" w:eastAsia="zh-CN"/>
        </w:rPr>
      </w:pPr>
      <w:r>
        <w:rPr>
          <w:rFonts w:hint="default" w:ascii="宋体" w:hAnsi="宋体" w:cs="宋体"/>
          <w:sz w:val="24"/>
          <w:highlight w:val="none"/>
          <w:lang w:val="en-US" w:eastAsia="zh-CN"/>
        </w:rPr>
        <w:t>（2）超过保质期限或不符合食品标签规定的定型包装食品。</w:t>
      </w:r>
    </w:p>
    <w:p w14:paraId="5A71ED59">
      <w:pPr>
        <w:shd w:val="clear" w:color="auto" w:fill="auto"/>
        <w:ind w:firstLine="480"/>
        <w:rPr>
          <w:rFonts w:hint="default" w:ascii="宋体" w:hAnsi="宋体" w:cs="宋体"/>
          <w:sz w:val="24"/>
          <w:highlight w:val="none"/>
          <w:lang w:val="en-US" w:eastAsia="zh-CN"/>
        </w:rPr>
      </w:pPr>
      <w:r>
        <w:rPr>
          <w:rFonts w:hint="default" w:ascii="宋体" w:hAnsi="宋体" w:cs="宋体"/>
          <w:sz w:val="24"/>
          <w:highlight w:val="none"/>
          <w:lang w:val="en-US" w:eastAsia="zh-CN"/>
        </w:rPr>
        <w:t>（3）病死或者死因不明的畜，禽及其制品，劣质菜籽油，非食品原料和滥用食品添加剂等。</w:t>
      </w:r>
    </w:p>
    <w:p w14:paraId="5E5B7388">
      <w:pPr>
        <w:shd w:val="clear" w:color="auto" w:fill="auto"/>
        <w:ind w:firstLine="480"/>
        <w:rPr>
          <w:rFonts w:hint="default" w:ascii="宋体" w:hAnsi="宋体" w:cs="宋体"/>
          <w:sz w:val="24"/>
          <w:highlight w:val="none"/>
          <w:lang w:val="en-US" w:eastAsia="zh-CN"/>
        </w:rPr>
      </w:pPr>
      <w:r>
        <w:rPr>
          <w:rFonts w:hint="default" w:ascii="宋体" w:hAnsi="宋体" w:cs="宋体"/>
          <w:sz w:val="24"/>
          <w:highlight w:val="none"/>
          <w:lang w:val="en-US" w:eastAsia="zh-CN"/>
        </w:rPr>
        <w:t>（4）其他不符合食品卫生标准和要求的食品。</w:t>
      </w:r>
    </w:p>
    <w:p w14:paraId="783250FC">
      <w:pPr>
        <w:shd w:val="clear" w:color="auto" w:fill="auto"/>
        <w:ind w:firstLine="480"/>
        <w:rPr>
          <w:rFonts w:hint="default" w:ascii="宋体" w:hAnsi="宋体" w:cs="宋体"/>
          <w:sz w:val="24"/>
          <w:highlight w:val="none"/>
          <w:lang w:val="en-US" w:eastAsia="zh-CN"/>
        </w:rPr>
      </w:pPr>
      <w:r>
        <w:rPr>
          <w:rFonts w:hint="default" w:ascii="宋体" w:hAnsi="宋体" w:cs="宋体"/>
          <w:sz w:val="24"/>
          <w:highlight w:val="none"/>
          <w:lang w:val="en-US" w:eastAsia="zh-CN"/>
        </w:rPr>
        <w:t>3、供货商实际结算的品种和数量均以学校实际需求和采购据实结算。</w:t>
      </w:r>
    </w:p>
    <w:p w14:paraId="0EBA3C51">
      <w:pPr>
        <w:shd w:val="clear" w:color="auto" w:fill="auto"/>
        <w:ind w:firstLine="480"/>
        <w:rPr>
          <w:rFonts w:hint="default" w:ascii="宋体" w:hAnsi="宋体" w:cs="宋体"/>
          <w:b/>
          <w:bCs/>
          <w:sz w:val="24"/>
          <w:highlight w:val="none"/>
          <w:lang w:val="en-US" w:eastAsia="zh-CN"/>
        </w:rPr>
      </w:pPr>
      <w:r>
        <w:rPr>
          <w:rFonts w:hint="eastAsia" w:ascii="宋体" w:hAnsi="宋体" w:cs="宋体"/>
          <w:b/>
          <w:bCs/>
          <w:sz w:val="24"/>
          <w:highlight w:val="none"/>
          <w:lang w:val="en-US" w:eastAsia="zh-CN"/>
        </w:rPr>
        <w:t>十四、</w:t>
      </w:r>
      <w:r>
        <w:rPr>
          <w:rFonts w:hint="default" w:ascii="宋体" w:hAnsi="宋体" w:cs="宋体"/>
          <w:b/>
          <w:bCs/>
          <w:sz w:val="24"/>
          <w:highlight w:val="none"/>
          <w:lang w:val="en-US" w:eastAsia="zh-CN"/>
        </w:rPr>
        <w:t>合同实施</w:t>
      </w:r>
    </w:p>
    <w:p w14:paraId="27E9BBC5">
      <w:pPr>
        <w:shd w:val="clear" w:color="auto" w:fill="auto"/>
        <w:ind w:firstLine="480"/>
        <w:rPr>
          <w:rFonts w:hint="default" w:ascii="宋体" w:hAnsi="宋体" w:cs="宋体"/>
          <w:sz w:val="24"/>
          <w:highlight w:val="none"/>
          <w:lang w:val="en-US" w:eastAsia="zh-CN"/>
        </w:rPr>
      </w:pPr>
      <w:r>
        <w:rPr>
          <w:rFonts w:hint="default" w:ascii="宋体" w:hAnsi="宋体" w:cs="宋体"/>
          <w:sz w:val="24"/>
          <w:highlight w:val="none"/>
          <w:lang w:val="en-US" w:eastAsia="zh-CN"/>
        </w:rPr>
        <w:t>1、中标人应在合同签订后7个日历日内安排人员与采购方就送货等工作进行对接。</w:t>
      </w:r>
    </w:p>
    <w:p w14:paraId="17497C90">
      <w:pPr>
        <w:shd w:val="clear" w:color="auto" w:fill="auto"/>
        <w:ind w:firstLine="480"/>
        <w:rPr>
          <w:rFonts w:hint="default" w:ascii="宋体" w:hAnsi="宋体" w:cs="宋体"/>
          <w:sz w:val="24"/>
          <w:highlight w:val="none"/>
          <w:lang w:val="en-US" w:eastAsia="zh-CN"/>
        </w:rPr>
      </w:pPr>
      <w:r>
        <w:rPr>
          <w:rFonts w:hint="default" w:ascii="宋体" w:hAnsi="宋体" w:cs="宋体"/>
          <w:sz w:val="24"/>
          <w:highlight w:val="none"/>
          <w:lang w:val="en-US" w:eastAsia="zh-CN"/>
        </w:rPr>
        <w:t>2、若未能在交货期内完成合同规定的义务，由此对招标人造成的延误和一切损失，由中标人承担和赔偿。</w:t>
      </w:r>
    </w:p>
    <w:p w14:paraId="0FB4C8B0">
      <w:pPr>
        <w:shd w:val="clear" w:color="auto" w:fill="auto"/>
        <w:ind w:firstLine="480"/>
        <w:rPr>
          <w:rFonts w:hint="default" w:ascii="宋体" w:hAnsi="宋体" w:cs="宋体"/>
          <w:sz w:val="24"/>
          <w:highlight w:val="none"/>
          <w:lang w:val="en-US" w:eastAsia="zh-CN"/>
        </w:rPr>
      </w:pPr>
      <w:r>
        <w:rPr>
          <w:rFonts w:hint="default" w:ascii="宋体" w:hAnsi="宋体" w:cs="宋体"/>
          <w:sz w:val="24"/>
          <w:highlight w:val="none"/>
          <w:lang w:val="en-US" w:eastAsia="zh-CN"/>
        </w:rPr>
        <w:t>3、食材经学校验收合格后，每月结算一次，按照中标价格和每月的供货总量（见税票）结算货款。</w:t>
      </w:r>
    </w:p>
    <w:p w14:paraId="5CCED3AC">
      <w:pPr>
        <w:shd w:val="clear" w:color="auto" w:fill="auto"/>
        <w:ind w:firstLine="480"/>
        <w:rPr>
          <w:rFonts w:hint="default" w:ascii="宋体" w:hAnsi="宋体" w:cs="宋体"/>
          <w:b/>
          <w:bCs/>
          <w:sz w:val="24"/>
          <w:highlight w:val="none"/>
          <w:lang w:val="en-US" w:eastAsia="zh-CN"/>
        </w:rPr>
      </w:pPr>
      <w:r>
        <w:rPr>
          <w:rFonts w:hint="eastAsia" w:ascii="宋体" w:hAnsi="宋体" w:cs="宋体"/>
          <w:b/>
          <w:bCs/>
          <w:sz w:val="24"/>
          <w:highlight w:val="none"/>
          <w:lang w:val="en-US" w:eastAsia="zh-CN"/>
        </w:rPr>
        <w:t>十五、</w:t>
      </w:r>
      <w:r>
        <w:rPr>
          <w:rFonts w:hint="default" w:ascii="宋体" w:hAnsi="宋体" w:cs="宋体"/>
          <w:b/>
          <w:bCs/>
          <w:sz w:val="24"/>
          <w:highlight w:val="none"/>
          <w:lang w:val="en-US" w:eastAsia="zh-CN"/>
        </w:rPr>
        <w:t>违约责任</w:t>
      </w:r>
    </w:p>
    <w:p w14:paraId="1FBEC943">
      <w:pPr>
        <w:shd w:val="clear" w:color="auto" w:fill="auto"/>
        <w:ind w:firstLine="480"/>
        <w:rPr>
          <w:rFonts w:hint="default" w:ascii="宋体" w:hAnsi="宋体" w:cs="宋体"/>
          <w:sz w:val="24"/>
          <w:highlight w:val="none"/>
          <w:lang w:val="en-US" w:eastAsia="zh-CN"/>
        </w:rPr>
      </w:pPr>
      <w:r>
        <w:rPr>
          <w:rFonts w:hint="default" w:ascii="宋体" w:hAnsi="宋体" w:cs="宋体"/>
          <w:sz w:val="24"/>
          <w:highlight w:val="none"/>
          <w:lang w:val="en-US" w:eastAsia="zh-CN"/>
        </w:rPr>
        <w:t>1、对合同履行中的违约责任，依据《中华人民共和国民法典》中的相关条款执行。</w:t>
      </w:r>
    </w:p>
    <w:p w14:paraId="1257C599">
      <w:pPr>
        <w:shd w:val="clear" w:color="auto" w:fill="auto"/>
        <w:ind w:firstLine="480"/>
        <w:rPr>
          <w:rFonts w:hint="default" w:ascii="宋体" w:hAnsi="宋体" w:cs="宋体"/>
          <w:sz w:val="24"/>
          <w:highlight w:val="none"/>
          <w:lang w:val="en-US" w:eastAsia="zh-CN"/>
        </w:rPr>
      </w:pPr>
      <w:r>
        <w:rPr>
          <w:rFonts w:hint="default" w:ascii="宋体" w:hAnsi="宋体" w:cs="宋体"/>
          <w:sz w:val="24"/>
          <w:highlight w:val="none"/>
          <w:lang w:val="en-US" w:eastAsia="zh-CN"/>
        </w:rPr>
        <w:t>2、未按合同要求提供货物质量不能满足技术要求，招标人有权终止合同，并对供方违约行为进行追究，同时按《中华人民共和国政府采购法》、《中华人民共和国民法典》等有关规定进行处罚。</w:t>
      </w:r>
    </w:p>
    <w:p w14:paraId="53A2E4E9">
      <w:pPr>
        <w:shd w:val="clear" w:color="auto" w:fill="auto"/>
        <w:ind w:firstLine="480"/>
        <w:rPr>
          <w:rFonts w:hint="default" w:ascii="宋体" w:hAnsi="宋体" w:cs="宋体"/>
          <w:sz w:val="24"/>
          <w:highlight w:val="none"/>
          <w:lang w:val="en-US" w:eastAsia="zh-CN"/>
        </w:rPr>
      </w:pPr>
      <w:r>
        <w:rPr>
          <w:rFonts w:hint="default" w:ascii="宋体" w:hAnsi="宋体" w:cs="宋体"/>
          <w:sz w:val="24"/>
          <w:highlight w:val="none"/>
          <w:lang w:val="en-US" w:eastAsia="zh-CN"/>
        </w:rPr>
        <w:t>3、中标人不得将项目任意事项转包或分包，否则采购方有权依据《中华人民共和国民法典》有关条款及合同约定终止合同，并要求供货方承担违约责任。</w:t>
      </w:r>
    </w:p>
    <w:p w14:paraId="00F27258">
      <w:pPr>
        <w:shd w:val="clear" w:color="auto" w:fill="auto"/>
        <w:ind w:firstLine="480"/>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十六、供应责任</w:t>
      </w:r>
    </w:p>
    <w:p w14:paraId="36478688">
      <w:pPr>
        <w:shd w:val="clear" w:color="auto" w:fill="auto"/>
        <w:ind w:firstLine="480"/>
        <w:rPr>
          <w:rFonts w:hint="default" w:ascii="宋体" w:hAnsi="宋体" w:cs="宋体"/>
          <w:b w:val="0"/>
          <w:bCs w:val="0"/>
          <w:sz w:val="24"/>
          <w:highlight w:val="none"/>
          <w:lang w:val="en-US" w:eastAsia="zh-CN"/>
        </w:rPr>
      </w:pPr>
      <w:r>
        <w:rPr>
          <w:rFonts w:hint="default" w:ascii="宋体" w:hAnsi="宋体" w:cs="宋体"/>
          <w:b w:val="0"/>
          <w:bCs w:val="0"/>
          <w:sz w:val="24"/>
          <w:highlight w:val="none"/>
          <w:lang w:val="en-US" w:eastAsia="zh-CN"/>
        </w:rPr>
        <w:t>原材料供应商须保证所供原材料均为符合国家卫生、质量检验标准的正规产品，保证配送品种完全满足采购人要求。</w:t>
      </w:r>
    </w:p>
    <w:p w14:paraId="154EBF64">
      <w:pPr>
        <w:shd w:val="clear" w:color="auto" w:fill="auto"/>
        <w:ind w:firstLine="480"/>
        <w:rPr>
          <w:rFonts w:hint="default" w:ascii="宋体" w:hAnsi="宋体" w:cs="宋体"/>
          <w:b w:val="0"/>
          <w:bCs w:val="0"/>
          <w:sz w:val="24"/>
          <w:highlight w:val="none"/>
          <w:lang w:val="en-US" w:eastAsia="zh-CN"/>
        </w:rPr>
      </w:pPr>
      <w:r>
        <w:rPr>
          <w:rFonts w:hint="default" w:ascii="宋体" w:hAnsi="宋体" w:cs="宋体"/>
          <w:b w:val="0"/>
          <w:bCs w:val="0"/>
          <w:sz w:val="24"/>
          <w:highlight w:val="none"/>
          <w:lang w:val="en-US" w:eastAsia="zh-CN"/>
        </w:rPr>
        <w:t>1</w:t>
      </w:r>
      <w:r>
        <w:rPr>
          <w:rFonts w:hint="eastAsia" w:ascii="宋体" w:hAnsi="宋体" w:cs="宋体"/>
          <w:b w:val="0"/>
          <w:bCs w:val="0"/>
          <w:sz w:val="24"/>
          <w:highlight w:val="none"/>
          <w:lang w:val="en-US" w:eastAsia="zh-CN"/>
        </w:rPr>
        <w:t>、</w:t>
      </w:r>
      <w:r>
        <w:rPr>
          <w:rFonts w:hint="default" w:ascii="宋体" w:hAnsi="宋体" w:cs="宋体"/>
          <w:b w:val="0"/>
          <w:bCs w:val="0"/>
          <w:sz w:val="24"/>
          <w:highlight w:val="none"/>
          <w:lang w:val="en-US" w:eastAsia="zh-CN"/>
        </w:rPr>
        <w:t>在供货期间，中标人必须保障货源充足，不能断货。应按照采购人要求的时间、地点及质量，按时、按量提供货品，凡属于质量问题必须包退包换，不能影响正常开餐。如果未能及时补给，采购人则扣除供货商当日货款的10%作为违约处罚。</w:t>
      </w:r>
    </w:p>
    <w:p w14:paraId="1F55B48F">
      <w:pPr>
        <w:shd w:val="clear" w:color="auto" w:fill="auto"/>
        <w:ind w:firstLine="480"/>
        <w:rPr>
          <w:rFonts w:hint="default" w:ascii="宋体" w:hAnsi="宋体" w:cs="宋体"/>
          <w:b w:val="0"/>
          <w:bCs w:val="0"/>
          <w:sz w:val="24"/>
          <w:highlight w:val="none"/>
          <w:lang w:val="en-US" w:eastAsia="zh-CN"/>
        </w:rPr>
      </w:pPr>
      <w:r>
        <w:rPr>
          <w:rFonts w:hint="default" w:ascii="宋体" w:hAnsi="宋体" w:cs="宋体"/>
          <w:b w:val="0"/>
          <w:bCs w:val="0"/>
          <w:sz w:val="24"/>
          <w:highlight w:val="none"/>
          <w:lang w:val="en-US" w:eastAsia="zh-CN"/>
        </w:rPr>
        <w:t>2</w:t>
      </w:r>
      <w:r>
        <w:rPr>
          <w:rFonts w:hint="eastAsia" w:ascii="宋体" w:hAnsi="宋体" w:cs="宋体"/>
          <w:b w:val="0"/>
          <w:bCs w:val="0"/>
          <w:sz w:val="24"/>
          <w:highlight w:val="none"/>
          <w:lang w:val="en-US" w:eastAsia="zh-CN"/>
        </w:rPr>
        <w:t>、</w:t>
      </w:r>
      <w:r>
        <w:rPr>
          <w:rFonts w:hint="default" w:ascii="宋体" w:hAnsi="宋体" w:cs="宋体"/>
          <w:b w:val="0"/>
          <w:bCs w:val="0"/>
          <w:sz w:val="24"/>
          <w:highlight w:val="none"/>
          <w:lang w:val="en-US" w:eastAsia="zh-CN"/>
        </w:rPr>
        <w:t>所送产品必须保证质量，如所送产品出现过期、变质、腐烂等严重情况，经更换后仍无法达到要求的，采购人有权单方解除本合同并要求</w:t>
      </w:r>
      <w:r>
        <w:rPr>
          <w:rFonts w:hint="eastAsia" w:ascii="宋体" w:hAnsi="宋体" w:cs="宋体"/>
          <w:b w:val="0"/>
          <w:bCs w:val="0"/>
          <w:sz w:val="24"/>
          <w:highlight w:val="none"/>
          <w:lang w:val="en-US" w:eastAsia="zh-CN"/>
        </w:rPr>
        <w:t>投标供应商</w:t>
      </w:r>
      <w:r>
        <w:rPr>
          <w:rFonts w:hint="default" w:ascii="宋体" w:hAnsi="宋体" w:cs="宋体"/>
          <w:b w:val="0"/>
          <w:bCs w:val="0"/>
          <w:sz w:val="24"/>
          <w:highlight w:val="none"/>
          <w:lang w:val="en-US" w:eastAsia="zh-CN"/>
        </w:rPr>
        <w:t>承担约定的违约责任（不可抗力因素除外），退出的供应商原供应学校食材由教体局委托其他中标供应商供应。</w:t>
      </w:r>
    </w:p>
    <w:p w14:paraId="4A5A0BFC">
      <w:pPr>
        <w:shd w:val="clear" w:color="auto" w:fill="auto"/>
        <w:ind w:firstLine="480"/>
        <w:rPr>
          <w:rFonts w:hint="default" w:ascii="宋体" w:hAnsi="宋体" w:cs="宋体"/>
          <w:b w:val="0"/>
          <w:bCs w:val="0"/>
          <w:sz w:val="24"/>
          <w:highlight w:val="none"/>
          <w:lang w:val="en-US" w:eastAsia="zh-CN"/>
        </w:rPr>
      </w:pPr>
      <w:r>
        <w:rPr>
          <w:rFonts w:hint="default" w:ascii="宋体" w:hAnsi="宋体" w:cs="宋体"/>
          <w:b w:val="0"/>
          <w:bCs w:val="0"/>
          <w:sz w:val="24"/>
          <w:highlight w:val="none"/>
          <w:lang w:val="en-US" w:eastAsia="zh-CN"/>
        </w:rPr>
        <w:t>3</w:t>
      </w:r>
      <w:r>
        <w:rPr>
          <w:rFonts w:hint="eastAsia" w:ascii="宋体" w:hAnsi="宋体" w:cs="宋体"/>
          <w:b w:val="0"/>
          <w:bCs w:val="0"/>
          <w:sz w:val="24"/>
          <w:highlight w:val="none"/>
          <w:lang w:val="en-US" w:eastAsia="zh-CN"/>
        </w:rPr>
        <w:t>、</w:t>
      </w:r>
      <w:r>
        <w:rPr>
          <w:rFonts w:hint="default" w:ascii="宋体" w:hAnsi="宋体" w:cs="宋体"/>
          <w:b w:val="0"/>
          <w:bCs w:val="0"/>
          <w:sz w:val="24"/>
          <w:highlight w:val="none"/>
          <w:lang w:val="en-US" w:eastAsia="zh-CN"/>
        </w:rPr>
        <w:t>任何因原材料质量问题导致的食品安全或食物中毒责任，在确认导致问题的原材料品种后，由该供应商承担全部法律责任与经济损失，除对采购人进行赔付外，采购人有权单方终止合同。</w:t>
      </w:r>
    </w:p>
    <w:p w14:paraId="5B7D3746">
      <w:pPr>
        <w:shd w:val="clear" w:color="auto" w:fill="auto"/>
        <w:ind w:firstLine="480"/>
        <w:rPr>
          <w:rFonts w:hint="default" w:ascii="宋体" w:hAnsi="宋体" w:cs="宋体"/>
          <w:b/>
          <w:bCs/>
          <w:sz w:val="24"/>
          <w:highlight w:val="none"/>
          <w:lang w:val="en-US" w:eastAsia="zh-CN"/>
        </w:rPr>
      </w:pPr>
      <w:r>
        <w:rPr>
          <w:rFonts w:hint="default" w:ascii="宋体" w:hAnsi="宋体" w:cs="宋体"/>
          <w:b/>
          <w:bCs/>
          <w:sz w:val="24"/>
          <w:highlight w:val="none"/>
          <w:lang w:val="en-US" w:eastAsia="zh-CN"/>
        </w:rPr>
        <w:t>十</w:t>
      </w:r>
      <w:r>
        <w:rPr>
          <w:rFonts w:hint="eastAsia" w:ascii="宋体" w:hAnsi="宋体" w:cs="宋体"/>
          <w:b/>
          <w:bCs/>
          <w:sz w:val="24"/>
          <w:highlight w:val="none"/>
          <w:lang w:val="en-US" w:eastAsia="zh-CN"/>
        </w:rPr>
        <w:t>七</w:t>
      </w:r>
      <w:r>
        <w:rPr>
          <w:rFonts w:hint="default" w:ascii="宋体" w:hAnsi="宋体" w:cs="宋体"/>
          <w:b/>
          <w:bCs/>
          <w:sz w:val="24"/>
          <w:highlight w:val="none"/>
          <w:lang w:val="en-US" w:eastAsia="zh-CN"/>
        </w:rPr>
        <w:t>、应急处置</w:t>
      </w:r>
    </w:p>
    <w:p w14:paraId="7230B64E">
      <w:pPr>
        <w:shd w:val="clear" w:color="auto" w:fill="auto"/>
        <w:ind w:firstLine="480"/>
        <w:rPr>
          <w:rFonts w:hint="default" w:ascii="宋体" w:hAnsi="宋体" w:cs="宋体"/>
          <w:b w:val="0"/>
          <w:bCs w:val="0"/>
          <w:sz w:val="24"/>
          <w:highlight w:val="none"/>
          <w:lang w:val="en-US" w:eastAsia="zh-CN"/>
        </w:rPr>
      </w:pPr>
      <w:r>
        <w:rPr>
          <w:rFonts w:hint="default" w:ascii="宋体" w:hAnsi="宋体" w:cs="宋体"/>
          <w:b w:val="0"/>
          <w:bCs w:val="0"/>
          <w:sz w:val="24"/>
          <w:highlight w:val="none"/>
          <w:lang w:val="en-US" w:eastAsia="zh-CN"/>
        </w:rPr>
        <w:t>如果供应标段出现食品安全事故，应立即停止本标段供应，并启动应急机制。期间由采购人指定其余标段中标的供应商供应，待事实查明，明确供应商不负食品安全责任后再恢复供应。</w:t>
      </w:r>
    </w:p>
    <w:p w14:paraId="5070A619">
      <w:pPr>
        <w:shd w:val="clear" w:color="auto" w:fill="auto"/>
        <w:ind w:firstLine="480"/>
        <w:rPr>
          <w:rFonts w:hint="default" w:ascii="宋体" w:hAnsi="宋体" w:cs="宋体"/>
          <w:sz w:val="24"/>
          <w:highlight w:val="none"/>
          <w:lang w:val="en-US" w:eastAsia="zh-CN"/>
        </w:rPr>
      </w:pPr>
      <w:r>
        <w:rPr>
          <w:rFonts w:hint="eastAsia" w:ascii="宋体" w:hAnsi="宋体" w:cs="宋体"/>
          <w:b/>
          <w:bCs/>
          <w:sz w:val="24"/>
          <w:highlight w:val="none"/>
          <w:lang w:val="en-US" w:eastAsia="zh-CN"/>
        </w:rPr>
        <w:t>注：</w:t>
      </w:r>
      <w:r>
        <w:rPr>
          <w:rFonts w:hint="default" w:ascii="宋体" w:hAnsi="宋体" w:cs="宋体"/>
          <w:b/>
          <w:bCs/>
          <w:sz w:val="24"/>
          <w:highlight w:val="none"/>
          <w:lang w:val="en-US" w:eastAsia="zh-CN"/>
        </w:rPr>
        <w:t>商务条款为实质性要求，不得负偏离</w:t>
      </w:r>
      <w:r>
        <w:rPr>
          <w:rFonts w:hint="eastAsia" w:ascii="宋体" w:hAnsi="宋体" w:cs="宋体"/>
          <w:b/>
          <w:bCs/>
          <w:sz w:val="24"/>
          <w:highlight w:val="none"/>
          <w:lang w:val="en-US" w:eastAsia="zh-CN"/>
        </w:rPr>
        <w:t>。</w:t>
      </w:r>
    </w:p>
    <w:p w14:paraId="39E4CD50">
      <w:pPr>
        <w:widowControl/>
        <w:shd w:val="clear" w:color="auto" w:fill="auto"/>
        <w:ind w:firstLine="542" w:firstLineChars="150"/>
        <w:jc w:val="center"/>
        <w:outlineLvl w:val="0"/>
        <w:rPr>
          <w:rFonts w:hint="eastAsia" w:ascii="宋体" w:hAnsi="宋体" w:cs="宋体"/>
          <w:b/>
          <w:sz w:val="36"/>
          <w:szCs w:val="36"/>
          <w:highlight w:val="none"/>
        </w:rPr>
      </w:pPr>
      <w:r>
        <w:rPr>
          <w:rFonts w:hint="eastAsia" w:ascii="宋体" w:hAnsi="宋体" w:cs="宋体"/>
          <w:b/>
          <w:sz w:val="36"/>
          <w:szCs w:val="36"/>
          <w:highlight w:val="none"/>
        </w:rPr>
        <w:br w:type="page"/>
      </w:r>
      <w:bookmarkStart w:id="112" w:name="_Toc2084"/>
      <w:r>
        <w:rPr>
          <w:rFonts w:hint="eastAsia" w:ascii="宋体" w:hAnsi="宋体" w:cs="宋体"/>
          <w:b/>
          <w:sz w:val="36"/>
          <w:szCs w:val="36"/>
          <w:highlight w:val="none"/>
        </w:rPr>
        <w:t>第六章  合同格式与主要条款</w:t>
      </w:r>
      <w:bookmarkEnd w:id="112"/>
    </w:p>
    <w:p w14:paraId="018BC030">
      <w:pPr>
        <w:shd w:val="clear" w:color="auto" w:fill="auto"/>
        <w:ind w:firstLine="482"/>
        <w:jc w:val="center"/>
        <w:rPr>
          <w:rFonts w:hint="eastAsia" w:ascii="宋体" w:hAnsi="宋体" w:cs="宋体"/>
          <w:b/>
          <w:bCs/>
          <w:sz w:val="24"/>
          <w:highlight w:val="none"/>
        </w:rPr>
      </w:pPr>
      <w:r>
        <w:rPr>
          <w:rFonts w:hint="eastAsia" w:ascii="宋体" w:hAnsi="宋体" w:cs="宋体"/>
          <w:b/>
          <w:bCs/>
          <w:sz w:val="24"/>
          <w:highlight w:val="none"/>
        </w:rPr>
        <w:t>（本合同为合同样稿，最终稿由双方协商后确定）</w:t>
      </w:r>
    </w:p>
    <w:p w14:paraId="2CBF2B25">
      <w:pPr>
        <w:pStyle w:val="19"/>
        <w:shd w:val="clear" w:color="auto" w:fill="auto"/>
        <w:spacing w:line="360" w:lineRule="auto"/>
        <w:ind w:firstLine="480"/>
        <w:rPr>
          <w:rFonts w:hint="eastAsia" w:ascii="宋体" w:hAnsi="宋体"/>
          <w:highlight w:val="none"/>
        </w:rPr>
      </w:pPr>
    </w:p>
    <w:p w14:paraId="17045E54">
      <w:pPr>
        <w:pStyle w:val="19"/>
        <w:shd w:val="clear" w:color="auto" w:fill="auto"/>
        <w:spacing w:line="360" w:lineRule="auto"/>
        <w:ind w:firstLine="480"/>
        <w:rPr>
          <w:rFonts w:hint="eastAsia" w:ascii="宋体" w:hAnsi="宋体"/>
          <w:highlight w:val="none"/>
        </w:rPr>
      </w:pPr>
      <w:r>
        <w:rPr>
          <w:rFonts w:hint="eastAsia" w:ascii="宋体" w:hAnsi="宋体"/>
          <w:highlight w:val="none"/>
        </w:rPr>
        <w:t>合同编号：</w:t>
      </w:r>
    </w:p>
    <w:p w14:paraId="0D8D4DF8">
      <w:pPr>
        <w:pStyle w:val="19"/>
        <w:shd w:val="clear" w:color="auto" w:fill="auto"/>
        <w:spacing w:line="360" w:lineRule="auto"/>
        <w:ind w:firstLine="480"/>
        <w:rPr>
          <w:rFonts w:hint="eastAsia" w:ascii="宋体" w:hAnsi="宋体"/>
          <w:highlight w:val="none"/>
        </w:rPr>
      </w:pPr>
      <w:r>
        <w:rPr>
          <w:rFonts w:hint="eastAsia" w:ascii="宋体" w:hAnsi="宋体"/>
          <w:highlight w:val="none"/>
        </w:rPr>
        <w:t>签订地点：</w:t>
      </w:r>
    </w:p>
    <w:p w14:paraId="3806771C">
      <w:pPr>
        <w:pStyle w:val="19"/>
        <w:shd w:val="clear" w:color="auto" w:fill="auto"/>
        <w:spacing w:line="360" w:lineRule="auto"/>
        <w:ind w:firstLine="480"/>
        <w:rPr>
          <w:rFonts w:hint="eastAsia" w:ascii="宋体" w:hAnsi="宋体"/>
          <w:highlight w:val="none"/>
        </w:rPr>
      </w:pPr>
      <w:r>
        <w:rPr>
          <w:rFonts w:hint="eastAsia" w:ascii="宋体" w:hAnsi="宋体"/>
          <w:highlight w:val="none"/>
        </w:rPr>
        <w:t xml:space="preserve">签订时间: </w:t>
      </w:r>
    </w:p>
    <w:p w14:paraId="45080DB8">
      <w:pPr>
        <w:pStyle w:val="19"/>
        <w:shd w:val="clear" w:color="auto" w:fill="auto"/>
        <w:spacing w:line="360" w:lineRule="auto"/>
        <w:ind w:firstLine="480"/>
        <w:rPr>
          <w:rFonts w:hint="eastAsia" w:ascii="宋体" w:hAnsi="宋体"/>
          <w:highlight w:val="none"/>
        </w:rPr>
      </w:pPr>
      <w:r>
        <w:rPr>
          <w:rFonts w:hint="eastAsia" w:ascii="宋体" w:hAnsi="宋体"/>
          <w:highlight w:val="none"/>
        </w:rPr>
        <w:t xml:space="preserve">采购人（甲方）：                                          </w:t>
      </w:r>
    </w:p>
    <w:p w14:paraId="39262BA6">
      <w:pPr>
        <w:pStyle w:val="19"/>
        <w:shd w:val="clear" w:color="auto" w:fill="auto"/>
        <w:spacing w:line="360" w:lineRule="auto"/>
        <w:ind w:firstLine="480"/>
        <w:rPr>
          <w:rFonts w:hint="eastAsia" w:ascii="宋体" w:hAnsi="宋体"/>
          <w:highlight w:val="none"/>
        </w:rPr>
      </w:pPr>
      <w:r>
        <w:rPr>
          <w:rFonts w:hint="eastAsia" w:ascii="宋体" w:hAnsi="宋体"/>
          <w:highlight w:val="none"/>
        </w:rPr>
        <w:t xml:space="preserve">供应商（乙方）：                        </w:t>
      </w:r>
    </w:p>
    <w:p w14:paraId="387C4687">
      <w:pPr>
        <w:pStyle w:val="19"/>
        <w:shd w:val="clear" w:color="auto" w:fill="auto"/>
        <w:spacing w:line="360" w:lineRule="auto"/>
        <w:ind w:firstLine="480"/>
        <w:rPr>
          <w:rFonts w:hint="eastAsia" w:ascii="宋体" w:hAnsi="宋体"/>
          <w:highlight w:val="none"/>
        </w:rPr>
      </w:pPr>
      <w:r>
        <w:rPr>
          <w:rFonts w:hint="eastAsia" w:ascii="宋体" w:hAnsi="宋体"/>
          <w:highlight w:val="none"/>
        </w:rPr>
        <w:t>根据《中华人民共和国政府采购法》及实施条例、《中华人民共和国</w:t>
      </w:r>
      <w:r>
        <w:rPr>
          <w:rFonts w:hint="eastAsia" w:ascii="宋体" w:hAnsi="宋体"/>
          <w:highlight w:val="none"/>
          <w:lang w:eastAsia="zh-CN"/>
        </w:rPr>
        <w:t>民法典</w:t>
      </w:r>
      <w:r>
        <w:rPr>
          <w:rFonts w:hint="eastAsia" w:ascii="宋体" w:hAnsi="宋体"/>
          <w:highlight w:val="none"/>
        </w:rPr>
        <w:t>》、</w:t>
      </w:r>
      <w:r>
        <w:rPr>
          <w:rFonts w:hint="eastAsia" w:ascii="宋体" w:hAnsi="宋体"/>
          <w:highlight w:val="none"/>
          <w:u w:val="single"/>
        </w:rPr>
        <w:t xml:space="preserve">    （采购项目名称）</w:t>
      </w:r>
      <w:r>
        <w:rPr>
          <w:rFonts w:hint="eastAsia" w:ascii="宋体" w:hAnsi="宋体"/>
          <w:highlight w:val="none"/>
        </w:rPr>
        <w:t>的招、投标文件，为保证甲方采购项目的顺利实施，甲、乙双方同意签订本合同，并共同遵守如下条款：</w:t>
      </w:r>
    </w:p>
    <w:p w14:paraId="3FDB1C1C">
      <w:pPr>
        <w:pStyle w:val="19"/>
        <w:shd w:val="clear" w:color="auto" w:fill="auto"/>
        <w:spacing w:line="360" w:lineRule="auto"/>
        <w:ind w:firstLine="482"/>
        <w:rPr>
          <w:rFonts w:hint="eastAsia" w:ascii="宋体" w:hAnsi="宋体"/>
          <w:b/>
          <w:highlight w:val="none"/>
        </w:rPr>
      </w:pPr>
      <w:r>
        <w:rPr>
          <w:rFonts w:hint="eastAsia" w:ascii="宋体" w:hAnsi="宋体"/>
          <w:b/>
          <w:highlight w:val="none"/>
        </w:rPr>
        <w:t>第一条 合同标的及数量</w:t>
      </w:r>
    </w:p>
    <w:p w14:paraId="654D4F2A">
      <w:pPr>
        <w:pStyle w:val="19"/>
        <w:shd w:val="clear" w:color="auto" w:fill="auto"/>
        <w:spacing w:line="360" w:lineRule="auto"/>
        <w:ind w:firstLine="480"/>
        <w:rPr>
          <w:rFonts w:hint="eastAsia" w:ascii="宋体" w:hAnsi="宋体"/>
          <w:highlight w:val="none"/>
        </w:rPr>
      </w:pPr>
      <w:r>
        <w:rPr>
          <w:rFonts w:hint="eastAsia" w:ascii="宋体" w:hAnsi="宋体"/>
          <w:highlight w:val="none"/>
        </w:rPr>
        <w:t>乙方向甲方提供下列货物（产品）：</w:t>
      </w:r>
    </w:p>
    <w:p w14:paraId="75B2239D">
      <w:pPr>
        <w:pStyle w:val="19"/>
        <w:shd w:val="clear" w:color="auto" w:fill="auto"/>
        <w:spacing w:line="360" w:lineRule="auto"/>
        <w:ind w:firstLine="480"/>
        <w:jc w:val="center"/>
        <w:rPr>
          <w:rFonts w:hint="eastAsia" w:ascii="宋体" w:hAnsi="宋体"/>
          <w:highlight w:val="none"/>
        </w:rPr>
      </w:pPr>
      <w:r>
        <w:rPr>
          <w:rFonts w:hint="eastAsia" w:ascii="宋体" w:hAnsi="宋体"/>
          <w:highlight w:val="none"/>
        </w:rPr>
        <w:t>供货一览表</w:t>
      </w:r>
    </w:p>
    <w:tbl>
      <w:tblPr>
        <w:tblStyle w:val="15"/>
        <w:tblW w:w="99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31"/>
        <w:gridCol w:w="1521"/>
        <w:gridCol w:w="869"/>
        <w:gridCol w:w="1098"/>
        <w:gridCol w:w="1330"/>
        <w:gridCol w:w="1330"/>
        <w:gridCol w:w="1330"/>
        <w:gridCol w:w="1148"/>
      </w:tblGrid>
      <w:tr w14:paraId="20344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trPr>
        <w:tc>
          <w:tcPr>
            <w:tcW w:w="1331" w:type="dxa"/>
            <w:noWrap w:val="0"/>
            <w:vAlign w:val="center"/>
          </w:tcPr>
          <w:p w14:paraId="1D9E4628">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宋体" w:hAnsi="宋体" w:cs="宋体"/>
                <w:b/>
                <w:color w:val="auto"/>
                <w:sz w:val="24"/>
                <w:szCs w:val="24"/>
              </w:rPr>
            </w:pPr>
            <w:r>
              <w:rPr>
                <w:rFonts w:hint="eastAsia" w:ascii="宋体" w:hAnsi="宋体" w:cs="宋体"/>
                <w:b/>
                <w:color w:val="auto"/>
                <w:sz w:val="24"/>
                <w:szCs w:val="24"/>
              </w:rPr>
              <w:t>产品品名</w:t>
            </w:r>
          </w:p>
        </w:tc>
        <w:tc>
          <w:tcPr>
            <w:tcW w:w="1521" w:type="dxa"/>
            <w:noWrap w:val="0"/>
            <w:vAlign w:val="center"/>
          </w:tcPr>
          <w:p w14:paraId="153DB2ED">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宋体" w:hAnsi="宋体" w:cs="宋体"/>
                <w:color w:val="auto"/>
                <w:sz w:val="24"/>
                <w:szCs w:val="24"/>
              </w:rPr>
            </w:pPr>
            <w:r>
              <w:rPr>
                <w:rFonts w:hint="eastAsia" w:ascii="宋体" w:hAnsi="宋体" w:cs="宋体"/>
                <w:color w:val="auto"/>
                <w:sz w:val="24"/>
                <w:szCs w:val="24"/>
              </w:rPr>
              <w:t>规格/</w:t>
            </w:r>
          </w:p>
          <w:p w14:paraId="664BE4C6">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宋体" w:hAnsi="宋体" w:cs="宋体"/>
                <w:color w:val="auto"/>
                <w:sz w:val="24"/>
                <w:szCs w:val="24"/>
              </w:rPr>
            </w:pPr>
            <w:r>
              <w:rPr>
                <w:rFonts w:hint="eastAsia" w:ascii="宋体" w:hAnsi="宋体" w:cs="宋体"/>
                <w:color w:val="auto"/>
                <w:sz w:val="24"/>
                <w:szCs w:val="24"/>
              </w:rPr>
              <w:t>重量</w:t>
            </w:r>
          </w:p>
        </w:tc>
        <w:tc>
          <w:tcPr>
            <w:tcW w:w="869" w:type="dxa"/>
            <w:noWrap w:val="0"/>
            <w:vAlign w:val="center"/>
          </w:tcPr>
          <w:p w14:paraId="39F14B1A">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宋体" w:hAnsi="宋体" w:cs="宋体"/>
                <w:color w:val="auto"/>
                <w:sz w:val="24"/>
                <w:szCs w:val="24"/>
              </w:rPr>
            </w:pPr>
            <w:r>
              <w:rPr>
                <w:rFonts w:hint="eastAsia" w:ascii="宋体" w:hAnsi="宋体" w:cs="宋体"/>
                <w:color w:val="auto"/>
                <w:sz w:val="24"/>
                <w:szCs w:val="24"/>
              </w:rPr>
              <w:t>单位</w:t>
            </w:r>
          </w:p>
        </w:tc>
        <w:tc>
          <w:tcPr>
            <w:tcW w:w="1098" w:type="dxa"/>
            <w:noWrap w:val="0"/>
            <w:vAlign w:val="center"/>
          </w:tcPr>
          <w:p w14:paraId="438470D3">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宋体" w:hAnsi="宋体" w:cs="宋体"/>
                <w:color w:val="auto"/>
                <w:sz w:val="24"/>
                <w:szCs w:val="24"/>
              </w:rPr>
            </w:pPr>
            <w:r>
              <w:rPr>
                <w:rFonts w:hint="eastAsia" w:ascii="宋体" w:hAnsi="宋体" w:cs="宋体"/>
                <w:color w:val="auto"/>
                <w:sz w:val="24"/>
                <w:szCs w:val="24"/>
              </w:rPr>
              <w:t>单价</w:t>
            </w:r>
          </w:p>
          <w:p w14:paraId="0B7D2A1F">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宋体" w:hAnsi="宋体" w:cs="宋体"/>
                <w:color w:val="auto"/>
                <w:sz w:val="24"/>
                <w:szCs w:val="24"/>
              </w:rPr>
            </w:pPr>
            <w:r>
              <w:rPr>
                <w:rFonts w:hint="eastAsia" w:ascii="宋体" w:hAnsi="宋体" w:cs="宋体"/>
                <w:color w:val="auto"/>
                <w:sz w:val="24"/>
                <w:szCs w:val="24"/>
              </w:rPr>
              <w:t>（元）</w:t>
            </w:r>
          </w:p>
        </w:tc>
        <w:tc>
          <w:tcPr>
            <w:tcW w:w="1330" w:type="dxa"/>
            <w:noWrap w:val="0"/>
            <w:vAlign w:val="center"/>
          </w:tcPr>
          <w:p w14:paraId="768AC06C">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rPr>
            </w:pPr>
            <w:r>
              <w:rPr>
                <w:rFonts w:hint="eastAsia" w:ascii="宋体" w:hAnsi="宋体" w:cs="宋体"/>
                <w:color w:val="auto"/>
                <w:sz w:val="24"/>
                <w:szCs w:val="24"/>
              </w:rPr>
              <w:t>数量</w:t>
            </w:r>
          </w:p>
        </w:tc>
        <w:tc>
          <w:tcPr>
            <w:tcW w:w="1330" w:type="dxa"/>
            <w:noWrap w:val="0"/>
            <w:vAlign w:val="center"/>
          </w:tcPr>
          <w:p w14:paraId="2B118005">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rPr>
            </w:pPr>
            <w:r>
              <w:rPr>
                <w:rFonts w:hint="eastAsia" w:ascii="宋体" w:hAnsi="宋体" w:cs="宋体"/>
                <w:color w:val="auto"/>
                <w:sz w:val="24"/>
                <w:szCs w:val="24"/>
              </w:rPr>
              <w:t>总价</w:t>
            </w:r>
          </w:p>
          <w:p w14:paraId="5676B262">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rPr>
            </w:pPr>
            <w:r>
              <w:rPr>
                <w:rFonts w:hint="eastAsia" w:ascii="宋体" w:hAnsi="宋体" w:cs="宋体"/>
                <w:color w:val="auto"/>
                <w:sz w:val="24"/>
                <w:szCs w:val="24"/>
              </w:rPr>
              <w:t>（元）</w:t>
            </w:r>
          </w:p>
        </w:tc>
        <w:tc>
          <w:tcPr>
            <w:tcW w:w="1330" w:type="dxa"/>
            <w:noWrap w:val="0"/>
            <w:vAlign w:val="center"/>
          </w:tcPr>
          <w:p w14:paraId="126462F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宋体" w:hAnsi="宋体" w:cs="宋体"/>
                <w:color w:val="auto"/>
                <w:sz w:val="24"/>
                <w:szCs w:val="24"/>
              </w:rPr>
            </w:pPr>
            <w:r>
              <w:rPr>
                <w:rFonts w:hint="eastAsia" w:ascii="宋体" w:hAnsi="宋体" w:cs="宋体"/>
                <w:color w:val="auto"/>
                <w:sz w:val="24"/>
                <w:szCs w:val="24"/>
              </w:rPr>
              <w:t>保质期</w:t>
            </w:r>
          </w:p>
          <w:p w14:paraId="3888F7C9">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宋体" w:hAnsi="宋体" w:cs="宋体"/>
                <w:color w:val="auto"/>
                <w:sz w:val="24"/>
                <w:szCs w:val="24"/>
              </w:rPr>
            </w:pPr>
            <w:r>
              <w:rPr>
                <w:rFonts w:hint="eastAsia" w:ascii="宋体" w:hAnsi="宋体" w:cs="宋体"/>
                <w:color w:val="auto"/>
                <w:sz w:val="24"/>
                <w:szCs w:val="24"/>
              </w:rPr>
              <w:t>（天）</w:t>
            </w:r>
          </w:p>
        </w:tc>
        <w:tc>
          <w:tcPr>
            <w:tcW w:w="1148" w:type="dxa"/>
            <w:noWrap w:val="0"/>
            <w:vAlign w:val="center"/>
          </w:tcPr>
          <w:p w14:paraId="2CAF8792">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宋体" w:hAnsi="宋体" w:cs="宋体"/>
                <w:color w:val="auto"/>
                <w:sz w:val="24"/>
                <w:szCs w:val="24"/>
              </w:rPr>
            </w:pPr>
            <w:r>
              <w:rPr>
                <w:rFonts w:hint="eastAsia" w:ascii="宋体" w:hAnsi="宋体" w:cs="宋体"/>
                <w:color w:val="auto"/>
                <w:sz w:val="24"/>
                <w:szCs w:val="24"/>
              </w:rPr>
              <w:t>交货期</w:t>
            </w:r>
          </w:p>
        </w:tc>
      </w:tr>
      <w:tr w14:paraId="747AD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331" w:type="dxa"/>
            <w:noWrap w:val="0"/>
            <w:vAlign w:val="center"/>
          </w:tcPr>
          <w:p w14:paraId="1A789421">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宋体" w:hAnsi="宋体" w:cs="宋体"/>
                <w:color w:val="auto"/>
                <w:sz w:val="24"/>
                <w:szCs w:val="24"/>
              </w:rPr>
            </w:pPr>
          </w:p>
        </w:tc>
        <w:tc>
          <w:tcPr>
            <w:tcW w:w="1521" w:type="dxa"/>
            <w:noWrap w:val="0"/>
            <w:vAlign w:val="center"/>
          </w:tcPr>
          <w:p w14:paraId="23CB6F14">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宋体" w:hAnsi="宋体" w:cs="宋体"/>
                <w:color w:val="auto"/>
                <w:sz w:val="24"/>
                <w:szCs w:val="24"/>
              </w:rPr>
            </w:pPr>
          </w:p>
        </w:tc>
        <w:tc>
          <w:tcPr>
            <w:tcW w:w="869" w:type="dxa"/>
            <w:noWrap w:val="0"/>
            <w:vAlign w:val="center"/>
          </w:tcPr>
          <w:p w14:paraId="6359F308">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宋体" w:hAnsi="宋体" w:cs="宋体"/>
                <w:color w:val="auto"/>
                <w:sz w:val="24"/>
                <w:szCs w:val="24"/>
              </w:rPr>
            </w:pPr>
          </w:p>
        </w:tc>
        <w:tc>
          <w:tcPr>
            <w:tcW w:w="1098" w:type="dxa"/>
            <w:noWrap w:val="0"/>
            <w:vAlign w:val="center"/>
          </w:tcPr>
          <w:p w14:paraId="47A37C86">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宋体" w:hAnsi="宋体" w:cs="宋体"/>
                <w:color w:val="auto"/>
                <w:sz w:val="24"/>
                <w:szCs w:val="24"/>
              </w:rPr>
            </w:pPr>
          </w:p>
        </w:tc>
        <w:tc>
          <w:tcPr>
            <w:tcW w:w="1330" w:type="dxa"/>
            <w:noWrap w:val="0"/>
            <w:vAlign w:val="center"/>
          </w:tcPr>
          <w:p w14:paraId="65DA302C">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宋体" w:hAnsi="宋体" w:cs="宋体"/>
                <w:color w:val="auto"/>
                <w:sz w:val="24"/>
                <w:szCs w:val="24"/>
              </w:rPr>
            </w:pPr>
          </w:p>
        </w:tc>
        <w:tc>
          <w:tcPr>
            <w:tcW w:w="1330" w:type="dxa"/>
            <w:noWrap w:val="0"/>
            <w:vAlign w:val="center"/>
          </w:tcPr>
          <w:p w14:paraId="26B8E460">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宋体" w:hAnsi="宋体" w:cs="宋体"/>
                <w:color w:val="auto"/>
                <w:sz w:val="24"/>
                <w:szCs w:val="24"/>
              </w:rPr>
            </w:pPr>
          </w:p>
        </w:tc>
        <w:tc>
          <w:tcPr>
            <w:tcW w:w="1330" w:type="dxa"/>
            <w:noWrap w:val="0"/>
            <w:vAlign w:val="center"/>
          </w:tcPr>
          <w:p w14:paraId="37064BDB">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宋体" w:hAnsi="宋体" w:cs="宋体"/>
                <w:color w:val="auto"/>
                <w:sz w:val="24"/>
                <w:szCs w:val="24"/>
              </w:rPr>
            </w:pPr>
          </w:p>
        </w:tc>
        <w:tc>
          <w:tcPr>
            <w:tcW w:w="1148" w:type="dxa"/>
            <w:noWrap w:val="0"/>
            <w:vAlign w:val="center"/>
          </w:tcPr>
          <w:p w14:paraId="1A6D3598">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宋体" w:hAnsi="宋体" w:cs="宋体"/>
                <w:color w:val="auto"/>
                <w:sz w:val="24"/>
                <w:szCs w:val="24"/>
              </w:rPr>
            </w:pPr>
          </w:p>
        </w:tc>
      </w:tr>
      <w:tr w14:paraId="29147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331" w:type="dxa"/>
            <w:noWrap w:val="0"/>
            <w:vAlign w:val="center"/>
          </w:tcPr>
          <w:p w14:paraId="1313815B">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宋体" w:hAnsi="宋体" w:cs="宋体"/>
                <w:color w:val="auto"/>
                <w:sz w:val="24"/>
                <w:szCs w:val="24"/>
              </w:rPr>
            </w:pPr>
          </w:p>
        </w:tc>
        <w:tc>
          <w:tcPr>
            <w:tcW w:w="1521" w:type="dxa"/>
            <w:noWrap w:val="0"/>
            <w:vAlign w:val="center"/>
          </w:tcPr>
          <w:p w14:paraId="5728EEE9">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宋体" w:hAnsi="宋体" w:cs="宋体"/>
                <w:color w:val="auto"/>
                <w:sz w:val="24"/>
                <w:szCs w:val="24"/>
              </w:rPr>
            </w:pPr>
          </w:p>
        </w:tc>
        <w:tc>
          <w:tcPr>
            <w:tcW w:w="869" w:type="dxa"/>
            <w:noWrap w:val="0"/>
            <w:vAlign w:val="center"/>
          </w:tcPr>
          <w:p w14:paraId="0D723A2A">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宋体" w:hAnsi="宋体" w:cs="宋体"/>
                <w:color w:val="auto"/>
                <w:sz w:val="24"/>
                <w:szCs w:val="24"/>
              </w:rPr>
            </w:pPr>
          </w:p>
        </w:tc>
        <w:tc>
          <w:tcPr>
            <w:tcW w:w="1098" w:type="dxa"/>
            <w:noWrap w:val="0"/>
            <w:vAlign w:val="center"/>
          </w:tcPr>
          <w:p w14:paraId="13775DF1">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宋体" w:hAnsi="宋体" w:cs="宋体"/>
                <w:color w:val="auto"/>
                <w:sz w:val="24"/>
                <w:szCs w:val="24"/>
              </w:rPr>
            </w:pPr>
          </w:p>
        </w:tc>
        <w:tc>
          <w:tcPr>
            <w:tcW w:w="1330" w:type="dxa"/>
            <w:noWrap w:val="0"/>
            <w:vAlign w:val="center"/>
          </w:tcPr>
          <w:p w14:paraId="363204C8">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宋体" w:hAnsi="宋体" w:cs="宋体"/>
                <w:color w:val="auto"/>
                <w:sz w:val="24"/>
                <w:szCs w:val="24"/>
              </w:rPr>
            </w:pPr>
          </w:p>
        </w:tc>
        <w:tc>
          <w:tcPr>
            <w:tcW w:w="1330" w:type="dxa"/>
            <w:noWrap w:val="0"/>
            <w:vAlign w:val="center"/>
          </w:tcPr>
          <w:p w14:paraId="512FB6D2">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宋体" w:hAnsi="宋体" w:cs="宋体"/>
                <w:color w:val="auto"/>
                <w:sz w:val="24"/>
                <w:szCs w:val="24"/>
              </w:rPr>
            </w:pPr>
          </w:p>
        </w:tc>
        <w:tc>
          <w:tcPr>
            <w:tcW w:w="1330" w:type="dxa"/>
            <w:noWrap w:val="0"/>
            <w:vAlign w:val="center"/>
          </w:tcPr>
          <w:p w14:paraId="11BB2B88">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宋体" w:hAnsi="宋体" w:cs="宋体"/>
                <w:color w:val="auto"/>
                <w:sz w:val="24"/>
                <w:szCs w:val="24"/>
              </w:rPr>
            </w:pPr>
          </w:p>
        </w:tc>
        <w:tc>
          <w:tcPr>
            <w:tcW w:w="1148" w:type="dxa"/>
            <w:noWrap w:val="0"/>
            <w:vAlign w:val="center"/>
          </w:tcPr>
          <w:p w14:paraId="7EC1815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宋体" w:hAnsi="宋体" w:cs="宋体"/>
                <w:color w:val="auto"/>
                <w:sz w:val="24"/>
                <w:szCs w:val="24"/>
              </w:rPr>
            </w:pPr>
          </w:p>
        </w:tc>
      </w:tr>
      <w:tr w14:paraId="791AA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1331" w:type="dxa"/>
            <w:noWrap w:val="0"/>
            <w:vAlign w:val="center"/>
          </w:tcPr>
          <w:p w14:paraId="55F608CB">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宋体" w:hAnsi="宋体" w:cs="宋体"/>
                <w:color w:val="auto"/>
                <w:sz w:val="24"/>
                <w:szCs w:val="24"/>
              </w:rPr>
            </w:pPr>
          </w:p>
        </w:tc>
        <w:tc>
          <w:tcPr>
            <w:tcW w:w="1521" w:type="dxa"/>
            <w:noWrap w:val="0"/>
            <w:vAlign w:val="center"/>
          </w:tcPr>
          <w:p w14:paraId="00FBD070">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宋体" w:hAnsi="宋体" w:cs="宋体"/>
                <w:color w:val="auto"/>
                <w:sz w:val="24"/>
                <w:szCs w:val="24"/>
              </w:rPr>
            </w:pPr>
          </w:p>
        </w:tc>
        <w:tc>
          <w:tcPr>
            <w:tcW w:w="869" w:type="dxa"/>
            <w:noWrap w:val="0"/>
            <w:vAlign w:val="center"/>
          </w:tcPr>
          <w:p w14:paraId="44C8B054">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宋体" w:hAnsi="宋体" w:cs="宋体"/>
                <w:color w:val="auto"/>
                <w:sz w:val="24"/>
                <w:szCs w:val="24"/>
              </w:rPr>
            </w:pPr>
          </w:p>
        </w:tc>
        <w:tc>
          <w:tcPr>
            <w:tcW w:w="1098" w:type="dxa"/>
            <w:noWrap w:val="0"/>
            <w:vAlign w:val="center"/>
          </w:tcPr>
          <w:p w14:paraId="54F0C7A6">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宋体" w:hAnsi="宋体" w:cs="宋体"/>
                <w:color w:val="auto"/>
                <w:sz w:val="24"/>
                <w:szCs w:val="24"/>
              </w:rPr>
            </w:pPr>
          </w:p>
        </w:tc>
        <w:tc>
          <w:tcPr>
            <w:tcW w:w="1330" w:type="dxa"/>
            <w:noWrap w:val="0"/>
            <w:vAlign w:val="center"/>
          </w:tcPr>
          <w:p w14:paraId="497BE543">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宋体" w:hAnsi="宋体" w:cs="宋体"/>
                <w:color w:val="auto"/>
                <w:sz w:val="24"/>
                <w:szCs w:val="24"/>
              </w:rPr>
            </w:pPr>
          </w:p>
        </w:tc>
        <w:tc>
          <w:tcPr>
            <w:tcW w:w="1330" w:type="dxa"/>
            <w:noWrap w:val="0"/>
            <w:vAlign w:val="center"/>
          </w:tcPr>
          <w:p w14:paraId="08873B68">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宋体" w:hAnsi="宋体" w:cs="宋体"/>
                <w:color w:val="auto"/>
                <w:sz w:val="24"/>
                <w:szCs w:val="24"/>
              </w:rPr>
            </w:pPr>
          </w:p>
        </w:tc>
        <w:tc>
          <w:tcPr>
            <w:tcW w:w="1330" w:type="dxa"/>
            <w:noWrap w:val="0"/>
            <w:vAlign w:val="center"/>
          </w:tcPr>
          <w:p w14:paraId="6D67ABB6">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宋体" w:hAnsi="宋体" w:cs="宋体"/>
                <w:color w:val="auto"/>
                <w:sz w:val="24"/>
                <w:szCs w:val="24"/>
              </w:rPr>
            </w:pPr>
          </w:p>
        </w:tc>
        <w:tc>
          <w:tcPr>
            <w:tcW w:w="1148" w:type="dxa"/>
            <w:noWrap w:val="0"/>
            <w:vAlign w:val="center"/>
          </w:tcPr>
          <w:p w14:paraId="17B078D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宋体" w:hAnsi="宋体" w:cs="宋体"/>
                <w:color w:val="auto"/>
                <w:sz w:val="24"/>
                <w:szCs w:val="24"/>
              </w:rPr>
            </w:pPr>
          </w:p>
        </w:tc>
      </w:tr>
    </w:tbl>
    <w:p w14:paraId="2E2F9D0E">
      <w:pPr>
        <w:pStyle w:val="19"/>
        <w:shd w:val="clear" w:color="auto" w:fill="auto"/>
        <w:spacing w:before="240" w:line="360" w:lineRule="auto"/>
        <w:ind w:firstLine="482"/>
        <w:rPr>
          <w:rFonts w:hint="eastAsia" w:ascii="宋体" w:hAnsi="宋体"/>
          <w:b/>
          <w:highlight w:val="none"/>
        </w:rPr>
      </w:pPr>
      <w:r>
        <w:rPr>
          <w:rFonts w:hint="eastAsia" w:ascii="宋体" w:hAnsi="宋体"/>
          <w:b/>
          <w:highlight w:val="none"/>
        </w:rPr>
        <w:t xml:space="preserve">第二条 合同价款 </w:t>
      </w:r>
    </w:p>
    <w:p w14:paraId="45D1D1E4">
      <w:pPr>
        <w:pStyle w:val="19"/>
        <w:shd w:val="clear" w:color="auto" w:fill="auto"/>
        <w:spacing w:line="360" w:lineRule="auto"/>
        <w:ind w:firstLine="480"/>
        <w:rPr>
          <w:rFonts w:hint="eastAsia" w:ascii="宋体" w:hAnsi="宋体" w:eastAsia="宋体"/>
          <w:highlight w:val="none"/>
          <w:lang w:val="en-US" w:eastAsia="zh-CN"/>
        </w:rPr>
      </w:pPr>
      <w:r>
        <w:rPr>
          <w:rFonts w:hint="eastAsia" w:ascii="宋体" w:hAnsi="宋体"/>
          <w:highlight w:val="none"/>
        </w:rPr>
        <w:t>1、</w:t>
      </w:r>
      <w:r>
        <w:rPr>
          <w:rFonts w:hint="eastAsia" w:ascii="宋体" w:hAnsi="宋体"/>
          <w:highlight w:val="none"/>
          <w:lang w:eastAsia="zh-CN"/>
        </w:rPr>
        <w:t>投标供应商</w:t>
      </w:r>
      <w:r>
        <w:rPr>
          <w:rFonts w:hint="eastAsia" w:ascii="宋体" w:hAnsi="宋体"/>
          <w:highlight w:val="none"/>
        </w:rPr>
        <w:t>的报价应考虑为完成本项目的全部费用，投标单价应包括食品的生产、包装、储藏、运输、配送、留样、税金等其他一切相关费用</w:t>
      </w:r>
      <w:r>
        <w:rPr>
          <w:rFonts w:hint="eastAsia" w:ascii="宋体" w:hAnsi="宋体"/>
          <w:highlight w:val="none"/>
          <w:lang w:val="en-US" w:eastAsia="zh-CN"/>
        </w:rPr>
        <w:t>。</w:t>
      </w:r>
    </w:p>
    <w:p w14:paraId="524330B2">
      <w:pPr>
        <w:pStyle w:val="19"/>
        <w:shd w:val="clear" w:color="auto" w:fill="auto"/>
        <w:spacing w:line="360" w:lineRule="auto"/>
        <w:ind w:firstLine="482"/>
        <w:rPr>
          <w:rFonts w:hint="eastAsia" w:ascii="宋体" w:hAnsi="宋体"/>
          <w:b/>
          <w:highlight w:val="none"/>
        </w:rPr>
      </w:pPr>
      <w:r>
        <w:rPr>
          <w:rFonts w:hint="eastAsia" w:ascii="宋体" w:hAnsi="宋体"/>
          <w:b/>
          <w:highlight w:val="none"/>
        </w:rPr>
        <w:t>第三条 货款支付</w:t>
      </w:r>
    </w:p>
    <w:p w14:paraId="14D49E26">
      <w:pPr>
        <w:shd w:val="clear" w:color="auto" w:fill="auto"/>
        <w:ind w:firstLine="480"/>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1、付款方式：付款实行按月结算。</w:t>
      </w:r>
    </w:p>
    <w:p w14:paraId="79A9A47C">
      <w:pPr>
        <w:shd w:val="clear" w:color="auto" w:fill="auto"/>
        <w:ind w:firstLine="480"/>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①米、面粉、菜籽油：按中标价单价*实际供货数量进行结算；</w:t>
      </w:r>
    </w:p>
    <w:p w14:paraId="10871AE6">
      <w:pPr>
        <w:shd w:val="clear" w:color="auto" w:fill="auto"/>
        <w:ind w:firstLine="480"/>
        <w:rPr>
          <w:rFonts w:hint="eastAsia" w:ascii="宋体" w:hAnsi="宋体" w:cs="宋体"/>
          <w:sz w:val="24"/>
          <w:highlight w:val="none"/>
          <w:lang w:val="en-US" w:eastAsia="zh-CN"/>
        </w:rPr>
      </w:pPr>
      <w:r>
        <w:rPr>
          <w:rFonts w:hint="eastAsia" w:ascii="宋体" w:hAnsi="宋体" w:eastAsia="宋体" w:cs="宋体"/>
          <w:kern w:val="2"/>
          <w:sz w:val="24"/>
          <w:szCs w:val="24"/>
          <w:highlight w:val="none"/>
          <w:lang w:val="en-US" w:eastAsia="zh-CN" w:bidi="ar-SA"/>
        </w:rPr>
        <w:t>②肉类</w:t>
      </w:r>
      <w:r>
        <w:rPr>
          <w:rFonts w:hint="eastAsia" w:ascii="宋体" w:hAnsi="宋体" w:cs="宋体"/>
          <w:sz w:val="24"/>
          <w:highlight w:val="none"/>
          <w:lang w:val="en-US" w:eastAsia="zh-CN"/>
        </w:rPr>
        <w:t>、蛋类、蔬菜类：招标人每周进行一次市场询价，核算价格按照市场询价结果平均值下浮8%执行，若核算价高于投标供应商报价，则以投标供应商报价下浮8%作为最终结算价，若核算价低于投标供应商报价，则以核算价作为最终结算价。每次询价地点不得少于3个，覆盖超市和农贸市场等。</w:t>
      </w:r>
    </w:p>
    <w:p w14:paraId="66ACAC5E">
      <w:pPr>
        <w:shd w:val="clear" w:color="auto" w:fill="auto"/>
        <w:ind w:firstLine="480"/>
        <w:rPr>
          <w:rFonts w:hint="eastAsia" w:ascii="宋体" w:hAnsi="宋体" w:cs="宋体"/>
          <w:sz w:val="24"/>
          <w:highlight w:val="none"/>
          <w:lang w:val="en-US" w:eastAsia="zh-CN"/>
        </w:rPr>
      </w:pPr>
      <w:r>
        <w:rPr>
          <w:rFonts w:hint="eastAsia" w:ascii="宋体" w:hAnsi="宋体" w:cs="宋体"/>
          <w:sz w:val="24"/>
          <w:highlight w:val="none"/>
          <w:lang w:val="en-US" w:eastAsia="zh-CN"/>
        </w:rPr>
        <w:t>③干菜、调味品类：招标人在秋季开学前后一月内进行一次询价，合同期内不再进行询价。核算价格按照市场询价结果平均值下浮8%执行，若核算价高于投标供应商报价，则以投标供应商报价下浮8%作为最终结算价，若核算价低于投标供应商报价，则以核算价作为最终结算价。询价地点不得少于3个，覆盖超市和农贸市场等。</w:t>
      </w:r>
    </w:p>
    <w:p w14:paraId="6F0EBE45">
      <w:pPr>
        <w:shd w:val="clear" w:color="auto" w:fill="auto"/>
        <w:ind w:firstLine="480"/>
        <w:rPr>
          <w:rFonts w:hint="eastAsia" w:ascii="宋体" w:hAnsi="宋体" w:eastAsia="宋体" w:cs="宋体"/>
          <w:sz w:val="24"/>
          <w:highlight w:val="none"/>
          <w:lang w:eastAsia="zh-CN"/>
        </w:rPr>
      </w:pPr>
      <w:r>
        <w:rPr>
          <w:rFonts w:hint="eastAsia" w:ascii="宋体" w:hAnsi="宋体" w:cs="宋体"/>
          <w:sz w:val="24"/>
          <w:highlight w:val="none"/>
          <w:lang w:val="en-US" w:eastAsia="zh-CN"/>
        </w:rPr>
        <w:t>每月结算一次，如遇特殊情况顺延，因乙方手续不齐全或其它缘故，逾期未能结算的将放置下一个结算日期结算。</w:t>
      </w:r>
    </w:p>
    <w:p w14:paraId="6193B4BF">
      <w:pPr>
        <w:pStyle w:val="19"/>
        <w:shd w:val="clear" w:color="auto" w:fill="auto"/>
        <w:spacing w:line="360" w:lineRule="auto"/>
        <w:ind w:firstLine="480"/>
        <w:rPr>
          <w:rFonts w:hint="eastAsia" w:ascii="宋体" w:hAnsi="宋体"/>
          <w:highlight w:val="none"/>
        </w:rPr>
      </w:pPr>
      <w:r>
        <w:rPr>
          <w:rFonts w:hint="eastAsia" w:ascii="宋体" w:hAnsi="宋体"/>
          <w:highlight w:val="none"/>
        </w:rPr>
        <w:t>2、</w:t>
      </w:r>
      <w:r>
        <w:rPr>
          <w:rFonts w:hint="eastAsia" w:ascii="宋体" w:hAnsi="宋体" w:eastAsia="宋体" w:cs="宋体"/>
          <w:color w:val="auto"/>
          <w:sz w:val="24"/>
          <w:highlight w:val="none"/>
        </w:rPr>
        <w:t>结算方式:由各学校与中标供应商进行结算，中标供应商须提供等额的符合国家规定的发票</w:t>
      </w:r>
      <w:r>
        <w:rPr>
          <w:rFonts w:hint="eastAsia" w:ascii="宋体" w:hAnsi="宋体"/>
          <w:highlight w:val="none"/>
        </w:rPr>
        <w:t>。</w:t>
      </w:r>
    </w:p>
    <w:p w14:paraId="37EF8B1E">
      <w:pPr>
        <w:pStyle w:val="19"/>
        <w:shd w:val="clear" w:color="auto" w:fill="auto"/>
        <w:spacing w:line="360" w:lineRule="auto"/>
        <w:ind w:firstLine="480"/>
        <w:rPr>
          <w:rFonts w:ascii="宋体" w:hAnsi="宋体"/>
          <w:highlight w:val="none"/>
        </w:rPr>
      </w:pPr>
      <w:r>
        <w:rPr>
          <w:rFonts w:hint="eastAsia" w:ascii="宋体" w:hAnsi="宋体"/>
          <w:highlight w:val="none"/>
        </w:rPr>
        <w:t>3、支付方式:银行转账。</w:t>
      </w:r>
    </w:p>
    <w:p w14:paraId="6D8FE876">
      <w:pPr>
        <w:pStyle w:val="19"/>
        <w:shd w:val="clear" w:color="auto" w:fill="auto"/>
        <w:spacing w:line="360" w:lineRule="auto"/>
        <w:ind w:firstLine="482"/>
        <w:rPr>
          <w:rFonts w:hint="eastAsia" w:ascii="宋体" w:hAnsi="宋体"/>
          <w:b/>
          <w:highlight w:val="none"/>
        </w:rPr>
      </w:pPr>
      <w:r>
        <w:rPr>
          <w:rFonts w:hint="eastAsia" w:ascii="宋体" w:hAnsi="宋体"/>
          <w:b/>
          <w:highlight w:val="none"/>
        </w:rPr>
        <w:t>第四条 交货时间与地点</w:t>
      </w:r>
    </w:p>
    <w:p w14:paraId="72048328">
      <w:pPr>
        <w:pStyle w:val="19"/>
        <w:shd w:val="clear" w:color="auto" w:fill="auto"/>
        <w:spacing w:line="360" w:lineRule="auto"/>
        <w:ind w:firstLine="480"/>
        <w:rPr>
          <w:rFonts w:hint="eastAsia" w:ascii="宋体" w:hAnsi="宋体"/>
          <w:b/>
          <w:highlight w:val="none"/>
        </w:rPr>
      </w:pPr>
      <w:r>
        <w:rPr>
          <w:rFonts w:hint="eastAsia" w:ascii="宋体" w:hAnsi="宋体"/>
          <w:highlight w:val="none"/>
        </w:rPr>
        <w:t>乙方在合同签订生效之日起，按甲方指定时间、地点交货。</w:t>
      </w:r>
    </w:p>
    <w:p w14:paraId="7F81D842">
      <w:pPr>
        <w:pStyle w:val="19"/>
        <w:shd w:val="clear" w:color="auto" w:fill="auto"/>
        <w:spacing w:line="360" w:lineRule="auto"/>
        <w:ind w:firstLine="561" w:firstLineChars="0"/>
        <w:rPr>
          <w:rFonts w:hint="eastAsia" w:ascii="宋体" w:hAnsi="宋体"/>
          <w:highlight w:val="none"/>
        </w:rPr>
      </w:pPr>
      <w:r>
        <w:rPr>
          <w:rFonts w:hint="eastAsia" w:ascii="宋体" w:hAnsi="宋体"/>
          <w:highlight w:val="none"/>
        </w:rPr>
        <w:t>1、交货时间（期限）：</w:t>
      </w:r>
    </w:p>
    <w:p w14:paraId="6F58E0CB">
      <w:pPr>
        <w:pStyle w:val="19"/>
        <w:shd w:val="clear" w:color="auto" w:fill="auto"/>
        <w:spacing w:line="360" w:lineRule="auto"/>
        <w:ind w:firstLine="561" w:firstLineChars="0"/>
        <w:rPr>
          <w:rFonts w:hint="eastAsia" w:ascii="宋体" w:hAnsi="宋体"/>
          <w:highlight w:val="none"/>
        </w:rPr>
      </w:pPr>
      <w:r>
        <w:rPr>
          <w:rFonts w:hint="eastAsia" w:ascii="宋体" w:hAnsi="宋体"/>
          <w:highlight w:val="none"/>
        </w:rPr>
        <w:t>2、交货地点：</w:t>
      </w:r>
    </w:p>
    <w:p w14:paraId="6097ACA2">
      <w:pPr>
        <w:pStyle w:val="19"/>
        <w:shd w:val="clear" w:color="auto" w:fill="auto"/>
        <w:spacing w:line="360" w:lineRule="auto"/>
        <w:ind w:firstLine="561" w:firstLineChars="0"/>
        <w:rPr>
          <w:rFonts w:hint="eastAsia" w:ascii="宋体" w:hAnsi="宋体"/>
          <w:highlight w:val="none"/>
          <w:lang w:eastAsia="zh-CN"/>
        </w:rPr>
      </w:pPr>
      <w:r>
        <w:rPr>
          <w:rFonts w:hint="eastAsia" w:ascii="宋体" w:hAnsi="宋体"/>
          <w:highlight w:val="none"/>
          <w:lang w:val="en-US" w:eastAsia="zh-CN"/>
        </w:rPr>
        <w:t>3、</w:t>
      </w:r>
      <w:r>
        <w:rPr>
          <w:rFonts w:hint="eastAsia" w:ascii="宋体" w:hAnsi="宋体"/>
          <w:highlight w:val="none"/>
        </w:rPr>
        <w:t>甲方所需的食材由乙方供应。乙方负责送货上门，乙方必须确保按合同要求所需产品免费送货上门。送货商品必须经过甲方相关人员检查、</w:t>
      </w:r>
      <w:r>
        <w:rPr>
          <w:rFonts w:hint="eastAsia" w:ascii="宋体" w:hAnsi="宋体"/>
          <w:highlight w:val="none"/>
          <w:lang w:eastAsia="zh-CN"/>
        </w:rPr>
        <w:t>过秤</w:t>
      </w:r>
      <w:r>
        <w:rPr>
          <w:rFonts w:hint="eastAsia" w:ascii="宋体" w:hAnsi="宋体"/>
          <w:highlight w:val="none"/>
        </w:rPr>
        <w:t>、验收、签名</w:t>
      </w:r>
      <w:r>
        <w:rPr>
          <w:rFonts w:hint="eastAsia" w:ascii="宋体" w:hAnsi="宋体"/>
          <w:highlight w:val="none"/>
          <w:lang w:eastAsia="zh-CN"/>
        </w:rPr>
        <w:t>。</w:t>
      </w:r>
    </w:p>
    <w:p w14:paraId="4496CA32">
      <w:pPr>
        <w:pStyle w:val="19"/>
        <w:shd w:val="clear" w:color="auto" w:fill="auto"/>
        <w:spacing w:line="360" w:lineRule="auto"/>
        <w:ind w:firstLine="561" w:firstLineChars="0"/>
        <w:rPr>
          <w:rFonts w:hint="eastAsia" w:ascii="宋体" w:hAnsi="宋体"/>
          <w:highlight w:val="none"/>
          <w:lang w:val="en-US" w:eastAsia="zh-CN"/>
        </w:rPr>
      </w:pPr>
      <w:r>
        <w:rPr>
          <w:rFonts w:hint="eastAsia" w:ascii="宋体" w:hAnsi="宋体"/>
          <w:highlight w:val="none"/>
          <w:lang w:val="en-US" w:eastAsia="zh-CN"/>
        </w:rPr>
        <w:t>4、配送要求：</w:t>
      </w:r>
    </w:p>
    <w:p w14:paraId="48AF4AD8">
      <w:pPr>
        <w:pStyle w:val="19"/>
        <w:shd w:val="clear" w:color="auto" w:fill="auto"/>
        <w:spacing w:line="360" w:lineRule="auto"/>
        <w:ind w:firstLine="561" w:firstLineChars="0"/>
        <w:rPr>
          <w:rFonts w:hint="eastAsia" w:ascii="宋体" w:hAnsi="宋体"/>
          <w:highlight w:val="none"/>
          <w:lang w:val="en-US" w:eastAsia="zh-CN"/>
        </w:rPr>
      </w:pPr>
      <w:r>
        <w:rPr>
          <w:rFonts w:hint="eastAsia" w:ascii="宋体" w:hAnsi="宋体"/>
          <w:highlight w:val="none"/>
          <w:lang w:val="en-US" w:eastAsia="zh-CN"/>
        </w:rPr>
        <w:t>4.1 整个运输过程应科学合理，运输车辆应定期清洁，保持性能稳定，符合规定的冷藏要求，处于恒定的冷藏运输环境中。</w:t>
      </w:r>
    </w:p>
    <w:p w14:paraId="5FD5D522">
      <w:pPr>
        <w:pStyle w:val="19"/>
        <w:shd w:val="clear" w:color="auto" w:fill="auto"/>
        <w:spacing w:line="360" w:lineRule="auto"/>
        <w:ind w:firstLine="561" w:firstLineChars="0"/>
        <w:rPr>
          <w:rFonts w:hint="eastAsia" w:ascii="宋体" w:hAnsi="宋体"/>
          <w:highlight w:val="none"/>
          <w:lang w:val="en-US" w:eastAsia="zh-CN"/>
        </w:rPr>
      </w:pPr>
      <w:r>
        <w:rPr>
          <w:rFonts w:hint="eastAsia" w:ascii="宋体" w:hAnsi="宋体"/>
          <w:highlight w:val="none"/>
          <w:lang w:val="en-US" w:eastAsia="zh-CN"/>
        </w:rPr>
        <w:t>4.2 卸货要求：送货车辆应保持清洁；堆放科学合理，避免造成交叉污染。</w:t>
      </w:r>
    </w:p>
    <w:p w14:paraId="711160ED">
      <w:pPr>
        <w:pStyle w:val="19"/>
        <w:shd w:val="clear" w:color="auto" w:fill="auto"/>
        <w:spacing w:line="360" w:lineRule="auto"/>
        <w:ind w:firstLine="561" w:firstLineChars="0"/>
        <w:rPr>
          <w:rFonts w:hint="eastAsia" w:ascii="宋体" w:hAnsi="宋体"/>
          <w:highlight w:val="none"/>
          <w:lang w:val="en-US" w:eastAsia="zh-CN"/>
        </w:rPr>
      </w:pPr>
      <w:r>
        <w:rPr>
          <w:rFonts w:hint="eastAsia" w:ascii="宋体" w:hAnsi="宋体"/>
          <w:highlight w:val="none"/>
          <w:lang w:val="en-US" w:eastAsia="zh-CN"/>
        </w:rPr>
        <w:t>4.3 乙方须根据甲方每次要求的送货品种、数量，送至指定地点。</w:t>
      </w:r>
    </w:p>
    <w:p w14:paraId="1F6A2F76">
      <w:pPr>
        <w:pStyle w:val="19"/>
        <w:shd w:val="clear" w:color="auto" w:fill="auto"/>
        <w:spacing w:line="360" w:lineRule="auto"/>
        <w:ind w:firstLine="561" w:firstLineChars="0"/>
        <w:rPr>
          <w:rFonts w:hint="default" w:ascii="宋体" w:hAnsi="宋体"/>
          <w:highlight w:val="none"/>
          <w:lang w:val="en-US" w:eastAsia="zh-CN"/>
        </w:rPr>
      </w:pPr>
      <w:r>
        <w:rPr>
          <w:rFonts w:hint="eastAsia" w:ascii="宋体" w:hAnsi="宋体"/>
          <w:highlight w:val="none"/>
          <w:lang w:val="en-US" w:eastAsia="zh-CN"/>
        </w:rPr>
        <w:t>4.4 乙方须积极配合完成甲方安排的其他相关工作。</w:t>
      </w:r>
    </w:p>
    <w:p w14:paraId="35E778C4">
      <w:pPr>
        <w:shd w:val="clear" w:color="auto" w:fill="auto"/>
        <w:ind w:firstLine="482"/>
        <w:rPr>
          <w:rFonts w:hint="eastAsia" w:ascii="宋体" w:hAnsi="宋体" w:cs="宋体"/>
          <w:sz w:val="24"/>
          <w:highlight w:val="none"/>
        </w:rPr>
      </w:pPr>
      <w:r>
        <w:rPr>
          <w:rFonts w:hint="eastAsia" w:ascii="宋体" w:hAnsi="宋体" w:cs="宋体"/>
          <w:b/>
          <w:bCs/>
          <w:sz w:val="24"/>
          <w:highlight w:val="none"/>
          <w:lang w:val="zh-CN"/>
        </w:rPr>
        <w:t>第五条 质量保证</w:t>
      </w:r>
    </w:p>
    <w:p w14:paraId="70FF2409">
      <w:pPr>
        <w:shd w:val="clear" w:color="auto" w:fill="auto"/>
        <w:adjustRightInd w:val="0"/>
        <w:snapToGrid w:val="0"/>
        <w:ind w:firstLine="480"/>
        <w:rPr>
          <w:rFonts w:hint="eastAsia" w:ascii="宋体" w:hAnsi="宋体" w:cs="宋体"/>
          <w:sz w:val="24"/>
          <w:highlight w:val="none"/>
        </w:rPr>
      </w:pPr>
      <w:r>
        <w:rPr>
          <w:rFonts w:hint="eastAsia" w:ascii="宋体" w:hAnsi="宋体" w:cs="宋体"/>
          <w:sz w:val="24"/>
          <w:highlight w:val="none"/>
          <w:lang w:val="en-US" w:eastAsia="zh-CN"/>
        </w:rPr>
        <w:t>1、</w:t>
      </w:r>
      <w:r>
        <w:rPr>
          <w:rFonts w:hint="eastAsia" w:ascii="宋体" w:hAnsi="宋体" w:cs="宋体"/>
          <w:sz w:val="24"/>
          <w:highlight w:val="none"/>
        </w:rPr>
        <w:t>所供货物必须符合《中华人民共和国食品安全法》要求。</w:t>
      </w:r>
    </w:p>
    <w:p w14:paraId="1D442B30">
      <w:pPr>
        <w:shd w:val="clear" w:color="auto" w:fill="auto"/>
        <w:adjustRightInd w:val="0"/>
        <w:snapToGrid w:val="0"/>
        <w:ind w:firstLine="480"/>
        <w:rPr>
          <w:rFonts w:hint="eastAsia" w:ascii="宋体" w:hAnsi="宋体" w:cs="宋体"/>
          <w:sz w:val="24"/>
          <w:highlight w:val="none"/>
        </w:rPr>
      </w:pPr>
      <w:r>
        <w:rPr>
          <w:rFonts w:hint="eastAsia" w:ascii="宋体" w:hAnsi="宋体" w:cs="宋体"/>
          <w:sz w:val="24"/>
          <w:highlight w:val="none"/>
          <w:lang w:val="en-US" w:eastAsia="zh-CN"/>
        </w:rPr>
        <w:t>2、</w:t>
      </w:r>
      <w:r>
        <w:rPr>
          <w:rFonts w:hint="eastAsia" w:ascii="宋体" w:hAnsi="宋体" w:cs="宋体"/>
          <w:sz w:val="24"/>
          <w:highlight w:val="none"/>
        </w:rPr>
        <w:t>供应的主副食品要达到招标文件中明确的质量标准。</w:t>
      </w:r>
    </w:p>
    <w:p w14:paraId="02E4D358">
      <w:pPr>
        <w:shd w:val="clear" w:color="auto" w:fill="auto"/>
        <w:adjustRightInd w:val="0"/>
        <w:snapToGrid w:val="0"/>
        <w:ind w:firstLine="480"/>
        <w:rPr>
          <w:rFonts w:hint="eastAsia" w:ascii="宋体" w:hAnsi="宋体" w:cs="宋体"/>
          <w:sz w:val="24"/>
          <w:highlight w:val="none"/>
        </w:rPr>
      </w:pPr>
      <w:r>
        <w:rPr>
          <w:rFonts w:hint="eastAsia" w:ascii="宋体" w:hAnsi="宋体" w:cs="宋体"/>
          <w:sz w:val="24"/>
          <w:highlight w:val="none"/>
        </w:rPr>
        <w:t>生鲜猪肉、牛羊肉、禽肉为当天屠宰，鸡蛋、蔬菜、豆制品为当天采购，米、面、油、干菜、冷冻食品、调料、等品牌产品</w:t>
      </w:r>
      <w:r>
        <w:rPr>
          <w:rFonts w:hint="eastAsia" w:ascii="宋体" w:hAnsi="宋体" w:cs="宋体"/>
          <w:sz w:val="24"/>
          <w:highlight w:val="none"/>
          <w:lang w:val="en-US" w:eastAsia="zh-CN"/>
        </w:rPr>
        <w:t>的</w:t>
      </w:r>
      <w:r>
        <w:rPr>
          <w:rFonts w:hint="eastAsia" w:ascii="宋体" w:hAnsi="宋体" w:cs="宋体"/>
          <w:b w:val="0"/>
          <w:bCs/>
          <w:sz w:val="24"/>
          <w:highlight w:val="none"/>
          <w:lang w:val="en-US" w:eastAsia="zh-CN"/>
        </w:rPr>
        <w:t>剩余保质期不小于其外包装标明的保质期的三分之二</w:t>
      </w:r>
      <w:r>
        <w:rPr>
          <w:rFonts w:hint="eastAsia" w:ascii="宋体" w:hAnsi="宋体" w:cs="宋体"/>
          <w:sz w:val="24"/>
          <w:highlight w:val="none"/>
        </w:rPr>
        <w:t>。如国家标准发生改变，即按新标准执行。</w:t>
      </w:r>
    </w:p>
    <w:p w14:paraId="5FBDFFC2">
      <w:pPr>
        <w:shd w:val="clear" w:color="auto" w:fill="auto"/>
        <w:adjustRightInd w:val="0"/>
        <w:snapToGrid w:val="0"/>
        <w:ind w:firstLine="480"/>
        <w:rPr>
          <w:rFonts w:hint="eastAsia" w:ascii="宋体" w:hAnsi="宋体" w:cs="宋体"/>
          <w:sz w:val="24"/>
          <w:highlight w:val="none"/>
        </w:rPr>
      </w:pPr>
      <w:r>
        <w:rPr>
          <w:rFonts w:hint="eastAsia" w:ascii="宋体" w:hAnsi="宋体" w:cs="宋体"/>
          <w:sz w:val="24"/>
          <w:highlight w:val="none"/>
          <w:lang w:val="en-US" w:eastAsia="zh-CN"/>
        </w:rPr>
        <w:t>3、</w:t>
      </w:r>
      <w:r>
        <w:rPr>
          <w:rFonts w:hint="eastAsia" w:ascii="宋体" w:hAnsi="宋体" w:cs="宋体"/>
          <w:sz w:val="24"/>
          <w:highlight w:val="none"/>
        </w:rPr>
        <w:t>所供调味品、大米、菜籽油、面粉货物必须符合卫生要求，有正规生产厂家、合格证书、检验证书、生产日期、</w:t>
      </w:r>
      <w:r>
        <w:rPr>
          <w:rFonts w:hint="eastAsia" w:ascii="宋体" w:hAnsi="宋体" w:cs="宋体"/>
          <w:sz w:val="24"/>
          <w:highlight w:val="none"/>
          <w:lang w:eastAsia="zh-CN"/>
        </w:rPr>
        <w:t>保质期等</w:t>
      </w:r>
      <w:r>
        <w:rPr>
          <w:rFonts w:hint="eastAsia" w:ascii="宋体" w:hAnsi="宋体" w:cs="宋体"/>
          <w:sz w:val="24"/>
          <w:highlight w:val="none"/>
        </w:rPr>
        <w:t>；不得有腐烂、变质、油脂酸败、霉变、生虫、污秽</w:t>
      </w:r>
      <w:r>
        <w:rPr>
          <w:rFonts w:hint="eastAsia" w:ascii="宋体" w:hAnsi="宋体" w:cs="宋体"/>
          <w:sz w:val="24"/>
          <w:highlight w:val="none"/>
          <w:lang w:eastAsia="zh-CN"/>
        </w:rPr>
        <w:t>不洁</w:t>
      </w:r>
      <w:r>
        <w:rPr>
          <w:rFonts w:hint="eastAsia" w:ascii="宋体" w:hAnsi="宋体" w:cs="宋体"/>
          <w:sz w:val="24"/>
          <w:highlight w:val="none"/>
        </w:rPr>
        <w:t>、混有异物或者其他感官性状异常，并可能对人体健康有害的物质，必须为非转基因食材。</w:t>
      </w:r>
    </w:p>
    <w:p w14:paraId="6C261157">
      <w:pPr>
        <w:shd w:val="clear" w:color="auto" w:fill="auto"/>
        <w:adjustRightInd w:val="0"/>
        <w:snapToGrid w:val="0"/>
        <w:ind w:firstLine="480"/>
        <w:rPr>
          <w:rFonts w:hint="eastAsia" w:ascii="宋体" w:hAnsi="宋体" w:cs="宋体"/>
          <w:sz w:val="24"/>
          <w:highlight w:val="none"/>
        </w:rPr>
      </w:pPr>
      <w:r>
        <w:rPr>
          <w:rFonts w:hint="eastAsia" w:ascii="宋体" w:hAnsi="宋体" w:cs="宋体"/>
          <w:sz w:val="24"/>
          <w:highlight w:val="none"/>
          <w:lang w:val="en-US" w:eastAsia="zh-CN"/>
        </w:rPr>
        <w:t>4、</w:t>
      </w:r>
      <w:r>
        <w:rPr>
          <w:rFonts w:hint="eastAsia" w:ascii="宋体" w:hAnsi="宋体" w:cs="宋体"/>
          <w:sz w:val="24"/>
          <w:highlight w:val="none"/>
        </w:rPr>
        <w:t>米、面、油要提供 SC 认证、国家机关发出的产品检验合格证书。包装食品：包装箱完整，同时包装箱要印有生产厂家名称、厂址、出厂日期、产品合格证、保质期限、产品</w:t>
      </w:r>
      <w:r>
        <w:rPr>
          <w:rFonts w:hint="eastAsia" w:ascii="宋体" w:hAnsi="宋体" w:cs="宋体"/>
          <w:sz w:val="24"/>
          <w:highlight w:val="none"/>
          <w:lang w:eastAsia="zh-CN"/>
        </w:rPr>
        <w:t>成分</w:t>
      </w:r>
      <w:r>
        <w:rPr>
          <w:rFonts w:hint="eastAsia" w:ascii="宋体" w:hAnsi="宋体" w:cs="宋体"/>
          <w:sz w:val="24"/>
          <w:highlight w:val="none"/>
        </w:rPr>
        <w:t>、厂家电话号码。</w:t>
      </w:r>
    </w:p>
    <w:p w14:paraId="782FBA0E">
      <w:pPr>
        <w:shd w:val="clear" w:color="auto" w:fill="auto"/>
        <w:adjustRightInd w:val="0"/>
        <w:snapToGrid w:val="0"/>
        <w:ind w:firstLine="480"/>
        <w:rPr>
          <w:rFonts w:hint="eastAsia" w:ascii="宋体" w:hAnsi="宋体" w:cs="宋体"/>
          <w:sz w:val="24"/>
          <w:highlight w:val="none"/>
        </w:rPr>
      </w:pPr>
      <w:r>
        <w:rPr>
          <w:rFonts w:hint="eastAsia" w:ascii="宋体" w:hAnsi="宋体" w:cs="宋体"/>
          <w:sz w:val="24"/>
          <w:highlight w:val="none"/>
          <w:lang w:val="en-US" w:eastAsia="zh-CN"/>
        </w:rPr>
        <w:t>5、</w:t>
      </w:r>
      <w:r>
        <w:rPr>
          <w:rFonts w:hint="eastAsia" w:ascii="宋体" w:hAnsi="宋体" w:cs="宋体"/>
          <w:sz w:val="24"/>
          <w:highlight w:val="none"/>
        </w:rPr>
        <w:t>质保期内，非甲方人为原因而出现的产品质量问题，由乙方负责包换或包退，并承担因此而</w:t>
      </w:r>
      <w:r>
        <w:rPr>
          <w:rFonts w:hint="eastAsia" w:ascii="宋体" w:hAnsi="宋体" w:cs="宋体"/>
          <w:sz w:val="24"/>
          <w:highlight w:val="none"/>
          <w:lang w:eastAsia="zh-CN"/>
        </w:rPr>
        <w:t>、</w:t>
      </w:r>
      <w:r>
        <w:rPr>
          <w:rFonts w:hint="eastAsia" w:ascii="宋体" w:hAnsi="宋体" w:cs="宋体"/>
          <w:sz w:val="24"/>
          <w:highlight w:val="none"/>
        </w:rPr>
        <w:t>产生的一切费用。</w:t>
      </w:r>
    </w:p>
    <w:p w14:paraId="1E55700D">
      <w:pPr>
        <w:shd w:val="clear" w:color="auto" w:fill="auto"/>
        <w:adjustRightInd w:val="0"/>
        <w:snapToGrid w:val="0"/>
        <w:ind w:firstLine="480"/>
        <w:rPr>
          <w:rFonts w:hint="eastAsia" w:ascii="宋体" w:hAnsi="宋体" w:cs="宋体"/>
          <w:sz w:val="24"/>
          <w:highlight w:val="none"/>
        </w:rPr>
      </w:pPr>
      <w:r>
        <w:rPr>
          <w:rFonts w:hint="eastAsia" w:ascii="宋体" w:hAnsi="宋体" w:cs="宋体"/>
          <w:sz w:val="24"/>
          <w:highlight w:val="none"/>
          <w:lang w:val="en-US" w:eastAsia="zh-CN"/>
        </w:rPr>
        <w:t>6</w:t>
      </w:r>
      <w:r>
        <w:rPr>
          <w:rFonts w:hint="eastAsia" w:ascii="宋体" w:hAnsi="宋体" w:cs="宋体"/>
          <w:sz w:val="24"/>
          <w:highlight w:val="none"/>
        </w:rPr>
        <w:t>所供食材必须是市场流通快、质量优的产品，禁止</w:t>
      </w:r>
      <w:r>
        <w:rPr>
          <w:rFonts w:hint="eastAsia" w:ascii="宋体" w:hAnsi="宋体" w:cs="宋体"/>
          <w:sz w:val="24"/>
          <w:highlight w:val="none"/>
          <w:lang w:eastAsia="zh-CN"/>
        </w:rPr>
        <w:t>投标供应商</w:t>
      </w:r>
      <w:r>
        <w:rPr>
          <w:rFonts w:hint="eastAsia" w:ascii="宋体" w:hAnsi="宋体" w:cs="宋体"/>
          <w:sz w:val="24"/>
          <w:highlight w:val="none"/>
        </w:rPr>
        <w:t>供应滞销、无牌（未知名）产品。</w:t>
      </w:r>
    </w:p>
    <w:p w14:paraId="770FDA1D">
      <w:pPr>
        <w:shd w:val="clear" w:color="auto" w:fill="auto"/>
        <w:adjustRightInd w:val="0"/>
        <w:snapToGrid w:val="0"/>
        <w:ind w:firstLine="480"/>
        <w:rPr>
          <w:rFonts w:hint="eastAsia" w:ascii="宋体" w:hAnsi="宋体" w:cs="宋体"/>
          <w:b/>
          <w:bCs/>
          <w:sz w:val="24"/>
          <w:highlight w:val="none"/>
        </w:rPr>
      </w:pPr>
      <w:r>
        <w:rPr>
          <w:rFonts w:hint="eastAsia" w:ascii="宋体" w:hAnsi="宋体" w:cs="宋体"/>
          <w:b/>
          <w:bCs/>
          <w:sz w:val="24"/>
          <w:highlight w:val="none"/>
          <w:lang w:val="en-US" w:eastAsia="zh-CN"/>
        </w:rPr>
        <w:t xml:space="preserve">第六条 </w:t>
      </w:r>
      <w:r>
        <w:rPr>
          <w:rFonts w:hint="eastAsia" w:ascii="宋体" w:hAnsi="宋体" w:cs="宋体"/>
          <w:b/>
          <w:bCs/>
          <w:sz w:val="24"/>
          <w:highlight w:val="none"/>
        </w:rPr>
        <w:t>验收要求</w:t>
      </w:r>
    </w:p>
    <w:p w14:paraId="066F60BF">
      <w:pPr>
        <w:shd w:val="clear" w:color="auto" w:fill="auto"/>
        <w:adjustRightInd w:val="0"/>
        <w:snapToGrid w:val="0"/>
        <w:ind w:firstLine="480"/>
        <w:rPr>
          <w:rFonts w:hint="eastAsia" w:ascii="宋体" w:hAnsi="宋体" w:cs="宋体"/>
          <w:sz w:val="24"/>
          <w:highlight w:val="none"/>
        </w:rPr>
      </w:pPr>
      <w:r>
        <w:rPr>
          <w:rFonts w:hint="eastAsia" w:ascii="宋体" w:hAnsi="宋体" w:cs="宋体"/>
          <w:sz w:val="24"/>
          <w:highlight w:val="none"/>
        </w:rPr>
        <w:t>1.验收流程</w:t>
      </w:r>
    </w:p>
    <w:p w14:paraId="4BCA5DFB">
      <w:pPr>
        <w:shd w:val="clear" w:color="auto" w:fill="auto"/>
        <w:adjustRightInd w:val="0"/>
        <w:snapToGrid w:val="0"/>
        <w:ind w:firstLine="480"/>
        <w:rPr>
          <w:rFonts w:hint="eastAsia" w:ascii="宋体" w:hAnsi="宋体" w:cs="宋体"/>
          <w:sz w:val="24"/>
          <w:highlight w:val="none"/>
        </w:rPr>
      </w:pPr>
      <w:r>
        <w:rPr>
          <w:rFonts w:hint="eastAsia" w:ascii="宋体" w:hAnsi="宋体" w:cs="宋体"/>
          <w:sz w:val="24"/>
          <w:highlight w:val="none"/>
        </w:rPr>
        <w:t>1.1 做好卸货前的检查。双方验收人员卸货前应对场地和验收设备做好准备，并对产品的外观质量进行初步了解。必须采用符合卫生标准的外包装和运输工具，保持清洁和定期消毒，车厢内无不良气味、异味。应保证所供调味品无以次充好、无发霉、无异味、不掺杂、不掺假、无寄生虫、无受潮、无腐烂变质等。</w:t>
      </w:r>
    </w:p>
    <w:p w14:paraId="5B3BBF10">
      <w:pPr>
        <w:shd w:val="clear" w:color="auto" w:fill="auto"/>
        <w:adjustRightInd w:val="0"/>
        <w:snapToGrid w:val="0"/>
        <w:ind w:firstLine="480"/>
        <w:rPr>
          <w:rFonts w:hint="eastAsia" w:ascii="宋体" w:hAnsi="宋体" w:cs="宋体"/>
          <w:sz w:val="24"/>
          <w:highlight w:val="none"/>
        </w:rPr>
      </w:pPr>
      <w:r>
        <w:rPr>
          <w:rFonts w:hint="eastAsia" w:ascii="宋体" w:hAnsi="宋体" w:cs="宋体"/>
          <w:sz w:val="24"/>
          <w:highlight w:val="none"/>
        </w:rPr>
        <w:t>1.2 采取现场验收的方式，双方验收人员应认真检查所供货物的质量，送货商品必须经过校方相关人员检查、</w:t>
      </w:r>
      <w:r>
        <w:rPr>
          <w:rFonts w:hint="eastAsia" w:ascii="宋体" w:hAnsi="宋体" w:cs="宋体"/>
          <w:sz w:val="24"/>
          <w:highlight w:val="none"/>
          <w:lang w:eastAsia="zh-CN"/>
        </w:rPr>
        <w:t>过秤</w:t>
      </w:r>
      <w:r>
        <w:rPr>
          <w:rFonts w:hint="eastAsia" w:ascii="宋体" w:hAnsi="宋体" w:cs="宋体"/>
          <w:sz w:val="24"/>
          <w:highlight w:val="none"/>
        </w:rPr>
        <w:t>、验收、签名。</w:t>
      </w:r>
    </w:p>
    <w:p w14:paraId="43CB3CD4">
      <w:pPr>
        <w:shd w:val="clear" w:color="auto" w:fill="auto"/>
        <w:adjustRightInd w:val="0"/>
        <w:snapToGrid w:val="0"/>
        <w:ind w:firstLine="480"/>
        <w:rPr>
          <w:rFonts w:hint="eastAsia" w:ascii="宋体" w:hAnsi="宋体" w:cs="宋体"/>
          <w:sz w:val="24"/>
          <w:highlight w:val="none"/>
        </w:rPr>
      </w:pPr>
      <w:r>
        <w:rPr>
          <w:rFonts w:hint="eastAsia" w:ascii="宋体" w:hAnsi="宋体" w:cs="宋体"/>
          <w:sz w:val="24"/>
          <w:highlight w:val="none"/>
        </w:rPr>
        <w:t>1.3 验收工作人员应按招标文件要求对价格、数量、规格、质量进行抽查，以确保所供粮油、调料品符合要求。如确定有所差异，应即刻通知送货人员。如发现所供粮油、调料品有变质等情况，应在相关单据上记录所有不良情况，并对所供调味品不良情况进行拍照并存档，对于验收的全部信息数据，甲方使用单位收货人应和乙方人员一起确认，并保留双方签字单据。</w:t>
      </w:r>
    </w:p>
    <w:p w14:paraId="5045AB41">
      <w:pPr>
        <w:shd w:val="clear" w:color="auto" w:fill="auto"/>
        <w:adjustRightInd w:val="0"/>
        <w:snapToGrid w:val="0"/>
        <w:ind w:firstLine="480"/>
        <w:rPr>
          <w:rFonts w:hint="eastAsia" w:ascii="宋体" w:hAnsi="宋体" w:cs="宋体"/>
          <w:sz w:val="24"/>
          <w:highlight w:val="none"/>
        </w:rPr>
      </w:pPr>
      <w:r>
        <w:rPr>
          <w:rFonts w:hint="eastAsia" w:ascii="宋体" w:hAnsi="宋体" w:cs="宋体"/>
          <w:sz w:val="24"/>
          <w:highlight w:val="none"/>
        </w:rPr>
        <w:t>2.退（补）货流程：</w:t>
      </w:r>
    </w:p>
    <w:p w14:paraId="19494A1B">
      <w:pPr>
        <w:shd w:val="clear" w:color="auto" w:fill="auto"/>
        <w:adjustRightInd w:val="0"/>
        <w:snapToGrid w:val="0"/>
        <w:ind w:firstLine="480"/>
        <w:rPr>
          <w:rFonts w:hint="eastAsia" w:ascii="宋体" w:hAnsi="宋体" w:cs="宋体"/>
          <w:sz w:val="24"/>
          <w:highlight w:val="none"/>
        </w:rPr>
      </w:pPr>
      <w:r>
        <w:rPr>
          <w:rFonts w:hint="eastAsia" w:ascii="宋体" w:hAnsi="宋体" w:cs="宋体"/>
          <w:sz w:val="24"/>
          <w:highlight w:val="none"/>
        </w:rPr>
        <w:t>2.1 对不符合质量要求的食材由甲方提出清退，如双方对质量或重量有争议的可送具有检验资质的部门检测，同时留样备检，对数量不足或部分退货的，责成乙方以不影响甲方使用为前提尽快补送，乙方没有及时提供产品时，甲方有权向其他供货商采购。</w:t>
      </w:r>
    </w:p>
    <w:p w14:paraId="37E4A642">
      <w:pPr>
        <w:shd w:val="clear" w:color="auto" w:fill="auto"/>
        <w:adjustRightInd w:val="0"/>
        <w:snapToGrid w:val="0"/>
        <w:ind w:firstLine="480"/>
        <w:rPr>
          <w:rFonts w:hint="eastAsia" w:ascii="宋体" w:hAnsi="宋体" w:cs="宋体"/>
          <w:sz w:val="24"/>
          <w:highlight w:val="none"/>
        </w:rPr>
      </w:pPr>
      <w:r>
        <w:rPr>
          <w:rFonts w:hint="eastAsia" w:ascii="宋体" w:hAnsi="宋体" w:cs="宋体"/>
          <w:sz w:val="24"/>
          <w:highlight w:val="none"/>
        </w:rPr>
        <w:t>2.2 在退货过程中，对有碍公共卫生安全的食品，应按国家有关规定处理或进行协议销毁，不退货给乙方。</w:t>
      </w:r>
    </w:p>
    <w:p w14:paraId="55CAB2FF">
      <w:pPr>
        <w:shd w:val="clear" w:color="auto" w:fill="auto"/>
        <w:adjustRightInd w:val="0"/>
        <w:snapToGrid w:val="0"/>
        <w:ind w:firstLine="480"/>
        <w:rPr>
          <w:rFonts w:hint="eastAsia" w:ascii="宋体" w:hAnsi="宋体" w:cs="宋体"/>
          <w:sz w:val="24"/>
          <w:highlight w:val="none"/>
        </w:rPr>
      </w:pPr>
      <w:r>
        <w:rPr>
          <w:rFonts w:hint="eastAsia" w:ascii="宋体" w:hAnsi="宋体" w:cs="宋体"/>
          <w:sz w:val="24"/>
          <w:highlight w:val="none"/>
        </w:rPr>
        <w:t>3.验收记录</w:t>
      </w:r>
    </w:p>
    <w:p w14:paraId="527ECDDC">
      <w:pPr>
        <w:shd w:val="clear" w:color="auto" w:fill="auto"/>
        <w:adjustRightInd w:val="0"/>
        <w:snapToGrid w:val="0"/>
        <w:ind w:firstLine="480"/>
        <w:rPr>
          <w:rFonts w:hint="eastAsia" w:ascii="宋体" w:hAnsi="宋体" w:cs="宋体"/>
          <w:sz w:val="24"/>
          <w:highlight w:val="none"/>
        </w:rPr>
      </w:pPr>
      <w:r>
        <w:rPr>
          <w:rFonts w:hint="eastAsia" w:ascii="宋体" w:hAnsi="宋体" w:cs="宋体"/>
          <w:sz w:val="24"/>
          <w:highlight w:val="none"/>
        </w:rPr>
        <w:t>对每次验收的产品均记录产品名称、数量、验收情况等事项，并由送货人签名确认。</w:t>
      </w:r>
    </w:p>
    <w:p w14:paraId="44514ED1">
      <w:pPr>
        <w:shd w:val="clear" w:color="auto" w:fill="auto"/>
        <w:adjustRightInd w:val="0"/>
        <w:snapToGrid w:val="0"/>
        <w:ind w:firstLine="480"/>
        <w:rPr>
          <w:rFonts w:hint="eastAsia" w:ascii="宋体" w:hAnsi="宋体" w:cs="宋体"/>
          <w:b/>
          <w:bCs/>
          <w:sz w:val="24"/>
          <w:highlight w:val="none"/>
        </w:rPr>
      </w:pPr>
      <w:r>
        <w:rPr>
          <w:rFonts w:hint="eastAsia" w:ascii="宋体" w:hAnsi="宋体" w:cs="宋体"/>
          <w:b/>
          <w:bCs/>
          <w:sz w:val="24"/>
          <w:highlight w:val="none"/>
          <w:lang w:val="en-US" w:eastAsia="zh-CN"/>
        </w:rPr>
        <w:t xml:space="preserve">第七条 </w:t>
      </w:r>
      <w:r>
        <w:rPr>
          <w:rFonts w:hint="eastAsia" w:ascii="宋体" w:hAnsi="宋体" w:cs="宋体"/>
          <w:b/>
          <w:bCs/>
          <w:sz w:val="24"/>
          <w:highlight w:val="none"/>
        </w:rPr>
        <w:t>价格监督</w:t>
      </w:r>
    </w:p>
    <w:p w14:paraId="3F1E0897">
      <w:pPr>
        <w:shd w:val="clear" w:color="auto" w:fill="auto"/>
        <w:adjustRightInd w:val="0"/>
        <w:snapToGrid w:val="0"/>
        <w:ind w:firstLine="480"/>
        <w:rPr>
          <w:rFonts w:hint="eastAsia" w:ascii="宋体" w:hAnsi="宋体" w:cs="宋体"/>
          <w:sz w:val="24"/>
          <w:highlight w:val="none"/>
        </w:rPr>
      </w:pPr>
      <w:r>
        <w:rPr>
          <w:rFonts w:hint="eastAsia" w:ascii="宋体" w:hAnsi="宋体" w:cs="宋体"/>
          <w:sz w:val="24"/>
          <w:highlight w:val="none"/>
        </w:rPr>
        <w:t>1.乙方中标的米、面、油单价在合同执行期内固定不变。</w:t>
      </w:r>
    </w:p>
    <w:p w14:paraId="567B34F9">
      <w:pPr>
        <w:shd w:val="clear" w:color="auto" w:fill="auto"/>
        <w:adjustRightInd w:val="0"/>
        <w:snapToGrid w:val="0"/>
        <w:ind w:firstLine="480"/>
        <w:rPr>
          <w:rFonts w:hint="eastAsia" w:ascii="宋体" w:hAnsi="宋体" w:cs="宋体"/>
          <w:sz w:val="24"/>
          <w:highlight w:val="none"/>
        </w:rPr>
      </w:pPr>
      <w:r>
        <w:rPr>
          <w:rFonts w:hint="eastAsia" w:ascii="宋体" w:hAnsi="宋体" w:cs="宋体"/>
          <w:sz w:val="24"/>
          <w:highlight w:val="none"/>
        </w:rPr>
        <w:t>2.甲方成立询价小组对乙方提供的肉类、蛋类、蔬菜类、干菜类、调味品类等配送价格随机进行比对,若发现乙方报价高于其应当执行的配送价时,有权要求乙方调整,若乙方拒绝调整,甲方有权终止合同。</w:t>
      </w:r>
    </w:p>
    <w:p w14:paraId="64E7E684">
      <w:pPr>
        <w:shd w:val="clear" w:color="auto" w:fill="auto"/>
        <w:adjustRightInd w:val="0"/>
        <w:snapToGrid w:val="0"/>
        <w:ind w:firstLine="480"/>
        <w:rPr>
          <w:rFonts w:hint="eastAsia" w:ascii="宋体" w:hAnsi="宋体" w:cs="宋体"/>
          <w:b/>
          <w:bCs/>
          <w:sz w:val="24"/>
          <w:highlight w:val="none"/>
        </w:rPr>
      </w:pPr>
      <w:r>
        <w:rPr>
          <w:rFonts w:hint="eastAsia" w:ascii="宋体" w:hAnsi="宋体" w:cs="宋体"/>
          <w:b/>
          <w:bCs/>
          <w:sz w:val="24"/>
          <w:highlight w:val="none"/>
          <w:lang w:val="en-US" w:eastAsia="zh-CN"/>
        </w:rPr>
        <w:t xml:space="preserve">第八条 </w:t>
      </w:r>
      <w:r>
        <w:rPr>
          <w:rFonts w:hint="eastAsia" w:ascii="宋体" w:hAnsi="宋体" w:cs="宋体"/>
          <w:b/>
          <w:bCs/>
          <w:sz w:val="24"/>
          <w:highlight w:val="none"/>
        </w:rPr>
        <w:t>管理要求</w:t>
      </w:r>
    </w:p>
    <w:p w14:paraId="696D0870">
      <w:pPr>
        <w:shd w:val="clear" w:color="auto" w:fill="auto"/>
        <w:adjustRightInd w:val="0"/>
        <w:snapToGrid w:val="0"/>
        <w:ind w:firstLine="480"/>
        <w:rPr>
          <w:rFonts w:hint="eastAsia" w:ascii="宋体" w:hAnsi="宋体" w:cs="宋体"/>
          <w:sz w:val="24"/>
          <w:highlight w:val="none"/>
        </w:rPr>
      </w:pPr>
      <w:r>
        <w:rPr>
          <w:rFonts w:hint="eastAsia" w:ascii="宋体" w:hAnsi="宋体" w:cs="宋体"/>
          <w:sz w:val="24"/>
          <w:highlight w:val="none"/>
        </w:rPr>
        <w:t>1.乙方应按合同约定供货，乙方不得转包、分包，否则甲方有权单方面终止合同，乙方承担由此造成的经济损失。</w:t>
      </w:r>
    </w:p>
    <w:p w14:paraId="7C3041E1">
      <w:pPr>
        <w:shd w:val="clear" w:color="auto" w:fill="auto"/>
        <w:adjustRightInd w:val="0"/>
        <w:snapToGrid w:val="0"/>
        <w:ind w:firstLine="480"/>
        <w:rPr>
          <w:rFonts w:hint="eastAsia" w:ascii="宋体" w:hAnsi="宋体" w:cs="宋体"/>
          <w:sz w:val="24"/>
          <w:highlight w:val="none"/>
        </w:rPr>
      </w:pPr>
      <w:r>
        <w:rPr>
          <w:rFonts w:hint="eastAsia" w:ascii="宋体" w:hAnsi="宋体" w:cs="宋体"/>
          <w:sz w:val="24"/>
          <w:highlight w:val="none"/>
        </w:rPr>
        <w:t>2.乙方应遵守甲方单位的各项规定。</w:t>
      </w:r>
    </w:p>
    <w:p w14:paraId="45156CB4">
      <w:pPr>
        <w:shd w:val="clear" w:color="auto" w:fill="auto"/>
        <w:adjustRightInd w:val="0"/>
        <w:snapToGrid w:val="0"/>
        <w:ind w:firstLine="480"/>
        <w:rPr>
          <w:rFonts w:hint="eastAsia" w:ascii="宋体" w:hAnsi="宋体" w:cs="宋体"/>
          <w:sz w:val="24"/>
          <w:highlight w:val="none"/>
        </w:rPr>
      </w:pPr>
      <w:r>
        <w:rPr>
          <w:rFonts w:hint="eastAsia" w:ascii="宋体" w:hAnsi="宋体" w:cs="宋体"/>
          <w:sz w:val="24"/>
          <w:highlight w:val="none"/>
        </w:rPr>
        <w:t>3.乙方除不可抗力外，不得因其他任何理由延迟送货。甲方使用单位如遇特殊情况需推迟送货，应提前通知乙方。因乙方原因延误交货日期的（采购单位要求推迟的除外），甲方使用单位有权自行采购，并由乙方承担由此产生的一切损失和费用。</w:t>
      </w:r>
    </w:p>
    <w:p w14:paraId="66E39493">
      <w:pPr>
        <w:shd w:val="clear" w:color="auto" w:fill="auto"/>
        <w:adjustRightInd w:val="0"/>
        <w:snapToGrid w:val="0"/>
        <w:ind w:firstLine="480"/>
        <w:rPr>
          <w:rFonts w:hint="eastAsia" w:ascii="宋体" w:hAnsi="宋体" w:cs="宋体"/>
          <w:sz w:val="24"/>
          <w:highlight w:val="none"/>
        </w:rPr>
      </w:pPr>
      <w:r>
        <w:rPr>
          <w:rFonts w:hint="eastAsia" w:ascii="宋体" w:hAnsi="宋体" w:cs="宋体"/>
          <w:sz w:val="24"/>
          <w:highlight w:val="none"/>
        </w:rPr>
        <w:t>4.乙方不得变更供应产品，应严格按招标要求和响应承诺（含商标、名称、产地、规格和重量等）供应，符合国家有关卫生、质量、包装和保质标准，否则，甲方有权拒收。</w:t>
      </w:r>
    </w:p>
    <w:p w14:paraId="728AC624">
      <w:pPr>
        <w:shd w:val="clear" w:color="auto" w:fill="auto"/>
        <w:adjustRightInd w:val="0"/>
        <w:snapToGrid w:val="0"/>
        <w:ind w:firstLine="480"/>
        <w:rPr>
          <w:rFonts w:hint="eastAsia" w:ascii="宋体" w:hAnsi="宋体" w:cs="宋体"/>
          <w:sz w:val="24"/>
          <w:highlight w:val="none"/>
        </w:rPr>
      </w:pPr>
      <w:r>
        <w:rPr>
          <w:rFonts w:hint="eastAsia" w:ascii="宋体" w:hAnsi="宋体" w:cs="宋体"/>
          <w:sz w:val="24"/>
          <w:highlight w:val="none"/>
        </w:rPr>
        <w:t>5.甲方按合同对产品进行验收，对不符合规格要求的产品不得入库；乙方未能履行招标文件和合同所定事项, 或供应不合格的、假冒伪劣、以次充好的产品或供货时的产品与乙方响应文件中的承诺不符，甲方退货后将记录在案，并对乙方予以处罚，乙方除要承担甲方因此产生的一切损失和费用外，甲方可取消其供应资格。</w:t>
      </w:r>
    </w:p>
    <w:p w14:paraId="1D106FC1">
      <w:pPr>
        <w:shd w:val="clear" w:color="auto" w:fill="auto"/>
        <w:adjustRightInd w:val="0"/>
        <w:snapToGrid w:val="0"/>
        <w:ind w:firstLine="480"/>
        <w:rPr>
          <w:rFonts w:hint="eastAsia" w:ascii="宋体" w:hAnsi="宋体" w:cs="宋体"/>
          <w:sz w:val="24"/>
          <w:highlight w:val="none"/>
        </w:rPr>
      </w:pPr>
      <w:r>
        <w:rPr>
          <w:rFonts w:hint="eastAsia" w:ascii="宋体" w:hAnsi="宋体" w:cs="宋体"/>
          <w:sz w:val="24"/>
          <w:highlight w:val="none"/>
        </w:rPr>
        <w:t>6.乙方须按所供应产品的销售额开具国家正式发票。</w:t>
      </w:r>
    </w:p>
    <w:p w14:paraId="7B6C9AA9">
      <w:pPr>
        <w:shd w:val="clear" w:color="auto" w:fill="auto"/>
        <w:adjustRightInd w:val="0"/>
        <w:snapToGrid w:val="0"/>
        <w:ind w:firstLine="480"/>
        <w:rPr>
          <w:rFonts w:hint="eastAsia" w:ascii="宋体" w:hAnsi="宋体" w:cs="宋体"/>
          <w:sz w:val="24"/>
          <w:highlight w:val="none"/>
        </w:rPr>
      </w:pPr>
      <w:r>
        <w:rPr>
          <w:rFonts w:hint="eastAsia" w:ascii="宋体" w:hAnsi="宋体" w:cs="宋体"/>
          <w:sz w:val="24"/>
          <w:highlight w:val="none"/>
        </w:rPr>
        <w:t>7.在项目实施过程中应树立员工安全意识,做好各项安全措施，确保员工人身安全，如发生人身安全事故，责任均由乙方自行承担。</w:t>
      </w:r>
    </w:p>
    <w:p w14:paraId="25688910">
      <w:pPr>
        <w:shd w:val="clear" w:color="auto" w:fill="auto"/>
        <w:adjustRightInd w:val="0"/>
        <w:snapToGrid w:val="0"/>
        <w:ind w:firstLine="480"/>
        <w:rPr>
          <w:rFonts w:hint="eastAsia" w:ascii="宋体" w:hAnsi="宋体" w:cs="宋体"/>
          <w:sz w:val="24"/>
          <w:highlight w:val="none"/>
        </w:rPr>
      </w:pPr>
      <w:r>
        <w:rPr>
          <w:rFonts w:hint="eastAsia" w:ascii="宋体" w:hAnsi="宋体" w:cs="宋体"/>
          <w:sz w:val="24"/>
          <w:highlight w:val="none"/>
        </w:rPr>
        <w:t>8.食品溯源要求：乙方对调味品供应链进行明确，所有调味品的来源必须清晰。</w:t>
      </w:r>
    </w:p>
    <w:p w14:paraId="05D840D1">
      <w:pPr>
        <w:shd w:val="clear" w:color="auto" w:fill="auto"/>
        <w:adjustRightInd w:val="0"/>
        <w:snapToGrid w:val="0"/>
        <w:ind w:firstLine="480"/>
        <w:rPr>
          <w:rFonts w:hint="eastAsia" w:ascii="宋体" w:hAnsi="宋体" w:cs="宋体"/>
          <w:b/>
          <w:bCs/>
          <w:sz w:val="24"/>
          <w:highlight w:val="none"/>
        </w:rPr>
      </w:pPr>
      <w:r>
        <w:rPr>
          <w:rFonts w:hint="eastAsia" w:ascii="宋体" w:hAnsi="宋体" w:cs="宋体"/>
          <w:b/>
          <w:bCs/>
          <w:sz w:val="24"/>
          <w:highlight w:val="none"/>
          <w:lang w:val="en-US" w:eastAsia="zh-CN"/>
        </w:rPr>
        <w:t xml:space="preserve">第九条 </w:t>
      </w:r>
      <w:r>
        <w:rPr>
          <w:rFonts w:hint="eastAsia" w:ascii="宋体" w:hAnsi="宋体" w:cs="宋体"/>
          <w:b/>
          <w:bCs/>
          <w:sz w:val="24"/>
          <w:highlight w:val="none"/>
        </w:rPr>
        <w:t>特别说明</w:t>
      </w:r>
    </w:p>
    <w:p w14:paraId="73EBB606">
      <w:pPr>
        <w:shd w:val="clear" w:color="auto" w:fill="auto"/>
        <w:adjustRightInd w:val="0"/>
        <w:snapToGrid w:val="0"/>
        <w:ind w:firstLine="480"/>
        <w:rPr>
          <w:rFonts w:hint="eastAsia" w:ascii="宋体" w:hAnsi="宋体" w:cs="宋体"/>
          <w:sz w:val="24"/>
          <w:highlight w:val="none"/>
        </w:rPr>
      </w:pPr>
      <w:r>
        <w:rPr>
          <w:rFonts w:hint="eastAsia" w:ascii="宋体" w:hAnsi="宋体" w:cs="宋体"/>
          <w:sz w:val="24"/>
          <w:highlight w:val="none"/>
        </w:rPr>
        <w:t>乙方首次供货须向甲方提供有关合法经营的各类证件以及复印件，并承诺向甲方供应的食材质量达标，符合国家相关标准、规定。否则，由此产生的经济损失由乙方负责承担，并负相应的法律责任。</w:t>
      </w:r>
    </w:p>
    <w:p w14:paraId="20DBF53F">
      <w:pPr>
        <w:shd w:val="clear" w:color="auto" w:fill="auto"/>
        <w:adjustRightInd w:val="0"/>
        <w:snapToGrid w:val="0"/>
        <w:ind w:firstLine="480"/>
        <w:rPr>
          <w:rFonts w:hint="eastAsia" w:ascii="宋体" w:hAnsi="宋体" w:cs="宋体"/>
          <w:sz w:val="24"/>
          <w:highlight w:val="none"/>
        </w:rPr>
      </w:pPr>
      <w:r>
        <w:rPr>
          <w:rFonts w:hint="eastAsia" w:ascii="宋体" w:hAnsi="宋体" w:cs="宋体"/>
          <w:sz w:val="24"/>
          <w:highlight w:val="none"/>
        </w:rPr>
        <w:t>所供食材质量卫生标准除符合国家规定的质量卫生标准外,还应包括以下方面：</w:t>
      </w:r>
    </w:p>
    <w:p w14:paraId="6C63EF0C">
      <w:pPr>
        <w:shd w:val="clear" w:color="auto" w:fill="auto"/>
        <w:adjustRightInd w:val="0"/>
        <w:snapToGrid w:val="0"/>
        <w:ind w:firstLine="480"/>
        <w:rPr>
          <w:rFonts w:hint="eastAsia" w:ascii="宋体" w:hAnsi="宋体" w:cs="宋体"/>
          <w:sz w:val="24"/>
          <w:highlight w:val="none"/>
        </w:rPr>
      </w:pPr>
      <w:r>
        <w:rPr>
          <w:rFonts w:hint="eastAsia" w:ascii="宋体" w:hAnsi="宋体" w:cs="宋体"/>
          <w:sz w:val="24"/>
          <w:highlight w:val="none"/>
        </w:rPr>
        <w:t>1.所供食材必须保证无以次充好、无变质、无腐烂，且能够提供产地证明，可溯源；</w:t>
      </w:r>
    </w:p>
    <w:p w14:paraId="12D04C0F">
      <w:pPr>
        <w:shd w:val="clear" w:color="auto" w:fill="auto"/>
        <w:adjustRightInd w:val="0"/>
        <w:snapToGrid w:val="0"/>
        <w:ind w:firstLine="480"/>
        <w:rPr>
          <w:rFonts w:hint="eastAsia" w:ascii="宋体" w:hAnsi="宋体" w:cs="宋体"/>
          <w:sz w:val="24"/>
          <w:highlight w:val="none"/>
        </w:rPr>
      </w:pPr>
      <w:r>
        <w:rPr>
          <w:rFonts w:hint="eastAsia" w:ascii="宋体" w:hAnsi="宋体" w:cs="宋体"/>
          <w:sz w:val="24"/>
          <w:highlight w:val="none"/>
        </w:rPr>
        <w:t>2.重量必须和供货清单上标明的重量一致；</w:t>
      </w:r>
    </w:p>
    <w:p w14:paraId="510C2C94">
      <w:pPr>
        <w:shd w:val="clear" w:color="auto" w:fill="auto"/>
        <w:adjustRightInd w:val="0"/>
        <w:snapToGrid w:val="0"/>
        <w:ind w:firstLine="480"/>
        <w:rPr>
          <w:rFonts w:hint="eastAsia" w:ascii="宋体" w:hAnsi="宋体" w:cs="宋体"/>
          <w:sz w:val="24"/>
          <w:highlight w:val="none"/>
        </w:rPr>
      </w:pPr>
      <w:r>
        <w:rPr>
          <w:rFonts w:hint="eastAsia" w:ascii="宋体" w:hAnsi="宋体" w:cs="宋体"/>
          <w:sz w:val="24"/>
          <w:highlight w:val="none"/>
        </w:rPr>
        <w:t>3.验货时，拆箱检查，称重时要扣除包装、以产品净重为准。如果外包装箱上标有净重，按净重入库，与实际产品称重不符拒不收货；</w:t>
      </w:r>
    </w:p>
    <w:p w14:paraId="15DCCC49">
      <w:pPr>
        <w:shd w:val="clear" w:color="auto" w:fill="auto"/>
        <w:adjustRightInd w:val="0"/>
        <w:snapToGrid w:val="0"/>
        <w:ind w:firstLine="480"/>
        <w:rPr>
          <w:rFonts w:hint="eastAsia" w:ascii="宋体" w:hAnsi="宋体" w:cs="宋体"/>
          <w:b/>
          <w:bCs/>
          <w:sz w:val="24"/>
          <w:highlight w:val="none"/>
        </w:rPr>
      </w:pPr>
      <w:r>
        <w:rPr>
          <w:rFonts w:hint="eastAsia" w:ascii="宋体" w:hAnsi="宋体" w:cs="宋体"/>
          <w:b/>
          <w:bCs/>
          <w:sz w:val="24"/>
          <w:highlight w:val="none"/>
          <w:lang w:val="en-US" w:eastAsia="zh-CN"/>
        </w:rPr>
        <w:t xml:space="preserve">第十条 </w:t>
      </w:r>
      <w:r>
        <w:rPr>
          <w:rFonts w:hint="eastAsia" w:ascii="宋体" w:hAnsi="宋体" w:cs="宋体"/>
          <w:b/>
          <w:bCs/>
          <w:sz w:val="24"/>
          <w:highlight w:val="none"/>
        </w:rPr>
        <w:t>违约责任</w:t>
      </w:r>
    </w:p>
    <w:p w14:paraId="29C6C41F">
      <w:pPr>
        <w:shd w:val="clear" w:color="auto" w:fill="auto"/>
        <w:adjustRightInd w:val="0"/>
        <w:snapToGrid w:val="0"/>
        <w:ind w:firstLine="480"/>
        <w:rPr>
          <w:rFonts w:hint="eastAsia" w:ascii="宋体" w:hAnsi="宋体" w:cs="宋体"/>
          <w:sz w:val="24"/>
          <w:highlight w:val="none"/>
        </w:rPr>
      </w:pPr>
      <w:r>
        <w:rPr>
          <w:rFonts w:hint="eastAsia" w:ascii="宋体" w:hAnsi="宋体" w:cs="宋体"/>
          <w:sz w:val="24"/>
          <w:highlight w:val="none"/>
        </w:rPr>
        <w:t>因乙方供货不及时、不足量、不合格等原因造成甲方食堂正常工作，影响教学秩序，则乙方需承担全部责任，因乙方原因延误交货每一次从总货款中扣除 5%作为违约金，甲方有权单方面解除合同。</w:t>
      </w:r>
    </w:p>
    <w:p w14:paraId="1814D279">
      <w:pPr>
        <w:shd w:val="clear" w:color="auto" w:fill="auto"/>
        <w:adjustRightInd w:val="0"/>
        <w:snapToGrid w:val="0"/>
        <w:ind w:firstLine="480"/>
        <w:rPr>
          <w:rFonts w:hint="eastAsia" w:ascii="宋体" w:hAnsi="宋体" w:cs="宋体"/>
          <w:b/>
          <w:bCs/>
          <w:sz w:val="24"/>
          <w:highlight w:val="none"/>
        </w:rPr>
      </w:pPr>
      <w:r>
        <w:rPr>
          <w:rFonts w:hint="eastAsia" w:ascii="宋体" w:hAnsi="宋体" w:cs="宋体"/>
          <w:b/>
          <w:bCs/>
          <w:sz w:val="24"/>
          <w:highlight w:val="none"/>
          <w:lang w:val="en-US" w:eastAsia="zh-CN"/>
        </w:rPr>
        <w:t xml:space="preserve">第十一条 </w:t>
      </w:r>
      <w:r>
        <w:rPr>
          <w:rFonts w:hint="eastAsia" w:ascii="宋体" w:hAnsi="宋体" w:cs="宋体"/>
          <w:b/>
          <w:bCs/>
          <w:sz w:val="24"/>
          <w:highlight w:val="none"/>
        </w:rPr>
        <w:t>争议的解决</w:t>
      </w:r>
    </w:p>
    <w:p w14:paraId="615EA5C2">
      <w:pPr>
        <w:shd w:val="clear" w:color="auto" w:fill="auto"/>
        <w:adjustRightInd w:val="0"/>
        <w:snapToGrid w:val="0"/>
        <w:ind w:firstLine="480"/>
        <w:rPr>
          <w:rFonts w:hint="eastAsia" w:ascii="宋体" w:hAnsi="宋体" w:cs="宋体"/>
          <w:sz w:val="24"/>
          <w:highlight w:val="none"/>
        </w:rPr>
      </w:pPr>
      <w:r>
        <w:rPr>
          <w:rFonts w:hint="eastAsia" w:ascii="宋体" w:hAnsi="宋体" w:cs="宋体"/>
          <w:sz w:val="24"/>
          <w:highlight w:val="none"/>
        </w:rPr>
        <w:t>1.合同执行过程中发生的任何争议，双方协商解决，协商不成的，任何一方有权将争议提交甲方所在地有管辖权的法院解决。</w:t>
      </w:r>
    </w:p>
    <w:p w14:paraId="4589B8C5">
      <w:pPr>
        <w:shd w:val="clear" w:color="auto" w:fill="auto"/>
        <w:adjustRightInd w:val="0"/>
        <w:snapToGrid w:val="0"/>
        <w:ind w:firstLine="480"/>
        <w:rPr>
          <w:rFonts w:hint="eastAsia" w:ascii="宋体" w:hAnsi="宋体" w:cs="宋体"/>
          <w:sz w:val="24"/>
          <w:highlight w:val="none"/>
        </w:rPr>
      </w:pPr>
      <w:r>
        <w:rPr>
          <w:rFonts w:hint="eastAsia" w:ascii="宋体" w:hAnsi="宋体" w:cs="宋体"/>
          <w:sz w:val="24"/>
          <w:highlight w:val="none"/>
        </w:rPr>
        <w:t>2.在法院审理期间，除提交法院审理的事项外，合同其它事项和条款仍应继续履行。</w:t>
      </w:r>
    </w:p>
    <w:p w14:paraId="163B142C">
      <w:pPr>
        <w:shd w:val="clear" w:color="auto" w:fill="auto"/>
        <w:adjustRightInd w:val="0"/>
        <w:snapToGrid w:val="0"/>
        <w:ind w:firstLine="480"/>
        <w:rPr>
          <w:rFonts w:hint="eastAsia" w:ascii="宋体" w:hAnsi="宋体" w:cs="宋体"/>
          <w:b/>
          <w:bCs/>
          <w:sz w:val="24"/>
          <w:highlight w:val="none"/>
        </w:rPr>
      </w:pPr>
      <w:r>
        <w:rPr>
          <w:rFonts w:hint="eastAsia" w:ascii="宋体" w:hAnsi="宋体" w:cs="宋体"/>
          <w:b/>
          <w:bCs/>
          <w:sz w:val="24"/>
          <w:highlight w:val="none"/>
          <w:lang w:val="en-US" w:eastAsia="zh-CN"/>
        </w:rPr>
        <w:t xml:space="preserve">第十二条 </w:t>
      </w:r>
      <w:r>
        <w:rPr>
          <w:rFonts w:hint="eastAsia" w:ascii="宋体" w:hAnsi="宋体" w:cs="宋体"/>
          <w:b/>
          <w:bCs/>
          <w:sz w:val="24"/>
          <w:highlight w:val="none"/>
        </w:rPr>
        <w:t>不可抗力</w:t>
      </w:r>
    </w:p>
    <w:p w14:paraId="3BB85C28">
      <w:pPr>
        <w:shd w:val="clear" w:color="auto" w:fill="auto"/>
        <w:adjustRightInd w:val="0"/>
        <w:snapToGrid w:val="0"/>
        <w:ind w:firstLine="480"/>
        <w:rPr>
          <w:rFonts w:hint="eastAsia" w:ascii="宋体" w:hAnsi="宋体" w:cs="宋体"/>
          <w:sz w:val="24"/>
          <w:highlight w:val="none"/>
        </w:rPr>
      </w:pPr>
      <w:r>
        <w:rPr>
          <w:rFonts w:hint="eastAsia" w:ascii="宋体" w:hAnsi="宋体" w:cs="宋体"/>
          <w:sz w:val="24"/>
          <w:highlight w:val="none"/>
        </w:rPr>
        <w:t>任何一方由于不可抗力原因不能履行合同时，应在不可抗力事件结束后 1 天内向对方通报，以减轻可能给对方造成的损失，在取得有关机构的不可抗力证明或双方谅解确认后，允许延期履行或修订合同，并根据情况可部分或全部免于承担违约责任。</w:t>
      </w:r>
    </w:p>
    <w:p w14:paraId="7785FD3F">
      <w:pPr>
        <w:keepNext/>
        <w:keepLines/>
        <w:shd w:val="clear" w:color="auto" w:fill="auto"/>
        <w:ind w:firstLine="480"/>
        <w:outlineLvl w:val="1"/>
        <w:rPr>
          <w:rFonts w:hint="eastAsia" w:ascii="宋体" w:hAnsi="宋体" w:cs="宋体"/>
          <w:b/>
          <w:bCs/>
          <w:sz w:val="24"/>
          <w:highlight w:val="none"/>
        </w:rPr>
      </w:pPr>
      <w:r>
        <w:rPr>
          <w:rFonts w:hint="eastAsia" w:ascii="宋体" w:hAnsi="宋体" w:cs="宋体"/>
          <w:b/>
          <w:bCs/>
          <w:sz w:val="24"/>
          <w:highlight w:val="none"/>
          <w:lang w:val="en-US" w:eastAsia="zh-CN"/>
        </w:rPr>
        <w:t xml:space="preserve">第十三条 </w:t>
      </w:r>
      <w:r>
        <w:rPr>
          <w:rFonts w:hint="eastAsia" w:ascii="宋体" w:hAnsi="宋体" w:cs="宋体"/>
          <w:b/>
          <w:bCs/>
          <w:sz w:val="24"/>
          <w:highlight w:val="none"/>
        </w:rPr>
        <w:t>合同生效</w:t>
      </w:r>
    </w:p>
    <w:p w14:paraId="0292C34E">
      <w:pPr>
        <w:keepNext/>
        <w:keepLines/>
        <w:shd w:val="clear" w:color="auto" w:fill="auto"/>
        <w:ind w:firstLine="480"/>
        <w:outlineLvl w:val="1"/>
        <w:rPr>
          <w:rFonts w:hint="eastAsia" w:ascii="宋体" w:hAnsi="宋体" w:cs="宋体"/>
          <w:sz w:val="24"/>
          <w:highlight w:val="none"/>
        </w:rPr>
      </w:pPr>
      <w:r>
        <w:rPr>
          <w:rFonts w:hint="eastAsia" w:ascii="宋体" w:hAnsi="宋体" w:cs="宋体"/>
          <w:sz w:val="24"/>
          <w:highlight w:val="none"/>
        </w:rPr>
        <w:t>本合同在甲乙双方法定代表人或授权代表签字并盖章后，于     年   月   日起生效。</w:t>
      </w:r>
    </w:p>
    <w:p w14:paraId="15933792">
      <w:pPr>
        <w:keepNext/>
        <w:keepLines/>
        <w:shd w:val="clear" w:color="auto" w:fill="auto"/>
        <w:ind w:firstLine="480"/>
        <w:outlineLvl w:val="1"/>
        <w:rPr>
          <w:rFonts w:hint="eastAsia" w:ascii="宋体" w:hAnsi="宋体" w:cs="宋体"/>
          <w:b/>
          <w:bCs/>
          <w:sz w:val="24"/>
          <w:highlight w:val="none"/>
        </w:rPr>
      </w:pPr>
      <w:r>
        <w:rPr>
          <w:rFonts w:hint="eastAsia" w:ascii="宋体" w:hAnsi="宋体" w:cs="宋体"/>
          <w:b/>
          <w:bCs/>
          <w:sz w:val="24"/>
          <w:highlight w:val="none"/>
          <w:lang w:val="en-US" w:eastAsia="zh-CN"/>
        </w:rPr>
        <w:t xml:space="preserve">第十四条 </w:t>
      </w:r>
      <w:r>
        <w:rPr>
          <w:rFonts w:hint="eastAsia" w:ascii="宋体" w:hAnsi="宋体" w:cs="宋体"/>
          <w:b/>
          <w:bCs/>
          <w:sz w:val="24"/>
          <w:highlight w:val="none"/>
        </w:rPr>
        <w:t>其它</w:t>
      </w:r>
    </w:p>
    <w:p w14:paraId="1830D1EF">
      <w:pPr>
        <w:keepNext/>
        <w:keepLines/>
        <w:shd w:val="clear" w:color="auto" w:fill="auto"/>
        <w:ind w:firstLine="480"/>
        <w:outlineLvl w:val="1"/>
        <w:rPr>
          <w:rFonts w:hint="eastAsia" w:ascii="宋体" w:hAnsi="宋体" w:cs="宋体"/>
          <w:sz w:val="24"/>
          <w:highlight w:val="none"/>
        </w:rPr>
      </w:pPr>
      <w:r>
        <w:rPr>
          <w:rFonts w:hint="eastAsia" w:ascii="宋体" w:hAnsi="宋体" w:cs="宋体"/>
          <w:sz w:val="24"/>
          <w:highlight w:val="none"/>
        </w:rPr>
        <w:t>1.所有经双方或多方签署确认的文件（包括会议纪要、补充协议、往来信函）、招标文件和响应文件、合同的附件及《中标通知书》均为本合同不可分割的有效组成部分，与本合同具有同等的法律效力和履约义务，其生效日期为签字盖章确认之日期。</w:t>
      </w:r>
    </w:p>
    <w:p w14:paraId="001FB9B8">
      <w:pPr>
        <w:keepNext/>
        <w:keepLines/>
        <w:shd w:val="clear" w:color="auto" w:fill="auto"/>
        <w:ind w:firstLine="480"/>
        <w:outlineLvl w:val="1"/>
        <w:rPr>
          <w:rFonts w:hint="eastAsia" w:ascii="宋体" w:hAnsi="宋体" w:cs="宋体"/>
          <w:sz w:val="24"/>
          <w:highlight w:val="none"/>
        </w:rPr>
      </w:pPr>
      <w:r>
        <w:rPr>
          <w:rFonts w:hint="eastAsia" w:ascii="宋体" w:hAnsi="宋体" w:cs="宋体"/>
          <w:sz w:val="24"/>
          <w:highlight w:val="none"/>
        </w:rPr>
        <w:t>2.如一方地址、电话、传真号码有变更，应在变更当日内书面通知对方，否则，应承担相应责任。</w:t>
      </w:r>
    </w:p>
    <w:p w14:paraId="22ACF334">
      <w:pPr>
        <w:keepNext/>
        <w:keepLines/>
        <w:shd w:val="clear" w:color="auto" w:fill="auto"/>
        <w:ind w:firstLine="480"/>
        <w:outlineLvl w:val="1"/>
        <w:rPr>
          <w:rFonts w:hint="eastAsia" w:ascii="宋体" w:hAnsi="宋体" w:cs="宋体"/>
          <w:sz w:val="24"/>
          <w:highlight w:val="none"/>
        </w:rPr>
      </w:pPr>
      <w:r>
        <w:rPr>
          <w:rFonts w:hint="eastAsia" w:ascii="宋体" w:hAnsi="宋体" w:cs="宋体"/>
          <w:sz w:val="24"/>
          <w:highlight w:val="none"/>
        </w:rPr>
        <w:t>4.本合同一式    份，甲方执    份，乙方执    份，每份具有同等法律效力。</w:t>
      </w:r>
    </w:p>
    <w:p w14:paraId="10044E40">
      <w:pPr>
        <w:shd w:val="clear" w:color="auto" w:fill="auto"/>
        <w:ind w:firstLine="480"/>
        <w:rPr>
          <w:rFonts w:hint="eastAsia" w:ascii="宋体" w:hAnsi="宋体" w:cs="宋体"/>
          <w:sz w:val="24"/>
          <w:highlight w:val="none"/>
        </w:rPr>
      </w:pPr>
      <w:r>
        <w:rPr>
          <w:rFonts w:hint="eastAsia" w:ascii="宋体" w:hAnsi="宋体" w:cs="宋体"/>
          <w:sz w:val="24"/>
          <w:highlight w:val="none"/>
        </w:rPr>
        <w:t xml:space="preserve">甲方：（盖章）   </w:t>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 xml:space="preserve">       乙方：（盖章）</w:t>
      </w:r>
    </w:p>
    <w:p w14:paraId="45245638">
      <w:pPr>
        <w:shd w:val="clear" w:color="auto" w:fill="auto"/>
        <w:ind w:firstLine="480"/>
        <w:rPr>
          <w:rFonts w:hint="eastAsia" w:ascii="宋体" w:hAnsi="宋体" w:cs="宋体"/>
          <w:sz w:val="24"/>
          <w:highlight w:val="none"/>
        </w:rPr>
      </w:pPr>
      <w:r>
        <w:rPr>
          <w:rFonts w:hint="eastAsia" w:ascii="宋体" w:hAnsi="宋体" w:cs="宋体"/>
          <w:sz w:val="24"/>
          <w:highlight w:val="none"/>
        </w:rPr>
        <w:t>法定代表人/授权代表：              法定代表人/授权代表：</w:t>
      </w:r>
    </w:p>
    <w:p w14:paraId="5BE799A3">
      <w:pPr>
        <w:shd w:val="clear" w:color="auto" w:fill="auto"/>
        <w:ind w:firstLine="480"/>
        <w:rPr>
          <w:rFonts w:hint="eastAsia" w:ascii="宋体" w:hAnsi="宋体" w:cs="宋体"/>
          <w:sz w:val="24"/>
          <w:highlight w:val="none"/>
        </w:rPr>
      </w:pPr>
      <w:r>
        <w:rPr>
          <w:rFonts w:hint="eastAsia" w:ascii="宋体" w:hAnsi="宋体" w:cs="宋体"/>
          <w:sz w:val="24"/>
          <w:highlight w:val="none"/>
        </w:rPr>
        <w:t>地    址：                         地    址：</w:t>
      </w:r>
    </w:p>
    <w:p w14:paraId="785A1849">
      <w:pPr>
        <w:shd w:val="clear" w:color="auto" w:fill="auto"/>
        <w:ind w:firstLine="480"/>
        <w:rPr>
          <w:rFonts w:hint="eastAsia" w:ascii="宋体" w:hAnsi="宋体" w:cs="宋体"/>
          <w:sz w:val="24"/>
          <w:highlight w:val="none"/>
        </w:rPr>
      </w:pPr>
      <w:r>
        <w:rPr>
          <w:rFonts w:hint="eastAsia" w:ascii="宋体" w:hAnsi="宋体" w:cs="宋体"/>
          <w:sz w:val="24"/>
          <w:highlight w:val="none"/>
        </w:rPr>
        <w:t>开户银行：                         开户银行：</w:t>
      </w:r>
    </w:p>
    <w:p w14:paraId="3F8FD689">
      <w:pPr>
        <w:shd w:val="clear" w:color="auto" w:fill="auto"/>
        <w:ind w:firstLine="480"/>
        <w:rPr>
          <w:rFonts w:hint="eastAsia" w:ascii="宋体" w:hAnsi="宋体" w:cs="宋体"/>
          <w:sz w:val="24"/>
          <w:highlight w:val="none"/>
        </w:rPr>
      </w:pPr>
      <w:r>
        <w:rPr>
          <w:rFonts w:hint="eastAsia" w:ascii="宋体" w:hAnsi="宋体" w:cs="宋体"/>
          <w:sz w:val="24"/>
          <w:highlight w:val="none"/>
        </w:rPr>
        <w:t>账    号：                         账    号：</w:t>
      </w:r>
    </w:p>
    <w:p w14:paraId="057537A6">
      <w:pPr>
        <w:shd w:val="clear" w:color="auto" w:fill="auto"/>
        <w:ind w:firstLine="480"/>
        <w:rPr>
          <w:rFonts w:hint="eastAsia" w:ascii="宋体" w:hAnsi="宋体" w:cs="宋体"/>
          <w:sz w:val="24"/>
          <w:highlight w:val="none"/>
        </w:rPr>
      </w:pPr>
      <w:r>
        <w:rPr>
          <w:rFonts w:hint="eastAsia" w:ascii="宋体" w:hAnsi="宋体" w:cs="宋体"/>
          <w:sz w:val="24"/>
          <w:highlight w:val="none"/>
        </w:rPr>
        <w:t>电    话：                         电    话：</w:t>
      </w:r>
    </w:p>
    <w:p w14:paraId="1E0DCB62">
      <w:pPr>
        <w:shd w:val="clear" w:color="auto" w:fill="auto"/>
        <w:ind w:firstLine="480"/>
        <w:rPr>
          <w:rFonts w:hint="eastAsia" w:ascii="宋体" w:hAnsi="宋体" w:cs="宋体"/>
          <w:sz w:val="24"/>
          <w:highlight w:val="none"/>
        </w:rPr>
      </w:pPr>
      <w:r>
        <w:rPr>
          <w:rFonts w:hint="eastAsia" w:ascii="宋体" w:hAnsi="宋体" w:cs="宋体"/>
          <w:sz w:val="24"/>
          <w:highlight w:val="none"/>
        </w:rPr>
        <w:t>传    真：                         传    真：</w:t>
      </w:r>
    </w:p>
    <w:p w14:paraId="48AFC6ED">
      <w:pPr>
        <w:shd w:val="clear" w:color="auto" w:fill="auto"/>
        <w:spacing w:before="120" w:beforeLines="50"/>
        <w:ind w:firstLine="480"/>
        <w:rPr>
          <w:rFonts w:hint="eastAsia" w:ascii="宋体" w:hAnsi="宋体" w:cs="宋体"/>
          <w:sz w:val="24"/>
          <w:highlight w:val="none"/>
        </w:rPr>
      </w:pPr>
      <w:r>
        <w:rPr>
          <w:rFonts w:hint="eastAsia" w:ascii="宋体" w:hAnsi="宋体" w:cs="宋体"/>
          <w:sz w:val="24"/>
          <w:highlight w:val="none"/>
        </w:rPr>
        <w:t>签约日期：</w:t>
      </w:r>
      <w:r>
        <w:rPr>
          <w:rFonts w:hint="eastAsia" w:ascii="宋体" w:hAnsi="宋体" w:cs="宋体"/>
          <w:color w:val="000000"/>
          <w:sz w:val="24"/>
          <w:highlight w:val="none"/>
        </w:rPr>
        <w:t xml:space="preserve">  </w:t>
      </w:r>
      <w:r>
        <w:rPr>
          <w:rFonts w:hint="eastAsia" w:ascii="宋体" w:hAnsi="宋体" w:cs="宋体"/>
          <w:sz w:val="24"/>
          <w:highlight w:val="none"/>
        </w:rPr>
        <w:t>年</w:t>
      </w:r>
      <w:r>
        <w:rPr>
          <w:rFonts w:hint="eastAsia" w:ascii="宋体" w:hAnsi="宋体" w:cs="宋体"/>
          <w:color w:val="000000"/>
          <w:sz w:val="24"/>
          <w:highlight w:val="none"/>
        </w:rPr>
        <w:t xml:space="preserve">   </w:t>
      </w:r>
      <w:r>
        <w:rPr>
          <w:rFonts w:hint="eastAsia" w:ascii="宋体" w:hAnsi="宋体" w:cs="宋体"/>
          <w:sz w:val="24"/>
          <w:highlight w:val="none"/>
        </w:rPr>
        <w:t>月</w:t>
      </w:r>
      <w:r>
        <w:rPr>
          <w:rFonts w:hint="eastAsia" w:ascii="宋体" w:hAnsi="宋体" w:cs="宋体"/>
          <w:color w:val="000000"/>
          <w:sz w:val="24"/>
          <w:highlight w:val="none"/>
        </w:rPr>
        <w:t xml:space="preserve">  </w:t>
      </w:r>
      <w:r>
        <w:rPr>
          <w:rFonts w:hint="eastAsia" w:ascii="宋体" w:hAnsi="宋体" w:cs="宋体"/>
          <w:sz w:val="24"/>
          <w:highlight w:val="none"/>
        </w:rPr>
        <w:t xml:space="preserve">日 </w:t>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 xml:space="preserve"> 签约日期：</w:t>
      </w:r>
      <w:r>
        <w:rPr>
          <w:rFonts w:hint="eastAsia" w:ascii="宋体" w:hAnsi="宋体" w:cs="宋体"/>
          <w:color w:val="000000"/>
          <w:sz w:val="24"/>
          <w:highlight w:val="none"/>
        </w:rPr>
        <w:t xml:space="preserve">  </w:t>
      </w:r>
      <w:r>
        <w:rPr>
          <w:rFonts w:hint="eastAsia" w:ascii="宋体" w:hAnsi="宋体" w:cs="宋体"/>
          <w:sz w:val="24"/>
          <w:highlight w:val="none"/>
        </w:rPr>
        <w:t>年</w:t>
      </w:r>
      <w:r>
        <w:rPr>
          <w:rFonts w:hint="eastAsia" w:ascii="宋体" w:hAnsi="宋体" w:cs="宋体"/>
          <w:color w:val="000000"/>
          <w:sz w:val="24"/>
          <w:highlight w:val="none"/>
        </w:rPr>
        <w:t xml:space="preserve">  </w:t>
      </w:r>
      <w:r>
        <w:rPr>
          <w:rFonts w:hint="eastAsia" w:ascii="宋体" w:hAnsi="宋体" w:cs="宋体"/>
          <w:sz w:val="24"/>
          <w:highlight w:val="none"/>
        </w:rPr>
        <w:t>月   日</w:t>
      </w:r>
    </w:p>
    <w:p w14:paraId="7A5699AD">
      <w:pPr>
        <w:shd w:val="clear" w:color="auto" w:fill="auto"/>
        <w:spacing w:before="120" w:beforeLines="50"/>
        <w:ind w:firstLine="0" w:firstLineChars="0"/>
        <w:jc w:val="center"/>
        <w:outlineLvl w:val="0"/>
        <w:rPr>
          <w:rFonts w:hint="eastAsia" w:ascii="宋体" w:hAnsi="宋体" w:cs="宋体"/>
          <w:b/>
          <w:sz w:val="32"/>
          <w:szCs w:val="32"/>
          <w:highlight w:val="none"/>
        </w:rPr>
      </w:pPr>
      <w:bookmarkStart w:id="113" w:name="_Toc19338"/>
      <w:r>
        <w:rPr>
          <w:rFonts w:hint="eastAsia" w:ascii="宋体" w:hAnsi="宋体" w:cs="宋体"/>
          <w:b/>
          <w:sz w:val="32"/>
          <w:szCs w:val="32"/>
          <w:highlight w:val="none"/>
        </w:rPr>
        <w:br w:type="page"/>
      </w:r>
      <w:r>
        <w:rPr>
          <w:rFonts w:hint="eastAsia" w:ascii="宋体" w:hAnsi="宋体" w:cs="宋体"/>
          <w:b/>
          <w:sz w:val="32"/>
          <w:szCs w:val="32"/>
          <w:highlight w:val="none"/>
        </w:rPr>
        <w:t>第七章 投标文件格式</w:t>
      </w:r>
      <w:bookmarkEnd w:id="107"/>
      <w:bookmarkEnd w:id="113"/>
    </w:p>
    <w:p w14:paraId="4D769F65">
      <w:pPr>
        <w:shd w:val="clear" w:color="auto" w:fill="auto"/>
        <w:ind w:firstLine="562"/>
        <w:jc w:val="center"/>
        <w:rPr>
          <w:rFonts w:hint="eastAsia" w:ascii="宋体" w:hAnsi="宋体" w:cs="宋体"/>
          <w:b/>
          <w:sz w:val="28"/>
          <w:szCs w:val="28"/>
          <w:highlight w:val="none"/>
        </w:rPr>
      </w:pPr>
    </w:p>
    <w:p w14:paraId="04302C96">
      <w:pPr>
        <w:shd w:val="clear" w:color="auto" w:fill="auto"/>
        <w:ind w:firstLine="470" w:firstLineChars="196"/>
        <w:rPr>
          <w:rFonts w:hint="eastAsia" w:ascii="宋体" w:hAnsi="宋体" w:cs="宋体"/>
          <w:color w:val="000000"/>
          <w:sz w:val="24"/>
          <w:highlight w:val="none"/>
        </w:rPr>
      </w:pPr>
      <w:r>
        <w:rPr>
          <w:rFonts w:hint="eastAsia" w:ascii="宋体" w:hAnsi="宋体" w:cs="宋体"/>
          <w:color w:val="000000"/>
          <w:sz w:val="24"/>
          <w:highlight w:val="none"/>
        </w:rPr>
        <w:t>投标文件格式是投标供应商的部分投标文件格式，投标供应商应按照这些格式编制投标文件。编制投标文件前，请详细阅读招标文件，理解文件中的每一项要求，做出逐一实质性响应，认为有必要，可做补充说明。</w:t>
      </w:r>
    </w:p>
    <w:p w14:paraId="2CE73C45">
      <w:pPr>
        <w:shd w:val="clear" w:color="auto" w:fill="auto"/>
        <w:ind w:firstLine="482"/>
        <w:jc w:val="center"/>
        <w:rPr>
          <w:rFonts w:hint="eastAsia" w:ascii="宋体" w:hAnsi="宋体" w:cs="宋体"/>
          <w:b/>
          <w:color w:val="000000"/>
          <w:sz w:val="24"/>
          <w:highlight w:val="none"/>
        </w:rPr>
      </w:pPr>
    </w:p>
    <w:p w14:paraId="485C7CF4">
      <w:pPr>
        <w:shd w:val="clear" w:color="auto" w:fill="auto"/>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  </w:t>
      </w:r>
    </w:p>
    <w:p w14:paraId="0279E782">
      <w:pPr>
        <w:shd w:val="clear" w:color="auto" w:fill="auto"/>
        <w:ind w:firstLine="482"/>
        <w:rPr>
          <w:rFonts w:hint="eastAsia" w:ascii="宋体" w:hAnsi="宋体" w:cs="宋体"/>
          <w:b/>
          <w:bCs/>
          <w:color w:val="000000"/>
          <w:sz w:val="24"/>
          <w:highlight w:val="none"/>
        </w:rPr>
      </w:pPr>
      <w:r>
        <w:rPr>
          <w:rFonts w:hint="eastAsia" w:ascii="宋体" w:hAnsi="宋体" w:cs="宋体"/>
          <w:b/>
          <w:bCs/>
          <w:color w:val="000000"/>
          <w:sz w:val="24"/>
          <w:highlight w:val="none"/>
        </w:rPr>
        <w:t>注：非独立企业法人参与本次投标的，投标文件内涉及到法人签字盖章的部分均可由负责人签字盖章，授权书格式参照法人代表授权书。</w:t>
      </w:r>
    </w:p>
    <w:p w14:paraId="4B722667">
      <w:pPr>
        <w:shd w:val="clear" w:color="auto" w:fill="auto"/>
        <w:ind w:firstLine="480"/>
        <w:rPr>
          <w:rFonts w:hint="eastAsia" w:ascii="宋体" w:hAnsi="宋体" w:cs="宋体"/>
          <w:color w:val="000000"/>
          <w:sz w:val="24"/>
          <w:highlight w:val="none"/>
        </w:rPr>
      </w:pPr>
    </w:p>
    <w:p w14:paraId="154332E0">
      <w:pPr>
        <w:shd w:val="clear" w:color="auto" w:fill="auto"/>
        <w:ind w:firstLine="560"/>
        <w:rPr>
          <w:rFonts w:hint="eastAsia" w:ascii="宋体" w:hAnsi="宋体" w:cs="宋体"/>
          <w:color w:val="000000"/>
          <w:sz w:val="28"/>
          <w:szCs w:val="28"/>
          <w:highlight w:val="none"/>
        </w:rPr>
      </w:pPr>
    </w:p>
    <w:p w14:paraId="5AD61326">
      <w:pPr>
        <w:shd w:val="clear" w:color="auto" w:fill="auto"/>
        <w:ind w:firstLine="560"/>
        <w:rPr>
          <w:rFonts w:hint="eastAsia" w:ascii="宋体" w:hAnsi="宋体" w:cs="宋体"/>
          <w:color w:val="000000"/>
          <w:sz w:val="28"/>
          <w:szCs w:val="28"/>
          <w:highlight w:val="none"/>
        </w:rPr>
      </w:pPr>
    </w:p>
    <w:p w14:paraId="630CC45C">
      <w:pPr>
        <w:shd w:val="clear" w:color="auto" w:fill="auto"/>
        <w:ind w:firstLine="560"/>
        <w:rPr>
          <w:rFonts w:hint="eastAsia" w:ascii="宋体" w:hAnsi="宋体" w:cs="宋体"/>
          <w:color w:val="000000"/>
          <w:sz w:val="28"/>
          <w:szCs w:val="28"/>
          <w:highlight w:val="none"/>
        </w:rPr>
      </w:pPr>
    </w:p>
    <w:p w14:paraId="0815C08A">
      <w:pPr>
        <w:shd w:val="clear" w:color="auto" w:fill="auto"/>
        <w:ind w:firstLine="560"/>
        <w:rPr>
          <w:rFonts w:hint="eastAsia" w:ascii="宋体" w:hAnsi="宋体" w:cs="宋体"/>
          <w:color w:val="000000"/>
          <w:sz w:val="28"/>
          <w:szCs w:val="28"/>
          <w:highlight w:val="none"/>
        </w:rPr>
      </w:pPr>
    </w:p>
    <w:p w14:paraId="2F05CDB1">
      <w:pPr>
        <w:shd w:val="clear" w:color="auto" w:fill="auto"/>
        <w:ind w:firstLine="560"/>
        <w:rPr>
          <w:rFonts w:hint="eastAsia" w:ascii="宋体" w:hAnsi="宋体" w:cs="宋体"/>
          <w:color w:val="000000"/>
          <w:sz w:val="28"/>
          <w:szCs w:val="28"/>
          <w:highlight w:val="none"/>
        </w:rPr>
      </w:pPr>
    </w:p>
    <w:p w14:paraId="2549DC84">
      <w:pPr>
        <w:shd w:val="clear" w:color="auto" w:fill="auto"/>
        <w:ind w:firstLine="560"/>
        <w:rPr>
          <w:rFonts w:hint="eastAsia" w:ascii="宋体" w:hAnsi="宋体" w:cs="宋体"/>
          <w:color w:val="000000"/>
          <w:sz w:val="28"/>
          <w:szCs w:val="28"/>
          <w:highlight w:val="none"/>
        </w:rPr>
      </w:pPr>
    </w:p>
    <w:p w14:paraId="7FBFA97E">
      <w:pPr>
        <w:shd w:val="clear" w:color="auto" w:fill="auto"/>
        <w:ind w:firstLine="560"/>
        <w:rPr>
          <w:rFonts w:hint="eastAsia" w:ascii="宋体" w:hAnsi="宋体" w:cs="宋体"/>
          <w:color w:val="000000"/>
          <w:sz w:val="28"/>
          <w:szCs w:val="28"/>
          <w:highlight w:val="none"/>
        </w:rPr>
      </w:pPr>
    </w:p>
    <w:p w14:paraId="0DA3CC03">
      <w:pPr>
        <w:shd w:val="clear" w:color="auto" w:fill="auto"/>
        <w:ind w:firstLine="560"/>
        <w:rPr>
          <w:rFonts w:hint="eastAsia" w:ascii="宋体" w:hAnsi="宋体" w:cs="宋体"/>
          <w:color w:val="000000"/>
          <w:sz w:val="28"/>
          <w:szCs w:val="28"/>
          <w:highlight w:val="none"/>
        </w:rPr>
      </w:pPr>
    </w:p>
    <w:p w14:paraId="63353AC7">
      <w:pPr>
        <w:shd w:val="clear" w:color="auto" w:fill="auto"/>
        <w:ind w:firstLine="560"/>
        <w:rPr>
          <w:rFonts w:hint="eastAsia" w:ascii="宋体" w:hAnsi="宋体" w:cs="宋体"/>
          <w:color w:val="000000"/>
          <w:sz w:val="28"/>
          <w:szCs w:val="28"/>
          <w:highlight w:val="none"/>
        </w:rPr>
      </w:pPr>
    </w:p>
    <w:p w14:paraId="009B8807">
      <w:pPr>
        <w:shd w:val="clear" w:color="auto" w:fill="auto"/>
        <w:ind w:firstLine="560"/>
        <w:rPr>
          <w:rFonts w:hint="eastAsia" w:ascii="宋体" w:hAnsi="宋体" w:cs="宋体"/>
          <w:color w:val="000000"/>
          <w:sz w:val="28"/>
          <w:szCs w:val="28"/>
          <w:highlight w:val="none"/>
        </w:rPr>
      </w:pPr>
    </w:p>
    <w:p w14:paraId="6F45FD59">
      <w:pPr>
        <w:shd w:val="clear" w:color="auto" w:fill="auto"/>
        <w:ind w:firstLine="560"/>
        <w:rPr>
          <w:rFonts w:hint="eastAsia" w:ascii="宋体" w:hAnsi="宋体" w:cs="宋体"/>
          <w:color w:val="000000"/>
          <w:sz w:val="28"/>
          <w:szCs w:val="28"/>
          <w:highlight w:val="none"/>
        </w:rPr>
      </w:pPr>
    </w:p>
    <w:p w14:paraId="5B656A14">
      <w:pPr>
        <w:shd w:val="clear" w:color="auto" w:fill="auto"/>
        <w:ind w:firstLine="560"/>
        <w:rPr>
          <w:rFonts w:hint="eastAsia" w:ascii="宋体" w:hAnsi="宋体" w:cs="宋体"/>
          <w:color w:val="000000"/>
          <w:sz w:val="28"/>
          <w:szCs w:val="28"/>
          <w:highlight w:val="none"/>
        </w:rPr>
      </w:pPr>
    </w:p>
    <w:p w14:paraId="0494F438">
      <w:pPr>
        <w:shd w:val="clear" w:color="auto" w:fill="auto"/>
        <w:ind w:firstLine="560"/>
        <w:rPr>
          <w:rFonts w:hint="eastAsia" w:ascii="宋体" w:hAnsi="宋体" w:cs="宋体"/>
          <w:color w:val="000000"/>
          <w:sz w:val="28"/>
          <w:szCs w:val="28"/>
          <w:highlight w:val="none"/>
        </w:rPr>
      </w:pPr>
    </w:p>
    <w:p w14:paraId="1E506127">
      <w:pPr>
        <w:shd w:val="clear" w:color="auto" w:fill="auto"/>
        <w:ind w:firstLine="560"/>
        <w:rPr>
          <w:rFonts w:hint="eastAsia" w:ascii="宋体" w:hAnsi="宋体" w:cs="宋体"/>
          <w:color w:val="000000"/>
          <w:sz w:val="28"/>
          <w:szCs w:val="28"/>
          <w:highlight w:val="none"/>
        </w:rPr>
      </w:pPr>
    </w:p>
    <w:p w14:paraId="333148AD">
      <w:pPr>
        <w:pStyle w:val="3"/>
        <w:shd w:val="clear" w:color="auto" w:fill="auto"/>
        <w:spacing w:line="360" w:lineRule="auto"/>
        <w:ind w:right="280" w:firstLine="0" w:firstLineChars="0"/>
        <w:rPr>
          <w:rFonts w:hint="eastAsia" w:ascii="宋体" w:hAnsi="宋体" w:eastAsia="宋体" w:cs="宋体"/>
          <w:szCs w:val="28"/>
          <w:highlight w:val="none"/>
          <w:lang w:eastAsia="zh-CN"/>
        </w:rPr>
      </w:pPr>
      <w:bookmarkStart w:id="114" w:name="_Toc4750_WPSOffice_Level1"/>
      <w:bookmarkStart w:id="115" w:name="_Toc14820_WPSOffice_Level1"/>
      <w:bookmarkStart w:id="116" w:name="_Toc7382_WPSOffice_Level1"/>
      <w:bookmarkStart w:id="117" w:name="_Toc217446082"/>
      <w:r>
        <w:rPr>
          <w:rFonts w:hint="eastAsia" w:ascii="宋体" w:hAnsi="宋体" w:eastAsia="宋体" w:cs="宋体"/>
          <w:szCs w:val="28"/>
          <w:highlight w:val="none"/>
        </w:rPr>
        <w:t>项目编号：</w:t>
      </w:r>
      <w:r>
        <w:rPr>
          <w:rFonts w:hint="eastAsia" w:ascii="宋体" w:hAnsi="宋体" w:eastAsia="宋体" w:cs="宋体"/>
          <w:szCs w:val="28"/>
          <w:highlight w:val="none"/>
          <w:lang w:eastAsia="zh-CN"/>
        </w:rPr>
        <w:t>TWZB2026-116</w:t>
      </w:r>
    </w:p>
    <w:p w14:paraId="009E54A1">
      <w:pPr>
        <w:pStyle w:val="3"/>
        <w:shd w:val="clear" w:color="auto" w:fill="auto"/>
        <w:spacing w:line="360" w:lineRule="auto"/>
        <w:ind w:right="280" w:firstLine="0" w:firstLineChars="0"/>
        <w:rPr>
          <w:rFonts w:hint="eastAsia" w:ascii="宋体" w:hAnsi="宋体" w:eastAsia="宋体" w:cs="宋体"/>
          <w:sz w:val="24"/>
          <w:szCs w:val="24"/>
          <w:highlight w:val="none"/>
        </w:rPr>
      </w:pPr>
      <w:r>
        <w:rPr>
          <w:rFonts w:hint="eastAsia" w:ascii="宋体" w:hAnsi="宋体" w:eastAsia="宋体" w:cs="宋体"/>
          <w:szCs w:val="28"/>
          <w:highlight w:val="none"/>
          <w:lang w:val="en-US" w:eastAsia="zh-CN"/>
        </w:rPr>
        <w:t>标段编号：TWZB2026-116-1/2/3/4</w:t>
      </w:r>
      <w:r>
        <w:rPr>
          <w:rFonts w:hint="eastAsia" w:ascii="宋体" w:hAnsi="宋体" w:eastAsia="宋体" w:cs="宋体"/>
          <w:b w:val="0"/>
          <w:color w:val="000000"/>
          <w:szCs w:val="28"/>
          <w:highlight w:val="none"/>
        </w:rPr>
        <w:t xml:space="preserve">                          </w:t>
      </w:r>
      <w:bookmarkEnd w:id="114"/>
      <w:bookmarkEnd w:id="115"/>
      <w:bookmarkEnd w:id="116"/>
    </w:p>
    <w:p w14:paraId="0437FBA4">
      <w:pPr>
        <w:pStyle w:val="5"/>
        <w:shd w:val="clear" w:color="auto" w:fill="auto"/>
        <w:ind w:firstLine="560"/>
        <w:rPr>
          <w:rFonts w:hint="eastAsia" w:ascii="宋体" w:hAnsi="宋体" w:cs="宋体"/>
          <w:sz w:val="28"/>
          <w:szCs w:val="28"/>
          <w:highlight w:val="none"/>
        </w:rPr>
      </w:pPr>
    </w:p>
    <w:p w14:paraId="627E544F">
      <w:pPr>
        <w:pStyle w:val="3"/>
        <w:shd w:val="clear" w:color="auto" w:fill="auto"/>
        <w:spacing w:line="360" w:lineRule="auto"/>
        <w:ind w:firstLine="0" w:firstLineChars="0"/>
        <w:jc w:val="center"/>
        <w:rPr>
          <w:rFonts w:hint="eastAsia" w:ascii="宋体" w:hAnsi="宋体" w:eastAsia="宋体" w:cs="宋体"/>
          <w:sz w:val="44"/>
          <w:szCs w:val="44"/>
          <w:highlight w:val="none"/>
          <w:lang w:eastAsia="zh-CN"/>
        </w:rPr>
      </w:pPr>
      <w:r>
        <w:rPr>
          <w:rFonts w:hint="eastAsia" w:ascii="宋体" w:hAnsi="宋体" w:eastAsia="宋体" w:cs="宋体"/>
          <w:sz w:val="44"/>
          <w:szCs w:val="44"/>
          <w:highlight w:val="none"/>
          <w:lang w:eastAsia="zh-CN"/>
        </w:rPr>
        <w:t>扶风县农村义务教育学生营养改善计划学校食堂食材采购（</w:t>
      </w:r>
      <w:r>
        <w:rPr>
          <w:rFonts w:hint="eastAsia" w:ascii="宋体" w:hAnsi="宋体" w:eastAsia="宋体" w:cs="宋体"/>
          <w:sz w:val="44"/>
          <w:szCs w:val="44"/>
          <w:highlight w:val="none"/>
          <w:lang w:val="en-US" w:eastAsia="zh-CN"/>
        </w:rPr>
        <w:t xml:space="preserve">    标段</w:t>
      </w:r>
      <w:r>
        <w:rPr>
          <w:rFonts w:hint="eastAsia" w:ascii="宋体" w:hAnsi="宋体" w:eastAsia="宋体" w:cs="宋体"/>
          <w:sz w:val="44"/>
          <w:szCs w:val="44"/>
          <w:highlight w:val="none"/>
          <w:lang w:eastAsia="zh-CN"/>
        </w:rPr>
        <w:t>）</w:t>
      </w:r>
    </w:p>
    <w:p w14:paraId="7FF91870">
      <w:pPr>
        <w:pStyle w:val="5"/>
        <w:shd w:val="clear" w:color="auto" w:fill="auto"/>
        <w:ind w:firstLine="0" w:firstLineChars="0"/>
        <w:rPr>
          <w:rFonts w:hint="eastAsia" w:ascii="宋体" w:hAnsi="宋体" w:cs="宋体"/>
          <w:sz w:val="28"/>
          <w:szCs w:val="28"/>
          <w:highlight w:val="none"/>
        </w:rPr>
      </w:pPr>
    </w:p>
    <w:p w14:paraId="0C76C743">
      <w:pPr>
        <w:pStyle w:val="5"/>
        <w:shd w:val="clear" w:color="auto" w:fill="auto"/>
        <w:ind w:firstLine="0" w:firstLineChars="0"/>
        <w:rPr>
          <w:rFonts w:hint="eastAsia" w:ascii="宋体" w:hAnsi="宋体" w:cs="宋体"/>
          <w:sz w:val="28"/>
          <w:szCs w:val="28"/>
          <w:highlight w:val="none"/>
        </w:rPr>
      </w:pPr>
    </w:p>
    <w:p w14:paraId="76214213">
      <w:pPr>
        <w:pStyle w:val="5"/>
        <w:shd w:val="clear" w:color="auto" w:fill="auto"/>
        <w:ind w:firstLine="0" w:firstLineChars="0"/>
        <w:rPr>
          <w:rFonts w:hint="eastAsia" w:ascii="宋体" w:hAnsi="宋体" w:cs="宋体"/>
          <w:sz w:val="28"/>
          <w:szCs w:val="28"/>
          <w:highlight w:val="none"/>
        </w:rPr>
      </w:pPr>
    </w:p>
    <w:p w14:paraId="5EE5F01D">
      <w:pPr>
        <w:pStyle w:val="3"/>
        <w:shd w:val="clear" w:color="auto" w:fill="auto"/>
        <w:spacing w:line="360" w:lineRule="auto"/>
        <w:ind w:firstLine="0" w:firstLineChars="0"/>
        <w:jc w:val="center"/>
        <w:rPr>
          <w:rFonts w:hint="eastAsia" w:ascii="宋体" w:hAnsi="宋体" w:eastAsia="宋体" w:cs="宋体"/>
          <w:sz w:val="56"/>
          <w:szCs w:val="56"/>
          <w:highlight w:val="none"/>
        </w:rPr>
      </w:pPr>
      <w:bookmarkStart w:id="118" w:name="_Toc11007_WPSOffice_Level1"/>
      <w:bookmarkStart w:id="119" w:name="_Toc13302_WPSOffice_Level1"/>
      <w:bookmarkStart w:id="120" w:name="_Toc17660_WPSOffice_Level1"/>
      <w:r>
        <w:rPr>
          <w:rFonts w:hint="eastAsia" w:ascii="宋体" w:hAnsi="宋体" w:eastAsia="宋体" w:cs="宋体"/>
          <w:sz w:val="56"/>
          <w:szCs w:val="56"/>
          <w:highlight w:val="none"/>
        </w:rPr>
        <w:t>投标文件</w:t>
      </w:r>
      <w:bookmarkEnd w:id="118"/>
      <w:bookmarkEnd w:id="119"/>
      <w:bookmarkEnd w:id="120"/>
    </w:p>
    <w:p w14:paraId="75A554F1">
      <w:pPr>
        <w:pStyle w:val="5"/>
        <w:shd w:val="clear" w:color="auto" w:fill="auto"/>
        <w:ind w:firstLine="560"/>
        <w:rPr>
          <w:rFonts w:hint="eastAsia" w:ascii="宋体" w:hAnsi="宋体" w:cs="宋体"/>
          <w:sz w:val="28"/>
          <w:szCs w:val="28"/>
          <w:highlight w:val="none"/>
        </w:rPr>
      </w:pPr>
    </w:p>
    <w:p w14:paraId="09F14FBA">
      <w:pPr>
        <w:pStyle w:val="5"/>
        <w:shd w:val="clear" w:color="auto" w:fill="auto"/>
        <w:ind w:firstLine="560"/>
        <w:rPr>
          <w:rFonts w:hint="eastAsia" w:ascii="宋体" w:hAnsi="宋体" w:cs="宋体"/>
          <w:sz w:val="28"/>
          <w:szCs w:val="28"/>
          <w:highlight w:val="none"/>
        </w:rPr>
      </w:pPr>
    </w:p>
    <w:p w14:paraId="46ACB549">
      <w:pPr>
        <w:pStyle w:val="5"/>
        <w:shd w:val="clear" w:color="auto" w:fill="auto"/>
        <w:ind w:firstLine="560"/>
        <w:rPr>
          <w:rFonts w:hint="eastAsia" w:ascii="宋体" w:hAnsi="宋体" w:cs="宋体"/>
          <w:sz w:val="28"/>
          <w:szCs w:val="28"/>
          <w:highlight w:val="none"/>
        </w:rPr>
      </w:pPr>
    </w:p>
    <w:p w14:paraId="579B9D4A">
      <w:pPr>
        <w:pStyle w:val="5"/>
        <w:shd w:val="clear" w:color="auto" w:fill="auto"/>
        <w:ind w:firstLine="560"/>
        <w:rPr>
          <w:rFonts w:hint="eastAsia" w:ascii="宋体" w:hAnsi="宋体" w:cs="宋体"/>
          <w:sz w:val="28"/>
          <w:szCs w:val="28"/>
          <w:highlight w:val="none"/>
        </w:rPr>
      </w:pPr>
    </w:p>
    <w:p w14:paraId="3923C1DE">
      <w:pPr>
        <w:pStyle w:val="5"/>
        <w:shd w:val="clear" w:color="auto" w:fill="auto"/>
        <w:ind w:firstLine="560"/>
        <w:rPr>
          <w:rFonts w:hint="eastAsia" w:ascii="宋体" w:hAnsi="宋体" w:cs="宋体"/>
          <w:sz w:val="28"/>
          <w:szCs w:val="28"/>
          <w:highlight w:val="none"/>
        </w:rPr>
      </w:pPr>
    </w:p>
    <w:p w14:paraId="3B5D9763">
      <w:pPr>
        <w:pStyle w:val="5"/>
        <w:shd w:val="clear" w:color="auto" w:fill="auto"/>
        <w:spacing w:before="120" w:beforeLines="50"/>
        <w:ind w:firstLine="1911" w:firstLineChars="680"/>
        <w:rPr>
          <w:rFonts w:hint="eastAsia" w:ascii="宋体" w:hAnsi="宋体" w:cs="宋体"/>
          <w:b/>
          <w:sz w:val="28"/>
          <w:szCs w:val="28"/>
          <w:highlight w:val="none"/>
        </w:rPr>
      </w:pPr>
      <w:bookmarkStart w:id="121" w:name="_Toc22756_WPSOffice_Level1"/>
      <w:r>
        <w:rPr>
          <w:rFonts w:hint="eastAsia" w:ascii="宋体" w:hAnsi="宋体" w:cs="宋体"/>
          <w:b/>
          <w:sz w:val="28"/>
          <w:szCs w:val="28"/>
          <w:highlight w:val="none"/>
        </w:rPr>
        <w:t>投标供应商：（单位盖章）</w:t>
      </w:r>
      <w:bookmarkEnd w:id="121"/>
    </w:p>
    <w:p w14:paraId="68C10259">
      <w:pPr>
        <w:pStyle w:val="5"/>
        <w:shd w:val="clear" w:color="auto" w:fill="auto"/>
        <w:spacing w:before="120" w:beforeLines="50"/>
        <w:ind w:firstLine="1911" w:firstLineChars="680"/>
        <w:rPr>
          <w:rFonts w:hint="eastAsia" w:ascii="宋体" w:hAnsi="宋体" w:cs="宋体"/>
          <w:sz w:val="28"/>
          <w:szCs w:val="28"/>
          <w:highlight w:val="none"/>
        </w:rPr>
      </w:pPr>
      <w:bookmarkStart w:id="122" w:name="_Toc278_WPSOffice_Level1"/>
      <w:r>
        <w:rPr>
          <w:rFonts w:hint="eastAsia" w:ascii="宋体" w:hAnsi="宋体" w:cs="宋体"/>
          <w:b/>
          <w:sz w:val="28"/>
          <w:szCs w:val="28"/>
          <w:highlight w:val="none"/>
        </w:rPr>
        <w:t>法定代表人或其被授权代表：（签名或盖章）</w:t>
      </w:r>
      <w:bookmarkEnd w:id="122"/>
    </w:p>
    <w:p w14:paraId="1B92742A">
      <w:pPr>
        <w:pStyle w:val="5"/>
        <w:shd w:val="clear" w:color="auto" w:fill="auto"/>
        <w:spacing w:before="120" w:beforeLines="50"/>
        <w:ind w:firstLine="1911" w:firstLineChars="680"/>
        <w:rPr>
          <w:rFonts w:hint="eastAsia" w:ascii="宋体" w:hAnsi="宋体" w:cs="宋体"/>
          <w:b/>
          <w:sz w:val="28"/>
          <w:szCs w:val="28"/>
          <w:highlight w:val="none"/>
        </w:rPr>
      </w:pPr>
      <w:bookmarkStart w:id="123" w:name="_Toc12762_WPSOffice_Level1"/>
      <w:r>
        <w:rPr>
          <w:rFonts w:hint="eastAsia" w:ascii="宋体" w:hAnsi="宋体" w:cs="宋体"/>
          <w:b/>
          <w:sz w:val="28"/>
          <w:szCs w:val="28"/>
          <w:highlight w:val="none"/>
        </w:rPr>
        <w:t xml:space="preserve">时  间：      </w:t>
      </w:r>
      <w:r>
        <w:rPr>
          <w:rFonts w:hint="eastAsia" w:ascii="宋体" w:hAnsi="宋体" w:cs="宋体"/>
          <w:b/>
          <w:sz w:val="28"/>
          <w:szCs w:val="28"/>
          <w:highlight w:val="none"/>
          <w:lang w:eastAsia="zh-CN"/>
        </w:rPr>
        <w:t>二〇</w:t>
      </w:r>
      <w:r>
        <w:rPr>
          <w:rFonts w:hint="eastAsia" w:ascii="宋体" w:hAnsi="宋体" w:cs="宋体"/>
          <w:b/>
          <w:sz w:val="28"/>
          <w:szCs w:val="28"/>
          <w:highlight w:val="none"/>
        </w:rPr>
        <w:t xml:space="preserve">   年  月  日</w:t>
      </w:r>
      <w:bookmarkEnd w:id="123"/>
    </w:p>
    <w:p w14:paraId="22544837">
      <w:pPr>
        <w:pStyle w:val="3"/>
        <w:shd w:val="clear" w:color="auto" w:fill="auto"/>
        <w:spacing w:line="360" w:lineRule="auto"/>
        <w:ind w:firstLine="0" w:firstLineChars="0"/>
        <w:jc w:val="center"/>
        <w:rPr>
          <w:rFonts w:hint="eastAsia" w:ascii="宋体" w:hAnsi="宋体" w:eastAsia="宋体" w:cs="宋体"/>
          <w:szCs w:val="28"/>
          <w:highlight w:val="none"/>
        </w:rPr>
      </w:pPr>
      <w:bookmarkStart w:id="124" w:name="_Toc13305_WPSOffice_Level1"/>
      <w:r>
        <w:rPr>
          <w:rFonts w:hint="eastAsia" w:ascii="宋体" w:hAnsi="宋体" w:eastAsia="宋体" w:cs="宋体"/>
          <w:szCs w:val="28"/>
          <w:highlight w:val="none"/>
        </w:rPr>
        <w:t>目  录</w:t>
      </w:r>
      <w:bookmarkEnd w:id="124"/>
    </w:p>
    <w:p w14:paraId="1EBAEEB9">
      <w:pPr>
        <w:pStyle w:val="3"/>
        <w:shd w:val="clear" w:color="auto" w:fill="auto"/>
        <w:spacing w:line="360" w:lineRule="auto"/>
        <w:ind w:firstLine="360" w:firstLineChars="150"/>
        <w:rPr>
          <w:rFonts w:hint="eastAsia" w:ascii="宋体" w:hAnsi="宋体" w:eastAsia="宋体" w:cs="宋体"/>
          <w:b w:val="0"/>
          <w:sz w:val="24"/>
          <w:szCs w:val="24"/>
          <w:highlight w:val="none"/>
        </w:rPr>
      </w:pPr>
      <w:bookmarkStart w:id="125" w:name="_Toc22105_WPSOffice_Level1"/>
      <w:bookmarkStart w:id="126" w:name="_Toc10290_WPSOffice_Level1"/>
      <w:r>
        <w:rPr>
          <w:rFonts w:hint="eastAsia" w:ascii="宋体" w:hAnsi="宋体" w:eastAsia="宋体" w:cs="宋体"/>
          <w:b w:val="0"/>
          <w:sz w:val="24"/>
          <w:szCs w:val="24"/>
          <w:highlight w:val="none"/>
        </w:rPr>
        <w:t>一、投标函</w:t>
      </w:r>
      <w:bookmarkEnd w:id="125"/>
      <w:bookmarkEnd w:id="126"/>
      <w:r>
        <w:rPr>
          <w:rFonts w:hint="eastAsia" w:ascii="宋体" w:hAnsi="宋体" w:eastAsia="宋体" w:cs="宋体"/>
          <w:b w:val="0"/>
          <w:sz w:val="24"/>
          <w:szCs w:val="24"/>
          <w:highlight w:val="none"/>
        </w:rPr>
        <w:t xml:space="preserve"> </w:t>
      </w:r>
    </w:p>
    <w:p w14:paraId="74AB631C">
      <w:pPr>
        <w:pStyle w:val="3"/>
        <w:shd w:val="clear" w:color="auto" w:fill="auto"/>
        <w:tabs>
          <w:tab w:val="left" w:pos="540"/>
        </w:tabs>
        <w:spacing w:line="360" w:lineRule="auto"/>
        <w:ind w:firstLine="360" w:firstLineChars="150"/>
        <w:rPr>
          <w:rFonts w:hint="eastAsia" w:ascii="宋体" w:hAnsi="宋体" w:eastAsia="宋体" w:cs="宋体"/>
          <w:b w:val="0"/>
          <w:sz w:val="24"/>
          <w:szCs w:val="24"/>
          <w:highlight w:val="none"/>
        </w:rPr>
      </w:pPr>
      <w:bookmarkStart w:id="127" w:name="_Toc7006_WPSOffice_Level1"/>
      <w:bookmarkStart w:id="128" w:name="_Toc23855_WPSOffice_Level1"/>
      <w:r>
        <w:rPr>
          <w:rFonts w:hint="eastAsia" w:ascii="宋体" w:hAnsi="宋体" w:eastAsia="宋体" w:cs="宋体"/>
          <w:b w:val="0"/>
          <w:sz w:val="24"/>
          <w:szCs w:val="24"/>
          <w:highlight w:val="none"/>
        </w:rPr>
        <w:t>二、开标一览表</w:t>
      </w:r>
      <w:bookmarkEnd w:id="127"/>
      <w:bookmarkEnd w:id="128"/>
    </w:p>
    <w:p w14:paraId="12D417A7">
      <w:pPr>
        <w:pStyle w:val="3"/>
        <w:shd w:val="clear" w:color="auto" w:fill="auto"/>
        <w:spacing w:line="360" w:lineRule="auto"/>
        <w:ind w:firstLine="360" w:firstLineChars="150"/>
        <w:rPr>
          <w:rFonts w:hint="eastAsia" w:ascii="宋体" w:hAnsi="宋体" w:eastAsia="宋体" w:cs="宋体"/>
          <w:b w:val="0"/>
          <w:sz w:val="24"/>
          <w:szCs w:val="24"/>
          <w:highlight w:val="none"/>
        </w:rPr>
      </w:pPr>
      <w:bookmarkStart w:id="129" w:name="_Toc8281_WPSOffice_Level1"/>
      <w:bookmarkStart w:id="130" w:name="_Toc6478_WPSOffice_Level1"/>
      <w:r>
        <w:rPr>
          <w:rFonts w:hint="eastAsia" w:ascii="宋体" w:hAnsi="宋体" w:eastAsia="宋体" w:cs="宋体"/>
          <w:b w:val="0"/>
          <w:sz w:val="24"/>
          <w:szCs w:val="24"/>
          <w:highlight w:val="none"/>
        </w:rPr>
        <w:t>三、</w:t>
      </w:r>
      <w:r>
        <w:rPr>
          <w:rFonts w:hint="eastAsia" w:ascii="宋体" w:hAnsi="宋体" w:eastAsia="宋体" w:cs="宋体"/>
          <w:b w:val="0"/>
          <w:bCs/>
          <w:color w:val="000000"/>
          <w:sz w:val="24"/>
          <w:szCs w:val="24"/>
          <w:highlight w:val="none"/>
        </w:rPr>
        <w:t>分项报价表</w:t>
      </w:r>
      <w:bookmarkEnd w:id="129"/>
      <w:bookmarkEnd w:id="130"/>
      <w:r>
        <w:rPr>
          <w:rFonts w:hint="eastAsia" w:ascii="宋体" w:hAnsi="宋体" w:eastAsia="宋体" w:cs="宋体"/>
          <w:b w:val="0"/>
          <w:bCs/>
          <w:color w:val="000000"/>
          <w:sz w:val="24"/>
          <w:szCs w:val="24"/>
          <w:highlight w:val="none"/>
        </w:rPr>
        <w:t xml:space="preserve"> </w:t>
      </w:r>
    </w:p>
    <w:p w14:paraId="73B77552">
      <w:pPr>
        <w:pStyle w:val="3"/>
        <w:shd w:val="clear" w:color="auto" w:fill="auto"/>
        <w:spacing w:after="0" w:line="360" w:lineRule="auto"/>
        <w:ind w:firstLine="360" w:firstLineChars="150"/>
        <w:rPr>
          <w:rFonts w:hint="eastAsia" w:ascii="宋体" w:hAnsi="宋体" w:eastAsia="宋体" w:cs="宋体"/>
          <w:b w:val="0"/>
          <w:sz w:val="24"/>
          <w:szCs w:val="24"/>
          <w:highlight w:val="none"/>
        </w:rPr>
      </w:pPr>
      <w:bookmarkStart w:id="131" w:name="_Toc17521_WPSOffice_Level1"/>
      <w:bookmarkStart w:id="132" w:name="_Toc21360_WPSOffice_Level1"/>
      <w:r>
        <w:rPr>
          <w:rFonts w:hint="eastAsia" w:ascii="宋体" w:hAnsi="宋体" w:eastAsia="宋体" w:cs="宋体"/>
          <w:b w:val="0"/>
          <w:sz w:val="24"/>
          <w:szCs w:val="24"/>
          <w:highlight w:val="none"/>
          <w:lang w:eastAsia="zh-CN"/>
        </w:rPr>
        <w:t>四</w:t>
      </w:r>
      <w:r>
        <w:rPr>
          <w:rFonts w:hint="eastAsia" w:ascii="宋体" w:hAnsi="宋体" w:eastAsia="宋体" w:cs="宋体"/>
          <w:b w:val="0"/>
          <w:sz w:val="24"/>
          <w:szCs w:val="24"/>
          <w:highlight w:val="none"/>
        </w:rPr>
        <w:t>、</w:t>
      </w:r>
      <w:r>
        <w:rPr>
          <w:rFonts w:hint="eastAsia" w:ascii="宋体" w:hAnsi="宋体" w:eastAsia="宋体" w:cs="宋体"/>
          <w:b w:val="0"/>
          <w:bCs/>
          <w:kern w:val="0"/>
          <w:sz w:val="24"/>
          <w:szCs w:val="24"/>
          <w:highlight w:val="none"/>
        </w:rPr>
        <w:t>技术规格偏离表</w:t>
      </w:r>
      <w:bookmarkEnd w:id="131"/>
      <w:bookmarkEnd w:id="132"/>
    </w:p>
    <w:p w14:paraId="038C13DD">
      <w:pPr>
        <w:pStyle w:val="3"/>
        <w:shd w:val="clear" w:color="auto" w:fill="auto"/>
        <w:spacing w:after="0" w:line="360" w:lineRule="auto"/>
        <w:ind w:firstLine="360" w:firstLineChars="150"/>
        <w:rPr>
          <w:rFonts w:hint="eastAsia" w:ascii="宋体" w:hAnsi="宋体" w:eastAsia="宋体" w:cs="宋体"/>
          <w:b w:val="0"/>
          <w:sz w:val="24"/>
          <w:szCs w:val="24"/>
          <w:highlight w:val="none"/>
        </w:rPr>
      </w:pPr>
      <w:bookmarkStart w:id="133" w:name="_Toc16856_WPSOffice_Level1"/>
      <w:bookmarkStart w:id="134" w:name="_Toc15557_WPSOffice_Level1"/>
      <w:r>
        <w:rPr>
          <w:rFonts w:hint="eastAsia" w:ascii="宋体" w:hAnsi="宋体" w:eastAsia="宋体" w:cs="宋体"/>
          <w:b w:val="0"/>
          <w:sz w:val="24"/>
          <w:szCs w:val="24"/>
          <w:highlight w:val="none"/>
          <w:lang w:eastAsia="zh-CN"/>
        </w:rPr>
        <w:t>五</w:t>
      </w:r>
      <w:r>
        <w:rPr>
          <w:rFonts w:hint="eastAsia" w:ascii="宋体" w:hAnsi="宋体" w:eastAsia="宋体" w:cs="宋体"/>
          <w:b w:val="0"/>
          <w:sz w:val="24"/>
          <w:szCs w:val="24"/>
          <w:highlight w:val="none"/>
        </w:rPr>
        <w:t>、商务偏离表</w:t>
      </w:r>
      <w:bookmarkEnd w:id="133"/>
      <w:bookmarkEnd w:id="134"/>
    </w:p>
    <w:p w14:paraId="1E798764">
      <w:pPr>
        <w:pStyle w:val="3"/>
        <w:shd w:val="clear" w:color="auto" w:fill="auto"/>
        <w:spacing w:after="0" w:line="360" w:lineRule="auto"/>
        <w:ind w:firstLine="360" w:firstLineChars="150"/>
        <w:rPr>
          <w:rFonts w:hint="eastAsia" w:ascii="宋体" w:hAnsi="宋体" w:eastAsia="宋体" w:cs="宋体"/>
          <w:b w:val="0"/>
          <w:sz w:val="24"/>
          <w:szCs w:val="24"/>
          <w:highlight w:val="none"/>
        </w:rPr>
      </w:pPr>
      <w:bookmarkStart w:id="135" w:name="_Toc22249_WPSOffice_Level1"/>
      <w:bookmarkStart w:id="136" w:name="_Toc31491_WPSOffice_Level1"/>
      <w:r>
        <w:rPr>
          <w:rFonts w:hint="eastAsia" w:ascii="宋体" w:hAnsi="宋体" w:eastAsia="宋体" w:cs="宋体"/>
          <w:b w:val="0"/>
          <w:sz w:val="24"/>
          <w:szCs w:val="24"/>
          <w:highlight w:val="none"/>
          <w:lang w:eastAsia="zh-CN"/>
        </w:rPr>
        <w:t>六</w:t>
      </w:r>
      <w:r>
        <w:rPr>
          <w:rFonts w:hint="eastAsia" w:ascii="宋体" w:hAnsi="宋体" w:eastAsia="宋体" w:cs="宋体"/>
          <w:b w:val="0"/>
          <w:sz w:val="24"/>
          <w:szCs w:val="24"/>
          <w:highlight w:val="none"/>
        </w:rPr>
        <w:t>、技术文件</w:t>
      </w:r>
      <w:bookmarkEnd w:id="135"/>
      <w:bookmarkEnd w:id="136"/>
    </w:p>
    <w:p w14:paraId="23EC0450">
      <w:pPr>
        <w:pStyle w:val="3"/>
        <w:shd w:val="clear" w:color="auto" w:fill="auto"/>
        <w:spacing w:after="0" w:line="360" w:lineRule="auto"/>
        <w:ind w:firstLine="360" w:firstLineChars="150"/>
        <w:rPr>
          <w:rFonts w:hint="eastAsia" w:ascii="宋体" w:hAnsi="宋体" w:eastAsia="宋体" w:cs="宋体"/>
          <w:b w:val="0"/>
          <w:sz w:val="24"/>
          <w:szCs w:val="24"/>
          <w:highlight w:val="none"/>
        </w:rPr>
      </w:pPr>
      <w:bookmarkStart w:id="137" w:name="_Toc9241_WPSOffice_Level1"/>
      <w:bookmarkStart w:id="138" w:name="_Toc15699_WPSOffice_Level1"/>
      <w:r>
        <w:rPr>
          <w:rFonts w:hint="eastAsia" w:ascii="宋体" w:hAnsi="宋体" w:eastAsia="宋体" w:cs="宋体"/>
          <w:b w:val="0"/>
          <w:sz w:val="24"/>
          <w:szCs w:val="24"/>
          <w:highlight w:val="none"/>
          <w:lang w:eastAsia="zh-CN"/>
        </w:rPr>
        <w:t>七</w:t>
      </w:r>
      <w:r>
        <w:rPr>
          <w:rFonts w:hint="eastAsia" w:ascii="宋体" w:hAnsi="宋体" w:eastAsia="宋体" w:cs="宋体"/>
          <w:b w:val="0"/>
          <w:sz w:val="24"/>
          <w:szCs w:val="24"/>
          <w:highlight w:val="none"/>
        </w:rPr>
        <w:t>、售后服务文件</w:t>
      </w:r>
      <w:bookmarkEnd w:id="137"/>
      <w:bookmarkEnd w:id="138"/>
      <w:r>
        <w:rPr>
          <w:rFonts w:hint="eastAsia" w:ascii="宋体" w:hAnsi="宋体" w:eastAsia="宋体" w:cs="宋体"/>
          <w:b w:val="0"/>
          <w:sz w:val="24"/>
          <w:szCs w:val="24"/>
          <w:highlight w:val="none"/>
        </w:rPr>
        <w:t xml:space="preserve"> </w:t>
      </w:r>
    </w:p>
    <w:p w14:paraId="50049E10">
      <w:pPr>
        <w:pStyle w:val="3"/>
        <w:shd w:val="clear" w:color="auto" w:fill="auto"/>
        <w:spacing w:after="0" w:line="360" w:lineRule="auto"/>
        <w:ind w:firstLine="360" w:firstLineChars="150"/>
        <w:rPr>
          <w:rFonts w:hint="eastAsia" w:ascii="宋体" w:hAnsi="宋体" w:eastAsia="宋体" w:cs="宋体"/>
          <w:b w:val="0"/>
          <w:sz w:val="24"/>
          <w:szCs w:val="24"/>
          <w:highlight w:val="none"/>
        </w:rPr>
      </w:pPr>
      <w:bookmarkStart w:id="139" w:name="_Toc12357_WPSOffice_Level1"/>
      <w:bookmarkStart w:id="140" w:name="_Toc17739_WPSOffice_Level1"/>
      <w:r>
        <w:rPr>
          <w:rFonts w:hint="eastAsia" w:ascii="宋体" w:hAnsi="宋体" w:eastAsia="宋体" w:cs="宋体"/>
          <w:b w:val="0"/>
          <w:sz w:val="24"/>
          <w:szCs w:val="24"/>
          <w:highlight w:val="none"/>
          <w:lang w:eastAsia="zh-CN"/>
        </w:rPr>
        <w:t>八</w:t>
      </w:r>
      <w:r>
        <w:rPr>
          <w:rFonts w:hint="eastAsia" w:ascii="宋体" w:hAnsi="宋体" w:eastAsia="宋体" w:cs="宋体"/>
          <w:b w:val="0"/>
          <w:sz w:val="24"/>
          <w:szCs w:val="24"/>
          <w:highlight w:val="none"/>
        </w:rPr>
        <w:t>、资格证明文件</w:t>
      </w:r>
      <w:bookmarkEnd w:id="139"/>
      <w:bookmarkEnd w:id="140"/>
      <w:r>
        <w:rPr>
          <w:rFonts w:hint="eastAsia" w:ascii="宋体" w:hAnsi="宋体" w:eastAsia="宋体" w:cs="宋体"/>
          <w:b w:val="0"/>
          <w:sz w:val="24"/>
          <w:szCs w:val="24"/>
          <w:highlight w:val="none"/>
        </w:rPr>
        <w:t xml:space="preserve"> </w:t>
      </w:r>
    </w:p>
    <w:p w14:paraId="60FB9FAE">
      <w:pPr>
        <w:pStyle w:val="3"/>
        <w:shd w:val="clear" w:color="auto" w:fill="auto"/>
        <w:spacing w:after="0" w:line="360" w:lineRule="auto"/>
        <w:ind w:firstLine="360" w:firstLineChars="150"/>
        <w:rPr>
          <w:rFonts w:hint="eastAsia" w:ascii="宋体" w:hAnsi="宋体" w:eastAsia="宋体" w:cs="宋体"/>
          <w:b w:val="0"/>
          <w:sz w:val="24"/>
          <w:szCs w:val="24"/>
          <w:highlight w:val="none"/>
          <w:lang w:eastAsia="zh-CN"/>
        </w:rPr>
      </w:pPr>
      <w:bookmarkStart w:id="141" w:name="_Toc13960_WPSOffice_Level1"/>
      <w:bookmarkStart w:id="142" w:name="_Toc26443_WPSOffice_Level1"/>
      <w:r>
        <w:rPr>
          <w:rFonts w:hint="eastAsia" w:ascii="宋体" w:hAnsi="宋体" w:eastAsia="宋体" w:cs="宋体"/>
          <w:b w:val="0"/>
          <w:sz w:val="24"/>
          <w:szCs w:val="24"/>
          <w:highlight w:val="none"/>
          <w:lang w:eastAsia="zh-CN"/>
        </w:rPr>
        <w:t>九、其他资料</w:t>
      </w:r>
    </w:p>
    <w:p w14:paraId="29E03303">
      <w:pPr>
        <w:pStyle w:val="3"/>
        <w:shd w:val="clear" w:color="auto" w:fill="auto"/>
        <w:spacing w:after="0" w:line="360" w:lineRule="auto"/>
        <w:ind w:firstLine="360" w:firstLineChars="150"/>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十、投标供应商认为有必要补充说明的事项</w:t>
      </w:r>
      <w:bookmarkEnd w:id="141"/>
      <w:bookmarkEnd w:id="142"/>
    </w:p>
    <w:p w14:paraId="49D0BC03">
      <w:pPr>
        <w:pStyle w:val="5"/>
        <w:shd w:val="clear" w:color="auto" w:fill="auto"/>
        <w:ind w:firstLine="480"/>
        <w:rPr>
          <w:rFonts w:hint="eastAsia" w:ascii="宋体" w:hAnsi="宋体" w:cs="宋体"/>
          <w:sz w:val="24"/>
          <w:szCs w:val="24"/>
          <w:highlight w:val="none"/>
        </w:rPr>
      </w:pPr>
      <w:r>
        <w:rPr>
          <w:rFonts w:hint="eastAsia" w:ascii="宋体" w:hAnsi="宋体" w:cs="宋体"/>
          <w:sz w:val="24"/>
          <w:szCs w:val="24"/>
          <w:highlight w:val="none"/>
        </w:rPr>
        <w:t xml:space="preserve">    </w:t>
      </w:r>
    </w:p>
    <w:p w14:paraId="6486EFFC">
      <w:pPr>
        <w:pStyle w:val="5"/>
        <w:shd w:val="clear" w:color="auto" w:fill="auto"/>
        <w:ind w:firstLine="480"/>
        <w:rPr>
          <w:rFonts w:hint="eastAsia" w:ascii="宋体" w:hAnsi="宋体" w:cs="宋体"/>
          <w:sz w:val="24"/>
          <w:szCs w:val="24"/>
          <w:highlight w:val="none"/>
        </w:rPr>
      </w:pPr>
    </w:p>
    <w:p w14:paraId="4A0EF67C">
      <w:pPr>
        <w:pStyle w:val="5"/>
        <w:shd w:val="clear" w:color="auto" w:fill="auto"/>
        <w:ind w:firstLine="480"/>
        <w:rPr>
          <w:rFonts w:hint="eastAsia" w:ascii="宋体" w:hAnsi="宋体" w:cs="宋体"/>
          <w:sz w:val="24"/>
          <w:szCs w:val="24"/>
          <w:highlight w:val="none"/>
        </w:rPr>
      </w:pPr>
    </w:p>
    <w:p w14:paraId="11869DED">
      <w:pPr>
        <w:pStyle w:val="5"/>
        <w:shd w:val="clear" w:color="auto" w:fill="auto"/>
        <w:ind w:firstLine="480"/>
        <w:rPr>
          <w:rFonts w:hint="eastAsia" w:ascii="宋体" w:hAnsi="宋体" w:cs="宋体"/>
          <w:sz w:val="24"/>
          <w:szCs w:val="24"/>
          <w:highlight w:val="none"/>
        </w:rPr>
      </w:pPr>
    </w:p>
    <w:p w14:paraId="2913EF79">
      <w:pPr>
        <w:pStyle w:val="5"/>
        <w:shd w:val="clear" w:color="auto" w:fill="auto"/>
        <w:ind w:firstLine="480"/>
        <w:rPr>
          <w:rFonts w:hint="eastAsia" w:ascii="宋体" w:hAnsi="宋体" w:cs="宋体"/>
          <w:sz w:val="24"/>
          <w:szCs w:val="24"/>
          <w:highlight w:val="none"/>
        </w:rPr>
      </w:pPr>
    </w:p>
    <w:p w14:paraId="2E0E2322">
      <w:pPr>
        <w:pStyle w:val="5"/>
        <w:shd w:val="clear" w:color="auto" w:fill="auto"/>
        <w:ind w:firstLine="480"/>
        <w:rPr>
          <w:rFonts w:hint="eastAsia" w:ascii="宋体" w:hAnsi="宋体" w:cs="宋体"/>
          <w:sz w:val="24"/>
          <w:szCs w:val="24"/>
          <w:highlight w:val="none"/>
        </w:rPr>
      </w:pPr>
    </w:p>
    <w:p w14:paraId="6CD58252">
      <w:pPr>
        <w:pStyle w:val="5"/>
        <w:shd w:val="clear" w:color="auto" w:fill="auto"/>
        <w:ind w:firstLine="480"/>
        <w:rPr>
          <w:rFonts w:hint="eastAsia" w:ascii="宋体" w:hAnsi="宋体" w:cs="宋体"/>
          <w:sz w:val="24"/>
          <w:szCs w:val="24"/>
          <w:highlight w:val="none"/>
        </w:rPr>
      </w:pPr>
    </w:p>
    <w:bookmarkEnd w:id="117"/>
    <w:p w14:paraId="220B2DB9">
      <w:pPr>
        <w:pStyle w:val="3"/>
        <w:shd w:val="clear" w:color="auto" w:fill="auto"/>
        <w:spacing w:before="0" w:after="0" w:line="360" w:lineRule="auto"/>
        <w:ind w:firstLine="0" w:firstLineChars="0"/>
        <w:jc w:val="center"/>
        <w:rPr>
          <w:rFonts w:hint="eastAsia" w:ascii="宋体" w:hAnsi="宋体" w:eastAsia="宋体" w:cs="宋体"/>
          <w:szCs w:val="28"/>
          <w:highlight w:val="none"/>
        </w:rPr>
      </w:pPr>
      <w:bookmarkStart w:id="143" w:name="_Toc30101_WPSOffice_Level1"/>
      <w:r>
        <w:rPr>
          <w:rFonts w:hint="eastAsia" w:ascii="宋体" w:hAnsi="宋体" w:eastAsia="宋体" w:cs="宋体"/>
          <w:szCs w:val="28"/>
          <w:highlight w:val="none"/>
        </w:rPr>
        <w:br w:type="page"/>
      </w:r>
      <w:r>
        <w:rPr>
          <w:rFonts w:hint="eastAsia" w:ascii="宋体" w:hAnsi="宋体" w:eastAsia="宋体" w:cs="宋体"/>
          <w:szCs w:val="28"/>
          <w:highlight w:val="none"/>
        </w:rPr>
        <w:t>一、投标函</w:t>
      </w:r>
      <w:bookmarkEnd w:id="143"/>
    </w:p>
    <w:p w14:paraId="022404E9">
      <w:pPr>
        <w:pStyle w:val="9"/>
        <w:shd w:val="clear" w:color="auto" w:fill="auto"/>
        <w:spacing w:after="240" w:afterLines="100"/>
        <w:ind w:firstLine="0" w:firstLineChars="0"/>
        <w:rPr>
          <w:rFonts w:hint="eastAsia" w:ascii="宋体" w:hAnsi="宋体" w:eastAsia="宋体" w:cs="宋体"/>
          <w:b/>
          <w:bCs/>
          <w:sz w:val="24"/>
          <w:szCs w:val="24"/>
          <w:highlight w:val="none"/>
          <w:lang w:eastAsia="zh-CN"/>
        </w:rPr>
      </w:pPr>
      <w:r>
        <w:rPr>
          <w:rFonts w:hint="eastAsia" w:ascii="宋体" w:hAnsi="宋体" w:cs="宋体"/>
          <w:b/>
          <w:bCs/>
          <w:sz w:val="24"/>
          <w:szCs w:val="24"/>
          <w:highlight w:val="none"/>
        </w:rPr>
        <w:t>致：</w:t>
      </w:r>
      <w:r>
        <w:rPr>
          <w:rFonts w:hint="eastAsia" w:ascii="宋体" w:hAnsi="宋体" w:cs="宋体"/>
          <w:b/>
          <w:bCs/>
          <w:sz w:val="24"/>
          <w:szCs w:val="24"/>
          <w:highlight w:val="none"/>
          <w:lang w:eastAsia="zh-CN"/>
        </w:rPr>
        <w:t>陕西天沃工程项目管理有限公司</w:t>
      </w:r>
    </w:p>
    <w:p w14:paraId="0F5F87D9">
      <w:pPr>
        <w:pStyle w:val="9"/>
        <w:shd w:val="clear" w:color="auto" w:fill="auto"/>
        <w:spacing w:after="240" w:afterLines="100"/>
        <w:ind w:firstLine="480"/>
        <w:rPr>
          <w:rFonts w:hint="eastAsia" w:ascii="宋体" w:hAnsi="宋体" w:cs="宋体"/>
          <w:bCs/>
          <w:sz w:val="24"/>
          <w:szCs w:val="24"/>
          <w:highlight w:val="none"/>
          <w:u w:val="single"/>
        </w:rPr>
      </w:pPr>
      <w:r>
        <w:rPr>
          <w:rFonts w:hint="eastAsia" w:ascii="宋体" w:hAnsi="宋体" w:cs="宋体"/>
          <w:bCs/>
          <w:color w:val="000000"/>
          <w:sz w:val="24"/>
          <w:szCs w:val="24"/>
          <w:highlight w:val="none"/>
        </w:rPr>
        <w:t>我方全面研究了“</w:t>
      </w:r>
      <w:r>
        <w:rPr>
          <w:rFonts w:hint="eastAsia" w:ascii="宋体" w:hAnsi="宋体" w:cs="宋体"/>
          <w:bCs/>
          <w:color w:val="000000"/>
          <w:sz w:val="24"/>
          <w:szCs w:val="24"/>
          <w:highlight w:val="none"/>
          <w:u w:val="single"/>
          <w:lang w:eastAsia="zh-CN"/>
        </w:rPr>
        <w:t>扶风县农村义务教育学生营养改善计划学校食堂食材采购（    标段）</w:t>
      </w:r>
      <w:r>
        <w:rPr>
          <w:rFonts w:hint="eastAsia" w:ascii="宋体" w:hAnsi="宋体" w:cs="宋体"/>
          <w:bCs/>
          <w:color w:val="000000"/>
          <w:sz w:val="24"/>
          <w:szCs w:val="24"/>
          <w:highlight w:val="none"/>
        </w:rPr>
        <w:t>”招</w:t>
      </w:r>
      <w:r>
        <w:rPr>
          <w:rFonts w:hint="eastAsia" w:ascii="宋体" w:hAnsi="宋体" w:cs="宋体"/>
          <w:bCs/>
          <w:sz w:val="24"/>
          <w:szCs w:val="24"/>
          <w:highlight w:val="none"/>
        </w:rPr>
        <w:t>标文件（</w:t>
      </w:r>
      <w:r>
        <w:rPr>
          <w:rFonts w:hint="eastAsia" w:ascii="宋体" w:hAnsi="宋体" w:cs="宋体"/>
          <w:bCs/>
          <w:sz w:val="24"/>
          <w:szCs w:val="24"/>
          <w:highlight w:val="none"/>
          <w:lang w:eastAsia="zh-CN"/>
        </w:rPr>
        <w:t>TWZB2026-116</w:t>
      </w:r>
      <w:r>
        <w:rPr>
          <w:rFonts w:hint="eastAsia" w:ascii="宋体" w:hAnsi="宋体" w:cs="宋体"/>
          <w:bCs/>
          <w:sz w:val="24"/>
          <w:szCs w:val="24"/>
          <w:highlight w:val="none"/>
        </w:rPr>
        <w:t>）的全部内容，决定参加贵单位组织的本项目的投标。我方正式授权</w:t>
      </w:r>
      <w:r>
        <w:rPr>
          <w:rFonts w:hint="eastAsia" w:ascii="宋体" w:hAnsi="宋体" w:cs="宋体"/>
          <w:bCs/>
          <w:sz w:val="24"/>
          <w:szCs w:val="24"/>
          <w:highlight w:val="none"/>
          <w:u w:val="single"/>
        </w:rPr>
        <w:t>（姓名、职务）</w:t>
      </w:r>
      <w:r>
        <w:rPr>
          <w:rFonts w:hint="eastAsia" w:ascii="宋体" w:hAnsi="宋体" w:cs="宋体"/>
          <w:bCs/>
          <w:sz w:val="24"/>
          <w:szCs w:val="24"/>
          <w:highlight w:val="none"/>
        </w:rPr>
        <w:t xml:space="preserve">代表我方 </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（投标单位的名称）全权处理本项目投标的有关事宜。</w:t>
      </w:r>
    </w:p>
    <w:p w14:paraId="72F90A3D">
      <w:pPr>
        <w:pStyle w:val="9"/>
        <w:shd w:val="clear" w:color="auto" w:fill="auto"/>
        <w:ind w:firstLine="480"/>
        <w:rPr>
          <w:rFonts w:hint="eastAsia" w:ascii="宋体" w:hAnsi="宋体" w:cs="宋体"/>
          <w:bCs/>
          <w:sz w:val="24"/>
          <w:szCs w:val="24"/>
          <w:highlight w:val="none"/>
        </w:rPr>
      </w:pPr>
      <w:r>
        <w:rPr>
          <w:rFonts w:hint="eastAsia" w:ascii="宋体" w:hAnsi="宋体" w:cs="宋体"/>
          <w:bCs/>
          <w:sz w:val="24"/>
          <w:szCs w:val="24"/>
          <w:highlight w:val="none"/>
        </w:rPr>
        <w:t>在此，我方郑重声明以下诸点,并负法律责任。</w:t>
      </w:r>
    </w:p>
    <w:p w14:paraId="3BCF4285">
      <w:pPr>
        <w:pStyle w:val="9"/>
        <w:shd w:val="clear" w:color="auto" w:fill="auto"/>
        <w:ind w:firstLine="480"/>
        <w:rPr>
          <w:rFonts w:hint="eastAsia" w:ascii="宋体" w:hAnsi="宋体" w:cs="宋体"/>
          <w:bCs/>
          <w:sz w:val="24"/>
          <w:szCs w:val="24"/>
          <w:highlight w:val="none"/>
        </w:rPr>
      </w:pPr>
      <w:r>
        <w:rPr>
          <w:rFonts w:hint="eastAsia" w:ascii="宋体" w:hAnsi="宋体" w:cs="宋体"/>
          <w:bCs/>
          <w:sz w:val="24"/>
          <w:szCs w:val="24"/>
          <w:highlight w:val="none"/>
        </w:rPr>
        <w:t>1、我方自愿按照招标文件规定的各项要求向采购人提供所需货物（产品）及相应服务。</w:t>
      </w:r>
    </w:p>
    <w:p w14:paraId="786C1641">
      <w:pPr>
        <w:pStyle w:val="9"/>
        <w:shd w:val="clear" w:color="auto" w:fill="auto"/>
        <w:ind w:firstLine="480"/>
        <w:rPr>
          <w:rFonts w:hint="eastAsia" w:ascii="宋体" w:hAnsi="宋体" w:cs="宋体"/>
          <w:bCs/>
          <w:sz w:val="24"/>
          <w:szCs w:val="24"/>
          <w:highlight w:val="none"/>
        </w:rPr>
      </w:pPr>
      <w:r>
        <w:rPr>
          <w:rFonts w:hint="eastAsia" w:ascii="宋体" w:hAnsi="宋体" w:cs="宋体"/>
          <w:bCs/>
          <w:sz w:val="24"/>
          <w:szCs w:val="24"/>
          <w:highlight w:val="none"/>
        </w:rPr>
        <w:t>2、我方已悉知并及时关注了单位在陕西省政府采购网、全国公共资源交易平台（陕西省·宝鸡市）上发布的关于本项目的有关变更公告（包括但不限于对招标文件做出的修改或澄清、答疑纪要，以及项目暂停、重启、延期、终止等）。</w:t>
      </w:r>
    </w:p>
    <w:p w14:paraId="15EBE546">
      <w:pPr>
        <w:pStyle w:val="9"/>
        <w:shd w:val="clear" w:color="auto" w:fill="auto"/>
        <w:ind w:firstLine="480"/>
        <w:rPr>
          <w:rFonts w:hint="eastAsia" w:ascii="宋体" w:hAnsi="宋体" w:cs="宋体"/>
          <w:bCs/>
          <w:sz w:val="24"/>
          <w:szCs w:val="24"/>
          <w:highlight w:val="none"/>
        </w:rPr>
      </w:pPr>
      <w:r>
        <w:rPr>
          <w:rFonts w:hint="eastAsia" w:ascii="宋体" w:hAnsi="宋体" w:cs="宋体"/>
          <w:bCs/>
          <w:sz w:val="24"/>
          <w:szCs w:val="24"/>
          <w:highlight w:val="none"/>
        </w:rPr>
        <w:t>3、我方已仔细阅读了招标文件的全部内容，并同意和放弃对招标文件不明或误解而询问、质疑和投诉的权利。</w:t>
      </w:r>
    </w:p>
    <w:p w14:paraId="319E7B39">
      <w:pPr>
        <w:pStyle w:val="9"/>
        <w:shd w:val="clear" w:color="auto" w:fill="auto"/>
        <w:ind w:firstLine="480"/>
        <w:rPr>
          <w:rFonts w:hint="eastAsia" w:ascii="宋体" w:hAnsi="宋体" w:cs="宋体"/>
          <w:bCs/>
          <w:sz w:val="24"/>
          <w:szCs w:val="24"/>
          <w:highlight w:val="none"/>
        </w:rPr>
      </w:pPr>
      <w:r>
        <w:rPr>
          <w:rFonts w:hint="eastAsia" w:ascii="宋体" w:hAnsi="宋体" w:cs="宋体"/>
          <w:bCs/>
          <w:sz w:val="24"/>
          <w:szCs w:val="24"/>
          <w:highlight w:val="none"/>
        </w:rPr>
        <w:t>4、投标有效期自开标之日起不得少于90天</w:t>
      </w:r>
    </w:p>
    <w:p w14:paraId="39819889">
      <w:pPr>
        <w:pStyle w:val="9"/>
        <w:shd w:val="clear" w:color="auto" w:fill="auto"/>
        <w:ind w:firstLine="480"/>
        <w:rPr>
          <w:rFonts w:hint="eastAsia" w:ascii="宋体" w:hAnsi="宋体" w:cs="宋体"/>
          <w:bCs/>
          <w:sz w:val="24"/>
          <w:szCs w:val="24"/>
          <w:highlight w:val="none"/>
        </w:rPr>
      </w:pPr>
      <w:r>
        <w:rPr>
          <w:rFonts w:hint="eastAsia" w:ascii="宋体" w:hAnsi="宋体" w:cs="宋体"/>
          <w:bCs/>
          <w:sz w:val="24"/>
          <w:szCs w:val="24"/>
          <w:highlight w:val="none"/>
        </w:rPr>
        <w:t>5、如我方中标：</w:t>
      </w:r>
    </w:p>
    <w:p w14:paraId="4EE558F7">
      <w:pPr>
        <w:pStyle w:val="9"/>
        <w:shd w:val="clear" w:color="auto" w:fill="auto"/>
        <w:ind w:firstLine="360" w:firstLineChars="150"/>
        <w:rPr>
          <w:rFonts w:hint="eastAsia" w:ascii="宋体" w:hAnsi="宋体" w:cs="宋体"/>
          <w:bCs/>
          <w:sz w:val="24"/>
          <w:szCs w:val="24"/>
          <w:highlight w:val="none"/>
        </w:rPr>
      </w:pPr>
      <w:r>
        <w:rPr>
          <w:rFonts w:hint="eastAsia" w:ascii="宋体" w:hAnsi="宋体" w:cs="宋体"/>
          <w:bCs/>
          <w:sz w:val="24"/>
          <w:szCs w:val="24"/>
          <w:highlight w:val="none"/>
        </w:rPr>
        <w:t>（1）我方在收到招标通知书后，在中标通知书规定的期限内与采购人签订合同。</w:t>
      </w:r>
    </w:p>
    <w:p w14:paraId="04762F4E">
      <w:pPr>
        <w:pStyle w:val="9"/>
        <w:shd w:val="clear" w:color="auto" w:fill="auto"/>
        <w:ind w:firstLine="360" w:firstLineChars="150"/>
        <w:rPr>
          <w:rFonts w:hint="eastAsia" w:ascii="宋体" w:hAnsi="宋体" w:cs="宋体"/>
          <w:bCs/>
          <w:sz w:val="24"/>
          <w:szCs w:val="24"/>
          <w:highlight w:val="none"/>
        </w:rPr>
      </w:pPr>
      <w:r>
        <w:rPr>
          <w:rFonts w:hint="eastAsia" w:ascii="宋体" w:hAnsi="宋体" w:cs="宋体"/>
          <w:bCs/>
          <w:sz w:val="24"/>
          <w:szCs w:val="24"/>
          <w:highlight w:val="none"/>
        </w:rPr>
        <w:t>（2）我方将严格履行合同规定的责任和义务。</w:t>
      </w:r>
    </w:p>
    <w:p w14:paraId="254CEED2">
      <w:pPr>
        <w:pStyle w:val="9"/>
        <w:shd w:val="clear" w:color="auto" w:fill="auto"/>
        <w:ind w:firstLine="360" w:firstLineChars="150"/>
        <w:rPr>
          <w:rFonts w:hint="eastAsia" w:ascii="宋体" w:hAnsi="宋体" w:cs="宋体"/>
          <w:bCs/>
          <w:sz w:val="24"/>
          <w:szCs w:val="24"/>
          <w:highlight w:val="none"/>
        </w:rPr>
      </w:pPr>
      <w:r>
        <w:rPr>
          <w:rFonts w:hint="eastAsia" w:ascii="宋体" w:hAnsi="宋体" w:cs="宋体"/>
          <w:bCs/>
          <w:sz w:val="24"/>
          <w:szCs w:val="24"/>
          <w:highlight w:val="none"/>
        </w:rPr>
        <w:t>（3）投标有效期自动延长至合同履行完毕。</w:t>
      </w:r>
    </w:p>
    <w:p w14:paraId="4CE24E73">
      <w:pPr>
        <w:pStyle w:val="9"/>
        <w:shd w:val="clear" w:color="auto" w:fill="auto"/>
        <w:ind w:firstLine="360" w:firstLineChars="150"/>
        <w:rPr>
          <w:rFonts w:hint="eastAsia" w:ascii="宋体" w:hAnsi="宋体" w:cs="宋体"/>
          <w:bCs/>
          <w:sz w:val="24"/>
          <w:szCs w:val="24"/>
          <w:highlight w:val="none"/>
        </w:rPr>
      </w:pPr>
      <w:r>
        <w:rPr>
          <w:rFonts w:hint="eastAsia" w:ascii="宋体" w:hAnsi="宋体" w:cs="宋体"/>
          <w:bCs/>
          <w:sz w:val="24"/>
          <w:szCs w:val="24"/>
          <w:highlight w:val="none"/>
        </w:rPr>
        <w:t>（4）我方保证按规定和标准向贵方交纳采购代理服务费。</w:t>
      </w:r>
    </w:p>
    <w:p w14:paraId="5D7A7386">
      <w:pPr>
        <w:pStyle w:val="9"/>
        <w:shd w:val="clear" w:color="auto" w:fill="auto"/>
        <w:ind w:firstLine="480"/>
        <w:rPr>
          <w:rFonts w:hint="eastAsia" w:ascii="宋体" w:hAnsi="宋体" w:cs="宋体"/>
          <w:bCs/>
          <w:sz w:val="24"/>
          <w:szCs w:val="24"/>
          <w:highlight w:val="none"/>
        </w:rPr>
      </w:pPr>
      <w:r>
        <w:rPr>
          <w:rFonts w:hint="eastAsia" w:ascii="宋体" w:hAnsi="宋体" w:cs="宋体"/>
          <w:bCs/>
          <w:sz w:val="24"/>
          <w:szCs w:val="24"/>
          <w:highlight w:val="none"/>
        </w:rPr>
        <w:t>6、我方完全理解并同意招标文件中有关不退还投标保证金条款所规定的情形。</w:t>
      </w:r>
    </w:p>
    <w:p w14:paraId="6BD64262">
      <w:pPr>
        <w:pStyle w:val="9"/>
        <w:shd w:val="clear" w:color="auto" w:fill="auto"/>
        <w:ind w:firstLine="480"/>
        <w:rPr>
          <w:rFonts w:hint="eastAsia" w:ascii="宋体" w:hAnsi="宋体" w:cs="宋体"/>
          <w:bCs/>
          <w:color w:val="000000"/>
          <w:sz w:val="24"/>
          <w:szCs w:val="24"/>
          <w:highlight w:val="none"/>
        </w:rPr>
      </w:pPr>
      <w:r>
        <w:rPr>
          <w:rFonts w:hint="eastAsia" w:ascii="宋体" w:hAnsi="宋体" w:cs="宋体"/>
          <w:bCs/>
          <w:sz w:val="24"/>
          <w:szCs w:val="24"/>
          <w:highlight w:val="none"/>
        </w:rPr>
        <w:t>7、我方愿意提供采购人可能另外要求的，与投标有关的任何文件资料，并保证我方已提供和将要提供的文件资料是真实、准确的。</w:t>
      </w:r>
    </w:p>
    <w:p w14:paraId="3CA9FBD6">
      <w:pPr>
        <w:pStyle w:val="9"/>
        <w:shd w:val="clear" w:color="auto" w:fill="auto"/>
        <w:ind w:firstLine="480"/>
        <w:rPr>
          <w:rFonts w:hint="eastAsia" w:ascii="宋体" w:hAnsi="宋体" w:cs="宋体"/>
          <w:bCs/>
          <w:sz w:val="24"/>
          <w:szCs w:val="24"/>
          <w:highlight w:val="none"/>
        </w:rPr>
      </w:pPr>
      <w:r>
        <w:rPr>
          <w:rFonts w:hint="eastAsia" w:ascii="宋体" w:hAnsi="宋体" w:cs="宋体"/>
          <w:bCs/>
          <w:sz w:val="24"/>
          <w:szCs w:val="24"/>
          <w:highlight w:val="none"/>
          <w:lang w:val="en-US" w:eastAsia="zh-CN"/>
        </w:rPr>
        <w:t>8</w:t>
      </w:r>
      <w:r>
        <w:rPr>
          <w:rFonts w:hint="eastAsia" w:ascii="宋体" w:hAnsi="宋体" w:cs="宋体"/>
          <w:bCs/>
          <w:sz w:val="24"/>
          <w:szCs w:val="24"/>
          <w:highlight w:val="none"/>
        </w:rPr>
        <w:t>、我方完全理解最低报价不是中标的唯一条件，且尊重评标委员会的评标结论和定标结果。</w:t>
      </w:r>
    </w:p>
    <w:p w14:paraId="746BB1B2">
      <w:pPr>
        <w:pStyle w:val="9"/>
        <w:shd w:val="clear" w:color="auto" w:fill="auto"/>
        <w:ind w:firstLine="480"/>
        <w:rPr>
          <w:rFonts w:hint="eastAsia" w:ascii="宋体" w:hAnsi="宋体" w:cs="宋体"/>
          <w:bCs/>
          <w:sz w:val="24"/>
          <w:szCs w:val="24"/>
          <w:highlight w:val="none"/>
        </w:rPr>
      </w:pPr>
      <w:r>
        <w:rPr>
          <w:rFonts w:hint="eastAsia" w:ascii="宋体" w:hAnsi="宋体" w:cs="宋体"/>
          <w:bCs/>
          <w:sz w:val="24"/>
          <w:szCs w:val="24"/>
          <w:highlight w:val="none"/>
          <w:lang w:val="en-US" w:eastAsia="zh-CN"/>
        </w:rPr>
        <w:t>9</w:t>
      </w:r>
      <w:r>
        <w:rPr>
          <w:rFonts w:hint="eastAsia" w:ascii="宋体" w:hAnsi="宋体" w:cs="宋体"/>
          <w:bCs/>
          <w:sz w:val="24"/>
          <w:szCs w:val="24"/>
          <w:highlight w:val="none"/>
        </w:rPr>
        <w:t>、有关本项目的所有函电，请按下列地址联系：</w:t>
      </w:r>
    </w:p>
    <w:p w14:paraId="26E090FB">
      <w:pPr>
        <w:pStyle w:val="9"/>
        <w:shd w:val="clear" w:color="auto" w:fill="auto"/>
        <w:ind w:firstLine="480"/>
        <w:rPr>
          <w:rFonts w:hint="eastAsia" w:ascii="宋体" w:hAnsi="宋体" w:cs="宋体"/>
          <w:bCs/>
          <w:sz w:val="24"/>
          <w:szCs w:val="24"/>
          <w:highlight w:val="none"/>
        </w:rPr>
      </w:pPr>
      <w:r>
        <w:rPr>
          <w:rFonts w:hint="eastAsia" w:ascii="宋体" w:hAnsi="宋体" w:cs="宋体"/>
          <w:bCs/>
          <w:sz w:val="24"/>
          <w:szCs w:val="24"/>
          <w:highlight w:val="none"/>
        </w:rPr>
        <w:t>投标供应商名称：（盖章）</w:t>
      </w:r>
    </w:p>
    <w:p w14:paraId="5DC1EBB7">
      <w:pPr>
        <w:pStyle w:val="9"/>
        <w:shd w:val="clear" w:color="auto" w:fill="auto"/>
        <w:ind w:firstLine="480"/>
        <w:rPr>
          <w:rFonts w:hint="eastAsia" w:ascii="宋体" w:hAnsi="宋体" w:cs="宋体"/>
          <w:bCs/>
          <w:sz w:val="24"/>
          <w:szCs w:val="24"/>
          <w:highlight w:val="none"/>
        </w:rPr>
      </w:pPr>
      <w:r>
        <w:rPr>
          <w:rFonts w:hint="eastAsia" w:ascii="宋体" w:hAnsi="宋体" w:cs="宋体"/>
          <w:bCs/>
          <w:sz w:val="24"/>
          <w:szCs w:val="24"/>
          <w:highlight w:val="none"/>
        </w:rPr>
        <w:t>法定代表人或</w:t>
      </w:r>
      <w:r>
        <w:rPr>
          <w:rFonts w:hint="eastAsia" w:ascii="宋体" w:hAnsi="宋体" w:cs="宋体"/>
          <w:sz w:val="24"/>
          <w:szCs w:val="24"/>
          <w:highlight w:val="none"/>
        </w:rPr>
        <w:t>被</w:t>
      </w:r>
      <w:r>
        <w:rPr>
          <w:rFonts w:hint="eastAsia" w:ascii="宋体" w:hAnsi="宋体" w:cs="宋体"/>
          <w:bCs/>
          <w:sz w:val="24"/>
          <w:szCs w:val="24"/>
          <w:highlight w:val="none"/>
        </w:rPr>
        <w:t>授权代表（签名或盖章）：</w:t>
      </w:r>
    </w:p>
    <w:p w14:paraId="094CDC1D">
      <w:pPr>
        <w:pStyle w:val="9"/>
        <w:shd w:val="clear" w:color="auto" w:fill="auto"/>
        <w:ind w:firstLine="480"/>
        <w:rPr>
          <w:rFonts w:hint="eastAsia" w:ascii="宋体" w:hAnsi="宋体" w:cs="宋体"/>
          <w:bCs/>
          <w:sz w:val="24"/>
          <w:szCs w:val="24"/>
          <w:highlight w:val="none"/>
        </w:rPr>
      </w:pPr>
      <w:r>
        <w:rPr>
          <w:rFonts w:hint="eastAsia" w:ascii="宋体" w:hAnsi="宋体" w:cs="宋体"/>
          <w:bCs/>
          <w:sz w:val="24"/>
          <w:szCs w:val="24"/>
          <w:highlight w:val="none"/>
        </w:rPr>
        <w:t>通讯地址：</w:t>
      </w:r>
    </w:p>
    <w:p w14:paraId="1BA012AF">
      <w:pPr>
        <w:pStyle w:val="9"/>
        <w:shd w:val="clear" w:color="auto" w:fill="auto"/>
        <w:ind w:firstLine="480"/>
        <w:rPr>
          <w:rFonts w:hint="eastAsia" w:ascii="宋体" w:hAnsi="宋体" w:cs="宋体"/>
          <w:bCs/>
          <w:sz w:val="24"/>
          <w:szCs w:val="24"/>
          <w:highlight w:val="none"/>
        </w:rPr>
      </w:pPr>
      <w:r>
        <w:rPr>
          <w:rFonts w:hint="eastAsia" w:ascii="宋体" w:hAnsi="宋体" w:cs="宋体"/>
          <w:bCs/>
          <w:sz w:val="24"/>
          <w:szCs w:val="24"/>
          <w:highlight w:val="none"/>
        </w:rPr>
        <w:t>邮政编码：</w:t>
      </w:r>
    </w:p>
    <w:p w14:paraId="052E2D9D">
      <w:pPr>
        <w:pStyle w:val="9"/>
        <w:shd w:val="clear" w:color="auto" w:fill="auto"/>
        <w:ind w:firstLine="480"/>
        <w:rPr>
          <w:rFonts w:hint="eastAsia" w:ascii="宋体" w:hAnsi="宋体" w:cs="宋体"/>
          <w:bCs/>
          <w:sz w:val="24"/>
          <w:szCs w:val="24"/>
          <w:highlight w:val="none"/>
        </w:rPr>
      </w:pPr>
      <w:r>
        <w:rPr>
          <w:rFonts w:hint="eastAsia" w:ascii="宋体" w:hAnsi="宋体" w:cs="宋体"/>
          <w:bCs/>
          <w:sz w:val="24"/>
          <w:szCs w:val="24"/>
          <w:highlight w:val="none"/>
        </w:rPr>
        <w:t>联系电话：</w:t>
      </w:r>
    </w:p>
    <w:p w14:paraId="01BBEFBA">
      <w:pPr>
        <w:pStyle w:val="9"/>
        <w:shd w:val="clear" w:color="auto" w:fill="auto"/>
        <w:ind w:firstLine="480"/>
        <w:rPr>
          <w:rFonts w:hint="eastAsia" w:ascii="宋体" w:hAnsi="宋体" w:cs="宋体"/>
          <w:bCs/>
          <w:sz w:val="24"/>
          <w:szCs w:val="24"/>
          <w:highlight w:val="none"/>
        </w:rPr>
      </w:pPr>
      <w:r>
        <w:rPr>
          <w:rFonts w:hint="eastAsia" w:ascii="宋体" w:hAnsi="宋体" w:cs="宋体"/>
          <w:bCs/>
          <w:sz w:val="24"/>
          <w:szCs w:val="24"/>
          <w:highlight w:val="none"/>
        </w:rPr>
        <w:t>传    真：</w:t>
      </w:r>
    </w:p>
    <w:p w14:paraId="1AED7810">
      <w:pPr>
        <w:pStyle w:val="9"/>
        <w:shd w:val="clear" w:color="auto" w:fill="auto"/>
        <w:ind w:firstLine="480"/>
        <w:rPr>
          <w:rFonts w:hint="eastAsia" w:ascii="宋体" w:hAnsi="宋体" w:cs="宋体"/>
          <w:bCs/>
          <w:sz w:val="24"/>
          <w:szCs w:val="24"/>
          <w:highlight w:val="none"/>
        </w:rPr>
      </w:pPr>
      <w:r>
        <w:rPr>
          <w:rFonts w:hint="eastAsia" w:ascii="宋体" w:hAnsi="宋体" w:cs="宋体"/>
          <w:bCs/>
          <w:sz w:val="24"/>
          <w:szCs w:val="24"/>
          <w:highlight w:val="none"/>
        </w:rPr>
        <w:t>电子邮件：</w:t>
      </w:r>
    </w:p>
    <w:p w14:paraId="163E19A7">
      <w:pPr>
        <w:pStyle w:val="9"/>
        <w:shd w:val="clear" w:color="auto" w:fill="auto"/>
        <w:ind w:firstLine="480"/>
        <w:rPr>
          <w:rFonts w:hint="eastAsia" w:ascii="宋体" w:hAnsi="宋体" w:cs="宋体"/>
          <w:bCs/>
          <w:sz w:val="24"/>
          <w:szCs w:val="24"/>
          <w:highlight w:val="none"/>
        </w:rPr>
      </w:pPr>
      <w:r>
        <w:rPr>
          <w:rFonts w:hint="eastAsia" w:ascii="宋体" w:hAnsi="宋体" w:cs="宋体"/>
          <w:bCs/>
          <w:sz w:val="24"/>
          <w:szCs w:val="24"/>
          <w:highlight w:val="none"/>
        </w:rPr>
        <w:t>开户银行:</w:t>
      </w:r>
    </w:p>
    <w:p w14:paraId="255D85A7">
      <w:pPr>
        <w:pStyle w:val="9"/>
        <w:shd w:val="clear" w:color="auto" w:fill="auto"/>
        <w:ind w:firstLine="480"/>
        <w:rPr>
          <w:rFonts w:hint="eastAsia" w:ascii="宋体" w:hAnsi="宋体" w:cs="宋体"/>
          <w:bCs/>
          <w:sz w:val="24"/>
          <w:szCs w:val="24"/>
          <w:highlight w:val="none"/>
        </w:rPr>
      </w:pPr>
      <w:r>
        <w:rPr>
          <w:rFonts w:hint="eastAsia" w:ascii="宋体" w:hAnsi="宋体" w:cs="宋体"/>
          <w:bCs/>
          <w:sz w:val="24"/>
          <w:szCs w:val="24"/>
          <w:highlight w:val="none"/>
          <w:lang w:eastAsia="zh-CN"/>
        </w:rPr>
        <w:t>账</w:t>
      </w:r>
      <w:r>
        <w:rPr>
          <w:rFonts w:hint="eastAsia" w:ascii="宋体" w:hAnsi="宋体" w:cs="宋体"/>
          <w:bCs/>
          <w:sz w:val="24"/>
          <w:szCs w:val="24"/>
          <w:highlight w:val="none"/>
        </w:rPr>
        <w:t xml:space="preserve">    号：</w:t>
      </w:r>
    </w:p>
    <w:p w14:paraId="68ABE8C1">
      <w:pPr>
        <w:pStyle w:val="9"/>
        <w:shd w:val="clear" w:color="auto" w:fill="auto"/>
        <w:ind w:firstLine="480"/>
        <w:rPr>
          <w:rFonts w:hint="eastAsia" w:ascii="宋体" w:hAnsi="宋体" w:cs="宋体"/>
          <w:bCs/>
          <w:sz w:val="24"/>
          <w:szCs w:val="24"/>
          <w:highlight w:val="none"/>
        </w:rPr>
      </w:pPr>
      <w:r>
        <w:rPr>
          <w:rFonts w:hint="eastAsia" w:ascii="宋体" w:hAnsi="宋体" w:cs="宋体"/>
          <w:bCs/>
          <w:sz w:val="24"/>
          <w:szCs w:val="24"/>
          <w:highlight w:val="none"/>
        </w:rPr>
        <w:t>日    期：</w:t>
      </w:r>
    </w:p>
    <w:p w14:paraId="0CBE27F0">
      <w:pPr>
        <w:shd w:val="clear" w:color="auto" w:fill="auto"/>
        <w:ind w:firstLine="562"/>
        <w:outlineLvl w:val="9"/>
        <w:rPr>
          <w:rFonts w:hint="eastAsia" w:ascii="宋体" w:hAnsi="宋体" w:cs="宋体"/>
          <w:b/>
          <w:color w:val="000000"/>
          <w:sz w:val="28"/>
          <w:szCs w:val="28"/>
          <w:highlight w:val="none"/>
        </w:rPr>
      </w:pPr>
    </w:p>
    <w:p w14:paraId="291EF165">
      <w:pPr>
        <w:shd w:val="clear" w:color="auto" w:fill="auto"/>
        <w:ind w:firstLine="562"/>
        <w:outlineLvl w:val="9"/>
        <w:rPr>
          <w:rFonts w:hint="eastAsia" w:ascii="宋体" w:hAnsi="宋体" w:cs="宋体"/>
          <w:b/>
          <w:color w:val="000000"/>
          <w:sz w:val="28"/>
          <w:szCs w:val="28"/>
          <w:highlight w:val="none"/>
        </w:rPr>
      </w:pPr>
    </w:p>
    <w:p w14:paraId="552CD7C1">
      <w:pPr>
        <w:shd w:val="clear" w:color="auto" w:fill="auto"/>
        <w:ind w:firstLine="562"/>
        <w:outlineLvl w:val="9"/>
        <w:rPr>
          <w:rFonts w:hint="eastAsia" w:ascii="宋体" w:hAnsi="宋体" w:cs="宋体"/>
          <w:b/>
          <w:color w:val="000000"/>
          <w:sz w:val="28"/>
          <w:szCs w:val="28"/>
          <w:highlight w:val="none"/>
        </w:rPr>
      </w:pPr>
    </w:p>
    <w:p w14:paraId="0E0D8688">
      <w:pPr>
        <w:shd w:val="clear" w:color="auto" w:fill="auto"/>
        <w:ind w:firstLine="562"/>
        <w:outlineLvl w:val="9"/>
        <w:rPr>
          <w:rFonts w:hint="eastAsia" w:ascii="宋体" w:hAnsi="宋体" w:cs="宋体"/>
          <w:b/>
          <w:color w:val="000000"/>
          <w:sz w:val="28"/>
          <w:szCs w:val="28"/>
          <w:highlight w:val="none"/>
        </w:rPr>
      </w:pPr>
    </w:p>
    <w:p w14:paraId="58609564">
      <w:pPr>
        <w:shd w:val="clear" w:color="auto" w:fill="auto"/>
        <w:ind w:firstLine="562"/>
        <w:outlineLvl w:val="9"/>
        <w:rPr>
          <w:rFonts w:hint="eastAsia" w:ascii="宋体" w:hAnsi="宋体" w:cs="宋体"/>
          <w:b/>
          <w:color w:val="000000"/>
          <w:sz w:val="28"/>
          <w:szCs w:val="28"/>
          <w:highlight w:val="none"/>
        </w:rPr>
      </w:pPr>
    </w:p>
    <w:p w14:paraId="5F24F23D">
      <w:pPr>
        <w:shd w:val="clear" w:color="auto" w:fill="auto"/>
        <w:ind w:firstLine="562"/>
        <w:outlineLvl w:val="9"/>
        <w:rPr>
          <w:rFonts w:hint="eastAsia" w:ascii="宋体" w:hAnsi="宋体" w:cs="宋体"/>
          <w:b/>
          <w:color w:val="000000"/>
          <w:sz w:val="28"/>
          <w:szCs w:val="28"/>
          <w:highlight w:val="none"/>
        </w:rPr>
      </w:pPr>
    </w:p>
    <w:p w14:paraId="0BC306B4">
      <w:pPr>
        <w:shd w:val="clear" w:color="auto" w:fill="auto"/>
        <w:ind w:firstLine="562"/>
        <w:outlineLvl w:val="9"/>
        <w:rPr>
          <w:rFonts w:hint="eastAsia" w:ascii="宋体" w:hAnsi="宋体" w:cs="宋体"/>
          <w:b/>
          <w:color w:val="000000"/>
          <w:sz w:val="28"/>
          <w:szCs w:val="28"/>
          <w:highlight w:val="none"/>
        </w:rPr>
      </w:pPr>
    </w:p>
    <w:p w14:paraId="18B3B011">
      <w:pPr>
        <w:shd w:val="clear" w:color="auto" w:fill="auto"/>
        <w:ind w:firstLine="562"/>
        <w:outlineLvl w:val="9"/>
        <w:rPr>
          <w:rFonts w:hint="eastAsia" w:ascii="宋体" w:hAnsi="宋体" w:cs="宋体"/>
          <w:b/>
          <w:color w:val="000000"/>
          <w:sz w:val="28"/>
          <w:szCs w:val="28"/>
          <w:highlight w:val="none"/>
        </w:rPr>
      </w:pPr>
    </w:p>
    <w:p w14:paraId="316CAC25">
      <w:pPr>
        <w:shd w:val="clear" w:color="auto" w:fill="auto"/>
        <w:ind w:firstLine="562"/>
        <w:outlineLvl w:val="9"/>
        <w:rPr>
          <w:rFonts w:hint="eastAsia" w:ascii="宋体" w:hAnsi="宋体" w:cs="宋体"/>
          <w:b/>
          <w:color w:val="000000"/>
          <w:sz w:val="28"/>
          <w:szCs w:val="28"/>
          <w:highlight w:val="none"/>
        </w:rPr>
      </w:pPr>
    </w:p>
    <w:p w14:paraId="4F3BDDBE">
      <w:pPr>
        <w:pStyle w:val="3"/>
        <w:shd w:val="clear" w:color="auto" w:fill="auto"/>
        <w:spacing w:line="360" w:lineRule="auto"/>
        <w:ind w:firstLine="0" w:firstLineChars="0"/>
        <w:jc w:val="center"/>
        <w:outlineLvl w:val="9"/>
        <w:rPr>
          <w:rFonts w:hint="eastAsia" w:ascii="宋体" w:hAnsi="宋体" w:eastAsia="宋体" w:cs="宋体"/>
          <w:bCs/>
          <w:color w:val="000000"/>
          <w:szCs w:val="28"/>
          <w:highlight w:val="none"/>
        </w:rPr>
      </w:pPr>
      <w:bookmarkStart w:id="144" w:name="_Toc18388_WPSOffice_Level1"/>
    </w:p>
    <w:p w14:paraId="1AAE74A5">
      <w:pPr>
        <w:pStyle w:val="3"/>
        <w:shd w:val="clear" w:color="auto" w:fill="auto"/>
        <w:spacing w:line="360" w:lineRule="auto"/>
        <w:ind w:firstLine="0" w:firstLineChars="0"/>
        <w:jc w:val="center"/>
        <w:rPr>
          <w:rFonts w:hint="eastAsia" w:ascii="宋体" w:hAnsi="宋体" w:eastAsia="宋体" w:cs="宋体"/>
          <w:bCs/>
          <w:color w:val="000000"/>
          <w:szCs w:val="28"/>
          <w:highlight w:val="none"/>
        </w:rPr>
      </w:pPr>
      <w:r>
        <w:rPr>
          <w:rFonts w:hint="eastAsia" w:ascii="宋体" w:hAnsi="宋体" w:eastAsia="宋体" w:cs="宋体"/>
          <w:bCs/>
          <w:color w:val="000000"/>
          <w:szCs w:val="28"/>
          <w:highlight w:val="none"/>
        </w:rPr>
        <w:br w:type="page"/>
      </w:r>
      <w:r>
        <w:rPr>
          <w:rFonts w:hint="eastAsia" w:ascii="宋体" w:hAnsi="宋体" w:eastAsia="宋体" w:cs="宋体"/>
          <w:bCs/>
          <w:color w:val="000000"/>
          <w:szCs w:val="28"/>
          <w:highlight w:val="none"/>
        </w:rPr>
        <w:t>二、开标一览表</w:t>
      </w:r>
      <w:bookmarkEnd w:id="144"/>
    </w:p>
    <w:p w14:paraId="3E5E6F86">
      <w:pPr>
        <w:shd w:val="clear" w:color="auto" w:fill="auto"/>
        <w:ind w:firstLine="0" w:firstLineChars="0"/>
        <w:rPr>
          <w:rFonts w:hint="eastAsia" w:ascii="宋体" w:hAnsi="宋体" w:cs="宋体"/>
          <w:sz w:val="24"/>
          <w:highlight w:val="none"/>
        </w:rPr>
      </w:pPr>
      <w:r>
        <w:rPr>
          <w:rFonts w:hint="eastAsia" w:ascii="宋体" w:hAnsi="宋体" w:cs="宋体"/>
          <w:color w:val="000000"/>
          <w:sz w:val="24"/>
          <w:highlight w:val="none"/>
        </w:rPr>
        <w:t>项目编号：</w:t>
      </w:r>
      <w:r>
        <w:rPr>
          <w:rFonts w:hint="eastAsia" w:ascii="宋体" w:hAnsi="宋体" w:cs="宋体"/>
          <w:color w:val="000000"/>
          <w:sz w:val="24"/>
          <w:highlight w:val="none"/>
          <w:lang w:eastAsia="zh-CN"/>
        </w:rPr>
        <w:t>TWZB2026-116</w:t>
      </w:r>
      <w:r>
        <w:rPr>
          <w:rFonts w:hint="eastAsia" w:ascii="宋体" w:hAnsi="宋体" w:cs="宋体"/>
          <w:color w:val="000000"/>
          <w:sz w:val="24"/>
          <w:highlight w:val="none"/>
        </w:rPr>
        <w:t xml:space="preserve">                         </w:t>
      </w:r>
    </w:p>
    <w:tbl>
      <w:tblPr>
        <w:tblStyle w:val="14"/>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3773"/>
        <w:gridCol w:w="6190"/>
      </w:tblGrid>
      <w:tr w14:paraId="614BA0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59" w:hRule="atLeast"/>
          <w:jc w:val="center"/>
        </w:trPr>
        <w:tc>
          <w:tcPr>
            <w:tcW w:w="9957" w:type="dxa"/>
            <w:gridSpan w:val="2"/>
            <w:tcBorders>
              <w:left w:val="single" w:color="auto" w:sz="4" w:space="0"/>
            </w:tcBorders>
            <w:noWrap w:val="0"/>
            <w:vAlign w:val="center"/>
          </w:tcPr>
          <w:p w14:paraId="3E4A0FB5">
            <w:pPr>
              <w:shd w:val="clear" w:color="auto" w:fill="auto"/>
              <w:ind w:firstLine="0" w:firstLineChars="0"/>
              <w:rPr>
                <w:rFonts w:hint="eastAsia" w:ascii="宋体" w:hAnsi="宋体" w:cs="宋体"/>
                <w:sz w:val="24"/>
                <w:highlight w:val="none"/>
              </w:rPr>
            </w:pPr>
            <w:r>
              <w:rPr>
                <w:rFonts w:hint="eastAsia" w:ascii="宋体" w:hAnsi="宋体" w:cs="宋体"/>
                <w:sz w:val="24"/>
                <w:highlight w:val="none"/>
              </w:rPr>
              <w:t>投标供应商名称：</w:t>
            </w:r>
          </w:p>
        </w:tc>
      </w:tr>
      <w:tr w14:paraId="46F6D3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011" w:hRule="atLeast"/>
          <w:jc w:val="center"/>
        </w:trPr>
        <w:tc>
          <w:tcPr>
            <w:tcW w:w="3771" w:type="dxa"/>
            <w:noWrap w:val="0"/>
            <w:vAlign w:val="center"/>
          </w:tcPr>
          <w:p w14:paraId="0DF5D528">
            <w:pPr>
              <w:keepNext w:val="0"/>
              <w:keepLines w:val="0"/>
              <w:pageBreakBefore w:val="0"/>
              <w:widowControl w:val="0"/>
              <w:shd w:val="clear" w:color="auto" w:fill="auto"/>
              <w:kinsoku/>
              <w:wordWrap/>
              <w:overflowPunct/>
              <w:topLinePunct w:val="0"/>
              <w:autoSpaceDE w:val="0"/>
              <w:autoSpaceDN w:val="0"/>
              <w:bidi w:val="0"/>
              <w:adjustRightInd w:val="0"/>
              <w:snapToGrid w:val="0"/>
              <w:ind w:firstLine="0" w:firstLineChars="0"/>
              <w:jc w:val="center"/>
              <w:textAlignment w:val="auto"/>
              <w:rPr>
                <w:rFonts w:hint="eastAsia" w:ascii="宋体" w:hAnsi="宋体" w:cs="宋体"/>
                <w:sz w:val="24"/>
                <w:highlight w:val="none"/>
                <w:lang w:val="zh-CN"/>
              </w:rPr>
            </w:pPr>
            <w:r>
              <w:rPr>
                <w:rFonts w:hint="eastAsia" w:ascii="宋体" w:hAnsi="宋体" w:cs="宋体"/>
                <w:sz w:val="24"/>
                <w:highlight w:val="none"/>
                <w:lang w:val="zh-CN"/>
              </w:rPr>
              <w:t>投标报价</w:t>
            </w:r>
          </w:p>
          <w:p w14:paraId="5F0D37DC">
            <w:pPr>
              <w:keepNext w:val="0"/>
              <w:keepLines w:val="0"/>
              <w:pageBreakBefore w:val="0"/>
              <w:widowControl w:val="0"/>
              <w:shd w:val="clear" w:color="auto" w:fill="auto"/>
              <w:kinsoku/>
              <w:wordWrap/>
              <w:overflowPunct/>
              <w:topLinePunct w:val="0"/>
              <w:autoSpaceDE w:val="0"/>
              <w:autoSpaceDN w:val="0"/>
              <w:bidi w:val="0"/>
              <w:adjustRightInd w:val="0"/>
              <w:snapToGrid w:val="0"/>
              <w:ind w:firstLine="0" w:firstLineChars="0"/>
              <w:jc w:val="center"/>
              <w:textAlignment w:val="auto"/>
              <w:rPr>
                <w:rFonts w:hint="eastAsia" w:ascii="宋体" w:hAnsi="宋体" w:cs="宋体"/>
                <w:sz w:val="24"/>
                <w:highlight w:val="none"/>
                <w:lang w:val="zh-CN"/>
              </w:rPr>
            </w:pPr>
            <w:r>
              <w:rPr>
                <w:rFonts w:hint="eastAsia" w:ascii="宋体" w:hAnsi="宋体" w:cs="宋体"/>
                <w:sz w:val="24"/>
                <w:highlight w:val="none"/>
                <w:lang w:val="zh-CN"/>
              </w:rPr>
              <w:t>（人民币元）</w:t>
            </w:r>
          </w:p>
        </w:tc>
        <w:tc>
          <w:tcPr>
            <w:tcW w:w="6186" w:type="dxa"/>
            <w:noWrap w:val="0"/>
            <w:vAlign w:val="center"/>
          </w:tcPr>
          <w:p w14:paraId="07B2AE8D">
            <w:pPr>
              <w:keepNext w:val="0"/>
              <w:keepLines w:val="0"/>
              <w:pageBreakBefore w:val="0"/>
              <w:widowControl w:val="0"/>
              <w:shd w:val="clear" w:color="auto" w:fill="auto"/>
              <w:kinsoku/>
              <w:wordWrap/>
              <w:overflowPunct/>
              <w:topLinePunct w:val="0"/>
              <w:bidi w:val="0"/>
              <w:ind w:firstLine="0" w:firstLineChars="0"/>
              <w:jc w:val="left"/>
              <w:textAlignment w:val="auto"/>
              <w:rPr>
                <w:rFonts w:hint="eastAsia" w:ascii="宋体" w:hAnsi="宋体" w:cs="宋体"/>
                <w:sz w:val="24"/>
                <w:highlight w:val="none"/>
                <w:lang w:eastAsia="zh-CN"/>
              </w:rPr>
            </w:pPr>
            <w:r>
              <w:rPr>
                <w:rFonts w:hint="eastAsia" w:ascii="宋体" w:hAnsi="宋体" w:cs="宋体"/>
                <w:sz w:val="24"/>
                <w:highlight w:val="none"/>
                <w:lang w:eastAsia="zh-CN"/>
              </w:rPr>
              <w:t>大写：</w:t>
            </w:r>
          </w:p>
          <w:p w14:paraId="50903816">
            <w:pPr>
              <w:keepNext w:val="0"/>
              <w:keepLines w:val="0"/>
              <w:pageBreakBefore w:val="0"/>
              <w:widowControl w:val="0"/>
              <w:shd w:val="clear" w:color="auto" w:fill="auto"/>
              <w:kinsoku/>
              <w:wordWrap/>
              <w:overflowPunct/>
              <w:topLinePunct w:val="0"/>
              <w:autoSpaceDE w:val="0"/>
              <w:autoSpaceDN w:val="0"/>
              <w:bidi w:val="0"/>
              <w:adjustRightInd w:val="0"/>
              <w:snapToGrid w:val="0"/>
              <w:ind w:firstLine="0" w:firstLineChars="0"/>
              <w:jc w:val="left"/>
              <w:textAlignment w:val="auto"/>
              <w:rPr>
                <w:rFonts w:hint="eastAsia" w:ascii="宋体" w:hAnsi="宋体" w:cs="宋体"/>
                <w:sz w:val="24"/>
                <w:highlight w:val="none"/>
                <w:lang w:eastAsia="zh-CN"/>
              </w:rPr>
            </w:pPr>
            <w:r>
              <w:rPr>
                <w:rFonts w:hint="eastAsia" w:ascii="宋体" w:hAnsi="宋体" w:cs="宋体"/>
                <w:sz w:val="24"/>
                <w:highlight w:val="none"/>
                <w:lang w:eastAsia="zh-CN"/>
              </w:rPr>
              <w:t>小写：</w:t>
            </w:r>
          </w:p>
        </w:tc>
      </w:tr>
      <w:tr w14:paraId="0A5683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056" w:hRule="atLeast"/>
          <w:jc w:val="center"/>
        </w:trPr>
        <w:tc>
          <w:tcPr>
            <w:tcW w:w="3771" w:type="dxa"/>
            <w:noWrap w:val="0"/>
            <w:vAlign w:val="center"/>
          </w:tcPr>
          <w:p w14:paraId="2302BE14">
            <w:pPr>
              <w:keepNext w:val="0"/>
              <w:keepLines w:val="0"/>
              <w:pageBreakBefore w:val="0"/>
              <w:widowControl w:val="0"/>
              <w:shd w:val="clear" w:color="auto" w:fill="auto"/>
              <w:kinsoku/>
              <w:wordWrap/>
              <w:overflowPunct/>
              <w:topLinePunct w:val="0"/>
              <w:autoSpaceDE w:val="0"/>
              <w:autoSpaceDN w:val="0"/>
              <w:bidi w:val="0"/>
              <w:adjustRightInd w:val="0"/>
              <w:snapToGrid w:val="0"/>
              <w:ind w:firstLine="0" w:firstLineChars="0"/>
              <w:jc w:val="center"/>
              <w:textAlignment w:val="auto"/>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配送周期</w:t>
            </w:r>
          </w:p>
        </w:tc>
        <w:tc>
          <w:tcPr>
            <w:tcW w:w="6186" w:type="dxa"/>
            <w:noWrap w:val="0"/>
            <w:vAlign w:val="center"/>
          </w:tcPr>
          <w:p w14:paraId="58E698B2">
            <w:pPr>
              <w:keepNext w:val="0"/>
              <w:keepLines w:val="0"/>
              <w:pageBreakBefore w:val="0"/>
              <w:widowControl w:val="0"/>
              <w:shd w:val="clear" w:color="auto" w:fill="auto"/>
              <w:kinsoku/>
              <w:wordWrap/>
              <w:overflowPunct/>
              <w:topLinePunct w:val="0"/>
              <w:autoSpaceDE w:val="0"/>
              <w:autoSpaceDN w:val="0"/>
              <w:bidi w:val="0"/>
              <w:adjustRightInd w:val="0"/>
              <w:snapToGrid w:val="0"/>
              <w:ind w:firstLine="0" w:firstLineChars="0"/>
              <w:jc w:val="left"/>
              <w:textAlignment w:val="auto"/>
              <w:rPr>
                <w:rFonts w:hint="eastAsia" w:ascii="宋体" w:hAnsi="宋体" w:cs="宋体"/>
                <w:sz w:val="24"/>
                <w:highlight w:val="none"/>
                <w:lang w:eastAsia="zh-CN"/>
              </w:rPr>
            </w:pPr>
          </w:p>
        </w:tc>
      </w:tr>
    </w:tbl>
    <w:p w14:paraId="0B6D981D">
      <w:pPr>
        <w:shd w:val="clear" w:color="auto" w:fill="auto"/>
        <w:spacing w:before="120" w:beforeLines="50"/>
        <w:ind w:left="738" w:hanging="738" w:hangingChars="350"/>
        <w:jc w:val="left"/>
        <w:rPr>
          <w:rFonts w:hint="eastAsia" w:ascii="宋体" w:hAnsi="宋体" w:cs="宋体"/>
          <w:color w:val="000000"/>
          <w:szCs w:val="21"/>
          <w:highlight w:val="none"/>
        </w:rPr>
      </w:pPr>
      <w:r>
        <w:rPr>
          <w:rFonts w:hint="eastAsia" w:ascii="宋体" w:hAnsi="宋体" w:cs="宋体"/>
          <w:b/>
          <w:color w:val="000000"/>
          <w:szCs w:val="21"/>
          <w:highlight w:val="none"/>
        </w:rPr>
        <w:t>注：</w:t>
      </w:r>
      <w:r>
        <w:rPr>
          <w:rFonts w:hint="eastAsia" w:ascii="宋体" w:hAnsi="宋体" w:cs="宋体"/>
          <w:szCs w:val="21"/>
          <w:highlight w:val="none"/>
        </w:rPr>
        <w:t>1、</w:t>
      </w:r>
      <w:r>
        <w:rPr>
          <w:rFonts w:hint="eastAsia" w:ascii="宋体" w:hAnsi="宋体" w:cs="宋体"/>
          <w:color w:val="000000"/>
          <w:szCs w:val="21"/>
          <w:highlight w:val="none"/>
        </w:rPr>
        <w:t>报价最多保留小数点后两位。</w:t>
      </w:r>
    </w:p>
    <w:p w14:paraId="458D451C">
      <w:pPr>
        <w:keepNext w:val="0"/>
        <w:keepLines w:val="0"/>
        <w:pageBreakBefore w:val="0"/>
        <w:widowControl w:val="0"/>
        <w:numPr>
          <w:ilvl w:val="0"/>
          <w:numId w:val="4"/>
        </w:numPr>
        <w:shd w:val="clear" w:color="auto" w:fill="auto"/>
        <w:kinsoku/>
        <w:wordWrap/>
        <w:overflowPunct/>
        <w:topLinePunct w:val="0"/>
        <w:autoSpaceDE/>
        <w:autoSpaceDN/>
        <w:bidi w:val="0"/>
        <w:adjustRightInd/>
        <w:snapToGrid/>
        <w:spacing w:before="120" w:beforeLines="50"/>
        <w:ind w:left="0" w:leftChars="0" w:firstLine="420" w:firstLineChars="200"/>
        <w:jc w:val="left"/>
        <w:textAlignment w:val="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投标报价为：大米、面粉、菜籽油单品单价合计金额。</w:t>
      </w:r>
    </w:p>
    <w:p w14:paraId="0F3C2887">
      <w:pPr>
        <w:keepNext w:val="0"/>
        <w:keepLines w:val="0"/>
        <w:pageBreakBefore w:val="0"/>
        <w:widowControl w:val="0"/>
        <w:numPr>
          <w:ilvl w:val="0"/>
          <w:numId w:val="4"/>
        </w:numPr>
        <w:shd w:val="clear" w:color="auto" w:fill="auto"/>
        <w:kinsoku/>
        <w:wordWrap/>
        <w:overflowPunct/>
        <w:topLinePunct w:val="0"/>
        <w:autoSpaceDE/>
        <w:autoSpaceDN/>
        <w:bidi w:val="0"/>
        <w:adjustRightInd/>
        <w:snapToGrid/>
        <w:spacing w:before="120" w:beforeLines="50"/>
        <w:ind w:left="0" w:leftChars="0" w:firstLine="420" w:firstLineChars="200"/>
        <w:jc w:val="left"/>
        <w:textAlignment w:val="auto"/>
        <w:rPr>
          <w:rFonts w:hint="default"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交易系统中投标报价须与开标一览表一致。</w:t>
      </w:r>
    </w:p>
    <w:p w14:paraId="5FCEAB21">
      <w:pPr>
        <w:shd w:val="clear" w:color="auto" w:fill="auto"/>
        <w:ind w:firstLine="560"/>
        <w:jc w:val="left"/>
        <w:rPr>
          <w:rFonts w:hint="eastAsia" w:ascii="宋体" w:hAnsi="宋体" w:cs="宋体"/>
          <w:color w:val="000000"/>
          <w:sz w:val="28"/>
          <w:szCs w:val="28"/>
          <w:highlight w:val="none"/>
        </w:rPr>
      </w:pPr>
    </w:p>
    <w:p w14:paraId="5E8B1872">
      <w:pPr>
        <w:shd w:val="clear" w:color="auto" w:fill="auto"/>
        <w:adjustRightInd w:val="0"/>
        <w:ind w:firstLine="980" w:firstLineChars="350"/>
        <w:jc w:val="left"/>
        <w:rPr>
          <w:rFonts w:hint="eastAsia" w:ascii="宋体" w:hAnsi="宋体" w:cs="宋体"/>
          <w:color w:val="000000"/>
          <w:sz w:val="28"/>
          <w:szCs w:val="28"/>
          <w:highlight w:val="none"/>
        </w:rPr>
      </w:pPr>
    </w:p>
    <w:p w14:paraId="25CE8013">
      <w:pPr>
        <w:shd w:val="clear" w:color="auto" w:fill="auto"/>
        <w:adjustRightInd w:val="0"/>
        <w:ind w:firstLine="480"/>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投标供应商：（盖章）                    </w:t>
      </w:r>
    </w:p>
    <w:p w14:paraId="24E5E9C1">
      <w:pPr>
        <w:shd w:val="clear" w:color="auto" w:fill="auto"/>
        <w:ind w:firstLine="480"/>
        <w:jc w:val="center"/>
        <w:outlineLvl w:val="9"/>
        <w:rPr>
          <w:rFonts w:hint="eastAsia" w:ascii="宋体" w:hAnsi="宋体" w:cs="宋体"/>
          <w:color w:val="000000"/>
          <w:sz w:val="24"/>
          <w:highlight w:val="none"/>
        </w:rPr>
      </w:pPr>
    </w:p>
    <w:p w14:paraId="2E73C193">
      <w:pPr>
        <w:shd w:val="clear" w:color="auto" w:fill="auto"/>
        <w:ind w:firstLine="480"/>
        <w:outlineLvl w:val="1"/>
        <w:rPr>
          <w:rFonts w:hint="eastAsia" w:ascii="宋体" w:hAnsi="宋体" w:cs="宋体"/>
          <w:color w:val="000000"/>
          <w:sz w:val="24"/>
          <w:highlight w:val="none"/>
        </w:rPr>
      </w:pPr>
      <w:r>
        <w:rPr>
          <w:rFonts w:hint="eastAsia" w:ascii="宋体" w:hAnsi="宋体" w:cs="宋体"/>
          <w:color w:val="000000"/>
          <w:sz w:val="24"/>
          <w:highlight w:val="none"/>
        </w:rPr>
        <w:t>法定代表人：</w:t>
      </w:r>
      <w:r>
        <w:rPr>
          <w:rFonts w:hint="eastAsia" w:ascii="宋体" w:hAnsi="宋体" w:cs="宋体"/>
          <w:bCs/>
          <w:sz w:val="24"/>
          <w:highlight w:val="none"/>
        </w:rPr>
        <w:t>（签名或盖章）</w:t>
      </w:r>
    </w:p>
    <w:p w14:paraId="2F9820E5">
      <w:pPr>
        <w:shd w:val="clear" w:color="auto" w:fill="auto"/>
        <w:ind w:firstLine="120" w:firstLineChars="50"/>
        <w:outlineLvl w:val="9"/>
        <w:rPr>
          <w:rFonts w:hint="eastAsia" w:ascii="宋体" w:hAnsi="宋体" w:cs="宋体"/>
          <w:color w:val="000000"/>
          <w:sz w:val="24"/>
          <w:highlight w:val="none"/>
        </w:rPr>
      </w:pPr>
    </w:p>
    <w:p w14:paraId="7ADB978A">
      <w:pPr>
        <w:shd w:val="clear" w:color="auto" w:fill="auto"/>
        <w:ind w:firstLine="480"/>
        <w:outlineLvl w:val="1"/>
        <w:rPr>
          <w:rFonts w:hint="eastAsia" w:ascii="宋体" w:hAnsi="宋体" w:cs="宋体"/>
          <w:b/>
          <w:color w:val="000000"/>
          <w:sz w:val="24"/>
          <w:highlight w:val="none"/>
        </w:rPr>
      </w:pPr>
      <w:r>
        <w:rPr>
          <w:rFonts w:hint="eastAsia" w:ascii="宋体" w:hAnsi="宋体" w:cs="宋体"/>
          <w:color w:val="000000"/>
          <w:sz w:val="24"/>
          <w:highlight w:val="none"/>
        </w:rPr>
        <w:t>投标日期：     年   月   日</w:t>
      </w:r>
    </w:p>
    <w:p w14:paraId="436D2BC3">
      <w:pPr>
        <w:pStyle w:val="3"/>
        <w:shd w:val="clear" w:color="auto" w:fill="auto"/>
        <w:spacing w:before="0" w:after="0" w:line="360" w:lineRule="auto"/>
        <w:ind w:firstLine="0" w:firstLineChars="0"/>
        <w:jc w:val="center"/>
        <w:rPr>
          <w:rFonts w:hint="eastAsia" w:ascii="宋体" w:hAnsi="宋体" w:eastAsia="宋体" w:cs="宋体"/>
          <w:bCs/>
          <w:color w:val="000000"/>
          <w:szCs w:val="28"/>
          <w:highlight w:val="none"/>
        </w:rPr>
      </w:pPr>
      <w:bookmarkStart w:id="145" w:name="_Toc217446086"/>
      <w:bookmarkStart w:id="146" w:name="_Toc21554_WPSOffice_Level1"/>
      <w:r>
        <w:rPr>
          <w:rFonts w:hint="eastAsia" w:ascii="宋体" w:hAnsi="宋体" w:eastAsia="宋体" w:cs="宋体"/>
          <w:bCs/>
          <w:color w:val="000000"/>
          <w:sz w:val="24"/>
          <w:szCs w:val="24"/>
          <w:highlight w:val="none"/>
        </w:rPr>
        <w:br w:type="page"/>
      </w:r>
      <w:r>
        <w:rPr>
          <w:rFonts w:hint="eastAsia" w:ascii="宋体" w:hAnsi="宋体" w:eastAsia="宋体" w:cs="宋体"/>
          <w:bCs/>
          <w:color w:val="000000"/>
          <w:szCs w:val="28"/>
          <w:highlight w:val="none"/>
        </w:rPr>
        <w:t>三、</w:t>
      </w:r>
      <w:bookmarkEnd w:id="145"/>
      <w:r>
        <w:rPr>
          <w:rFonts w:hint="eastAsia" w:ascii="宋体" w:hAnsi="宋体" w:eastAsia="宋体" w:cs="宋体"/>
          <w:bCs/>
          <w:color w:val="000000"/>
          <w:szCs w:val="28"/>
          <w:highlight w:val="none"/>
        </w:rPr>
        <w:t>分项报价表</w:t>
      </w:r>
      <w:bookmarkEnd w:id="146"/>
    </w:p>
    <w:p w14:paraId="6A6D852C">
      <w:pPr>
        <w:shd w:val="clear" w:color="auto" w:fill="auto"/>
        <w:ind w:firstLine="0" w:firstLineChars="0"/>
        <w:jc w:val="lef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投标供应商名称：                                 项目编号：</w:t>
      </w:r>
      <w:r>
        <w:rPr>
          <w:rFonts w:hint="eastAsia" w:ascii="宋体" w:hAnsi="宋体" w:cs="宋体"/>
          <w:color w:val="000000"/>
          <w:sz w:val="24"/>
          <w:highlight w:val="none"/>
          <w:lang w:eastAsia="zh-CN"/>
        </w:rPr>
        <w:t>TWZB2026-116</w:t>
      </w:r>
    </w:p>
    <w:tbl>
      <w:tblPr>
        <w:tblStyle w:val="20"/>
        <w:tblW w:w="967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12"/>
        <w:gridCol w:w="3681"/>
        <w:gridCol w:w="1612"/>
        <w:gridCol w:w="1252"/>
        <w:gridCol w:w="1103"/>
        <w:gridCol w:w="1217"/>
      </w:tblGrid>
      <w:tr w14:paraId="70E2C8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7" w:hRule="atLeast"/>
        </w:trPr>
        <w:tc>
          <w:tcPr>
            <w:tcW w:w="812" w:type="dxa"/>
            <w:noWrap w:val="0"/>
            <w:vAlign w:val="top"/>
          </w:tcPr>
          <w:p w14:paraId="6A09F8D1">
            <w:pPr>
              <w:keepNext w:val="0"/>
              <w:keepLines w:val="0"/>
              <w:pageBreakBefore w:val="0"/>
              <w:widowControl w:val="0"/>
              <w:kinsoku/>
              <w:wordWrap/>
              <w:overflowPunct/>
              <w:topLinePunct w:val="0"/>
              <w:autoSpaceDE/>
              <w:autoSpaceDN/>
              <w:bidi w:val="0"/>
              <w:adjustRightInd/>
              <w:snapToGrid/>
              <w:spacing w:line="298" w:lineRule="auto"/>
              <w:ind w:left="0" w:right="0" w:firstLine="0" w:firstLineChars="0"/>
              <w:jc w:val="center"/>
              <w:textAlignment w:val="auto"/>
              <w:rPr>
                <w:rFonts w:ascii="Arial"/>
                <w:sz w:val="21"/>
              </w:rPr>
            </w:pPr>
          </w:p>
          <w:p w14:paraId="18969432">
            <w:pPr>
              <w:pStyle w:val="21"/>
              <w:keepNext w:val="0"/>
              <w:keepLines w:val="0"/>
              <w:pageBreakBefore w:val="0"/>
              <w:widowControl w:val="0"/>
              <w:kinsoku/>
              <w:wordWrap/>
              <w:overflowPunct/>
              <w:topLinePunct w:val="0"/>
              <w:autoSpaceDE/>
              <w:autoSpaceDN/>
              <w:bidi w:val="0"/>
              <w:adjustRightInd/>
              <w:snapToGrid/>
              <w:spacing w:line="221" w:lineRule="auto"/>
              <w:ind w:left="0" w:right="0" w:firstLine="0" w:firstLineChars="0"/>
              <w:jc w:val="center"/>
              <w:textAlignment w:val="auto"/>
              <w:rPr>
                <w:sz w:val="24"/>
                <w:szCs w:val="24"/>
              </w:rPr>
            </w:pPr>
            <w:r>
              <w:rPr>
                <w:spacing w:val="-5"/>
                <w:sz w:val="24"/>
                <w:szCs w:val="24"/>
              </w:rPr>
              <w:t>序号</w:t>
            </w:r>
          </w:p>
        </w:tc>
        <w:tc>
          <w:tcPr>
            <w:tcW w:w="3681" w:type="dxa"/>
            <w:noWrap w:val="0"/>
            <w:vAlign w:val="top"/>
          </w:tcPr>
          <w:p w14:paraId="33D8D2B2">
            <w:pPr>
              <w:keepNext w:val="0"/>
              <w:keepLines w:val="0"/>
              <w:pageBreakBefore w:val="0"/>
              <w:widowControl w:val="0"/>
              <w:kinsoku/>
              <w:wordWrap/>
              <w:overflowPunct/>
              <w:topLinePunct w:val="0"/>
              <w:autoSpaceDE/>
              <w:autoSpaceDN/>
              <w:bidi w:val="0"/>
              <w:adjustRightInd/>
              <w:snapToGrid/>
              <w:spacing w:line="338" w:lineRule="auto"/>
              <w:ind w:left="0" w:right="0" w:firstLine="0" w:firstLineChars="0"/>
              <w:jc w:val="center"/>
              <w:textAlignment w:val="auto"/>
              <w:rPr>
                <w:rFonts w:ascii="Arial"/>
                <w:sz w:val="21"/>
              </w:rPr>
            </w:pPr>
          </w:p>
          <w:p w14:paraId="5E68F734">
            <w:pPr>
              <w:pStyle w:val="21"/>
              <w:keepNext w:val="0"/>
              <w:keepLines w:val="0"/>
              <w:pageBreakBefore w:val="0"/>
              <w:widowControl w:val="0"/>
              <w:kinsoku/>
              <w:wordWrap/>
              <w:overflowPunct/>
              <w:topLinePunct w:val="0"/>
              <w:autoSpaceDE/>
              <w:autoSpaceDN/>
              <w:bidi w:val="0"/>
              <w:adjustRightInd/>
              <w:snapToGrid/>
              <w:spacing w:line="218" w:lineRule="auto"/>
              <w:ind w:left="0" w:right="0" w:firstLine="0" w:firstLineChars="0"/>
              <w:jc w:val="center"/>
              <w:textAlignment w:val="auto"/>
              <w:rPr>
                <w:sz w:val="24"/>
                <w:szCs w:val="24"/>
              </w:rPr>
            </w:pPr>
            <w:r>
              <w:rPr>
                <w:spacing w:val="-8"/>
                <w:sz w:val="24"/>
                <w:szCs w:val="24"/>
              </w:rPr>
              <w:t>货物名称及单价最高限价（元）</w:t>
            </w:r>
          </w:p>
        </w:tc>
        <w:tc>
          <w:tcPr>
            <w:tcW w:w="1612" w:type="dxa"/>
            <w:noWrap w:val="0"/>
            <w:vAlign w:val="top"/>
          </w:tcPr>
          <w:p w14:paraId="3FE8BA92">
            <w:pPr>
              <w:keepNext w:val="0"/>
              <w:keepLines w:val="0"/>
              <w:pageBreakBefore w:val="0"/>
              <w:widowControl w:val="0"/>
              <w:kinsoku/>
              <w:wordWrap/>
              <w:overflowPunct/>
              <w:topLinePunct w:val="0"/>
              <w:autoSpaceDE/>
              <w:autoSpaceDN/>
              <w:bidi w:val="0"/>
              <w:adjustRightInd/>
              <w:snapToGrid/>
              <w:spacing w:line="298" w:lineRule="auto"/>
              <w:ind w:left="0" w:right="0" w:firstLine="0" w:firstLineChars="0"/>
              <w:jc w:val="center"/>
              <w:textAlignment w:val="auto"/>
              <w:rPr>
                <w:rFonts w:ascii="Arial"/>
                <w:sz w:val="21"/>
              </w:rPr>
            </w:pPr>
          </w:p>
          <w:p w14:paraId="6FC5A853">
            <w:pPr>
              <w:pStyle w:val="21"/>
              <w:keepNext w:val="0"/>
              <w:keepLines w:val="0"/>
              <w:pageBreakBefore w:val="0"/>
              <w:widowControl w:val="0"/>
              <w:kinsoku/>
              <w:wordWrap/>
              <w:overflowPunct/>
              <w:topLinePunct w:val="0"/>
              <w:autoSpaceDE/>
              <w:autoSpaceDN/>
              <w:bidi w:val="0"/>
              <w:adjustRightInd/>
              <w:snapToGrid/>
              <w:spacing w:line="219" w:lineRule="auto"/>
              <w:ind w:left="0" w:right="0" w:firstLine="0" w:firstLineChars="0"/>
              <w:jc w:val="center"/>
              <w:textAlignment w:val="auto"/>
              <w:rPr>
                <w:sz w:val="24"/>
                <w:szCs w:val="24"/>
              </w:rPr>
            </w:pPr>
            <w:r>
              <w:rPr>
                <w:spacing w:val="-12"/>
                <w:sz w:val="24"/>
                <w:szCs w:val="24"/>
              </w:rPr>
              <w:t>品牌/制造厂商</w:t>
            </w:r>
          </w:p>
        </w:tc>
        <w:tc>
          <w:tcPr>
            <w:tcW w:w="1252" w:type="dxa"/>
            <w:noWrap w:val="0"/>
            <w:vAlign w:val="top"/>
          </w:tcPr>
          <w:p w14:paraId="0C016DA2">
            <w:pPr>
              <w:keepNext w:val="0"/>
              <w:keepLines w:val="0"/>
              <w:pageBreakBefore w:val="0"/>
              <w:widowControl w:val="0"/>
              <w:kinsoku/>
              <w:wordWrap/>
              <w:overflowPunct/>
              <w:topLinePunct w:val="0"/>
              <w:autoSpaceDE/>
              <w:autoSpaceDN/>
              <w:bidi w:val="0"/>
              <w:adjustRightInd/>
              <w:snapToGrid/>
              <w:spacing w:line="298" w:lineRule="auto"/>
              <w:ind w:left="0" w:right="0" w:firstLine="0" w:firstLineChars="0"/>
              <w:jc w:val="center"/>
              <w:textAlignment w:val="auto"/>
              <w:rPr>
                <w:rFonts w:ascii="Arial"/>
                <w:sz w:val="21"/>
              </w:rPr>
            </w:pPr>
          </w:p>
          <w:p w14:paraId="2E9E4D07">
            <w:pPr>
              <w:pStyle w:val="21"/>
              <w:keepNext w:val="0"/>
              <w:keepLines w:val="0"/>
              <w:pageBreakBefore w:val="0"/>
              <w:widowControl w:val="0"/>
              <w:kinsoku/>
              <w:wordWrap/>
              <w:overflowPunct/>
              <w:topLinePunct w:val="0"/>
              <w:autoSpaceDE/>
              <w:autoSpaceDN/>
              <w:bidi w:val="0"/>
              <w:adjustRightInd/>
              <w:snapToGrid/>
              <w:spacing w:line="219" w:lineRule="auto"/>
              <w:ind w:left="0" w:right="0" w:firstLine="0" w:firstLineChars="0"/>
              <w:jc w:val="center"/>
              <w:textAlignment w:val="auto"/>
              <w:rPr>
                <w:sz w:val="24"/>
                <w:szCs w:val="24"/>
              </w:rPr>
            </w:pPr>
            <w:r>
              <w:rPr>
                <w:spacing w:val="-6"/>
                <w:sz w:val="24"/>
                <w:szCs w:val="24"/>
              </w:rPr>
              <w:t>规格</w:t>
            </w:r>
          </w:p>
        </w:tc>
        <w:tc>
          <w:tcPr>
            <w:tcW w:w="1103" w:type="dxa"/>
            <w:noWrap w:val="0"/>
            <w:vAlign w:val="top"/>
          </w:tcPr>
          <w:p w14:paraId="4B755596">
            <w:pPr>
              <w:keepNext w:val="0"/>
              <w:keepLines w:val="0"/>
              <w:pageBreakBefore w:val="0"/>
              <w:widowControl w:val="0"/>
              <w:kinsoku/>
              <w:wordWrap/>
              <w:overflowPunct/>
              <w:topLinePunct w:val="0"/>
              <w:autoSpaceDE/>
              <w:autoSpaceDN/>
              <w:bidi w:val="0"/>
              <w:adjustRightInd/>
              <w:snapToGrid/>
              <w:spacing w:line="298" w:lineRule="auto"/>
              <w:ind w:left="0" w:right="0" w:firstLine="0" w:firstLineChars="0"/>
              <w:jc w:val="center"/>
              <w:textAlignment w:val="auto"/>
              <w:rPr>
                <w:rFonts w:ascii="Arial"/>
                <w:sz w:val="21"/>
              </w:rPr>
            </w:pPr>
          </w:p>
          <w:p w14:paraId="6BDAEEAA">
            <w:pPr>
              <w:pStyle w:val="21"/>
              <w:keepNext w:val="0"/>
              <w:keepLines w:val="0"/>
              <w:pageBreakBefore w:val="0"/>
              <w:widowControl w:val="0"/>
              <w:kinsoku/>
              <w:wordWrap/>
              <w:overflowPunct/>
              <w:topLinePunct w:val="0"/>
              <w:autoSpaceDE/>
              <w:autoSpaceDN/>
              <w:bidi w:val="0"/>
              <w:adjustRightInd/>
              <w:snapToGrid/>
              <w:spacing w:line="220" w:lineRule="auto"/>
              <w:ind w:left="0" w:right="0" w:firstLine="0" w:firstLineChars="0"/>
              <w:jc w:val="center"/>
              <w:textAlignment w:val="auto"/>
              <w:rPr>
                <w:sz w:val="24"/>
                <w:szCs w:val="24"/>
              </w:rPr>
            </w:pPr>
            <w:r>
              <w:rPr>
                <w:spacing w:val="-6"/>
                <w:sz w:val="24"/>
                <w:szCs w:val="24"/>
              </w:rPr>
              <w:t>单位</w:t>
            </w:r>
          </w:p>
        </w:tc>
        <w:tc>
          <w:tcPr>
            <w:tcW w:w="1217" w:type="dxa"/>
            <w:noWrap w:val="0"/>
            <w:vAlign w:val="top"/>
          </w:tcPr>
          <w:p w14:paraId="47D17CB3">
            <w:pPr>
              <w:keepNext w:val="0"/>
              <w:keepLines w:val="0"/>
              <w:pageBreakBefore w:val="0"/>
              <w:widowControl w:val="0"/>
              <w:kinsoku/>
              <w:wordWrap/>
              <w:overflowPunct/>
              <w:topLinePunct w:val="0"/>
              <w:autoSpaceDE/>
              <w:autoSpaceDN/>
              <w:bidi w:val="0"/>
              <w:adjustRightInd/>
              <w:snapToGrid/>
              <w:spacing w:line="298" w:lineRule="auto"/>
              <w:ind w:left="0" w:right="0" w:firstLine="0" w:firstLineChars="0"/>
              <w:jc w:val="center"/>
              <w:textAlignment w:val="auto"/>
              <w:rPr>
                <w:rFonts w:ascii="Arial"/>
                <w:sz w:val="21"/>
              </w:rPr>
            </w:pPr>
          </w:p>
          <w:p w14:paraId="3EB46865">
            <w:pPr>
              <w:pStyle w:val="21"/>
              <w:keepNext w:val="0"/>
              <w:keepLines w:val="0"/>
              <w:pageBreakBefore w:val="0"/>
              <w:widowControl w:val="0"/>
              <w:kinsoku/>
              <w:wordWrap/>
              <w:overflowPunct/>
              <w:topLinePunct w:val="0"/>
              <w:autoSpaceDE/>
              <w:autoSpaceDN/>
              <w:bidi w:val="0"/>
              <w:adjustRightInd/>
              <w:snapToGrid/>
              <w:spacing w:line="218" w:lineRule="auto"/>
              <w:ind w:left="0" w:right="0" w:firstLine="0" w:firstLineChars="0"/>
              <w:jc w:val="center"/>
              <w:textAlignment w:val="auto"/>
              <w:rPr>
                <w:sz w:val="24"/>
                <w:szCs w:val="24"/>
              </w:rPr>
            </w:pPr>
            <w:r>
              <w:rPr>
                <w:spacing w:val="-5"/>
                <w:sz w:val="24"/>
                <w:szCs w:val="24"/>
              </w:rPr>
              <w:t>单价（元）</w:t>
            </w:r>
          </w:p>
        </w:tc>
      </w:tr>
      <w:tr w14:paraId="100435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812" w:type="dxa"/>
            <w:noWrap w:val="0"/>
            <w:vAlign w:val="top"/>
          </w:tcPr>
          <w:p w14:paraId="450DE626">
            <w:pPr>
              <w:pStyle w:val="21"/>
              <w:keepNext w:val="0"/>
              <w:keepLines w:val="0"/>
              <w:pageBreakBefore w:val="0"/>
              <w:widowControl w:val="0"/>
              <w:kinsoku/>
              <w:wordWrap/>
              <w:overflowPunct/>
              <w:topLinePunct w:val="0"/>
              <w:autoSpaceDE/>
              <w:autoSpaceDN/>
              <w:bidi w:val="0"/>
              <w:adjustRightInd/>
              <w:snapToGrid/>
              <w:spacing w:line="241" w:lineRule="auto"/>
              <w:ind w:left="0" w:right="0" w:firstLine="0" w:firstLineChars="0"/>
              <w:jc w:val="center"/>
              <w:textAlignment w:val="auto"/>
              <w:rPr>
                <w:sz w:val="24"/>
                <w:szCs w:val="24"/>
              </w:rPr>
            </w:pPr>
            <w:r>
              <w:rPr>
                <w:sz w:val="24"/>
                <w:szCs w:val="24"/>
              </w:rPr>
              <w:t>1</w:t>
            </w:r>
          </w:p>
        </w:tc>
        <w:tc>
          <w:tcPr>
            <w:tcW w:w="3681" w:type="dxa"/>
            <w:noWrap w:val="0"/>
            <w:vAlign w:val="top"/>
          </w:tcPr>
          <w:p w14:paraId="6A29860B">
            <w:pPr>
              <w:pStyle w:val="21"/>
              <w:keepNext w:val="0"/>
              <w:keepLines w:val="0"/>
              <w:pageBreakBefore w:val="0"/>
              <w:widowControl w:val="0"/>
              <w:kinsoku/>
              <w:wordWrap/>
              <w:overflowPunct/>
              <w:topLinePunct w:val="0"/>
              <w:autoSpaceDE/>
              <w:autoSpaceDN/>
              <w:bidi w:val="0"/>
              <w:adjustRightInd/>
              <w:snapToGrid/>
              <w:spacing w:line="219" w:lineRule="auto"/>
              <w:ind w:left="0" w:right="0" w:firstLine="0" w:firstLineChars="0"/>
              <w:jc w:val="center"/>
              <w:textAlignment w:val="auto"/>
              <w:rPr>
                <w:sz w:val="24"/>
                <w:szCs w:val="24"/>
              </w:rPr>
            </w:pPr>
            <w:r>
              <w:rPr>
                <w:b/>
                <w:bCs/>
                <w:spacing w:val="-8"/>
                <w:sz w:val="24"/>
                <w:szCs w:val="24"/>
              </w:rPr>
              <w:t>大米：</w:t>
            </w:r>
            <w:r>
              <w:rPr>
                <w:spacing w:val="-8"/>
                <w:sz w:val="24"/>
                <w:szCs w:val="24"/>
              </w:rPr>
              <w:t>120.00</w:t>
            </w:r>
            <w:r>
              <w:rPr>
                <w:spacing w:val="-64"/>
                <w:sz w:val="24"/>
                <w:szCs w:val="24"/>
              </w:rPr>
              <w:t xml:space="preserve"> </w:t>
            </w:r>
            <w:r>
              <w:rPr>
                <w:spacing w:val="-8"/>
                <w:sz w:val="24"/>
                <w:szCs w:val="24"/>
              </w:rPr>
              <w:t>元</w:t>
            </w:r>
          </w:p>
        </w:tc>
        <w:tc>
          <w:tcPr>
            <w:tcW w:w="1612" w:type="dxa"/>
            <w:noWrap w:val="0"/>
            <w:vAlign w:val="top"/>
          </w:tcPr>
          <w:p w14:paraId="76804927">
            <w:pPr>
              <w:keepNext w:val="0"/>
              <w:keepLines w:val="0"/>
              <w:pageBreakBefore w:val="0"/>
              <w:widowControl w:val="0"/>
              <w:kinsoku/>
              <w:wordWrap/>
              <w:overflowPunct/>
              <w:topLinePunct w:val="0"/>
              <w:autoSpaceDE/>
              <w:autoSpaceDN/>
              <w:bidi w:val="0"/>
              <w:adjustRightInd/>
              <w:snapToGrid/>
              <w:ind w:left="0" w:right="0" w:firstLine="0" w:firstLineChars="0"/>
              <w:jc w:val="center"/>
              <w:textAlignment w:val="auto"/>
              <w:rPr>
                <w:rFonts w:ascii="Arial"/>
                <w:sz w:val="21"/>
              </w:rPr>
            </w:pPr>
          </w:p>
        </w:tc>
        <w:tc>
          <w:tcPr>
            <w:tcW w:w="1252" w:type="dxa"/>
            <w:noWrap w:val="0"/>
            <w:vAlign w:val="top"/>
          </w:tcPr>
          <w:p w14:paraId="55A42EA9">
            <w:pPr>
              <w:pStyle w:val="21"/>
              <w:keepNext w:val="0"/>
              <w:keepLines w:val="0"/>
              <w:pageBreakBefore w:val="0"/>
              <w:widowControl w:val="0"/>
              <w:kinsoku/>
              <w:wordWrap/>
              <w:overflowPunct/>
              <w:topLinePunct w:val="0"/>
              <w:autoSpaceDE/>
              <w:autoSpaceDN/>
              <w:bidi w:val="0"/>
              <w:adjustRightInd/>
              <w:snapToGrid/>
              <w:spacing w:line="214" w:lineRule="auto"/>
              <w:ind w:left="0" w:right="0" w:firstLine="0" w:firstLineChars="0"/>
              <w:jc w:val="center"/>
              <w:textAlignment w:val="auto"/>
              <w:rPr>
                <w:sz w:val="24"/>
                <w:szCs w:val="24"/>
              </w:rPr>
            </w:pPr>
            <w:r>
              <w:rPr>
                <w:spacing w:val="-5"/>
                <w:sz w:val="24"/>
                <w:szCs w:val="24"/>
              </w:rPr>
              <w:t>25kg</w:t>
            </w:r>
          </w:p>
        </w:tc>
        <w:tc>
          <w:tcPr>
            <w:tcW w:w="1103" w:type="dxa"/>
            <w:noWrap w:val="0"/>
            <w:vAlign w:val="top"/>
          </w:tcPr>
          <w:p w14:paraId="4999B494">
            <w:pPr>
              <w:pStyle w:val="21"/>
              <w:keepNext w:val="0"/>
              <w:keepLines w:val="0"/>
              <w:pageBreakBefore w:val="0"/>
              <w:widowControl w:val="0"/>
              <w:kinsoku/>
              <w:wordWrap/>
              <w:overflowPunct/>
              <w:topLinePunct w:val="0"/>
              <w:autoSpaceDE/>
              <w:autoSpaceDN/>
              <w:bidi w:val="0"/>
              <w:adjustRightInd/>
              <w:snapToGrid/>
              <w:spacing w:line="222" w:lineRule="auto"/>
              <w:ind w:left="0" w:right="0" w:firstLine="0" w:firstLineChars="0"/>
              <w:jc w:val="center"/>
              <w:textAlignment w:val="auto"/>
              <w:rPr>
                <w:sz w:val="24"/>
                <w:szCs w:val="24"/>
              </w:rPr>
            </w:pPr>
            <w:r>
              <w:rPr>
                <w:sz w:val="24"/>
                <w:szCs w:val="24"/>
              </w:rPr>
              <w:t>袋</w:t>
            </w:r>
          </w:p>
        </w:tc>
        <w:tc>
          <w:tcPr>
            <w:tcW w:w="1217" w:type="dxa"/>
            <w:noWrap w:val="0"/>
            <w:vAlign w:val="top"/>
          </w:tcPr>
          <w:p w14:paraId="70053311">
            <w:pPr>
              <w:keepNext w:val="0"/>
              <w:keepLines w:val="0"/>
              <w:pageBreakBefore w:val="0"/>
              <w:widowControl w:val="0"/>
              <w:kinsoku/>
              <w:wordWrap/>
              <w:overflowPunct/>
              <w:topLinePunct w:val="0"/>
              <w:autoSpaceDE/>
              <w:autoSpaceDN/>
              <w:bidi w:val="0"/>
              <w:adjustRightInd/>
              <w:snapToGrid/>
              <w:ind w:left="0" w:right="0" w:firstLine="0" w:firstLineChars="0"/>
              <w:jc w:val="center"/>
              <w:textAlignment w:val="auto"/>
              <w:rPr>
                <w:rFonts w:ascii="Arial"/>
                <w:sz w:val="21"/>
              </w:rPr>
            </w:pPr>
          </w:p>
        </w:tc>
      </w:tr>
      <w:tr w14:paraId="62873B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4" w:hRule="atLeast"/>
        </w:trPr>
        <w:tc>
          <w:tcPr>
            <w:tcW w:w="812" w:type="dxa"/>
            <w:noWrap w:val="0"/>
            <w:vAlign w:val="top"/>
          </w:tcPr>
          <w:p w14:paraId="3133AB93">
            <w:pPr>
              <w:pStyle w:val="21"/>
              <w:keepNext w:val="0"/>
              <w:keepLines w:val="0"/>
              <w:pageBreakBefore w:val="0"/>
              <w:widowControl w:val="0"/>
              <w:kinsoku/>
              <w:wordWrap/>
              <w:overflowPunct/>
              <w:topLinePunct w:val="0"/>
              <w:autoSpaceDE/>
              <w:autoSpaceDN/>
              <w:bidi w:val="0"/>
              <w:adjustRightInd/>
              <w:snapToGrid/>
              <w:spacing w:line="241" w:lineRule="auto"/>
              <w:ind w:left="0" w:right="0" w:firstLine="0" w:firstLineChars="0"/>
              <w:jc w:val="center"/>
              <w:textAlignment w:val="auto"/>
              <w:rPr>
                <w:sz w:val="24"/>
                <w:szCs w:val="24"/>
              </w:rPr>
            </w:pPr>
            <w:r>
              <w:rPr>
                <w:sz w:val="24"/>
                <w:szCs w:val="24"/>
              </w:rPr>
              <w:t>2</w:t>
            </w:r>
          </w:p>
        </w:tc>
        <w:tc>
          <w:tcPr>
            <w:tcW w:w="3681" w:type="dxa"/>
            <w:noWrap w:val="0"/>
            <w:vAlign w:val="top"/>
          </w:tcPr>
          <w:p w14:paraId="0F1A63B1">
            <w:pPr>
              <w:pStyle w:val="21"/>
              <w:keepNext w:val="0"/>
              <w:keepLines w:val="0"/>
              <w:pageBreakBefore w:val="0"/>
              <w:widowControl w:val="0"/>
              <w:kinsoku/>
              <w:wordWrap/>
              <w:overflowPunct/>
              <w:topLinePunct w:val="0"/>
              <w:autoSpaceDE/>
              <w:autoSpaceDN/>
              <w:bidi w:val="0"/>
              <w:adjustRightInd/>
              <w:snapToGrid/>
              <w:spacing w:line="219" w:lineRule="auto"/>
              <w:ind w:left="0" w:right="0" w:firstLine="0" w:firstLineChars="0"/>
              <w:jc w:val="center"/>
              <w:textAlignment w:val="auto"/>
              <w:rPr>
                <w:sz w:val="24"/>
                <w:szCs w:val="24"/>
              </w:rPr>
            </w:pPr>
            <w:r>
              <w:rPr>
                <w:b/>
                <w:bCs/>
                <w:spacing w:val="-8"/>
                <w:sz w:val="24"/>
                <w:szCs w:val="24"/>
              </w:rPr>
              <w:t>面粉：</w:t>
            </w:r>
            <w:r>
              <w:rPr>
                <w:spacing w:val="-8"/>
                <w:sz w:val="24"/>
                <w:szCs w:val="24"/>
              </w:rPr>
              <w:t>110.00</w:t>
            </w:r>
            <w:r>
              <w:rPr>
                <w:spacing w:val="-60"/>
                <w:sz w:val="24"/>
                <w:szCs w:val="24"/>
              </w:rPr>
              <w:t xml:space="preserve"> </w:t>
            </w:r>
            <w:r>
              <w:rPr>
                <w:spacing w:val="-8"/>
                <w:sz w:val="24"/>
                <w:szCs w:val="24"/>
              </w:rPr>
              <w:t>元</w:t>
            </w:r>
          </w:p>
        </w:tc>
        <w:tc>
          <w:tcPr>
            <w:tcW w:w="1612" w:type="dxa"/>
            <w:noWrap w:val="0"/>
            <w:vAlign w:val="top"/>
          </w:tcPr>
          <w:p w14:paraId="1378D712">
            <w:pPr>
              <w:keepNext w:val="0"/>
              <w:keepLines w:val="0"/>
              <w:pageBreakBefore w:val="0"/>
              <w:widowControl w:val="0"/>
              <w:kinsoku/>
              <w:wordWrap/>
              <w:overflowPunct/>
              <w:topLinePunct w:val="0"/>
              <w:autoSpaceDE/>
              <w:autoSpaceDN/>
              <w:bidi w:val="0"/>
              <w:adjustRightInd/>
              <w:snapToGrid/>
              <w:ind w:left="0" w:right="0" w:firstLine="0" w:firstLineChars="0"/>
              <w:jc w:val="center"/>
              <w:textAlignment w:val="auto"/>
              <w:rPr>
                <w:rFonts w:ascii="Arial"/>
                <w:sz w:val="21"/>
              </w:rPr>
            </w:pPr>
          </w:p>
        </w:tc>
        <w:tc>
          <w:tcPr>
            <w:tcW w:w="1252" w:type="dxa"/>
            <w:noWrap w:val="0"/>
            <w:vAlign w:val="top"/>
          </w:tcPr>
          <w:p w14:paraId="0511CB10">
            <w:pPr>
              <w:pStyle w:val="21"/>
              <w:keepNext w:val="0"/>
              <w:keepLines w:val="0"/>
              <w:pageBreakBefore w:val="0"/>
              <w:widowControl w:val="0"/>
              <w:kinsoku/>
              <w:wordWrap/>
              <w:overflowPunct/>
              <w:topLinePunct w:val="0"/>
              <w:autoSpaceDE/>
              <w:autoSpaceDN/>
              <w:bidi w:val="0"/>
              <w:adjustRightInd/>
              <w:snapToGrid/>
              <w:spacing w:line="214" w:lineRule="auto"/>
              <w:ind w:left="0" w:right="0" w:firstLine="0" w:firstLineChars="0"/>
              <w:jc w:val="center"/>
              <w:textAlignment w:val="auto"/>
              <w:rPr>
                <w:sz w:val="24"/>
                <w:szCs w:val="24"/>
              </w:rPr>
            </w:pPr>
            <w:r>
              <w:rPr>
                <w:spacing w:val="-5"/>
                <w:sz w:val="24"/>
                <w:szCs w:val="24"/>
              </w:rPr>
              <w:t>25kg</w:t>
            </w:r>
          </w:p>
        </w:tc>
        <w:tc>
          <w:tcPr>
            <w:tcW w:w="1103" w:type="dxa"/>
            <w:noWrap w:val="0"/>
            <w:vAlign w:val="top"/>
          </w:tcPr>
          <w:p w14:paraId="58A27712">
            <w:pPr>
              <w:pStyle w:val="21"/>
              <w:keepNext w:val="0"/>
              <w:keepLines w:val="0"/>
              <w:pageBreakBefore w:val="0"/>
              <w:widowControl w:val="0"/>
              <w:kinsoku/>
              <w:wordWrap/>
              <w:overflowPunct/>
              <w:topLinePunct w:val="0"/>
              <w:autoSpaceDE/>
              <w:autoSpaceDN/>
              <w:bidi w:val="0"/>
              <w:adjustRightInd/>
              <w:snapToGrid/>
              <w:spacing w:line="222" w:lineRule="auto"/>
              <w:ind w:left="0" w:right="0" w:firstLine="0" w:firstLineChars="0"/>
              <w:jc w:val="center"/>
              <w:textAlignment w:val="auto"/>
              <w:rPr>
                <w:sz w:val="24"/>
                <w:szCs w:val="24"/>
              </w:rPr>
            </w:pPr>
            <w:r>
              <w:rPr>
                <w:sz w:val="24"/>
                <w:szCs w:val="24"/>
              </w:rPr>
              <w:t>袋</w:t>
            </w:r>
          </w:p>
        </w:tc>
        <w:tc>
          <w:tcPr>
            <w:tcW w:w="1217" w:type="dxa"/>
            <w:noWrap w:val="0"/>
            <w:vAlign w:val="top"/>
          </w:tcPr>
          <w:p w14:paraId="05DC4BEC">
            <w:pPr>
              <w:keepNext w:val="0"/>
              <w:keepLines w:val="0"/>
              <w:pageBreakBefore w:val="0"/>
              <w:widowControl w:val="0"/>
              <w:kinsoku/>
              <w:wordWrap/>
              <w:overflowPunct/>
              <w:topLinePunct w:val="0"/>
              <w:autoSpaceDE/>
              <w:autoSpaceDN/>
              <w:bidi w:val="0"/>
              <w:adjustRightInd/>
              <w:snapToGrid/>
              <w:ind w:left="0" w:right="0" w:firstLine="0" w:firstLineChars="0"/>
              <w:jc w:val="center"/>
              <w:textAlignment w:val="auto"/>
              <w:rPr>
                <w:rFonts w:ascii="Arial"/>
                <w:sz w:val="21"/>
              </w:rPr>
            </w:pPr>
          </w:p>
        </w:tc>
      </w:tr>
      <w:tr w14:paraId="141061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812" w:type="dxa"/>
            <w:noWrap w:val="0"/>
            <w:vAlign w:val="top"/>
          </w:tcPr>
          <w:p w14:paraId="5AAFF7BE">
            <w:pPr>
              <w:pStyle w:val="21"/>
              <w:keepNext w:val="0"/>
              <w:keepLines w:val="0"/>
              <w:pageBreakBefore w:val="0"/>
              <w:widowControl w:val="0"/>
              <w:kinsoku/>
              <w:wordWrap/>
              <w:overflowPunct/>
              <w:topLinePunct w:val="0"/>
              <w:autoSpaceDE/>
              <w:autoSpaceDN/>
              <w:bidi w:val="0"/>
              <w:adjustRightInd/>
              <w:snapToGrid/>
              <w:ind w:left="0" w:right="0" w:firstLine="0" w:firstLineChars="0"/>
              <w:jc w:val="center"/>
              <w:textAlignment w:val="auto"/>
              <w:rPr>
                <w:sz w:val="24"/>
                <w:szCs w:val="24"/>
              </w:rPr>
            </w:pPr>
            <w:r>
              <w:rPr>
                <w:sz w:val="24"/>
                <w:szCs w:val="24"/>
              </w:rPr>
              <w:t>3</w:t>
            </w:r>
          </w:p>
        </w:tc>
        <w:tc>
          <w:tcPr>
            <w:tcW w:w="3681" w:type="dxa"/>
            <w:noWrap w:val="0"/>
            <w:vAlign w:val="top"/>
          </w:tcPr>
          <w:p w14:paraId="1481AAD2">
            <w:pPr>
              <w:pStyle w:val="21"/>
              <w:keepNext w:val="0"/>
              <w:keepLines w:val="0"/>
              <w:pageBreakBefore w:val="0"/>
              <w:widowControl w:val="0"/>
              <w:kinsoku/>
              <w:wordWrap/>
              <w:overflowPunct/>
              <w:topLinePunct w:val="0"/>
              <w:autoSpaceDE/>
              <w:autoSpaceDN/>
              <w:bidi w:val="0"/>
              <w:adjustRightInd/>
              <w:snapToGrid/>
              <w:spacing w:line="219" w:lineRule="auto"/>
              <w:ind w:left="0" w:right="0" w:firstLine="0" w:firstLineChars="0"/>
              <w:jc w:val="center"/>
              <w:textAlignment w:val="auto"/>
              <w:rPr>
                <w:sz w:val="24"/>
                <w:szCs w:val="24"/>
              </w:rPr>
            </w:pPr>
            <w:r>
              <w:rPr>
                <w:b/>
                <w:bCs/>
                <w:spacing w:val="-8"/>
                <w:sz w:val="24"/>
                <w:szCs w:val="24"/>
              </w:rPr>
              <w:t>菜籽油（非转基因</w:t>
            </w:r>
            <w:r>
              <w:rPr>
                <w:b/>
                <w:bCs/>
                <w:spacing w:val="-5"/>
                <w:sz w:val="24"/>
                <w:szCs w:val="24"/>
              </w:rPr>
              <w:t>）：</w:t>
            </w:r>
            <w:r>
              <w:rPr>
                <w:spacing w:val="-8"/>
                <w:sz w:val="24"/>
                <w:szCs w:val="24"/>
              </w:rPr>
              <w:t>220.00</w:t>
            </w:r>
            <w:r>
              <w:rPr>
                <w:spacing w:val="-65"/>
                <w:sz w:val="24"/>
                <w:szCs w:val="24"/>
              </w:rPr>
              <w:t xml:space="preserve"> </w:t>
            </w:r>
            <w:r>
              <w:rPr>
                <w:spacing w:val="-8"/>
                <w:sz w:val="24"/>
                <w:szCs w:val="24"/>
              </w:rPr>
              <w:t>元</w:t>
            </w:r>
          </w:p>
        </w:tc>
        <w:tc>
          <w:tcPr>
            <w:tcW w:w="1612" w:type="dxa"/>
            <w:noWrap w:val="0"/>
            <w:vAlign w:val="top"/>
          </w:tcPr>
          <w:p w14:paraId="23A47B9B">
            <w:pPr>
              <w:keepNext w:val="0"/>
              <w:keepLines w:val="0"/>
              <w:pageBreakBefore w:val="0"/>
              <w:widowControl w:val="0"/>
              <w:kinsoku/>
              <w:wordWrap/>
              <w:overflowPunct/>
              <w:topLinePunct w:val="0"/>
              <w:autoSpaceDE/>
              <w:autoSpaceDN/>
              <w:bidi w:val="0"/>
              <w:adjustRightInd/>
              <w:snapToGrid/>
              <w:ind w:left="0" w:right="0" w:firstLine="0" w:firstLineChars="0"/>
              <w:jc w:val="center"/>
              <w:textAlignment w:val="auto"/>
              <w:rPr>
                <w:rFonts w:ascii="Arial"/>
                <w:sz w:val="21"/>
              </w:rPr>
            </w:pPr>
          </w:p>
        </w:tc>
        <w:tc>
          <w:tcPr>
            <w:tcW w:w="1252" w:type="dxa"/>
            <w:noWrap w:val="0"/>
            <w:vAlign w:val="top"/>
          </w:tcPr>
          <w:p w14:paraId="12BD9D49">
            <w:pPr>
              <w:pStyle w:val="21"/>
              <w:keepNext w:val="0"/>
              <w:keepLines w:val="0"/>
              <w:pageBreakBefore w:val="0"/>
              <w:widowControl w:val="0"/>
              <w:kinsoku/>
              <w:wordWrap/>
              <w:overflowPunct/>
              <w:topLinePunct w:val="0"/>
              <w:autoSpaceDE/>
              <w:autoSpaceDN/>
              <w:bidi w:val="0"/>
              <w:adjustRightInd/>
              <w:snapToGrid/>
              <w:spacing w:line="239" w:lineRule="auto"/>
              <w:ind w:left="0" w:right="0" w:firstLine="0" w:firstLineChars="0"/>
              <w:jc w:val="center"/>
              <w:textAlignment w:val="auto"/>
              <w:rPr>
                <w:sz w:val="24"/>
                <w:szCs w:val="24"/>
              </w:rPr>
            </w:pPr>
            <w:r>
              <w:rPr>
                <w:spacing w:val="-10"/>
                <w:sz w:val="24"/>
                <w:szCs w:val="24"/>
              </w:rPr>
              <w:t>16.4L</w:t>
            </w:r>
          </w:p>
        </w:tc>
        <w:tc>
          <w:tcPr>
            <w:tcW w:w="1103" w:type="dxa"/>
            <w:noWrap w:val="0"/>
            <w:vAlign w:val="top"/>
          </w:tcPr>
          <w:p w14:paraId="09A675E4">
            <w:pPr>
              <w:pStyle w:val="21"/>
              <w:keepNext w:val="0"/>
              <w:keepLines w:val="0"/>
              <w:pageBreakBefore w:val="0"/>
              <w:widowControl w:val="0"/>
              <w:kinsoku/>
              <w:wordWrap/>
              <w:overflowPunct/>
              <w:topLinePunct w:val="0"/>
              <w:autoSpaceDE/>
              <w:autoSpaceDN/>
              <w:bidi w:val="0"/>
              <w:adjustRightInd/>
              <w:snapToGrid/>
              <w:spacing w:line="219" w:lineRule="auto"/>
              <w:ind w:left="0" w:right="0" w:firstLine="0" w:firstLineChars="0"/>
              <w:jc w:val="center"/>
              <w:textAlignment w:val="auto"/>
              <w:rPr>
                <w:sz w:val="24"/>
                <w:szCs w:val="24"/>
              </w:rPr>
            </w:pPr>
            <w:r>
              <w:rPr>
                <w:sz w:val="24"/>
                <w:szCs w:val="24"/>
              </w:rPr>
              <w:t>桶</w:t>
            </w:r>
          </w:p>
        </w:tc>
        <w:tc>
          <w:tcPr>
            <w:tcW w:w="1217" w:type="dxa"/>
            <w:noWrap w:val="0"/>
            <w:vAlign w:val="top"/>
          </w:tcPr>
          <w:p w14:paraId="3DEE0F81">
            <w:pPr>
              <w:keepNext w:val="0"/>
              <w:keepLines w:val="0"/>
              <w:pageBreakBefore w:val="0"/>
              <w:widowControl w:val="0"/>
              <w:kinsoku/>
              <w:wordWrap/>
              <w:overflowPunct/>
              <w:topLinePunct w:val="0"/>
              <w:autoSpaceDE/>
              <w:autoSpaceDN/>
              <w:bidi w:val="0"/>
              <w:adjustRightInd/>
              <w:snapToGrid/>
              <w:ind w:left="0" w:right="0" w:firstLine="0" w:firstLineChars="0"/>
              <w:jc w:val="center"/>
              <w:textAlignment w:val="auto"/>
              <w:rPr>
                <w:rFonts w:ascii="Arial"/>
                <w:sz w:val="21"/>
              </w:rPr>
            </w:pPr>
          </w:p>
        </w:tc>
      </w:tr>
      <w:tr w14:paraId="0B15BF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9677" w:type="dxa"/>
            <w:gridSpan w:val="6"/>
            <w:noWrap w:val="0"/>
            <w:vAlign w:val="center"/>
          </w:tcPr>
          <w:p w14:paraId="48B18C77">
            <w:pPr>
              <w:keepNext w:val="0"/>
              <w:keepLines w:val="0"/>
              <w:pageBreakBefore w:val="0"/>
              <w:widowControl w:val="0"/>
              <w:kinsoku/>
              <w:wordWrap/>
              <w:overflowPunct/>
              <w:topLinePunct w:val="0"/>
              <w:autoSpaceDE/>
              <w:autoSpaceDN/>
              <w:bidi w:val="0"/>
              <w:adjustRightInd/>
              <w:snapToGrid/>
              <w:ind w:left="0" w:right="0" w:firstLine="0" w:firstLineChars="0"/>
              <w:jc w:val="left"/>
              <w:textAlignment w:val="auto"/>
              <w:rPr>
                <w:rFonts w:hint="default" w:ascii="Arial" w:eastAsia="宋体"/>
                <w:sz w:val="21"/>
                <w:lang w:val="en-US" w:eastAsia="zh-CN"/>
              </w:rPr>
            </w:pPr>
            <w:r>
              <w:rPr>
                <w:rFonts w:hint="eastAsia" w:ascii="Arial"/>
                <w:sz w:val="21"/>
                <w:lang w:val="en-US" w:eastAsia="zh-CN"/>
              </w:rPr>
              <w:t>单价合计：</w:t>
            </w:r>
          </w:p>
        </w:tc>
      </w:tr>
    </w:tbl>
    <w:p w14:paraId="462E1B4E">
      <w:pPr>
        <w:shd w:val="clear" w:color="auto" w:fill="auto"/>
        <w:spacing w:before="240"/>
        <w:ind w:firstLine="0" w:firstLineChars="0"/>
        <w:rPr>
          <w:rFonts w:hint="eastAsia" w:ascii="宋体" w:hAnsi="宋体" w:cs="宋体"/>
          <w:sz w:val="18"/>
          <w:szCs w:val="18"/>
          <w:highlight w:val="none"/>
        </w:rPr>
      </w:pPr>
    </w:p>
    <w:p w14:paraId="2705DE3E">
      <w:pPr>
        <w:shd w:val="clear" w:color="auto" w:fill="auto"/>
        <w:spacing w:before="240"/>
        <w:ind w:firstLine="0" w:firstLineChars="0"/>
        <w:rPr>
          <w:rFonts w:hint="eastAsia" w:ascii="宋体" w:hAnsi="宋体" w:cs="宋体"/>
          <w:sz w:val="18"/>
          <w:szCs w:val="18"/>
          <w:highlight w:val="none"/>
        </w:rPr>
      </w:pPr>
      <w:r>
        <w:rPr>
          <w:rFonts w:hint="eastAsia" w:ascii="宋体" w:hAnsi="宋体" w:cs="宋体"/>
          <w:sz w:val="18"/>
          <w:szCs w:val="18"/>
          <w:highlight w:val="none"/>
        </w:rPr>
        <w:t>注：1、</w:t>
      </w:r>
      <w:r>
        <w:rPr>
          <w:rFonts w:hint="eastAsia" w:ascii="宋体" w:hAnsi="宋体" w:cs="宋体"/>
          <w:sz w:val="18"/>
          <w:szCs w:val="18"/>
          <w:highlight w:val="none"/>
          <w:lang w:eastAsia="zh-CN"/>
        </w:rPr>
        <w:t>本表价格应按投标单价填写</w:t>
      </w:r>
      <w:r>
        <w:rPr>
          <w:rFonts w:hint="eastAsia" w:ascii="宋体" w:hAnsi="宋体" w:cs="宋体"/>
          <w:sz w:val="18"/>
          <w:szCs w:val="18"/>
          <w:highlight w:val="none"/>
        </w:rPr>
        <w:t>；</w:t>
      </w:r>
    </w:p>
    <w:p w14:paraId="2D280F60">
      <w:pPr>
        <w:shd w:val="clear" w:color="auto" w:fill="auto"/>
        <w:ind w:firstLine="360"/>
        <w:rPr>
          <w:rFonts w:hint="eastAsia" w:ascii="宋体" w:hAnsi="宋体" w:cs="宋体"/>
          <w:bCs/>
          <w:sz w:val="18"/>
          <w:szCs w:val="18"/>
          <w:highlight w:val="none"/>
        </w:rPr>
      </w:pPr>
      <w:r>
        <w:rPr>
          <w:rFonts w:hint="eastAsia" w:ascii="宋体" w:hAnsi="宋体" w:cs="宋体"/>
          <w:bCs/>
          <w:color w:val="000000"/>
          <w:sz w:val="18"/>
          <w:szCs w:val="18"/>
          <w:highlight w:val="none"/>
        </w:rPr>
        <w:t>2、</w:t>
      </w:r>
      <w:r>
        <w:rPr>
          <w:rFonts w:hint="eastAsia" w:ascii="宋体" w:hAnsi="宋体" w:cs="宋体"/>
          <w:sz w:val="18"/>
          <w:szCs w:val="18"/>
          <w:highlight w:val="none"/>
          <w:lang w:eastAsia="zh-CN"/>
        </w:rPr>
        <w:t>根据采购内容中米、</w:t>
      </w:r>
      <w:r>
        <w:rPr>
          <w:rFonts w:hint="eastAsia" w:ascii="宋体" w:hAnsi="宋体" w:cs="宋体"/>
          <w:sz w:val="18"/>
          <w:szCs w:val="18"/>
          <w:highlight w:val="none"/>
          <w:lang w:val="en-US" w:eastAsia="zh-CN"/>
        </w:rPr>
        <w:t>面粉</w:t>
      </w:r>
      <w:r>
        <w:rPr>
          <w:rFonts w:hint="eastAsia" w:ascii="宋体" w:hAnsi="宋体" w:cs="宋体"/>
          <w:sz w:val="18"/>
          <w:szCs w:val="18"/>
          <w:highlight w:val="none"/>
          <w:lang w:eastAsia="zh-CN"/>
        </w:rPr>
        <w:t>、菜籽油产品逐一报价</w:t>
      </w:r>
      <w:r>
        <w:rPr>
          <w:rFonts w:hint="eastAsia" w:ascii="宋体" w:hAnsi="宋体" w:cs="宋体"/>
          <w:bCs/>
          <w:sz w:val="18"/>
          <w:szCs w:val="18"/>
          <w:highlight w:val="none"/>
        </w:rPr>
        <w:t>；</w:t>
      </w:r>
    </w:p>
    <w:p w14:paraId="0CB05899">
      <w:pPr>
        <w:shd w:val="clear" w:color="auto" w:fill="auto"/>
        <w:ind w:firstLine="360"/>
        <w:rPr>
          <w:rFonts w:hint="eastAsia" w:ascii="宋体" w:hAnsi="宋体" w:cs="宋体"/>
          <w:sz w:val="18"/>
          <w:szCs w:val="18"/>
          <w:highlight w:val="none"/>
          <w:lang w:eastAsia="zh-CN"/>
        </w:rPr>
      </w:pPr>
      <w:r>
        <w:rPr>
          <w:rFonts w:hint="eastAsia" w:ascii="宋体" w:hAnsi="宋体" w:cs="宋体"/>
          <w:bCs/>
          <w:sz w:val="18"/>
          <w:szCs w:val="18"/>
          <w:highlight w:val="none"/>
        </w:rPr>
        <w:t>3、</w:t>
      </w:r>
      <w:r>
        <w:rPr>
          <w:rFonts w:hint="eastAsia" w:ascii="宋体" w:hAnsi="宋体" w:cs="宋体"/>
          <w:sz w:val="18"/>
          <w:szCs w:val="18"/>
          <w:highlight w:val="none"/>
          <w:lang w:eastAsia="zh-CN"/>
        </w:rPr>
        <w:t>报价最多保留小数点后两位；</w:t>
      </w:r>
    </w:p>
    <w:p w14:paraId="5BBEA37F">
      <w:pPr>
        <w:shd w:val="clear" w:color="auto" w:fill="auto"/>
        <w:ind w:firstLine="360"/>
        <w:rPr>
          <w:rFonts w:hint="eastAsia" w:ascii="宋体" w:hAnsi="宋体" w:cs="宋体"/>
          <w:sz w:val="18"/>
          <w:szCs w:val="18"/>
          <w:highlight w:val="none"/>
          <w:lang w:eastAsia="zh-CN"/>
        </w:rPr>
      </w:pPr>
      <w:r>
        <w:rPr>
          <w:rFonts w:hint="eastAsia" w:ascii="宋体" w:hAnsi="宋体" w:cs="宋体"/>
          <w:sz w:val="18"/>
          <w:szCs w:val="18"/>
          <w:highlight w:val="none"/>
          <w:lang w:val="en-US" w:eastAsia="zh-CN"/>
        </w:rPr>
        <w:t>4、</w:t>
      </w:r>
      <w:r>
        <w:rPr>
          <w:rFonts w:hint="eastAsia" w:ascii="宋体" w:hAnsi="宋体" w:cs="宋体"/>
          <w:sz w:val="18"/>
          <w:szCs w:val="18"/>
          <w:highlight w:val="none"/>
          <w:lang w:eastAsia="zh-CN"/>
        </w:rPr>
        <w:t>本次投标报价仅限</w:t>
      </w:r>
      <w:r>
        <w:rPr>
          <w:rFonts w:hint="eastAsia" w:ascii="宋体" w:hAnsi="宋体" w:cs="宋体"/>
          <w:sz w:val="18"/>
          <w:szCs w:val="18"/>
          <w:highlight w:val="none"/>
          <w:lang w:val="en-US" w:eastAsia="zh-CN"/>
        </w:rPr>
        <w:t>米</w:t>
      </w:r>
      <w:r>
        <w:rPr>
          <w:rFonts w:hint="eastAsia" w:ascii="宋体" w:hAnsi="宋体" w:cs="宋体"/>
          <w:sz w:val="18"/>
          <w:szCs w:val="18"/>
          <w:highlight w:val="none"/>
          <w:lang w:eastAsia="zh-CN"/>
        </w:rPr>
        <w:t>、</w:t>
      </w:r>
      <w:r>
        <w:rPr>
          <w:rFonts w:hint="eastAsia" w:ascii="宋体" w:hAnsi="宋体" w:cs="宋体"/>
          <w:sz w:val="18"/>
          <w:szCs w:val="18"/>
          <w:highlight w:val="none"/>
          <w:lang w:val="en-US" w:eastAsia="zh-CN"/>
        </w:rPr>
        <w:t>面粉</w:t>
      </w:r>
      <w:r>
        <w:rPr>
          <w:rFonts w:hint="eastAsia" w:ascii="宋体" w:hAnsi="宋体" w:cs="宋体"/>
          <w:sz w:val="18"/>
          <w:szCs w:val="18"/>
          <w:highlight w:val="none"/>
          <w:lang w:eastAsia="zh-CN"/>
        </w:rPr>
        <w:t>、压榨菜籽油的单价；</w:t>
      </w:r>
    </w:p>
    <w:p w14:paraId="316B03BF">
      <w:pPr>
        <w:shd w:val="clear" w:color="auto" w:fill="auto"/>
        <w:rPr>
          <w:rFonts w:hint="eastAsia" w:ascii="宋体" w:hAnsi="宋体" w:cs="宋体"/>
          <w:sz w:val="18"/>
          <w:szCs w:val="18"/>
          <w:highlight w:val="none"/>
          <w:lang w:eastAsia="zh-CN"/>
        </w:rPr>
      </w:pPr>
      <w:r>
        <w:rPr>
          <w:rFonts w:hint="eastAsia" w:ascii="宋体" w:hAnsi="宋体" w:cs="宋体"/>
          <w:sz w:val="18"/>
          <w:szCs w:val="18"/>
          <w:highlight w:val="none"/>
          <w:lang w:val="en-US" w:eastAsia="zh-CN"/>
        </w:rPr>
        <w:t>5、肉类、蛋类、蔬菜类、干菜类、调味品类执行固定下浮率8%不再进行报价</w:t>
      </w:r>
      <w:r>
        <w:rPr>
          <w:rFonts w:hint="eastAsia" w:ascii="宋体" w:hAnsi="宋体" w:cs="宋体"/>
          <w:sz w:val="18"/>
          <w:szCs w:val="18"/>
          <w:highlight w:val="none"/>
          <w:lang w:eastAsia="zh-CN"/>
        </w:rPr>
        <w:t>。</w:t>
      </w:r>
    </w:p>
    <w:p w14:paraId="79C0FA1A">
      <w:pPr>
        <w:shd w:val="clear" w:color="auto" w:fill="auto"/>
        <w:ind w:firstLine="480"/>
        <w:rPr>
          <w:rFonts w:hint="eastAsia" w:ascii="宋体" w:hAnsi="宋体" w:cs="宋体"/>
          <w:color w:val="000000"/>
          <w:sz w:val="24"/>
          <w:highlight w:val="none"/>
        </w:rPr>
      </w:pPr>
    </w:p>
    <w:p w14:paraId="60305009">
      <w:pPr>
        <w:shd w:val="clear" w:color="auto" w:fill="auto"/>
        <w:ind w:firstLine="480"/>
        <w:rPr>
          <w:rFonts w:hint="eastAsia" w:ascii="宋体" w:hAnsi="宋体" w:cs="宋体"/>
          <w:color w:val="000000"/>
          <w:sz w:val="24"/>
          <w:highlight w:val="none"/>
        </w:rPr>
      </w:pPr>
      <w:r>
        <w:rPr>
          <w:rFonts w:hint="eastAsia" w:ascii="宋体" w:hAnsi="宋体" w:cs="宋体"/>
          <w:color w:val="000000"/>
          <w:sz w:val="24"/>
          <w:highlight w:val="none"/>
        </w:rPr>
        <w:t>投标供应商名称：（盖章）</w:t>
      </w:r>
    </w:p>
    <w:p w14:paraId="231CF9CD">
      <w:pPr>
        <w:shd w:val="clear" w:color="auto" w:fill="auto"/>
        <w:adjustRightInd w:val="0"/>
        <w:ind w:firstLine="480"/>
        <w:jc w:val="left"/>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法定代表人或授权代表（签名或盖章）：       </w:t>
      </w:r>
    </w:p>
    <w:p w14:paraId="138610C9">
      <w:pPr>
        <w:shd w:val="clear" w:color="auto" w:fill="auto"/>
        <w:adjustRightInd w:val="0"/>
        <w:ind w:firstLine="480"/>
        <w:jc w:val="left"/>
        <w:rPr>
          <w:rFonts w:hint="eastAsia" w:ascii="宋体" w:hAnsi="宋体" w:cs="宋体"/>
          <w:color w:val="000000"/>
          <w:sz w:val="28"/>
          <w:szCs w:val="28"/>
          <w:highlight w:val="none"/>
        </w:rPr>
      </w:pPr>
      <w:r>
        <w:rPr>
          <w:rFonts w:hint="eastAsia" w:ascii="宋体" w:hAnsi="宋体" w:cs="宋体"/>
          <w:color w:val="000000"/>
          <w:sz w:val="24"/>
          <w:highlight w:val="none"/>
        </w:rPr>
        <w:t>投标日期</w:t>
      </w:r>
      <w:r>
        <w:rPr>
          <w:rFonts w:hint="eastAsia" w:ascii="宋体" w:hAnsi="宋体" w:cs="宋体"/>
          <w:color w:val="000000"/>
          <w:sz w:val="28"/>
          <w:szCs w:val="28"/>
          <w:highlight w:val="none"/>
        </w:rPr>
        <w:t>：</w:t>
      </w:r>
    </w:p>
    <w:p w14:paraId="0D260E0B">
      <w:pPr>
        <w:shd w:val="clear" w:color="auto" w:fill="auto"/>
        <w:adjustRightInd w:val="0"/>
        <w:ind w:firstLine="480"/>
        <w:jc w:val="center"/>
        <w:rPr>
          <w:rFonts w:hint="eastAsia" w:ascii="宋体" w:hAnsi="宋体" w:eastAsia="宋体" w:cs="宋体"/>
          <w:bCs/>
          <w:color w:val="000000"/>
          <w:szCs w:val="28"/>
          <w:highlight w:val="none"/>
        </w:rPr>
      </w:pPr>
      <w:r>
        <w:rPr>
          <w:rFonts w:hint="eastAsia" w:ascii="宋体" w:hAnsi="宋体" w:cs="宋体"/>
          <w:color w:val="000000"/>
          <w:sz w:val="28"/>
          <w:szCs w:val="28"/>
          <w:highlight w:val="none"/>
        </w:rPr>
        <w:br w:type="page"/>
      </w:r>
      <w:bookmarkStart w:id="147" w:name="_Toc17091_WPSOffice_Level1"/>
      <w:bookmarkStart w:id="148" w:name="_Toc217446087"/>
      <w:r>
        <w:rPr>
          <w:rFonts w:hint="eastAsia" w:ascii="宋体" w:hAnsi="宋体" w:eastAsia="宋体" w:cs="宋体"/>
          <w:b/>
          <w:bCs/>
          <w:color w:val="000000"/>
          <w:kern w:val="2"/>
          <w:sz w:val="28"/>
          <w:szCs w:val="28"/>
          <w:highlight w:val="none"/>
          <w:lang w:val="en-US" w:eastAsia="zh-CN" w:bidi="ar-SA"/>
        </w:rPr>
        <w:t>四、技术规格偏离表</w:t>
      </w:r>
      <w:bookmarkEnd w:id="147"/>
    </w:p>
    <w:p w14:paraId="66365995">
      <w:pPr>
        <w:pStyle w:val="5"/>
        <w:shd w:val="clear" w:color="auto" w:fill="auto"/>
        <w:ind w:firstLine="0" w:firstLineChars="0"/>
        <w:rPr>
          <w:rFonts w:hint="eastAsia" w:ascii="宋体" w:hAnsi="宋体" w:cs="宋体"/>
          <w:highlight w:val="none"/>
        </w:rPr>
      </w:pPr>
    </w:p>
    <w:tbl>
      <w:tblPr>
        <w:tblStyle w:val="14"/>
        <w:tblpPr w:leftFromText="180" w:rightFromText="180" w:vertAnchor="page" w:horzAnchor="page" w:tblpXSpec="center" w:tblpY="308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1702"/>
        <w:gridCol w:w="1701"/>
        <w:gridCol w:w="2001"/>
        <w:gridCol w:w="2591"/>
      </w:tblGrid>
      <w:tr w14:paraId="253FF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816" w:type="dxa"/>
            <w:noWrap w:val="0"/>
            <w:vAlign w:val="center"/>
          </w:tcPr>
          <w:p w14:paraId="425295F6">
            <w:pPr>
              <w:pStyle w:val="22"/>
              <w:shd w:val="clear" w:color="auto" w:fill="auto"/>
              <w:spacing w:line="360" w:lineRule="auto"/>
              <w:ind w:firstLine="0" w:firstLineChars="0"/>
              <w:jc w:val="center"/>
              <w:rPr>
                <w:rFonts w:hint="eastAsia" w:ascii="宋体" w:hAnsi="宋体" w:cs="宋体"/>
                <w:sz w:val="21"/>
                <w:szCs w:val="21"/>
                <w:highlight w:val="none"/>
              </w:rPr>
            </w:pPr>
            <w:r>
              <w:rPr>
                <w:rFonts w:hint="eastAsia" w:ascii="宋体" w:hAnsi="宋体" w:cs="宋体"/>
                <w:sz w:val="21"/>
                <w:szCs w:val="21"/>
                <w:highlight w:val="none"/>
              </w:rPr>
              <w:t>序号</w:t>
            </w:r>
          </w:p>
        </w:tc>
        <w:tc>
          <w:tcPr>
            <w:tcW w:w="1702" w:type="dxa"/>
            <w:noWrap w:val="0"/>
            <w:vAlign w:val="center"/>
          </w:tcPr>
          <w:p w14:paraId="0A5304F5">
            <w:pPr>
              <w:pStyle w:val="22"/>
              <w:shd w:val="clear" w:color="auto" w:fill="auto"/>
              <w:spacing w:line="360" w:lineRule="auto"/>
              <w:ind w:firstLine="0" w:firstLineChars="0"/>
              <w:jc w:val="center"/>
              <w:rPr>
                <w:rFonts w:hint="eastAsia" w:ascii="宋体" w:hAnsi="宋体" w:cs="宋体"/>
                <w:sz w:val="21"/>
                <w:szCs w:val="21"/>
                <w:highlight w:val="none"/>
              </w:rPr>
            </w:pPr>
            <w:r>
              <w:rPr>
                <w:rFonts w:hint="eastAsia" w:ascii="宋体" w:hAnsi="宋体" w:cs="宋体"/>
                <w:sz w:val="21"/>
                <w:szCs w:val="21"/>
                <w:highlight w:val="none"/>
                <w:lang w:eastAsia="zh-CN"/>
              </w:rPr>
              <w:t>产品</w:t>
            </w:r>
            <w:r>
              <w:rPr>
                <w:rFonts w:hint="eastAsia" w:ascii="宋体" w:hAnsi="宋体" w:cs="宋体"/>
                <w:sz w:val="21"/>
                <w:szCs w:val="21"/>
                <w:highlight w:val="none"/>
              </w:rPr>
              <w:t>名称</w:t>
            </w:r>
          </w:p>
        </w:tc>
        <w:tc>
          <w:tcPr>
            <w:tcW w:w="1701" w:type="dxa"/>
            <w:noWrap w:val="0"/>
            <w:vAlign w:val="center"/>
          </w:tcPr>
          <w:p w14:paraId="1207DC51">
            <w:pPr>
              <w:pStyle w:val="22"/>
              <w:shd w:val="clear" w:color="auto" w:fill="auto"/>
              <w:spacing w:line="360" w:lineRule="auto"/>
              <w:ind w:firstLine="0" w:firstLineChars="0"/>
              <w:jc w:val="center"/>
              <w:rPr>
                <w:rFonts w:hint="eastAsia" w:ascii="宋体" w:hAnsi="宋体" w:cs="宋体"/>
                <w:sz w:val="21"/>
                <w:szCs w:val="21"/>
                <w:highlight w:val="none"/>
              </w:rPr>
            </w:pPr>
            <w:r>
              <w:rPr>
                <w:rFonts w:hint="eastAsia" w:ascii="宋体" w:hAnsi="宋体" w:cs="宋体"/>
                <w:sz w:val="21"/>
                <w:szCs w:val="21"/>
                <w:highlight w:val="none"/>
              </w:rPr>
              <w:t>招标文件要求</w:t>
            </w:r>
          </w:p>
        </w:tc>
        <w:tc>
          <w:tcPr>
            <w:tcW w:w="2001" w:type="dxa"/>
            <w:noWrap w:val="0"/>
            <w:vAlign w:val="center"/>
          </w:tcPr>
          <w:p w14:paraId="1ED680AA">
            <w:pPr>
              <w:pStyle w:val="22"/>
              <w:shd w:val="clear" w:color="auto" w:fill="auto"/>
              <w:spacing w:line="360" w:lineRule="auto"/>
              <w:ind w:firstLine="0" w:firstLineChars="0"/>
              <w:jc w:val="center"/>
              <w:rPr>
                <w:rFonts w:hint="eastAsia" w:ascii="宋体" w:hAnsi="宋体" w:cs="宋体"/>
                <w:sz w:val="21"/>
                <w:szCs w:val="21"/>
                <w:highlight w:val="none"/>
              </w:rPr>
            </w:pPr>
            <w:r>
              <w:rPr>
                <w:rFonts w:hint="eastAsia" w:ascii="宋体" w:hAnsi="宋体" w:cs="宋体"/>
                <w:sz w:val="21"/>
                <w:szCs w:val="21"/>
                <w:highlight w:val="none"/>
              </w:rPr>
              <w:t>投标响应</w:t>
            </w:r>
          </w:p>
        </w:tc>
        <w:tc>
          <w:tcPr>
            <w:tcW w:w="2591" w:type="dxa"/>
            <w:noWrap w:val="0"/>
            <w:vAlign w:val="center"/>
          </w:tcPr>
          <w:p w14:paraId="0800770C">
            <w:pPr>
              <w:pStyle w:val="22"/>
              <w:shd w:val="clear" w:color="auto" w:fill="auto"/>
              <w:spacing w:line="360" w:lineRule="auto"/>
              <w:ind w:firstLine="0" w:firstLineChars="0"/>
              <w:jc w:val="center"/>
              <w:rPr>
                <w:rFonts w:hint="eastAsia" w:ascii="宋体" w:hAnsi="宋体" w:cs="宋体"/>
                <w:sz w:val="21"/>
                <w:szCs w:val="21"/>
                <w:highlight w:val="none"/>
              </w:rPr>
            </w:pPr>
            <w:r>
              <w:rPr>
                <w:rFonts w:hint="eastAsia" w:ascii="宋体" w:hAnsi="宋体" w:cs="宋体"/>
                <w:sz w:val="21"/>
                <w:szCs w:val="21"/>
                <w:highlight w:val="none"/>
              </w:rPr>
              <w:t>偏离对</w:t>
            </w:r>
            <w:r>
              <w:rPr>
                <w:rFonts w:hint="eastAsia" w:ascii="宋体" w:hAnsi="宋体" w:cs="宋体"/>
                <w:sz w:val="21"/>
                <w:szCs w:val="21"/>
                <w:highlight w:val="none"/>
                <w:lang w:eastAsia="zh-CN"/>
              </w:rPr>
              <w:t>产品</w:t>
            </w:r>
            <w:r>
              <w:rPr>
                <w:rFonts w:hint="eastAsia" w:ascii="宋体" w:hAnsi="宋体" w:cs="宋体"/>
                <w:sz w:val="21"/>
                <w:szCs w:val="21"/>
                <w:highlight w:val="none"/>
              </w:rPr>
              <w:t>性能的影响</w:t>
            </w:r>
          </w:p>
        </w:tc>
      </w:tr>
      <w:tr w14:paraId="60CB8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vAlign w:val="top"/>
          </w:tcPr>
          <w:p w14:paraId="1BB3B911">
            <w:pPr>
              <w:pStyle w:val="22"/>
              <w:shd w:val="clear" w:color="auto" w:fill="auto"/>
              <w:spacing w:line="360" w:lineRule="auto"/>
              <w:ind w:firstLine="420"/>
              <w:rPr>
                <w:rFonts w:hint="eastAsia" w:ascii="宋体" w:hAnsi="宋体" w:cs="宋体"/>
                <w:sz w:val="21"/>
                <w:szCs w:val="21"/>
                <w:highlight w:val="none"/>
              </w:rPr>
            </w:pPr>
          </w:p>
        </w:tc>
        <w:tc>
          <w:tcPr>
            <w:tcW w:w="1702" w:type="dxa"/>
            <w:noWrap w:val="0"/>
            <w:vAlign w:val="top"/>
          </w:tcPr>
          <w:p w14:paraId="39105883">
            <w:pPr>
              <w:pStyle w:val="22"/>
              <w:shd w:val="clear" w:color="auto" w:fill="auto"/>
              <w:spacing w:line="360" w:lineRule="auto"/>
              <w:ind w:firstLine="420"/>
              <w:rPr>
                <w:rFonts w:hint="eastAsia" w:ascii="宋体" w:hAnsi="宋体" w:cs="宋体"/>
                <w:sz w:val="21"/>
                <w:szCs w:val="21"/>
                <w:highlight w:val="none"/>
              </w:rPr>
            </w:pPr>
          </w:p>
        </w:tc>
        <w:tc>
          <w:tcPr>
            <w:tcW w:w="1701" w:type="dxa"/>
            <w:noWrap w:val="0"/>
            <w:vAlign w:val="top"/>
          </w:tcPr>
          <w:p w14:paraId="769C2157">
            <w:pPr>
              <w:pStyle w:val="22"/>
              <w:shd w:val="clear" w:color="auto" w:fill="auto"/>
              <w:spacing w:line="360" w:lineRule="auto"/>
              <w:ind w:firstLine="420"/>
              <w:rPr>
                <w:rFonts w:hint="eastAsia" w:ascii="宋体" w:hAnsi="宋体" w:cs="宋体"/>
                <w:sz w:val="21"/>
                <w:szCs w:val="21"/>
                <w:highlight w:val="none"/>
              </w:rPr>
            </w:pPr>
          </w:p>
        </w:tc>
        <w:tc>
          <w:tcPr>
            <w:tcW w:w="2001" w:type="dxa"/>
            <w:noWrap w:val="0"/>
            <w:vAlign w:val="top"/>
          </w:tcPr>
          <w:p w14:paraId="6A59A5F9">
            <w:pPr>
              <w:pStyle w:val="22"/>
              <w:shd w:val="clear" w:color="auto" w:fill="auto"/>
              <w:spacing w:line="360" w:lineRule="auto"/>
              <w:ind w:firstLine="420"/>
              <w:rPr>
                <w:rFonts w:hint="eastAsia" w:ascii="宋体" w:hAnsi="宋体" w:cs="宋体"/>
                <w:sz w:val="21"/>
                <w:szCs w:val="21"/>
                <w:highlight w:val="none"/>
              </w:rPr>
            </w:pPr>
          </w:p>
        </w:tc>
        <w:tc>
          <w:tcPr>
            <w:tcW w:w="2591" w:type="dxa"/>
            <w:noWrap w:val="0"/>
            <w:vAlign w:val="top"/>
          </w:tcPr>
          <w:p w14:paraId="48825710">
            <w:pPr>
              <w:pStyle w:val="22"/>
              <w:shd w:val="clear" w:color="auto" w:fill="auto"/>
              <w:spacing w:line="360" w:lineRule="auto"/>
              <w:ind w:firstLine="420"/>
              <w:rPr>
                <w:rFonts w:hint="eastAsia" w:ascii="宋体" w:hAnsi="宋体" w:cs="宋体"/>
                <w:sz w:val="21"/>
                <w:szCs w:val="21"/>
                <w:highlight w:val="none"/>
              </w:rPr>
            </w:pPr>
          </w:p>
        </w:tc>
      </w:tr>
      <w:tr w14:paraId="71790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vAlign w:val="top"/>
          </w:tcPr>
          <w:p w14:paraId="3C327448">
            <w:pPr>
              <w:pStyle w:val="22"/>
              <w:shd w:val="clear" w:color="auto" w:fill="auto"/>
              <w:spacing w:line="360" w:lineRule="auto"/>
              <w:ind w:firstLine="420"/>
              <w:rPr>
                <w:rFonts w:hint="eastAsia" w:ascii="宋体" w:hAnsi="宋体" w:cs="宋体"/>
                <w:sz w:val="21"/>
                <w:szCs w:val="21"/>
                <w:highlight w:val="none"/>
              </w:rPr>
            </w:pPr>
          </w:p>
        </w:tc>
        <w:tc>
          <w:tcPr>
            <w:tcW w:w="1702" w:type="dxa"/>
            <w:noWrap w:val="0"/>
            <w:vAlign w:val="top"/>
          </w:tcPr>
          <w:p w14:paraId="6E075D0F">
            <w:pPr>
              <w:pStyle w:val="22"/>
              <w:shd w:val="clear" w:color="auto" w:fill="auto"/>
              <w:spacing w:line="360" w:lineRule="auto"/>
              <w:ind w:firstLine="420"/>
              <w:rPr>
                <w:rFonts w:hint="eastAsia" w:ascii="宋体" w:hAnsi="宋体" w:cs="宋体"/>
                <w:sz w:val="21"/>
                <w:szCs w:val="21"/>
                <w:highlight w:val="none"/>
              </w:rPr>
            </w:pPr>
          </w:p>
        </w:tc>
        <w:tc>
          <w:tcPr>
            <w:tcW w:w="1701" w:type="dxa"/>
            <w:noWrap w:val="0"/>
            <w:vAlign w:val="top"/>
          </w:tcPr>
          <w:p w14:paraId="04921B70">
            <w:pPr>
              <w:pStyle w:val="22"/>
              <w:shd w:val="clear" w:color="auto" w:fill="auto"/>
              <w:spacing w:line="360" w:lineRule="auto"/>
              <w:ind w:firstLine="420"/>
              <w:rPr>
                <w:rFonts w:hint="eastAsia" w:ascii="宋体" w:hAnsi="宋体" w:cs="宋体"/>
                <w:sz w:val="21"/>
                <w:szCs w:val="21"/>
                <w:highlight w:val="none"/>
              </w:rPr>
            </w:pPr>
          </w:p>
        </w:tc>
        <w:tc>
          <w:tcPr>
            <w:tcW w:w="2001" w:type="dxa"/>
            <w:noWrap w:val="0"/>
            <w:vAlign w:val="top"/>
          </w:tcPr>
          <w:p w14:paraId="4843381E">
            <w:pPr>
              <w:pStyle w:val="22"/>
              <w:shd w:val="clear" w:color="auto" w:fill="auto"/>
              <w:spacing w:line="360" w:lineRule="auto"/>
              <w:ind w:firstLine="420"/>
              <w:rPr>
                <w:rFonts w:hint="eastAsia" w:ascii="宋体" w:hAnsi="宋体" w:cs="宋体"/>
                <w:sz w:val="21"/>
                <w:szCs w:val="21"/>
                <w:highlight w:val="none"/>
              </w:rPr>
            </w:pPr>
          </w:p>
        </w:tc>
        <w:tc>
          <w:tcPr>
            <w:tcW w:w="2591" w:type="dxa"/>
            <w:noWrap w:val="0"/>
            <w:vAlign w:val="top"/>
          </w:tcPr>
          <w:p w14:paraId="5782826E">
            <w:pPr>
              <w:pStyle w:val="22"/>
              <w:shd w:val="clear" w:color="auto" w:fill="auto"/>
              <w:spacing w:line="360" w:lineRule="auto"/>
              <w:ind w:firstLine="420"/>
              <w:rPr>
                <w:rFonts w:hint="eastAsia" w:ascii="宋体" w:hAnsi="宋体" w:cs="宋体"/>
                <w:sz w:val="21"/>
                <w:szCs w:val="21"/>
                <w:highlight w:val="none"/>
              </w:rPr>
            </w:pPr>
          </w:p>
        </w:tc>
      </w:tr>
      <w:tr w14:paraId="31EA8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vAlign w:val="top"/>
          </w:tcPr>
          <w:p w14:paraId="6089AC47">
            <w:pPr>
              <w:pStyle w:val="22"/>
              <w:shd w:val="clear" w:color="auto" w:fill="auto"/>
              <w:spacing w:line="360" w:lineRule="auto"/>
              <w:ind w:firstLine="420"/>
              <w:rPr>
                <w:rFonts w:hint="eastAsia" w:ascii="宋体" w:hAnsi="宋体" w:cs="宋体"/>
                <w:sz w:val="21"/>
                <w:szCs w:val="21"/>
                <w:highlight w:val="none"/>
              </w:rPr>
            </w:pPr>
          </w:p>
        </w:tc>
        <w:tc>
          <w:tcPr>
            <w:tcW w:w="1702" w:type="dxa"/>
            <w:noWrap w:val="0"/>
            <w:vAlign w:val="top"/>
          </w:tcPr>
          <w:p w14:paraId="6E28AA4A">
            <w:pPr>
              <w:pStyle w:val="22"/>
              <w:shd w:val="clear" w:color="auto" w:fill="auto"/>
              <w:spacing w:line="360" w:lineRule="auto"/>
              <w:ind w:firstLine="420"/>
              <w:rPr>
                <w:rFonts w:hint="eastAsia" w:ascii="宋体" w:hAnsi="宋体" w:cs="宋体"/>
                <w:sz w:val="21"/>
                <w:szCs w:val="21"/>
                <w:highlight w:val="none"/>
              </w:rPr>
            </w:pPr>
          </w:p>
        </w:tc>
        <w:tc>
          <w:tcPr>
            <w:tcW w:w="1701" w:type="dxa"/>
            <w:noWrap w:val="0"/>
            <w:vAlign w:val="top"/>
          </w:tcPr>
          <w:p w14:paraId="6F8F64EB">
            <w:pPr>
              <w:pStyle w:val="22"/>
              <w:shd w:val="clear" w:color="auto" w:fill="auto"/>
              <w:spacing w:line="360" w:lineRule="auto"/>
              <w:ind w:firstLine="420"/>
              <w:rPr>
                <w:rFonts w:hint="eastAsia" w:ascii="宋体" w:hAnsi="宋体" w:cs="宋体"/>
                <w:sz w:val="21"/>
                <w:szCs w:val="21"/>
                <w:highlight w:val="none"/>
              </w:rPr>
            </w:pPr>
          </w:p>
        </w:tc>
        <w:tc>
          <w:tcPr>
            <w:tcW w:w="2001" w:type="dxa"/>
            <w:noWrap w:val="0"/>
            <w:vAlign w:val="top"/>
          </w:tcPr>
          <w:p w14:paraId="29E2835B">
            <w:pPr>
              <w:pStyle w:val="22"/>
              <w:shd w:val="clear" w:color="auto" w:fill="auto"/>
              <w:spacing w:line="360" w:lineRule="auto"/>
              <w:ind w:firstLine="420"/>
              <w:rPr>
                <w:rFonts w:hint="eastAsia" w:ascii="宋体" w:hAnsi="宋体" w:cs="宋体"/>
                <w:sz w:val="21"/>
                <w:szCs w:val="21"/>
                <w:highlight w:val="none"/>
              </w:rPr>
            </w:pPr>
          </w:p>
        </w:tc>
        <w:tc>
          <w:tcPr>
            <w:tcW w:w="2591" w:type="dxa"/>
            <w:noWrap w:val="0"/>
            <w:vAlign w:val="top"/>
          </w:tcPr>
          <w:p w14:paraId="5979B44B">
            <w:pPr>
              <w:pStyle w:val="22"/>
              <w:shd w:val="clear" w:color="auto" w:fill="auto"/>
              <w:spacing w:line="360" w:lineRule="auto"/>
              <w:ind w:firstLine="420"/>
              <w:rPr>
                <w:rFonts w:hint="eastAsia" w:ascii="宋体" w:hAnsi="宋体" w:cs="宋体"/>
                <w:sz w:val="21"/>
                <w:szCs w:val="21"/>
                <w:highlight w:val="none"/>
              </w:rPr>
            </w:pPr>
          </w:p>
        </w:tc>
      </w:tr>
      <w:tr w14:paraId="4D815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vAlign w:val="top"/>
          </w:tcPr>
          <w:p w14:paraId="7B0B2C9D">
            <w:pPr>
              <w:pStyle w:val="22"/>
              <w:shd w:val="clear" w:color="auto" w:fill="auto"/>
              <w:spacing w:line="360" w:lineRule="auto"/>
              <w:ind w:firstLine="420"/>
              <w:rPr>
                <w:rFonts w:hint="eastAsia" w:ascii="宋体" w:hAnsi="宋体" w:cs="宋体"/>
                <w:sz w:val="21"/>
                <w:szCs w:val="21"/>
                <w:highlight w:val="none"/>
              </w:rPr>
            </w:pPr>
          </w:p>
        </w:tc>
        <w:tc>
          <w:tcPr>
            <w:tcW w:w="1702" w:type="dxa"/>
            <w:noWrap w:val="0"/>
            <w:vAlign w:val="top"/>
          </w:tcPr>
          <w:p w14:paraId="21E7A81F">
            <w:pPr>
              <w:pStyle w:val="22"/>
              <w:shd w:val="clear" w:color="auto" w:fill="auto"/>
              <w:spacing w:line="360" w:lineRule="auto"/>
              <w:ind w:firstLine="420"/>
              <w:rPr>
                <w:rFonts w:hint="eastAsia" w:ascii="宋体" w:hAnsi="宋体" w:cs="宋体"/>
                <w:sz w:val="21"/>
                <w:szCs w:val="21"/>
                <w:highlight w:val="none"/>
              </w:rPr>
            </w:pPr>
          </w:p>
        </w:tc>
        <w:tc>
          <w:tcPr>
            <w:tcW w:w="1701" w:type="dxa"/>
            <w:noWrap w:val="0"/>
            <w:vAlign w:val="top"/>
          </w:tcPr>
          <w:p w14:paraId="6E2E2E47">
            <w:pPr>
              <w:pStyle w:val="22"/>
              <w:shd w:val="clear" w:color="auto" w:fill="auto"/>
              <w:spacing w:line="360" w:lineRule="auto"/>
              <w:ind w:firstLine="420"/>
              <w:rPr>
                <w:rFonts w:hint="eastAsia" w:ascii="宋体" w:hAnsi="宋体" w:cs="宋体"/>
                <w:sz w:val="21"/>
                <w:szCs w:val="21"/>
                <w:highlight w:val="none"/>
              </w:rPr>
            </w:pPr>
          </w:p>
        </w:tc>
        <w:tc>
          <w:tcPr>
            <w:tcW w:w="2001" w:type="dxa"/>
            <w:noWrap w:val="0"/>
            <w:vAlign w:val="top"/>
          </w:tcPr>
          <w:p w14:paraId="67A766AF">
            <w:pPr>
              <w:pStyle w:val="22"/>
              <w:shd w:val="clear" w:color="auto" w:fill="auto"/>
              <w:spacing w:line="360" w:lineRule="auto"/>
              <w:ind w:firstLine="420"/>
              <w:rPr>
                <w:rFonts w:hint="eastAsia" w:ascii="宋体" w:hAnsi="宋体" w:cs="宋体"/>
                <w:sz w:val="21"/>
                <w:szCs w:val="21"/>
                <w:highlight w:val="none"/>
              </w:rPr>
            </w:pPr>
          </w:p>
        </w:tc>
        <w:tc>
          <w:tcPr>
            <w:tcW w:w="2591" w:type="dxa"/>
            <w:noWrap w:val="0"/>
            <w:vAlign w:val="top"/>
          </w:tcPr>
          <w:p w14:paraId="578668D5">
            <w:pPr>
              <w:pStyle w:val="22"/>
              <w:shd w:val="clear" w:color="auto" w:fill="auto"/>
              <w:spacing w:line="360" w:lineRule="auto"/>
              <w:ind w:firstLine="420"/>
              <w:rPr>
                <w:rFonts w:hint="eastAsia" w:ascii="宋体" w:hAnsi="宋体" w:cs="宋体"/>
                <w:sz w:val="21"/>
                <w:szCs w:val="21"/>
                <w:highlight w:val="none"/>
              </w:rPr>
            </w:pPr>
          </w:p>
        </w:tc>
      </w:tr>
      <w:tr w14:paraId="7070C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vAlign w:val="top"/>
          </w:tcPr>
          <w:p w14:paraId="2031B138">
            <w:pPr>
              <w:pStyle w:val="22"/>
              <w:shd w:val="clear" w:color="auto" w:fill="auto"/>
              <w:spacing w:line="360" w:lineRule="auto"/>
              <w:ind w:firstLine="420"/>
              <w:rPr>
                <w:rFonts w:hint="eastAsia" w:ascii="宋体" w:hAnsi="宋体" w:cs="宋体"/>
                <w:sz w:val="21"/>
                <w:szCs w:val="21"/>
                <w:highlight w:val="none"/>
              </w:rPr>
            </w:pPr>
          </w:p>
        </w:tc>
        <w:tc>
          <w:tcPr>
            <w:tcW w:w="1702" w:type="dxa"/>
            <w:noWrap w:val="0"/>
            <w:vAlign w:val="top"/>
          </w:tcPr>
          <w:p w14:paraId="71C20EE3">
            <w:pPr>
              <w:pStyle w:val="22"/>
              <w:shd w:val="clear" w:color="auto" w:fill="auto"/>
              <w:spacing w:line="360" w:lineRule="auto"/>
              <w:ind w:firstLine="420"/>
              <w:rPr>
                <w:rFonts w:hint="eastAsia" w:ascii="宋体" w:hAnsi="宋体" w:cs="宋体"/>
                <w:sz w:val="21"/>
                <w:szCs w:val="21"/>
                <w:highlight w:val="none"/>
              </w:rPr>
            </w:pPr>
          </w:p>
        </w:tc>
        <w:tc>
          <w:tcPr>
            <w:tcW w:w="1701" w:type="dxa"/>
            <w:noWrap w:val="0"/>
            <w:vAlign w:val="top"/>
          </w:tcPr>
          <w:p w14:paraId="27ECD78B">
            <w:pPr>
              <w:pStyle w:val="22"/>
              <w:shd w:val="clear" w:color="auto" w:fill="auto"/>
              <w:spacing w:line="360" w:lineRule="auto"/>
              <w:ind w:firstLine="420"/>
              <w:rPr>
                <w:rFonts w:hint="eastAsia" w:ascii="宋体" w:hAnsi="宋体" w:cs="宋体"/>
                <w:sz w:val="21"/>
                <w:szCs w:val="21"/>
                <w:highlight w:val="none"/>
              </w:rPr>
            </w:pPr>
          </w:p>
        </w:tc>
        <w:tc>
          <w:tcPr>
            <w:tcW w:w="2001" w:type="dxa"/>
            <w:noWrap w:val="0"/>
            <w:vAlign w:val="top"/>
          </w:tcPr>
          <w:p w14:paraId="0CF51EA4">
            <w:pPr>
              <w:pStyle w:val="22"/>
              <w:shd w:val="clear" w:color="auto" w:fill="auto"/>
              <w:spacing w:line="360" w:lineRule="auto"/>
              <w:ind w:firstLine="420"/>
              <w:rPr>
                <w:rFonts w:hint="eastAsia" w:ascii="宋体" w:hAnsi="宋体" w:cs="宋体"/>
                <w:sz w:val="21"/>
                <w:szCs w:val="21"/>
                <w:highlight w:val="none"/>
              </w:rPr>
            </w:pPr>
          </w:p>
        </w:tc>
        <w:tc>
          <w:tcPr>
            <w:tcW w:w="2591" w:type="dxa"/>
            <w:noWrap w:val="0"/>
            <w:vAlign w:val="top"/>
          </w:tcPr>
          <w:p w14:paraId="337DA4D4">
            <w:pPr>
              <w:pStyle w:val="22"/>
              <w:shd w:val="clear" w:color="auto" w:fill="auto"/>
              <w:spacing w:line="360" w:lineRule="auto"/>
              <w:ind w:firstLine="420"/>
              <w:rPr>
                <w:rFonts w:hint="eastAsia" w:ascii="宋体" w:hAnsi="宋体" w:cs="宋体"/>
                <w:sz w:val="21"/>
                <w:szCs w:val="21"/>
                <w:highlight w:val="none"/>
              </w:rPr>
            </w:pPr>
          </w:p>
        </w:tc>
      </w:tr>
      <w:tr w14:paraId="457C6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vAlign w:val="top"/>
          </w:tcPr>
          <w:p w14:paraId="42B29086">
            <w:pPr>
              <w:pStyle w:val="22"/>
              <w:shd w:val="clear" w:color="auto" w:fill="auto"/>
              <w:spacing w:line="360" w:lineRule="auto"/>
              <w:ind w:firstLine="420"/>
              <w:rPr>
                <w:rFonts w:hint="eastAsia" w:ascii="宋体" w:hAnsi="宋体" w:cs="宋体"/>
                <w:sz w:val="21"/>
                <w:szCs w:val="21"/>
                <w:highlight w:val="none"/>
              </w:rPr>
            </w:pPr>
          </w:p>
        </w:tc>
        <w:tc>
          <w:tcPr>
            <w:tcW w:w="1702" w:type="dxa"/>
            <w:noWrap w:val="0"/>
            <w:vAlign w:val="top"/>
          </w:tcPr>
          <w:p w14:paraId="4AC40566">
            <w:pPr>
              <w:pStyle w:val="22"/>
              <w:shd w:val="clear" w:color="auto" w:fill="auto"/>
              <w:spacing w:line="360" w:lineRule="auto"/>
              <w:ind w:firstLine="420"/>
              <w:rPr>
                <w:rFonts w:hint="eastAsia" w:ascii="宋体" w:hAnsi="宋体" w:cs="宋体"/>
                <w:sz w:val="21"/>
                <w:szCs w:val="21"/>
                <w:highlight w:val="none"/>
              </w:rPr>
            </w:pPr>
          </w:p>
        </w:tc>
        <w:tc>
          <w:tcPr>
            <w:tcW w:w="1701" w:type="dxa"/>
            <w:noWrap w:val="0"/>
            <w:vAlign w:val="top"/>
          </w:tcPr>
          <w:p w14:paraId="012D1FE2">
            <w:pPr>
              <w:pStyle w:val="22"/>
              <w:shd w:val="clear" w:color="auto" w:fill="auto"/>
              <w:spacing w:line="360" w:lineRule="auto"/>
              <w:ind w:firstLine="420"/>
              <w:rPr>
                <w:rFonts w:hint="eastAsia" w:ascii="宋体" w:hAnsi="宋体" w:cs="宋体"/>
                <w:sz w:val="21"/>
                <w:szCs w:val="21"/>
                <w:highlight w:val="none"/>
              </w:rPr>
            </w:pPr>
          </w:p>
        </w:tc>
        <w:tc>
          <w:tcPr>
            <w:tcW w:w="2001" w:type="dxa"/>
            <w:noWrap w:val="0"/>
            <w:vAlign w:val="top"/>
          </w:tcPr>
          <w:p w14:paraId="2BDBDED9">
            <w:pPr>
              <w:pStyle w:val="22"/>
              <w:shd w:val="clear" w:color="auto" w:fill="auto"/>
              <w:spacing w:line="360" w:lineRule="auto"/>
              <w:ind w:firstLine="420"/>
              <w:rPr>
                <w:rFonts w:hint="eastAsia" w:ascii="宋体" w:hAnsi="宋体" w:cs="宋体"/>
                <w:sz w:val="21"/>
                <w:szCs w:val="21"/>
                <w:highlight w:val="none"/>
              </w:rPr>
            </w:pPr>
          </w:p>
        </w:tc>
        <w:tc>
          <w:tcPr>
            <w:tcW w:w="2591" w:type="dxa"/>
            <w:noWrap w:val="0"/>
            <w:vAlign w:val="top"/>
          </w:tcPr>
          <w:p w14:paraId="538A1E26">
            <w:pPr>
              <w:pStyle w:val="22"/>
              <w:shd w:val="clear" w:color="auto" w:fill="auto"/>
              <w:spacing w:line="360" w:lineRule="auto"/>
              <w:ind w:firstLine="420"/>
              <w:rPr>
                <w:rFonts w:hint="eastAsia" w:ascii="宋体" w:hAnsi="宋体" w:cs="宋体"/>
                <w:sz w:val="21"/>
                <w:szCs w:val="21"/>
                <w:highlight w:val="none"/>
              </w:rPr>
            </w:pPr>
          </w:p>
        </w:tc>
      </w:tr>
      <w:tr w14:paraId="5D0B7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vAlign w:val="top"/>
          </w:tcPr>
          <w:p w14:paraId="6DFE7BED">
            <w:pPr>
              <w:pStyle w:val="22"/>
              <w:shd w:val="clear" w:color="auto" w:fill="auto"/>
              <w:spacing w:line="360" w:lineRule="auto"/>
              <w:ind w:firstLine="420"/>
              <w:rPr>
                <w:rFonts w:hint="eastAsia" w:ascii="宋体" w:hAnsi="宋体" w:cs="宋体"/>
                <w:sz w:val="21"/>
                <w:szCs w:val="21"/>
                <w:highlight w:val="none"/>
              </w:rPr>
            </w:pPr>
          </w:p>
        </w:tc>
        <w:tc>
          <w:tcPr>
            <w:tcW w:w="1702" w:type="dxa"/>
            <w:noWrap w:val="0"/>
            <w:vAlign w:val="top"/>
          </w:tcPr>
          <w:p w14:paraId="78FA7181">
            <w:pPr>
              <w:pStyle w:val="22"/>
              <w:shd w:val="clear" w:color="auto" w:fill="auto"/>
              <w:spacing w:line="360" w:lineRule="auto"/>
              <w:ind w:firstLine="420"/>
              <w:rPr>
                <w:rFonts w:hint="eastAsia" w:ascii="宋体" w:hAnsi="宋体" w:cs="宋体"/>
                <w:sz w:val="21"/>
                <w:szCs w:val="21"/>
                <w:highlight w:val="none"/>
              </w:rPr>
            </w:pPr>
          </w:p>
        </w:tc>
        <w:tc>
          <w:tcPr>
            <w:tcW w:w="1701" w:type="dxa"/>
            <w:noWrap w:val="0"/>
            <w:vAlign w:val="top"/>
          </w:tcPr>
          <w:p w14:paraId="3765ABD0">
            <w:pPr>
              <w:pStyle w:val="22"/>
              <w:shd w:val="clear" w:color="auto" w:fill="auto"/>
              <w:spacing w:line="360" w:lineRule="auto"/>
              <w:ind w:firstLine="420"/>
              <w:rPr>
                <w:rFonts w:hint="eastAsia" w:ascii="宋体" w:hAnsi="宋体" w:cs="宋体"/>
                <w:sz w:val="21"/>
                <w:szCs w:val="21"/>
                <w:highlight w:val="none"/>
              </w:rPr>
            </w:pPr>
          </w:p>
        </w:tc>
        <w:tc>
          <w:tcPr>
            <w:tcW w:w="2001" w:type="dxa"/>
            <w:noWrap w:val="0"/>
            <w:vAlign w:val="top"/>
          </w:tcPr>
          <w:p w14:paraId="5145ECC7">
            <w:pPr>
              <w:pStyle w:val="22"/>
              <w:shd w:val="clear" w:color="auto" w:fill="auto"/>
              <w:spacing w:line="360" w:lineRule="auto"/>
              <w:ind w:firstLine="420"/>
              <w:rPr>
                <w:rFonts w:hint="eastAsia" w:ascii="宋体" w:hAnsi="宋体" w:cs="宋体"/>
                <w:sz w:val="21"/>
                <w:szCs w:val="21"/>
                <w:highlight w:val="none"/>
              </w:rPr>
            </w:pPr>
          </w:p>
        </w:tc>
        <w:tc>
          <w:tcPr>
            <w:tcW w:w="2591" w:type="dxa"/>
            <w:noWrap w:val="0"/>
            <w:vAlign w:val="top"/>
          </w:tcPr>
          <w:p w14:paraId="170D336D">
            <w:pPr>
              <w:pStyle w:val="22"/>
              <w:shd w:val="clear" w:color="auto" w:fill="auto"/>
              <w:spacing w:line="360" w:lineRule="auto"/>
              <w:ind w:firstLine="420"/>
              <w:rPr>
                <w:rFonts w:hint="eastAsia" w:ascii="宋体" w:hAnsi="宋体" w:cs="宋体"/>
                <w:sz w:val="21"/>
                <w:szCs w:val="21"/>
                <w:highlight w:val="none"/>
              </w:rPr>
            </w:pPr>
          </w:p>
        </w:tc>
      </w:tr>
      <w:tr w14:paraId="30D70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vAlign w:val="top"/>
          </w:tcPr>
          <w:p w14:paraId="46012E3B">
            <w:pPr>
              <w:pStyle w:val="22"/>
              <w:shd w:val="clear" w:color="auto" w:fill="auto"/>
              <w:spacing w:line="360" w:lineRule="auto"/>
              <w:ind w:firstLine="420"/>
              <w:rPr>
                <w:rFonts w:hint="eastAsia" w:ascii="宋体" w:hAnsi="宋体" w:cs="宋体"/>
                <w:sz w:val="21"/>
                <w:szCs w:val="21"/>
                <w:highlight w:val="none"/>
              </w:rPr>
            </w:pPr>
          </w:p>
        </w:tc>
        <w:tc>
          <w:tcPr>
            <w:tcW w:w="1702" w:type="dxa"/>
            <w:noWrap w:val="0"/>
            <w:vAlign w:val="top"/>
          </w:tcPr>
          <w:p w14:paraId="01FC1B0C">
            <w:pPr>
              <w:pStyle w:val="22"/>
              <w:shd w:val="clear" w:color="auto" w:fill="auto"/>
              <w:spacing w:line="360" w:lineRule="auto"/>
              <w:ind w:firstLine="420"/>
              <w:rPr>
                <w:rFonts w:hint="eastAsia" w:ascii="宋体" w:hAnsi="宋体" w:cs="宋体"/>
                <w:sz w:val="21"/>
                <w:szCs w:val="21"/>
                <w:highlight w:val="none"/>
              </w:rPr>
            </w:pPr>
          </w:p>
        </w:tc>
        <w:tc>
          <w:tcPr>
            <w:tcW w:w="1701" w:type="dxa"/>
            <w:noWrap w:val="0"/>
            <w:vAlign w:val="top"/>
          </w:tcPr>
          <w:p w14:paraId="05CCB7BF">
            <w:pPr>
              <w:pStyle w:val="22"/>
              <w:shd w:val="clear" w:color="auto" w:fill="auto"/>
              <w:spacing w:line="360" w:lineRule="auto"/>
              <w:ind w:firstLine="420"/>
              <w:rPr>
                <w:rFonts w:hint="eastAsia" w:ascii="宋体" w:hAnsi="宋体" w:cs="宋体"/>
                <w:sz w:val="21"/>
                <w:szCs w:val="21"/>
                <w:highlight w:val="none"/>
              </w:rPr>
            </w:pPr>
          </w:p>
        </w:tc>
        <w:tc>
          <w:tcPr>
            <w:tcW w:w="2001" w:type="dxa"/>
            <w:noWrap w:val="0"/>
            <w:vAlign w:val="top"/>
          </w:tcPr>
          <w:p w14:paraId="09D98170">
            <w:pPr>
              <w:pStyle w:val="22"/>
              <w:shd w:val="clear" w:color="auto" w:fill="auto"/>
              <w:spacing w:line="360" w:lineRule="auto"/>
              <w:ind w:firstLine="420"/>
              <w:rPr>
                <w:rFonts w:hint="eastAsia" w:ascii="宋体" w:hAnsi="宋体" w:cs="宋体"/>
                <w:sz w:val="21"/>
                <w:szCs w:val="21"/>
                <w:highlight w:val="none"/>
              </w:rPr>
            </w:pPr>
          </w:p>
        </w:tc>
        <w:tc>
          <w:tcPr>
            <w:tcW w:w="2591" w:type="dxa"/>
            <w:noWrap w:val="0"/>
            <w:vAlign w:val="top"/>
          </w:tcPr>
          <w:p w14:paraId="22F8AEF4">
            <w:pPr>
              <w:pStyle w:val="22"/>
              <w:shd w:val="clear" w:color="auto" w:fill="auto"/>
              <w:spacing w:line="360" w:lineRule="auto"/>
              <w:ind w:firstLine="420"/>
              <w:rPr>
                <w:rFonts w:hint="eastAsia" w:ascii="宋体" w:hAnsi="宋体" w:cs="宋体"/>
                <w:sz w:val="21"/>
                <w:szCs w:val="21"/>
                <w:highlight w:val="none"/>
              </w:rPr>
            </w:pPr>
          </w:p>
        </w:tc>
      </w:tr>
      <w:tr w14:paraId="1A44A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vAlign w:val="top"/>
          </w:tcPr>
          <w:p w14:paraId="6850DA06">
            <w:pPr>
              <w:pStyle w:val="22"/>
              <w:shd w:val="clear" w:color="auto" w:fill="auto"/>
              <w:spacing w:line="360" w:lineRule="auto"/>
              <w:ind w:firstLine="420"/>
              <w:rPr>
                <w:rFonts w:hint="eastAsia" w:ascii="宋体" w:hAnsi="宋体" w:cs="宋体"/>
                <w:sz w:val="21"/>
                <w:szCs w:val="21"/>
                <w:highlight w:val="none"/>
              </w:rPr>
            </w:pPr>
          </w:p>
        </w:tc>
        <w:tc>
          <w:tcPr>
            <w:tcW w:w="1702" w:type="dxa"/>
            <w:noWrap w:val="0"/>
            <w:vAlign w:val="top"/>
          </w:tcPr>
          <w:p w14:paraId="0A02042F">
            <w:pPr>
              <w:pStyle w:val="22"/>
              <w:shd w:val="clear" w:color="auto" w:fill="auto"/>
              <w:spacing w:line="360" w:lineRule="auto"/>
              <w:ind w:firstLine="420"/>
              <w:rPr>
                <w:rFonts w:hint="eastAsia" w:ascii="宋体" w:hAnsi="宋体" w:cs="宋体"/>
                <w:sz w:val="21"/>
                <w:szCs w:val="21"/>
                <w:highlight w:val="none"/>
              </w:rPr>
            </w:pPr>
          </w:p>
        </w:tc>
        <w:tc>
          <w:tcPr>
            <w:tcW w:w="1701" w:type="dxa"/>
            <w:noWrap w:val="0"/>
            <w:vAlign w:val="top"/>
          </w:tcPr>
          <w:p w14:paraId="431B3C8E">
            <w:pPr>
              <w:pStyle w:val="22"/>
              <w:shd w:val="clear" w:color="auto" w:fill="auto"/>
              <w:spacing w:line="360" w:lineRule="auto"/>
              <w:ind w:firstLine="420"/>
              <w:rPr>
                <w:rFonts w:hint="eastAsia" w:ascii="宋体" w:hAnsi="宋体" w:cs="宋体"/>
                <w:sz w:val="21"/>
                <w:szCs w:val="21"/>
                <w:highlight w:val="none"/>
              </w:rPr>
            </w:pPr>
          </w:p>
        </w:tc>
        <w:tc>
          <w:tcPr>
            <w:tcW w:w="2001" w:type="dxa"/>
            <w:noWrap w:val="0"/>
            <w:vAlign w:val="top"/>
          </w:tcPr>
          <w:p w14:paraId="2935BFC9">
            <w:pPr>
              <w:pStyle w:val="22"/>
              <w:shd w:val="clear" w:color="auto" w:fill="auto"/>
              <w:spacing w:line="360" w:lineRule="auto"/>
              <w:ind w:firstLine="420"/>
              <w:rPr>
                <w:rFonts w:hint="eastAsia" w:ascii="宋体" w:hAnsi="宋体" w:cs="宋体"/>
                <w:sz w:val="21"/>
                <w:szCs w:val="21"/>
                <w:highlight w:val="none"/>
              </w:rPr>
            </w:pPr>
          </w:p>
        </w:tc>
        <w:tc>
          <w:tcPr>
            <w:tcW w:w="2591" w:type="dxa"/>
            <w:noWrap w:val="0"/>
            <w:vAlign w:val="top"/>
          </w:tcPr>
          <w:p w14:paraId="034C963D">
            <w:pPr>
              <w:pStyle w:val="22"/>
              <w:shd w:val="clear" w:color="auto" w:fill="auto"/>
              <w:spacing w:line="360" w:lineRule="auto"/>
              <w:ind w:firstLine="420"/>
              <w:rPr>
                <w:rFonts w:hint="eastAsia" w:ascii="宋体" w:hAnsi="宋体" w:cs="宋体"/>
                <w:sz w:val="21"/>
                <w:szCs w:val="21"/>
                <w:highlight w:val="none"/>
              </w:rPr>
            </w:pPr>
          </w:p>
        </w:tc>
      </w:tr>
      <w:tr w14:paraId="27875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vAlign w:val="top"/>
          </w:tcPr>
          <w:p w14:paraId="731180D4">
            <w:pPr>
              <w:pStyle w:val="22"/>
              <w:shd w:val="clear" w:color="auto" w:fill="auto"/>
              <w:spacing w:line="360" w:lineRule="auto"/>
              <w:ind w:firstLine="420"/>
              <w:rPr>
                <w:rFonts w:hint="eastAsia" w:ascii="宋体" w:hAnsi="宋体" w:cs="宋体"/>
                <w:sz w:val="21"/>
                <w:szCs w:val="21"/>
                <w:highlight w:val="none"/>
              </w:rPr>
            </w:pPr>
          </w:p>
        </w:tc>
        <w:tc>
          <w:tcPr>
            <w:tcW w:w="1702" w:type="dxa"/>
            <w:noWrap w:val="0"/>
            <w:vAlign w:val="top"/>
          </w:tcPr>
          <w:p w14:paraId="2DFA5C43">
            <w:pPr>
              <w:pStyle w:val="22"/>
              <w:shd w:val="clear" w:color="auto" w:fill="auto"/>
              <w:spacing w:line="360" w:lineRule="auto"/>
              <w:ind w:firstLine="420"/>
              <w:rPr>
                <w:rFonts w:hint="eastAsia" w:ascii="宋体" w:hAnsi="宋体" w:cs="宋体"/>
                <w:sz w:val="21"/>
                <w:szCs w:val="21"/>
                <w:highlight w:val="none"/>
              </w:rPr>
            </w:pPr>
          </w:p>
        </w:tc>
        <w:tc>
          <w:tcPr>
            <w:tcW w:w="1701" w:type="dxa"/>
            <w:noWrap w:val="0"/>
            <w:vAlign w:val="top"/>
          </w:tcPr>
          <w:p w14:paraId="3781F311">
            <w:pPr>
              <w:pStyle w:val="22"/>
              <w:shd w:val="clear" w:color="auto" w:fill="auto"/>
              <w:spacing w:line="360" w:lineRule="auto"/>
              <w:ind w:firstLine="420"/>
              <w:rPr>
                <w:rFonts w:hint="eastAsia" w:ascii="宋体" w:hAnsi="宋体" w:cs="宋体"/>
                <w:sz w:val="21"/>
                <w:szCs w:val="21"/>
                <w:highlight w:val="none"/>
              </w:rPr>
            </w:pPr>
          </w:p>
        </w:tc>
        <w:tc>
          <w:tcPr>
            <w:tcW w:w="2001" w:type="dxa"/>
            <w:noWrap w:val="0"/>
            <w:vAlign w:val="top"/>
          </w:tcPr>
          <w:p w14:paraId="4806D00D">
            <w:pPr>
              <w:pStyle w:val="22"/>
              <w:shd w:val="clear" w:color="auto" w:fill="auto"/>
              <w:spacing w:line="360" w:lineRule="auto"/>
              <w:ind w:firstLine="420"/>
              <w:rPr>
                <w:rFonts w:hint="eastAsia" w:ascii="宋体" w:hAnsi="宋体" w:cs="宋体"/>
                <w:sz w:val="21"/>
                <w:szCs w:val="21"/>
                <w:highlight w:val="none"/>
              </w:rPr>
            </w:pPr>
          </w:p>
        </w:tc>
        <w:tc>
          <w:tcPr>
            <w:tcW w:w="2591" w:type="dxa"/>
            <w:noWrap w:val="0"/>
            <w:vAlign w:val="top"/>
          </w:tcPr>
          <w:p w14:paraId="786AB995">
            <w:pPr>
              <w:pStyle w:val="22"/>
              <w:shd w:val="clear" w:color="auto" w:fill="auto"/>
              <w:spacing w:line="360" w:lineRule="auto"/>
              <w:ind w:firstLine="420"/>
              <w:rPr>
                <w:rFonts w:hint="eastAsia" w:ascii="宋体" w:hAnsi="宋体" w:cs="宋体"/>
                <w:sz w:val="21"/>
                <w:szCs w:val="21"/>
                <w:highlight w:val="none"/>
              </w:rPr>
            </w:pPr>
          </w:p>
        </w:tc>
      </w:tr>
      <w:tr w14:paraId="7F298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vAlign w:val="top"/>
          </w:tcPr>
          <w:p w14:paraId="37EC6ECD">
            <w:pPr>
              <w:pStyle w:val="22"/>
              <w:shd w:val="clear" w:color="auto" w:fill="auto"/>
              <w:spacing w:line="360" w:lineRule="auto"/>
              <w:ind w:firstLine="420"/>
              <w:rPr>
                <w:rFonts w:hint="eastAsia" w:ascii="宋体" w:hAnsi="宋体" w:cs="宋体"/>
                <w:sz w:val="21"/>
                <w:szCs w:val="21"/>
                <w:highlight w:val="none"/>
              </w:rPr>
            </w:pPr>
          </w:p>
        </w:tc>
        <w:tc>
          <w:tcPr>
            <w:tcW w:w="1702" w:type="dxa"/>
            <w:noWrap w:val="0"/>
            <w:vAlign w:val="top"/>
          </w:tcPr>
          <w:p w14:paraId="6993E471">
            <w:pPr>
              <w:pStyle w:val="22"/>
              <w:shd w:val="clear" w:color="auto" w:fill="auto"/>
              <w:spacing w:line="360" w:lineRule="auto"/>
              <w:ind w:firstLine="420"/>
              <w:rPr>
                <w:rFonts w:hint="eastAsia" w:ascii="宋体" w:hAnsi="宋体" w:cs="宋体"/>
                <w:sz w:val="21"/>
                <w:szCs w:val="21"/>
                <w:highlight w:val="none"/>
              </w:rPr>
            </w:pPr>
          </w:p>
        </w:tc>
        <w:tc>
          <w:tcPr>
            <w:tcW w:w="1701" w:type="dxa"/>
            <w:noWrap w:val="0"/>
            <w:vAlign w:val="top"/>
          </w:tcPr>
          <w:p w14:paraId="35DB575A">
            <w:pPr>
              <w:pStyle w:val="22"/>
              <w:shd w:val="clear" w:color="auto" w:fill="auto"/>
              <w:spacing w:line="360" w:lineRule="auto"/>
              <w:ind w:firstLine="420"/>
              <w:rPr>
                <w:rFonts w:hint="eastAsia" w:ascii="宋体" w:hAnsi="宋体" w:cs="宋体"/>
                <w:sz w:val="21"/>
                <w:szCs w:val="21"/>
                <w:highlight w:val="none"/>
              </w:rPr>
            </w:pPr>
          </w:p>
        </w:tc>
        <w:tc>
          <w:tcPr>
            <w:tcW w:w="2001" w:type="dxa"/>
            <w:noWrap w:val="0"/>
            <w:vAlign w:val="top"/>
          </w:tcPr>
          <w:p w14:paraId="37213EB6">
            <w:pPr>
              <w:pStyle w:val="22"/>
              <w:shd w:val="clear" w:color="auto" w:fill="auto"/>
              <w:spacing w:line="360" w:lineRule="auto"/>
              <w:ind w:firstLine="420"/>
              <w:rPr>
                <w:rFonts w:hint="eastAsia" w:ascii="宋体" w:hAnsi="宋体" w:cs="宋体"/>
                <w:sz w:val="21"/>
                <w:szCs w:val="21"/>
                <w:highlight w:val="none"/>
              </w:rPr>
            </w:pPr>
          </w:p>
        </w:tc>
        <w:tc>
          <w:tcPr>
            <w:tcW w:w="2591" w:type="dxa"/>
            <w:noWrap w:val="0"/>
            <w:vAlign w:val="top"/>
          </w:tcPr>
          <w:p w14:paraId="2C034167">
            <w:pPr>
              <w:pStyle w:val="22"/>
              <w:shd w:val="clear" w:color="auto" w:fill="auto"/>
              <w:spacing w:line="360" w:lineRule="auto"/>
              <w:ind w:firstLine="420"/>
              <w:rPr>
                <w:rFonts w:hint="eastAsia" w:ascii="宋体" w:hAnsi="宋体" w:cs="宋体"/>
                <w:sz w:val="21"/>
                <w:szCs w:val="21"/>
                <w:highlight w:val="none"/>
              </w:rPr>
            </w:pPr>
          </w:p>
        </w:tc>
      </w:tr>
    </w:tbl>
    <w:p w14:paraId="5588E13A">
      <w:pPr>
        <w:pStyle w:val="5"/>
        <w:shd w:val="clear" w:color="auto" w:fill="auto"/>
        <w:ind w:firstLine="0" w:firstLineChars="0"/>
        <w:jc w:val="center"/>
        <w:rPr>
          <w:rFonts w:hint="eastAsia" w:ascii="宋体" w:hAnsi="宋体" w:eastAsia="宋体" w:cs="宋体"/>
          <w:color w:val="000000"/>
          <w:sz w:val="24"/>
          <w:szCs w:val="24"/>
          <w:highlight w:val="none"/>
          <w:lang w:eastAsia="zh-CN"/>
        </w:rPr>
      </w:pPr>
      <w:r>
        <w:rPr>
          <w:rFonts w:hint="eastAsia" w:ascii="宋体" w:hAnsi="宋体" w:cs="宋体"/>
          <w:sz w:val="24"/>
          <w:szCs w:val="24"/>
          <w:highlight w:val="none"/>
        </w:rPr>
        <w:t xml:space="preserve">投标供应商名称：                           </w:t>
      </w:r>
      <w:r>
        <w:rPr>
          <w:rFonts w:hint="eastAsia" w:ascii="宋体" w:hAnsi="宋体" w:cs="宋体"/>
          <w:color w:val="FF0000"/>
          <w:sz w:val="24"/>
          <w:szCs w:val="24"/>
          <w:highlight w:val="none"/>
        </w:rPr>
        <w:t xml:space="preserve"> </w:t>
      </w:r>
      <w:r>
        <w:rPr>
          <w:rFonts w:hint="eastAsia" w:ascii="宋体" w:hAnsi="宋体" w:cs="宋体"/>
          <w:sz w:val="24"/>
          <w:szCs w:val="24"/>
          <w:highlight w:val="none"/>
        </w:rPr>
        <w:t xml:space="preserve"> 项目编号：</w:t>
      </w:r>
      <w:r>
        <w:rPr>
          <w:rFonts w:hint="eastAsia" w:ascii="宋体" w:hAnsi="宋体" w:cs="宋体"/>
          <w:sz w:val="24"/>
          <w:szCs w:val="24"/>
          <w:highlight w:val="none"/>
          <w:lang w:eastAsia="zh-CN"/>
        </w:rPr>
        <w:t>TWZB2026-116</w:t>
      </w:r>
    </w:p>
    <w:p w14:paraId="73E8D94D">
      <w:pPr>
        <w:pStyle w:val="5"/>
        <w:shd w:val="clear" w:color="auto" w:fill="auto"/>
        <w:ind w:firstLine="0" w:firstLineChars="0"/>
        <w:rPr>
          <w:rFonts w:hint="eastAsia" w:ascii="宋体" w:hAnsi="宋体" w:cs="宋体"/>
          <w:color w:val="000000"/>
          <w:sz w:val="28"/>
          <w:szCs w:val="28"/>
          <w:highlight w:val="none"/>
        </w:rPr>
      </w:pPr>
    </w:p>
    <w:p w14:paraId="60C168A1">
      <w:pPr>
        <w:shd w:val="clear" w:color="auto" w:fill="auto"/>
        <w:spacing w:before="240"/>
        <w:ind w:firstLine="0" w:firstLineChars="0"/>
        <w:jc w:val="left"/>
        <w:rPr>
          <w:rFonts w:hint="eastAsia" w:ascii="宋体" w:hAnsi="宋体" w:eastAsia="宋体" w:cs="宋体"/>
          <w:sz w:val="22"/>
          <w:szCs w:val="22"/>
          <w:highlight w:val="none"/>
          <w:lang w:eastAsia="zh-CN"/>
        </w:rPr>
      </w:pPr>
      <w:r>
        <w:rPr>
          <w:rFonts w:hint="eastAsia" w:ascii="宋体" w:hAnsi="宋体" w:cs="宋体"/>
          <w:sz w:val="22"/>
          <w:szCs w:val="22"/>
          <w:highlight w:val="none"/>
        </w:rPr>
        <w:t>注：1.本表应严格按照“第四章 招标内容及要求”中采购的产品参数填写；“招标文件要求”须按招标文件的技术参数填写；“投标响应”为供应商所提供的产品参数；“偏离对</w:t>
      </w:r>
      <w:r>
        <w:rPr>
          <w:rFonts w:hint="eastAsia" w:ascii="宋体" w:hAnsi="宋体" w:cs="宋体"/>
          <w:sz w:val="22"/>
          <w:szCs w:val="22"/>
          <w:highlight w:val="none"/>
          <w:lang w:eastAsia="zh-CN"/>
        </w:rPr>
        <w:t>产品</w:t>
      </w:r>
      <w:r>
        <w:rPr>
          <w:rFonts w:hint="eastAsia" w:ascii="宋体" w:hAnsi="宋体" w:cs="宋体"/>
          <w:sz w:val="22"/>
          <w:szCs w:val="22"/>
          <w:highlight w:val="none"/>
        </w:rPr>
        <w:t>性能的影响”填写：优于。本表只填写投标文件中与招标文件有正偏离的内容。完全响应的不用在本表列出，提供盖章空表即可</w:t>
      </w:r>
      <w:r>
        <w:rPr>
          <w:rFonts w:hint="eastAsia" w:ascii="宋体" w:hAnsi="宋体" w:cs="宋体"/>
          <w:sz w:val="22"/>
          <w:szCs w:val="22"/>
          <w:highlight w:val="none"/>
          <w:lang w:eastAsia="zh-CN"/>
        </w:rPr>
        <w:t>。</w:t>
      </w:r>
    </w:p>
    <w:p w14:paraId="7FAB39C1">
      <w:pPr>
        <w:shd w:val="clear" w:color="auto" w:fill="auto"/>
        <w:ind w:firstLine="440"/>
        <w:jc w:val="left"/>
        <w:rPr>
          <w:rFonts w:hint="eastAsia" w:ascii="宋体" w:hAnsi="宋体" w:cs="宋体"/>
          <w:sz w:val="22"/>
          <w:szCs w:val="22"/>
          <w:highlight w:val="none"/>
        </w:rPr>
      </w:pPr>
      <w:r>
        <w:rPr>
          <w:rFonts w:hint="eastAsia" w:ascii="宋体" w:hAnsi="宋体" w:cs="宋体"/>
          <w:sz w:val="22"/>
          <w:szCs w:val="22"/>
          <w:highlight w:val="none"/>
        </w:rPr>
        <w:t>2．供应商必须据实填写，不得虚假响应，否则将取消其投标或中标资格，并按有关规定进行处罚。</w:t>
      </w:r>
    </w:p>
    <w:p w14:paraId="1E71D39C">
      <w:pPr>
        <w:shd w:val="clear" w:color="auto" w:fill="auto"/>
        <w:adjustRightInd w:val="0"/>
        <w:ind w:firstLine="490" w:firstLineChars="175"/>
        <w:jc w:val="left"/>
        <w:rPr>
          <w:rFonts w:hint="eastAsia" w:ascii="宋体" w:hAnsi="宋体" w:cs="宋体"/>
          <w:bCs/>
          <w:sz w:val="28"/>
          <w:szCs w:val="28"/>
          <w:highlight w:val="none"/>
        </w:rPr>
      </w:pPr>
    </w:p>
    <w:p w14:paraId="2C1E33E7">
      <w:pPr>
        <w:shd w:val="clear" w:color="auto" w:fill="auto"/>
        <w:adjustRightInd w:val="0"/>
        <w:ind w:firstLine="660" w:firstLineChars="275"/>
        <w:jc w:val="left"/>
        <w:rPr>
          <w:rFonts w:hint="eastAsia" w:ascii="宋体" w:hAnsi="宋体" w:cs="宋体"/>
          <w:bCs/>
          <w:sz w:val="24"/>
          <w:highlight w:val="none"/>
        </w:rPr>
      </w:pPr>
      <w:r>
        <w:rPr>
          <w:rFonts w:hint="eastAsia" w:ascii="宋体" w:hAnsi="宋体" w:cs="宋体"/>
          <w:bCs/>
          <w:sz w:val="24"/>
          <w:highlight w:val="none"/>
        </w:rPr>
        <w:t>投标供应商：（盖章）</w:t>
      </w:r>
    </w:p>
    <w:p w14:paraId="332ECB4A">
      <w:pPr>
        <w:shd w:val="clear" w:color="auto" w:fill="auto"/>
        <w:adjustRightInd w:val="0"/>
        <w:ind w:firstLine="420" w:firstLineChars="175"/>
        <w:jc w:val="left"/>
        <w:rPr>
          <w:rFonts w:hint="eastAsia" w:ascii="宋体" w:hAnsi="宋体" w:cs="宋体"/>
          <w:sz w:val="24"/>
          <w:highlight w:val="none"/>
        </w:rPr>
      </w:pPr>
    </w:p>
    <w:p w14:paraId="05DF94E5">
      <w:pPr>
        <w:shd w:val="clear" w:color="auto" w:fill="auto"/>
        <w:adjustRightInd w:val="0"/>
        <w:ind w:firstLine="660" w:firstLineChars="275"/>
        <w:jc w:val="left"/>
        <w:rPr>
          <w:rFonts w:hint="eastAsia" w:ascii="宋体" w:hAnsi="宋体" w:cs="宋体"/>
          <w:bCs/>
          <w:sz w:val="24"/>
          <w:highlight w:val="none"/>
        </w:rPr>
      </w:pPr>
      <w:r>
        <w:rPr>
          <w:rFonts w:hint="eastAsia" w:ascii="宋体" w:hAnsi="宋体" w:cs="宋体"/>
          <w:sz w:val="24"/>
          <w:highlight w:val="none"/>
        </w:rPr>
        <w:t>法定代表人或被授权代表（签名或盖章）</w:t>
      </w:r>
      <w:r>
        <w:rPr>
          <w:rFonts w:hint="eastAsia" w:ascii="宋体" w:hAnsi="宋体" w:cs="宋体"/>
          <w:bCs/>
          <w:sz w:val="24"/>
          <w:highlight w:val="none"/>
        </w:rPr>
        <w:t>：</w:t>
      </w:r>
    </w:p>
    <w:p w14:paraId="2172371C">
      <w:pPr>
        <w:shd w:val="clear" w:color="auto" w:fill="auto"/>
        <w:adjustRightInd w:val="0"/>
        <w:ind w:firstLine="660" w:firstLineChars="275"/>
        <w:jc w:val="left"/>
        <w:rPr>
          <w:rFonts w:hint="eastAsia" w:ascii="宋体" w:hAnsi="宋体" w:cs="宋体"/>
          <w:bCs/>
          <w:sz w:val="24"/>
          <w:highlight w:val="none"/>
        </w:rPr>
      </w:pPr>
    </w:p>
    <w:p w14:paraId="066EE0C2">
      <w:pPr>
        <w:shd w:val="clear" w:color="auto" w:fill="auto"/>
        <w:adjustRightInd w:val="0"/>
        <w:ind w:firstLine="660" w:firstLineChars="275"/>
        <w:jc w:val="left"/>
        <w:rPr>
          <w:rFonts w:hint="eastAsia" w:ascii="宋体" w:hAnsi="宋体" w:cs="宋体"/>
          <w:bCs/>
          <w:sz w:val="24"/>
          <w:highlight w:val="none"/>
        </w:rPr>
      </w:pPr>
      <w:r>
        <w:rPr>
          <w:rFonts w:hint="eastAsia" w:ascii="宋体" w:hAnsi="宋体" w:cs="宋体"/>
          <w:bCs/>
          <w:sz w:val="24"/>
          <w:highlight w:val="none"/>
        </w:rPr>
        <w:t>投标日期:</w:t>
      </w:r>
    </w:p>
    <w:p w14:paraId="23A1FD36">
      <w:pPr>
        <w:pStyle w:val="3"/>
        <w:shd w:val="clear" w:color="auto" w:fill="auto"/>
        <w:spacing w:before="0" w:after="0" w:line="360" w:lineRule="auto"/>
        <w:ind w:firstLine="0" w:firstLineChars="0"/>
        <w:jc w:val="center"/>
        <w:rPr>
          <w:rFonts w:hint="eastAsia" w:ascii="宋体" w:hAnsi="宋体" w:eastAsia="宋体" w:cs="宋体"/>
          <w:bCs/>
          <w:color w:val="000000"/>
          <w:szCs w:val="28"/>
          <w:highlight w:val="none"/>
        </w:rPr>
      </w:pPr>
      <w:bookmarkStart w:id="149" w:name="_Toc750_WPSOffice_Level1"/>
      <w:r>
        <w:rPr>
          <w:rFonts w:hint="eastAsia" w:ascii="宋体" w:hAnsi="宋体" w:eastAsia="宋体" w:cs="宋体"/>
          <w:bCs/>
          <w:color w:val="000000"/>
          <w:szCs w:val="28"/>
          <w:highlight w:val="none"/>
        </w:rPr>
        <w:br w:type="page"/>
      </w:r>
      <w:r>
        <w:rPr>
          <w:rFonts w:hint="eastAsia" w:ascii="宋体" w:hAnsi="宋体" w:eastAsia="宋体" w:cs="宋体"/>
          <w:bCs/>
          <w:color w:val="000000"/>
          <w:szCs w:val="28"/>
          <w:highlight w:val="none"/>
          <w:lang w:eastAsia="zh-CN"/>
        </w:rPr>
        <w:t>五</w:t>
      </w:r>
      <w:r>
        <w:rPr>
          <w:rFonts w:hint="eastAsia" w:ascii="宋体" w:hAnsi="宋体" w:eastAsia="宋体" w:cs="宋体"/>
          <w:bCs/>
          <w:color w:val="000000"/>
          <w:szCs w:val="28"/>
          <w:highlight w:val="none"/>
        </w:rPr>
        <w:t>、</w:t>
      </w:r>
      <w:bookmarkEnd w:id="148"/>
      <w:r>
        <w:rPr>
          <w:rFonts w:hint="eastAsia" w:ascii="宋体" w:hAnsi="宋体" w:eastAsia="宋体" w:cs="宋体"/>
          <w:bCs/>
          <w:color w:val="000000"/>
          <w:szCs w:val="28"/>
          <w:highlight w:val="none"/>
        </w:rPr>
        <w:t>商务偏离表</w:t>
      </w:r>
      <w:bookmarkEnd w:id="149"/>
      <w:r>
        <w:rPr>
          <w:rFonts w:hint="eastAsia" w:ascii="宋体" w:hAnsi="宋体" w:eastAsia="宋体" w:cs="宋体"/>
          <w:bCs/>
          <w:color w:val="000000"/>
          <w:szCs w:val="28"/>
          <w:highlight w:val="none"/>
        </w:rPr>
        <w:t xml:space="preserve">             </w:t>
      </w:r>
    </w:p>
    <w:p w14:paraId="7AB84897">
      <w:pPr>
        <w:pStyle w:val="5"/>
        <w:shd w:val="clear" w:color="auto" w:fill="auto"/>
        <w:ind w:firstLine="240" w:firstLineChars="100"/>
        <w:rPr>
          <w:rFonts w:hint="eastAsia" w:ascii="宋体" w:hAnsi="宋体" w:eastAsia="宋体" w:cs="宋体"/>
          <w:color w:val="000000"/>
          <w:sz w:val="24"/>
          <w:szCs w:val="24"/>
          <w:highlight w:val="none"/>
          <w:lang w:eastAsia="zh-CN"/>
        </w:rPr>
      </w:pPr>
      <w:r>
        <w:rPr>
          <w:rFonts w:hint="eastAsia" w:ascii="宋体" w:hAnsi="宋体" w:cs="宋体"/>
          <w:sz w:val="24"/>
          <w:szCs w:val="24"/>
          <w:highlight w:val="none"/>
        </w:rPr>
        <w:t xml:space="preserve">投标供应商名称：                              </w:t>
      </w:r>
      <w:r>
        <w:rPr>
          <w:rFonts w:hint="eastAsia" w:ascii="宋体" w:hAnsi="宋体" w:cs="宋体"/>
          <w:color w:val="000000"/>
          <w:sz w:val="24"/>
          <w:szCs w:val="24"/>
          <w:highlight w:val="none"/>
        </w:rPr>
        <w:t>项目编号：</w:t>
      </w:r>
      <w:r>
        <w:rPr>
          <w:rFonts w:hint="eastAsia" w:ascii="宋体" w:hAnsi="宋体" w:cs="宋体"/>
          <w:color w:val="000000"/>
          <w:sz w:val="24"/>
          <w:szCs w:val="24"/>
          <w:highlight w:val="none"/>
          <w:lang w:eastAsia="zh-CN"/>
        </w:rPr>
        <w:t>TWZB2026-116</w:t>
      </w:r>
    </w:p>
    <w:tbl>
      <w:tblPr>
        <w:tblStyle w:val="14"/>
        <w:tblpPr w:leftFromText="180" w:rightFromText="180" w:vertAnchor="text" w:horzAnchor="margin" w:tblpXSpec="center" w:tblpY="8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8"/>
        <w:gridCol w:w="2605"/>
        <w:gridCol w:w="2727"/>
        <w:gridCol w:w="2545"/>
      </w:tblGrid>
      <w:tr w14:paraId="70FBF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exact"/>
          <w:jc w:val="center"/>
        </w:trPr>
        <w:tc>
          <w:tcPr>
            <w:tcW w:w="848" w:type="dxa"/>
            <w:tcBorders>
              <w:bottom w:val="single" w:color="auto" w:sz="4" w:space="0"/>
            </w:tcBorders>
            <w:noWrap w:val="0"/>
            <w:vAlign w:val="center"/>
          </w:tcPr>
          <w:p w14:paraId="46D23ADD">
            <w:pPr>
              <w:shd w:val="clear" w:color="auto" w:fill="auto"/>
              <w:ind w:firstLine="0" w:firstLineChars="0"/>
              <w:jc w:val="center"/>
              <w:rPr>
                <w:rFonts w:hint="eastAsia" w:ascii="宋体" w:hAnsi="宋体" w:cs="宋体"/>
                <w:color w:val="000000"/>
                <w:szCs w:val="21"/>
                <w:highlight w:val="none"/>
              </w:rPr>
            </w:pPr>
            <w:r>
              <w:rPr>
                <w:rFonts w:hint="eastAsia" w:ascii="宋体" w:hAnsi="宋体" w:cs="宋体"/>
                <w:color w:val="000000"/>
                <w:szCs w:val="21"/>
                <w:highlight w:val="none"/>
              </w:rPr>
              <w:t>序号</w:t>
            </w:r>
          </w:p>
        </w:tc>
        <w:tc>
          <w:tcPr>
            <w:tcW w:w="2605" w:type="dxa"/>
            <w:tcBorders>
              <w:bottom w:val="single" w:color="auto" w:sz="4" w:space="0"/>
            </w:tcBorders>
            <w:noWrap w:val="0"/>
            <w:vAlign w:val="center"/>
          </w:tcPr>
          <w:p w14:paraId="53E3BBC1">
            <w:pPr>
              <w:shd w:val="clear" w:color="auto" w:fill="auto"/>
              <w:ind w:firstLine="0" w:firstLineChars="0"/>
              <w:jc w:val="center"/>
              <w:rPr>
                <w:rFonts w:hint="eastAsia" w:ascii="宋体" w:hAnsi="宋体" w:cs="宋体"/>
                <w:color w:val="000000"/>
                <w:szCs w:val="21"/>
                <w:highlight w:val="none"/>
              </w:rPr>
            </w:pPr>
            <w:r>
              <w:rPr>
                <w:rFonts w:hint="eastAsia" w:ascii="宋体" w:hAnsi="宋体" w:cs="宋体"/>
                <w:color w:val="000000"/>
                <w:szCs w:val="21"/>
                <w:highlight w:val="none"/>
              </w:rPr>
              <w:t>招标商务要求</w:t>
            </w:r>
          </w:p>
        </w:tc>
        <w:tc>
          <w:tcPr>
            <w:tcW w:w="2727" w:type="dxa"/>
            <w:tcBorders>
              <w:bottom w:val="single" w:color="auto" w:sz="4" w:space="0"/>
            </w:tcBorders>
            <w:noWrap w:val="0"/>
            <w:vAlign w:val="center"/>
          </w:tcPr>
          <w:p w14:paraId="6DFF91EE">
            <w:pPr>
              <w:shd w:val="clear" w:color="auto" w:fill="auto"/>
              <w:ind w:firstLine="0" w:firstLineChars="0"/>
              <w:jc w:val="center"/>
              <w:rPr>
                <w:rFonts w:hint="eastAsia" w:ascii="宋体" w:hAnsi="宋体" w:cs="宋体"/>
                <w:color w:val="000000"/>
                <w:szCs w:val="21"/>
                <w:highlight w:val="none"/>
              </w:rPr>
            </w:pPr>
            <w:r>
              <w:rPr>
                <w:rFonts w:hint="eastAsia" w:ascii="宋体" w:hAnsi="宋体" w:cs="宋体"/>
                <w:color w:val="000000"/>
                <w:szCs w:val="21"/>
                <w:highlight w:val="none"/>
              </w:rPr>
              <w:t>投标文件商务响应</w:t>
            </w:r>
          </w:p>
        </w:tc>
        <w:tc>
          <w:tcPr>
            <w:tcW w:w="2545" w:type="dxa"/>
            <w:tcBorders>
              <w:bottom w:val="single" w:color="auto" w:sz="4" w:space="0"/>
            </w:tcBorders>
            <w:noWrap w:val="0"/>
            <w:vAlign w:val="center"/>
          </w:tcPr>
          <w:p w14:paraId="1F31B644">
            <w:pPr>
              <w:shd w:val="clear" w:color="auto" w:fill="auto"/>
              <w:ind w:firstLine="0" w:firstLineChars="0"/>
              <w:jc w:val="center"/>
              <w:rPr>
                <w:rFonts w:hint="eastAsia" w:ascii="宋体" w:hAnsi="宋体" w:cs="宋体"/>
                <w:color w:val="000000"/>
                <w:szCs w:val="21"/>
                <w:highlight w:val="none"/>
              </w:rPr>
            </w:pPr>
            <w:r>
              <w:rPr>
                <w:rFonts w:hint="eastAsia" w:ascii="宋体" w:hAnsi="宋体" w:cs="宋体"/>
                <w:color w:val="000000"/>
                <w:szCs w:val="21"/>
                <w:highlight w:val="none"/>
              </w:rPr>
              <w:t>偏离及其影响</w:t>
            </w:r>
          </w:p>
        </w:tc>
      </w:tr>
      <w:tr w14:paraId="71A8A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exact"/>
          <w:jc w:val="center"/>
        </w:trPr>
        <w:tc>
          <w:tcPr>
            <w:tcW w:w="848" w:type="dxa"/>
            <w:tcBorders>
              <w:top w:val="single" w:color="auto" w:sz="4" w:space="0"/>
              <w:left w:val="single" w:color="auto" w:sz="4" w:space="0"/>
              <w:bottom w:val="single" w:color="auto" w:sz="4" w:space="0"/>
              <w:right w:val="single" w:color="auto" w:sz="4" w:space="0"/>
            </w:tcBorders>
            <w:noWrap w:val="0"/>
            <w:vAlign w:val="top"/>
          </w:tcPr>
          <w:p w14:paraId="3A85B666">
            <w:pPr>
              <w:shd w:val="clear" w:color="auto" w:fill="auto"/>
              <w:ind w:firstLine="420"/>
              <w:jc w:val="center"/>
              <w:rPr>
                <w:rFonts w:hint="eastAsia" w:ascii="宋体" w:hAnsi="宋体" w:cs="宋体"/>
                <w:color w:val="000000"/>
                <w:szCs w:val="21"/>
                <w:highlight w:val="none"/>
              </w:rPr>
            </w:pPr>
          </w:p>
        </w:tc>
        <w:tc>
          <w:tcPr>
            <w:tcW w:w="2605" w:type="dxa"/>
            <w:tcBorders>
              <w:top w:val="single" w:color="auto" w:sz="4" w:space="0"/>
              <w:left w:val="single" w:color="auto" w:sz="4" w:space="0"/>
              <w:bottom w:val="single" w:color="auto" w:sz="4" w:space="0"/>
              <w:right w:val="single" w:color="auto" w:sz="4" w:space="0"/>
            </w:tcBorders>
            <w:noWrap w:val="0"/>
            <w:vAlign w:val="top"/>
          </w:tcPr>
          <w:p w14:paraId="66495036">
            <w:pPr>
              <w:shd w:val="clear" w:color="auto" w:fill="auto"/>
              <w:ind w:firstLine="420"/>
              <w:jc w:val="center"/>
              <w:rPr>
                <w:rFonts w:hint="eastAsia" w:ascii="宋体" w:hAnsi="宋体" w:cs="宋体"/>
                <w:color w:val="000000"/>
                <w:szCs w:val="21"/>
                <w:highlight w:val="none"/>
              </w:rPr>
            </w:pPr>
          </w:p>
        </w:tc>
        <w:tc>
          <w:tcPr>
            <w:tcW w:w="2727" w:type="dxa"/>
            <w:tcBorders>
              <w:top w:val="single" w:color="auto" w:sz="4" w:space="0"/>
              <w:left w:val="single" w:color="auto" w:sz="4" w:space="0"/>
              <w:bottom w:val="single" w:color="auto" w:sz="4" w:space="0"/>
              <w:right w:val="single" w:color="auto" w:sz="4" w:space="0"/>
            </w:tcBorders>
            <w:noWrap w:val="0"/>
            <w:vAlign w:val="top"/>
          </w:tcPr>
          <w:p w14:paraId="66EFE504">
            <w:pPr>
              <w:shd w:val="clear" w:color="auto" w:fill="auto"/>
              <w:ind w:firstLine="420"/>
              <w:jc w:val="center"/>
              <w:rPr>
                <w:rFonts w:hint="eastAsia" w:ascii="宋体" w:hAnsi="宋体" w:cs="宋体"/>
                <w:color w:val="000000"/>
                <w:szCs w:val="21"/>
                <w:highlight w:val="none"/>
              </w:rPr>
            </w:pPr>
          </w:p>
        </w:tc>
        <w:tc>
          <w:tcPr>
            <w:tcW w:w="2545" w:type="dxa"/>
            <w:tcBorders>
              <w:top w:val="single" w:color="auto" w:sz="4" w:space="0"/>
              <w:left w:val="single" w:color="auto" w:sz="4" w:space="0"/>
              <w:bottom w:val="single" w:color="auto" w:sz="4" w:space="0"/>
              <w:right w:val="single" w:color="auto" w:sz="4" w:space="0"/>
            </w:tcBorders>
            <w:noWrap w:val="0"/>
            <w:vAlign w:val="top"/>
          </w:tcPr>
          <w:p w14:paraId="4C0197CC">
            <w:pPr>
              <w:shd w:val="clear" w:color="auto" w:fill="auto"/>
              <w:ind w:firstLine="420"/>
              <w:jc w:val="center"/>
              <w:rPr>
                <w:rFonts w:hint="eastAsia" w:ascii="宋体" w:hAnsi="宋体" w:cs="宋体"/>
                <w:color w:val="000000"/>
                <w:szCs w:val="21"/>
                <w:highlight w:val="none"/>
              </w:rPr>
            </w:pPr>
          </w:p>
        </w:tc>
      </w:tr>
      <w:tr w14:paraId="4EAFE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exact"/>
          <w:jc w:val="center"/>
        </w:trPr>
        <w:tc>
          <w:tcPr>
            <w:tcW w:w="848" w:type="dxa"/>
            <w:tcBorders>
              <w:top w:val="single" w:color="auto" w:sz="4" w:space="0"/>
              <w:left w:val="single" w:color="auto" w:sz="4" w:space="0"/>
              <w:bottom w:val="single" w:color="auto" w:sz="4" w:space="0"/>
              <w:right w:val="single" w:color="auto" w:sz="4" w:space="0"/>
            </w:tcBorders>
            <w:noWrap w:val="0"/>
            <w:vAlign w:val="top"/>
          </w:tcPr>
          <w:p w14:paraId="0989AB3F">
            <w:pPr>
              <w:shd w:val="clear" w:color="auto" w:fill="auto"/>
              <w:ind w:firstLine="420"/>
              <w:jc w:val="center"/>
              <w:rPr>
                <w:rFonts w:hint="eastAsia" w:ascii="宋体" w:hAnsi="宋体" w:cs="宋体"/>
                <w:color w:val="000000"/>
                <w:szCs w:val="21"/>
                <w:highlight w:val="none"/>
              </w:rPr>
            </w:pPr>
          </w:p>
        </w:tc>
        <w:tc>
          <w:tcPr>
            <w:tcW w:w="2605" w:type="dxa"/>
            <w:tcBorders>
              <w:top w:val="single" w:color="auto" w:sz="4" w:space="0"/>
              <w:left w:val="single" w:color="auto" w:sz="4" w:space="0"/>
              <w:bottom w:val="single" w:color="auto" w:sz="4" w:space="0"/>
              <w:right w:val="single" w:color="auto" w:sz="4" w:space="0"/>
            </w:tcBorders>
            <w:noWrap w:val="0"/>
            <w:vAlign w:val="top"/>
          </w:tcPr>
          <w:p w14:paraId="567A5B74">
            <w:pPr>
              <w:shd w:val="clear" w:color="auto" w:fill="auto"/>
              <w:ind w:firstLine="420"/>
              <w:jc w:val="center"/>
              <w:rPr>
                <w:rFonts w:hint="eastAsia" w:ascii="宋体" w:hAnsi="宋体" w:cs="宋体"/>
                <w:color w:val="000000"/>
                <w:szCs w:val="21"/>
                <w:highlight w:val="none"/>
              </w:rPr>
            </w:pPr>
          </w:p>
        </w:tc>
        <w:tc>
          <w:tcPr>
            <w:tcW w:w="2727" w:type="dxa"/>
            <w:tcBorders>
              <w:top w:val="single" w:color="auto" w:sz="4" w:space="0"/>
              <w:left w:val="single" w:color="auto" w:sz="4" w:space="0"/>
              <w:bottom w:val="single" w:color="auto" w:sz="4" w:space="0"/>
              <w:right w:val="single" w:color="auto" w:sz="4" w:space="0"/>
            </w:tcBorders>
            <w:noWrap w:val="0"/>
            <w:vAlign w:val="top"/>
          </w:tcPr>
          <w:p w14:paraId="45B7AF11">
            <w:pPr>
              <w:shd w:val="clear" w:color="auto" w:fill="auto"/>
              <w:ind w:firstLine="420"/>
              <w:jc w:val="center"/>
              <w:rPr>
                <w:rFonts w:hint="eastAsia" w:ascii="宋体" w:hAnsi="宋体" w:cs="宋体"/>
                <w:color w:val="000000"/>
                <w:szCs w:val="21"/>
                <w:highlight w:val="none"/>
              </w:rPr>
            </w:pPr>
          </w:p>
        </w:tc>
        <w:tc>
          <w:tcPr>
            <w:tcW w:w="2545" w:type="dxa"/>
            <w:tcBorders>
              <w:top w:val="single" w:color="auto" w:sz="4" w:space="0"/>
              <w:left w:val="single" w:color="auto" w:sz="4" w:space="0"/>
              <w:bottom w:val="single" w:color="auto" w:sz="4" w:space="0"/>
              <w:right w:val="single" w:color="auto" w:sz="4" w:space="0"/>
            </w:tcBorders>
            <w:noWrap w:val="0"/>
            <w:vAlign w:val="top"/>
          </w:tcPr>
          <w:p w14:paraId="21516B87">
            <w:pPr>
              <w:shd w:val="clear" w:color="auto" w:fill="auto"/>
              <w:ind w:firstLine="420"/>
              <w:jc w:val="center"/>
              <w:rPr>
                <w:rFonts w:hint="eastAsia" w:ascii="宋体" w:hAnsi="宋体" w:cs="宋体"/>
                <w:color w:val="000000"/>
                <w:szCs w:val="21"/>
                <w:highlight w:val="none"/>
              </w:rPr>
            </w:pPr>
          </w:p>
        </w:tc>
      </w:tr>
      <w:tr w14:paraId="30FF6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exact"/>
          <w:jc w:val="center"/>
        </w:trPr>
        <w:tc>
          <w:tcPr>
            <w:tcW w:w="848" w:type="dxa"/>
            <w:tcBorders>
              <w:top w:val="single" w:color="auto" w:sz="4" w:space="0"/>
              <w:left w:val="single" w:color="auto" w:sz="4" w:space="0"/>
              <w:bottom w:val="single" w:color="auto" w:sz="4" w:space="0"/>
              <w:right w:val="single" w:color="auto" w:sz="4" w:space="0"/>
            </w:tcBorders>
            <w:noWrap w:val="0"/>
            <w:vAlign w:val="top"/>
          </w:tcPr>
          <w:p w14:paraId="5192FBA5">
            <w:pPr>
              <w:shd w:val="clear" w:color="auto" w:fill="auto"/>
              <w:ind w:firstLine="420"/>
              <w:jc w:val="center"/>
              <w:rPr>
                <w:rFonts w:hint="eastAsia" w:ascii="宋体" w:hAnsi="宋体" w:cs="宋体"/>
                <w:color w:val="000000"/>
                <w:szCs w:val="21"/>
                <w:highlight w:val="none"/>
              </w:rPr>
            </w:pPr>
          </w:p>
        </w:tc>
        <w:tc>
          <w:tcPr>
            <w:tcW w:w="2605" w:type="dxa"/>
            <w:tcBorders>
              <w:top w:val="single" w:color="auto" w:sz="4" w:space="0"/>
              <w:left w:val="single" w:color="auto" w:sz="4" w:space="0"/>
              <w:bottom w:val="single" w:color="auto" w:sz="4" w:space="0"/>
              <w:right w:val="single" w:color="auto" w:sz="4" w:space="0"/>
            </w:tcBorders>
            <w:noWrap w:val="0"/>
            <w:vAlign w:val="top"/>
          </w:tcPr>
          <w:p w14:paraId="0B4BA4F6">
            <w:pPr>
              <w:shd w:val="clear" w:color="auto" w:fill="auto"/>
              <w:ind w:firstLine="420"/>
              <w:jc w:val="center"/>
              <w:rPr>
                <w:rFonts w:hint="eastAsia" w:ascii="宋体" w:hAnsi="宋体" w:cs="宋体"/>
                <w:color w:val="000000"/>
                <w:szCs w:val="21"/>
                <w:highlight w:val="none"/>
              </w:rPr>
            </w:pPr>
          </w:p>
        </w:tc>
        <w:tc>
          <w:tcPr>
            <w:tcW w:w="2727" w:type="dxa"/>
            <w:tcBorders>
              <w:top w:val="single" w:color="auto" w:sz="4" w:space="0"/>
              <w:left w:val="single" w:color="auto" w:sz="4" w:space="0"/>
              <w:bottom w:val="single" w:color="auto" w:sz="4" w:space="0"/>
              <w:right w:val="single" w:color="auto" w:sz="4" w:space="0"/>
            </w:tcBorders>
            <w:noWrap w:val="0"/>
            <w:vAlign w:val="top"/>
          </w:tcPr>
          <w:p w14:paraId="76FB6B74">
            <w:pPr>
              <w:shd w:val="clear" w:color="auto" w:fill="auto"/>
              <w:ind w:firstLine="420"/>
              <w:jc w:val="center"/>
              <w:rPr>
                <w:rFonts w:hint="eastAsia" w:ascii="宋体" w:hAnsi="宋体" w:cs="宋体"/>
                <w:color w:val="000000"/>
                <w:szCs w:val="21"/>
                <w:highlight w:val="none"/>
              </w:rPr>
            </w:pPr>
          </w:p>
        </w:tc>
        <w:tc>
          <w:tcPr>
            <w:tcW w:w="2545" w:type="dxa"/>
            <w:tcBorders>
              <w:top w:val="single" w:color="auto" w:sz="4" w:space="0"/>
              <w:left w:val="single" w:color="auto" w:sz="4" w:space="0"/>
              <w:bottom w:val="single" w:color="auto" w:sz="4" w:space="0"/>
              <w:right w:val="single" w:color="auto" w:sz="4" w:space="0"/>
            </w:tcBorders>
            <w:noWrap w:val="0"/>
            <w:vAlign w:val="top"/>
          </w:tcPr>
          <w:p w14:paraId="45494D93">
            <w:pPr>
              <w:shd w:val="clear" w:color="auto" w:fill="auto"/>
              <w:ind w:firstLine="420"/>
              <w:jc w:val="center"/>
              <w:rPr>
                <w:rFonts w:hint="eastAsia" w:ascii="宋体" w:hAnsi="宋体" w:cs="宋体"/>
                <w:color w:val="000000"/>
                <w:szCs w:val="21"/>
                <w:highlight w:val="none"/>
              </w:rPr>
            </w:pPr>
          </w:p>
        </w:tc>
      </w:tr>
      <w:tr w14:paraId="1B43F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exact"/>
          <w:jc w:val="center"/>
        </w:trPr>
        <w:tc>
          <w:tcPr>
            <w:tcW w:w="848" w:type="dxa"/>
            <w:tcBorders>
              <w:top w:val="single" w:color="auto" w:sz="4" w:space="0"/>
              <w:left w:val="single" w:color="auto" w:sz="4" w:space="0"/>
              <w:bottom w:val="single" w:color="auto" w:sz="4" w:space="0"/>
              <w:right w:val="single" w:color="auto" w:sz="4" w:space="0"/>
            </w:tcBorders>
            <w:noWrap w:val="0"/>
            <w:vAlign w:val="top"/>
          </w:tcPr>
          <w:p w14:paraId="403FBF6C">
            <w:pPr>
              <w:shd w:val="clear" w:color="auto" w:fill="auto"/>
              <w:ind w:firstLine="420"/>
              <w:jc w:val="center"/>
              <w:rPr>
                <w:rFonts w:hint="eastAsia" w:ascii="宋体" w:hAnsi="宋体" w:cs="宋体"/>
                <w:color w:val="000000"/>
                <w:szCs w:val="21"/>
                <w:highlight w:val="none"/>
              </w:rPr>
            </w:pPr>
          </w:p>
        </w:tc>
        <w:tc>
          <w:tcPr>
            <w:tcW w:w="2605" w:type="dxa"/>
            <w:tcBorders>
              <w:top w:val="single" w:color="auto" w:sz="4" w:space="0"/>
              <w:left w:val="single" w:color="auto" w:sz="4" w:space="0"/>
              <w:bottom w:val="single" w:color="auto" w:sz="4" w:space="0"/>
              <w:right w:val="single" w:color="auto" w:sz="4" w:space="0"/>
            </w:tcBorders>
            <w:noWrap w:val="0"/>
            <w:vAlign w:val="top"/>
          </w:tcPr>
          <w:p w14:paraId="66642BD0">
            <w:pPr>
              <w:shd w:val="clear" w:color="auto" w:fill="auto"/>
              <w:ind w:firstLine="420"/>
              <w:jc w:val="center"/>
              <w:rPr>
                <w:rFonts w:hint="eastAsia" w:ascii="宋体" w:hAnsi="宋体" w:cs="宋体"/>
                <w:color w:val="000000"/>
                <w:szCs w:val="21"/>
                <w:highlight w:val="none"/>
              </w:rPr>
            </w:pPr>
          </w:p>
        </w:tc>
        <w:tc>
          <w:tcPr>
            <w:tcW w:w="2727" w:type="dxa"/>
            <w:tcBorders>
              <w:top w:val="single" w:color="auto" w:sz="4" w:space="0"/>
              <w:left w:val="single" w:color="auto" w:sz="4" w:space="0"/>
              <w:bottom w:val="single" w:color="auto" w:sz="4" w:space="0"/>
              <w:right w:val="single" w:color="auto" w:sz="4" w:space="0"/>
            </w:tcBorders>
            <w:noWrap w:val="0"/>
            <w:vAlign w:val="top"/>
          </w:tcPr>
          <w:p w14:paraId="2FFDED1E">
            <w:pPr>
              <w:shd w:val="clear" w:color="auto" w:fill="auto"/>
              <w:ind w:firstLine="420"/>
              <w:jc w:val="center"/>
              <w:rPr>
                <w:rFonts w:hint="eastAsia" w:ascii="宋体" w:hAnsi="宋体" w:cs="宋体"/>
                <w:color w:val="000000"/>
                <w:szCs w:val="21"/>
                <w:highlight w:val="none"/>
              </w:rPr>
            </w:pPr>
          </w:p>
        </w:tc>
        <w:tc>
          <w:tcPr>
            <w:tcW w:w="2545" w:type="dxa"/>
            <w:tcBorders>
              <w:top w:val="single" w:color="auto" w:sz="4" w:space="0"/>
              <w:left w:val="single" w:color="auto" w:sz="4" w:space="0"/>
              <w:bottom w:val="single" w:color="auto" w:sz="4" w:space="0"/>
              <w:right w:val="single" w:color="auto" w:sz="4" w:space="0"/>
            </w:tcBorders>
            <w:noWrap w:val="0"/>
            <w:vAlign w:val="top"/>
          </w:tcPr>
          <w:p w14:paraId="21C2C6F9">
            <w:pPr>
              <w:shd w:val="clear" w:color="auto" w:fill="auto"/>
              <w:ind w:firstLine="420"/>
              <w:jc w:val="center"/>
              <w:rPr>
                <w:rFonts w:hint="eastAsia" w:ascii="宋体" w:hAnsi="宋体" w:cs="宋体"/>
                <w:color w:val="000000"/>
                <w:szCs w:val="21"/>
                <w:highlight w:val="none"/>
              </w:rPr>
            </w:pPr>
          </w:p>
        </w:tc>
      </w:tr>
      <w:tr w14:paraId="31267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exact"/>
          <w:jc w:val="center"/>
        </w:trPr>
        <w:tc>
          <w:tcPr>
            <w:tcW w:w="848" w:type="dxa"/>
            <w:tcBorders>
              <w:top w:val="single" w:color="auto" w:sz="4" w:space="0"/>
              <w:left w:val="single" w:color="auto" w:sz="4" w:space="0"/>
              <w:bottom w:val="single" w:color="auto" w:sz="4" w:space="0"/>
              <w:right w:val="single" w:color="auto" w:sz="4" w:space="0"/>
            </w:tcBorders>
            <w:noWrap w:val="0"/>
            <w:vAlign w:val="top"/>
          </w:tcPr>
          <w:p w14:paraId="36641AE9">
            <w:pPr>
              <w:shd w:val="clear" w:color="auto" w:fill="auto"/>
              <w:ind w:firstLine="420"/>
              <w:jc w:val="center"/>
              <w:rPr>
                <w:rFonts w:hint="eastAsia" w:ascii="宋体" w:hAnsi="宋体" w:cs="宋体"/>
                <w:color w:val="000000"/>
                <w:szCs w:val="21"/>
                <w:highlight w:val="none"/>
              </w:rPr>
            </w:pPr>
          </w:p>
        </w:tc>
        <w:tc>
          <w:tcPr>
            <w:tcW w:w="2605" w:type="dxa"/>
            <w:tcBorders>
              <w:top w:val="single" w:color="auto" w:sz="4" w:space="0"/>
              <w:left w:val="single" w:color="auto" w:sz="4" w:space="0"/>
              <w:bottom w:val="single" w:color="auto" w:sz="4" w:space="0"/>
              <w:right w:val="single" w:color="auto" w:sz="4" w:space="0"/>
            </w:tcBorders>
            <w:noWrap w:val="0"/>
            <w:vAlign w:val="top"/>
          </w:tcPr>
          <w:p w14:paraId="4D4BA740">
            <w:pPr>
              <w:shd w:val="clear" w:color="auto" w:fill="auto"/>
              <w:ind w:firstLine="420"/>
              <w:jc w:val="center"/>
              <w:rPr>
                <w:rFonts w:hint="eastAsia" w:ascii="宋体" w:hAnsi="宋体" w:cs="宋体"/>
                <w:color w:val="000000"/>
                <w:szCs w:val="21"/>
                <w:highlight w:val="none"/>
              </w:rPr>
            </w:pPr>
          </w:p>
        </w:tc>
        <w:tc>
          <w:tcPr>
            <w:tcW w:w="2727" w:type="dxa"/>
            <w:tcBorders>
              <w:top w:val="single" w:color="auto" w:sz="4" w:space="0"/>
              <w:left w:val="single" w:color="auto" w:sz="4" w:space="0"/>
              <w:bottom w:val="single" w:color="auto" w:sz="4" w:space="0"/>
              <w:right w:val="single" w:color="auto" w:sz="4" w:space="0"/>
            </w:tcBorders>
            <w:noWrap w:val="0"/>
            <w:vAlign w:val="top"/>
          </w:tcPr>
          <w:p w14:paraId="676CFFFF">
            <w:pPr>
              <w:shd w:val="clear" w:color="auto" w:fill="auto"/>
              <w:ind w:firstLine="420"/>
              <w:jc w:val="center"/>
              <w:rPr>
                <w:rFonts w:hint="eastAsia" w:ascii="宋体" w:hAnsi="宋体" w:cs="宋体"/>
                <w:color w:val="000000"/>
                <w:szCs w:val="21"/>
                <w:highlight w:val="none"/>
              </w:rPr>
            </w:pPr>
          </w:p>
        </w:tc>
        <w:tc>
          <w:tcPr>
            <w:tcW w:w="2545" w:type="dxa"/>
            <w:tcBorders>
              <w:top w:val="single" w:color="auto" w:sz="4" w:space="0"/>
              <w:left w:val="single" w:color="auto" w:sz="4" w:space="0"/>
              <w:bottom w:val="single" w:color="auto" w:sz="4" w:space="0"/>
              <w:right w:val="single" w:color="auto" w:sz="4" w:space="0"/>
            </w:tcBorders>
            <w:noWrap w:val="0"/>
            <w:vAlign w:val="top"/>
          </w:tcPr>
          <w:p w14:paraId="64F8811B">
            <w:pPr>
              <w:shd w:val="clear" w:color="auto" w:fill="auto"/>
              <w:ind w:firstLine="420"/>
              <w:jc w:val="center"/>
              <w:rPr>
                <w:rFonts w:hint="eastAsia" w:ascii="宋体" w:hAnsi="宋体" w:cs="宋体"/>
                <w:color w:val="000000"/>
                <w:szCs w:val="21"/>
                <w:highlight w:val="none"/>
              </w:rPr>
            </w:pPr>
          </w:p>
        </w:tc>
      </w:tr>
      <w:tr w14:paraId="3B45E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exact"/>
          <w:jc w:val="center"/>
        </w:trPr>
        <w:tc>
          <w:tcPr>
            <w:tcW w:w="848" w:type="dxa"/>
            <w:tcBorders>
              <w:top w:val="single" w:color="auto" w:sz="4" w:space="0"/>
              <w:left w:val="single" w:color="auto" w:sz="4" w:space="0"/>
              <w:bottom w:val="single" w:color="auto" w:sz="4" w:space="0"/>
              <w:right w:val="single" w:color="auto" w:sz="4" w:space="0"/>
            </w:tcBorders>
            <w:noWrap w:val="0"/>
            <w:vAlign w:val="top"/>
          </w:tcPr>
          <w:p w14:paraId="32EAB5C6">
            <w:pPr>
              <w:shd w:val="clear" w:color="auto" w:fill="auto"/>
              <w:ind w:firstLine="420"/>
              <w:jc w:val="center"/>
              <w:rPr>
                <w:rFonts w:hint="eastAsia" w:ascii="宋体" w:hAnsi="宋体" w:cs="宋体"/>
                <w:color w:val="000000"/>
                <w:szCs w:val="21"/>
                <w:highlight w:val="none"/>
              </w:rPr>
            </w:pPr>
          </w:p>
        </w:tc>
        <w:tc>
          <w:tcPr>
            <w:tcW w:w="2605" w:type="dxa"/>
            <w:tcBorders>
              <w:top w:val="single" w:color="auto" w:sz="4" w:space="0"/>
              <w:left w:val="single" w:color="auto" w:sz="4" w:space="0"/>
              <w:bottom w:val="single" w:color="auto" w:sz="4" w:space="0"/>
              <w:right w:val="single" w:color="auto" w:sz="4" w:space="0"/>
            </w:tcBorders>
            <w:noWrap w:val="0"/>
            <w:vAlign w:val="top"/>
          </w:tcPr>
          <w:p w14:paraId="6B89EF26">
            <w:pPr>
              <w:shd w:val="clear" w:color="auto" w:fill="auto"/>
              <w:ind w:firstLine="420"/>
              <w:jc w:val="center"/>
              <w:rPr>
                <w:rFonts w:hint="eastAsia" w:ascii="宋体" w:hAnsi="宋体" w:cs="宋体"/>
                <w:color w:val="000000"/>
                <w:szCs w:val="21"/>
                <w:highlight w:val="none"/>
              </w:rPr>
            </w:pPr>
          </w:p>
        </w:tc>
        <w:tc>
          <w:tcPr>
            <w:tcW w:w="2727" w:type="dxa"/>
            <w:tcBorders>
              <w:top w:val="single" w:color="auto" w:sz="4" w:space="0"/>
              <w:left w:val="single" w:color="auto" w:sz="4" w:space="0"/>
              <w:bottom w:val="single" w:color="auto" w:sz="4" w:space="0"/>
              <w:right w:val="single" w:color="auto" w:sz="4" w:space="0"/>
            </w:tcBorders>
            <w:noWrap w:val="0"/>
            <w:vAlign w:val="top"/>
          </w:tcPr>
          <w:p w14:paraId="6EE1EFA8">
            <w:pPr>
              <w:shd w:val="clear" w:color="auto" w:fill="auto"/>
              <w:ind w:firstLine="420"/>
              <w:jc w:val="center"/>
              <w:rPr>
                <w:rFonts w:hint="eastAsia" w:ascii="宋体" w:hAnsi="宋体" w:cs="宋体"/>
                <w:color w:val="000000"/>
                <w:szCs w:val="21"/>
                <w:highlight w:val="none"/>
              </w:rPr>
            </w:pPr>
          </w:p>
        </w:tc>
        <w:tc>
          <w:tcPr>
            <w:tcW w:w="2545" w:type="dxa"/>
            <w:tcBorders>
              <w:top w:val="single" w:color="auto" w:sz="4" w:space="0"/>
              <w:left w:val="single" w:color="auto" w:sz="4" w:space="0"/>
              <w:bottom w:val="single" w:color="auto" w:sz="4" w:space="0"/>
              <w:right w:val="single" w:color="auto" w:sz="4" w:space="0"/>
            </w:tcBorders>
            <w:noWrap w:val="0"/>
            <w:vAlign w:val="top"/>
          </w:tcPr>
          <w:p w14:paraId="0B650B1F">
            <w:pPr>
              <w:shd w:val="clear" w:color="auto" w:fill="auto"/>
              <w:ind w:firstLine="420"/>
              <w:jc w:val="center"/>
              <w:rPr>
                <w:rFonts w:hint="eastAsia" w:ascii="宋体" w:hAnsi="宋体" w:cs="宋体"/>
                <w:color w:val="000000"/>
                <w:szCs w:val="21"/>
                <w:highlight w:val="none"/>
              </w:rPr>
            </w:pPr>
          </w:p>
        </w:tc>
      </w:tr>
      <w:tr w14:paraId="31384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exact"/>
          <w:jc w:val="center"/>
        </w:trPr>
        <w:tc>
          <w:tcPr>
            <w:tcW w:w="848" w:type="dxa"/>
            <w:tcBorders>
              <w:top w:val="single" w:color="auto" w:sz="4" w:space="0"/>
              <w:left w:val="single" w:color="auto" w:sz="4" w:space="0"/>
              <w:bottom w:val="single" w:color="auto" w:sz="4" w:space="0"/>
              <w:right w:val="single" w:color="auto" w:sz="4" w:space="0"/>
            </w:tcBorders>
            <w:noWrap w:val="0"/>
            <w:vAlign w:val="top"/>
          </w:tcPr>
          <w:p w14:paraId="3295ABD5">
            <w:pPr>
              <w:shd w:val="clear" w:color="auto" w:fill="auto"/>
              <w:ind w:firstLine="420"/>
              <w:jc w:val="center"/>
              <w:rPr>
                <w:rFonts w:hint="eastAsia" w:ascii="宋体" w:hAnsi="宋体" w:cs="宋体"/>
                <w:color w:val="000000"/>
                <w:szCs w:val="21"/>
                <w:highlight w:val="none"/>
              </w:rPr>
            </w:pPr>
          </w:p>
        </w:tc>
        <w:tc>
          <w:tcPr>
            <w:tcW w:w="2605" w:type="dxa"/>
            <w:tcBorders>
              <w:top w:val="single" w:color="auto" w:sz="4" w:space="0"/>
              <w:left w:val="single" w:color="auto" w:sz="4" w:space="0"/>
              <w:bottom w:val="single" w:color="auto" w:sz="4" w:space="0"/>
              <w:right w:val="single" w:color="auto" w:sz="4" w:space="0"/>
            </w:tcBorders>
            <w:noWrap w:val="0"/>
            <w:vAlign w:val="top"/>
          </w:tcPr>
          <w:p w14:paraId="5A2577A3">
            <w:pPr>
              <w:shd w:val="clear" w:color="auto" w:fill="auto"/>
              <w:ind w:firstLine="420"/>
              <w:jc w:val="center"/>
              <w:rPr>
                <w:rFonts w:hint="eastAsia" w:ascii="宋体" w:hAnsi="宋体" w:cs="宋体"/>
                <w:color w:val="000000"/>
                <w:szCs w:val="21"/>
                <w:highlight w:val="none"/>
              </w:rPr>
            </w:pPr>
          </w:p>
        </w:tc>
        <w:tc>
          <w:tcPr>
            <w:tcW w:w="2727" w:type="dxa"/>
            <w:tcBorders>
              <w:top w:val="single" w:color="auto" w:sz="4" w:space="0"/>
              <w:left w:val="single" w:color="auto" w:sz="4" w:space="0"/>
              <w:bottom w:val="single" w:color="auto" w:sz="4" w:space="0"/>
              <w:right w:val="single" w:color="auto" w:sz="4" w:space="0"/>
            </w:tcBorders>
            <w:noWrap w:val="0"/>
            <w:vAlign w:val="top"/>
          </w:tcPr>
          <w:p w14:paraId="64F184FF">
            <w:pPr>
              <w:shd w:val="clear" w:color="auto" w:fill="auto"/>
              <w:ind w:firstLine="420"/>
              <w:jc w:val="center"/>
              <w:rPr>
                <w:rFonts w:hint="eastAsia" w:ascii="宋体" w:hAnsi="宋体" w:cs="宋体"/>
                <w:color w:val="000000"/>
                <w:szCs w:val="21"/>
                <w:highlight w:val="none"/>
              </w:rPr>
            </w:pPr>
          </w:p>
        </w:tc>
        <w:tc>
          <w:tcPr>
            <w:tcW w:w="2545" w:type="dxa"/>
            <w:tcBorders>
              <w:top w:val="single" w:color="auto" w:sz="4" w:space="0"/>
              <w:left w:val="single" w:color="auto" w:sz="4" w:space="0"/>
              <w:bottom w:val="single" w:color="auto" w:sz="4" w:space="0"/>
              <w:right w:val="single" w:color="auto" w:sz="4" w:space="0"/>
            </w:tcBorders>
            <w:noWrap w:val="0"/>
            <w:vAlign w:val="top"/>
          </w:tcPr>
          <w:p w14:paraId="6A8FD6ED">
            <w:pPr>
              <w:shd w:val="clear" w:color="auto" w:fill="auto"/>
              <w:ind w:firstLine="420"/>
              <w:jc w:val="center"/>
              <w:rPr>
                <w:rFonts w:hint="eastAsia" w:ascii="宋体" w:hAnsi="宋体" w:cs="宋体"/>
                <w:color w:val="000000"/>
                <w:szCs w:val="21"/>
                <w:highlight w:val="none"/>
              </w:rPr>
            </w:pPr>
          </w:p>
        </w:tc>
      </w:tr>
      <w:tr w14:paraId="5CC59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exact"/>
          <w:jc w:val="center"/>
        </w:trPr>
        <w:tc>
          <w:tcPr>
            <w:tcW w:w="848" w:type="dxa"/>
            <w:tcBorders>
              <w:top w:val="single" w:color="auto" w:sz="4" w:space="0"/>
              <w:left w:val="single" w:color="auto" w:sz="4" w:space="0"/>
              <w:bottom w:val="single" w:color="auto" w:sz="4" w:space="0"/>
              <w:right w:val="single" w:color="auto" w:sz="4" w:space="0"/>
            </w:tcBorders>
            <w:noWrap w:val="0"/>
            <w:vAlign w:val="top"/>
          </w:tcPr>
          <w:p w14:paraId="014EEA7A">
            <w:pPr>
              <w:shd w:val="clear" w:color="auto" w:fill="auto"/>
              <w:ind w:firstLine="420"/>
              <w:jc w:val="center"/>
              <w:rPr>
                <w:rFonts w:hint="eastAsia" w:ascii="宋体" w:hAnsi="宋体" w:cs="宋体"/>
                <w:color w:val="000000"/>
                <w:szCs w:val="21"/>
                <w:highlight w:val="none"/>
              </w:rPr>
            </w:pPr>
          </w:p>
        </w:tc>
        <w:tc>
          <w:tcPr>
            <w:tcW w:w="2605" w:type="dxa"/>
            <w:tcBorders>
              <w:top w:val="single" w:color="auto" w:sz="4" w:space="0"/>
              <w:left w:val="single" w:color="auto" w:sz="4" w:space="0"/>
              <w:bottom w:val="single" w:color="auto" w:sz="4" w:space="0"/>
              <w:right w:val="single" w:color="auto" w:sz="4" w:space="0"/>
            </w:tcBorders>
            <w:noWrap w:val="0"/>
            <w:vAlign w:val="top"/>
          </w:tcPr>
          <w:p w14:paraId="4C5DCF42">
            <w:pPr>
              <w:shd w:val="clear" w:color="auto" w:fill="auto"/>
              <w:ind w:firstLine="420"/>
              <w:jc w:val="center"/>
              <w:rPr>
                <w:rFonts w:hint="eastAsia" w:ascii="宋体" w:hAnsi="宋体" w:cs="宋体"/>
                <w:color w:val="000000"/>
                <w:szCs w:val="21"/>
                <w:highlight w:val="none"/>
              </w:rPr>
            </w:pPr>
          </w:p>
        </w:tc>
        <w:tc>
          <w:tcPr>
            <w:tcW w:w="2727" w:type="dxa"/>
            <w:tcBorders>
              <w:top w:val="single" w:color="auto" w:sz="4" w:space="0"/>
              <w:left w:val="single" w:color="auto" w:sz="4" w:space="0"/>
              <w:bottom w:val="single" w:color="auto" w:sz="4" w:space="0"/>
              <w:right w:val="single" w:color="auto" w:sz="4" w:space="0"/>
            </w:tcBorders>
            <w:noWrap w:val="0"/>
            <w:vAlign w:val="top"/>
          </w:tcPr>
          <w:p w14:paraId="0B0C1E50">
            <w:pPr>
              <w:shd w:val="clear" w:color="auto" w:fill="auto"/>
              <w:ind w:firstLine="420"/>
              <w:jc w:val="center"/>
              <w:rPr>
                <w:rFonts w:hint="eastAsia" w:ascii="宋体" w:hAnsi="宋体" w:cs="宋体"/>
                <w:color w:val="000000"/>
                <w:szCs w:val="21"/>
                <w:highlight w:val="none"/>
              </w:rPr>
            </w:pPr>
          </w:p>
        </w:tc>
        <w:tc>
          <w:tcPr>
            <w:tcW w:w="2545" w:type="dxa"/>
            <w:tcBorders>
              <w:top w:val="single" w:color="auto" w:sz="4" w:space="0"/>
              <w:left w:val="single" w:color="auto" w:sz="4" w:space="0"/>
              <w:bottom w:val="single" w:color="auto" w:sz="4" w:space="0"/>
              <w:right w:val="single" w:color="auto" w:sz="4" w:space="0"/>
            </w:tcBorders>
            <w:noWrap w:val="0"/>
            <w:vAlign w:val="top"/>
          </w:tcPr>
          <w:p w14:paraId="15C1669F">
            <w:pPr>
              <w:shd w:val="clear" w:color="auto" w:fill="auto"/>
              <w:ind w:firstLine="420"/>
              <w:jc w:val="center"/>
              <w:rPr>
                <w:rFonts w:hint="eastAsia" w:ascii="宋体" w:hAnsi="宋体" w:cs="宋体"/>
                <w:color w:val="000000"/>
                <w:szCs w:val="21"/>
                <w:highlight w:val="none"/>
              </w:rPr>
            </w:pPr>
          </w:p>
        </w:tc>
      </w:tr>
    </w:tbl>
    <w:p w14:paraId="6D51AA1D">
      <w:pPr>
        <w:shd w:val="clear" w:color="auto" w:fill="auto"/>
        <w:ind w:left="720" w:hanging="720" w:hangingChars="300"/>
        <w:rPr>
          <w:rFonts w:hint="eastAsia" w:ascii="宋体" w:hAnsi="宋体" w:cs="宋体"/>
          <w:sz w:val="24"/>
          <w:highlight w:val="none"/>
        </w:rPr>
      </w:pPr>
    </w:p>
    <w:p w14:paraId="5F4878D2">
      <w:pPr>
        <w:shd w:val="clear" w:color="auto" w:fill="auto"/>
        <w:ind w:left="675" w:leftChars="150" w:hanging="360" w:hangingChars="200"/>
        <w:rPr>
          <w:rFonts w:hint="eastAsia" w:ascii="宋体" w:hAnsi="宋体" w:eastAsia="宋体" w:cs="宋体"/>
          <w:sz w:val="18"/>
          <w:szCs w:val="18"/>
          <w:highlight w:val="none"/>
          <w:lang w:eastAsia="zh-CN"/>
        </w:rPr>
      </w:pPr>
      <w:r>
        <w:rPr>
          <w:rFonts w:hint="eastAsia" w:ascii="宋体" w:hAnsi="宋体" w:cs="宋体"/>
          <w:sz w:val="18"/>
          <w:szCs w:val="18"/>
          <w:highlight w:val="none"/>
        </w:rPr>
        <w:t>注：1. 本表应严格按照“第</w:t>
      </w:r>
      <w:r>
        <w:rPr>
          <w:rFonts w:hint="eastAsia" w:ascii="宋体" w:hAnsi="宋体" w:cs="宋体"/>
          <w:sz w:val="18"/>
          <w:szCs w:val="18"/>
          <w:highlight w:val="none"/>
          <w:lang w:eastAsia="zh-CN"/>
        </w:rPr>
        <w:t>五</w:t>
      </w:r>
      <w:r>
        <w:rPr>
          <w:rFonts w:hint="eastAsia" w:ascii="宋体" w:hAnsi="宋体" w:cs="宋体"/>
          <w:sz w:val="18"/>
          <w:szCs w:val="18"/>
          <w:highlight w:val="none"/>
        </w:rPr>
        <w:t>章 商务要求”中所包含的商务条款填写；“招标商务要求”须按</w:t>
      </w:r>
      <w:r>
        <w:rPr>
          <w:rFonts w:hint="eastAsia" w:ascii="宋体" w:hAnsi="宋体" w:cs="宋体"/>
          <w:sz w:val="18"/>
          <w:szCs w:val="18"/>
          <w:highlight w:val="none"/>
          <w:lang w:eastAsia="zh-CN"/>
        </w:rPr>
        <w:t>招标</w:t>
      </w:r>
      <w:r>
        <w:rPr>
          <w:rFonts w:hint="eastAsia" w:ascii="宋体" w:hAnsi="宋体" w:cs="宋体"/>
          <w:sz w:val="18"/>
          <w:szCs w:val="18"/>
          <w:highlight w:val="none"/>
        </w:rPr>
        <w:t>文件的商务条款填写；“投标文件商务响应”为供应商所响应的商务条款；“偏离及其影响”填写：优于。本表只填写投标文件中与招标文件有正偏离的内容。完全响应的不用在本表列出，提供盖章空表即可</w:t>
      </w:r>
      <w:r>
        <w:rPr>
          <w:rFonts w:hint="eastAsia" w:ascii="宋体" w:hAnsi="宋体" w:cs="宋体"/>
          <w:sz w:val="18"/>
          <w:szCs w:val="18"/>
          <w:highlight w:val="none"/>
          <w:lang w:eastAsia="zh-CN"/>
        </w:rPr>
        <w:t>。</w:t>
      </w:r>
    </w:p>
    <w:p w14:paraId="5F9C5166">
      <w:pPr>
        <w:shd w:val="clear" w:color="auto" w:fill="auto"/>
        <w:spacing w:before="240" w:beforeLines="100"/>
        <w:ind w:left="420" w:leftChars="200" w:firstLine="270" w:firstLineChars="150"/>
        <w:rPr>
          <w:rFonts w:hint="eastAsia" w:ascii="宋体" w:hAnsi="宋体" w:cs="宋体"/>
          <w:sz w:val="18"/>
          <w:szCs w:val="18"/>
          <w:highlight w:val="none"/>
        </w:rPr>
      </w:pPr>
      <w:r>
        <w:rPr>
          <w:rFonts w:hint="eastAsia" w:ascii="宋体" w:hAnsi="宋体" w:cs="宋体"/>
          <w:sz w:val="18"/>
          <w:szCs w:val="18"/>
          <w:highlight w:val="none"/>
        </w:rPr>
        <w:t>2．供应商必须据实填写，不得虚假响应，否则将取消其投标或中标资格，并按有关规定进处罚。</w:t>
      </w:r>
    </w:p>
    <w:p w14:paraId="2F327C12">
      <w:pPr>
        <w:shd w:val="clear" w:color="auto" w:fill="auto"/>
        <w:adjustRightInd w:val="0"/>
        <w:ind w:firstLine="980" w:firstLineChars="350"/>
        <w:jc w:val="left"/>
        <w:rPr>
          <w:rFonts w:hint="eastAsia" w:ascii="宋体" w:hAnsi="宋体" w:cs="宋体"/>
          <w:bCs/>
          <w:sz w:val="28"/>
          <w:szCs w:val="28"/>
          <w:highlight w:val="none"/>
        </w:rPr>
      </w:pPr>
    </w:p>
    <w:p w14:paraId="26818C48">
      <w:pPr>
        <w:shd w:val="clear" w:color="auto" w:fill="auto"/>
        <w:adjustRightInd w:val="0"/>
        <w:ind w:firstLine="840" w:firstLineChars="350"/>
        <w:jc w:val="left"/>
        <w:rPr>
          <w:rFonts w:hint="eastAsia" w:ascii="宋体" w:hAnsi="宋体" w:cs="宋体"/>
          <w:bCs/>
          <w:sz w:val="24"/>
          <w:highlight w:val="none"/>
        </w:rPr>
      </w:pPr>
      <w:r>
        <w:rPr>
          <w:rFonts w:hint="eastAsia" w:ascii="宋体" w:hAnsi="宋体" w:cs="宋体"/>
          <w:bCs/>
          <w:sz w:val="24"/>
          <w:highlight w:val="none"/>
        </w:rPr>
        <w:t>投标供应商名称：（盖章）</w:t>
      </w:r>
    </w:p>
    <w:p w14:paraId="45F960FF">
      <w:pPr>
        <w:shd w:val="clear" w:color="auto" w:fill="auto"/>
        <w:adjustRightInd w:val="0"/>
        <w:ind w:firstLine="840" w:firstLineChars="350"/>
        <w:jc w:val="left"/>
        <w:rPr>
          <w:rFonts w:hint="eastAsia" w:ascii="宋体" w:hAnsi="宋体" w:cs="宋体"/>
          <w:sz w:val="24"/>
          <w:highlight w:val="none"/>
        </w:rPr>
      </w:pPr>
    </w:p>
    <w:p w14:paraId="63139D64">
      <w:pPr>
        <w:shd w:val="clear" w:color="auto" w:fill="auto"/>
        <w:adjustRightInd w:val="0"/>
        <w:ind w:firstLine="840" w:firstLineChars="350"/>
        <w:jc w:val="left"/>
        <w:rPr>
          <w:rFonts w:hint="eastAsia" w:ascii="宋体" w:hAnsi="宋体" w:cs="宋体"/>
          <w:bCs/>
          <w:sz w:val="24"/>
          <w:highlight w:val="none"/>
        </w:rPr>
      </w:pPr>
      <w:r>
        <w:rPr>
          <w:rFonts w:hint="eastAsia" w:ascii="宋体" w:hAnsi="宋体" w:cs="宋体"/>
          <w:sz w:val="24"/>
          <w:highlight w:val="none"/>
        </w:rPr>
        <w:t>法定代表人或被授权代表（签名或盖章）</w:t>
      </w:r>
      <w:r>
        <w:rPr>
          <w:rFonts w:hint="eastAsia" w:ascii="宋体" w:hAnsi="宋体" w:cs="宋体"/>
          <w:bCs/>
          <w:sz w:val="24"/>
          <w:highlight w:val="none"/>
        </w:rPr>
        <w:t>：</w:t>
      </w:r>
    </w:p>
    <w:p w14:paraId="2BC6F133">
      <w:pPr>
        <w:shd w:val="clear" w:color="auto" w:fill="auto"/>
        <w:ind w:firstLine="5880" w:firstLineChars="2450"/>
        <w:rPr>
          <w:rFonts w:hint="eastAsia" w:ascii="宋体" w:hAnsi="宋体" w:cs="宋体"/>
          <w:bCs/>
          <w:sz w:val="24"/>
          <w:highlight w:val="none"/>
        </w:rPr>
      </w:pPr>
    </w:p>
    <w:p w14:paraId="15358377">
      <w:pPr>
        <w:shd w:val="clear" w:color="auto" w:fill="auto"/>
        <w:ind w:firstLine="840" w:firstLineChars="350"/>
        <w:rPr>
          <w:rFonts w:hint="eastAsia" w:ascii="宋体" w:hAnsi="宋体" w:cs="宋体"/>
          <w:bCs/>
          <w:sz w:val="24"/>
          <w:highlight w:val="none"/>
        </w:rPr>
      </w:pPr>
      <w:r>
        <w:rPr>
          <w:rFonts w:hint="eastAsia" w:ascii="宋体" w:hAnsi="宋体" w:cs="宋体"/>
          <w:bCs/>
          <w:sz w:val="24"/>
          <w:highlight w:val="none"/>
        </w:rPr>
        <w:t>投标日期:</w:t>
      </w:r>
      <w:bookmarkStart w:id="150" w:name="_Toc217446088"/>
    </w:p>
    <w:p w14:paraId="29B69258">
      <w:pPr>
        <w:shd w:val="clear" w:color="auto" w:fill="auto"/>
        <w:ind w:firstLine="980" w:firstLineChars="350"/>
        <w:rPr>
          <w:rFonts w:hint="eastAsia" w:ascii="宋体" w:hAnsi="宋体" w:cs="宋体"/>
          <w:bCs/>
          <w:sz w:val="28"/>
          <w:szCs w:val="28"/>
          <w:highlight w:val="none"/>
        </w:rPr>
      </w:pPr>
    </w:p>
    <w:p w14:paraId="4B0372A4">
      <w:pPr>
        <w:pStyle w:val="6"/>
        <w:shd w:val="clear" w:color="auto" w:fill="auto"/>
        <w:ind w:firstLine="420"/>
        <w:rPr>
          <w:rFonts w:hint="eastAsia" w:ascii="宋体" w:hAnsi="宋体" w:cs="宋体"/>
          <w:highlight w:val="none"/>
        </w:rPr>
      </w:pPr>
    </w:p>
    <w:p w14:paraId="18AAE625">
      <w:pPr>
        <w:shd w:val="clear" w:color="auto" w:fill="auto"/>
        <w:ind w:firstLine="0" w:firstLineChars="0"/>
        <w:rPr>
          <w:rFonts w:hint="eastAsia" w:ascii="宋体" w:hAnsi="宋体" w:cs="宋体"/>
          <w:bCs/>
          <w:sz w:val="28"/>
          <w:szCs w:val="28"/>
          <w:highlight w:val="none"/>
        </w:rPr>
      </w:pPr>
    </w:p>
    <w:p w14:paraId="46E4FE98">
      <w:pPr>
        <w:shd w:val="clear" w:color="auto" w:fill="auto"/>
        <w:ind w:firstLine="0" w:firstLineChars="0"/>
        <w:jc w:val="center"/>
        <w:rPr>
          <w:rFonts w:hint="eastAsia" w:ascii="宋体" w:hAnsi="宋体" w:cs="宋体"/>
          <w:b/>
          <w:color w:val="000000"/>
          <w:sz w:val="28"/>
          <w:szCs w:val="28"/>
          <w:highlight w:val="none"/>
        </w:rPr>
      </w:pPr>
      <w:bookmarkStart w:id="151" w:name="_Toc29923_WPSOffice_Level1"/>
      <w:r>
        <w:rPr>
          <w:rFonts w:hint="eastAsia" w:ascii="宋体" w:hAnsi="宋体" w:cs="宋体"/>
          <w:b/>
          <w:color w:val="000000"/>
          <w:sz w:val="28"/>
          <w:szCs w:val="28"/>
          <w:highlight w:val="none"/>
        </w:rPr>
        <w:br w:type="page"/>
      </w:r>
      <w:r>
        <w:rPr>
          <w:rFonts w:hint="eastAsia" w:ascii="宋体" w:hAnsi="宋体" w:cs="宋体"/>
          <w:b/>
          <w:color w:val="000000"/>
          <w:sz w:val="28"/>
          <w:szCs w:val="28"/>
          <w:highlight w:val="none"/>
          <w:lang w:eastAsia="zh-CN"/>
        </w:rPr>
        <w:t>六</w:t>
      </w:r>
      <w:r>
        <w:rPr>
          <w:rFonts w:hint="eastAsia" w:ascii="宋体" w:hAnsi="宋体" w:cs="宋体"/>
          <w:b/>
          <w:color w:val="000000"/>
          <w:sz w:val="28"/>
          <w:szCs w:val="28"/>
          <w:highlight w:val="none"/>
        </w:rPr>
        <w:t>、技术文件</w:t>
      </w:r>
      <w:bookmarkEnd w:id="151"/>
    </w:p>
    <w:p w14:paraId="64F563E4">
      <w:pPr>
        <w:pStyle w:val="5"/>
        <w:shd w:val="clear" w:color="auto" w:fill="auto"/>
        <w:ind w:firstLine="0" w:firstLineChars="0"/>
        <w:rPr>
          <w:rFonts w:hint="eastAsia" w:ascii="宋体" w:hAnsi="宋体" w:cs="宋体"/>
          <w:sz w:val="28"/>
          <w:szCs w:val="24"/>
          <w:highlight w:val="none"/>
        </w:rPr>
      </w:pPr>
    </w:p>
    <w:p w14:paraId="474F30B6">
      <w:pPr>
        <w:pStyle w:val="5"/>
        <w:shd w:val="clear" w:color="auto" w:fill="auto"/>
        <w:rPr>
          <w:rFonts w:hint="eastAsia" w:ascii="宋体" w:hAnsi="宋体" w:cs="宋体"/>
          <w:highlight w:val="none"/>
        </w:rPr>
      </w:pPr>
    </w:p>
    <w:p w14:paraId="2F220FD6">
      <w:pPr>
        <w:pStyle w:val="5"/>
        <w:shd w:val="clear" w:color="auto" w:fill="auto"/>
        <w:rPr>
          <w:rFonts w:hint="eastAsia" w:ascii="宋体" w:hAnsi="宋体" w:cs="宋体"/>
          <w:highlight w:val="none"/>
        </w:rPr>
      </w:pPr>
    </w:p>
    <w:p w14:paraId="67D1B849">
      <w:pPr>
        <w:pStyle w:val="5"/>
        <w:shd w:val="clear" w:color="auto" w:fill="auto"/>
        <w:rPr>
          <w:rFonts w:hint="eastAsia" w:ascii="宋体" w:hAnsi="宋体" w:cs="宋体"/>
          <w:highlight w:val="none"/>
        </w:rPr>
      </w:pPr>
    </w:p>
    <w:p w14:paraId="1E50FA26">
      <w:pPr>
        <w:pStyle w:val="5"/>
        <w:shd w:val="clear" w:color="auto" w:fill="auto"/>
        <w:rPr>
          <w:rFonts w:hint="eastAsia" w:ascii="宋体" w:hAnsi="宋体" w:cs="宋体"/>
          <w:highlight w:val="none"/>
        </w:rPr>
      </w:pPr>
    </w:p>
    <w:p w14:paraId="67F306C3">
      <w:pPr>
        <w:shd w:val="clear" w:color="auto" w:fill="auto"/>
        <w:ind w:firstLine="420"/>
        <w:rPr>
          <w:rFonts w:hint="eastAsia" w:ascii="宋体" w:hAnsi="宋体" w:cs="宋体"/>
          <w:highlight w:val="none"/>
        </w:rPr>
      </w:pPr>
    </w:p>
    <w:p w14:paraId="5A8AB557">
      <w:pPr>
        <w:keepNext/>
        <w:keepLines/>
        <w:shd w:val="clear" w:color="auto" w:fill="auto"/>
        <w:spacing w:before="260" w:after="260"/>
        <w:ind w:firstLine="0" w:firstLineChars="0"/>
        <w:jc w:val="left"/>
        <w:outlineLvl w:val="1"/>
        <w:rPr>
          <w:rFonts w:hint="eastAsia" w:ascii="宋体" w:hAnsi="宋体" w:cs="宋体"/>
          <w:kern w:val="0"/>
          <w:sz w:val="24"/>
          <w:highlight w:val="none"/>
        </w:rPr>
      </w:pPr>
      <w:r>
        <w:rPr>
          <w:rFonts w:hint="eastAsia" w:ascii="宋体" w:hAnsi="宋体" w:cs="宋体"/>
          <w:kern w:val="0"/>
          <w:sz w:val="24"/>
          <w:highlight w:val="none"/>
        </w:rPr>
        <w:t>注：技术方案是评标委员会对投标文件进行评分的重要依据，请结合本项目招标文件中关于采购项目要求及评标办</w:t>
      </w:r>
      <w:r>
        <w:rPr>
          <w:rFonts w:hint="eastAsia" w:ascii="宋体" w:hAnsi="宋体" w:cs="宋体"/>
          <w:kern w:val="0"/>
          <w:sz w:val="24"/>
          <w:highlight w:val="none"/>
          <w:lang w:eastAsia="zh-CN"/>
        </w:rPr>
        <w:t>法</w:t>
      </w:r>
      <w:r>
        <w:rPr>
          <w:rFonts w:hint="eastAsia" w:ascii="宋体" w:hAnsi="宋体" w:cs="宋体"/>
          <w:kern w:val="0"/>
          <w:sz w:val="24"/>
          <w:highlight w:val="none"/>
        </w:rPr>
        <w:t>进行认真编制。</w:t>
      </w:r>
    </w:p>
    <w:p w14:paraId="538F83C0">
      <w:pPr>
        <w:shd w:val="clear" w:color="auto" w:fill="auto"/>
        <w:ind w:firstLine="420"/>
        <w:rPr>
          <w:rFonts w:hint="eastAsia" w:ascii="宋体" w:hAnsi="宋体" w:cs="宋体"/>
          <w:highlight w:val="none"/>
        </w:rPr>
      </w:pPr>
    </w:p>
    <w:p w14:paraId="34FFE5CE">
      <w:pPr>
        <w:shd w:val="clear" w:color="auto" w:fill="auto"/>
        <w:ind w:firstLine="420"/>
        <w:rPr>
          <w:rFonts w:hint="eastAsia" w:ascii="宋体" w:hAnsi="宋体" w:cs="宋体"/>
          <w:highlight w:val="none"/>
        </w:rPr>
      </w:pPr>
    </w:p>
    <w:p w14:paraId="298685D7">
      <w:pPr>
        <w:shd w:val="clear" w:color="auto" w:fill="auto"/>
        <w:ind w:firstLine="420"/>
        <w:rPr>
          <w:rFonts w:hint="eastAsia" w:ascii="宋体" w:hAnsi="宋体" w:cs="宋体"/>
          <w:highlight w:val="none"/>
        </w:rPr>
      </w:pPr>
    </w:p>
    <w:p w14:paraId="0A019ACD">
      <w:pPr>
        <w:shd w:val="clear" w:color="auto" w:fill="auto"/>
        <w:ind w:firstLine="0" w:firstLineChars="0"/>
        <w:rPr>
          <w:rFonts w:hint="eastAsia" w:ascii="宋体" w:hAnsi="宋体" w:cs="宋体"/>
          <w:highlight w:val="none"/>
        </w:rPr>
      </w:pPr>
    </w:p>
    <w:p w14:paraId="2465DEE8">
      <w:pPr>
        <w:pStyle w:val="3"/>
        <w:shd w:val="clear" w:color="auto" w:fill="auto"/>
        <w:spacing w:line="360" w:lineRule="auto"/>
        <w:ind w:firstLine="0" w:firstLineChars="0"/>
        <w:jc w:val="center"/>
        <w:rPr>
          <w:rFonts w:hint="eastAsia" w:ascii="宋体" w:hAnsi="宋体" w:eastAsia="宋体" w:cs="宋体"/>
          <w:bCs/>
          <w:color w:val="000000"/>
          <w:szCs w:val="28"/>
          <w:highlight w:val="none"/>
        </w:rPr>
      </w:pPr>
      <w:bookmarkStart w:id="152" w:name="_Toc3589_WPSOffice_Level1"/>
      <w:r>
        <w:rPr>
          <w:rFonts w:hint="eastAsia" w:ascii="宋体" w:hAnsi="宋体" w:eastAsia="宋体" w:cs="宋体"/>
          <w:bCs/>
          <w:color w:val="000000"/>
          <w:szCs w:val="28"/>
          <w:highlight w:val="none"/>
          <w:lang w:eastAsia="zh-CN"/>
        </w:rPr>
        <w:br w:type="page"/>
      </w:r>
      <w:r>
        <w:rPr>
          <w:rFonts w:hint="eastAsia" w:ascii="宋体" w:hAnsi="宋体" w:eastAsia="宋体" w:cs="宋体"/>
          <w:bCs/>
          <w:color w:val="000000"/>
          <w:szCs w:val="28"/>
          <w:highlight w:val="none"/>
          <w:lang w:eastAsia="zh-CN"/>
        </w:rPr>
        <w:t>七</w:t>
      </w:r>
      <w:r>
        <w:rPr>
          <w:rFonts w:hint="eastAsia" w:ascii="宋体" w:hAnsi="宋体" w:eastAsia="宋体" w:cs="宋体"/>
          <w:bCs/>
          <w:color w:val="000000"/>
          <w:szCs w:val="28"/>
          <w:highlight w:val="none"/>
        </w:rPr>
        <w:t>、售后服务文件</w:t>
      </w:r>
      <w:bookmarkEnd w:id="152"/>
    </w:p>
    <w:p w14:paraId="2C56A588">
      <w:pPr>
        <w:shd w:val="clear" w:color="auto" w:fill="auto"/>
        <w:ind w:firstLine="480"/>
        <w:rPr>
          <w:rFonts w:hint="eastAsia" w:ascii="宋体" w:hAnsi="宋体" w:cs="宋体"/>
          <w:sz w:val="24"/>
          <w:highlight w:val="none"/>
        </w:rPr>
      </w:pPr>
      <w:r>
        <w:rPr>
          <w:rFonts w:hint="eastAsia" w:ascii="宋体" w:hAnsi="宋体" w:cs="宋体"/>
          <w:sz w:val="24"/>
          <w:highlight w:val="none"/>
        </w:rPr>
        <w:t>1、投标供应商依据</w:t>
      </w:r>
      <w:r>
        <w:rPr>
          <w:rFonts w:hint="eastAsia" w:ascii="宋体" w:hAnsi="宋体" w:cs="宋体"/>
          <w:sz w:val="24"/>
          <w:highlight w:val="none"/>
          <w:lang w:eastAsia="zh-CN"/>
        </w:rPr>
        <w:t>产品</w:t>
      </w:r>
      <w:r>
        <w:rPr>
          <w:rFonts w:hint="eastAsia" w:ascii="宋体" w:hAnsi="宋体" w:cs="宋体"/>
          <w:sz w:val="24"/>
          <w:highlight w:val="none"/>
        </w:rPr>
        <w:t>特性和需求，按招标文件要求自拟售后服务方案和培训计划。</w:t>
      </w:r>
    </w:p>
    <w:p w14:paraId="54349581">
      <w:pPr>
        <w:shd w:val="clear" w:color="auto" w:fill="auto"/>
        <w:ind w:firstLine="480"/>
        <w:rPr>
          <w:rFonts w:hint="eastAsia" w:ascii="宋体" w:hAnsi="宋体" w:cs="宋体"/>
          <w:sz w:val="24"/>
          <w:highlight w:val="none"/>
        </w:rPr>
      </w:pPr>
      <w:r>
        <w:rPr>
          <w:rFonts w:hint="eastAsia" w:ascii="宋体" w:hAnsi="宋体" w:cs="宋体"/>
          <w:sz w:val="24"/>
          <w:highlight w:val="none"/>
        </w:rPr>
        <w:t>2、供应商应提供在项目所在地的售后服务中心证明材料，这些服务中心和服务点的名称、地址、电话、联系人应在投标文件中一一列出（参考样式如下）。</w:t>
      </w:r>
    </w:p>
    <w:p w14:paraId="4C94C947">
      <w:pPr>
        <w:shd w:val="clear" w:color="auto" w:fill="auto"/>
        <w:ind w:firstLine="480"/>
        <w:rPr>
          <w:rFonts w:hint="eastAsia" w:ascii="宋体" w:hAnsi="宋体" w:cs="宋体"/>
          <w:sz w:val="24"/>
          <w:highlight w:val="none"/>
        </w:rPr>
      </w:pPr>
    </w:p>
    <w:p w14:paraId="1DB1E5FD">
      <w:pPr>
        <w:shd w:val="clear" w:color="auto" w:fill="auto"/>
        <w:ind w:firstLine="562"/>
        <w:jc w:val="center"/>
        <w:rPr>
          <w:rFonts w:hint="eastAsia" w:ascii="宋体" w:hAnsi="宋体" w:cs="宋体"/>
          <w:b/>
          <w:sz w:val="28"/>
          <w:szCs w:val="28"/>
          <w:highlight w:val="none"/>
        </w:rPr>
      </w:pPr>
      <w:r>
        <w:rPr>
          <w:rFonts w:hint="eastAsia" w:ascii="宋体" w:hAnsi="宋体" w:cs="宋体"/>
          <w:b/>
          <w:sz w:val="28"/>
          <w:szCs w:val="28"/>
          <w:highlight w:val="none"/>
        </w:rPr>
        <w:t>售后服务点联系表</w:t>
      </w:r>
    </w:p>
    <w:p w14:paraId="3255E835">
      <w:pPr>
        <w:shd w:val="clear" w:color="auto" w:fill="auto"/>
        <w:ind w:firstLine="562"/>
        <w:rPr>
          <w:rFonts w:hint="eastAsia" w:ascii="宋体" w:hAnsi="宋体" w:cs="宋体"/>
          <w:b/>
          <w:sz w:val="28"/>
          <w:szCs w:val="28"/>
          <w:highlight w:val="none"/>
        </w:rPr>
      </w:pP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34"/>
        <w:gridCol w:w="1080"/>
        <w:gridCol w:w="1260"/>
        <w:gridCol w:w="1516"/>
        <w:gridCol w:w="2548"/>
      </w:tblGrid>
      <w:tr w14:paraId="41062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2434" w:type="dxa"/>
            <w:noWrap w:val="0"/>
            <w:vAlign w:val="center"/>
          </w:tcPr>
          <w:p w14:paraId="1DCC0DB8">
            <w:pPr>
              <w:shd w:val="clear" w:color="auto" w:fill="auto"/>
              <w:ind w:firstLine="0" w:firstLineChars="0"/>
              <w:jc w:val="center"/>
              <w:rPr>
                <w:rFonts w:hint="eastAsia" w:ascii="宋体" w:hAnsi="宋体" w:cs="宋体"/>
                <w:sz w:val="24"/>
                <w:highlight w:val="none"/>
              </w:rPr>
            </w:pPr>
            <w:r>
              <w:rPr>
                <w:rFonts w:hint="eastAsia" w:ascii="宋体" w:hAnsi="宋体" w:cs="宋体"/>
                <w:sz w:val="24"/>
                <w:highlight w:val="none"/>
              </w:rPr>
              <w:t>服务机构名称</w:t>
            </w:r>
          </w:p>
        </w:tc>
        <w:tc>
          <w:tcPr>
            <w:tcW w:w="1080" w:type="dxa"/>
            <w:noWrap w:val="0"/>
            <w:vAlign w:val="center"/>
          </w:tcPr>
          <w:p w14:paraId="30814B67">
            <w:pPr>
              <w:shd w:val="clear" w:color="auto" w:fill="auto"/>
              <w:ind w:firstLine="0" w:firstLineChars="0"/>
              <w:jc w:val="center"/>
              <w:rPr>
                <w:rFonts w:hint="eastAsia" w:ascii="宋体" w:hAnsi="宋体" w:cs="宋体"/>
                <w:sz w:val="24"/>
                <w:highlight w:val="none"/>
              </w:rPr>
            </w:pPr>
            <w:r>
              <w:rPr>
                <w:rFonts w:hint="eastAsia" w:ascii="宋体" w:hAnsi="宋体" w:cs="宋体"/>
                <w:sz w:val="24"/>
                <w:highlight w:val="none"/>
              </w:rPr>
              <w:t>所在地</w:t>
            </w:r>
          </w:p>
        </w:tc>
        <w:tc>
          <w:tcPr>
            <w:tcW w:w="1260" w:type="dxa"/>
            <w:noWrap w:val="0"/>
            <w:vAlign w:val="center"/>
          </w:tcPr>
          <w:p w14:paraId="364A6521">
            <w:pPr>
              <w:shd w:val="clear" w:color="auto" w:fill="auto"/>
              <w:ind w:firstLine="0" w:firstLineChars="0"/>
              <w:jc w:val="center"/>
              <w:rPr>
                <w:rFonts w:hint="eastAsia" w:ascii="宋体" w:hAnsi="宋体" w:cs="宋体"/>
                <w:sz w:val="24"/>
                <w:highlight w:val="none"/>
              </w:rPr>
            </w:pPr>
            <w:r>
              <w:rPr>
                <w:rFonts w:hint="eastAsia" w:ascii="宋体" w:hAnsi="宋体" w:cs="宋体"/>
                <w:sz w:val="24"/>
                <w:highlight w:val="none"/>
              </w:rPr>
              <w:t>联系人</w:t>
            </w:r>
          </w:p>
        </w:tc>
        <w:tc>
          <w:tcPr>
            <w:tcW w:w="1516" w:type="dxa"/>
            <w:noWrap w:val="0"/>
            <w:vAlign w:val="center"/>
          </w:tcPr>
          <w:p w14:paraId="2766D5A4">
            <w:pPr>
              <w:shd w:val="clear" w:color="auto" w:fill="auto"/>
              <w:ind w:firstLine="0" w:firstLineChars="0"/>
              <w:jc w:val="center"/>
              <w:rPr>
                <w:rFonts w:hint="eastAsia" w:ascii="宋体" w:hAnsi="宋体" w:cs="宋体"/>
                <w:sz w:val="24"/>
                <w:highlight w:val="none"/>
              </w:rPr>
            </w:pPr>
            <w:r>
              <w:rPr>
                <w:rFonts w:hint="eastAsia" w:ascii="宋体" w:hAnsi="宋体" w:cs="宋体"/>
                <w:sz w:val="24"/>
                <w:highlight w:val="none"/>
              </w:rPr>
              <w:t>联系电话</w:t>
            </w:r>
          </w:p>
        </w:tc>
        <w:tc>
          <w:tcPr>
            <w:tcW w:w="2548" w:type="dxa"/>
            <w:noWrap w:val="0"/>
            <w:vAlign w:val="center"/>
          </w:tcPr>
          <w:p w14:paraId="2EF53ABA">
            <w:pPr>
              <w:shd w:val="clear" w:color="auto" w:fill="auto"/>
              <w:ind w:firstLine="0" w:firstLineChars="0"/>
              <w:jc w:val="center"/>
              <w:rPr>
                <w:rFonts w:hint="eastAsia" w:ascii="宋体" w:hAnsi="宋体" w:cs="宋体"/>
                <w:sz w:val="24"/>
                <w:highlight w:val="none"/>
              </w:rPr>
            </w:pPr>
            <w:r>
              <w:rPr>
                <w:rFonts w:hint="eastAsia" w:ascii="宋体" w:hAnsi="宋体" w:cs="宋体"/>
                <w:sz w:val="24"/>
                <w:highlight w:val="none"/>
              </w:rPr>
              <w:t>地 址</w:t>
            </w:r>
          </w:p>
        </w:tc>
      </w:tr>
      <w:tr w14:paraId="6B2B1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2434" w:type="dxa"/>
            <w:noWrap w:val="0"/>
            <w:vAlign w:val="center"/>
          </w:tcPr>
          <w:p w14:paraId="2D848813">
            <w:pPr>
              <w:shd w:val="clear" w:color="auto" w:fill="auto"/>
              <w:ind w:firstLine="560"/>
              <w:jc w:val="center"/>
              <w:rPr>
                <w:rFonts w:hint="eastAsia" w:ascii="宋体" w:hAnsi="宋体" w:cs="宋体"/>
                <w:sz w:val="28"/>
                <w:szCs w:val="28"/>
                <w:highlight w:val="none"/>
              </w:rPr>
            </w:pPr>
          </w:p>
        </w:tc>
        <w:tc>
          <w:tcPr>
            <w:tcW w:w="1080" w:type="dxa"/>
            <w:noWrap w:val="0"/>
            <w:vAlign w:val="center"/>
          </w:tcPr>
          <w:p w14:paraId="1FF4C250">
            <w:pPr>
              <w:shd w:val="clear" w:color="auto" w:fill="auto"/>
              <w:ind w:firstLine="560"/>
              <w:jc w:val="center"/>
              <w:rPr>
                <w:rFonts w:hint="eastAsia" w:ascii="宋体" w:hAnsi="宋体" w:cs="宋体"/>
                <w:sz w:val="28"/>
                <w:szCs w:val="28"/>
                <w:highlight w:val="none"/>
              </w:rPr>
            </w:pPr>
          </w:p>
        </w:tc>
        <w:tc>
          <w:tcPr>
            <w:tcW w:w="1260" w:type="dxa"/>
            <w:noWrap w:val="0"/>
            <w:vAlign w:val="center"/>
          </w:tcPr>
          <w:p w14:paraId="527C3FA9">
            <w:pPr>
              <w:shd w:val="clear" w:color="auto" w:fill="auto"/>
              <w:ind w:firstLine="560"/>
              <w:jc w:val="center"/>
              <w:rPr>
                <w:rFonts w:hint="eastAsia" w:ascii="宋体" w:hAnsi="宋体" w:cs="宋体"/>
                <w:sz w:val="28"/>
                <w:szCs w:val="28"/>
                <w:highlight w:val="none"/>
              </w:rPr>
            </w:pPr>
          </w:p>
        </w:tc>
        <w:tc>
          <w:tcPr>
            <w:tcW w:w="1516" w:type="dxa"/>
            <w:noWrap w:val="0"/>
            <w:vAlign w:val="center"/>
          </w:tcPr>
          <w:p w14:paraId="00A53289">
            <w:pPr>
              <w:shd w:val="clear" w:color="auto" w:fill="auto"/>
              <w:ind w:firstLine="560"/>
              <w:jc w:val="center"/>
              <w:rPr>
                <w:rFonts w:hint="eastAsia" w:ascii="宋体" w:hAnsi="宋体" w:cs="宋体"/>
                <w:sz w:val="28"/>
                <w:szCs w:val="28"/>
                <w:highlight w:val="none"/>
              </w:rPr>
            </w:pPr>
          </w:p>
        </w:tc>
        <w:tc>
          <w:tcPr>
            <w:tcW w:w="2548" w:type="dxa"/>
            <w:noWrap w:val="0"/>
            <w:vAlign w:val="center"/>
          </w:tcPr>
          <w:p w14:paraId="30C03964">
            <w:pPr>
              <w:shd w:val="clear" w:color="auto" w:fill="auto"/>
              <w:ind w:firstLine="560"/>
              <w:jc w:val="center"/>
              <w:rPr>
                <w:rFonts w:hint="eastAsia" w:ascii="宋体" w:hAnsi="宋体" w:cs="宋体"/>
                <w:sz w:val="28"/>
                <w:szCs w:val="28"/>
                <w:highlight w:val="none"/>
              </w:rPr>
            </w:pPr>
          </w:p>
        </w:tc>
      </w:tr>
      <w:tr w14:paraId="1E0BF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2434" w:type="dxa"/>
            <w:noWrap w:val="0"/>
            <w:vAlign w:val="center"/>
          </w:tcPr>
          <w:p w14:paraId="07DE627A">
            <w:pPr>
              <w:shd w:val="clear" w:color="auto" w:fill="auto"/>
              <w:ind w:firstLine="560"/>
              <w:jc w:val="center"/>
              <w:rPr>
                <w:rFonts w:hint="eastAsia" w:ascii="宋体" w:hAnsi="宋体" w:cs="宋体"/>
                <w:sz w:val="28"/>
                <w:szCs w:val="28"/>
                <w:highlight w:val="none"/>
              </w:rPr>
            </w:pPr>
          </w:p>
        </w:tc>
        <w:tc>
          <w:tcPr>
            <w:tcW w:w="1080" w:type="dxa"/>
            <w:noWrap w:val="0"/>
            <w:vAlign w:val="center"/>
          </w:tcPr>
          <w:p w14:paraId="5480BAA6">
            <w:pPr>
              <w:shd w:val="clear" w:color="auto" w:fill="auto"/>
              <w:ind w:firstLine="560"/>
              <w:jc w:val="center"/>
              <w:rPr>
                <w:rFonts w:hint="eastAsia" w:ascii="宋体" w:hAnsi="宋体" w:cs="宋体"/>
                <w:sz w:val="28"/>
                <w:szCs w:val="28"/>
                <w:highlight w:val="none"/>
              </w:rPr>
            </w:pPr>
          </w:p>
        </w:tc>
        <w:tc>
          <w:tcPr>
            <w:tcW w:w="1260" w:type="dxa"/>
            <w:noWrap w:val="0"/>
            <w:vAlign w:val="center"/>
          </w:tcPr>
          <w:p w14:paraId="0EB7E82A">
            <w:pPr>
              <w:shd w:val="clear" w:color="auto" w:fill="auto"/>
              <w:ind w:firstLine="560"/>
              <w:jc w:val="center"/>
              <w:rPr>
                <w:rFonts w:hint="eastAsia" w:ascii="宋体" w:hAnsi="宋体" w:cs="宋体"/>
                <w:sz w:val="28"/>
                <w:szCs w:val="28"/>
                <w:highlight w:val="none"/>
              </w:rPr>
            </w:pPr>
          </w:p>
        </w:tc>
        <w:tc>
          <w:tcPr>
            <w:tcW w:w="1516" w:type="dxa"/>
            <w:noWrap w:val="0"/>
            <w:vAlign w:val="center"/>
          </w:tcPr>
          <w:p w14:paraId="6ED75AD1">
            <w:pPr>
              <w:shd w:val="clear" w:color="auto" w:fill="auto"/>
              <w:ind w:firstLine="560"/>
              <w:jc w:val="center"/>
              <w:rPr>
                <w:rFonts w:hint="eastAsia" w:ascii="宋体" w:hAnsi="宋体" w:cs="宋体"/>
                <w:sz w:val="28"/>
                <w:szCs w:val="28"/>
                <w:highlight w:val="none"/>
              </w:rPr>
            </w:pPr>
          </w:p>
        </w:tc>
        <w:tc>
          <w:tcPr>
            <w:tcW w:w="2548" w:type="dxa"/>
            <w:noWrap w:val="0"/>
            <w:vAlign w:val="center"/>
          </w:tcPr>
          <w:p w14:paraId="745E1DCE">
            <w:pPr>
              <w:shd w:val="clear" w:color="auto" w:fill="auto"/>
              <w:ind w:firstLine="560"/>
              <w:jc w:val="center"/>
              <w:rPr>
                <w:rFonts w:hint="eastAsia" w:ascii="宋体" w:hAnsi="宋体" w:cs="宋体"/>
                <w:sz w:val="28"/>
                <w:szCs w:val="28"/>
                <w:highlight w:val="none"/>
              </w:rPr>
            </w:pPr>
          </w:p>
        </w:tc>
      </w:tr>
      <w:tr w14:paraId="6A2EF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2434" w:type="dxa"/>
            <w:noWrap w:val="0"/>
            <w:vAlign w:val="center"/>
          </w:tcPr>
          <w:p w14:paraId="47D82A09">
            <w:pPr>
              <w:shd w:val="clear" w:color="auto" w:fill="auto"/>
              <w:ind w:firstLine="560"/>
              <w:jc w:val="center"/>
              <w:rPr>
                <w:rFonts w:hint="eastAsia" w:ascii="宋体" w:hAnsi="宋体" w:cs="宋体"/>
                <w:sz w:val="28"/>
                <w:szCs w:val="28"/>
                <w:highlight w:val="none"/>
              </w:rPr>
            </w:pPr>
          </w:p>
        </w:tc>
        <w:tc>
          <w:tcPr>
            <w:tcW w:w="1080" w:type="dxa"/>
            <w:noWrap w:val="0"/>
            <w:vAlign w:val="center"/>
          </w:tcPr>
          <w:p w14:paraId="41494479">
            <w:pPr>
              <w:shd w:val="clear" w:color="auto" w:fill="auto"/>
              <w:ind w:firstLine="560"/>
              <w:jc w:val="center"/>
              <w:rPr>
                <w:rFonts w:hint="eastAsia" w:ascii="宋体" w:hAnsi="宋体" w:cs="宋体"/>
                <w:sz w:val="28"/>
                <w:szCs w:val="28"/>
                <w:highlight w:val="none"/>
              </w:rPr>
            </w:pPr>
          </w:p>
        </w:tc>
        <w:tc>
          <w:tcPr>
            <w:tcW w:w="1260" w:type="dxa"/>
            <w:noWrap w:val="0"/>
            <w:vAlign w:val="center"/>
          </w:tcPr>
          <w:p w14:paraId="672949D4">
            <w:pPr>
              <w:shd w:val="clear" w:color="auto" w:fill="auto"/>
              <w:ind w:firstLine="560"/>
              <w:jc w:val="center"/>
              <w:rPr>
                <w:rFonts w:hint="eastAsia" w:ascii="宋体" w:hAnsi="宋体" w:cs="宋体"/>
                <w:sz w:val="28"/>
                <w:szCs w:val="28"/>
                <w:highlight w:val="none"/>
              </w:rPr>
            </w:pPr>
          </w:p>
        </w:tc>
        <w:tc>
          <w:tcPr>
            <w:tcW w:w="1516" w:type="dxa"/>
            <w:noWrap w:val="0"/>
            <w:vAlign w:val="center"/>
          </w:tcPr>
          <w:p w14:paraId="42CF7808">
            <w:pPr>
              <w:shd w:val="clear" w:color="auto" w:fill="auto"/>
              <w:ind w:firstLine="560"/>
              <w:jc w:val="center"/>
              <w:rPr>
                <w:rFonts w:hint="eastAsia" w:ascii="宋体" w:hAnsi="宋体" w:cs="宋体"/>
                <w:sz w:val="28"/>
                <w:szCs w:val="28"/>
                <w:highlight w:val="none"/>
              </w:rPr>
            </w:pPr>
          </w:p>
        </w:tc>
        <w:tc>
          <w:tcPr>
            <w:tcW w:w="2548" w:type="dxa"/>
            <w:noWrap w:val="0"/>
            <w:vAlign w:val="center"/>
          </w:tcPr>
          <w:p w14:paraId="46BCD536">
            <w:pPr>
              <w:shd w:val="clear" w:color="auto" w:fill="auto"/>
              <w:ind w:firstLine="560"/>
              <w:jc w:val="center"/>
              <w:rPr>
                <w:rFonts w:hint="eastAsia" w:ascii="宋体" w:hAnsi="宋体" w:cs="宋体"/>
                <w:sz w:val="28"/>
                <w:szCs w:val="28"/>
                <w:highlight w:val="none"/>
              </w:rPr>
            </w:pPr>
          </w:p>
        </w:tc>
      </w:tr>
      <w:tr w14:paraId="49648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2434" w:type="dxa"/>
            <w:noWrap w:val="0"/>
            <w:vAlign w:val="center"/>
          </w:tcPr>
          <w:p w14:paraId="0F47E732">
            <w:pPr>
              <w:shd w:val="clear" w:color="auto" w:fill="auto"/>
              <w:ind w:firstLine="560"/>
              <w:jc w:val="center"/>
              <w:rPr>
                <w:rFonts w:hint="eastAsia" w:ascii="宋体" w:hAnsi="宋体" w:cs="宋体"/>
                <w:sz w:val="28"/>
                <w:szCs w:val="28"/>
                <w:highlight w:val="none"/>
              </w:rPr>
            </w:pPr>
          </w:p>
        </w:tc>
        <w:tc>
          <w:tcPr>
            <w:tcW w:w="1080" w:type="dxa"/>
            <w:noWrap w:val="0"/>
            <w:vAlign w:val="center"/>
          </w:tcPr>
          <w:p w14:paraId="65A08CFD">
            <w:pPr>
              <w:shd w:val="clear" w:color="auto" w:fill="auto"/>
              <w:ind w:firstLine="560"/>
              <w:jc w:val="center"/>
              <w:rPr>
                <w:rFonts w:hint="eastAsia" w:ascii="宋体" w:hAnsi="宋体" w:cs="宋体"/>
                <w:sz w:val="28"/>
                <w:szCs w:val="28"/>
                <w:highlight w:val="none"/>
              </w:rPr>
            </w:pPr>
          </w:p>
        </w:tc>
        <w:tc>
          <w:tcPr>
            <w:tcW w:w="1260" w:type="dxa"/>
            <w:noWrap w:val="0"/>
            <w:vAlign w:val="center"/>
          </w:tcPr>
          <w:p w14:paraId="488C35DB">
            <w:pPr>
              <w:shd w:val="clear" w:color="auto" w:fill="auto"/>
              <w:ind w:firstLine="560"/>
              <w:jc w:val="center"/>
              <w:rPr>
                <w:rFonts w:hint="eastAsia" w:ascii="宋体" w:hAnsi="宋体" w:cs="宋体"/>
                <w:sz w:val="28"/>
                <w:szCs w:val="28"/>
                <w:highlight w:val="none"/>
              </w:rPr>
            </w:pPr>
          </w:p>
        </w:tc>
        <w:tc>
          <w:tcPr>
            <w:tcW w:w="1516" w:type="dxa"/>
            <w:noWrap w:val="0"/>
            <w:vAlign w:val="center"/>
          </w:tcPr>
          <w:p w14:paraId="62FF5BD5">
            <w:pPr>
              <w:shd w:val="clear" w:color="auto" w:fill="auto"/>
              <w:ind w:firstLine="560"/>
              <w:jc w:val="center"/>
              <w:rPr>
                <w:rFonts w:hint="eastAsia" w:ascii="宋体" w:hAnsi="宋体" w:cs="宋体"/>
                <w:sz w:val="28"/>
                <w:szCs w:val="28"/>
                <w:highlight w:val="none"/>
              </w:rPr>
            </w:pPr>
          </w:p>
        </w:tc>
        <w:tc>
          <w:tcPr>
            <w:tcW w:w="2548" w:type="dxa"/>
            <w:noWrap w:val="0"/>
            <w:vAlign w:val="center"/>
          </w:tcPr>
          <w:p w14:paraId="0A629C61">
            <w:pPr>
              <w:shd w:val="clear" w:color="auto" w:fill="auto"/>
              <w:ind w:firstLine="560"/>
              <w:jc w:val="center"/>
              <w:rPr>
                <w:rFonts w:hint="eastAsia" w:ascii="宋体" w:hAnsi="宋体" w:cs="宋体"/>
                <w:sz w:val="28"/>
                <w:szCs w:val="28"/>
                <w:highlight w:val="none"/>
              </w:rPr>
            </w:pPr>
          </w:p>
        </w:tc>
      </w:tr>
      <w:tr w14:paraId="6FC84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2434" w:type="dxa"/>
            <w:noWrap w:val="0"/>
            <w:vAlign w:val="center"/>
          </w:tcPr>
          <w:p w14:paraId="2CB4C6EE">
            <w:pPr>
              <w:shd w:val="clear" w:color="auto" w:fill="auto"/>
              <w:ind w:firstLine="560"/>
              <w:jc w:val="center"/>
              <w:rPr>
                <w:rFonts w:hint="eastAsia" w:ascii="宋体" w:hAnsi="宋体" w:cs="宋体"/>
                <w:sz w:val="28"/>
                <w:szCs w:val="28"/>
                <w:highlight w:val="none"/>
              </w:rPr>
            </w:pPr>
          </w:p>
        </w:tc>
        <w:tc>
          <w:tcPr>
            <w:tcW w:w="1080" w:type="dxa"/>
            <w:noWrap w:val="0"/>
            <w:vAlign w:val="center"/>
          </w:tcPr>
          <w:p w14:paraId="732BE6A4">
            <w:pPr>
              <w:shd w:val="clear" w:color="auto" w:fill="auto"/>
              <w:ind w:firstLine="560"/>
              <w:jc w:val="center"/>
              <w:rPr>
                <w:rFonts w:hint="eastAsia" w:ascii="宋体" w:hAnsi="宋体" w:cs="宋体"/>
                <w:sz w:val="28"/>
                <w:szCs w:val="28"/>
                <w:highlight w:val="none"/>
              </w:rPr>
            </w:pPr>
          </w:p>
        </w:tc>
        <w:tc>
          <w:tcPr>
            <w:tcW w:w="1260" w:type="dxa"/>
            <w:noWrap w:val="0"/>
            <w:vAlign w:val="center"/>
          </w:tcPr>
          <w:p w14:paraId="4816A06B">
            <w:pPr>
              <w:shd w:val="clear" w:color="auto" w:fill="auto"/>
              <w:ind w:firstLine="560"/>
              <w:jc w:val="center"/>
              <w:rPr>
                <w:rFonts w:hint="eastAsia" w:ascii="宋体" w:hAnsi="宋体" w:cs="宋体"/>
                <w:sz w:val="28"/>
                <w:szCs w:val="28"/>
                <w:highlight w:val="none"/>
              </w:rPr>
            </w:pPr>
          </w:p>
        </w:tc>
        <w:tc>
          <w:tcPr>
            <w:tcW w:w="1516" w:type="dxa"/>
            <w:noWrap w:val="0"/>
            <w:vAlign w:val="center"/>
          </w:tcPr>
          <w:p w14:paraId="0EC41824">
            <w:pPr>
              <w:shd w:val="clear" w:color="auto" w:fill="auto"/>
              <w:ind w:firstLine="560"/>
              <w:jc w:val="center"/>
              <w:rPr>
                <w:rFonts w:hint="eastAsia" w:ascii="宋体" w:hAnsi="宋体" w:cs="宋体"/>
                <w:sz w:val="28"/>
                <w:szCs w:val="28"/>
                <w:highlight w:val="none"/>
              </w:rPr>
            </w:pPr>
          </w:p>
        </w:tc>
        <w:tc>
          <w:tcPr>
            <w:tcW w:w="2548" w:type="dxa"/>
            <w:noWrap w:val="0"/>
            <w:vAlign w:val="center"/>
          </w:tcPr>
          <w:p w14:paraId="62D1EA0C">
            <w:pPr>
              <w:shd w:val="clear" w:color="auto" w:fill="auto"/>
              <w:ind w:firstLine="560"/>
              <w:jc w:val="center"/>
              <w:rPr>
                <w:rFonts w:hint="eastAsia" w:ascii="宋体" w:hAnsi="宋体" w:cs="宋体"/>
                <w:sz w:val="28"/>
                <w:szCs w:val="28"/>
                <w:highlight w:val="none"/>
              </w:rPr>
            </w:pPr>
          </w:p>
        </w:tc>
      </w:tr>
      <w:tr w14:paraId="5F3FF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2434" w:type="dxa"/>
            <w:noWrap w:val="0"/>
            <w:vAlign w:val="center"/>
          </w:tcPr>
          <w:p w14:paraId="0FF29CFD">
            <w:pPr>
              <w:shd w:val="clear" w:color="auto" w:fill="auto"/>
              <w:ind w:firstLine="560"/>
              <w:jc w:val="center"/>
              <w:rPr>
                <w:rFonts w:hint="eastAsia" w:ascii="宋体" w:hAnsi="宋体" w:cs="宋体"/>
                <w:sz w:val="28"/>
                <w:szCs w:val="28"/>
                <w:highlight w:val="none"/>
              </w:rPr>
            </w:pPr>
          </w:p>
        </w:tc>
        <w:tc>
          <w:tcPr>
            <w:tcW w:w="1080" w:type="dxa"/>
            <w:noWrap w:val="0"/>
            <w:vAlign w:val="center"/>
          </w:tcPr>
          <w:p w14:paraId="42BDE11B">
            <w:pPr>
              <w:shd w:val="clear" w:color="auto" w:fill="auto"/>
              <w:ind w:firstLine="560"/>
              <w:jc w:val="center"/>
              <w:rPr>
                <w:rFonts w:hint="eastAsia" w:ascii="宋体" w:hAnsi="宋体" w:cs="宋体"/>
                <w:sz w:val="28"/>
                <w:szCs w:val="28"/>
                <w:highlight w:val="none"/>
              </w:rPr>
            </w:pPr>
          </w:p>
        </w:tc>
        <w:tc>
          <w:tcPr>
            <w:tcW w:w="1260" w:type="dxa"/>
            <w:noWrap w:val="0"/>
            <w:vAlign w:val="center"/>
          </w:tcPr>
          <w:p w14:paraId="5E97040A">
            <w:pPr>
              <w:shd w:val="clear" w:color="auto" w:fill="auto"/>
              <w:ind w:firstLine="560"/>
              <w:jc w:val="center"/>
              <w:rPr>
                <w:rFonts w:hint="eastAsia" w:ascii="宋体" w:hAnsi="宋体" w:cs="宋体"/>
                <w:sz w:val="28"/>
                <w:szCs w:val="28"/>
                <w:highlight w:val="none"/>
              </w:rPr>
            </w:pPr>
          </w:p>
        </w:tc>
        <w:tc>
          <w:tcPr>
            <w:tcW w:w="1516" w:type="dxa"/>
            <w:noWrap w:val="0"/>
            <w:vAlign w:val="center"/>
          </w:tcPr>
          <w:p w14:paraId="719C53D2">
            <w:pPr>
              <w:shd w:val="clear" w:color="auto" w:fill="auto"/>
              <w:ind w:firstLine="560"/>
              <w:jc w:val="center"/>
              <w:rPr>
                <w:rFonts w:hint="eastAsia" w:ascii="宋体" w:hAnsi="宋体" w:cs="宋体"/>
                <w:sz w:val="28"/>
                <w:szCs w:val="28"/>
                <w:highlight w:val="none"/>
              </w:rPr>
            </w:pPr>
          </w:p>
        </w:tc>
        <w:tc>
          <w:tcPr>
            <w:tcW w:w="2548" w:type="dxa"/>
            <w:noWrap w:val="0"/>
            <w:vAlign w:val="center"/>
          </w:tcPr>
          <w:p w14:paraId="7A57BA77">
            <w:pPr>
              <w:shd w:val="clear" w:color="auto" w:fill="auto"/>
              <w:ind w:firstLine="560"/>
              <w:jc w:val="center"/>
              <w:rPr>
                <w:rFonts w:hint="eastAsia" w:ascii="宋体" w:hAnsi="宋体" w:cs="宋体"/>
                <w:sz w:val="28"/>
                <w:szCs w:val="28"/>
                <w:highlight w:val="none"/>
              </w:rPr>
            </w:pPr>
          </w:p>
        </w:tc>
      </w:tr>
    </w:tbl>
    <w:p w14:paraId="4BED42F1">
      <w:pPr>
        <w:shd w:val="clear" w:color="auto" w:fill="auto"/>
        <w:spacing w:before="120" w:beforeLines="50"/>
        <w:ind w:firstLine="470" w:firstLineChars="195"/>
        <w:rPr>
          <w:rFonts w:hint="eastAsia" w:ascii="宋体" w:hAnsi="宋体" w:cs="宋体"/>
          <w:b/>
          <w:iCs/>
          <w:sz w:val="24"/>
          <w:highlight w:val="none"/>
        </w:rPr>
      </w:pPr>
      <w:r>
        <w:rPr>
          <w:rFonts w:hint="eastAsia" w:ascii="宋体" w:hAnsi="宋体" w:cs="宋体"/>
          <w:b/>
          <w:iCs/>
          <w:sz w:val="24"/>
          <w:highlight w:val="none"/>
        </w:rPr>
        <w:t>注：采购人将核实中标供应商承诺的售后服务机构，如果不属实，则从扣除合同总额的2％作为违约处罚。</w:t>
      </w:r>
    </w:p>
    <w:p w14:paraId="6C02041B">
      <w:pPr>
        <w:pStyle w:val="3"/>
        <w:shd w:val="clear" w:color="auto" w:fill="auto"/>
        <w:spacing w:line="360" w:lineRule="auto"/>
        <w:ind w:firstLine="0" w:firstLineChars="0"/>
        <w:outlineLvl w:val="9"/>
        <w:rPr>
          <w:rFonts w:hint="eastAsia" w:ascii="宋体" w:hAnsi="宋体" w:eastAsia="宋体" w:cs="宋体"/>
          <w:bCs/>
          <w:color w:val="000000"/>
          <w:szCs w:val="28"/>
          <w:highlight w:val="none"/>
        </w:rPr>
      </w:pPr>
      <w:bookmarkStart w:id="153" w:name="_Toc13469_WPSOffice_Level1"/>
    </w:p>
    <w:p w14:paraId="75BA0D9E">
      <w:pPr>
        <w:pStyle w:val="3"/>
        <w:shd w:val="clear" w:color="auto" w:fill="auto"/>
        <w:spacing w:line="360" w:lineRule="auto"/>
        <w:ind w:firstLine="0" w:firstLineChars="0"/>
        <w:jc w:val="center"/>
        <w:rPr>
          <w:rFonts w:hint="eastAsia" w:ascii="宋体" w:hAnsi="宋体" w:eastAsia="宋体" w:cs="宋体"/>
          <w:bCs/>
          <w:color w:val="000000"/>
          <w:szCs w:val="28"/>
          <w:highlight w:val="none"/>
        </w:rPr>
      </w:pPr>
      <w:r>
        <w:rPr>
          <w:rFonts w:hint="eastAsia" w:ascii="宋体" w:hAnsi="宋体" w:eastAsia="宋体" w:cs="宋体"/>
          <w:bCs/>
          <w:color w:val="000000"/>
          <w:szCs w:val="28"/>
          <w:highlight w:val="none"/>
        </w:rPr>
        <w:br w:type="page"/>
      </w:r>
      <w:r>
        <w:rPr>
          <w:rFonts w:hint="eastAsia" w:ascii="宋体" w:hAnsi="宋体" w:eastAsia="宋体" w:cs="宋体"/>
          <w:bCs/>
          <w:color w:val="000000"/>
          <w:szCs w:val="28"/>
          <w:highlight w:val="none"/>
          <w:lang w:eastAsia="zh-CN"/>
        </w:rPr>
        <w:t>八</w:t>
      </w:r>
      <w:r>
        <w:rPr>
          <w:rFonts w:hint="eastAsia" w:ascii="宋体" w:hAnsi="宋体" w:eastAsia="宋体" w:cs="宋体"/>
          <w:bCs/>
          <w:color w:val="000000"/>
          <w:szCs w:val="28"/>
          <w:highlight w:val="none"/>
        </w:rPr>
        <w:t>、资格证明文件</w:t>
      </w:r>
      <w:bookmarkEnd w:id="153"/>
    </w:p>
    <w:p w14:paraId="656F3A4A">
      <w:pPr>
        <w:pStyle w:val="23"/>
        <w:shd w:val="clear" w:color="auto" w:fill="auto"/>
        <w:ind w:firstLine="482"/>
        <w:rPr>
          <w:rFonts w:hint="eastAsia" w:ascii="宋体" w:hAnsi="宋体" w:cs="宋体"/>
          <w:b/>
          <w:sz w:val="24"/>
          <w:szCs w:val="24"/>
          <w:highlight w:val="none"/>
        </w:rPr>
      </w:pPr>
      <w:r>
        <w:rPr>
          <w:rFonts w:hint="eastAsia" w:ascii="宋体" w:hAnsi="宋体" w:cs="宋体"/>
          <w:b/>
          <w:sz w:val="24"/>
          <w:szCs w:val="24"/>
          <w:highlight w:val="none"/>
        </w:rPr>
        <w:t>投标供应商参加本次投标必须提供以下资格证明文件：</w:t>
      </w:r>
    </w:p>
    <w:p w14:paraId="427ED817">
      <w:pPr>
        <w:pStyle w:val="23"/>
        <w:numPr>
          <w:ilvl w:val="0"/>
          <w:numId w:val="5"/>
        </w:numPr>
        <w:shd w:val="clear" w:color="auto" w:fill="auto"/>
        <w:ind w:firstLine="480"/>
        <w:rPr>
          <w:rFonts w:hint="eastAsia" w:ascii="宋体" w:hAnsi="宋体" w:cs="宋体"/>
          <w:color w:val="000000"/>
          <w:kern w:val="0"/>
          <w:sz w:val="24"/>
          <w:szCs w:val="24"/>
          <w:highlight w:val="none"/>
        </w:rPr>
      </w:pPr>
      <w:r>
        <w:rPr>
          <w:rFonts w:hint="eastAsia" w:ascii="宋体" w:hAnsi="宋体" w:cs="宋体"/>
          <w:color w:val="000000"/>
          <w:kern w:val="0"/>
          <w:sz w:val="24"/>
          <w:szCs w:val="24"/>
          <w:highlight w:val="none"/>
        </w:rPr>
        <w:t>投标供应商基本情况表</w:t>
      </w:r>
    </w:p>
    <w:p w14:paraId="56BD1517">
      <w:pPr>
        <w:widowControl/>
        <w:shd w:val="clear" w:color="auto" w:fill="auto"/>
        <w:tabs>
          <w:tab w:val="left" w:pos="1620"/>
        </w:tabs>
        <w:ind w:right="-197" w:rightChars="-94" w:firstLine="480"/>
        <w:jc w:val="left"/>
        <w:rPr>
          <w:rFonts w:hint="eastAsia" w:ascii="宋体" w:hAnsi="宋体" w:cs="宋体"/>
          <w:color w:val="000000"/>
          <w:kern w:val="0"/>
          <w:sz w:val="24"/>
          <w:highlight w:val="none"/>
        </w:rPr>
      </w:pPr>
      <w:r>
        <w:rPr>
          <w:rFonts w:hint="eastAsia" w:ascii="宋体" w:hAnsi="宋体" w:cs="宋体"/>
          <w:color w:val="000000"/>
          <w:kern w:val="0"/>
          <w:sz w:val="24"/>
          <w:highlight w:val="none"/>
          <w:lang w:val="en-US" w:eastAsia="zh-CN"/>
        </w:rPr>
        <w:t>2、</w:t>
      </w:r>
      <w:r>
        <w:rPr>
          <w:rFonts w:hint="eastAsia" w:ascii="宋体" w:hAnsi="宋体" w:cs="宋体"/>
          <w:color w:val="000000"/>
          <w:kern w:val="0"/>
          <w:sz w:val="24"/>
          <w:highlight w:val="none"/>
        </w:rPr>
        <w:t>供应商为合法注册的法人或其他组织或自然人，提供营业执照（或事业法人证）,自然人的身份证明；</w:t>
      </w:r>
    </w:p>
    <w:p w14:paraId="5629AB27">
      <w:pPr>
        <w:widowControl/>
        <w:shd w:val="clear" w:color="auto" w:fill="auto"/>
        <w:tabs>
          <w:tab w:val="left" w:pos="1620"/>
        </w:tabs>
        <w:ind w:right="-197" w:rightChars="-94" w:firstLine="480"/>
        <w:jc w:val="left"/>
        <w:rPr>
          <w:rFonts w:hint="eastAsia" w:ascii="宋体" w:hAnsi="宋体" w:cs="宋体"/>
          <w:color w:val="000000"/>
          <w:kern w:val="0"/>
          <w:sz w:val="24"/>
          <w:highlight w:val="none"/>
        </w:rPr>
      </w:pPr>
      <w:r>
        <w:rPr>
          <w:rFonts w:hint="eastAsia" w:ascii="宋体" w:hAnsi="宋体" w:cs="宋体"/>
          <w:color w:val="000000"/>
          <w:kern w:val="0"/>
          <w:sz w:val="24"/>
          <w:highlight w:val="none"/>
          <w:lang w:val="en-US" w:eastAsia="zh-CN"/>
        </w:rPr>
        <w:t>3、</w:t>
      </w:r>
      <w:r>
        <w:rPr>
          <w:rFonts w:hint="eastAsia" w:ascii="宋体" w:hAnsi="宋体" w:cs="宋体"/>
          <w:color w:val="000000"/>
          <w:kern w:val="0"/>
          <w:sz w:val="24"/>
          <w:highlight w:val="none"/>
        </w:rPr>
        <w:t>法定代表人授权书及被授权人身份证（法定代表人直接参与投标的，只须提交其身份证明）；</w:t>
      </w:r>
    </w:p>
    <w:p w14:paraId="6D994AB0">
      <w:pPr>
        <w:widowControl/>
        <w:shd w:val="clear" w:color="auto" w:fill="auto"/>
        <w:tabs>
          <w:tab w:val="left" w:pos="1620"/>
        </w:tabs>
        <w:ind w:right="-197" w:rightChars="-94" w:firstLine="480"/>
        <w:jc w:val="left"/>
        <w:rPr>
          <w:rFonts w:hint="eastAsia" w:ascii="宋体" w:hAnsi="宋体" w:cs="宋体"/>
          <w:color w:val="000000"/>
          <w:kern w:val="0"/>
          <w:sz w:val="24"/>
          <w:highlight w:val="none"/>
        </w:rPr>
      </w:pPr>
      <w:r>
        <w:rPr>
          <w:rFonts w:hint="eastAsia" w:ascii="宋体" w:hAnsi="宋体" w:cs="宋体"/>
          <w:color w:val="000000"/>
          <w:kern w:val="0"/>
          <w:sz w:val="24"/>
          <w:highlight w:val="none"/>
          <w:lang w:val="en-US" w:eastAsia="zh-CN"/>
        </w:rPr>
        <w:t>4、</w:t>
      </w:r>
      <w:r>
        <w:rPr>
          <w:rFonts w:hint="eastAsia" w:ascii="宋体" w:hAnsi="宋体" w:cs="宋体"/>
          <w:color w:val="000000"/>
          <w:kern w:val="0"/>
          <w:sz w:val="24"/>
          <w:highlight w:val="none"/>
          <w:lang w:eastAsia="zh-CN"/>
        </w:rPr>
        <w:t>供应商为代理商的须提供《食品经营许可证》并提供大米、面粉、菜籽油生产厂家的《食品生产许可证》；供应商为生产厂家的须提供《食品生产许可证》</w:t>
      </w:r>
      <w:r>
        <w:rPr>
          <w:rFonts w:hint="eastAsia" w:ascii="宋体" w:hAnsi="宋体" w:cs="宋体"/>
          <w:color w:val="000000"/>
          <w:kern w:val="0"/>
          <w:sz w:val="24"/>
          <w:highlight w:val="none"/>
        </w:rPr>
        <w:t>；</w:t>
      </w:r>
    </w:p>
    <w:p w14:paraId="632331D0">
      <w:pPr>
        <w:widowControl/>
        <w:shd w:val="clear" w:color="auto" w:fill="auto"/>
        <w:tabs>
          <w:tab w:val="left" w:pos="1620"/>
        </w:tabs>
        <w:ind w:right="-197" w:rightChars="-94" w:firstLine="480"/>
        <w:jc w:val="left"/>
        <w:rPr>
          <w:rFonts w:hint="default" w:ascii="宋体" w:hAnsi="宋体" w:cs="宋体"/>
          <w:color w:val="000000"/>
          <w:kern w:val="0"/>
          <w:sz w:val="24"/>
          <w:highlight w:val="none"/>
          <w:lang w:val="en-US" w:eastAsia="zh-CN"/>
        </w:rPr>
      </w:pPr>
      <w:r>
        <w:rPr>
          <w:rFonts w:hint="eastAsia" w:ascii="宋体" w:hAnsi="宋体" w:cs="宋体"/>
          <w:color w:val="000000"/>
          <w:kern w:val="0"/>
          <w:sz w:val="24"/>
          <w:highlight w:val="none"/>
          <w:lang w:val="en-US" w:eastAsia="zh-CN"/>
        </w:rPr>
        <w:t>5、供应商需提供鸡蛋、肉类生产企业有效期内的《动物防疫条件合格证》；鲜肉必须提供定点屠宰厂(场)的《生猪定点屠宰机构》资质；</w:t>
      </w:r>
    </w:p>
    <w:p w14:paraId="6D696D0E">
      <w:pPr>
        <w:widowControl/>
        <w:shd w:val="clear" w:color="auto" w:fill="auto"/>
        <w:tabs>
          <w:tab w:val="left" w:pos="1620"/>
        </w:tabs>
        <w:ind w:right="-197" w:rightChars="-94" w:firstLine="480"/>
        <w:jc w:val="left"/>
        <w:rPr>
          <w:rFonts w:hint="eastAsia" w:ascii="宋体" w:hAnsi="宋体" w:cs="宋体"/>
          <w:color w:val="000000"/>
          <w:kern w:val="0"/>
          <w:sz w:val="24"/>
          <w:highlight w:val="none"/>
        </w:rPr>
      </w:pPr>
      <w:r>
        <w:rPr>
          <w:rFonts w:hint="eastAsia" w:ascii="宋体" w:hAnsi="宋体" w:cs="宋体"/>
          <w:color w:val="000000"/>
          <w:kern w:val="0"/>
          <w:sz w:val="24"/>
          <w:highlight w:val="none"/>
          <w:lang w:val="en-US" w:eastAsia="zh-CN"/>
        </w:rPr>
        <w:t>6、</w:t>
      </w:r>
      <w:r>
        <w:rPr>
          <w:rFonts w:hint="eastAsia" w:ascii="宋体" w:hAnsi="宋体" w:cs="宋体"/>
          <w:color w:val="000000"/>
          <w:kern w:val="0"/>
          <w:sz w:val="24"/>
          <w:highlight w:val="none"/>
        </w:rPr>
        <w:t>具备履行合同所必须的设备和专业技术能力的说明及承诺；</w:t>
      </w:r>
    </w:p>
    <w:p w14:paraId="73272716">
      <w:pPr>
        <w:widowControl/>
        <w:shd w:val="clear" w:color="auto" w:fill="auto"/>
        <w:tabs>
          <w:tab w:val="left" w:pos="1620"/>
        </w:tabs>
        <w:ind w:right="-197" w:rightChars="-94" w:firstLine="480"/>
        <w:jc w:val="left"/>
        <w:rPr>
          <w:rFonts w:hint="eastAsia" w:ascii="宋体" w:hAnsi="宋体" w:cs="宋体"/>
          <w:color w:val="000000"/>
          <w:kern w:val="0"/>
          <w:sz w:val="24"/>
          <w:highlight w:val="none"/>
        </w:rPr>
      </w:pPr>
      <w:r>
        <w:rPr>
          <w:rFonts w:hint="eastAsia" w:ascii="宋体" w:hAnsi="宋体" w:cs="宋体"/>
          <w:color w:val="000000"/>
          <w:kern w:val="0"/>
          <w:sz w:val="24"/>
          <w:highlight w:val="none"/>
          <w:lang w:val="en-US" w:eastAsia="zh-CN"/>
        </w:rPr>
        <w:t>7、</w:t>
      </w:r>
      <w:r>
        <w:rPr>
          <w:rFonts w:hint="eastAsia" w:ascii="宋体" w:hAnsi="宋体" w:cs="宋体"/>
          <w:color w:val="000000"/>
          <w:kern w:val="0"/>
          <w:sz w:val="24"/>
          <w:highlight w:val="none"/>
        </w:rPr>
        <w:t>供应商在近三年经营活动中没有重大违法记录的声明；</w:t>
      </w:r>
    </w:p>
    <w:p w14:paraId="345E4D27">
      <w:pPr>
        <w:widowControl/>
        <w:shd w:val="clear" w:color="auto" w:fill="auto"/>
        <w:tabs>
          <w:tab w:val="left" w:pos="1620"/>
        </w:tabs>
        <w:ind w:right="-197" w:rightChars="-94" w:firstLine="480"/>
        <w:jc w:val="left"/>
        <w:rPr>
          <w:rFonts w:hint="eastAsia" w:ascii="宋体" w:hAnsi="宋体" w:cs="宋体"/>
          <w:color w:val="000000"/>
          <w:kern w:val="0"/>
          <w:sz w:val="24"/>
          <w:highlight w:val="none"/>
        </w:rPr>
      </w:pPr>
      <w:r>
        <w:rPr>
          <w:rFonts w:hint="eastAsia" w:ascii="宋体" w:hAnsi="宋体" w:cs="宋体"/>
          <w:color w:val="000000"/>
          <w:kern w:val="0"/>
          <w:sz w:val="24"/>
          <w:highlight w:val="none"/>
          <w:lang w:val="en-US" w:eastAsia="zh-CN"/>
        </w:rPr>
        <w:t>8、</w:t>
      </w:r>
      <w:r>
        <w:rPr>
          <w:rFonts w:hint="eastAsia" w:ascii="宋体" w:hAnsi="宋体" w:cs="宋体"/>
          <w:color w:val="000000"/>
          <w:kern w:val="0"/>
          <w:sz w:val="24"/>
          <w:highlight w:val="none"/>
        </w:rPr>
        <w:t>财务状况报告：</w:t>
      </w:r>
      <w:r>
        <w:rPr>
          <w:rFonts w:hint="eastAsia" w:ascii="宋体" w:hAnsi="宋体" w:cs="宋体"/>
          <w:color w:val="000000"/>
          <w:kern w:val="0"/>
          <w:sz w:val="24"/>
          <w:highlight w:val="none"/>
          <w:lang w:eastAsia="zh-CN"/>
        </w:rPr>
        <w:t>供应商提供2025年度经会计事务所或审计机构审计的完整的财务审计报告（成立时间至投标文件递交截止时间不足一年的可提供成立后任意时段的资产负债表）或在投标截止时间前一个月内其开户银行出具的资信证明</w:t>
      </w:r>
      <w:r>
        <w:rPr>
          <w:rFonts w:hint="eastAsia" w:ascii="宋体" w:hAnsi="宋体" w:cs="宋体"/>
          <w:color w:val="000000"/>
          <w:kern w:val="0"/>
          <w:sz w:val="24"/>
          <w:highlight w:val="none"/>
        </w:rPr>
        <w:t>；</w:t>
      </w:r>
    </w:p>
    <w:p w14:paraId="5F322578">
      <w:pPr>
        <w:widowControl/>
        <w:shd w:val="clear" w:color="auto" w:fill="auto"/>
        <w:tabs>
          <w:tab w:val="left" w:pos="1620"/>
        </w:tabs>
        <w:ind w:right="-197" w:rightChars="-94" w:firstLine="480"/>
        <w:jc w:val="left"/>
        <w:rPr>
          <w:rFonts w:hint="eastAsia" w:ascii="宋体" w:hAnsi="宋体" w:cs="宋体"/>
          <w:color w:val="000000"/>
          <w:kern w:val="0"/>
          <w:sz w:val="24"/>
          <w:highlight w:val="none"/>
        </w:rPr>
      </w:pPr>
      <w:r>
        <w:rPr>
          <w:rFonts w:hint="eastAsia" w:ascii="宋体" w:hAnsi="宋体" w:cs="宋体"/>
          <w:color w:val="000000"/>
          <w:kern w:val="0"/>
          <w:sz w:val="24"/>
          <w:highlight w:val="none"/>
          <w:lang w:val="en-US" w:eastAsia="zh-CN"/>
        </w:rPr>
        <w:t>9、</w:t>
      </w:r>
      <w:r>
        <w:rPr>
          <w:rFonts w:hint="eastAsia" w:ascii="宋体" w:hAnsi="宋体" w:cs="宋体"/>
          <w:color w:val="000000"/>
          <w:kern w:val="0"/>
          <w:sz w:val="24"/>
          <w:highlight w:val="none"/>
        </w:rPr>
        <w:t>税收缴纳证明：</w:t>
      </w:r>
      <w:r>
        <w:rPr>
          <w:rFonts w:hint="eastAsia" w:ascii="宋体" w:hAnsi="宋体" w:cs="宋体"/>
          <w:color w:val="000000"/>
          <w:kern w:val="0"/>
          <w:sz w:val="24"/>
          <w:highlight w:val="none"/>
          <w:lang w:eastAsia="zh-CN"/>
        </w:rPr>
        <w:t>供应商提供已缴纳的2026年1月至今任意一个月的纳税证明或完税证明（任意税种）；依法免税的单位应提供相关文件证明</w:t>
      </w:r>
      <w:r>
        <w:rPr>
          <w:rFonts w:hint="eastAsia" w:ascii="宋体" w:hAnsi="宋体" w:cs="宋体"/>
          <w:color w:val="000000"/>
          <w:kern w:val="0"/>
          <w:sz w:val="24"/>
          <w:highlight w:val="none"/>
        </w:rPr>
        <w:t>；</w:t>
      </w:r>
    </w:p>
    <w:p w14:paraId="15D7B714">
      <w:pPr>
        <w:widowControl/>
        <w:shd w:val="clear" w:color="auto" w:fill="auto"/>
        <w:tabs>
          <w:tab w:val="left" w:pos="1620"/>
        </w:tabs>
        <w:ind w:right="-197" w:rightChars="-94" w:firstLine="480"/>
        <w:jc w:val="left"/>
        <w:rPr>
          <w:rFonts w:hint="eastAsia" w:ascii="宋体" w:hAnsi="宋体" w:cs="宋体"/>
          <w:color w:val="000000"/>
          <w:kern w:val="0"/>
          <w:sz w:val="24"/>
          <w:highlight w:val="none"/>
        </w:rPr>
      </w:pPr>
      <w:r>
        <w:rPr>
          <w:rFonts w:hint="eastAsia" w:ascii="宋体" w:hAnsi="宋体" w:cs="宋体"/>
          <w:color w:val="000000"/>
          <w:kern w:val="0"/>
          <w:sz w:val="24"/>
          <w:highlight w:val="none"/>
          <w:lang w:val="en-US" w:eastAsia="zh-CN"/>
        </w:rPr>
        <w:t>10、</w:t>
      </w:r>
      <w:r>
        <w:rPr>
          <w:rFonts w:hint="eastAsia" w:ascii="宋体" w:hAnsi="宋体" w:cs="宋体"/>
          <w:color w:val="000000"/>
          <w:kern w:val="0"/>
          <w:sz w:val="24"/>
          <w:highlight w:val="none"/>
        </w:rPr>
        <w:t>社会保障资金缴纳证明：</w:t>
      </w:r>
      <w:r>
        <w:rPr>
          <w:rFonts w:hint="eastAsia" w:ascii="宋体" w:hAnsi="宋体" w:cs="宋体"/>
          <w:color w:val="000000"/>
          <w:kern w:val="0"/>
          <w:sz w:val="24"/>
          <w:highlight w:val="none"/>
          <w:lang w:eastAsia="zh-CN"/>
        </w:rPr>
        <w:t>供应商提供已缴存的2026年1月至今任意一个月的社会保障资金缴存单据或社保机构开具的社会保险参保缴费情况证明，依法不需要缴纳社会保障资金的单位应提供相关证明材料</w:t>
      </w:r>
      <w:r>
        <w:rPr>
          <w:rFonts w:hint="eastAsia" w:ascii="宋体" w:hAnsi="宋体" w:cs="宋体"/>
          <w:color w:val="000000"/>
          <w:kern w:val="0"/>
          <w:sz w:val="24"/>
          <w:highlight w:val="none"/>
        </w:rPr>
        <w:t>；</w:t>
      </w:r>
    </w:p>
    <w:p w14:paraId="5BCD0E73">
      <w:pPr>
        <w:widowControl/>
        <w:shd w:val="clear" w:color="auto" w:fill="auto"/>
        <w:tabs>
          <w:tab w:val="left" w:pos="1620"/>
        </w:tabs>
        <w:ind w:right="-197" w:rightChars="-94" w:firstLine="480"/>
        <w:jc w:val="left"/>
        <w:rPr>
          <w:rFonts w:hint="eastAsia" w:ascii="宋体" w:hAnsi="宋体" w:cs="宋体"/>
          <w:color w:val="000000"/>
          <w:kern w:val="0"/>
          <w:sz w:val="24"/>
          <w:highlight w:val="none"/>
        </w:rPr>
      </w:pPr>
      <w:r>
        <w:rPr>
          <w:rFonts w:hint="eastAsia" w:ascii="宋体" w:hAnsi="宋体" w:cs="宋体"/>
          <w:color w:val="000000"/>
          <w:kern w:val="0"/>
          <w:sz w:val="24"/>
          <w:highlight w:val="none"/>
          <w:lang w:val="en-US" w:eastAsia="zh-CN"/>
        </w:rPr>
        <w:t>11、</w:t>
      </w:r>
      <w:r>
        <w:rPr>
          <w:rFonts w:hint="eastAsia" w:ascii="宋体" w:hAnsi="宋体" w:cs="宋体"/>
          <w:color w:val="000000"/>
          <w:kern w:val="0"/>
          <w:sz w:val="24"/>
          <w:highlight w:val="none"/>
          <w:lang w:eastAsia="zh-CN"/>
        </w:rPr>
        <w:t>投标保证金交纳凭证（附开户许可证或基本账户存款信息）</w:t>
      </w:r>
      <w:r>
        <w:rPr>
          <w:rFonts w:hint="eastAsia" w:ascii="宋体" w:hAnsi="宋体" w:cs="宋体"/>
          <w:color w:val="000000"/>
          <w:kern w:val="0"/>
          <w:sz w:val="24"/>
          <w:highlight w:val="none"/>
        </w:rPr>
        <w:t>；</w:t>
      </w:r>
    </w:p>
    <w:p w14:paraId="1BD0F3FC">
      <w:pPr>
        <w:widowControl/>
        <w:shd w:val="clear" w:color="auto" w:fill="auto"/>
        <w:tabs>
          <w:tab w:val="left" w:pos="1620"/>
        </w:tabs>
        <w:ind w:right="-197" w:rightChars="-94" w:firstLine="480"/>
        <w:jc w:val="left"/>
        <w:rPr>
          <w:rFonts w:hint="eastAsia" w:ascii="宋体" w:hAnsi="宋体" w:cs="宋体"/>
          <w:color w:val="000000"/>
          <w:kern w:val="0"/>
          <w:sz w:val="24"/>
          <w:highlight w:val="none"/>
        </w:rPr>
      </w:pPr>
      <w:r>
        <w:rPr>
          <w:rFonts w:hint="eastAsia" w:ascii="宋体" w:hAnsi="宋体" w:cs="宋体"/>
          <w:color w:val="000000"/>
          <w:kern w:val="0"/>
          <w:sz w:val="24"/>
          <w:highlight w:val="none"/>
          <w:lang w:val="en-US" w:eastAsia="zh-CN"/>
        </w:rPr>
        <w:t>12、</w:t>
      </w:r>
      <w:r>
        <w:rPr>
          <w:rFonts w:hint="eastAsia" w:ascii="宋体" w:hAnsi="宋体" w:cs="宋体"/>
          <w:color w:val="000000"/>
          <w:kern w:val="0"/>
          <w:sz w:val="24"/>
          <w:highlight w:val="none"/>
        </w:rPr>
        <w:t>本次采购项目不接受联合体投标（提供非联合体承诺书）；</w:t>
      </w:r>
    </w:p>
    <w:p w14:paraId="65AD1D13">
      <w:pPr>
        <w:widowControl/>
        <w:shd w:val="clear" w:color="auto" w:fill="auto"/>
        <w:tabs>
          <w:tab w:val="left" w:pos="1620"/>
        </w:tabs>
        <w:ind w:right="-197" w:rightChars="-94" w:firstLine="480"/>
        <w:jc w:val="left"/>
        <w:rPr>
          <w:rFonts w:hint="eastAsia" w:ascii="宋体" w:hAnsi="宋体" w:cs="宋体"/>
          <w:color w:val="000000"/>
          <w:kern w:val="0"/>
          <w:sz w:val="24"/>
          <w:highlight w:val="none"/>
          <w:lang w:eastAsia="zh-CN"/>
        </w:rPr>
      </w:pPr>
      <w:r>
        <w:rPr>
          <w:rFonts w:hint="eastAsia" w:ascii="宋体" w:hAnsi="宋体" w:cs="宋体"/>
          <w:color w:val="000000"/>
          <w:kern w:val="0"/>
          <w:sz w:val="24"/>
          <w:highlight w:val="none"/>
          <w:lang w:val="en-US" w:eastAsia="zh-CN"/>
        </w:rPr>
        <w:t>13、</w:t>
      </w:r>
      <w:r>
        <w:rPr>
          <w:rFonts w:hint="eastAsia" w:ascii="宋体" w:hAnsi="宋体" w:cs="宋体"/>
          <w:color w:val="000000"/>
          <w:kern w:val="0"/>
          <w:sz w:val="24"/>
          <w:highlight w:val="none"/>
        </w:rPr>
        <w:t>单位负责人为同一人或者存在直接控股、管理关系的不同供应商，不得参加同一合同项下的政府采购活动（提供供应商企业关系关联承诺书）</w:t>
      </w:r>
      <w:r>
        <w:rPr>
          <w:rFonts w:hint="eastAsia" w:ascii="宋体" w:hAnsi="宋体" w:cs="宋体"/>
          <w:color w:val="000000"/>
          <w:kern w:val="0"/>
          <w:sz w:val="24"/>
          <w:highlight w:val="none"/>
          <w:lang w:eastAsia="zh-CN"/>
        </w:rPr>
        <w:t>；</w:t>
      </w:r>
    </w:p>
    <w:p w14:paraId="6CAB0118">
      <w:pPr>
        <w:pStyle w:val="6"/>
        <w:rPr>
          <w:rFonts w:hint="eastAsia" w:ascii="宋体" w:hAnsi="宋体" w:cs="宋体"/>
          <w:b/>
          <w:color w:val="000000"/>
          <w:sz w:val="28"/>
          <w:szCs w:val="28"/>
          <w:highlight w:val="none"/>
        </w:rPr>
      </w:pPr>
      <w:r>
        <w:rPr>
          <w:rFonts w:hint="eastAsia" w:ascii="宋体" w:hAnsi="宋体" w:cs="宋体"/>
          <w:color w:val="000000"/>
          <w:kern w:val="0"/>
          <w:sz w:val="24"/>
          <w:highlight w:val="none"/>
          <w:lang w:val="en-US" w:eastAsia="zh-CN"/>
        </w:rPr>
        <w:t>14、本项目专门面向中小企业采购（提供中小企业声明函），非中小企业单位（监狱企业、残疾人福利单位除外）不得参与。</w:t>
      </w:r>
      <w:bookmarkStart w:id="154" w:name="_Toc24072_WPSOffice_Level1"/>
    </w:p>
    <w:bookmarkEnd w:id="154"/>
    <w:p w14:paraId="4C4F0BCE">
      <w:pPr>
        <w:pStyle w:val="3"/>
        <w:shd w:val="clear" w:color="auto" w:fill="auto"/>
        <w:spacing w:before="240" w:beforeLines="100" w:after="0" w:line="360" w:lineRule="auto"/>
        <w:ind w:firstLine="0" w:firstLineChars="0"/>
        <w:jc w:val="center"/>
        <w:rPr>
          <w:rFonts w:hint="eastAsia" w:ascii="宋体" w:hAnsi="宋体" w:eastAsia="宋体" w:cs="宋体"/>
          <w:bCs/>
          <w:kern w:val="0"/>
          <w:szCs w:val="28"/>
          <w:highlight w:val="none"/>
        </w:rPr>
      </w:pPr>
      <w:r>
        <w:rPr>
          <w:rFonts w:hint="eastAsia" w:ascii="宋体" w:hAnsi="宋体" w:eastAsia="宋体" w:cs="宋体"/>
          <w:bCs/>
          <w:kern w:val="0"/>
          <w:sz w:val="24"/>
          <w:szCs w:val="24"/>
          <w:highlight w:val="none"/>
        </w:rPr>
        <w:br w:type="page"/>
      </w:r>
      <w:r>
        <w:rPr>
          <w:rFonts w:hint="eastAsia" w:ascii="宋体" w:hAnsi="宋体" w:eastAsia="宋体" w:cs="宋体"/>
          <w:bCs/>
          <w:kern w:val="0"/>
          <w:sz w:val="24"/>
          <w:szCs w:val="24"/>
          <w:highlight w:val="none"/>
        </w:rPr>
        <w:t>1、投标供应商基本情况表</w:t>
      </w:r>
    </w:p>
    <w:tbl>
      <w:tblPr>
        <w:tblStyle w:val="14"/>
        <w:tblpPr w:leftFromText="180" w:rightFromText="180" w:vertAnchor="page" w:horzAnchor="page" w:tblpXSpec="center" w:tblpY="26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9"/>
        <w:gridCol w:w="938"/>
        <w:gridCol w:w="1047"/>
        <w:gridCol w:w="1447"/>
        <w:gridCol w:w="1432"/>
        <w:gridCol w:w="1261"/>
        <w:gridCol w:w="1167"/>
      </w:tblGrid>
      <w:tr w14:paraId="4BAD3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5" w:hRule="atLeast"/>
          <w:jc w:val="center"/>
        </w:trPr>
        <w:tc>
          <w:tcPr>
            <w:tcW w:w="1809" w:type="dxa"/>
            <w:noWrap w:val="0"/>
            <w:vAlign w:val="center"/>
          </w:tcPr>
          <w:p w14:paraId="5A123317">
            <w:pPr>
              <w:shd w:val="clear" w:color="auto" w:fill="auto"/>
              <w:autoSpaceDE w:val="0"/>
              <w:autoSpaceDN w:val="0"/>
              <w:adjustRightInd w:val="0"/>
              <w:spacing w:line="240" w:lineRule="auto"/>
              <w:ind w:firstLine="0" w:firstLineChars="0"/>
              <w:jc w:val="center"/>
              <w:rPr>
                <w:rFonts w:hint="eastAsia" w:ascii="宋体" w:hAnsi="宋体" w:cs="宋体"/>
                <w:kern w:val="0"/>
                <w:szCs w:val="21"/>
                <w:highlight w:val="none"/>
              </w:rPr>
            </w:pPr>
            <w:r>
              <w:rPr>
                <w:rFonts w:hint="eastAsia" w:ascii="宋体" w:hAnsi="宋体" w:cs="宋体"/>
                <w:kern w:val="0"/>
                <w:szCs w:val="21"/>
                <w:highlight w:val="none"/>
              </w:rPr>
              <w:t>投标供应商名称</w:t>
            </w:r>
          </w:p>
        </w:tc>
        <w:tc>
          <w:tcPr>
            <w:tcW w:w="7292" w:type="dxa"/>
            <w:gridSpan w:val="6"/>
            <w:noWrap w:val="0"/>
            <w:vAlign w:val="center"/>
          </w:tcPr>
          <w:p w14:paraId="21545A29">
            <w:pPr>
              <w:shd w:val="clear" w:color="auto" w:fill="auto"/>
              <w:autoSpaceDE w:val="0"/>
              <w:autoSpaceDN w:val="0"/>
              <w:adjustRightInd w:val="0"/>
              <w:spacing w:line="240" w:lineRule="auto"/>
              <w:ind w:firstLine="420"/>
              <w:jc w:val="center"/>
              <w:rPr>
                <w:rFonts w:hint="eastAsia" w:ascii="宋体" w:hAnsi="宋体" w:cs="宋体"/>
                <w:kern w:val="0"/>
                <w:szCs w:val="21"/>
                <w:highlight w:val="none"/>
              </w:rPr>
            </w:pPr>
          </w:p>
        </w:tc>
      </w:tr>
      <w:tr w14:paraId="1B62C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9" w:hRule="atLeast"/>
          <w:jc w:val="center"/>
        </w:trPr>
        <w:tc>
          <w:tcPr>
            <w:tcW w:w="1809" w:type="dxa"/>
            <w:noWrap w:val="0"/>
            <w:vAlign w:val="center"/>
          </w:tcPr>
          <w:p w14:paraId="169BC032">
            <w:pPr>
              <w:shd w:val="clear" w:color="auto" w:fill="auto"/>
              <w:autoSpaceDE w:val="0"/>
              <w:autoSpaceDN w:val="0"/>
              <w:adjustRightInd w:val="0"/>
              <w:spacing w:line="240" w:lineRule="auto"/>
              <w:ind w:firstLine="0" w:firstLineChars="0"/>
              <w:jc w:val="center"/>
              <w:rPr>
                <w:rFonts w:hint="eastAsia" w:ascii="宋体" w:hAnsi="宋体" w:cs="宋体"/>
                <w:kern w:val="0"/>
                <w:szCs w:val="21"/>
                <w:highlight w:val="none"/>
              </w:rPr>
            </w:pPr>
            <w:r>
              <w:rPr>
                <w:rFonts w:hint="eastAsia" w:ascii="宋体" w:hAnsi="宋体" w:cs="宋体"/>
                <w:kern w:val="0"/>
                <w:szCs w:val="21"/>
                <w:highlight w:val="none"/>
              </w:rPr>
              <w:t>注册地址</w:t>
            </w:r>
          </w:p>
        </w:tc>
        <w:tc>
          <w:tcPr>
            <w:tcW w:w="3432" w:type="dxa"/>
            <w:gridSpan w:val="3"/>
            <w:noWrap w:val="0"/>
            <w:vAlign w:val="center"/>
          </w:tcPr>
          <w:p w14:paraId="336CA861">
            <w:pPr>
              <w:shd w:val="clear" w:color="auto" w:fill="auto"/>
              <w:autoSpaceDE w:val="0"/>
              <w:autoSpaceDN w:val="0"/>
              <w:adjustRightInd w:val="0"/>
              <w:spacing w:line="240" w:lineRule="auto"/>
              <w:ind w:firstLine="420"/>
              <w:jc w:val="center"/>
              <w:rPr>
                <w:rFonts w:hint="eastAsia" w:ascii="宋体" w:hAnsi="宋体" w:cs="宋体"/>
                <w:kern w:val="0"/>
                <w:szCs w:val="21"/>
                <w:highlight w:val="none"/>
              </w:rPr>
            </w:pPr>
          </w:p>
        </w:tc>
        <w:tc>
          <w:tcPr>
            <w:tcW w:w="1432" w:type="dxa"/>
            <w:noWrap w:val="0"/>
            <w:vAlign w:val="center"/>
          </w:tcPr>
          <w:p w14:paraId="1C0E5095">
            <w:pPr>
              <w:shd w:val="clear" w:color="auto" w:fill="auto"/>
              <w:autoSpaceDE w:val="0"/>
              <w:autoSpaceDN w:val="0"/>
              <w:adjustRightInd w:val="0"/>
              <w:spacing w:line="240" w:lineRule="auto"/>
              <w:ind w:firstLine="0" w:firstLineChars="0"/>
              <w:jc w:val="center"/>
              <w:rPr>
                <w:rFonts w:hint="eastAsia" w:ascii="宋体" w:hAnsi="宋体" w:cs="宋体"/>
                <w:kern w:val="0"/>
                <w:szCs w:val="21"/>
                <w:highlight w:val="none"/>
              </w:rPr>
            </w:pPr>
            <w:r>
              <w:rPr>
                <w:rFonts w:hint="eastAsia" w:ascii="宋体" w:hAnsi="宋体" w:cs="宋体"/>
                <w:kern w:val="0"/>
                <w:szCs w:val="21"/>
                <w:highlight w:val="none"/>
              </w:rPr>
              <w:t>邮政编码</w:t>
            </w:r>
          </w:p>
        </w:tc>
        <w:tc>
          <w:tcPr>
            <w:tcW w:w="2428" w:type="dxa"/>
            <w:gridSpan w:val="2"/>
            <w:noWrap w:val="0"/>
            <w:vAlign w:val="center"/>
          </w:tcPr>
          <w:p w14:paraId="4EFB5DE1">
            <w:pPr>
              <w:shd w:val="clear" w:color="auto" w:fill="auto"/>
              <w:autoSpaceDE w:val="0"/>
              <w:autoSpaceDN w:val="0"/>
              <w:adjustRightInd w:val="0"/>
              <w:spacing w:line="240" w:lineRule="auto"/>
              <w:ind w:firstLine="420"/>
              <w:jc w:val="center"/>
              <w:rPr>
                <w:rFonts w:hint="eastAsia" w:ascii="宋体" w:hAnsi="宋体" w:cs="宋体"/>
                <w:kern w:val="0"/>
                <w:szCs w:val="21"/>
                <w:highlight w:val="none"/>
              </w:rPr>
            </w:pPr>
          </w:p>
        </w:tc>
      </w:tr>
      <w:tr w14:paraId="15CCA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6" w:hRule="atLeast"/>
          <w:jc w:val="center"/>
        </w:trPr>
        <w:tc>
          <w:tcPr>
            <w:tcW w:w="1809" w:type="dxa"/>
            <w:vMerge w:val="restart"/>
            <w:noWrap w:val="0"/>
            <w:vAlign w:val="center"/>
          </w:tcPr>
          <w:p w14:paraId="2E44D6EA">
            <w:pPr>
              <w:shd w:val="clear" w:color="auto" w:fill="auto"/>
              <w:autoSpaceDE w:val="0"/>
              <w:autoSpaceDN w:val="0"/>
              <w:adjustRightInd w:val="0"/>
              <w:spacing w:line="240" w:lineRule="auto"/>
              <w:ind w:firstLine="0" w:firstLineChars="0"/>
              <w:jc w:val="center"/>
              <w:rPr>
                <w:rFonts w:hint="eastAsia" w:ascii="宋体" w:hAnsi="宋体" w:cs="宋体"/>
                <w:kern w:val="0"/>
                <w:szCs w:val="21"/>
                <w:highlight w:val="none"/>
              </w:rPr>
            </w:pPr>
            <w:r>
              <w:rPr>
                <w:rFonts w:hint="eastAsia" w:ascii="宋体" w:hAnsi="宋体" w:cs="宋体"/>
                <w:kern w:val="0"/>
                <w:szCs w:val="21"/>
                <w:highlight w:val="none"/>
              </w:rPr>
              <w:t>联系方式</w:t>
            </w:r>
          </w:p>
        </w:tc>
        <w:tc>
          <w:tcPr>
            <w:tcW w:w="938" w:type="dxa"/>
            <w:noWrap w:val="0"/>
            <w:vAlign w:val="center"/>
          </w:tcPr>
          <w:p w14:paraId="74D4E326">
            <w:pPr>
              <w:shd w:val="clear" w:color="auto" w:fill="auto"/>
              <w:autoSpaceDE w:val="0"/>
              <w:autoSpaceDN w:val="0"/>
              <w:adjustRightInd w:val="0"/>
              <w:spacing w:line="240" w:lineRule="auto"/>
              <w:ind w:firstLine="0" w:firstLineChars="0"/>
              <w:jc w:val="center"/>
              <w:rPr>
                <w:rFonts w:hint="eastAsia" w:ascii="宋体" w:hAnsi="宋体" w:cs="宋体"/>
                <w:kern w:val="0"/>
                <w:szCs w:val="21"/>
                <w:highlight w:val="none"/>
              </w:rPr>
            </w:pPr>
            <w:r>
              <w:rPr>
                <w:rFonts w:hint="eastAsia" w:ascii="宋体" w:hAnsi="宋体" w:cs="宋体"/>
                <w:kern w:val="0"/>
                <w:szCs w:val="21"/>
                <w:highlight w:val="none"/>
              </w:rPr>
              <w:t>联系人</w:t>
            </w:r>
          </w:p>
        </w:tc>
        <w:tc>
          <w:tcPr>
            <w:tcW w:w="2494" w:type="dxa"/>
            <w:gridSpan w:val="2"/>
            <w:noWrap w:val="0"/>
            <w:vAlign w:val="center"/>
          </w:tcPr>
          <w:p w14:paraId="1E9824AC">
            <w:pPr>
              <w:shd w:val="clear" w:color="auto" w:fill="auto"/>
              <w:autoSpaceDE w:val="0"/>
              <w:autoSpaceDN w:val="0"/>
              <w:adjustRightInd w:val="0"/>
              <w:spacing w:line="240" w:lineRule="auto"/>
              <w:ind w:firstLine="420"/>
              <w:jc w:val="center"/>
              <w:rPr>
                <w:rFonts w:hint="eastAsia" w:ascii="宋体" w:hAnsi="宋体" w:cs="宋体"/>
                <w:kern w:val="0"/>
                <w:szCs w:val="21"/>
                <w:highlight w:val="none"/>
              </w:rPr>
            </w:pPr>
          </w:p>
        </w:tc>
        <w:tc>
          <w:tcPr>
            <w:tcW w:w="1432" w:type="dxa"/>
            <w:noWrap w:val="0"/>
            <w:vAlign w:val="center"/>
          </w:tcPr>
          <w:p w14:paraId="090C04A7">
            <w:pPr>
              <w:shd w:val="clear" w:color="auto" w:fill="auto"/>
              <w:autoSpaceDE w:val="0"/>
              <w:autoSpaceDN w:val="0"/>
              <w:adjustRightInd w:val="0"/>
              <w:spacing w:line="240" w:lineRule="auto"/>
              <w:ind w:firstLine="0" w:firstLineChars="0"/>
              <w:jc w:val="center"/>
              <w:rPr>
                <w:rFonts w:hint="eastAsia" w:ascii="宋体" w:hAnsi="宋体" w:cs="宋体"/>
                <w:kern w:val="0"/>
                <w:szCs w:val="21"/>
                <w:highlight w:val="none"/>
              </w:rPr>
            </w:pPr>
            <w:r>
              <w:rPr>
                <w:rFonts w:hint="eastAsia" w:ascii="宋体" w:hAnsi="宋体" w:cs="宋体"/>
                <w:kern w:val="0"/>
                <w:szCs w:val="21"/>
                <w:highlight w:val="none"/>
              </w:rPr>
              <w:t>电话</w:t>
            </w:r>
          </w:p>
        </w:tc>
        <w:tc>
          <w:tcPr>
            <w:tcW w:w="2428" w:type="dxa"/>
            <w:gridSpan w:val="2"/>
            <w:noWrap w:val="0"/>
            <w:vAlign w:val="center"/>
          </w:tcPr>
          <w:p w14:paraId="17F6F6C9">
            <w:pPr>
              <w:shd w:val="clear" w:color="auto" w:fill="auto"/>
              <w:autoSpaceDE w:val="0"/>
              <w:autoSpaceDN w:val="0"/>
              <w:adjustRightInd w:val="0"/>
              <w:spacing w:line="240" w:lineRule="auto"/>
              <w:ind w:firstLine="420"/>
              <w:jc w:val="center"/>
              <w:rPr>
                <w:rFonts w:hint="eastAsia" w:ascii="宋体" w:hAnsi="宋体" w:cs="宋体"/>
                <w:kern w:val="0"/>
                <w:szCs w:val="21"/>
                <w:highlight w:val="none"/>
              </w:rPr>
            </w:pPr>
          </w:p>
        </w:tc>
      </w:tr>
      <w:tr w14:paraId="4CF3F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6" w:hRule="atLeast"/>
          <w:jc w:val="center"/>
        </w:trPr>
        <w:tc>
          <w:tcPr>
            <w:tcW w:w="1809" w:type="dxa"/>
            <w:vMerge w:val="continue"/>
            <w:noWrap w:val="0"/>
            <w:vAlign w:val="center"/>
          </w:tcPr>
          <w:p w14:paraId="04BC2DA2">
            <w:pPr>
              <w:widowControl/>
              <w:shd w:val="clear" w:color="auto" w:fill="auto"/>
              <w:spacing w:line="240" w:lineRule="auto"/>
              <w:ind w:firstLine="420"/>
              <w:jc w:val="center"/>
              <w:rPr>
                <w:rFonts w:hint="eastAsia" w:ascii="宋体" w:hAnsi="宋体" w:cs="宋体"/>
                <w:kern w:val="0"/>
                <w:szCs w:val="21"/>
                <w:highlight w:val="none"/>
              </w:rPr>
            </w:pPr>
          </w:p>
        </w:tc>
        <w:tc>
          <w:tcPr>
            <w:tcW w:w="938" w:type="dxa"/>
            <w:noWrap w:val="0"/>
            <w:vAlign w:val="center"/>
          </w:tcPr>
          <w:p w14:paraId="2F8ABEAF">
            <w:pPr>
              <w:shd w:val="clear" w:color="auto" w:fill="auto"/>
              <w:autoSpaceDE w:val="0"/>
              <w:autoSpaceDN w:val="0"/>
              <w:adjustRightInd w:val="0"/>
              <w:spacing w:line="240" w:lineRule="auto"/>
              <w:ind w:firstLine="0" w:firstLineChars="0"/>
              <w:jc w:val="center"/>
              <w:rPr>
                <w:rFonts w:hint="eastAsia" w:ascii="宋体" w:hAnsi="宋体" w:cs="宋体"/>
                <w:kern w:val="0"/>
                <w:szCs w:val="21"/>
                <w:highlight w:val="none"/>
              </w:rPr>
            </w:pPr>
            <w:r>
              <w:rPr>
                <w:rFonts w:hint="eastAsia" w:ascii="宋体" w:hAnsi="宋体" w:cs="宋体"/>
                <w:kern w:val="0"/>
                <w:szCs w:val="21"/>
                <w:highlight w:val="none"/>
              </w:rPr>
              <w:t>传真</w:t>
            </w:r>
          </w:p>
        </w:tc>
        <w:tc>
          <w:tcPr>
            <w:tcW w:w="2494" w:type="dxa"/>
            <w:gridSpan w:val="2"/>
            <w:noWrap w:val="0"/>
            <w:vAlign w:val="center"/>
          </w:tcPr>
          <w:p w14:paraId="2AB9797A">
            <w:pPr>
              <w:shd w:val="clear" w:color="auto" w:fill="auto"/>
              <w:autoSpaceDE w:val="0"/>
              <w:autoSpaceDN w:val="0"/>
              <w:adjustRightInd w:val="0"/>
              <w:spacing w:line="240" w:lineRule="auto"/>
              <w:ind w:firstLine="420"/>
              <w:jc w:val="center"/>
              <w:rPr>
                <w:rFonts w:hint="eastAsia" w:ascii="宋体" w:hAnsi="宋体" w:cs="宋体"/>
                <w:kern w:val="0"/>
                <w:szCs w:val="21"/>
                <w:highlight w:val="none"/>
              </w:rPr>
            </w:pPr>
          </w:p>
        </w:tc>
        <w:tc>
          <w:tcPr>
            <w:tcW w:w="1432" w:type="dxa"/>
            <w:noWrap w:val="0"/>
            <w:vAlign w:val="center"/>
          </w:tcPr>
          <w:p w14:paraId="6BB59F7B">
            <w:pPr>
              <w:shd w:val="clear" w:color="auto" w:fill="auto"/>
              <w:autoSpaceDE w:val="0"/>
              <w:autoSpaceDN w:val="0"/>
              <w:adjustRightInd w:val="0"/>
              <w:spacing w:line="240" w:lineRule="auto"/>
              <w:ind w:firstLine="0" w:firstLineChars="0"/>
              <w:jc w:val="center"/>
              <w:rPr>
                <w:rFonts w:hint="eastAsia" w:ascii="宋体" w:hAnsi="宋体" w:cs="宋体"/>
                <w:kern w:val="0"/>
                <w:szCs w:val="21"/>
                <w:highlight w:val="none"/>
              </w:rPr>
            </w:pPr>
            <w:r>
              <w:rPr>
                <w:rFonts w:hint="eastAsia" w:ascii="宋体" w:hAnsi="宋体" w:cs="宋体"/>
                <w:kern w:val="0"/>
                <w:szCs w:val="21"/>
                <w:highlight w:val="none"/>
              </w:rPr>
              <w:t>网址</w:t>
            </w:r>
          </w:p>
        </w:tc>
        <w:tc>
          <w:tcPr>
            <w:tcW w:w="2428" w:type="dxa"/>
            <w:gridSpan w:val="2"/>
            <w:noWrap w:val="0"/>
            <w:vAlign w:val="center"/>
          </w:tcPr>
          <w:p w14:paraId="205C7C3E">
            <w:pPr>
              <w:shd w:val="clear" w:color="auto" w:fill="auto"/>
              <w:autoSpaceDE w:val="0"/>
              <w:autoSpaceDN w:val="0"/>
              <w:adjustRightInd w:val="0"/>
              <w:spacing w:line="240" w:lineRule="auto"/>
              <w:ind w:firstLine="420"/>
              <w:jc w:val="center"/>
              <w:rPr>
                <w:rFonts w:hint="eastAsia" w:ascii="宋体" w:hAnsi="宋体" w:cs="宋体"/>
                <w:kern w:val="0"/>
                <w:szCs w:val="21"/>
                <w:highlight w:val="none"/>
              </w:rPr>
            </w:pPr>
          </w:p>
        </w:tc>
      </w:tr>
      <w:tr w14:paraId="733E5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7" w:hRule="atLeast"/>
          <w:jc w:val="center"/>
        </w:trPr>
        <w:tc>
          <w:tcPr>
            <w:tcW w:w="1809" w:type="dxa"/>
            <w:noWrap w:val="0"/>
            <w:vAlign w:val="center"/>
          </w:tcPr>
          <w:p w14:paraId="4EC83DB5">
            <w:pPr>
              <w:shd w:val="clear" w:color="auto" w:fill="auto"/>
              <w:autoSpaceDE w:val="0"/>
              <w:autoSpaceDN w:val="0"/>
              <w:adjustRightInd w:val="0"/>
              <w:spacing w:line="240" w:lineRule="auto"/>
              <w:ind w:firstLine="0" w:firstLineChars="0"/>
              <w:jc w:val="center"/>
              <w:rPr>
                <w:rFonts w:hint="eastAsia" w:ascii="宋体" w:hAnsi="宋体" w:cs="宋体"/>
                <w:kern w:val="0"/>
                <w:szCs w:val="21"/>
                <w:highlight w:val="none"/>
              </w:rPr>
            </w:pPr>
            <w:r>
              <w:rPr>
                <w:rFonts w:hint="eastAsia" w:ascii="宋体" w:hAnsi="宋体" w:cs="宋体"/>
                <w:kern w:val="0"/>
                <w:szCs w:val="21"/>
                <w:highlight w:val="none"/>
              </w:rPr>
              <w:t>单位性质</w:t>
            </w:r>
          </w:p>
        </w:tc>
        <w:tc>
          <w:tcPr>
            <w:tcW w:w="7292" w:type="dxa"/>
            <w:gridSpan w:val="6"/>
            <w:noWrap w:val="0"/>
            <w:vAlign w:val="center"/>
          </w:tcPr>
          <w:p w14:paraId="7B395B8D">
            <w:pPr>
              <w:shd w:val="clear" w:color="auto" w:fill="auto"/>
              <w:autoSpaceDE w:val="0"/>
              <w:autoSpaceDN w:val="0"/>
              <w:adjustRightInd w:val="0"/>
              <w:spacing w:line="240" w:lineRule="auto"/>
              <w:ind w:firstLine="420"/>
              <w:jc w:val="center"/>
              <w:rPr>
                <w:rFonts w:hint="eastAsia" w:ascii="宋体" w:hAnsi="宋体" w:cs="宋体"/>
                <w:kern w:val="0"/>
                <w:szCs w:val="21"/>
                <w:highlight w:val="none"/>
              </w:rPr>
            </w:pPr>
          </w:p>
        </w:tc>
      </w:tr>
      <w:tr w14:paraId="67E22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1809" w:type="dxa"/>
            <w:noWrap w:val="0"/>
            <w:vAlign w:val="center"/>
          </w:tcPr>
          <w:p w14:paraId="3817BB5D">
            <w:pPr>
              <w:shd w:val="clear" w:color="auto" w:fill="auto"/>
              <w:autoSpaceDE w:val="0"/>
              <w:autoSpaceDN w:val="0"/>
              <w:adjustRightInd w:val="0"/>
              <w:spacing w:line="240" w:lineRule="auto"/>
              <w:ind w:firstLine="0" w:firstLineChars="0"/>
              <w:jc w:val="center"/>
              <w:rPr>
                <w:rFonts w:hint="eastAsia" w:ascii="宋体" w:hAnsi="宋体" w:cs="宋体"/>
                <w:kern w:val="0"/>
                <w:szCs w:val="21"/>
                <w:highlight w:val="none"/>
              </w:rPr>
            </w:pPr>
            <w:r>
              <w:rPr>
                <w:rFonts w:hint="eastAsia" w:ascii="宋体" w:hAnsi="宋体" w:cs="宋体"/>
                <w:kern w:val="0"/>
                <w:szCs w:val="21"/>
                <w:highlight w:val="none"/>
              </w:rPr>
              <w:t>法定代表人</w:t>
            </w:r>
          </w:p>
        </w:tc>
        <w:tc>
          <w:tcPr>
            <w:tcW w:w="938" w:type="dxa"/>
            <w:noWrap w:val="0"/>
            <w:vAlign w:val="center"/>
          </w:tcPr>
          <w:p w14:paraId="2FD5AE2E">
            <w:pPr>
              <w:shd w:val="clear" w:color="auto" w:fill="auto"/>
              <w:autoSpaceDE w:val="0"/>
              <w:autoSpaceDN w:val="0"/>
              <w:adjustRightInd w:val="0"/>
              <w:spacing w:line="240" w:lineRule="auto"/>
              <w:ind w:firstLine="0" w:firstLineChars="0"/>
              <w:jc w:val="center"/>
              <w:rPr>
                <w:rFonts w:hint="eastAsia" w:ascii="宋体" w:hAnsi="宋体" w:cs="宋体"/>
                <w:kern w:val="0"/>
                <w:szCs w:val="21"/>
                <w:highlight w:val="none"/>
              </w:rPr>
            </w:pPr>
            <w:r>
              <w:rPr>
                <w:rFonts w:hint="eastAsia" w:ascii="宋体" w:hAnsi="宋体" w:cs="宋体"/>
                <w:kern w:val="0"/>
                <w:szCs w:val="21"/>
                <w:highlight w:val="none"/>
              </w:rPr>
              <w:t>姓名</w:t>
            </w:r>
          </w:p>
        </w:tc>
        <w:tc>
          <w:tcPr>
            <w:tcW w:w="1047" w:type="dxa"/>
            <w:noWrap w:val="0"/>
            <w:vAlign w:val="center"/>
          </w:tcPr>
          <w:p w14:paraId="4204D40D">
            <w:pPr>
              <w:shd w:val="clear" w:color="auto" w:fill="auto"/>
              <w:autoSpaceDE w:val="0"/>
              <w:autoSpaceDN w:val="0"/>
              <w:adjustRightInd w:val="0"/>
              <w:spacing w:line="240" w:lineRule="auto"/>
              <w:ind w:firstLine="420"/>
              <w:jc w:val="center"/>
              <w:rPr>
                <w:rFonts w:hint="eastAsia" w:ascii="宋体" w:hAnsi="宋体" w:cs="宋体"/>
                <w:kern w:val="0"/>
                <w:szCs w:val="21"/>
                <w:highlight w:val="none"/>
              </w:rPr>
            </w:pPr>
          </w:p>
        </w:tc>
        <w:tc>
          <w:tcPr>
            <w:tcW w:w="1447" w:type="dxa"/>
            <w:noWrap w:val="0"/>
            <w:vAlign w:val="center"/>
          </w:tcPr>
          <w:p w14:paraId="4599F73F">
            <w:pPr>
              <w:shd w:val="clear" w:color="auto" w:fill="auto"/>
              <w:autoSpaceDE w:val="0"/>
              <w:autoSpaceDN w:val="0"/>
              <w:adjustRightInd w:val="0"/>
              <w:spacing w:line="240" w:lineRule="auto"/>
              <w:ind w:firstLine="0" w:firstLineChars="0"/>
              <w:jc w:val="center"/>
              <w:rPr>
                <w:rFonts w:hint="eastAsia" w:ascii="宋体" w:hAnsi="宋体" w:cs="宋体"/>
                <w:kern w:val="0"/>
                <w:szCs w:val="21"/>
                <w:highlight w:val="none"/>
              </w:rPr>
            </w:pPr>
            <w:r>
              <w:rPr>
                <w:rFonts w:hint="eastAsia" w:ascii="宋体" w:hAnsi="宋体" w:cs="宋体"/>
                <w:kern w:val="0"/>
                <w:szCs w:val="21"/>
                <w:highlight w:val="none"/>
              </w:rPr>
              <w:t>技术职称</w:t>
            </w:r>
          </w:p>
        </w:tc>
        <w:tc>
          <w:tcPr>
            <w:tcW w:w="1432" w:type="dxa"/>
            <w:noWrap w:val="0"/>
            <w:vAlign w:val="center"/>
          </w:tcPr>
          <w:p w14:paraId="69E9CF8B">
            <w:pPr>
              <w:shd w:val="clear" w:color="auto" w:fill="auto"/>
              <w:autoSpaceDE w:val="0"/>
              <w:autoSpaceDN w:val="0"/>
              <w:adjustRightInd w:val="0"/>
              <w:spacing w:line="240" w:lineRule="auto"/>
              <w:ind w:firstLine="420"/>
              <w:jc w:val="center"/>
              <w:rPr>
                <w:rFonts w:hint="eastAsia" w:ascii="宋体" w:hAnsi="宋体" w:cs="宋体"/>
                <w:kern w:val="0"/>
                <w:szCs w:val="21"/>
                <w:highlight w:val="none"/>
              </w:rPr>
            </w:pPr>
          </w:p>
        </w:tc>
        <w:tc>
          <w:tcPr>
            <w:tcW w:w="1261" w:type="dxa"/>
            <w:noWrap w:val="0"/>
            <w:vAlign w:val="center"/>
          </w:tcPr>
          <w:p w14:paraId="132E0C2A">
            <w:pPr>
              <w:shd w:val="clear" w:color="auto" w:fill="auto"/>
              <w:autoSpaceDE w:val="0"/>
              <w:autoSpaceDN w:val="0"/>
              <w:adjustRightInd w:val="0"/>
              <w:spacing w:line="240" w:lineRule="auto"/>
              <w:ind w:firstLine="0" w:firstLineChars="0"/>
              <w:jc w:val="center"/>
              <w:rPr>
                <w:rFonts w:hint="eastAsia" w:ascii="宋体" w:hAnsi="宋体" w:cs="宋体"/>
                <w:kern w:val="0"/>
                <w:szCs w:val="21"/>
                <w:highlight w:val="none"/>
              </w:rPr>
            </w:pPr>
            <w:r>
              <w:rPr>
                <w:rFonts w:hint="eastAsia" w:ascii="宋体" w:hAnsi="宋体" w:cs="宋体"/>
                <w:kern w:val="0"/>
                <w:szCs w:val="21"/>
                <w:highlight w:val="none"/>
              </w:rPr>
              <w:t>电话</w:t>
            </w:r>
          </w:p>
        </w:tc>
        <w:tc>
          <w:tcPr>
            <w:tcW w:w="1167" w:type="dxa"/>
            <w:noWrap w:val="0"/>
            <w:vAlign w:val="center"/>
          </w:tcPr>
          <w:p w14:paraId="69C0B682">
            <w:pPr>
              <w:shd w:val="clear" w:color="auto" w:fill="auto"/>
              <w:autoSpaceDE w:val="0"/>
              <w:autoSpaceDN w:val="0"/>
              <w:adjustRightInd w:val="0"/>
              <w:spacing w:line="240" w:lineRule="auto"/>
              <w:ind w:firstLine="422"/>
              <w:jc w:val="center"/>
              <w:rPr>
                <w:rFonts w:hint="eastAsia" w:ascii="宋体" w:hAnsi="宋体" w:cs="宋体"/>
                <w:b/>
                <w:bCs/>
                <w:kern w:val="0"/>
                <w:szCs w:val="21"/>
                <w:highlight w:val="none"/>
              </w:rPr>
            </w:pPr>
          </w:p>
        </w:tc>
      </w:tr>
      <w:tr w14:paraId="6D891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809" w:type="dxa"/>
            <w:noWrap w:val="0"/>
            <w:vAlign w:val="center"/>
          </w:tcPr>
          <w:p w14:paraId="70D6A116">
            <w:pPr>
              <w:shd w:val="clear" w:color="auto" w:fill="auto"/>
              <w:autoSpaceDE w:val="0"/>
              <w:autoSpaceDN w:val="0"/>
              <w:adjustRightInd w:val="0"/>
              <w:spacing w:line="240" w:lineRule="auto"/>
              <w:ind w:firstLine="0" w:firstLineChars="0"/>
              <w:jc w:val="center"/>
              <w:rPr>
                <w:rFonts w:hint="eastAsia" w:ascii="宋体" w:hAnsi="宋体" w:cs="宋体"/>
                <w:kern w:val="0"/>
                <w:szCs w:val="21"/>
                <w:highlight w:val="none"/>
              </w:rPr>
            </w:pPr>
            <w:r>
              <w:rPr>
                <w:rFonts w:hint="eastAsia" w:ascii="宋体" w:hAnsi="宋体" w:cs="宋体"/>
                <w:kern w:val="0"/>
                <w:szCs w:val="21"/>
                <w:highlight w:val="none"/>
              </w:rPr>
              <w:t>技术负责人</w:t>
            </w:r>
          </w:p>
        </w:tc>
        <w:tc>
          <w:tcPr>
            <w:tcW w:w="938" w:type="dxa"/>
            <w:noWrap w:val="0"/>
            <w:vAlign w:val="center"/>
          </w:tcPr>
          <w:p w14:paraId="4C93A872">
            <w:pPr>
              <w:shd w:val="clear" w:color="auto" w:fill="auto"/>
              <w:autoSpaceDE w:val="0"/>
              <w:autoSpaceDN w:val="0"/>
              <w:adjustRightInd w:val="0"/>
              <w:spacing w:line="240" w:lineRule="auto"/>
              <w:ind w:firstLine="0" w:firstLineChars="0"/>
              <w:jc w:val="center"/>
              <w:rPr>
                <w:rFonts w:hint="eastAsia" w:ascii="宋体" w:hAnsi="宋体" w:cs="宋体"/>
                <w:kern w:val="0"/>
                <w:szCs w:val="21"/>
                <w:highlight w:val="none"/>
              </w:rPr>
            </w:pPr>
            <w:r>
              <w:rPr>
                <w:rFonts w:hint="eastAsia" w:ascii="宋体" w:hAnsi="宋体" w:cs="宋体"/>
                <w:kern w:val="0"/>
                <w:szCs w:val="21"/>
                <w:highlight w:val="none"/>
              </w:rPr>
              <w:t>姓名</w:t>
            </w:r>
          </w:p>
        </w:tc>
        <w:tc>
          <w:tcPr>
            <w:tcW w:w="1047" w:type="dxa"/>
            <w:noWrap w:val="0"/>
            <w:vAlign w:val="center"/>
          </w:tcPr>
          <w:p w14:paraId="6993E30F">
            <w:pPr>
              <w:shd w:val="clear" w:color="auto" w:fill="auto"/>
              <w:autoSpaceDE w:val="0"/>
              <w:autoSpaceDN w:val="0"/>
              <w:adjustRightInd w:val="0"/>
              <w:spacing w:line="240" w:lineRule="auto"/>
              <w:ind w:firstLine="420"/>
              <w:jc w:val="center"/>
              <w:rPr>
                <w:rFonts w:hint="eastAsia" w:ascii="宋体" w:hAnsi="宋体" w:cs="宋体"/>
                <w:kern w:val="0"/>
                <w:szCs w:val="21"/>
                <w:highlight w:val="none"/>
              </w:rPr>
            </w:pPr>
          </w:p>
        </w:tc>
        <w:tc>
          <w:tcPr>
            <w:tcW w:w="1447" w:type="dxa"/>
            <w:noWrap w:val="0"/>
            <w:vAlign w:val="center"/>
          </w:tcPr>
          <w:p w14:paraId="4AE315EE">
            <w:pPr>
              <w:shd w:val="clear" w:color="auto" w:fill="auto"/>
              <w:autoSpaceDE w:val="0"/>
              <w:autoSpaceDN w:val="0"/>
              <w:adjustRightInd w:val="0"/>
              <w:spacing w:line="240" w:lineRule="auto"/>
              <w:ind w:firstLine="0" w:firstLineChars="0"/>
              <w:jc w:val="center"/>
              <w:rPr>
                <w:rFonts w:hint="eastAsia" w:ascii="宋体" w:hAnsi="宋体" w:cs="宋体"/>
                <w:kern w:val="0"/>
                <w:szCs w:val="21"/>
                <w:highlight w:val="none"/>
              </w:rPr>
            </w:pPr>
            <w:r>
              <w:rPr>
                <w:rFonts w:hint="eastAsia" w:ascii="宋体" w:hAnsi="宋体" w:cs="宋体"/>
                <w:kern w:val="0"/>
                <w:szCs w:val="21"/>
                <w:highlight w:val="none"/>
              </w:rPr>
              <w:t>技术职称</w:t>
            </w:r>
          </w:p>
        </w:tc>
        <w:tc>
          <w:tcPr>
            <w:tcW w:w="1432" w:type="dxa"/>
            <w:noWrap w:val="0"/>
            <w:vAlign w:val="center"/>
          </w:tcPr>
          <w:p w14:paraId="57A33E31">
            <w:pPr>
              <w:shd w:val="clear" w:color="auto" w:fill="auto"/>
              <w:autoSpaceDE w:val="0"/>
              <w:autoSpaceDN w:val="0"/>
              <w:adjustRightInd w:val="0"/>
              <w:spacing w:line="240" w:lineRule="auto"/>
              <w:ind w:firstLine="420"/>
              <w:jc w:val="center"/>
              <w:rPr>
                <w:rFonts w:hint="eastAsia" w:ascii="宋体" w:hAnsi="宋体" w:cs="宋体"/>
                <w:kern w:val="0"/>
                <w:szCs w:val="21"/>
                <w:highlight w:val="none"/>
              </w:rPr>
            </w:pPr>
          </w:p>
        </w:tc>
        <w:tc>
          <w:tcPr>
            <w:tcW w:w="1261" w:type="dxa"/>
            <w:noWrap w:val="0"/>
            <w:vAlign w:val="center"/>
          </w:tcPr>
          <w:p w14:paraId="69474D93">
            <w:pPr>
              <w:shd w:val="clear" w:color="auto" w:fill="auto"/>
              <w:autoSpaceDE w:val="0"/>
              <w:autoSpaceDN w:val="0"/>
              <w:adjustRightInd w:val="0"/>
              <w:spacing w:line="240" w:lineRule="auto"/>
              <w:ind w:firstLine="0" w:firstLineChars="0"/>
              <w:jc w:val="center"/>
              <w:rPr>
                <w:rFonts w:hint="eastAsia" w:ascii="宋体" w:hAnsi="宋体" w:cs="宋体"/>
                <w:kern w:val="0"/>
                <w:szCs w:val="21"/>
                <w:highlight w:val="none"/>
              </w:rPr>
            </w:pPr>
            <w:r>
              <w:rPr>
                <w:rFonts w:hint="eastAsia" w:ascii="宋体" w:hAnsi="宋体" w:cs="宋体"/>
                <w:kern w:val="0"/>
                <w:szCs w:val="21"/>
                <w:highlight w:val="none"/>
              </w:rPr>
              <w:t>电话</w:t>
            </w:r>
          </w:p>
        </w:tc>
        <w:tc>
          <w:tcPr>
            <w:tcW w:w="1167" w:type="dxa"/>
            <w:noWrap w:val="0"/>
            <w:vAlign w:val="center"/>
          </w:tcPr>
          <w:p w14:paraId="39D4F07B">
            <w:pPr>
              <w:shd w:val="clear" w:color="auto" w:fill="auto"/>
              <w:autoSpaceDE w:val="0"/>
              <w:autoSpaceDN w:val="0"/>
              <w:adjustRightInd w:val="0"/>
              <w:spacing w:line="240" w:lineRule="auto"/>
              <w:ind w:firstLine="422"/>
              <w:jc w:val="center"/>
              <w:rPr>
                <w:rFonts w:hint="eastAsia" w:ascii="宋体" w:hAnsi="宋体" w:cs="宋体"/>
                <w:b/>
                <w:bCs/>
                <w:kern w:val="0"/>
                <w:szCs w:val="21"/>
                <w:highlight w:val="none"/>
              </w:rPr>
            </w:pPr>
          </w:p>
        </w:tc>
      </w:tr>
      <w:tr w14:paraId="755C4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5" w:hRule="atLeast"/>
          <w:jc w:val="center"/>
        </w:trPr>
        <w:tc>
          <w:tcPr>
            <w:tcW w:w="1809" w:type="dxa"/>
            <w:noWrap w:val="0"/>
            <w:vAlign w:val="center"/>
          </w:tcPr>
          <w:p w14:paraId="31B378A8">
            <w:pPr>
              <w:shd w:val="clear" w:color="auto" w:fill="auto"/>
              <w:autoSpaceDE w:val="0"/>
              <w:autoSpaceDN w:val="0"/>
              <w:adjustRightInd w:val="0"/>
              <w:spacing w:line="240" w:lineRule="auto"/>
              <w:ind w:firstLine="0" w:firstLineChars="0"/>
              <w:jc w:val="center"/>
              <w:rPr>
                <w:rFonts w:hint="eastAsia" w:ascii="宋体" w:hAnsi="宋体" w:cs="宋体"/>
                <w:kern w:val="0"/>
                <w:szCs w:val="21"/>
                <w:highlight w:val="none"/>
              </w:rPr>
            </w:pPr>
            <w:r>
              <w:rPr>
                <w:rFonts w:hint="eastAsia" w:ascii="宋体" w:hAnsi="宋体" w:cs="宋体"/>
                <w:kern w:val="0"/>
                <w:szCs w:val="21"/>
                <w:highlight w:val="none"/>
              </w:rPr>
              <w:t>企业资质等级</w:t>
            </w:r>
          </w:p>
        </w:tc>
        <w:tc>
          <w:tcPr>
            <w:tcW w:w="1985" w:type="dxa"/>
            <w:gridSpan w:val="2"/>
            <w:noWrap w:val="0"/>
            <w:vAlign w:val="center"/>
          </w:tcPr>
          <w:p w14:paraId="1541159B">
            <w:pPr>
              <w:shd w:val="clear" w:color="auto" w:fill="auto"/>
              <w:autoSpaceDE w:val="0"/>
              <w:autoSpaceDN w:val="0"/>
              <w:adjustRightInd w:val="0"/>
              <w:spacing w:line="240" w:lineRule="auto"/>
              <w:ind w:firstLine="420"/>
              <w:jc w:val="center"/>
              <w:rPr>
                <w:rFonts w:hint="eastAsia" w:ascii="宋体" w:hAnsi="宋体" w:cs="宋体"/>
                <w:bCs/>
                <w:kern w:val="0"/>
                <w:szCs w:val="21"/>
                <w:highlight w:val="none"/>
              </w:rPr>
            </w:pPr>
          </w:p>
        </w:tc>
        <w:tc>
          <w:tcPr>
            <w:tcW w:w="1447" w:type="dxa"/>
            <w:noWrap w:val="0"/>
            <w:vAlign w:val="center"/>
          </w:tcPr>
          <w:p w14:paraId="5C4263DC">
            <w:pPr>
              <w:shd w:val="clear" w:color="auto" w:fill="auto"/>
              <w:autoSpaceDE w:val="0"/>
              <w:autoSpaceDN w:val="0"/>
              <w:adjustRightInd w:val="0"/>
              <w:spacing w:line="240" w:lineRule="auto"/>
              <w:ind w:firstLine="0" w:firstLineChars="0"/>
              <w:jc w:val="center"/>
              <w:rPr>
                <w:rFonts w:hint="eastAsia" w:ascii="宋体" w:hAnsi="宋体" w:cs="宋体"/>
                <w:bCs/>
                <w:kern w:val="0"/>
                <w:szCs w:val="21"/>
                <w:highlight w:val="none"/>
              </w:rPr>
            </w:pPr>
            <w:r>
              <w:rPr>
                <w:rFonts w:hint="eastAsia" w:ascii="宋体" w:hAnsi="宋体" w:cs="宋体"/>
                <w:kern w:val="0"/>
                <w:szCs w:val="21"/>
                <w:highlight w:val="none"/>
              </w:rPr>
              <w:t>成立时间</w:t>
            </w:r>
          </w:p>
        </w:tc>
        <w:tc>
          <w:tcPr>
            <w:tcW w:w="3860" w:type="dxa"/>
            <w:gridSpan w:val="3"/>
            <w:noWrap w:val="0"/>
            <w:vAlign w:val="center"/>
          </w:tcPr>
          <w:p w14:paraId="69750C22">
            <w:pPr>
              <w:shd w:val="clear" w:color="auto" w:fill="auto"/>
              <w:autoSpaceDE w:val="0"/>
              <w:autoSpaceDN w:val="0"/>
              <w:adjustRightInd w:val="0"/>
              <w:spacing w:line="240" w:lineRule="auto"/>
              <w:ind w:firstLine="420"/>
              <w:jc w:val="center"/>
              <w:rPr>
                <w:rFonts w:hint="eastAsia" w:ascii="宋体" w:hAnsi="宋体" w:cs="宋体"/>
                <w:bCs/>
                <w:kern w:val="0"/>
                <w:szCs w:val="21"/>
                <w:highlight w:val="none"/>
              </w:rPr>
            </w:pPr>
          </w:p>
        </w:tc>
      </w:tr>
      <w:tr w14:paraId="17C6A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6" w:hRule="atLeast"/>
          <w:jc w:val="center"/>
        </w:trPr>
        <w:tc>
          <w:tcPr>
            <w:tcW w:w="1809" w:type="dxa"/>
            <w:noWrap w:val="0"/>
            <w:vAlign w:val="center"/>
          </w:tcPr>
          <w:p w14:paraId="00FACFB1">
            <w:pPr>
              <w:shd w:val="clear" w:color="auto" w:fill="auto"/>
              <w:autoSpaceDE w:val="0"/>
              <w:autoSpaceDN w:val="0"/>
              <w:adjustRightInd w:val="0"/>
              <w:spacing w:line="240" w:lineRule="auto"/>
              <w:ind w:firstLine="0" w:firstLineChars="0"/>
              <w:jc w:val="center"/>
              <w:rPr>
                <w:rFonts w:hint="eastAsia" w:ascii="宋体" w:hAnsi="宋体" w:cs="宋体"/>
                <w:kern w:val="0"/>
                <w:szCs w:val="21"/>
                <w:highlight w:val="none"/>
              </w:rPr>
            </w:pPr>
            <w:r>
              <w:rPr>
                <w:rFonts w:hint="eastAsia" w:ascii="宋体" w:hAnsi="宋体" w:cs="宋体"/>
                <w:kern w:val="0"/>
                <w:szCs w:val="21"/>
                <w:highlight w:val="none"/>
              </w:rPr>
              <w:t>注册资金</w:t>
            </w:r>
          </w:p>
        </w:tc>
        <w:tc>
          <w:tcPr>
            <w:tcW w:w="1985" w:type="dxa"/>
            <w:gridSpan w:val="2"/>
            <w:noWrap w:val="0"/>
            <w:vAlign w:val="center"/>
          </w:tcPr>
          <w:p w14:paraId="51A2C018">
            <w:pPr>
              <w:shd w:val="clear" w:color="auto" w:fill="auto"/>
              <w:autoSpaceDE w:val="0"/>
              <w:autoSpaceDN w:val="0"/>
              <w:adjustRightInd w:val="0"/>
              <w:spacing w:line="240" w:lineRule="auto"/>
              <w:ind w:firstLine="420"/>
              <w:jc w:val="center"/>
              <w:rPr>
                <w:rFonts w:hint="eastAsia" w:ascii="宋体" w:hAnsi="宋体" w:cs="宋体"/>
                <w:kern w:val="0"/>
                <w:szCs w:val="21"/>
                <w:highlight w:val="none"/>
              </w:rPr>
            </w:pPr>
            <w:r>
              <w:rPr>
                <w:rFonts w:hint="eastAsia" w:ascii="宋体" w:hAnsi="宋体" w:cs="宋体"/>
                <w:kern w:val="0"/>
                <w:szCs w:val="21"/>
                <w:highlight w:val="none"/>
              </w:rPr>
              <w:t>万元</w:t>
            </w:r>
          </w:p>
        </w:tc>
        <w:tc>
          <w:tcPr>
            <w:tcW w:w="1447" w:type="dxa"/>
            <w:vMerge w:val="restart"/>
            <w:noWrap w:val="0"/>
            <w:vAlign w:val="center"/>
          </w:tcPr>
          <w:p w14:paraId="0B153458">
            <w:pPr>
              <w:widowControl/>
              <w:shd w:val="clear" w:color="auto" w:fill="auto"/>
              <w:spacing w:line="240" w:lineRule="auto"/>
              <w:ind w:firstLine="0" w:firstLineChars="0"/>
              <w:jc w:val="center"/>
              <w:rPr>
                <w:rFonts w:hint="eastAsia" w:ascii="宋体" w:hAnsi="宋体" w:cs="宋体"/>
                <w:kern w:val="0"/>
                <w:szCs w:val="21"/>
                <w:highlight w:val="none"/>
              </w:rPr>
            </w:pPr>
            <w:r>
              <w:rPr>
                <w:rFonts w:hint="eastAsia" w:ascii="宋体" w:hAnsi="宋体" w:cs="宋体"/>
                <w:kern w:val="0"/>
                <w:szCs w:val="21"/>
                <w:highlight w:val="none"/>
              </w:rPr>
              <w:t>固定资产</w:t>
            </w:r>
          </w:p>
        </w:tc>
        <w:tc>
          <w:tcPr>
            <w:tcW w:w="1432" w:type="dxa"/>
            <w:noWrap w:val="0"/>
            <w:vAlign w:val="center"/>
          </w:tcPr>
          <w:p w14:paraId="03C0FD6D">
            <w:pPr>
              <w:shd w:val="clear" w:color="auto" w:fill="auto"/>
              <w:autoSpaceDE w:val="0"/>
              <w:autoSpaceDN w:val="0"/>
              <w:adjustRightInd w:val="0"/>
              <w:spacing w:line="240" w:lineRule="auto"/>
              <w:ind w:firstLine="0" w:firstLineChars="0"/>
              <w:jc w:val="center"/>
              <w:rPr>
                <w:rFonts w:hint="eastAsia" w:ascii="宋体" w:hAnsi="宋体" w:cs="宋体"/>
                <w:kern w:val="0"/>
                <w:szCs w:val="21"/>
                <w:highlight w:val="none"/>
              </w:rPr>
            </w:pPr>
            <w:r>
              <w:rPr>
                <w:rFonts w:hint="eastAsia" w:ascii="宋体" w:hAnsi="宋体" w:cs="宋体"/>
                <w:kern w:val="0"/>
                <w:szCs w:val="21"/>
                <w:highlight w:val="none"/>
              </w:rPr>
              <w:t>原值</w:t>
            </w:r>
          </w:p>
        </w:tc>
        <w:tc>
          <w:tcPr>
            <w:tcW w:w="2428" w:type="dxa"/>
            <w:gridSpan w:val="2"/>
            <w:noWrap w:val="0"/>
            <w:vAlign w:val="center"/>
          </w:tcPr>
          <w:p w14:paraId="7CC24474">
            <w:pPr>
              <w:shd w:val="clear" w:color="auto" w:fill="auto"/>
              <w:autoSpaceDE w:val="0"/>
              <w:autoSpaceDN w:val="0"/>
              <w:adjustRightInd w:val="0"/>
              <w:spacing w:line="240" w:lineRule="auto"/>
              <w:ind w:firstLine="420"/>
              <w:jc w:val="center"/>
              <w:rPr>
                <w:rFonts w:hint="eastAsia" w:ascii="宋体" w:hAnsi="宋体" w:cs="宋体"/>
                <w:bCs/>
                <w:kern w:val="0"/>
                <w:szCs w:val="21"/>
                <w:highlight w:val="none"/>
              </w:rPr>
            </w:pPr>
            <w:r>
              <w:rPr>
                <w:rFonts w:hint="eastAsia" w:ascii="宋体" w:hAnsi="宋体" w:cs="宋体"/>
                <w:bCs/>
                <w:kern w:val="0"/>
                <w:szCs w:val="21"/>
                <w:highlight w:val="none"/>
              </w:rPr>
              <w:t>万元</w:t>
            </w:r>
          </w:p>
        </w:tc>
      </w:tr>
      <w:tr w14:paraId="0F6C5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7" w:hRule="atLeast"/>
          <w:jc w:val="center"/>
        </w:trPr>
        <w:tc>
          <w:tcPr>
            <w:tcW w:w="1809" w:type="dxa"/>
            <w:noWrap w:val="0"/>
            <w:vAlign w:val="center"/>
          </w:tcPr>
          <w:p w14:paraId="131F5EBA">
            <w:pPr>
              <w:shd w:val="clear" w:color="auto" w:fill="auto"/>
              <w:autoSpaceDE w:val="0"/>
              <w:autoSpaceDN w:val="0"/>
              <w:adjustRightInd w:val="0"/>
              <w:spacing w:line="240" w:lineRule="auto"/>
              <w:ind w:firstLine="0" w:firstLineChars="0"/>
              <w:jc w:val="center"/>
              <w:rPr>
                <w:rFonts w:hint="eastAsia" w:ascii="宋体" w:hAnsi="宋体" w:cs="宋体"/>
                <w:kern w:val="0"/>
                <w:szCs w:val="21"/>
                <w:highlight w:val="none"/>
              </w:rPr>
            </w:pPr>
            <w:r>
              <w:rPr>
                <w:rFonts w:hint="eastAsia" w:ascii="宋体" w:hAnsi="宋体" w:cs="宋体"/>
                <w:kern w:val="0"/>
                <w:szCs w:val="21"/>
                <w:highlight w:val="none"/>
              </w:rPr>
              <w:t>流动资金</w:t>
            </w:r>
          </w:p>
        </w:tc>
        <w:tc>
          <w:tcPr>
            <w:tcW w:w="1985" w:type="dxa"/>
            <w:gridSpan w:val="2"/>
            <w:noWrap w:val="0"/>
            <w:vAlign w:val="center"/>
          </w:tcPr>
          <w:p w14:paraId="554AE47F">
            <w:pPr>
              <w:shd w:val="clear" w:color="auto" w:fill="auto"/>
              <w:autoSpaceDE w:val="0"/>
              <w:autoSpaceDN w:val="0"/>
              <w:adjustRightInd w:val="0"/>
              <w:spacing w:line="240" w:lineRule="auto"/>
              <w:ind w:firstLine="420"/>
              <w:jc w:val="center"/>
              <w:rPr>
                <w:rFonts w:hint="eastAsia" w:ascii="宋体" w:hAnsi="宋体" w:cs="宋体"/>
                <w:kern w:val="0"/>
                <w:szCs w:val="21"/>
                <w:highlight w:val="none"/>
              </w:rPr>
            </w:pPr>
            <w:r>
              <w:rPr>
                <w:rFonts w:hint="eastAsia" w:ascii="宋体" w:hAnsi="宋体" w:cs="宋体"/>
                <w:kern w:val="0"/>
                <w:szCs w:val="21"/>
                <w:highlight w:val="none"/>
              </w:rPr>
              <w:t>万元</w:t>
            </w:r>
          </w:p>
        </w:tc>
        <w:tc>
          <w:tcPr>
            <w:tcW w:w="1447" w:type="dxa"/>
            <w:vMerge w:val="continue"/>
            <w:noWrap w:val="0"/>
            <w:vAlign w:val="center"/>
          </w:tcPr>
          <w:p w14:paraId="6612377E">
            <w:pPr>
              <w:widowControl/>
              <w:shd w:val="clear" w:color="auto" w:fill="auto"/>
              <w:spacing w:line="240" w:lineRule="auto"/>
              <w:ind w:firstLine="420"/>
              <w:jc w:val="center"/>
              <w:rPr>
                <w:rFonts w:hint="eastAsia" w:ascii="宋体" w:hAnsi="宋体" w:cs="宋体"/>
                <w:kern w:val="0"/>
                <w:szCs w:val="21"/>
                <w:highlight w:val="none"/>
              </w:rPr>
            </w:pPr>
          </w:p>
        </w:tc>
        <w:tc>
          <w:tcPr>
            <w:tcW w:w="1432" w:type="dxa"/>
            <w:noWrap w:val="0"/>
            <w:vAlign w:val="center"/>
          </w:tcPr>
          <w:p w14:paraId="4825CCBE">
            <w:pPr>
              <w:shd w:val="clear" w:color="auto" w:fill="auto"/>
              <w:autoSpaceDE w:val="0"/>
              <w:autoSpaceDN w:val="0"/>
              <w:adjustRightInd w:val="0"/>
              <w:spacing w:line="240" w:lineRule="auto"/>
              <w:ind w:firstLine="0" w:firstLineChars="0"/>
              <w:jc w:val="center"/>
              <w:rPr>
                <w:rFonts w:hint="eastAsia" w:ascii="宋体" w:hAnsi="宋体" w:cs="宋体"/>
                <w:kern w:val="0"/>
                <w:szCs w:val="21"/>
                <w:highlight w:val="none"/>
              </w:rPr>
            </w:pPr>
            <w:r>
              <w:rPr>
                <w:rFonts w:hint="eastAsia" w:ascii="宋体" w:hAnsi="宋体" w:cs="宋体"/>
                <w:kern w:val="0"/>
                <w:szCs w:val="21"/>
                <w:highlight w:val="none"/>
              </w:rPr>
              <w:t>净值</w:t>
            </w:r>
          </w:p>
        </w:tc>
        <w:tc>
          <w:tcPr>
            <w:tcW w:w="2428" w:type="dxa"/>
            <w:gridSpan w:val="2"/>
            <w:noWrap w:val="0"/>
            <w:vAlign w:val="center"/>
          </w:tcPr>
          <w:p w14:paraId="5E7C227E">
            <w:pPr>
              <w:shd w:val="clear" w:color="auto" w:fill="auto"/>
              <w:autoSpaceDE w:val="0"/>
              <w:autoSpaceDN w:val="0"/>
              <w:adjustRightInd w:val="0"/>
              <w:spacing w:line="240" w:lineRule="auto"/>
              <w:ind w:firstLine="420"/>
              <w:jc w:val="center"/>
              <w:rPr>
                <w:rFonts w:hint="eastAsia" w:ascii="宋体" w:hAnsi="宋体" w:cs="宋体"/>
                <w:bCs/>
                <w:kern w:val="0"/>
                <w:szCs w:val="21"/>
                <w:highlight w:val="none"/>
              </w:rPr>
            </w:pPr>
            <w:r>
              <w:rPr>
                <w:rFonts w:hint="eastAsia" w:ascii="宋体" w:hAnsi="宋体" w:cs="宋体"/>
                <w:bCs/>
                <w:kern w:val="0"/>
                <w:szCs w:val="21"/>
                <w:highlight w:val="none"/>
              </w:rPr>
              <w:t>万元</w:t>
            </w:r>
          </w:p>
        </w:tc>
      </w:tr>
      <w:tr w14:paraId="20037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1" w:hRule="atLeast"/>
          <w:jc w:val="center"/>
        </w:trPr>
        <w:tc>
          <w:tcPr>
            <w:tcW w:w="1809" w:type="dxa"/>
            <w:noWrap w:val="0"/>
            <w:vAlign w:val="center"/>
          </w:tcPr>
          <w:p w14:paraId="2F575608">
            <w:pPr>
              <w:shd w:val="clear" w:color="auto" w:fill="auto"/>
              <w:autoSpaceDE w:val="0"/>
              <w:autoSpaceDN w:val="0"/>
              <w:adjustRightInd w:val="0"/>
              <w:spacing w:line="240" w:lineRule="auto"/>
              <w:ind w:firstLine="0" w:firstLineChars="0"/>
              <w:jc w:val="center"/>
              <w:rPr>
                <w:rFonts w:hint="eastAsia" w:ascii="宋体" w:hAnsi="宋体" w:cs="宋体"/>
                <w:kern w:val="0"/>
                <w:szCs w:val="21"/>
                <w:highlight w:val="none"/>
              </w:rPr>
            </w:pPr>
            <w:r>
              <w:rPr>
                <w:rFonts w:hint="eastAsia" w:ascii="宋体" w:hAnsi="宋体" w:cs="宋体"/>
                <w:kern w:val="0"/>
                <w:szCs w:val="21"/>
                <w:highlight w:val="none"/>
              </w:rPr>
              <w:t>开户银行</w:t>
            </w:r>
          </w:p>
        </w:tc>
        <w:tc>
          <w:tcPr>
            <w:tcW w:w="1985" w:type="dxa"/>
            <w:gridSpan w:val="2"/>
            <w:noWrap w:val="0"/>
            <w:vAlign w:val="center"/>
          </w:tcPr>
          <w:p w14:paraId="678AB887">
            <w:pPr>
              <w:shd w:val="clear" w:color="auto" w:fill="auto"/>
              <w:autoSpaceDE w:val="0"/>
              <w:autoSpaceDN w:val="0"/>
              <w:adjustRightInd w:val="0"/>
              <w:spacing w:line="240" w:lineRule="auto"/>
              <w:ind w:firstLine="420"/>
              <w:jc w:val="center"/>
              <w:rPr>
                <w:rFonts w:hint="eastAsia" w:ascii="宋体" w:hAnsi="宋体" w:cs="宋体"/>
                <w:kern w:val="0"/>
                <w:szCs w:val="21"/>
                <w:highlight w:val="none"/>
              </w:rPr>
            </w:pPr>
          </w:p>
        </w:tc>
        <w:tc>
          <w:tcPr>
            <w:tcW w:w="1447" w:type="dxa"/>
            <w:vMerge w:val="restart"/>
            <w:noWrap w:val="0"/>
            <w:vAlign w:val="center"/>
          </w:tcPr>
          <w:p w14:paraId="51CEB343">
            <w:pPr>
              <w:widowControl/>
              <w:shd w:val="clear" w:color="auto" w:fill="auto"/>
              <w:spacing w:line="240" w:lineRule="auto"/>
              <w:ind w:firstLine="0" w:firstLineChars="0"/>
              <w:jc w:val="center"/>
              <w:rPr>
                <w:rFonts w:hint="eastAsia" w:ascii="宋体" w:hAnsi="宋体" w:cs="宋体"/>
                <w:kern w:val="0"/>
                <w:szCs w:val="21"/>
                <w:highlight w:val="none"/>
              </w:rPr>
            </w:pPr>
            <w:r>
              <w:rPr>
                <w:rFonts w:hint="eastAsia" w:ascii="宋体" w:hAnsi="宋体" w:cs="宋体"/>
                <w:kern w:val="0"/>
                <w:szCs w:val="21"/>
                <w:highlight w:val="none"/>
              </w:rPr>
              <w:t>职工总数  XX人</w:t>
            </w:r>
          </w:p>
        </w:tc>
        <w:tc>
          <w:tcPr>
            <w:tcW w:w="1432" w:type="dxa"/>
            <w:noWrap w:val="0"/>
            <w:vAlign w:val="center"/>
          </w:tcPr>
          <w:p w14:paraId="65229896">
            <w:pPr>
              <w:shd w:val="clear" w:color="auto" w:fill="auto"/>
              <w:autoSpaceDE w:val="0"/>
              <w:autoSpaceDN w:val="0"/>
              <w:adjustRightInd w:val="0"/>
              <w:spacing w:line="240" w:lineRule="auto"/>
              <w:ind w:firstLine="0" w:firstLineChars="0"/>
              <w:jc w:val="center"/>
              <w:rPr>
                <w:rFonts w:hint="eastAsia" w:ascii="宋体" w:hAnsi="宋体" w:cs="宋体"/>
                <w:kern w:val="0"/>
                <w:szCs w:val="21"/>
                <w:highlight w:val="none"/>
              </w:rPr>
            </w:pPr>
            <w:r>
              <w:rPr>
                <w:rFonts w:hint="eastAsia" w:ascii="宋体" w:hAnsi="宋体" w:cs="宋体"/>
                <w:kern w:val="0"/>
                <w:szCs w:val="21"/>
                <w:highlight w:val="none"/>
              </w:rPr>
              <w:t>生产工人</w:t>
            </w:r>
          </w:p>
        </w:tc>
        <w:tc>
          <w:tcPr>
            <w:tcW w:w="2428" w:type="dxa"/>
            <w:gridSpan w:val="2"/>
            <w:noWrap w:val="0"/>
            <w:vAlign w:val="center"/>
          </w:tcPr>
          <w:p w14:paraId="61E7D5F0">
            <w:pPr>
              <w:shd w:val="clear" w:color="auto" w:fill="auto"/>
              <w:autoSpaceDE w:val="0"/>
              <w:autoSpaceDN w:val="0"/>
              <w:adjustRightInd w:val="0"/>
              <w:spacing w:line="240" w:lineRule="auto"/>
              <w:ind w:firstLine="420"/>
              <w:jc w:val="center"/>
              <w:rPr>
                <w:rFonts w:hint="eastAsia" w:ascii="宋体" w:hAnsi="宋体" w:cs="宋体"/>
                <w:bCs/>
                <w:kern w:val="0"/>
                <w:szCs w:val="21"/>
                <w:highlight w:val="none"/>
              </w:rPr>
            </w:pPr>
            <w:r>
              <w:rPr>
                <w:rFonts w:hint="eastAsia" w:ascii="宋体" w:hAnsi="宋体" w:cs="宋体"/>
                <w:bCs/>
                <w:kern w:val="0"/>
                <w:szCs w:val="21"/>
                <w:highlight w:val="none"/>
              </w:rPr>
              <w:t>人</w:t>
            </w:r>
          </w:p>
        </w:tc>
      </w:tr>
      <w:tr w14:paraId="43D61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4" w:hRule="atLeast"/>
          <w:jc w:val="center"/>
        </w:trPr>
        <w:tc>
          <w:tcPr>
            <w:tcW w:w="1809" w:type="dxa"/>
            <w:noWrap w:val="0"/>
            <w:vAlign w:val="center"/>
          </w:tcPr>
          <w:p w14:paraId="04ADD716">
            <w:pPr>
              <w:shd w:val="clear" w:color="auto" w:fill="auto"/>
              <w:autoSpaceDE w:val="0"/>
              <w:autoSpaceDN w:val="0"/>
              <w:adjustRightInd w:val="0"/>
              <w:spacing w:line="240" w:lineRule="auto"/>
              <w:ind w:firstLine="0" w:firstLineChars="0"/>
              <w:jc w:val="center"/>
              <w:rPr>
                <w:rFonts w:hint="eastAsia" w:ascii="宋体" w:hAnsi="宋体" w:cs="宋体"/>
                <w:kern w:val="0"/>
                <w:szCs w:val="21"/>
                <w:highlight w:val="none"/>
              </w:rPr>
            </w:pPr>
            <w:r>
              <w:rPr>
                <w:rFonts w:hint="eastAsia" w:ascii="宋体" w:hAnsi="宋体" w:cs="宋体"/>
                <w:kern w:val="0"/>
                <w:szCs w:val="21"/>
                <w:highlight w:val="none"/>
              </w:rPr>
              <w:t>账号</w:t>
            </w:r>
          </w:p>
        </w:tc>
        <w:tc>
          <w:tcPr>
            <w:tcW w:w="1985" w:type="dxa"/>
            <w:gridSpan w:val="2"/>
            <w:noWrap w:val="0"/>
            <w:vAlign w:val="center"/>
          </w:tcPr>
          <w:p w14:paraId="60FB567A">
            <w:pPr>
              <w:shd w:val="clear" w:color="auto" w:fill="auto"/>
              <w:autoSpaceDE w:val="0"/>
              <w:autoSpaceDN w:val="0"/>
              <w:adjustRightInd w:val="0"/>
              <w:spacing w:line="240" w:lineRule="auto"/>
              <w:ind w:firstLine="199" w:firstLineChars="95"/>
              <w:jc w:val="center"/>
              <w:rPr>
                <w:rFonts w:hint="eastAsia" w:ascii="宋体" w:hAnsi="宋体" w:cs="宋体"/>
                <w:kern w:val="0"/>
                <w:szCs w:val="21"/>
                <w:highlight w:val="none"/>
              </w:rPr>
            </w:pPr>
            <w:r>
              <w:rPr>
                <w:rFonts w:hint="eastAsia" w:ascii="宋体" w:hAnsi="宋体" w:cs="宋体"/>
                <w:kern w:val="0"/>
                <w:szCs w:val="21"/>
                <w:highlight w:val="none"/>
              </w:rPr>
              <w:t>基本银行账号</w:t>
            </w:r>
          </w:p>
        </w:tc>
        <w:tc>
          <w:tcPr>
            <w:tcW w:w="1447" w:type="dxa"/>
            <w:vMerge w:val="continue"/>
            <w:noWrap w:val="0"/>
            <w:vAlign w:val="center"/>
          </w:tcPr>
          <w:p w14:paraId="7B993D28">
            <w:pPr>
              <w:widowControl/>
              <w:shd w:val="clear" w:color="auto" w:fill="auto"/>
              <w:spacing w:line="240" w:lineRule="auto"/>
              <w:ind w:firstLine="420"/>
              <w:jc w:val="center"/>
              <w:rPr>
                <w:rFonts w:hint="eastAsia" w:ascii="宋体" w:hAnsi="宋体" w:cs="宋体"/>
                <w:kern w:val="0"/>
                <w:szCs w:val="21"/>
                <w:highlight w:val="none"/>
              </w:rPr>
            </w:pPr>
          </w:p>
        </w:tc>
        <w:tc>
          <w:tcPr>
            <w:tcW w:w="1432" w:type="dxa"/>
            <w:noWrap w:val="0"/>
            <w:vAlign w:val="center"/>
          </w:tcPr>
          <w:p w14:paraId="1D41CB4A">
            <w:pPr>
              <w:shd w:val="clear" w:color="auto" w:fill="auto"/>
              <w:autoSpaceDE w:val="0"/>
              <w:autoSpaceDN w:val="0"/>
              <w:adjustRightInd w:val="0"/>
              <w:spacing w:line="240" w:lineRule="auto"/>
              <w:ind w:firstLine="0" w:firstLineChars="0"/>
              <w:jc w:val="center"/>
              <w:rPr>
                <w:rFonts w:hint="eastAsia" w:ascii="宋体" w:hAnsi="宋体" w:cs="宋体"/>
                <w:kern w:val="0"/>
                <w:szCs w:val="21"/>
                <w:highlight w:val="none"/>
              </w:rPr>
            </w:pPr>
            <w:r>
              <w:rPr>
                <w:rFonts w:hint="eastAsia" w:ascii="宋体" w:hAnsi="宋体" w:cs="宋体"/>
                <w:kern w:val="0"/>
                <w:szCs w:val="21"/>
                <w:highlight w:val="none"/>
              </w:rPr>
              <w:t>技术人员</w:t>
            </w:r>
          </w:p>
        </w:tc>
        <w:tc>
          <w:tcPr>
            <w:tcW w:w="2428" w:type="dxa"/>
            <w:gridSpan w:val="2"/>
            <w:noWrap w:val="0"/>
            <w:vAlign w:val="center"/>
          </w:tcPr>
          <w:p w14:paraId="07D21C9A">
            <w:pPr>
              <w:shd w:val="clear" w:color="auto" w:fill="auto"/>
              <w:autoSpaceDE w:val="0"/>
              <w:autoSpaceDN w:val="0"/>
              <w:adjustRightInd w:val="0"/>
              <w:spacing w:line="240" w:lineRule="auto"/>
              <w:ind w:firstLine="420"/>
              <w:jc w:val="center"/>
              <w:rPr>
                <w:rFonts w:hint="eastAsia" w:ascii="宋体" w:hAnsi="宋体" w:cs="宋体"/>
                <w:bCs/>
                <w:kern w:val="0"/>
                <w:szCs w:val="21"/>
                <w:highlight w:val="none"/>
              </w:rPr>
            </w:pPr>
            <w:r>
              <w:rPr>
                <w:rFonts w:hint="eastAsia" w:ascii="宋体" w:hAnsi="宋体" w:cs="宋体"/>
                <w:bCs/>
                <w:kern w:val="0"/>
                <w:szCs w:val="21"/>
                <w:highlight w:val="none"/>
              </w:rPr>
              <w:t>人</w:t>
            </w:r>
          </w:p>
        </w:tc>
      </w:tr>
      <w:tr w14:paraId="4D112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0" w:hRule="atLeast"/>
          <w:jc w:val="center"/>
        </w:trPr>
        <w:tc>
          <w:tcPr>
            <w:tcW w:w="1809" w:type="dxa"/>
            <w:noWrap w:val="0"/>
            <w:vAlign w:val="center"/>
          </w:tcPr>
          <w:p w14:paraId="0E04C413">
            <w:pPr>
              <w:shd w:val="clear" w:color="auto" w:fill="auto"/>
              <w:autoSpaceDE w:val="0"/>
              <w:autoSpaceDN w:val="0"/>
              <w:adjustRightInd w:val="0"/>
              <w:spacing w:line="240" w:lineRule="auto"/>
              <w:ind w:firstLine="0" w:firstLineChars="0"/>
              <w:jc w:val="center"/>
              <w:rPr>
                <w:rFonts w:hint="eastAsia" w:ascii="宋体" w:hAnsi="宋体" w:cs="宋体"/>
                <w:kern w:val="0"/>
                <w:szCs w:val="21"/>
                <w:highlight w:val="none"/>
              </w:rPr>
            </w:pPr>
            <w:r>
              <w:rPr>
                <w:rFonts w:hint="eastAsia" w:ascii="宋体" w:hAnsi="宋体" w:cs="宋体"/>
                <w:kern w:val="0"/>
                <w:szCs w:val="21"/>
                <w:highlight w:val="none"/>
              </w:rPr>
              <w:t>经营范围</w:t>
            </w:r>
          </w:p>
        </w:tc>
        <w:tc>
          <w:tcPr>
            <w:tcW w:w="7292" w:type="dxa"/>
            <w:gridSpan w:val="6"/>
            <w:noWrap w:val="0"/>
            <w:vAlign w:val="center"/>
          </w:tcPr>
          <w:p w14:paraId="4CA3E34A">
            <w:pPr>
              <w:shd w:val="clear" w:color="auto" w:fill="auto"/>
              <w:autoSpaceDE w:val="0"/>
              <w:autoSpaceDN w:val="0"/>
              <w:adjustRightInd w:val="0"/>
              <w:spacing w:line="240" w:lineRule="auto"/>
              <w:ind w:firstLine="422"/>
              <w:jc w:val="center"/>
              <w:rPr>
                <w:rFonts w:hint="eastAsia" w:ascii="宋体" w:hAnsi="宋体" w:cs="宋体"/>
                <w:b/>
                <w:bCs/>
                <w:kern w:val="0"/>
                <w:szCs w:val="21"/>
                <w:highlight w:val="none"/>
              </w:rPr>
            </w:pPr>
          </w:p>
        </w:tc>
      </w:tr>
      <w:tr w14:paraId="79D64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9" w:hRule="atLeast"/>
          <w:jc w:val="center"/>
        </w:trPr>
        <w:tc>
          <w:tcPr>
            <w:tcW w:w="1809" w:type="dxa"/>
            <w:noWrap w:val="0"/>
            <w:vAlign w:val="center"/>
          </w:tcPr>
          <w:p w14:paraId="4E747E05">
            <w:pPr>
              <w:shd w:val="clear" w:color="auto" w:fill="auto"/>
              <w:autoSpaceDE w:val="0"/>
              <w:autoSpaceDN w:val="0"/>
              <w:adjustRightInd w:val="0"/>
              <w:spacing w:line="240" w:lineRule="auto"/>
              <w:ind w:firstLine="0" w:firstLineChars="0"/>
              <w:jc w:val="center"/>
              <w:rPr>
                <w:rFonts w:hint="eastAsia" w:ascii="宋体" w:hAnsi="宋体" w:cs="宋体"/>
                <w:kern w:val="0"/>
                <w:szCs w:val="21"/>
                <w:highlight w:val="none"/>
              </w:rPr>
            </w:pPr>
            <w:r>
              <w:rPr>
                <w:rFonts w:hint="eastAsia" w:ascii="宋体" w:hAnsi="宋体" w:cs="宋体"/>
                <w:kern w:val="0"/>
                <w:szCs w:val="21"/>
                <w:highlight w:val="none"/>
              </w:rPr>
              <w:t>备注</w:t>
            </w:r>
          </w:p>
        </w:tc>
        <w:tc>
          <w:tcPr>
            <w:tcW w:w="7292" w:type="dxa"/>
            <w:gridSpan w:val="6"/>
            <w:noWrap w:val="0"/>
            <w:vAlign w:val="center"/>
          </w:tcPr>
          <w:p w14:paraId="7B0FF1BE">
            <w:pPr>
              <w:shd w:val="clear" w:color="auto" w:fill="auto"/>
              <w:autoSpaceDE w:val="0"/>
              <w:autoSpaceDN w:val="0"/>
              <w:adjustRightInd w:val="0"/>
              <w:spacing w:line="240" w:lineRule="auto"/>
              <w:ind w:firstLine="420"/>
              <w:jc w:val="center"/>
              <w:rPr>
                <w:rFonts w:hint="eastAsia" w:ascii="宋体" w:hAnsi="宋体" w:cs="宋体"/>
                <w:kern w:val="0"/>
                <w:szCs w:val="21"/>
                <w:highlight w:val="none"/>
              </w:rPr>
            </w:pPr>
          </w:p>
        </w:tc>
      </w:tr>
    </w:tbl>
    <w:p w14:paraId="5E7912FA">
      <w:pPr>
        <w:pStyle w:val="5"/>
        <w:shd w:val="clear" w:color="auto" w:fill="auto"/>
        <w:ind w:firstLine="562"/>
        <w:rPr>
          <w:rFonts w:hint="eastAsia" w:ascii="宋体" w:hAnsi="宋体" w:cs="宋体"/>
          <w:b/>
          <w:sz w:val="28"/>
          <w:szCs w:val="28"/>
          <w:highlight w:val="none"/>
        </w:rPr>
      </w:pPr>
    </w:p>
    <w:bookmarkEnd w:id="150"/>
    <w:p w14:paraId="52B219BE">
      <w:pPr>
        <w:shd w:val="clear" w:color="auto" w:fill="auto"/>
        <w:adjustRightInd w:val="0"/>
        <w:ind w:firstLine="420" w:firstLineChars="175"/>
        <w:jc w:val="left"/>
        <w:rPr>
          <w:rFonts w:hint="eastAsia" w:ascii="宋体" w:hAnsi="宋体" w:cs="宋体"/>
          <w:bCs/>
          <w:sz w:val="24"/>
          <w:highlight w:val="none"/>
        </w:rPr>
      </w:pPr>
      <w:bookmarkStart w:id="155" w:name="_Toc217446089"/>
      <w:r>
        <w:rPr>
          <w:rFonts w:hint="eastAsia" w:ascii="宋体" w:hAnsi="宋体" w:cs="宋体"/>
          <w:bCs/>
          <w:sz w:val="24"/>
          <w:highlight w:val="none"/>
        </w:rPr>
        <w:t>投标供应商名称：        （盖章）</w:t>
      </w:r>
    </w:p>
    <w:p w14:paraId="32B7E1AB">
      <w:pPr>
        <w:shd w:val="clear" w:color="auto" w:fill="auto"/>
        <w:adjustRightInd w:val="0"/>
        <w:ind w:firstLine="420" w:firstLineChars="175"/>
        <w:jc w:val="left"/>
        <w:rPr>
          <w:rFonts w:hint="eastAsia" w:ascii="宋体" w:hAnsi="宋体" w:cs="宋体"/>
          <w:bCs/>
          <w:sz w:val="24"/>
          <w:highlight w:val="none"/>
        </w:rPr>
      </w:pPr>
      <w:r>
        <w:rPr>
          <w:rFonts w:hint="eastAsia" w:ascii="宋体" w:hAnsi="宋体" w:cs="宋体"/>
          <w:sz w:val="24"/>
          <w:highlight w:val="none"/>
        </w:rPr>
        <w:t>法定代表人或被授权代表：  （签名或盖章）</w:t>
      </w:r>
      <w:r>
        <w:rPr>
          <w:rFonts w:hint="eastAsia" w:ascii="宋体" w:hAnsi="宋体" w:cs="宋体"/>
          <w:bCs/>
          <w:sz w:val="24"/>
          <w:highlight w:val="none"/>
        </w:rPr>
        <w:t>：</w:t>
      </w:r>
    </w:p>
    <w:p w14:paraId="5DE1F382">
      <w:pPr>
        <w:shd w:val="clear" w:color="auto" w:fill="auto"/>
        <w:adjustRightInd w:val="0"/>
        <w:ind w:firstLine="420" w:firstLineChars="175"/>
        <w:jc w:val="left"/>
        <w:rPr>
          <w:rFonts w:hint="eastAsia" w:ascii="宋体" w:hAnsi="宋体" w:cs="宋体"/>
          <w:sz w:val="24"/>
          <w:highlight w:val="none"/>
        </w:rPr>
      </w:pPr>
      <w:r>
        <w:rPr>
          <w:rFonts w:hint="eastAsia" w:ascii="宋体" w:hAnsi="宋体" w:cs="宋体"/>
          <w:bCs/>
          <w:sz w:val="24"/>
          <w:highlight w:val="none"/>
        </w:rPr>
        <w:t>投标日期:</w:t>
      </w:r>
    </w:p>
    <w:p w14:paraId="12247F60">
      <w:pPr>
        <w:shd w:val="clear" w:color="auto" w:fill="auto"/>
        <w:spacing w:before="240" w:after="240"/>
        <w:ind w:firstLine="0" w:firstLineChars="0"/>
        <w:jc w:val="left"/>
        <w:rPr>
          <w:rFonts w:hint="eastAsia" w:ascii="宋体" w:hAnsi="宋体" w:cs="宋体"/>
          <w:b/>
          <w:sz w:val="24"/>
          <w:highlight w:val="none"/>
        </w:rPr>
      </w:pPr>
      <w:r>
        <w:rPr>
          <w:rFonts w:hint="eastAsia" w:ascii="宋体" w:hAnsi="宋体" w:cs="宋体"/>
          <w:b/>
          <w:sz w:val="24"/>
          <w:highlight w:val="none"/>
        </w:rPr>
        <w:br w:type="page"/>
      </w:r>
      <w:r>
        <w:rPr>
          <w:rFonts w:hint="eastAsia" w:ascii="宋体" w:hAnsi="宋体" w:cs="宋体"/>
          <w:b/>
          <w:sz w:val="24"/>
          <w:highlight w:val="none"/>
        </w:rPr>
        <w:t>2、供应商为合法注册的法人或其他组织或自然人，提供营业执照（或事业法人证）,自然人的身份证明</w:t>
      </w:r>
    </w:p>
    <w:p w14:paraId="564A9B6A">
      <w:pPr>
        <w:shd w:val="clear" w:color="auto" w:fill="auto"/>
        <w:adjustRightInd w:val="0"/>
        <w:snapToGrid w:val="0"/>
        <w:spacing w:line="520" w:lineRule="exact"/>
        <w:jc w:val="left"/>
        <w:rPr>
          <w:rFonts w:hint="eastAsia" w:ascii="宋体" w:hAnsi="宋体" w:eastAsia="宋体" w:cs="宋体"/>
          <w:b w:val="0"/>
          <w:bCs/>
          <w:sz w:val="24"/>
          <w:szCs w:val="24"/>
          <w:highlight w:val="none"/>
          <w:lang w:val="zh-CN"/>
        </w:rPr>
      </w:pPr>
      <w:r>
        <w:rPr>
          <w:rFonts w:hint="eastAsia" w:ascii="宋体" w:hAnsi="宋体" w:eastAsia="宋体" w:cs="宋体"/>
          <w:b w:val="0"/>
          <w:bCs/>
          <w:sz w:val="24"/>
          <w:szCs w:val="24"/>
          <w:highlight w:val="none"/>
          <w:lang w:val="zh-CN"/>
        </w:rPr>
        <w:t>说明：</w:t>
      </w:r>
    </w:p>
    <w:p w14:paraId="0A5ABE8B">
      <w:pPr>
        <w:shd w:val="clear" w:color="auto" w:fill="auto"/>
        <w:adjustRightInd w:val="0"/>
        <w:snapToGrid w:val="0"/>
        <w:spacing w:line="520" w:lineRule="exact"/>
        <w:jc w:val="left"/>
        <w:rPr>
          <w:rFonts w:hint="eastAsia" w:ascii="宋体" w:hAnsi="宋体" w:eastAsia="宋体" w:cs="宋体"/>
          <w:b w:val="0"/>
          <w:bCs/>
          <w:sz w:val="24"/>
          <w:szCs w:val="24"/>
          <w:highlight w:val="none"/>
          <w:lang w:val="zh-CN"/>
        </w:rPr>
      </w:pPr>
      <w:r>
        <w:rPr>
          <w:rFonts w:hint="eastAsia" w:ascii="宋体" w:hAnsi="宋体" w:eastAsia="宋体" w:cs="宋体"/>
          <w:b w:val="0"/>
          <w:bCs/>
          <w:sz w:val="24"/>
          <w:szCs w:val="24"/>
          <w:highlight w:val="none"/>
          <w:lang w:val="zh-CN"/>
        </w:rPr>
        <w:t>（1）企业单位参加投标提供有效的营业执照（3证合1或多证合1）；</w:t>
      </w:r>
    </w:p>
    <w:p w14:paraId="5E4AE88E">
      <w:pPr>
        <w:shd w:val="clear" w:color="auto" w:fill="auto"/>
        <w:adjustRightInd w:val="0"/>
        <w:snapToGrid w:val="0"/>
        <w:spacing w:line="520" w:lineRule="exact"/>
        <w:jc w:val="left"/>
        <w:rPr>
          <w:rFonts w:hint="eastAsia" w:ascii="宋体" w:hAnsi="宋体" w:eastAsia="宋体" w:cs="宋体"/>
          <w:b w:val="0"/>
          <w:bCs/>
          <w:sz w:val="24"/>
          <w:szCs w:val="24"/>
          <w:highlight w:val="none"/>
          <w:lang w:val="zh-CN"/>
        </w:rPr>
      </w:pPr>
      <w:r>
        <w:rPr>
          <w:rFonts w:hint="eastAsia" w:ascii="宋体" w:hAnsi="宋体" w:eastAsia="宋体" w:cs="宋体"/>
          <w:b w:val="0"/>
          <w:bCs/>
          <w:sz w:val="24"/>
          <w:szCs w:val="24"/>
          <w:highlight w:val="none"/>
          <w:lang w:val="zh-CN"/>
        </w:rPr>
        <w:t>（2）事业单位参加投标提供有效的法人证书（带有社会统一信用代码）；</w:t>
      </w:r>
    </w:p>
    <w:p w14:paraId="3604FCEA">
      <w:pPr>
        <w:shd w:val="clear" w:color="auto" w:fill="auto"/>
        <w:adjustRightInd w:val="0"/>
        <w:snapToGrid w:val="0"/>
        <w:spacing w:line="520" w:lineRule="exact"/>
        <w:jc w:val="left"/>
        <w:rPr>
          <w:rFonts w:hint="eastAsia" w:ascii="宋体" w:hAnsi="宋体" w:eastAsia="宋体" w:cs="宋体"/>
          <w:b w:val="0"/>
          <w:bCs/>
          <w:sz w:val="24"/>
          <w:szCs w:val="24"/>
          <w:highlight w:val="none"/>
          <w:lang w:val="zh-CN"/>
        </w:rPr>
      </w:pPr>
      <w:r>
        <w:rPr>
          <w:rFonts w:hint="eastAsia" w:ascii="宋体" w:hAnsi="宋体" w:eastAsia="宋体" w:cs="宋体"/>
          <w:b w:val="0"/>
          <w:bCs/>
          <w:sz w:val="24"/>
          <w:szCs w:val="24"/>
          <w:highlight w:val="none"/>
          <w:lang w:val="zh-CN"/>
        </w:rPr>
        <w:t>（3）其他组织参加投标提供有效的登记证书（带有社会统一信用代码）；</w:t>
      </w:r>
    </w:p>
    <w:p w14:paraId="2C38748D">
      <w:pPr>
        <w:shd w:val="clear" w:color="auto" w:fill="auto"/>
        <w:adjustRightInd w:val="0"/>
        <w:snapToGrid w:val="0"/>
        <w:spacing w:line="520" w:lineRule="exact"/>
        <w:jc w:val="left"/>
        <w:rPr>
          <w:rFonts w:hint="eastAsia" w:ascii="宋体" w:hAnsi="宋体" w:eastAsia="宋体" w:cs="宋体"/>
          <w:b w:val="0"/>
          <w:bCs/>
          <w:sz w:val="24"/>
          <w:szCs w:val="24"/>
          <w:highlight w:val="none"/>
          <w:lang w:val="zh-CN"/>
        </w:rPr>
      </w:pPr>
      <w:r>
        <w:rPr>
          <w:rFonts w:hint="eastAsia" w:ascii="宋体" w:hAnsi="宋体" w:eastAsia="宋体" w:cs="宋体"/>
          <w:b w:val="0"/>
          <w:bCs/>
          <w:sz w:val="24"/>
          <w:szCs w:val="24"/>
          <w:highlight w:val="none"/>
          <w:lang w:val="zh-CN"/>
        </w:rPr>
        <w:t>（4）自然人参加投标提供有效的身份证复印件；</w:t>
      </w:r>
    </w:p>
    <w:p w14:paraId="213B57E1">
      <w:pPr>
        <w:shd w:val="clear" w:color="auto" w:fill="auto"/>
        <w:adjustRightInd w:val="0"/>
        <w:snapToGrid w:val="0"/>
        <w:spacing w:line="520" w:lineRule="exact"/>
        <w:jc w:val="left"/>
        <w:rPr>
          <w:rFonts w:hint="eastAsia"/>
          <w:highlight w:val="none"/>
        </w:rPr>
      </w:pPr>
      <w:r>
        <w:rPr>
          <w:rFonts w:hint="eastAsia" w:ascii="宋体" w:hAnsi="宋体" w:eastAsia="宋体" w:cs="宋体"/>
          <w:b w:val="0"/>
          <w:bCs/>
          <w:sz w:val="24"/>
          <w:szCs w:val="24"/>
          <w:highlight w:val="none"/>
          <w:lang w:val="zh-CN"/>
        </w:rPr>
        <w:t>（5）（1）-（3）为副本复印件，须加盖供应商单位章。</w:t>
      </w:r>
    </w:p>
    <w:p w14:paraId="371D8B55">
      <w:pPr>
        <w:shd w:val="clear" w:color="auto" w:fill="auto"/>
        <w:ind w:firstLine="562"/>
        <w:jc w:val="center"/>
        <w:rPr>
          <w:rFonts w:hint="eastAsia" w:ascii="宋体" w:hAnsi="宋体" w:cs="宋体"/>
          <w:b/>
          <w:sz w:val="28"/>
          <w:szCs w:val="28"/>
          <w:highlight w:val="none"/>
          <w:lang w:val="en-US" w:eastAsia="zh-CN"/>
        </w:rPr>
      </w:pPr>
      <w:r>
        <w:rPr>
          <w:rFonts w:hint="eastAsia" w:ascii="宋体" w:hAnsi="宋体" w:cs="宋体"/>
          <w:b/>
          <w:sz w:val="28"/>
          <w:szCs w:val="28"/>
          <w:highlight w:val="none"/>
        </w:rPr>
        <w:br w:type="page"/>
      </w:r>
      <w:bookmarkStart w:id="156" w:name="_Toc18638_WPSOffice_Level1"/>
      <w:bookmarkStart w:id="157" w:name="_Toc4381_WPSOffice_Level1"/>
      <w:bookmarkStart w:id="158" w:name="_Toc10508_WPSOffice_Level1"/>
      <w:r>
        <w:rPr>
          <w:rFonts w:hint="eastAsia" w:ascii="宋体" w:hAnsi="宋体" w:eastAsia="宋体" w:cs="宋体"/>
          <w:b/>
          <w:sz w:val="24"/>
          <w:highlight w:val="none"/>
          <w:lang w:val="en-US" w:eastAsia="zh-CN"/>
        </w:rPr>
        <w:t>3、法定代表人授权书及被授权人身份证（法定代表人直接参与投标的，只须提交其身份证明）</w:t>
      </w:r>
    </w:p>
    <w:p w14:paraId="712CECF5">
      <w:pPr>
        <w:shd w:val="clear" w:color="auto" w:fill="auto"/>
        <w:ind w:firstLine="562"/>
        <w:jc w:val="center"/>
        <w:rPr>
          <w:rFonts w:hint="eastAsia" w:ascii="宋体" w:hAnsi="宋体" w:cs="宋体"/>
          <w:b/>
          <w:color w:val="000000"/>
          <w:sz w:val="28"/>
          <w:szCs w:val="28"/>
          <w:highlight w:val="none"/>
        </w:rPr>
      </w:pPr>
      <w:r>
        <w:rPr>
          <w:rFonts w:hint="eastAsia" w:ascii="宋体" w:hAnsi="宋体" w:cs="宋体"/>
          <w:b/>
          <w:sz w:val="24"/>
          <w:highlight w:val="none"/>
        </w:rPr>
        <w:t>3.1、</w:t>
      </w:r>
      <w:r>
        <w:rPr>
          <w:rFonts w:hint="eastAsia" w:ascii="宋体" w:hAnsi="宋体" w:cs="宋体"/>
          <w:b/>
          <w:color w:val="000000"/>
          <w:sz w:val="24"/>
          <w:highlight w:val="none"/>
        </w:rPr>
        <w:t>法定代表人（单位负责人）身份证明</w:t>
      </w:r>
      <w:bookmarkEnd w:id="156"/>
      <w:bookmarkEnd w:id="157"/>
      <w:bookmarkEnd w:id="158"/>
    </w:p>
    <w:p w14:paraId="59A5F990">
      <w:pPr>
        <w:shd w:val="clear" w:color="auto" w:fill="auto"/>
        <w:spacing w:line="500" w:lineRule="exact"/>
        <w:ind w:firstLine="480"/>
        <w:rPr>
          <w:rFonts w:hint="eastAsia" w:ascii="宋体" w:hAnsi="宋体" w:cs="宋体"/>
          <w:color w:val="000000"/>
          <w:sz w:val="24"/>
          <w:highlight w:val="none"/>
        </w:rPr>
      </w:pPr>
    </w:p>
    <w:p w14:paraId="3C0EEC28">
      <w:pPr>
        <w:shd w:val="clear" w:color="auto" w:fill="auto"/>
        <w:autoSpaceDE w:val="0"/>
        <w:autoSpaceDN w:val="0"/>
        <w:adjustRightInd w:val="0"/>
        <w:snapToGrid w:val="0"/>
        <w:spacing w:before="120" w:beforeLines="50"/>
        <w:ind w:firstLine="480"/>
        <w:jc w:val="left"/>
        <w:rPr>
          <w:rFonts w:hint="eastAsia" w:ascii="宋体" w:hAnsi="宋体" w:cs="宋体"/>
          <w:kern w:val="0"/>
          <w:sz w:val="24"/>
          <w:highlight w:val="none"/>
        </w:rPr>
      </w:pPr>
      <w:r>
        <w:rPr>
          <w:rFonts w:hint="eastAsia" w:ascii="宋体" w:hAnsi="宋体" w:cs="宋体"/>
          <w:sz w:val="24"/>
          <w:highlight w:val="none"/>
          <w:lang w:val="zh-CN"/>
        </w:rPr>
        <w:t>投标</w:t>
      </w:r>
      <w:r>
        <w:rPr>
          <w:rFonts w:hint="eastAsia" w:ascii="宋体" w:hAnsi="宋体" w:cs="宋体"/>
          <w:sz w:val="24"/>
          <w:highlight w:val="none"/>
        </w:rPr>
        <w:t>供应商</w:t>
      </w:r>
      <w:r>
        <w:rPr>
          <w:rFonts w:hint="eastAsia" w:ascii="宋体" w:hAnsi="宋体" w:cs="宋体"/>
          <w:kern w:val="0"/>
          <w:sz w:val="24"/>
          <w:highlight w:val="none"/>
        </w:rPr>
        <w:t>名称：</w:t>
      </w:r>
      <w:r>
        <w:rPr>
          <w:rFonts w:hint="eastAsia" w:ascii="宋体" w:hAnsi="宋体" w:cs="宋体"/>
          <w:kern w:val="0"/>
          <w:sz w:val="24"/>
          <w:highlight w:val="none"/>
          <w:u w:val="single"/>
        </w:rPr>
        <w:t xml:space="preserve">                  </w:t>
      </w:r>
      <w:r>
        <w:rPr>
          <w:rFonts w:hint="eastAsia" w:ascii="宋体" w:hAnsi="宋体" w:cs="宋体"/>
          <w:kern w:val="0"/>
          <w:sz w:val="24"/>
          <w:highlight w:val="none"/>
        </w:rPr>
        <w:t xml:space="preserve"> </w:t>
      </w:r>
    </w:p>
    <w:p w14:paraId="246E1A55">
      <w:pPr>
        <w:shd w:val="clear" w:color="auto" w:fill="auto"/>
        <w:autoSpaceDE w:val="0"/>
        <w:autoSpaceDN w:val="0"/>
        <w:adjustRightInd w:val="0"/>
        <w:snapToGrid w:val="0"/>
        <w:spacing w:before="120" w:beforeLines="50"/>
        <w:ind w:firstLine="480"/>
        <w:jc w:val="left"/>
        <w:rPr>
          <w:rFonts w:hint="eastAsia" w:ascii="宋体" w:hAnsi="宋体" w:cs="宋体"/>
          <w:kern w:val="0"/>
          <w:sz w:val="24"/>
          <w:highlight w:val="none"/>
        </w:rPr>
      </w:pPr>
      <w:r>
        <w:rPr>
          <w:rFonts w:hint="eastAsia" w:ascii="宋体" w:hAnsi="宋体" w:cs="宋体"/>
          <w:kern w:val="0"/>
          <w:sz w:val="24"/>
          <w:highlight w:val="none"/>
        </w:rPr>
        <w:t>统一社会信用代码：</w:t>
      </w:r>
      <w:r>
        <w:rPr>
          <w:rFonts w:hint="eastAsia" w:ascii="宋体" w:hAnsi="宋体" w:cs="宋体"/>
          <w:kern w:val="0"/>
          <w:sz w:val="24"/>
          <w:highlight w:val="none"/>
          <w:u w:val="single"/>
        </w:rPr>
        <w:t xml:space="preserve">                </w:t>
      </w:r>
    </w:p>
    <w:p w14:paraId="7F6CCE93">
      <w:pPr>
        <w:shd w:val="clear" w:color="auto" w:fill="auto"/>
        <w:autoSpaceDE w:val="0"/>
        <w:autoSpaceDN w:val="0"/>
        <w:adjustRightInd w:val="0"/>
        <w:snapToGrid w:val="0"/>
        <w:spacing w:before="120" w:beforeLines="50"/>
        <w:ind w:firstLine="480"/>
        <w:jc w:val="left"/>
        <w:rPr>
          <w:rFonts w:hint="eastAsia" w:ascii="宋体" w:hAnsi="宋体" w:cs="宋体"/>
          <w:kern w:val="0"/>
          <w:sz w:val="24"/>
          <w:highlight w:val="none"/>
          <w:u w:val="single"/>
        </w:rPr>
      </w:pPr>
      <w:r>
        <w:rPr>
          <w:rFonts w:hint="eastAsia" w:ascii="宋体" w:hAnsi="宋体" w:cs="宋体"/>
          <w:kern w:val="0"/>
          <w:sz w:val="24"/>
          <w:highlight w:val="none"/>
        </w:rPr>
        <w:t>姓名：</w:t>
      </w:r>
      <w:r>
        <w:rPr>
          <w:rFonts w:hint="eastAsia" w:ascii="宋体" w:hAnsi="宋体" w:cs="宋体"/>
          <w:kern w:val="0"/>
          <w:sz w:val="24"/>
          <w:highlight w:val="none"/>
          <w:u w:val="single"/>
        </w:rPr>
        <w:t xml:space="preserve">      </w:t>
      </w:r>
      <w:r>
        <w:rPr>
          <w:rFonts w:hint="eastAsia" w:ascii="宋体" w:hAnsi="宋体" w:cs="宋体"/>
          <w:kern w:val="0"/>
          <w:sz w:val="24"/>
          <w:highlight w:val="none"/>
        </w:rPr>
        <w:t xml:space="preserve"> 性别：</w:t>
      </w:r>
      <w:r>
        <w:rPr>
          <w:rFonts w:hint="eastAsia" w:ascii="宋体" w:hAnsi="宋体" w:cs="宋体"/>
          <w:kern w:val="0"/>
          <w:sz w:val="24"/>
          <w:highlight w:val="none"/>
          <w:u w:val="single"/>
        </w:rPr>
        <w:t xml:space="preserve">      </w:t>
      </w:r>
      <w:r>
        <w:rPr>
          <w:rFonts w:hint="eastAsia" w:ascii="宋体" w:hAnsi="宋体" w:cs="宋体"/>
          <w:kern w:val="0"/>
          <w:sz w:val="24"/>
          <w:highlight w:val="none"/>
        </w:rPr>
        <w:t xml:space="preserve"> 年龄：</w:t>
      </w:r>
      <w:r>
        <w:rPr>
          <w:rFonts w:hint="eastAsia" w:ascii="宋体" w:hAnsi="宋体" w:cs="宋体"/>
          <w:kern w:val="0"/>
          <w:sz w:val="24"/>
          <w:highlight w:val="none"/>
          <w:u w:val="single"/>
        </w:rPr>
        <w:t xml:space="preserve">      </w:t>
      </w:r>
      <w:r>
        <w:rPr>
          <w:rFonts w:hint="eastAsia" w:ascii="宋体" w:hAnsi="宋体" w:cs="宋体"/>
          <w:kern w:val="0"/>
          <w:sz w:val="24"/>
          <w:highlight w:val="none"/>
        </w:rPr>
        <w:t xml:space="preserve"> 职务：</w:t>
      </w:r>
      <w:r>
        <w:rPr>
          <w:rFonts w:hint="eastAsia" w:ascii="宋体" w:hAnsi="宋体" w:cs="宋体"/>
          <w:kern w:val="0"/>
          <w:sz w:val="24"/>
          <w:highlight w:val="none"/>
          <w:u w:val="single"/>
        </w:rPr>
        <w:t xml:space="preserve">             </w:t>
      </w:r>
    </w:p>
    <w:p w14:paraId="48D70948">
      <w:pPr>
        <w:shd w:val="clear" w:color="auto" w:fill="auto"/>
        <w:autoSpaceDE w:val="0"/>
        <w:autoSpaceDN w:val="0"/>
        <w:adjustRightInd w:val="0"/>
        <w:snapToGrid w:val="0"/>
        <w:spacing w:before="120" w:beforeLines="50"/>
        <w:ind w:firstLine="480"/>
        <w:jc w:val="left"/>
        <w:rPr>
          <w:rFonts w:hint="eastAsia" w:ascii="宋体" w:hAnsi="宋体" w:cs="宋体"/>
          <w:kern w:val="0"/>
          <w:sz w:val="24"/>
          <w:highlight w:val="none"/>
        </w:rPr>
      </w:pPr>
      <w:r>
        <w:rPr>
          <w:rFonts w:hint="eastAsia" w:ascii="宋体" w:hAnsi="宋体" w:cs="宋体"/>
          <w:kern w:val="0"/>
          <w:sz w:val="24"/>
          <w:highlight w:val="none"/>
        </w:rPr>
        <w:t>系</w:t>
      </w:r>
      <w:r>
        <w:rPr>
          <w:rFonts w:hint="eastAsia" w:ascii="宋体" w:hAnsi="宋体" w:cs="宋体"/>
          <w:kern w:val="0"/>
          <w:sz w:val="24"/>
          <w:highlight w:val="none"/>
          <w:u w:val="single"/>
        </w:rPr>
        <w:t xml:space="preserve">            </w:t>
      </w:r>
      <w:r>
        <w:rPr>
          <w:rFonts w:hint="eastAsia" w:ascii="宋体" w:hAnsi="宋体" w:cs="宋体"/>
          <w:kern w:val="0"/>
          <w:sz w:val="24"/>
          <w:highlight w:val="none"/>
        </w:rPr>
        <w:t>（</w:t>
      </w:r>
      <w:r>
        <w:rPr>
          <w:rFonts w:hint="eastAsia" w:ascii="宋体" w:hAnsi="宋体" w:cs="宋体"/>
          <w:sz w:val="24"/>
          <w:highlight w:val="none"/>
          <w:lang w:val="zh-CN"/>
        </w:rPr>
        <w:t>投标</w:t>
      </w:r>
      <w:r>
        <w:rPr>
          <w:rFonts w:hint="eastAsia" w:ascii="宋体" w:hAnsi="宋体" w:cs="宋体"/>
          <w:sz w:val="24"/>
          <w:highlight w:val="none"/>
        </w:rPr>
        <w:t>供应商</w:t>
      </w:r>
      <w:r>
        <w:rPr>
          <w:rFonts w:hint="eastAsia" w:ascii="宋体" w:hAnsi="宋体" w:cs="宋体"/>
          <w:kern w:val="0"/>
          <w:sz w:val="24"/>
          <w:highlight w:val="none"/>
        </w:rPr>
        <w:t>名称）的法定代表人（单位负责人）。</w:t>
      </w:r>
    </w:p>
    <w:p w14:paraId="3A300334">
      <w:pPr>
        <w:shd w:val="clear" w:color="auto" w:fill="auto"/>
        <w:autoSpaceDE w:val="0"/>
        <w:autoSpaceDN w:val="0"/>
        <w:adjustRightInd w:val="0"/>
        <w:snapToGrid w:val="0"/>
        <w:spacing w:before="120" w:beforeLines="50"/>
        <w:ind w:firstLine="480"/>
        <w:jc w:val="left"/>
        <w:rPr>
          <w:rFonts w:hint="eastAsia" w:ascii="宋体" w:hAnsi="宋体" w:cs="宋体"/>
          <w:kern w:val="0"/>
          <w:sz w:val="24"/>
          <w:highlight w:val="none"/>
        </w:rPr>
      </w:pPr>
      <w:r>
        <w:rPr>
          <w:rFonts w:hint="eastAsia" w:ascii="宋体" w:hAnsi="宋体" w:cs="宋体"/>
          <w:kern w:val="0"/>
          <w:sz w:val="24"/>
          <w:highlight w:val="none"/>
        </w:rPr>
        <w:t>特此证明。</w:t>
      </w:r>
    </w:p>
    <w:p w14:paraId="553EAE94">
      <w:pPr>
        <w:shd w:val="clear" w:color="auto" w:fill="auto"/>
        <w:autoSpaceDE w:val="0"/>
        <w:autoSpaceDN w:val="0"/>
        <w:adjustRightInd w:val="0"/>
        <w:snapToGrid w:val="0"/>
        <w:spacing w:before="120" w:beforeLines="50"/>
        <w:ind w:firstLine="480"/>
        <w:jc w:val="left"/>
        <w:rPr>
          <w:rFonts w:hint="eastAsia" w:ascii="宋体" w:hAnsi="宋体" w:cs="宋体"/>
          <w:sz w:val="24"/>
          <w:highlight w:val="none"/>
        </w:rPr>
      </w:pPr>
    </w:p>
    <w:p w14:paraId="3D4C2535">
      <w:pPr>
        <w:shd w:val="clear" w:color="auto" w:fill="auto"/>
        <w:autoSpaceDE w:val="0"/>
        <w:autoSpaceDN w:val="0"/>
        <w:adjustRightInd w:val="0"/>
        <w:snapToGrid w:val="0"/>
        <w:spacing w:before="120" w:beforeLines="50"/>
        <w:ind w:firstLine="480"/>
        <w:jc w:val="left"/>
        <w:rPr>
          <w:rFonts w:hint="eastAsia" w:ascii="宋体" w:hAnsi="宋体" w:cs="宋体"/>
          <w:kern w:val="0"/>
          <w:sz w:val="24"/>
          <w:highlight w:val="none"/>
        </w:rPr>
      </w:pPr>
      <w:r>
        <w:rPr>
          <w:rFonts w:hint="eastAsia" w:ascii="宋体" w:hAnsi="宋体" w:cs="宋体"/>
          <w:kern w:val="0"/>
          <w:sz w:val="24"/>
          <w:highlight w:val="none"/>
        </w:rPr>
        <w:t>附：法定代表人身份证复印件（正反面）</w:t>
      </w:r>
    </w:p>
    <w:p w14:paraId="2BA53A6E">
      <w:pPr>
        <w:shd w:val="clear" w:color="auto" w:fill="auto"/>
        <w:snapToGrid w:val="0"/>
        <w:spacing w:line="480" w:lineRule="auto"/>
        <w:ind w:firstLine="420"/>
        <w:rPr>
          <w:rFonts w:hint="eastAsia" w:ascii="宋体" w:hAnsi="宋体" w:cs="宋体"/>
          <w:szCs w:val="21"/>
          <w:highlight w:val="none"/>
        </w:rPr>
      </w:pPr>
    </w:p>
    <w:tbl>
      <w:tblPr>
        <w:tblStyle w:val="14"/>
        <w:tblpPr w:leftFromText="180" w:rightFromText="180" w:vertAnchor="text" w:horzAnchor="margin" w:tblpXSpec="center" w:tblpY="1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68"/>
      </w:tblGrid>
      <w:tr w14:paraId="22E66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255" w:hRule="atLeast"/>
        </w:trPr>
        <w:tc>
          <w:tcPr>
            <w:tcW w:w="5868" w:type="dxa"/>
            <w:noWrap w:val="0"/>
            <w:vAlign w:val="center"/>
          </w:tcPr>
          <w:p w14:paraId="55B4315B">
            <w:pPr>
              <w:shd w:val="clear" w:color="auto" w:fill="auto"/>
              <w:autoSpaceDE w:val="0"/>
              <w:autoSpaceDN w:val="0"/>
              <w:adjustRightInd w:val="0"/>
              <w:snapToGrid w:val="0"/>
              <w:spacing w:before="120" w:beforeLines="50"/>
              <w:ind w:firstLine="480"/>
              <w:jc w:val="left"/>
              <w:rPr>
                <w:rFonts w:hint="eastAsia" w:ascii="宋体" w:hAnsi="宋体" w:cs="宋体"/>
                <w:kern w:val="0"/>
                <w:sz w:val="24"/>
                <w:highlight w:val="none"/>
              </w:rPr>
            </w:pPr>
          </w:p>
          <w:p w14:paraId="5F52B106">
            <w:pPr>
              <w:shd w:val="clear" w:color="auto" w:fill="auto"/>
              <w:autoSpaceDE w:val="0"/>
              <w:autoSpaceDN w:val="0"/>
              <w:adjustRightInd w:val="0"/>
              <w:snapToGrid w:val="0"/>
              <w:spacing w:before="120" w:beforeLines="50"/>
              <w:ind w:firstLine="480"/>
              <w:jc w:val="left"/>
              <w:rPr>
                <w:rFonts w:hint="eastAsia" w:ascii="宋体" w:hAnsi="宋体" w:cs="宋体"/>
                <w:kern w:val="0"/>
                <w:sz w:val="24"/>
                <w:highlight w:val="none"/>
              </w:rPr>
            </w:pPr>
          </w:p>
          <w:p w14:paraId="6C347BA8">
            <w:pPr>
              <w:shd w:val="clear" w:color="auto" w:fill="auto"/>
              <w:autoSpaceDE w:val="0"/>
              <w:autoSpaceDN w:val="0"/>
              <w:adjustRightInd w:val="0"/>
              <w:snapToGrid w:val="0"/>
              <w:spacing w:before="120" w:beforeLines="50"/>
              <w:ind w:firstLine="480"/>
              <w:jc w:val="center"/>
              <w:rPr>
                <w:rFonts w:hint="eastAsia" w:ascii="宋体" w:hAnsi="宋体" w:cs="宋体"/>
                <w:kern w:val="0"/>
                <w:sz w:val="24"/>
                <w:highlight w:val="none"/>
              </w:rPr>
            </w:pPr>
            <w:r>
              <w:rPr>
                <w:rFonts w:hint="eastAsia" w:ascii="宋体" w:hAnsi="宋体" w:cs="宋体"/>
                <w:kern w:val="0"/>
                <w:sz w:val="24"/>
                <w:highlight w:val="none"/>
              </w:rPr>
              <w:t>法定代表人身份证复印件粘贴处</w:t>
            </w:r>
          </w:p>
          <w:p w14:paraId="18196DD5">
            <w:pPr>
              <w:shd w:val="clear" w:color="auto" w:fill="auto"/>
              <w:autoSpaceDE w:val="0"/>
              <w:autoSpaceDN w:val="0"/>
              <w:adjustRightInd w:val="0"/>
              <w:snapToGrid w:val="0"/>
              <w:spacing w:before="120" w:beforeLines="50"/>
              <w:ind w:firstLine="480"/>
              <w:jc w:val="left"/>
              <w:rPr>
                <w:rFonts w:hint="eastAsia" w:ascii="宋体" w:hAnsi="宋体" w:cs="宋体"/>
                <w:kern w:val="0"/>
                <w:sz w:val="24"/>
                <w:highlight w:val="none"/>
              </w:rPr>
            </w:pPr>
          </w:p>
          <w:p w14:paraId="444D807C">
            <w:pPr>
              <w:shd w:val="clear" w:color="auto" w:fill="auto"/>
              <w:autoSpaceDE w:val="0"/>
              <w:autoSpaceDN w:val="0"/>
              <w:adjustRightInd w:val="0"/>
              <w:snapToGrid w:val="0"/>
              <w:spacing w:before="120" w:beforeLines="50"/>
              <w:ind w:firstLine="480"/>
              <w:jc w:val="left"/>
              <w:rPr>
                <w:rFonts w:hint="eastAsia" w:ascii="宋体" w:hAnsi="宋体" w:cs="宋体"/>
                <w:kern w:val="0"/>
                <w:sz w:val="24"/>
                <w:highlight w:val="none"/>
              </w:rPr>
            </w:pPr>
          </w:p>
        </w:tc>
      </w:tr>
    </w:tbl>
    <w:p w14:paraId="65E0DB1C">
      <w:pPr>
        <w:shd w:val="clear" w:color="auto" w:fill="auto"/>
        <w:snapToGrid w:val="0"/>
        <w:spacing w:line="480" w:lineRule="auto"/>
        <w:ind w:firstLine="420"/>
        <w:rPr>
          <w:rFonts w:hint="eastAsia" w:ascii="宋体" w:hAnsi="宋体" w:cs="宋体"/>
          <w:szCs w:val="21"/>
          <w:highlight w:val="none"/>
        </w:rPr>
      </w:pPr>
    </w:p>
    <w:p w14:paraId="5EE175CB">
      <w:pPr>
        <w:shd w:val="clear" w:color="auto" w:fill="auto"/>
        <w:snapToGrid w:val="0"/>
        <w:ind w:firstLine="420"/>
        <w:rPr>
          <w:rFonts w:hint="eastAsia" w:ascii="宋体" w:hAnsi="宋体" w:cs="宋体"/>
          <w:szCs w:val="21"/>
          <w:highlight w:val="none"/>
        </w:rPr>
      </w:pPr>
    </w:p>
    <w:p w14:paraId="0282E211">
      <w:pPr>
        <w:shd w:val="clear" w:color="auto" w:fill="auto"/>
        <w:snapToGrid w:val="0"/>
        <w:ind w:firstLine="420"/>
        <w:rPr>
          <w:rFonts w:hint="eastAsia" w:ascii="宋体" w:hAnsi="宋体" w:cs="宋体"/>
          <w:szCs w:val="21"/>
          <w:highlight w:val="none"/>
        </w:rPr>
      </w:pPr>
    </w:p>
    <w:p w14:paraId="7A422E47">
      <w:pPr>
        <w:shd w:val="clear" w:color="auto" w:fill="auto"/>
        <w:snapToGrid w:val="0"/>
        <w:ind w:firstLine="420"/>
        <w:rPr>
          <w:rFonts w:hint="eastAsia" w:ascii="宋体" w:hAnsi="宋体" w:cs="宋体"/>
          <w:szCs w:val="21"/>
          <w:highlight w:val="none"/>
        </w:rPr>
      </w:pPr>
    </w:p>
    <w:p w14:paraId="3423A413">
      <w:pPr>
        <w:shd w:val="clear" w:color="auto" w:fill="auto"/>
        <w:snapToGrid w:val="0"/>
        <w:ind w:firstLine="420"/>
        <w:rPr>
          <w:rFonts w:hint="eastAsia" w:ascii="宋体" w:hAnsi="宋体" w:cs="宋体"/>
          <w:szCs w:val="21"/>
          <w:highlight w:val="none"/>
        </w:rPr>
      </w:pPr>
    </w:p>
    <w:p w14:paraId="7A72E9AA">
      <w:pPr>
        <w:shd w:val="clear" w:color="auto" w:fill="auto"/>
        <w:adjustRightInd w:val="0"/>
        <w:snapToGrid w:val="0"/>
        <w:ind w:firstLine="480"/>
        <w:rPr>
          <w:rFonts w:hint="eastAsia" w:ascii="宋体" w:hAnsi="宋体" w:cs="宋体"/>
          <w:sz w:val="24"/>
          <w:highlight w:val="none"/>
        </w:rPr>
      </w:pPr>
    </w:p>
    <w:p w14:paraId="66E3E40C">
      <w:pPr>
        <w:shd w:val="clear" w:color="auto" w:fill="auto"/>
        <w:adjustRightInd w:val="0"/>
        <w:snapToGrid w:val="0"/>
        <w:ind w:right="420" w:firstLine="480"/>
        <w:rPr>
          <w:rFonts w:hint="eastAsia" w:ascii="宋体" w:hAnsi="宋体" w:cs="宋体"/>
          <w:sz w:val="24"/>
          <w:highlight w:val="none"/>
        </w:rPr>
      </w:pPr>
    </w:p>
    <w:p w14:paraId="149AEEB2">
      <w:pPr>
        <w:shd w:val="clear" w:color="auto" w:fill="auto"/>
        <w:adjustRightInd w:val="0"/>
        <w:snapToGrid w:val="0"/>
        <w:ind w:right="420" w:firstLine="480"/>
        <w:rPr>
          <w:rFonts w:hint="eastAsia" w:ascii="宋体" w:hAnsi="宋体" w:cs="宋体"/>
          <w:sz w:val="24"/>
          <w:highlight w:val="none"/>
        </w:rPr>
      </w:pPr>
    </w:p>
    <w:p w14:paraId="01C350C4">
      <w:pPr>
        <w:shd w:val="clear" w:color="auto" w:fill="auto"/>
        <w:adjustRightInd w:val="0"/>
        <w:snapToGrid w:val="0"/>
        <w:ind w:right="420" w:firstLine="480"/>
        <w:rPr>
          <w:rFonts w:hint="eastAsia" w:ascii="宋体" w:hAnsi="宋体" w:cs="宋体"/>
          <w:sz w:val="24"/>
          <w:highlight w:val="none"/>
        </w:rPr>
      </w:pPr>
    </w:p>
    <w:p w14:paraId="2E665DC2">
      <w:pPr>
        <w:shd w:val="clear" w:color="auto" w:fill="auto"/>
        <w:adjustRightInd w:val="0"/>
        <w:snapToGrid w:val="0"/>
        <w:ind w:right="420" w:firstLine="5280" w:firstLineChars="2200"/>
        <w:rPr>
          <w:rFonts w:hint="eastAsia" w:ascii="宋体" w:hAnsi="宋体" w:cs="宋体"/>
          <w:sz w:val="24"/>
          <w:highlight w:val="none"/>
        </w:rPr>
      </w:pPr>
    </w:p>
    <w:p w14:paraId="7E4947E6">
      <w:pPr>
        <w:shd w:val="clear" w:color="auto" w:fill="auto"/>
        <w:adjustRightInd w:val="0"/>
        <w:snapToGrid w:val="0"/>
        <w:ind w:right="420" w:firstLine="3600" w:firstLineChars="1500"/>
        <w:jc w:val="left"/>
        <w:rPr>
          <w:rFonts w:hint="eastAsia" w:ascii="宋体" w:hAnsi="宋体" w:cs="宋体"/>
          <w:sz w:val="24"/>
          <w:highlight w:val="none"/>
          <w:u w:val="single"/>
        </w:rPr>
      </w:pPr>
      <w:r>
        <w:rPr>
          <w:rFonts w:hint="eastAsia" w:ascii="宋体" w:hAnsi="宋体" w:cs="宋体"/>
          <w:sz w:val="24"/>
          <w:highlight w:val="none"/>
        </w:rPr>
        <w:t>供应商名称：</w:t>
      </w:r>
      <w:r>
        <w:rPr>
          <w:rFonts w:hint="eastAsia" w:ascii="宋体" w:hAnsi="宋体" w:cs="宋体"/>
          <w:sz w:val="24"/>
          <w:highlight w:val="none"/>
          <w:u w:val="single"/>
        </w:rPr>
        <w:t xml:space="preserve">              </w:t>
      </w:r>
      <w:r>
        <w:rPr>
          <w:rFonts w:hint="eastAsia" w:ascii="宋体" w:hAnsi="宋体" w:cs="宋体"/>
          <w:sz w:val="24"/>
          <w:highlight w:val="none"/>
        </w:rPr>
        <w:t>（单位公章）</w:t>
      </w:r>
    </w:p>
    <w:p w14:paraId="0ED76846">
      <w:pPr>
        <w:shd w:val="clear" w:color="auto" w:fill="auto"/>
        <w:adjustRightInd w:val="0"/>
        <w:snapToGrid w:val="0"/>
        <w:ind w:right="420" w:firstLine="5520" w:firstLineChars="2300"/>
        <w:jc w:val="left"/>
        <w:rPr>
          <w:rFonts w:hint="eastAsia" w:ascii="宋体" w:hAnsi="宋体" w:cs="宋体"/>
          <w:sz w:val="24"/>
          <w:highlight w:val="none"/>
        </w:rPr>
      </w:pPr>
    </w:p>
    <w:p w14:paraId="20E2A966">
      <w:pPr>
        <w:shd w:val="clear" w:color="auto" w:fill="auto"/>
        <w:adjustRightInd w:val="0"/>
        <w:snapToGrid w:val="0"/>
        <w:ind w:right="420" w:firstLine="3600" w:firstLineChars="1500"/>
        <w:rPr>
          <w:rFonts w:hint="eastAsia" w:ascii="宋体" w:hAnsi="宋体" w:cs="宋体"/>
          <w:szCs w:val="21"/>
          <w:highlight w:val="none"/>
        </w:rPr>
      </w:pPr>
      <w:r>
        <w:rPr>
          <w:rFonts w:hint="eastAsia" w:ascii="宋体" w:hAnsi="宋体" w:cs="宋体"/>
          <w:sz w:val="24"/>
          <w:highlight w:val="none"/>
        </w:rPr>
        <w:t>日期：    年  月  日</w:t>
      </w:r>
    </w:p>
    <w:p w14:paraId="630C6337">
      <w:pPr>
        <w:shd w:val="clear" w:color="auto" w:fill="auto"/>
        <w:adjustRightInd w:val="0"/>
        <w:snapToGrid w:val="0"/>
        <w:ind w:right="420" w:firstLine="210" w:firstLineChars="100"/>
        <w:rPr>
          <w:rFonts w:hint="eastAsia" w:ascii="宋体" w:hAnsi="宋体" w:cs="宋体"/>
          <w:szCs w:val="21"/>
          <w:highlight w:val="none"/>
        </w:rPr>
      </w:pPr>
    </w:p>
    <w:p w14:paraId="3C1D3EBE">
      <w:pPr>
        <w:shd w:val="clear" w:color="auto" w:fill="auto"/>
        <w:ind w:firstLine="0" w:firstLineChars="0"/>
        <w:rPr>
          <w:rFonts w:hint="eastAsia" w:ascii="宋体" w:hAnsi="宋体" w:cs="宋体"/>
          <w:b/>
          <w:sz w:val="24"/>
          <w:highlight w:val="none"/>
        </w:rPr>
      </w:pPr>
      <w:r>
        <w:rPr>
          <w:rFonts w:hint="eastAsia" w:ascii="宋体" w:hAnsi="宋体" w:cs="宋体"/>
          <w:szCs w:val="21"/>
          <w:highlight w:val="none"/>
        </w:rPr>
        <w:t>说明：仅限法定代表人（单位负责人）参加投标时提供，被授权人参与本次投标的，本页可删除。</w:t>
      </w:r>
    </w:p>
    <w:p w14:paraId="535E7F6C">
      <w:pPr>
        <w:shd w:val="clear" w:color="auto" w:fill="auto"/>
        <w:ind w:firstLine="0" w:firstLineChars="0"/>
        <w:jc w:val="center"/>
        <w:rPr>
          <w:rFonts w:hint="eastAsia" w:ascii="宋体" w:hAnsi="宋体" w:cs="宋体"/>
          <w:b/>
          <w:sz w:val="24"/>
          <w:highlight w:val="none"/>
        </w:rPr>
      </w:pPr>
      <w:r>
        <w:rPr>
          <w:rFonts w:hint="eastAsia" w:ascii="宋体" w:hAnsi="宋体" w:cs="宋体"/>
          <w:b/>
          <w:sz w:val="24"/>
          <w:highlight w:val="none"/>
        </w:rPr>
        <w:br w:type="page"/>
      </w:r>
      <w:bookmarkStart w:id="159" w:name="_Toc11221_WPSOffice_Level1"/>
      <w:bookmarkStart w:id="160" w:name="_Toc5477_WPSOffice_Level1"/>
      <w:bookmarkStart w:id="161" w:name="_Toc20503_WPSOffice_Level1"/>
      <w:r>
        <w:rPr>
          <w:rFonts w:hint="eastAsia" w:ascii="宋体" w:hAnsi="宋体" w:cs="宋体"/>
          <w:b/>
          <w:sz w:val="24"/>
          <w:highlight w:val="none"/>
        </w:rPr>
        <w:t>3.2法定代表人授权书</w:t>
      </w:r>
      <w:bookmarkEnd w:id="159"/>
      <w:bookmarkEnd w:id="160"/>
      <w:bookmarkEnd w:id="161"/>
    </w:p>
    <w:p w14:paraId="34BF2244">
      <w:pPr>
        <w:pStyle w:val="24"/>
        <w:shd w:val="clear" w:color="auto" w:fill="auto"/>
        <w:spacing w:before="0" w:after="0"/>
        <w:ind w:firstLine="643"/>
        <w:rPr>
          <w:rFonts w:hint="eastAsia" w:ascii="宋体" w:hAnsi="宋体" w:eastAsia="宋体" w:cs="宋体"/>
          <w:highlight w:val="none"/>
        </w:rPr>
      </w:pPr>
    </w:p>
    <w:p w14:paraId="38954FAE">
      <w:pPr>
        <w:shd w:val="clear" w:color="auto" w:fill="auto"/>
        <w:ind w:firstLine="0" w:firstLineChars="0"/>
        <w:rPr>
          <w:rFonts w:hint="eastAsia" w:ascii="宋体" w:hAnsi="宋体" w:eastAsia="宋体" w:cs="宋体"/>
          <w:b/>
          <w:sz w:val="24"/>
          <w:highlight w:val="none"/>
          <w:lang w:eastAsia="zh-CN"/>
        </w:rPr>
      </w:pPr>
      <w:r>
        <w:rPr>
          <w:rFonts w:hint="eastAsia" w:ascii="宋体" w:hAnsi="宋体" w:cs="宋体"/>
          <w:b/>
          <w:sz w:val="24"/>
          <w:highlight w:val="none"/>
        </w:rPr>
        <w:t>致：</w:t>
      </w:r>
      <w:r>
        <w:rPr>
          <w:rFonts w:hint="eastAsia" w:ascii="宋体" w:hAnsi="宋体" w:cs="宋体"/>
          <w:b/>
          <w:sz w:val="24"/>
          <w:highlight w:val="none"/>
          <w:lang w:eastAsia="zh-CN"/>
        </w:rPr>
        <w:t>陕西天沃工程项目管理有限公司</w:t>
      </w:r>
    </w:p>
    <w:p w14:paraId="693208CA">
      <w:pPr>
        <w:shd w:val="clear" w:color="auto" w:fill="auto"/>
        <w:ind w:firstLine="480"/>
        <w:rPr>
          <w:rFonts w:hint="eastAsia" w:ascii="宋体" w:hAnsi="宋体" w:cs="宋体"/>
          <w:sz w:val="24"/>
          <w:highlight w:val="none"/>
        </w:rPr>
      </w:pPr>
      <w:r>
        <w:rPr>
          <w:rFonts w:hint="eastAsia" w:ascii="宋体" w:hAnsi="宋体" w:cs="宋体"/>
          <w:sz w:val="24"/>
          <w:highlight w:val="none"/>
          <w:lang w:val="zh-CN"/>
        </w:rPr>
        <w:t>注册于</w:t>
      </w:r>
      <w:r>
        <w:rPr>
          <w:rFonts w:hint="eastAsia" w:ascii="宋体" w:hAnsi="宋体" w:cs="宋体"/>
          <w:sz w:val="24"/>
          <w:highlight w:val="none"/>
          <w:u w:val="single"/>
          <w:lang w:val="zh-CN"/>
        </w:rPr>
        <w:t>（工商行政管理局名称）</w:t>
      </w:r>
      <w:r>
        <w:rPr>
          <w:rFonts w:hint="eastAsia" w:ascii="宋体" w:hAnsi="宋体" w:cs="宋体"/>
          <w:sz w:val="24"/>
          <w:highlight w:val="none"/>
          <w:lang w:val="zh-CN"/>
        </w:rPr>
        <w:t>之</w:t>
      </w:r>
      <w:r>
        <w:rPr>
          <w:rFonts w:hint="eastAsia" w:ascii="宋体" w:hAnsi="宋体" w:cs="宋体"/>
          <w:sz w:val="24"/>
          <w:highlight w:val="none"/>
          <w:u w:val="single"/>
          <w:lang w:val="zh-CN"/>
        </w:rPr>
        <w:t>（投标供应商全称）</w:t>
      </w:r>
      <w:r>
        <w:rPr>
          <w:rFonts w:hint="eastAsia" w:ascii="宋体" w:hAnsi="宋体" w:cs="宋体"/>
          <w:sz w:val="24"/>
          <w:highlight w:val="none"/>
          <w:lang w:val="zh-CN"/>
        </w:rPr>
        <w:t>法定代表人</w:t>
      </w:r>
      <w:r>
        <w:rPr>
          <w:rFonts w:hint="eastAsia" w:ascii="宋体" w:hAnsi="宋体" w:cs="宋体"/>
          <w:sz w:val="24"/>
          <w:highlight w:val="none"/>
          <w:u w:val="single"/>
          <w:lang w:val="zh-CN"/>
        </w:rPr>
        <w:t>（姓名、职务）</w:t>
      </w:r>
      <w:r>
        <w:rPr>
          <w:rFonts w:hint="eastAsia" w:ascii="宋体" w:hAnsi="宋体" w:cs="宋体"/>
          <w:sz w:val="24"/>
          <w:highlight w:val="none"/>
          <w:lang w:val="zh-CN"/>
        </w:rPr>
        <w:t>授权</w:t>
      </w:r>
      <w:r>
        <w:rPr>
          <w:rFonts w:hint="eastAsia" w:ascii="宋体" w:hAnsi="宋体" w:cs="宋体"/>
          <w:sz w:val="24"/>
          <w:highlight w:val="none"/>
          <w:u w:val="single"/>
          <w:lang w:val="zh-CN"/>
        </w:rPr>
        <w:t>（被授权人姓名、职务）</w:t>
      </w:r>
      <w:r>
        <w:rPr>
          <w:rFonts w:hint="eastAsia" w:ascii="宋体" w:hAnsi="宋体" w:cs="宋体"/>
          <w:sz w:val="24"/>
          <w:highlight w:val="none"/>
          <w:lang w:val="zh-CN"/>
        </w:rPr>
        <w:t>为本公司的合法全权代表，就</w:t>
      </w:r>
      <w:r>
        <w:rPr>
          <w:rFonts w:hint="eastAsia" w:ascii="宋体" w:hAnsi="宋体" w:cs="宋体"/>
          <w:sz w:val="24"/>
          <w:highlight w:val="none"/>
          <w:u w:val="single"/>
          <w:lang w:val="zh-CN"/>
        </w:rPr>
        <w:t>扶风县农村义务教育学生营养改善计划学校食堂食材采购（    标段）</w:t>
      </w:r>
      <w:r>
        <w:rPr>
          <w:rFonts w:hint="eastAsia" w:ascii="宋体" w:hAnsi="宋体" w:cs="宋体"/>
          <w:sz w:val="24"/>
          <w:highlight w:val="none"/>
          <w:lang w:val="zh-CN"/>
        </w:rPr>
        <w:t>的投标及合同的执行和完成，以本公司的名义全权处理一切与之有关的事宜。</w:t>
      </w:r>
    </w:p>
    <w:p w14:paraId="40E45FF0">
      <w:pPr>
        <w:shd w:val="clear" w:color="auto" w:fill="auto"/>
        <w:ind w:firstLine="480"/>
        <w:rPr>
          <w:rFonts w:hint="eastAsia" w:ascii="宋体" w:hAnsi="宋体" w:cs="宋体"/>
          <w:sz w:val="24"/>
          <w:highlight w:val="none"/>
          <w:lang w:val="zh-CN"/>
        </w:rPr>
      </w:pPr>
      <w:r>
        <w:rPr>
          <w:rFonts w:hint="eastAsia" w:ascii="宋体" w:hAnsi="宋体" w:cs="宋体"/>
          <w:sz w:val="24"/>
          <w:highlight w:val="none"/>
          <w:lang w:val="zh-CN"/>
        </w:rPr>
        <w:t>附：全权代表姓名：</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性别：</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年龄：</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  </w:t>
      </w:r>
    </w:p>
    <w:p w14:paraId="3A95E67E">
      <w:pPr>
        <w:shd w:val="clear" w:color="auto" w:fill="auto"/>
        <w:ind w:firstLine="480"/>
        <w:rPr>
          <w:rFonts w:hint="eastAsia" w:ascii="宋体" w:hAnsi="宋体" w:cs="宋体"/>
          <w:sz w:val="24"/>
          <w:highlight w:val="none"/>
          <w:u w:val="single"/>
          <w:lang w:val="zh-CN"/>
        </w:rPr>
      </w:pPr>
      <w:r>
        <w:rPr>
          <w:rFonts w:hint="eastAsia" w:ascii="宋体" w:hAnsi="宋体" w:cs="宋体"/>
          <w:sz w:val="24"/>
          <w:highlight w:val="none"/>
          <w:lang w:val="zh-CN"/>
        </w:rPr>
        <w:t xml:space="preserve">职    务： </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身份证号码：</w:t>
      </w:r>
      <w:r>
        <w:rPr>
          <w:rFonts w:hint="eastAsia" w:ascii="宋体" w:hAnsi="宋体" w:cs="宋体"/>
          <w:sz w:val="24"/>
          <w:highlight w:val="none"/>
          <w:u w:val="single"/>
          <w:lang w:val="zh-CN"/>
        </w:rPr>
        <w:t xml:space="preserve">             </w:t>
      </w:r>
    </w:p>
    <w:p w14:paraId="56228C15">
      <w:pPr>
        <w:shd w:val="clear" w:color="auto" w:fill="auto"/>
        <w:ind w:firstLine="480"/>
        <w:rPr>
          <w:rFonts w:hint="eastAsia" w:ascii="宋体" w:hAnsi="宋体" w:cs="宋体"/>
          <w:sz w:val="24"/>
          <w:highlight w:val="none"/>
          <w:lang w:val="zh-CN"/>
        </w:rPr>
      </w:pPr>
      <w:r>
        <w:rPr>
          <w:rFonts w:hint="eastAsia" w:ascii="宋体" w:hAnsi="宋体" w:cs="宋体"/>
          <w:sz w:val="24"/>
          <w:highlight w:val="none"/>
          <w:lang w:val="zh-CN"/>
        </w:rPr>
        <w:t>通讯地址：</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 </w:t>
      </w:r>
    </w:p>
    <w:p w14:paraId="57EAB8A2">
      <w:pPr>
        <w:shd w:val="clear" w:color="auto" w:fill="auto"/>
        <w:ind w:firstLine="480"/>
        <w:rPr>
          <w:rFonts w:hint="eastAsia" w:ascii="宋体" w:hAnsi="宋体" w:cs="宋体"/>
          <w:sz w:val="24"/>
          <w:highlight w:val="none"/>
          <w:u w:val="single"/>
          <w:lang w:val="zh-CN"/>
        </w:rPr>
      </w:pPr>
      <w:r>
        <w:rPr>
          <w:rFonts w:hint="eastAsia" w:ascii="宋体" w:hAnsi="宋体" w:cs="宋体"/>
          <w:sz w:val="24"/>
          <w:highlight w:val="none"/>
          <w:lang w:val="zh-CN"/>
        </w:rPr>
        <w:t>邮政编码：</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电 话：</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电传：</w:t>
      </w:r>
      <w:r>
        <w:rPr>
          <w:rFonts w:hint="eastAsia" w:ascii="宋体" w:hAnsi="宋体" w:cs="宋体"/>
          <w:sz w:val="24"/>
          <w:highlight w:val="none"/>
          <w:u w:val="single"/>
          <w:lang w:val="zh-CN"/>
        </w:rPr>
        <w:t xml:space="preserve">         </w:t>
      </w:r>
    </w:p>
    <w:p w14:paraId="4B7909EA">
      <w:pPr>
        <w:shd w:val="clear" w:color="auto" w:fill="auto"/>
        <w:ind w:firstLine="480"/>
        <w:rPr>
          <w:rFonts w:hint="eastAsia" w:ascii="宋体" w:hAnsi="宋体" w:cs="宋体"/>
          <w:sz w:val="24"/>
          <w:highlight w:val="none"/>
          <w:u w:val="single"/>
          <w:lang w:val="zh-CN"/>
        </w:rPr>
      </w:pPr>
    </w:p>
    <w:p w14:paraId="443AC9AA">
      <w:pPr>
        <w:shd w:val="clear" w:color="auto" w:fill="auto"/>
        <w:ind w:firstLine="480"/>
        <w:rPr>
          <w:rFonts w:hint="eastAsia" w:ascii="宋体" w:hAnsi="宋体" w:cs="宋体"/>
          <w:sz w:val="24"/>
          <w:highlight w:val="none"/>
        </w:rPr>
      </w:pPr>
      <w:r>
        <w:rPr>
          <w:rFonts w:hint="eastAsia" w:ascii="宋体" w:hAnsi="宋体" w:cs="宋体"/>
          <w:sz w:val="24"/>
          <w:highlight w:val="none"/>
          <w:lang w:val="zh-CN"/>
        </w:rPr>
        <w:t>法定代表人、被授权代表身份证复印件</w:t>
      </w:r>
      <w:r>
        <w:rPr>
          <w:rFonts w:hint="eastAsia" w:ascii="宋体" w:hAnsi="宋体" w:cs="宋体"/>
          <w:sz w:val="24"/>
          <w:highlight w:val="none"/>
        </w:rPr>
        <w:t>(正反面）</w:t>
      </w:r>
    </w:p>
    <w:p w14:paraId="09F8A749">
      <w:pPr>
        <w:shd w:val="clear" w:color="auto" w:fill="auto"/>
        <w:ind w:firstLine="480"/>
        <w:rPr>
          <w:rFonts w:hint="eastAsia" w:ascii="宋体" w:hAnsi="宋体" w:cs="宋体"/>
          <w:sz w:val="24"/>
          <w:highlight w:val="none"/>
          <w:lang w:val="zh-CN"/>
        </w:rPr>
      </w:pPr>
    </w:p>
    <w:tbl>
      <w:tblPr>
        <w:tblStyle w:val="14"/>
        <w:tblW w:w="0" w:type="auto"/>
        <w:tblInd w:w="540" w:type="dxa"/>
        <w:tblLayout w:type="fixed"/>
        <w:tblCellMar>
          <w:top w:w="0" w:type="dxa"/>
          <w:left w:w="108" w:type="dxa"/>
          <w:bottom w:w="0" w:type="dxa"/>
          <w:right w:w="108" w:type="dxa"/>
        </w:tblCellMar>
      </w:tblPr>
      <w:tblGrid>
        <w:gridCol w:w="4081"/>
        <w:gridCol w:w="3915"/>
      </w:tblGrid>
      <w:tr w14:paraId="1C273903">
        <w:tblPrEx>
          <w:tblCellMar>
            <w:top w:w="0" w:type="dxa"/>
            <w:left w:w="108" w:type="dxa"/>
            <w:bottom w:w="0" w:type="dxa"/>
            <w:right w:w="108" w:type="dxa"/>
          </w:tblCellMar>
        </w:tblPrEx>
        <w:trPr>
          <w:trHeight w:val="2223" w:hRule="atLeast"/>
        </w:trPr>
        <w:tc>
          <w:tcPr>
            <w:tcW w:w="4081" w:type="dxa"/>
            <w:tcBorders>
              <w:top w:val="single" w:color="auto" w:sz="6" w:space="0"/>
              <w:left w:val="single" w:color="auto" w:sz="6" w:space="0"/>
              <w:bottom w:val="single" w:color="auto" w:sz="6" w:space="0"/>
              <w:right w:val="single" w:color="auto" w:sz="6" w:space="0"/>
            </w:tcBorders>
            <w:noWrap w:val="0"/>
            <w:vAlign w:val="center"/>
          </w:tcPr>
          <w:p w14:paraId="0629CBD1">
            <w:pPr>
              <w:shd w:val="clear" w:color="auto" w:fill="auto"/>
              <w:ind w:firstLine="0" w:firstLineChars="0"/>
              <w:jc w:val="center"/>
              <w:rPr>
                <w:rFonts w:hint="eastAsia" w:ascii="宋体" w:hAnsi="宋体" w:cs="宋体"/>
                <w:sz w:val="24"/>
                <w:highlight w:val="none"/>
                <w:u w:val="single"/>
              </w:rPr>
            </w:pPr>
            <w:r>
              <w:rPr>
                <w:rFonts w:hint="eastAsia" w:ascii="宋体" w:hAnsi="宋体" w:cs="宋体"/>
                <w:sz w:val="24"/>
                <w:highlight w:val="none"/>
                <w:lang w:val="zh-CN"/>
              </w:rPr>
              <w:t>法定代表人身份证复印件</w:t>
            </w:r>
          </w:p>
        </w:tc>
        <w:tc>
          <w:tcPr>
            <w:tcW w:w="3915" w:type="dxa"/>
            <w:tcBorders>
              <w:top w:val="single" w:color="auto" w:sz="6" w:space="0"/>
              <w:left w:val="single" w:color="auto" w:sz="6" w:space="0"/>
              <w:bottom w:val="single" w:color="auto" w:sz="6" w:space="0"/>
              <w:right w:val="single" w:color="auto" w:sz="6" w:space="0"/>
            </w:tcBorders>
            <w:noWrap w:val="0"/>
            <w:vAlign w:val="center"/>
          </w:tcPr>
          <w:p w14:paraId="0D098F65">
            <w:pPr>
              <w:shd w:val="clear" w:color="auto" w:fill="auto"/>
              <w:ind w:firstLine="0" w:firstLineChars="0"/>
              <w:jc w:val="center"/>
              <w:rPr>
                <w:rFonts w:hint="eastAsia" w:ascii="宋体" w:hAnsi="宋体" w:cs="宋体"/>
                <w:sz w:val="24"/>
                <w:highlight w:val="none"/>
                <w:u w:val="single"/>
              </w:rPr>
            </w:pPr>
            <w:r>
              <w:rPr>
                <w:rFonts w:hint="eastAsia" w:ascii="宋体" w:hAnsi="宋体" w:cs="宋体"/>
                <w:sz w:val="24"/>
                <w:highlight w:val="none"/>
                <w:lang w:val="zh-CN"/>
              </w:rPr>
              <w:t>被授权代表身份证复印件</w:t>
            </w:r>
          </w:p>
        </w:tc>
      </w:tr>
      <w:tr w14:paraId="1FFCD25B">
        <w:tblPrEx>
          <w:tblCellMar>
            <w:top w:w="0" w:type="dxa"/>
            <w:left w:w="108" w:type="dxa"/>
            <w:bottom w:w="0" w:type="dxa"/>
            <w:right w:w="108" w:type="dxa"/>
          </w:tblCellMar>
        </w:tblPrEx>
        <w:trPr>
          <w:trHeight w:val="2224" w:hRule="atLeast"/>
        </w:trPr>
        <w:tc>
          <w:tcPr>
            <w:tcW w:w="4081" w:type="dxa"/>
            <w:tcBorders>
              <w:top w:val="single" w:color="auto" w:sz="6" w:space="0"/>
              <w:left w:val="single" w:color="auto" w:sz="6" w:space="0"/>
              <w:bottom w:val="single" w:color="auto" w:sz="6" w:space="0"/>
              <w:right w:val="single" w:color="auto" w:sz="6" w:space="0"/>
            </w:tcBorders>
            <w:noWrap w:val="0"/>
            <w:vAlign w:val="center"/>
          </w:tcPr>
          <w:p w14:paraId="1030E098">
            <w:pPr>
              <w:shd w:val="clear" w:color="auto" w:fill="auto"/>
              <w:ind w:firstLine="0" w:firstLineChars="0"/>
              <w:jc w:val="center"/>
              <w:rPr>
                <w:rFonts w:hint="eastAsia" w:ascii="宋体" w:hAnsi="宋体" w:cs="宋体"/>
                <w:sz w:val="24"/>
                <w:highlight w:val="none"/>
                <w:lang w:val="zh-CN"/>
              </w:rPr>
            </w:pPr>
            <w:r>
              <w:rPr>
                <w:rFonts w:hint="eastAsia" w:ascii="宋体" w:hAnsi="宋体" w:cs="宋体"/>
                <w:sz w:val="24"/>
                <w:highlight w:val="none"/>
                <w:lang w:val="zh-CN"/>
              </w:rPr>
              <w:t>法定代表人身份证复印件</w:t>
            </w:r>
          </w:p>
        </w:tc>
        <w:tc>
          <w:tcPr>
            <w:tcW w:w="3915" w:type="dxa"/>
            <w:tcBorders>
              <w:top w:val="single" w:color="auto" w:sz="6" w:space="0"/>
              <w:left w:val="single" w:color="auto" w:sz="6" w:space="0"/>
              <w:bottom w:val="single" w:color="auto" w:sz="6" w:space="0"/>
              <w:right w:val="single" w:color="auto" w:sz="6" w:space="0"/>
            </w:tcBorders>
            <w:noWrap w:val="0"/>
            <w:vAlign w:val="center"/>
          </w:tcPr>
          <w:p w14:paraId="5B54C4E8">
            <w:pPr>
              <w:shd w:val="clear" w:color="auto" w:fill="auto"/>
              <w:ind w:firstLine="0" w:firstLineChars="0"/>
              <w:jc w:val="center"/>
              <w:rPr>
                <w:rFonts w:hint="eastAsia" w:ascii="宋体" w:hAnsi="宋体" w:cs="宋体"/>
                <w:sz w:val="24"/>
                <w:highlight w:val="none"/>
                <w:lang w:val="zh-CN"/>
              </w:rPr>
            </w:pPr>
            <w:r>
              <w:rPr>
                <w:rFonts w:hint="eastAsia" w:ascii="宋体" w:hAnsi="宋体" w:cs="宋体"/>
                <w:sz w:val="24"/>
                <w:highlight w:val="none"/>
                <w:lang w:val="zh-CN"/>
              </w:rPr>
              <w:t>被授权代表身份证复印件</w:t>
            </w:r>
          </w:p>
        </w:tc>
      </w:tr>
    </w:tbl>
    <w:p w14:paraId="4C279A55">
      <w:pPr>
        <w:shd w:val="clear" w:color="auto" w:fill="auto"/>
        <w:spacing w:before="240"/>
        <w:ind w:firstLine="480"/>
        <w:rPr>
          <w:rFonts w:hint="eastAsia" w:ascii="宋体" w:hAnsi="宋体" w:cs="宋体"/>
          <w:sz w:val="24"/>
          <w:highlight w:val="none"/>
        </w:rPr>
      </w:pPr>
      <w:r>
        <w:rPr>
          <w:rFonts w:hint="eastAsia" w:ascii="宋体" w:hAnsi="宋体" w:cs="宋体"/>
          <w:sz w:val="24"/>
          <w:highlight w:val="none"/>
        </w:rPr>
        <w:t xml:space="preserve">供应商名称：     （盖章）         法定代表人:  （签名或盖章） </w:t>
      </w:r>
    </w:p>
    <w:p w14:paraId="0E302D59">
      <w:pPr>
        <w:shd w:val="clear" w:color="auto" w:fill="auto"/>
        <w:ind w:firstLine="480"/>
        <w:rPr>
          <w:rFonts w:hint="eastAsia" w:ascii="宋体" w:hAnsi="宋体" w:cs="宋体"/>
          <w:sz w:val="24"/>
          <w:highlight w:val="none"/>
        </w:rPr>
      </w:pPr>
      <w:r>
        <w:rPr>
          <w:rFonts w:hint="eastAsia" w:ascii="宋体" w:hAnsi="宋体" w:cs="宋体"/>
          <w:sz w:val="24"/>
          <w:highlight w:val="none"/>
        </w:rPr>
        <w:t>被授权人：（签名或盖章）          授权日期：</w:t>
      </w:r>
    </w:p>
    <w:p w14:paraId="5E0EEBE5">
      <w:pPr>
        <w:shd w:val="clear" w:color="auto" w:fill="auto"/>
        <w:spacing w:before="100" w:beforeAutospacing="1"/>
        <w:ind w:firstLine="482"/>
        <w:rPr>
          <w:rFonts w:hint="eastAsia" w:ascii="宋体" w:hAnsi="宋体" w:cs="宋体"/>
          <w:b/>
          <w:bCs/>
          <w:sz w:val="24"/>
          <w:highlight w:val="none"/>
          <w:lang w:val="zh-CN"/>
        </w:rPr>
      </w:pPr>
      <w:r>
        <w:rPr>
          <w:rFonts w:hint="eastAsia" w:ascii="宋体" w:hAnsi="宋体" w:cs="宋体"/>
          <w:b/>
          <w:bCs/>
          <w:sz w:val="24"/>
          <w:highlight w:val="none"/>
          <w:lang w:val="zh-CN"/>
        </w:rPr>
        <w:t>本授权有效期自开标之日起不少于</w:t>
      </w:r>
      <w:r>
        <w:rPr>
          <w:rFonts w:hint="eastAsia" w:ascii="宋体" w:hAnsi="宋体" w:cs="宋体"/>
          <w:b/>
          <w:bCs/>
          <w:sz w:val="24"/>
          <w:highlight w:val="none"/>
        </w:rPr>
        <w:t>90</w:t>
      </w:r>
      <w:r>
        <w:rPr>
          <w:rFonts w:hint="eastAsia" w:ascii="宋体" w:hAnsi="宋体" w:cs="宋体"/>
          <w:b/>
          <w:bCs/>
          <w:sz w:val="24"/>
          <w:highlight w:val="none"/>
          <w:lang w:val="zh-CN"/>
        </w:rPr>
        <w:t>天</w:t>
      </w:r>
    </w:p>
    <w:p w14:paraId="2DD0CA08">
      <w:pPr>
        <w:shd w:val="clear" w:color="auto" w:fill="auto"/>
        <w:spacing w:before="100" w:beforeAutospacing="1"/>
        <w:ind w:firstLine="420"/>
        <w:rPr>
          <w:rFonts w:hint="eastAsia" w:ascii="宋体" w:hAnsi="宋体" w:cs="宋体"/>
          <w:szCs w:val="21"/>
          <w:highlight w:val="none"/>
        </w:rPr>
      </w:pPr>
      <w:r>
        <w:rPr>
          <w:rFonts w:hint="eastAsia" w:ascii="宋体" w:hAnsi="宋体" w:cs="宋体"/>
          <w:szCs w:val="21"/>
          <w:highlight w:val="none"/>
        </w:rPr>
        <w:t>说明：仅限授权代表参加投标时提供，法定代表人参与本次投标的，本页可删除。</w:t>
      </w:r>
    </w:p>
    <w:p w14:paraId="77A40A2D">
      <w:pPr>
        <w:pStyle w:val="8"/>
        <w:shd w:val="clear" w:color="auto" w:fill="auto"/>
        <w:spacing w:line="336" w:lineRule="auto"/>
        <w:ind w:firstLine="420"/>
        <w:jc w:val="center"/>
        <w:rPr>
          <w:rFonts w:hint="eastAsia" w:ascii="宋体" w:hAnsi="宋体" w:eastAsia="宋体" w:cs="宋体"/>
          <w:b/>
          <w:bCs/>
          <w:szCs w:val="32"/>
          <w:highlight w:val="none"/>
        </w:rPr>
      </w:pPr>
      <w:r>
        <w:rPr>
          <w:rFonts w:hint="eastAsia" w:ascii="宋体" w:hAnsi="宋体" w:cs="宋体"/>
          <w:szCs w:val="21"/>
          <w:highlight w:val="none"/>
        </w:rPr>
        <w:br w:type="page"/>
      </w:r>
      <w:r>
        <w:rPr>
          <w:rFonts w:hint="eastAsia" w:ascii="宋体" w:hAnsi="宋体" w:eastAsia="宋体" w:cs="宋体"/>
          <w:b/>
          <w:sz w:val="24"/>
          <w:szCs w:val="24"/>
          <w:highlight w:val="none"/>
        </w:rPr>
        <w:t>3.3自然人授权委托书 (适用于自然人</w:t>
      </w:r>
      <w:r>
        <w:rPr>
          <w:rFonts w:hint="eastAsia" w:ascii="宋体" w:hAnsi="宋体" w:eastAsia="宋体" w:cs="宋体"/>
          <w:b/>
          <w:sz w:val="24"/>
          <w:szCs w:val="24"/>
          <w:highlight w:val="none"/>
          <w:lang w:eastAsia="zh-CN"/>
        </w:rPr>
        <w:t>投标</w:t>
      </w:r>
      <w:r>
        <w:rPr>
          <w:rFonts w:hint="eastAsia" w:ascii="宋体" w:hAnsi="宋体" w:eastAsia="宋体" w:cs="宋体"/>
          <w:b/>
          <w:sz w:val="24"/>
          <w:szCs w:val="24"/>
          <w:highlight w:val="none"/>
        </w:rPr>
        <w:t>)</w:t>
      </w:r>
    </w:p>
    <w:p w14:paraId="616D08FA">
      <w:pPr>
        <w:pStyle w:val="8"/>
        <w:shd w:val="clear" w:color="auto" w:fill="auto"/>
        <w:spacing w:line="336" w:lineRule="auto"/>
        <w:ind w:firstLine="480" w:firstLineChars="200"/>
        <w:rPr>
          <w:rFonts w:hint="eastAsia" w:ascii="宋体" w:hAnsi="宋体" w:eastAsia="宋体" w:cs="宋体"/>
          <w:sz w:val="24"/>
          <w:szCs w:val="24"/>
          <w:highlight w:val="none"/>
        </w:rPr>
      </w:pPr>
    </w:p>
    <w:p w14:paraId="2BFA447A">
      <w:pPr>
        <w:pStyle w:val="8"/>
        <w:shd w:val="clear" w:color="auto" w:fill="auto"/>
        <w:spacing w:line="336"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致：____________(</w:t>
      </w:r>
      <w:r>
        <w:rPr>
          <w:rFonts w:hint="eastAsia" w:ascii="宋体" w:hAnsi="宋体" w:eastAsia="宋体" w:cs="宋体"/>
          <w:sz w:val="24"/>
          <w:szCs w:val="24"/>
          <w:highlight w:val="none"/>
          <w:lang w:eastAsia="zh-CN"/>
        </w:rPr>
        <w:t>采购代理机构</w:t>
      </w:r>
      <w:r>
        <w:rPr>
          <w:rFonts w:hint="eastAsia" w:ascii="宋体" w:hAnsi="宋体" w:eastAsia="宋体" w:cs="宋体"/>
          <w:sz w:val="24"/>
          <w:szCs w:val="24"/>
          <w:highlight w:val="none"/>
        </w:rPr>
        <w:t>)</w:t>
      </w:r>
    </w:p>
    <w:p w14:paraId="5BFC35C8">
      <w:pPr>
        <w:pStyle w:val="8"/>
        <w:shd w:val="clear" w:color="auto" w:fill="auto"/>
        <w:spacing w:line="336"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我________(姓名)系自然人，现授权委托____________(姓名)以本人名义参加____________(项目名称)的</w:t>
      </w:r>
      <w:r>
        <w:rPr>
          <w:rFonts w:hint="eastAsia" w:ascii="宋体" w:hAnsi="宋体" w:eastAsia="宋体" w:cs="宋体"/>
          <w:sz w:val="24"/>
          <w:szCs w:val="24"/>
          <w:highlight w:val="none"/>
          <w:lang w:val="en-US" w:eastAsia="zh-CN"/>
        </w:rPr>
        <w:t>招标</w:t>
      </w:r>
      <w:r>
        <w:rPr>
          <w:rFonts w:hint="eastAsia" w:ascii="宋体" w:hAnsi="宋体" w:eastAsia="宋体" w:cs="宋体"/>
          <w:sz w:val="24"/>
          <w:szCs w:val="24"/>
          <w:highlight w:val="none"/>
        </w:rPr>
        <w:t>活动，并代表本人全权办理针对上述项目的</w:t>
      </w:r>
      <w:r>
        <w:rPr>
          <w:rFonts w:hint="eastAsia" w:ascii="宋体" w:hAnsi="宋体" w:eastAsia="宋体" w:cs="宋体"/>
          <w:sz w:val="24"/>
          <w:szCs w:val="24"/>
          <w:highlight w:val="none"/>
          <w:lang w:val="en-US" w:eastAsia="zh-CN"/>
        </w:rPr>
        <w:t>投标</w:t>
      </w:r>
      <w:r>
        <w:rPr>
          <w:rFonts w:hint="eastAsia" w:ascii="宋体" w:hAnsi="宋体" w:eastAsia="宋体" w:cs="宋体"/>
          <w:sz w:val="24"/>
          <w:szCs w:val="24"/>
          <w:highlight w:val="none"/>
        </w:rPr>
        <w:t>、签约等具体事务和签署相关文件。</w:t>
      </w:r>
    </w:p>
    <w:p w14:paraId="50E5BB2F">
      <w:pPr>
        <w:pStyle w:val="8"/>
        <w:shd w:val="clear" w:color="auto" w:fill="auto"/>
        <w:spacing w:line="336"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本人对被授权人的签字事项负全部责任，代理人无转委托权。</w:t>
      </w:r>
    </w:p>
    <w:p w14:paraId="6B52D0BB">
      <w:pPr>
        <w:pStyle w:val="8"/>
        <w:shd w:val="clear" w:color="auto" w:fill="auto"/>
        <w:spacing w:line="336"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授权委托代理期限：本授权书自</w:t>
      </w:r>
      <w:r>
        <w:rPr>
          <w:rFonts w:hint="eastAsia" w:ascii="宋体" w:hAnsi="宋体" w:eastAsia="宋体" w:cs="宋体"/>
          <w:sz w:val="24"/>
          <w:szCs w:val="24"/>
          <w:highlight w:val="none"/>
          <w:lang w:val="en-US" w:eastAsia="zh-CN"/>
        </w:rPr>
        <w:t>投标</w:t>
      </w:r>
      <w:r>
        <w:rPr>
          <w:rFonts w:hint="eastAsia" w:ascii="宋体" w:hAnsi="宋体" w:eastAsia="宋体" w:cs="宋体"/>
          <w:sz w:val="24"/>
          <w:szCs w:val="24"/>
          <w:highlight w:val="none"/>
        </w:rPr>
        <w:t>文件递交截止时间起有效期</w:t>
      </w:r>
      <w:r>
        <w:rPr>
          <w:rFonts w:hint="eastAsia" w:ascii="宋体" w:hAnsi="宋体" w:eastAsia="宋体" w:cs="宋体"/>
          <w:sz w:val="24"/>
          <w:szCs w:val="24"/>
          <w:highlight w:val="none"/>
          <w:u w:val="single"/>
        </w:rPr>
        <w:t xml:space="preserve">   90  </w:t>
      </w:r>
      <w:r>
        <w:rPr>
          <w:rFonts w:hint="eastAsia" w:ascii="宋体" w:hAnsi="宋体" w:eastAsia="宋体" w:cs="宋体"/>
          <w:sz w:val="24"/>
          <w:szCs w:val="24"/>
          <w:highlight w:val="none"/>
        </w:rPr>
        <w:t>天。</w:t>
      </w:r>
    </w:p>
    <w:p w14:paraId="17D12D7A">
      <w:pPr>
        <w:pStyle w:val="8"/>
        <w:shd w:val="clear" w:color="auto" w:fill="auto"/>
        <w:spacing w:line="336" w:lineRule="auto"/>
        <w:ind w:firstLine="480" w:firstLineChars="200"/>
        <w:rPr>
          <w:rFonts w:hint="eastAsia" w:ascii="宋体" w:hAnsi="宋体" w:eastAsia="宋体" w:cs="宋体"/>
          <w:sz w:val="24"/>
          <w:szCs w:val="24"/>
          <w:highlight w:val="none"/>
        </w:rPr>
      </w:pPr>
    </w:p>
    <w:p w14:paraId="01F1807E">
      <w:pPr>
        <w:pStyle w:val="8"/>
        <w:shd w:val="clear" w:color="auto" w:fill="auto"/>
        <w:spacing w:line="336"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特此委托。</w:t>
      </w:r>
    </w:p>
    <w:p w14:paraId="4074B6F0">
      <w:pPr>
        <w:pStyle w:val="8"/>
        <w:shd w:val="clear" w:color="auto" w:fill="auto"/>
        <w:spacing w:line="336" w:lineRule="auto"/>
        <w:ind w:firstLine="480" w:firstLineChars="200"/>
        <w:rPr>
          <w:rFonts w:hint="eastAsia" w:ascii="宋体" w:hAnsi="宋体" w:eastAsia="宋体" w:cs="宋体"/>
          <w:sz w:val="24"/>
          <w:szCs w:val="24"/>
          <w:highlight w:val="none"/>
        </w:rPr>
      </w:pPr>
    </w:p>
    <w:p w14:paraId="05BC09EC">
      <w:pPr>
        <w:pStyle w:val="8"/>
        <w:shd w:val="clear" w:color="auto" w:fill="auto"/>
        <w:spacing w:line="336"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我已在下面签字，以资证明。</w:t>
      </w:r>
    </w:p>
    <w:p w14:paraId="421C7ADA">
      <w:pPr>
        <w:pStyle w:val="8"/>
        <w:shd w:val="clear" w:color="auto" w:fill="auto"/>
        <w:spacing w:line="336" w:lineRule="auto"/>
        <w:ind w:firstLine="480" w:firstLineChars="200"/>
        <w:rPr>
          <w:rFonts w:hint="eastAsia" w:ascii="宋体" w:hAnsi="宋体" w:eastAsia="宋体" w:cs="宋体"/>
          <w:sz w:val="24"/>
          <w:szCs w:val="24"/>
          <w:highlight w:val="none"/>
        </w:rPr>
      </w:pPr>
    </w:p>
    <w:p w14:paraId="78E00057">
      <w:pPr>
        <w:pStyle w:val="8"/>
        <w:shd w:val="clear" w:color="auto" w:fill="auto"/>
        <w:spacing w:line="336"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自然人签字并在签名处加盖食指指印：</w:t>
      </w:r>
    </w:p>
    <w:p w14:paraId="4104A3AD">
      <w:pPr>
        <w:pStyle w:val="8"/>
        <w:shd w:val="clear" w:color="auto" w:fill="auto"/>
        <w:spacing w:line="336" w:lineRule="auto"/>
        <w:ind w:firstLine="480" w:firstLineChars="200"/>
        <w:rPr>
          <w:rFonts w:hint="eastAsia" w:ascii="宋体" w:hAnsi="宋体" w:eastAsia="宋体" w:cs="宋体"/>
          <w:sz w:val="24"/>
          <w:szCs w:val="24"/>
          <w:highlight w:val="none"/>
        </w:rPr>
      </w:pPr>
    </w:p>
    <w:p w14:paraId="41C4FE7C">
      <w:pPr>
        <w:pStyle w:val="8"/>
        <w:shd w:val="clear" w:color="auto" w:fill="auto"/>
        <w:spacing w:line="336" w:lineRule="auto"/>
        <w:ind w:firstLine="480" w:firstLineChars="200"/>
        <w:rPr>
          <w:rFonts w:hint="eastAsia" w:ascii="宋体" w:hAnsi="宋体" w:eastAsia="宋体" w:cs="宋体"/>
          <w:sz w:val="24"/>
          <w:szCs w:val="24"/>
          <w:highlight w:val="none"/>
        </w:rPr>
      </w:pPr>
    </w:p>
    <w:p w14:paraId="7EE667FE">
      <w:pPr>
        <w:pStyle w:val="8"/>
        <w:shd w:val="clear" w:color="auto" w:fill="auto"/>
        <w:spacing w:line="336" w:lineRule="auto"/>
        <w:ind w:firstLine="480" w:firstLineChars="200"/>
        <w:rPr>
          <w:rFonts w:hint="eastAsia" w:ascii="宋体" w:hAnsi="宋体" w:eastAsia="宋体" w:cs="宋体"/>
          <w:sz w:val="24"/>
          <w:szCs w:val="24"/>
          <w:highlight w:val="none"/>
        </w:rPr>
      </w:pPr>
    </w:p>
    <w:p w14:paraId="43CB19EE">
      <w:pPr>
        <w:shd w:val="clear" w:color="auto" w:fill="auto"/>
        <w:spacing w:line="360" w:lineRule="auto"/>
        <w:jc w:val="center"/>
        <w:rPr>
          <w:rFonts w:hint="eastAsia" w:ascii="宋体" w:hAnsi="宋体" w:eastAsia="宋体" w:cs="宋体"/>
          <w:b/>
          <w:sz w:val="24"/>
          <w:szCs w:val="24"/>
          <w:highlight w:val="none"/>
        </w:rPr>
      </w:pP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r>
        <w:rPr>
          <w:rFonts w:hint="eastAsia" w:ascii="宋体" w:hAnsi="宋体" w:eastAsia="宋体" w:cs="宋体"/>
          <w:sz w:val="24"/>
          <w:szCs w:val="24"/>
          <w:highlight w:val="none"/>
          <w:u w:val="single"/>
        </w:rPr>
        <w:t xml:space="preserve">    </w:t>
      </w:r>
    </w:p>
    <w:p w14:paraId="25AF7DF8">
      <w:pPr>
        <w:shd w:val="clear" w:color="auto" w:fill="auto"/>
        <w:spacing w:before="100" w:beforeAutospacing="1"/>
        <w:ind w:firstLine="420"/>
        <w:rPr>
          <w:rFonts w:hint="eastAsia" w:ascii="宋体" w:hAnsi="宋体" w:cs="宋体"/>
          <w:b/>
          <w:bCs/>
          <w:kern w:val="0"/>
          <w:szCs w:val="21"/>
          <w:highlight w:val="none"/>
        </w:rPr>
      </w:pPr>
    </w:p>
    <w:p w14:paraId="3593139B">
      <w:pPr>
        <w:pStyle w:val="6"/>
        <w:shd w:val="clear" w:color="auto" w:fill="auto"/>
        <w:rPr>
          <w:rFonts w:hint="eastAsia" w:ascii="宋体" w:hAnsi="宋体" w:eastAsia="宋体" w:cs="宋体"/>
          <w:color w:val="000000"/>
          <w:sz w:val="24"/>
          <w:szCs w:val="24"/>
          <w:highlight w:val="none"/>
          <w:lang w:eastAsia="zh-CN"/>
        </w:rPr>
      </w:pPr>
      <w:r>
        <w:rPr>
          <w:rFonts w:hint="eastAsia"/>
          <w:highlight w:val="none"/>
        </w:rPr>
        <w:t>说明：仅限</w:t>
      </w:r>
      <w:r>
        <w:rPr>
          <w:rFonts w:hint="eastAsia"/>
          <w:highlight w:val="none"/>
          <w:lang w:eastAsia="zh-CN"/>
        </w:rPr>
        <w:t>自然人</w:t>
      </w:r>
      <w:r>
        <w:rPr>
          <w:rFonts w:hint="eastAsia"/>
          <w:highlight w:val="none"/>
        </w:rPr>
        <w:t>参加投标时提供，法定代表人</w:t>
      </w:r>
      <w:r>
        <w:rPr>
          <w:rFonts w:hint="eastAsia"/>
          <w:highlight w:val="none"/>
          <w:lang w:eastAsia="zh-CN"/>
        </w:rPr>
        <w:t>或法定代表授权委托人</w:t>
      </w:r>
      <w:r>
        <w:rPr>
          <w:rFonts w:hint="eastAsia"/>
          <w:highlight w:val="none"/>
        </w:rPr>
        <w:t>参与本次投标的，本页可删除</w:t>
      </w:r>
      <w:r>
        <w:rPr>
          <w:rFonts w:hint="eastAsia"/>
          <w:highlight w:val="none"/>
        </w:rPr>
        <w:br w:type="page"/>
      </w:r>
      <w:r>
        <w:rPr>
          <w:rFonts w:hint="eastAsia" w:ascii="宋体" w:hAnsi="宋体" w:eastAsia="宋体" w:cs="宋体"/>
          <w:color w:val="000000"/>
          <w:sz w:val="24"/>
          <w:szCs w:val="24"/>
          <w:highlight w:val="none"/>
        </w:rPr>
        <w:t>4、</w:t>
      </w:r>
      <w:r>
        <w:rPr>
          <w:rFonts w:hint="eastAsia" w:ascii="宋体" w:hAnsi="宋体" w:cs="宋体"/>
          <w:color w:val="000000"/>
          <w:sz w:val="24"/>
          <w:szCs w:val="24"/>
          <w:highlight w:val="none"/>
          <w:lang w:eastAsia="zh-CN"/>
        </w:rPr>
        <w:t>供应商为代理商的须提供《食品经营许可证》并提供大米、面粉、菜籽油生产厂家的《食品生产许可证》；供应商为生产厂家的须提供《食品生产许可证》</w:t>
      </w:r>
    </w:p>
    <w:p w14:paraId="370A2549">
      <w:pPr>
        <w:pStyle w:val="3"/>
        <w:shd w:val="clear" w:color="auto" w:fill="auto"/>
        <w:spacing w:before="0" w:after="0" w:line="360" w:lineRule="auto"/>
        <w:ind w:firstLine="0" w:firstLineChars="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lang w:eastAsia="zh-CN"/>
        </w:rPr>
        <w:t>、</w:t>
      </w:r>
      <w:r>
        <w:rPr>
          <w:rFonts w:hint="eastAsia" w:ascii="宋体" w:hAnsi="宋体" w:eastAsia="宋体" w:cs="宋体"/>
          <w:sz w:val="24"/>
          <w:szCs w:val="24"/>
          <w:lang w:eastAsia="zh-CN"/>
        </w:rPr>
        <w:t>供应商需提供鸡蛋、肉类生产企业有效期内的《动物防疫条件合格证》；鲜肉必须提供定点屠宰厂(场)的《生猪定点屠宰机构》资质</w:t>
      </w:r>
    </w:p>
    <w:p w14:paraId="04A7EC17">
      <w:pPr>
        <w:pStyle w:val="3"/>
        <w:shd w:val="clear" w:color="auto" w:fill="auto"/>
        <w:spacing w:before="0" w:after="0" w:line="360" w:lineRule="auto"/>
        <w:ind w:firstLine="0" w:firstLineChars="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具备履行合同所必须的设备和专业技术能力的说明及承诺</w:t>
      </w:r>
    </w:p>
    <w:p w14:paraId="211638ED">
      <w:pPr>
        <w:pageBreakBefore w:val="0"/>
        <w:kinsoku/>
        <w:wordWrap w:val="0"/>
        <w:overflowPunct/>
        <w:topLinePunct w:val="0"/>
        <w:bidi w:val="0"/>
        <w:spacing w:before="66" w:line="360" w:lineRule="auto"/>
        <w:jc w:val="center"/>
        <w:rPr>
          <w:rFonts w:hint="eastAsia" w:ascii="宋体" w:hAnsi="宋体" w:cs="宋体"/>
          <w:color w:val="auto"/>
          <w:spacing w:val="-1"/>
          <w:position w:val="5"/>
          <w:sz w:val="24"/>
          <w:szCs w:val="24"/>
          <w:highlight w:val="none"/>
          <w:lang w:eastAsia="zh-CN"/>
        </w:rPr>
      </w:pPr>
      <w:r>
        <w:rPr>
          <w:rFonts w:hint="eastAsia" w:ascii="宋体" w:hAnsi="宋体" w:cs="宋体"/>
          <w:color w:val="auto"/>
          <w:spacing w:val="-1"/>
          <w:position w:val="5"/>
          <w:sz w:val="24"/>
          <w:szCs w:val="24"/>
          <w:highlight w:val="none"/>
          <w:lang w:eastAsia="zh-CN"/>
        </w:rPr>
        <w:t>（格式）</w:t>
      </w:r>
    </w:p>
    <w:p w14:paraId="245D8EB8">
      <w:pPr>
        <w:pageBreakBefore w:val="0"/>
        <w:kinsoku/>
        <w:wordWrap w:val="0"/>
        <w:overflowPunct/>
        <w:topLinePunct w:val="0"/>
        <w:bidi w:val="0"/>
        <w:spacing w:before="66" w:line="360" w:lineRule="auto"/>
        <w:rPr>
          <w:rFonts w:hint="eastAsia" w:ascii="宋体" w:hAnsi="宋体" w:cs="宋体"/>
          <w:color w:val="auto"/>
          <w:spacing w:val="-1"/>
          <w:position w:val="5"/>
          <w:sz w:val="24"/>
          <w:szCs w:val="24"/>
          <w:highlight w:val="none"/>
          <w:lang w:eastAsia="zh-CN"/>
        </w:rPr>
      </w:pPr>
    </w:p>
    <w:p w14:paraId="7A360AAA">
      <w:pPr>
        <w:pageBreakBefore w:val="0"/>
        <w:kinsoku/>
        <w:wordWrap w:val="0"/>
        <w:overflowPunct/>
        <w:topLinePunct w:val="0"/>
        <w:bidi w:val="0"/>
        <w:spacing w:before="66" w:line="360" w:lineRule="auto"/>
        <w:rPr>
          <w:rFonts w:hint="eastAsia" w:ascii="宋体" w:hAnsi="宋体" w:eastAsia="宋体" w:cs="宋体"/>
          <w:color w:val="auto"/>
          <w:spacing w:val="-1"/>
          <w:position w:val="5"/>
          <w:sz w:val="24"/>
          <w:szCs w:val="24"/>
          <w:highlight w:val="none"/>
        </w:rPr>
      </w:pPr>
      <w:r>
        <w:rPr>
          <w:rFonts w:hint="eastAsia" w:ascii="宋体" w:hAnsi="宋体" w:cs="宋体"/>
          <w:color w:val="auto"/>
          <w:spacing w:val="-1"/>
          <w:position w:val="5"/>
          <w:sz w:val="24"/>
          <w:szCs w:val="24"/>
          <w:highlight w:val="none"/>
          <w:lang w:val="en-US" w:eastAsia="zh-CN"/>
        </w:rPr>
        <w:t>扶风县教育体育局/</w:t>
      </w:r>
      <w:r>
        <w:rPr>
          <w:rFonts w:hint="eastAsia" w:ascii="宋体" w:hAnsi="宋体" w:cs="宋体"/>
          <w:color w:val="auto"/>
          <w:spacing w:val="-1"/>
          <w:position w:val="5"/>
          <w:sz w:val="24"/>
          <w:szCs w:val="24"/>
          <w:highlight w:val="none"/>
          <w:lang w:eastAsia="zh-CN"/>
        </w:rPr>
        <w:t>陕西天沃工程项目管理有限公司</w:t>
      </w:r>
      <w:r>
        <w:rPr>
          <w:rFonts w:hint="eastAsia" w:ascii="宋体" w:hAnsi="宋体" w:eastAsia="宋体" w:cs="宋体"/>
          <w:color w:val="auto"/>
          <w:spacing w:val="-1"/>
          <w:position w:val="5"/>
          <w:sz w:val="24"/>
          <w:szCs w:val="24"/>
          <w:highlight w:val="none"/>
        </w:rPr>
        <w:t>：</w:t>
      </w:r>
    </w:p>
    <w:p w14:paraId="0B56A1EA">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r>
        <w:rPr>
          <w:rFonts w:hint="eastAsia" w:ascii="宋体" w:hAnsi="宋体" w:eastAsia="宋体" w:cs="宋体"/>
          <w:color w:val="auto"/>
          <w:spacing w:val="-1"/>
          <w:position w:val="5"/>
          <w:sz w:val="24"/>
          <w:szCs w:val="24"/>
          <w:highlight w:val="none"/>
        </w:rPr>
        <w:t>我方作为（</w:t>
      </w:r>
      <w:r>
        <w:rPr>
          <w:rFonts w:hint="eastAsia" w:ascii="宋体" w:hAnsi="宋体" w:eastAsia="宋体" w:cs="宋体"/>
          <w:color w:val="auto"/>
          <w:spacing w:val="-1"/>
          <w:position w:val="5"/>
          <w:sz w:val="24"/>
          <w:szCs w:val="24"/>
          <w:highlight w:val="none"/>
          <w:u w:val="single"/>
        </w:rPr>
        <w:t>项目名称：</w:t>
      </w:r>
      <w:r>
        <w:rPr>
          <w:rFonts w:hint="eastAsia" w:ascii="宋体" w:hAnsi="宋体" w:eastAsia="宋体" w:cs="宋体"/>
          <w:b/>
          <w:bCs/>
          <w:color w:val="auto"/>
          <w:spacing w:val="-1"/>
          <w:position w:val="5"/>
          <w:sz w:val="24"/>
          <w:szCs w:val="24"/>
          <w:highlight w:val="none"/>
          <w:u w:val="single"/>
          <w:lang w:eastAsia="zh-CN"/>
        </w:rPr>
        <w:t>扶风县农村义务教育学生营养改善计划学校食堂食材采购（    标段）</w:t>
      </w:r>
      <w:r>
        <w:rPr>
          <w:rFonts w:hint="eastAsia" w:ascii="宋体" w:hAnsi="宋体" w:cs="宋体"/>
          <w:b/>
          <w:bCs/>
          <w:color w:val="auto"/>
          <w:spacing w:val="-1"/>
          <w:position w:val="5"/>
          <w:sz w:val="24"/>
          <w:szCs w:val="24"/>
          <w:highlight w:val="none"/>
          <w:u w:val="single"/>
          <w:lang w:val="en-US" w:eastAsia="zh-CN"/>
        </w:rPr>
        <w:t xml:space="preserve"> </w:t>
      </w:r>
      <w:r>
        <w:rPr>
          <w:rFonts w:hint="eastAsia" w:ascii="宋体" w:hAnsi="宋体" w:eastAsia="宋体" w:cs="宋体"/>
          <w:color w:val="auto"/>
          <w:spacing w:val="-1"/>
          <w:position w:val="5"/>
          <w:sz w:val="24"/>
          <w:szCs w:val="24"/>
          <w:highlight w:val="none"/>
          <w:u w:val="single"/>
        </w:rPr>
        <w:t>项目编号：</w:t>
      </w:r>
      <w:r>
        <w:rPr>
          <w:rFonts w:hint="eastAsia" w:ascii="宋体" w:hAnsi="宋体" w:eastAsia="宋体" w:cs="宋体"/>
          <w:b/>
          <w:bCs/>
          <w:color w:val="auto"/>
          <w:spacing w:val="-1"/>
          <w:position w:val="5"/>
          <w:sz w:val="24"/>
          <w:szCs w:val="24"/>
          <w:highlight w:val="none"/>
          <w:u w:val="single"/>
          <w:lang w:eastAsia="zh-CN"/>
        </w:rPr>
        <w:t>TWZB2026-116</w:t>
      </w:r>
      <w:r>
        <w:rPr>
          <w:rFonts w:hint="eastAsia" w:ascii="宋体" w:hAnsi="宋体" w:eastAsia="宋体" w:cs="宋体"/>
          <w:color w:val="auto"/>
          <w:spacing w:val="-1"/>
          <w:position w:val="5"/>
          <w:sz w:val="24"/>
          <w:szCs w:val="24"/>
          <w:highlight w:val="none"/>
          <w:u w:val="single"/>
        </w:rPr>
        <w:t xml:space="preserve"> </w:t>
      </w:r>
      <w:r>
        <w:rPr>
          <w:rFonts w:hint="eastAsia" w:ascii="宋体" w:hAnsi="宋体" w:eastAsia="宋体" w:cs="宋体"/>
          <w:color w:val="auto"/>
          <w:spacing w:val="-1"/>
          <w:position w:val="5"/>
          <w:sz w:val="24"/>
          <w:szCs w:val="24"/>
          <w:highlight w:val="none"/>
        </w:rPr>
        <w:t>)的供应商，在此郑重声明：</w:t>
      </w:r>
    </w:p>
    <w:p w14:paraId="0FC15BCC">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r>
        <w:rPr>
          <w:rFonts w:hint="eastAsia" w:ascii="宋体" w:hAnsi="宋体" w:eastAsia="宋体" w:cs="宋体"/>
          <w:color w:val="auto"/>
          <w:spacing w:val="-1"/>
          <w:position w:val="5"/>
          <w:sz w:val="24"/>
          <w:szCs w:val="24"/>
          <w:highlight w:val="none"/>
        </w:rPr>
        <w:t>1、我方具备履行</w:t>
      </w:r>
      <w:r>
        <w:rPr>
          <w:rFonts w:hint="eastAsia" w:ascii="宋体" w:hAnsi="宋体" w:eastAsia="宋体" w:cs="宋体"/>
          <w:color w:val="auto"/>
          <w:spacing w:val="-1"/>
          <w:position w:val="5"/>
          <w:sz w:val="24"/>
          <w:szCs w:val="24"/>
          <w:highlight w:val="none"/>
          <w:lang w:eastAsia="zh-CN"/>
        </w:rPr>
        <w:t>合同</w:t>
      </w:r>
      <w:r>
        <w:rPr>
          <w:rFonts w:hint="eastAsia" w:ascii="宋体" w:hAnsi="宋体" w:eastAsia="宋体" w:cs="宋体"/>
          <w:color w:val="auto"/>
          <w:spacing w:val="-1"/>
          <w:position w:val="5"/>
          <w:sz w:val="24"/>
          <w:szCs w:val="24"/>
          <w:highlight w:val="none"/>
        </w:rPr>
        <w:t>所必须的设备和专业技术服务能力。</w:t>
      </w:r>
    </w:p>
    <w:p w14:paraId="6049E8E6">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r>
        <w:rPr>
          <w:rFonts w:hint="eastAsia" w:ascii="宋体" w:hAnsi="宋体" w:eastAsia="宋体" w:cs="宋体"/>
          <w:color w:val="auto"/>
          <w:spacing w:val="-1"/>
          <w:position w:val="5"/>
          <w:sz w:val="24"/>
          <w:szCs w:val="24"/>
          <w:highlight w:val="none"/>
        </w:rPr>
        <w:t>如有不实，我方将无条件地退出本项目的采购活动，并遵照《</w:t>
      </w:r>
      <w:r>
        <w:rPr>
          <w:rFonts w:hint="eastAsia" w:ascii="宋体" w:hAnsi="宋体" w:cs="宋体"/>
          <w:color w:val="auto"/>
          <w:spacing w:val="-1"/>
          <w:position w:val="5"/>
          <w:sz w:val="24"/>
          <w:szCs w:val="24"/>
          <w:highlight w:val="none"/>
          <w:lang w:eastAsia="zh-CN"/>
        </w:rPr>
        <w:t>中华人民共和国</w:t>
      </w:r>
      <w:r>
        <w:rPr>
          <w:rFonts w:hint="eastAsia" w:ascii="宋体" w:hAnsi="宋体" w:eastAsia="宋体" w:cs="宋体"/>
          <w:color w:val="auto"/>
          <w:spacing w:val="-1"/>
          <w:position w:val="5"/>
          <w:sz w:val="24"/>
          <w:szCs w:val="24"/>
          <w:highlight w:val="none"/>
        </w:rPr>
        <w:t>政府采购法》有关“提供虚假材料的规定”接受处罚。</w:t>
      </w:r>
    </w:p>
    <w:p w14:paraId="2FBD94A6">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r>
        <w:rPr>
          <w:rFonts w:hint="eastAsia" w:ascii="宋体" w:hAnsi="宋体" w:eastAsia="宋体" w:cs="宋体"/>
          <w:color w:val="auto"/>
          <w:spacing w:val="-1"/>
          <w:position w:val="5"/>
          <w:sz w:val="24"/>
          <w:szCs w:val="24"/>
          <w:highlight w:val="none"/>
        </w:rPr>
        <w:t>特此声明。</w:t>
      </w:r>
    </w:p>
    <w:p w14:paraId="46BA4FC2">
      <w:pPr>
        <w:pageBreakBefore w:val="0"/>
        <w:kinsoku/>
        <w:wordWrap w:val="0"/>
        <w:overflowPunct/>
        <w:topLinePunct w:val="0"/>
        <w:bidi w:val="0"/>
        <w:spacing w:before="66" w:line="360" w:lineRule="auto"/>
        <w:rPr>
          <w:rFonts w:hint="eastAsia" w:ascii="宋体" w:hAnsi="宋体" w:eastAsia="宋体" w:cs="宋体"/>
          <w:color w:val="auto"/>
          <w:spacing w:val="-1"/>
          <w:position w:val="5"/>
          <w:sz w:val="24"/>
          <w:szCs w:val="24"/>
          <w:highlight w:val="none"/>
        </w:rPr>
      </w:pPr>
    </w:p>
    <w:p w14:paraId="1E74F5A0">
      <w:pPr>
        <w:pageBreakBefore w:val="0"/>
        <w:kinsoku/>
        <w:wordWrap w:val="0"/>
        <w:overflowPunct/>
        <w:topLinePunct w:val="0"/>
        <w:bidi w:val="0"/>
        <w:spacing w:before="66" w:line="360" w:lineRule="auto"/>
        <w:rPr>
          <w:rFonts w:hint="eastAsia" w:ascii="宋体" w:hAnsi="宋体" w:eastAsia="宋体" w:cs="宋体"/>
          <w:color w:val="auto"/>
          <w:spacing w:val="-1"/>
          <w:position w:val="5"/>
          <w:sz w:val="24"/>
          <w:szCs w:val="24"/>
          <w:highlight w:val="none"/>
        </w:rPr>
      </w:pPr>
    </w:p>
    <w:p w14:paraId="0F7C7C30">
      <w:pPr>
        <w:pageBreakBefore w:val="0"/>
        <w:kinsoku/>
        <w:wordWrap w:val="0"/>
        <w:overflowPunct/>
        <w:topLinePunct w:val="0"/>
        <w:bidi w:val="0"/>
        <w:spacing w:before="66" w:line="360" w:lineRule="auto"/>
        <w:rPr>
          <w:rFonts w:hint="eastAsia" w:ascii="宋体" w:hAnsi="宋体" w:eastAsia="宋体" w:cs="宋体"/>
          <w:color w:val="auto"/>
          <w:spacing w:val="-1"/>
          <w:position w:val="5"/>
          <w:sz w:val="24"/>
          <w:szCs w:val="24"/>
          <w:highlight w:val="none"/>
        </w:rPr>
      </w:pPr>
    </w:p>
    <w:p w14:paraId="0FF10E44">
      <w:pPr>
        <w:pageBreakBefore w:val="0"/>
        <w:kinsoku/>
        <w:wordWrap w:val="0"/>
        <w:overflowPunct/>
        <w:topLinePunct w:val="0"/>
        <w:bidi w:val="0"/>
        <w:spacing w:before="66" w:line="360" w:lineRule="auto"/>
        <w:rPr>
          <w:rFonts w:hint="eastAsia" w:ascii="宋体" w:hAnsi="宋体" w:eastAsia="宋体" w:cs="宋体"/>
          <w:color w:val="auto"/>
          <w:spacing w:val="-1"/>
          <w:position w:val="5"/>
          <w:sz w:val="24"/>
          <w:szCs w:val="24"/>
          <w:highlight w:val="none"/>
        </w:rPr>
      </w:pPr>
      <w:r>
        <w:rPr>
          <w:rFonts w:hint="eastAsia" w:ascii="宋体" w:hAnsi="宋体" w:eastAsia="宋体" w:cs="宋体"/>
          <w:color w:val="auto"/>
          <w:spacing w:val="-1"/>
          <w:position w:val="5"/>
          <w:sz w:val="24"/>
          <w:szCs w:val="24"/>
          <w:highlight w:val="none"/>
        </w:rPr>
        <w:t xml:space="preserve">供应商：名称(加盖公章)        </w:t>
      </w:r>
    </w:p>
    <w:p w14:paraId="6950989A">
      <w:pPr>
        <w:pageBreakBefore w:val="0"/>
        <w:kinsoku/>
        <w:wordWrap w:val="0"/>
        <w:overflowPunct/>
        <w:topLinePunct w:val="0"/>
        <w:bidi w:val="0"/>
        <w:spacing w:before="6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法定代表人或授权代表</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（签字或盖章）</w:t>
      </w:r>
    </w:p>
    <w:p w14:paraId="248E8D37">
      <w:pPr>
        <w:pageBreakBefore w:val="0"/>
        <w:kinsoku/>
        <w:wordWrap w:val="0"/>
        <w:overflowPunct/>
        <w:topLinePunct w:val="0"/>
        <w:bidi w:val="0"/>
        <w:spacing w:before="66"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color w:val="auto"/>
          <w:spacing w:val="-1"/>
          <w:position w:val="5"/>
          <w:sz w:val="24"/>
          <w:szCs w:val="24"/>
          <w:highlight w:val="none"/>
        </w:rPr>
        <w:t>日期：  年  月  日</w:t>
      </w:r>
    </w:p>
    <w:p w14:paraId="79C18B8A">
      <w:pPr>
        <w:pStyle w:val="3"/>
        <w:shd w:val="clear" w:color="auto" w:fill="auto"/>
        <w:spacing w:before="0" w:after="0" w:line="360" w:lineRule="auto"/>
        <w:ind w:firstLine="0" w:firstLineChars="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、供应商在近三年经营活动中没有重大违法记录的声明</w:t>
      </w:r>
    </w:p>
    <w:p w14:paraId="57E6A75C">
      <w:pPr>
        <w:pageBreakBefore w:val="0"/>
        <w:kinsoku/>
        <w:wordWrap w:val="0"/>
        <w:overflowPunct/>
        <w:topLinePunct w:val="0"/>
        <w:bidi w:val="0"/>
        <w:spacing w:line="360" w:lineRule="auto"/>
        <w:jc w:val="center"/>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（格式）</w:t>
      </w:r>
    </w:p>
    <w:p w14:paraId="37C1E2F7">
      <w:pPr>
        <w:pageBreakBefore w:val="0"/>
        <w:kinsoku/>
        <w:wordWrap w:val="0"/>
        <w:overflowPunct/>
        <w:topLinePunct w:val="0"/>
        <w:bidi w:val="0"/>
        <w:spacing w:line="360" w:lineRule="auto"/>
        <w:rPr>
          <w:rFonts w:hint="eastAsia" w:ascii="宋体" w:hAnsi="宋体" w:cs="宋体"/>
          <w:color w:val="auto"/>
          <w:sz w:val="24"/>
          <w:szCs w:val="24"/>
          <w:highlight w:val="none"/>
          <w:lang w:eastAsia="zh-CN"/>
        </w:rPr>
      </w:pPr>
    </w:p>
    <w:p w14:paraId="2EF26A39">
      <w:pPr>
        <w:pageBreakBefore w:val="0"/>
        <w:kinsoku/>
        <w:wordWrap w:val="0"/>
        <w:overflowPunct/>
        <w:topLinePunct w:val="0"/>
        <w:bidi w:val="0"/>
        <w:spacing w:line="360" w:lineRule="auto"/>
        <w:rPr>
          <w:rFonts w:hint="eastAsia" w:ascii="宋体" w:hAnsi="宋体" w:cs="宋体"/>
          <w:color w:val="auto"/>
          <w:sz w:val="24"/>
          <w:szCs w:val="24"/>
          <w:highlight w:val="none"/>
          <w:lang w:eastAsia="zh-CN"/>
        </w:rPr>
      </w:pPr>
    </w:p>
    <w:p w14:paraId="43F04404">
      <w:pPr>
        <w:pageBreakBefore w:val="0"/>
        <w:kinsoku/>
        <w:wordWrap w:val="0"/>
        <w:overflowPunct/>
        <w:topLinePunct w:val="0"/>
        <w:bidi w:val="0"/>
        <w:spacing w:line="360" w:lineRule="auto"/>
        <w:ind w:left="0" w:leftChars="0" w:firstLine="480" w:firstLineChars="20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扶风县教育体育局/陕西天沃工程项目管理有限公司：</w:t>
      </w:r>
    </w:p>
    <w:p w14:paraId="3BA19A93">
      <w:pPr>
        <w:pageBreakBefore w:val="0"/>
        <w:kinsoku/>
        <w:wordWrap w:val="0"/>
        <w:overflowPunct/>
        <w:topLinePunct w:val="0"/>
        <w:bidi w:val="0"/>
        <w:spacing w:line="360" w:lineRule="auto"/>
        <w:ind w:left="0" w:leftChars="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none"/>
          <w:lang w:eastAsia="zh-CN"/>
        </w:rPr>
        <w:t>本单位</w:t>
      </w:r>
      <w:r>
        <w:rPr>
          <w:rFonts w:hint="eastAsia" w:ascii="宋体" w:hAnsi="宋体" w:eastAsia="宋体" w:cs="宋体"/>
          <w:color w:val="auto"/>
          <w:sz w:val="24"/>
          <w:szCs w:val="24"/>
          <w:highlight w:val="none"/>
        </w:rPr>
        <w:t>在此郑重声明，我公司在参与本次政府采购活动前3年内在经营活动中没有重大违法记录。本单位对上述声明的真实性负责。如有虚假，将依法承担相应责任</w:t>
      </w:r>
      <w:r>
        <w:rPr>
          <w:rFonts w:hint="eastAsia" w:ascii="宋体" w:hAnsi="宋体" w:eastAsia="宋体" w:cs="宋体"/>
          <w:color w:val="auto"/>
          <w:sz w:val="24"/>
          <w:szCs w:val="24"/>
          <w:highlight w:val="none"/>
          <w:lang w:eastAsia="zh-CN"/>
        </w:rPr>
        <w:t>。</w:t>
      </w:r>
    </w:p>
    <w:p w14:paraId="4484213D">
      <w:pPr>
        <w:pageBreakBefore w:val="0"/>
        <w:kinsoku/>
        <w:wordWrap w:val="0"/>
        <w:overflowPunct/>
        <w:topLinePunct w:val="0"/>
        <w:bidi w:val="0"/>
        <w:spacing w:line="360" w:lineRule="auto"/>
        <w:jc w:val="center"/>
        <w:rPr>
          <w:rFonts w:hint="eastAsia" w:ascii="宋体" w:hAnsi="宋体" w:eastAsia="宋体" w:cs="宋体"/>
          <w:color w:val="auto"/>
          <w:sz w:val="24"/>
          <w:szCs w:val="24"/>
          <w:highlight w:val="none"/>
        </w:rPr>
      </w:pPr>
    </w:p>
    <w:p w14:paraId="2BE5D6AD">
      <w:pPr>
        <w:pageBreakBefore w:val="0"/>
        <w:kinsoku/>
        <w:wordWrap w:val="0"/>
        <w:overflowPunct/>
        <w:topLinePunct w:val="0"/>
        <w:bidi w:val="0"/>
        <w:spacing w:line="360" w:lineRule="auto"/>
        <w:ind w:firstLine="960" w:firstLineChars="400"/>
        <w:jc w:val="both"/>
        <w:rPr>
          <w:rFonts w:hint="eastAsia" w:ascii="宋体" w:hAnsi="宋体" w:eastAsia="宋体" w:cs="宋体"/>
          <w:color w:val="auto"/>
          <w:sz w:val="24"/>
          <w:szCs w:val="24"/>
          <w:highlight w:val="none"/>
        </w:rPr>
      </w:pPr>
    </w:p>
    <w:p w14:paraId="11937AA2">
      <w:pPr>
        <w:pageBreakBefore w:val="0"/>
        <w:kinsoku/>
        <w:wordWrap w:val="0"/>
        <w:overflowPunct/>
        <w:topLinePunct w:val="0"/>
        <w:bidi w:val="0"/>
        <w:spacing w:line="360" w:lineRule="auto"/>
        <w:ind w:firstLine="960" w:firstLineChars="400"/>
        <w:jc w:val="both"/>
        <w:rPr>
          <w:rFonts w:hint="eastAsia" w:ascii="宋体" w:hAnsi="宋体" w:eastAsia="宋体" w:cs="宋体"/>
          <w:color w:val="auto"/>
          <w:sz w:val="24"/>
          <w:szCs w:val="24"/>
          <w:highlight w:val="none"/>
        </w:rPr>
      </w:pPr>
    </w:p>
    <w:p w14:paraId="7499A655">
      <w:pPr>
        <w:pageBreakBefore w:val="0"/>
        <w:kinsoku/>
        <w:wordWrap w:val="0"/>
        <w:overflowPunct/>
        <w:topLinePunct w:val="0"/>
        <w:bidi w:val="0"/>
        <w:spacing w:line="360" w:lineRule="auto"/>
        <w:ind w:firstLine="960" w:firstLineChars="400"/>
        <w:jc w:val="both"/>
        <w:rPr>
          <w:rFonts w:hint="eastAsia" w:ascii="宋体" w:hAnsi="宋体" w:eastAsia="宋体" w:cs="宋体"/>
          <w:color w:val="auto"/>
          <w:sz w:val="24"/>
          <w:szCs w:val="24"/>
          <w:highlight w:val="none"/>
        </w:rPr>
      </w:pPr>
    </w:p>
    <w:p w14:paraId="12AD5D44">
      <w:pPr>
        <w:pageBreakBefore w:val="0"/>
        <w:kinsoku/>
        <w:wordWrap w:val="0"/>
        <w:overflowPunct/>
        <w:topLinePunct w:val="0"/>
        <w:bidi w:val="0"/>
        <w:spacing w:line="360" w:lineRule="auto"/>
        <w:ind w:firstLine="960" w:firstLineChars="400"/>
        <w:jc w:val="both"/>
        <w:rPr>
          <w:rFonts w:hint="eastAsia" w:ascii="宋体" w:hAnsi="宋体" w:eastAsia="宋体" w:cs="宋体"/>
          <w:color w:val="auto"/>
          <w:sz w:val="24"/>
          <w:szCs w:val="24"/>
          <w:highlight w:val="none"/>
        </w:rPr>
      </w:pPr>
    </w:p>
    <w:p w14:paraId="026AFE22">
      <w:pPr>
        <w:pageBreakBefore w:val="0"/>
        <w:kinsoku/>
        <w:wordWrap w:val="0"/>
        <w:overflowPunct/>
        <w:topLinePunct w:val="0"/>
        <w:bidi w:val="0"/>
        <w:spacing w:line="360" w:lineRule="auto"/>
        <w:ind w:firstLine="960" w:firstLineChars="400"/>
        <w:jc w:val="both"/>
        <w:rPr>
          <w:rFonts w:hint="eastAsia" w:ascii="宋体" w:hAnsi="宋体" w:eastAsia="宋体" w:cs="宋体"/>
          <w:color w:val="auto"/>
          <w:sz w:val="24"/>
          <w:szCs w:val="24"/>
          <w:highlight w:val="none"/>
        </w:rPr>
      </w:pPr>
    </w:p>
    <w:p w14:paraId="5DC55D64">
      <w:pPr>
        <w:pageBreakBefore w:val="0"/>
        <w:kinsoku/>
        <w:wordWrap w:val="0"/>
        <w:overflowPunct/>
        <w:topLinePunct w:val="0"/>
        <w:bidi w:val="0"/>
        <w:spacing w:line="360" w:lineRule="auto"/>
        <w:ind w:firstLine="960" w:firstLineChars="400"/>
        <w:jc w:val="both"/>
        <w:rPr>
          <w:rFonts w:hint="eastAsia" w:ascii="宋体" w:hAnsi="宋体" w:eastAsia="宋体" w:cs="宋体"/>
          <w:color w:val="auto"/>
          <w:sz w:val="24"/>
          <w:szCs w:val="24"/>
          <w:highlight w:val="none"/>
        </w:rPr>
      </w:pPr>
    </w:p>
    <w:p w14:paraId="2D36A566">
      <w:pPr>
        <w:pageBreakBefore w:val="0"/>
        <w:kinsoku/>
        <w:wordWrap w:val="0"/>
        <w:overflowPunct/>
        <w:topLinePunct w:val="0"/>
        <w:bidi w:val="0"/>
        <w:spacing w:line="360" w:lineRule="auto"/>
        <w:ind w:firstLine="960" w:firstLineChars="400"/>
        <w:jc w:val="both"/>
        <w:rPr>
          <w:rFonts w:hint="eastAsia" w:ascii="宋体" w:hAnsi="宋体" w:eastAsia="宋体" w:cs="宋体"/>
          <w:color w:val="auto"/>
          <w:sz w:val="24"/>
          <w:szCs w:val="24"/>
          <w:highlight w:val="none"/>
        </w:rPr>
      </w:pPr>
    </w:p>
    <w:p w14:paraId="22AE43AA">
      <w:pPr>
        <w:pageBreakBefore w:val="0"/>
        <w:kinsoku/>
        <w:wordWrap w:val="0"/>
        <w:overflowPunct/>
        <w:topLinePunct w:val="0"/>
        <w:bidi w:val="0"/>
        <w:spacing w:line="360" w:lineRule="auto"/>
        <w:ind w:firstLine="960" w:firstLineChars="4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lang w:val="en-US" w:eastAsia="zh-CN"/>
        </w:rPr>
        <w:t>:（公章）</w:t>
      </w:r>
      <w:r>
        <w:rPr>
          <w:rFonts w:hint="eastAsia" w:ascii="宋体" w:hAnsi="宋体" w:eastAsia="宋体" w:cs="宋体"/>
          <w:color w:val="auto"/>
          <w:sz w:val="24"/>
          <w:szCs w:val="24"/>
          <w:highlight w:val="none"/>
        </w:rPr>
        <w:t xml:space="preserve">                   </w:t>
      </w:r>
    </w:p>
    <w:p w14:paraId="09C2D83D">
      <w:pPr>
        <w:pageBreakBefore w:val="0"/>
        <w:kinsoku/>
        <w:wordWrap w:val="0"/>
        <w:overflowPunct/>
        <w:topLinePunct w:val="0"/>
        <w:bidi w:val="0"/>
        <w:spacing w:line="360" w:lineRule="auto"/>
        <w:ind w:firstLine="960" w:firstLineChars="4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法定代表人或授权代表</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（签字或盖章）</w:t>
      </w:r>
    </w:p>
    <w:p w14:paraId="24E2E24C">
      <w:pPr>
        <w:pageBreakBefore w:val="0"/>
        <w:kinsoku/>
        <w:wordWrap w:val="0"/>
        <w:overflowPunct/>
        <w:topLinePunct w:val="0"/>
        <w:bidi w:val="0"/>
        <w:spacing w:line="360" w:lineRule="auto"/>
        <w:ind w:firstLine="960" w:firstLineChars="400"/>
        <w:jc w:val="both"/>
        <w:rPr>
          <w:rFonts w:hint="eastAsia" w:ascii="宋体" w:hAnsi="宋体" w:cs="宋体"/>
          <w:b/>
          <w:bCs/>
          <w:color w:val="auto"/>
          <w:sz w:val="24"/>
          <w:szCs w:val="24"/>
          <w:highlight w:val="none"/>
        </w:rPr>
      </w:pPr>
      <w:r>
        <w:rPr>
          <w:rFonts w:hint="eastAsia" w:ascii="宋体" w:hAnsi="宋体" w:eastAsia="宋体" w:cs="宋体"/>
          <w:color w:val="auto"/>
          <w:sz w:val="24"/>
          <w:szCs w:val="24"/>
          <w:highlight w:val="none"/>
        </w:rPr>
        <w:t>年    月    日</w:t>
      </w:r>
    </w:p>
    <w:p w14:paraId="01B37455">
      <w:pPr>
        <w:pStyle w:val="3"/>
        <w:shd w:val="clear" w:color="auto" w:fill="auto"/>
        <w:spacing w:before="0" w:after="0" w:line="360" w:lineRule="auto"/>
        <w:ind w:firstLine="0" w:firstLineChars="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、财务状况报告</w:t>
      </w:r>
    </w:p>
    <w:p w14:paraId="15F51632">
      <w:pPr>
        <w:pStyle w:val="3"/>
        <w:shd w:val="clear" w:color="auto" w:fill="auto"/>
        <w:spacing w:before="0" w:after="0" w:line="360" w:lineRule="auto"/>
        <w:ind w:firstLine="0" w:firstLineChars="0"/>
        <w:jc w:val="left"/>
        <w:outlineLvl w:val="9"/>
        <w:rPr>
          <w:rFonts w:hint="eastAsia" w:ascii="宋体" w:hAnsi="宋体" w:eastAsia="宋体" w:cs="宋体"/>
          <w:color w:val="000000"/>
          <w:sz w:val="24"/>
          <w:szCs w:val="24"/>
          <w:highlight w:val="none"/>
        </w:rPr>
      </w:pPr>
    </w:p>
    <w:p w14:paraId="505820D3">
      <w:pPr>
        <w:pStyle w:val="3"/>
        <w:shd w:val="clear" w:color="auto" w:fill="auto"/>
        <w:spacing w:before="0" w:after="0" w:line="360" w:lineRule="auto"/>
        <w:ind w:firstLine="0" w:firstLineChars="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r>
      <w:r>
        <w:rPr>
          <w:rFonts w:hint="eastAsia" w:ascii="宋体" w:hAnsi="宋体" w:eastAsia="宋体" w:cs="宋体"/>
          <w:color w:val="000000"/>
          <w:sz w:val="24"/>
          <w:szCs w:val="24"/>
          <w:highlight w:val="none"/>
          <w:lang w:val="en-US" w:eastAsia="zh-CN"/>
        </w:rPr>
        <w:t>9</w:t>
      </w:r>
      <w:r>
        <w:rPr>
          <w:rFonts w:hint="eastAsia" w:ascii="宋体" w:hAnsi="宋体" w:eastAsia="宋体" w:cs="宋体"/>
          <w:color w:val="000000"/>
          <w:sz w:val="24"/>
          <w:szCs w:val="24"/>
          <w:highlight w:val="none"/>
        </w:rPr>
        <w:t>、税收缴纳证明</w:t>
      </w:r>
    </w:p>
    <w:p w14:paraId="4E19B004">
      <w:pPr>
        <w:pStyle w:val="3"/>
        <w:shd w:val="clear" w:color="auto" w:fill="auto"/>
        <w:spacing w:before="0" w:after="0" w:line="360" w:lineRule="auto"/>
        <w:ind w:firstLine="0" w:firstLineChars="0"/>
        <w:jc w:val="center"/>
        <w:rPr>
          <w:rFonts w:hint="eastAsia" w:ascii="宋体" w:hAnsi="宋体" w:eastAsia="宋体" w:cs="宋体"/>
          <w:color w:val="000000"/>
          <w:szCs w:val="28"/>
          <w:highlight w:val="none"/>
        </w:rPr>
      </w:pPr>
      <w:r>
        <w:rPr>
          <w:rFonts w:hint="eastAsia" w:ascii="宋体" w:hAnsi="宋体" w:eastAsia="宋体" w:cs="宋体"/>
          <w:color w:val="000000"/>
          <w:sz w:val="24"/>
          <w:szCs w:val="24"/>
          <w:highlight w:val="none"/>
        </w:rPr>
        <w:br w:type="page"/>
      </w:r>
      <w:r>
        <w:rPr>
          <w:rFonts w:hint="eastAsia" w:ascii="宋体" w:hAnsi="宋体" w:eastAsia="宋体" w:cs="宋体"/>
          <w:color w:val="000000"/>
          <w:sz w:val="24"/>
          <w:szCs w:val="24"/>
          <w:highlight w:val="none"/>
          <w:lang w:val="en-US" w:eastAsia="zh-CN"/>
        </w:rPr>
        <w:t>10</w:t>
      </w:r>
      <w:r>
        <w:rPr>
          <w:rFonts w:hint="eastAsia" w:ascii="宋体" w:hAnsi="宋体" w:eastAsia="宋体" w:cs="宋体"/>
          <w:color w:val="000000"/>
          <w:sz w:val="24"/>
          <w:szCs w:val="24"/>
          <w:highlight w:val="none"/>
        </w:rPr>
        <w:t>、社会保障资金缴纳证明</w:t>
      </w:r>
    </w:p>
    <w:p w14:paraId="5A069F57">
      <w:pPr>
        <w:pStyle w:val="3"/>
        <w:shd w:val="clear" w:color="auto" w:fill="auto"/>
        <w:spacing w:before="0" w:after="0" w:line="360" w:lineRule="auto"/>
        <w:ind w:firstLine="0" w:firstLineChars="0"/>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Cs w:val="28"/>
          <w:highlight w:val="none"/>
        </w:rPr>
        <w:br w:type="page"/>
      </w:r>
      <w:r>
        <w:rPr>
          <w:rFonts w:hint="eastAsia" w:ascii="宋体" w:hAnsi="宋体" w:eastAsia="宋体" w:cs="宋体"/>
          <w:b/>
          <w:color w:val="000000"/>
          <w:sz w:val="24"/>
          <w:szCs w:val="24"/>
          <w:highlight w:val="none"/>
          <w:lang w:val="en-US" w:eastAsia="zh-CN"/>
        </w:rPr>
        <w:t>11</w:t>
      </w:r>
      <w:r>
        <w:rPr>
          <w:rFonts w:hint="eastAsia" w:ascii="宋体" w:hAnsi="宋体" w:eastAsia="宋体" w:cs="宋体"/>
          <w:b/>
          <w:color w:val="000000"/>
          <w:sz w:val="24"/>
          <w:szCs w:val="24"/>
          <w:highlight w:val="none"/>
        </w:rPr>
        <w:t>、</w:t>
      </w:r>
      <w:r>
        <w:rPr>
          <w:rFonts w:hint="eastAsia" w:ascii="宋体" w:hAnsi="宋体" w:eastAsia="宋体" w:cs="宋体"/>
          <w:b/>
          <w:color w:val="000000"/>
          <w:sz w:val="24"/>
          <w:szCs w:val="24"/>
          <w:highlight w:val="none"/>
          <w:lang w:eastAsia="zh-CN"/>
        </w:rPr>
        <w:t>投标保证金交纳凭证（附开户许可证或基本账户存款信息）</w:t>
      </w:r>
    </w:p>
    <w:p w14:paraId="6C243DAB">
      <w:pPr>
        <w:pStyle w:val="5"/>
        <w:shd w:val="clear" w:color="auto" w:fill="auto"/>
        <w:ind w:firstLine="480"/>
        <w:rPr>
          <w:rFonts w:hint="eastAsia" w:ascii="宋体" w:hAnsi="宋体" w:cs="宋体"/>
          <w:sz w:val="24"/>
          <w:szCs w:val="24"/>
          <w:highlight w:val="none"/>
        </w:rPr>
      </w:pPr>
      <w:r>
        <w:rPr>
          <w:rFonts w:hint="eastAsia" w:ascii="宋体" w:hAnsi="宋体" w:cs="宋体"/>
          <w:sz w:val="24"/>
          <w:szCs w:val="24"/>
          <w:highlight w:val="none"/>
        </w:rPr>
        <w:t>1、若采用银行转账形式的，供应商须在此附交纳保证金的转账凭证（附开户许可证或基本账户存款信息）</w:t>
      </w:r>
    </w:p>
    <w:p w14:paraId="25046750">
      <w:pPr>
        <w:pStyle w:val="5"/>
        <w:shd w:val="clear" w:color="auto" w:fill="auto"/>
        <w:ind w:firstLine="480"/>
        <w:rPr>
          <w:rFonts w:hint="eastAsia" w:ascii="宋体" w:hAnsi="宋体" w:cs="宋体"/>
          <w:sz w:val="24"/>
          <w:szCs w:val="24"/>
          <w:highlight w:val="none"/>
        </w:rPr>
      </w:pPr>
      <w:r>
        <w:rPr>
          <w:rFonts w:hint="eastAsia" w:ascii="宋体" w:hAnsi="宋体" w:cs="宋体"/>
          <w:sz w:val="24"/>
          <w:szCs w:val="24"/>
          <w:highlight w:val="none"/>
        </w:rPr>
        <w:t>2、若采用保函形式的，供应商须在此附保函扫描件（附开户许可证或基本账户存款信息）</w:t>
      </w:r>
    </w:p>
    <w:p w14:paraId="7D7CAA9F">
      <w:pPr>
        <w:pStyle w:val="5"/>
        <w:shd w:val="clear" w:color="auto" w:fill="auto"/>
        <w:rPr>
          <w:rFonts w:hint="eastAsia"/>
          <w:highlight w:val="none"/>
        </w:rPr>
      </w:pPr>
    </w:p>
    <w:p w14:paraId="3A440DB6">
      <w:pPr>
        <w:pStyle w:val="3"/>
        <w:numPr>
          <w:ilvl w:val="0"/>
          <w:numId w:val="0"/>
        </w:numPr>
        <w:shd w:val="clear" w:color="auto" w:fill="auto"/>
        <w:spacing w:before="0" w:after="0" w:line="360" w:lineRule="auto"/>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br w:type="page"/>
      </w:r>
      <w:r>
        <w:rPr>
          <w:rFonts w:hint="eastAsia" w:ascii="宋体" w:hAnsi="宋体" w:eastAsia="宋体" w:cs="宋体"/>
          <w:bCs/>
          <w:color w:val="000000"/>
          <w:sz w:val="24"/>
          <w:szCs w:val="24"/>
          <w:highlight w:val="none"/>
          <w:lang w:val="en-US" w:eastAsia="zh-CN"/>
        </w:rPr>
        <w:t>12、本次采购项目不接受联合体投标（提供非联合体承诺书）</w:t>
      </w:r>
    </w:p>
    <w:p w14:paraId="2E2B821E">
      <w:pPr>
        <w:pageBreakBefore w:val="0"/>
        <w:kinsoku/>
        <w:wordWrap w:val="0"/>
        <w:overflowPunct/>
        <w:topLinePunct w:val="0"/>
        <w:bidi w:val="0"/>
        <w:spacing w:before="66" w:line="360" w:lineRule="auto"/>
        <w:jc w:val="center"/>
        <w:rPr>
          <w:rFonts w:hint="eastAsia" w:ascii="宋体" w:hAnsi="宋体" w:cs="宋体"/>
          <w:color w:val="auto"/>
          <w:spacing w:val="-1"/>
          <w:position w:val="5"/>
          <w:sz w:val="24"/>
          <w:szCs w:val="24"/>
          <w:highlight w:val="none"/>
          <w:lang w:eastAsia="zh-CN"/>
        </w:rPr>
      </w:pPr>
      <w:r>
        <w:rPr>
          <w:rFonts w:hint="eastAsia" w:ascii="宋体" w:hAnsi="宋体" w:cs="宋体"/>
          <w:color w:val="auto"/>
          <w:spacing w:val="-1"/>
          <w:position w:val="5"/>
          <w:sz w:val="24"/>
          <w:szCs w:val="24"/>
          <w:highlight w:val="none"/>
          <w:lang w:eastAsia="zh-CN"/>
        </w:rPr>
        <w:t>（格式）</w:t>
      </w:r>
    </w:p>
    <w:p w14:paraId="588950E9">
      <w:pPr>
        <w:pageBreakBefore w:val="0"/>
        <w:kinsoku/>
        <w:wordWrap w:val="0"/>
        <w:overflowPunct/>
        <w:topLinePunct w:val="0"/>
        <w:bidi w:val="0"/>
        <w:spacing w:before="66" w:line="360" w:lineRule="auto"/>
        <w:rPr>
          <w:rFonts w:hint="eastAsia" w:ascii="宋体" w:hAnsi="宋体" w:cs="宋体"/>
          <w:color w:val="auto"/>
          <w:spacing w:val="-1"/>
          <w:position w:val="5"/>
          <w:sz w:val="24"/>
          <w:szCs w:val="24"/>
          <w:highlight w:val="none"/>
          <w:lang w:eastAsia="zh-CN"/>
        </w:rPr>
      </w:pPr>
    </w:p>
    <w:p w14:paraId="32D89D8F">
      <w:pPr>
        <w:pageBreakBefore w:val="0"/>
        <w:kinsoku/>
        <w:wordWrap w:val="0"/>
        <w:overflowPunct/>
        <w:topLinePunct w:val="0"/>
        <w:bidi w:val="0"/>
        <w:spacing w:before="66" w:line="360" w:lineRule="auto"/>
        <w:rPr>
          <w:rFonts w:hint="eastAsia" w:ascii="宋体" w:hAnsi="宋体" w:eastAsia="宋体" w:cs="宋体"/>
          <w:color w:val="auto"/>
          <w:spacing w:val="-1"/>
          <w:position w:val="5"/>
          <w:sz w:val="24"/>
          <w:szCs w:val="24"/>
          <w:highlight w:val="none"/>
        </w:rPr>
      </w:pPr>
      <w:r>
        <w:rPr>
          <w:rFonts w:hint="eastAsia" w:ascii="宋体" w:hAnsi="宋体" w:eastAsia="宋体" w:cs="宋体"/>
          <w:color w:val="auto"/>
          <w:spacing w:val="-1"/>
          <w:position w:val="5"/>
          <w:sz w:val="24"/>
          <w:szCs w:val="24"/>
          <w:highlight w:val="none"/>
        </w:rPr>
        <w:t>扶风县教育体育局/陕西天沃工程项目管理有限公司：</w:t>
      </w:r>
    </w:p>
    <w:p w14:paraId="64FE43F3">
      <w:pPr>
        <w:pageBreakBefore w:val="0"/>
        <w:kinsoku/>
        <w:wordWrap w:val="0"/>
        <w:overflowPunct/>
        <w:topLinePunct w:val="0"/>
        <w:bidi w:val="0"/>
        <w:spacing w:before="66" w:line="360" w:lineRule="auto"/>
        <w:ind w:left="279" w:leftChars="133" w:firstLine="476" w:firstLineChars="200"/>
        <w:rPr>
          <w:rFonts w:hint="eastAsia" w:ascii="宋体" w:hAnsi="宋体" w:eastAsia="宋体" w:cs="宋体"/>
          <w:color w:val="auto"/>
          <w:spacing w:val="-1"/>
          <w:position w:val="5"/>
          <w:sz w:val="24"/>
          <w:szCs w:val="24"/>
          <w:highlight w:val="none"/>
        </w:rPr>
      </w:pPr>
      <w:r>
        <w:rPr>
          <w:rFonts w:hint="eastAsia" w:ascii="宋体" w:hAnsi="宋体" w:eastAsia="宋体" w:cs="宋体"/>
          <w:color w:val="auto"/>
          <w:spacing w:val="-1"/>
          <w:position w:val="5"/>
          <w:sz w:val="24"/>
          <w:szCs w:val="24"/>
          <w:highlight w:val="none"/>
        </w:rPr>
        <w:t>本单位郑重声明，参加</w:t>
      </w:r>
      <w:r>
        <w:rPr>
          <w:rFonts w:hint="eastAsia" w:ascii="宋体" w:hAnsi="宋体" w:cs="宋体"/>
          <w:color w:val="auto"/>
          <w:spacing w:val="-1"/>
          <w:position w:val="5"/>
          <w:sz w:val="24"/>
          <w:szCs w:val="24"/>
          <w:highlight w:val="none"/>
          <w:lang w:eastAsia="zh-CN"/>
        </w:rPr>
        <w:t>陕西天沃工程项目管理有限公司</w:t>
      </w:r>
      <w:r>
        <w:rPr>
          <w:rFonts w:hint="eastAsia" w:ascii="宋体" w:hAnsi="宋体" w:eastAsia="宋体" w:cs="宋体"/>
          <w:color w:val="auto"/>
          <w:spacing w:val="-1"/>
          <w:position w:val="5"/>
          <w:sz w:val="24"/>
          <w:szCs w:val="24"/>
          <w:highlight w:val="none"/>
        </w:rPr>
        <w:t>组织的（</w:t>
      </w:r>
      <w:r>
        <w:rPr>
          <w:rFonts w:hint="eastAsia" w:ascii="宋体" w:hAnsi="宋体" w:eastAsia="宋体" w:cs="宋体"/>
          <w:color w:val="auto"/>
          <w:spacing w:val="-1"/>
          <w:position w:val="5"/>
          <w:sz w:val="24"/>
          <w:szCs w:val="24"/>
          <w:highlight w:val="none"/>
          <w:u w:val="single"/>
        </w:rPr>
        <w:t>项目名称：</w:t>
      </w:r>
      <w:r>
        <w:rPr>
          <w:rFonts w:hint="eastAsia" w:ascii="宋体" w:hAnsi="宋体" w:eastAsia="宋体" w:cs="宋体"/>
          <w:b/>
          <w:bCs/>
          <w:color w:val="auto"/>
          <w:spacing w:val="-1"/>
          <w:position w:val="5"/>
          <w:sz w:val="24"/>
          <w:szCs w:val="24"/>
          <w:highlight w:val="none"/>
          <w:u w:val="single"/>
          <w:lang w:eastAsia="zh-CN"/>
        </w:rPr>
        <w:t>扶风县农村义务教育学生营养改善计划学校食堂食材采购</w:t>
      </w:r>
      <w:r>
        <w:rPr>
          <w:rFonts w:hint="eastAsia" w:ascii="宋体" w:hAnsi="宋体" w:cs="宋体"/>
          <w:b/>
          <w:bCs/>
          <w:color w:val="auto"/>
          <w:spacing w:val="-1"/>
          <w:position w:val="5"/>
          <w:sz w:val="24"/>
          <w:szCs w:val="24"/>
          <w:highlight w:val="none"/>
          <w:u w:val="single"/>
          <w:lang w:val="en-US" w:eastAsia="zh-CN"/>
        </w:rPr>
        <w:t>（    标段）</w:t>
      </w:r>
      <w:r>
        <w:rPr>
          <w:rFonts w:hint="eastAsia" w:ascii="宋体" w:hAnsi="宋体" w:eastAsia="宋体" w:cs="宋体"/>
          <w:color w:val="auto"/>
          <w:spacing w:val="-1"/>
          <w:position w:val="5"/>
          <w:sz w:val="24"/>
          <w:szCs w:val="24"/>
          <w:highlight w:val="none"/>
          <w:u w:val="single"/>
        </w:rPr>
        <w:t>项目编号：</w:t>
      </w:r>
      <w:r>
        <w:rPr>
          <w:rFonts w:hint="eastAsia" w:ascii="宋体" w:hAnsi="宋体" w:eastAsia="宋体" w:cs="宋体"/>
          <w:b/>
          <w:bCs/>
          <w:color w:val="auto"/>
          <w:spacing w:val="-1"/>
          <w:position w:val="5"/>
          <w:sz w:val="24"/>
          <w:szCs w:val="24"/>
          <w:highlight w:val="none"/>
          <w:u w:val="single"/>
          <w:lang w:eastAsia="zh-CN"/>
        </w:rPr>
        <w:t>TWZB2026-116</w:t>
      </w:r>
      <w:r>
        <w:rPr>
          <w:rFonts w:hint="eastAsia" w:ascii="宋体" w:hAnsi="宋体" w:eastAsia="宋体" w:cs="宋体"/>
          <w:color w:val="auto"/>
          <w:spacing w:val="-1"/>
          <w:position w:val="5"/>
          <w:sz w:val="24"/>
          <w:szCs w:val="24"/>
          <w:highlight w:val="none"/>
          <w:u w:val="single"/>
        </w:rPr>
        <w:t xml:space="preserve"> </w:t>
      </w:r>
      <w:r>
        <w:rPr>
          <w:rFonts w:hint="eastAsia" w:ascii="宋体" w:hAnsi="宋体" w:eastAsia="宋体" w:cs="宋体"/>
          <w:color w:val="auto"/>
          <w:spacing w:val="-1"/>
          <w:position w:val="5"/>
          <w:sz w:val="24"/>
          <w:szCs w:val="24"/>
          <w:highlight w:val="none"/>
        </w:rPr>
        <w:t>)采购活动，为非联合体申请</w:t>
      </w:r>
      <w:r>
        <w:rPr>
          <w:rFonts w:hint="eastAsia" w:ascii="宋体" w:hAnsi="宋体" w:eastAsia="宋体" w:cs="宋体"/>
          <w:color w:val="auto"/>
          <w:spacing w:val="-1"/>
          <w:position w:val="5"/>
          <w:sz w:val="24"/>
          <w:szCs w:val="24"/>
          <w:highlight w:val="none"/>
          <w:lang w:eastAsia="zh-CN"/>
        </w:rPr>
        <w:t>。</w:t>
      </w:r>
      <w:r>
        <w:rPr>
          <w:rFonts w:hint="eastAsia" w:ascii="宋体" w:hAnsi="宋体" w:eastAsia="宋体" w:cs="宋体"/>
          <w:color w:val="auto"/>
          <w:spacing w:val="-1"/>
          <w:position w:val="5"/>
          <w:sz w:val="24"/>
          <w:szCs w:val="24"/>
          <w:highlight w:val="none"/>
        </w:rPr>
        <w:t>本单位对上述声明的真实性负责。如有虚假，将依法承担相应责任。</w:t>
      </w:r>
    </w:p>
    <w:p w14:paraId="478DC4A4">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p>
    <w:p w14:paraId="489B7D99">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p>
    <w:p w14:paraId="0315BA78">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p>
    <w:p w14:paraId="6D2302F0">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r>
        <w:rPr>
          <w:rFonts w:hint="eastAsia" w:ascii="宋体" w:hAnsi="宋体" w:eastAsia="宋体" w:cs="宋体"/>
          <w:color w:val="auto"/>
          <w:spacing w:val="-1"/>
          <w:position w:val="5"/>
          <w:sz w:val="24"/>
          <w:szCs w:val="24"/>
          <w:highlight w:val="none"/>
        </w:rPr>
        <w:t xml:space="preserve">供应商：名称(加盖公章)      </w:t>
      </w:r>
    </w:p>
    <w:p w14:paraId="39D40343">
      <w:pPr>
        <w:pageBreakBefore w:val="0"/>
        <w:kinsoku/>
        <w:wordWrap w:val="0"/>
        <w:overflowPunct/>
        <w:topLinePunct w:val="0"/>
        <w:bidi w:val="0"/>
        <w:spacing w:before="66"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法定代表人或授权代表</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（签字或盖章）</w:t>
      </w:r>
    </w:p>
    <w:p w14:paraId="6E9BE980">
      <w:pPr>
        <w:pageBreakBefore w:val="0"/>
        <w:kinsoku/>
        <w:wordWrap w:val="0"/>
        <w:overflowPunct/>
        <w:topLinePunct w:val="0"/>
        <w:bidi w:val="0"/>
        <w:spacing w:before="66" w:line="360" w:lineRule="auto"/>
        <w:ind w:firstLine="476" w:firstLineChars="200"/>
        <w:rPr>
          <w:rFonts w:hint="eastAsia" w:ascii="宋体" w:hAnsi="宋体" w:cs="宋体"/>
          <w:b/>
          <w:color w:val="auto"/>
          <w:sz w:val="24"/>
          <w:highlight w:val="none"/>
        </w:rPr>
      </w:pPr>
      <w:r>
        <w:rPr>
          <w:rFonts w:hint="eastAsia" w:ascii="宋体" w:hAnsi="宋体" w:eastAsia="宋体" w:cs="宋体"/>
          <w:color w:val="auto"/>
          <w:spacing w:val="-1"/>
          <w:position w:val="5"/>
          <w:sz w:val="24"/>
          <w:szCs w:val="24"/>
          <w:highlight w:val="none"/>
        </w:rPr>
        <w:t>日期： 年  月  日</w:t>
      </w:r>
    </w:p>
    <w:p w14:paraId="1D6A07F4">
      <w:pPr>
        <w:pStyle w:val="3"/>
        <w:numPr>
          <w:ilvl w:val="0"/>
          <w:numId w:val="0"/>
        </w:numPr>
        <w:shd w:val="clear" w:color="auto" w:fill="auto"/>
        <w:spacing w:before="0" w:after="0" w:line="360" w:lineRule="auto"/>
        <w:jc w:val="center"/>
        <w:rPr>
          <w:rFonts w:hint="eastAsia" w:ascii="宋体" w:hAnsi="宋体" w:eastAsia="宋体" w:cs="宋体"/>
          <w:bCs/>
          <w:color w:val="000000"/>
          <w:sz w:val="24"/>
          <w:szCs w:val="24"/>
          <w:highlight w:val="none"/>
          <w:lang w:eastAsia="zh-CN"/>
        </w:rPr>
      </w:pPr>
    </w:p>
    <w:p w14:paraId="0FBE690C">
      <w:pPr>
        <w:rPr>
          <w:rFonts w:hint="eastAsia"/>
          <w:lang w:eastAsia="zh-CN"/>
        </w:rPr>
      </w:pPr>
    </w:p>
    <w:p w14:paraId="7E3DE847">
      <w:pPr>
        <w:pStyle w:val="3"/>
        <w:numPr>
          <w:ilvl w:val="0"/>
          <w:numId w:val="0"/>
        </w:numPr>
        <w:shd w:val="clear" w:color="auto" w:fill="auto"/>
        <w:spacing w:before="0" w:after="0" w:line="360" w:lineRule="auto"/>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eastAsia="zh-CN"/>
        </w:rPr>
        <w:br w:type="page"/>
      </w:r>
      <w:r>
        <w:rPr>
          <w:rFonts w:hint="eastAsia" w:ascii="宋体" w:hAnsi="宋体" w:eastAsia="宋体" w:cs="宋体"/>
          <w:bCs/>
          <w:color w:val="000000"/>
          <w:sz w:val="24"/>
          <w:szCs w:val="24"/>
          <w:highlight w:val="none"/>
          <w:lang w:val="en-US" w:eastAsia="zh-CN"/>
        </w:rPr>
        <w:t>13、单位负责人为同一人或者存在直接控股、管理关系的不同供应商，不得参加同一合同项下的政府采购活动（提供供应商企业关系关联承诺书）</w:t>
      </w:r>
    </w:p>
    <w:p w14:paraId="5BF33481">
      <w:pPr>
        <w:pStyle w:val="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before="240" w:beforeLines="100" w:after="240" w:afterLines="100" w:line="520" w:lineRule="exact"/>
        <w:ind w:leftChars="0"/>
        <w:jc w:val="center"/>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zh-CN" w:eastAsia="zh-CN" w:bidi="ar-SA"/>
        </w:rPr>
        <w:t>（</w:t>
      </w:r>
      <w:r>
        <w:rPr>
          <w:rFonts w:hint="eastAsia" w:ascii="宋体" w:hAnsi="宋体" w:eastAsia="宋体" w:cs="宋体"/>
          <w:b w:val="0"/>
          <w:bCs w:val="0"/>
          <w:color w:val="auto"/>
          <w:kern w:val="2"/>
          <w:sz w:val="24"/>
          <w:szCs w:val="24"/>
          <w:highlight w:val="none"/>
          <w:lang w:val="en-US" w:eastAsia="zh-CN" w:bidi="ar-SA"/>
        </w:rPr>
        <w:t>格式</w:t>
      </w:r>
      <w:r>
        <w:rPr>
          <w:rFonts w:hint="eastAsia" w:ascii="宋体" w:hAnsi="宋体" w:eastAsia="宋体" w:cs="宋体"/>
          <w:b w:val="0"/>
          <w:bCs w:val="0"/>
          <w:color w:val="auto"/>
          <w:kern w:val="2"/>
          <w:sz w:val="24"/>
          <w:szCs w:val="24"/>
          <w:highlight w:val="none"/>
          <w:lang w:val="zh-CN" w:eastAsia="zh-CN" w:bidi="ar-SA"/>
        </w:rPr>
        <w:t>）</w:t>
      </w:r>
    </w:p>
    <w:p w14:paraId="577D5E7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eastAsia="zh-CN"/>
        </w:rPr>
        <w:t>一</w:t>
      </w:r>
      <w:r>
        <w:rPr>
          <w:rFonts w:hint="eastAsia" w:ascii="宋体" w:hAnsi="宋体" w:eastAsia="宋体" w:cs="宋体"/>
          <w:color w:val="auto"/>
          <w:sz w:val="24"/>
          <w:szCs w:val="28"/>
          <w:highlight w:val="none"/>
        </w:rPr>
        <w:t>、</w:t>
      </w:r>
      <w:r>
        <w:rPr>
          <w:rFonts w:hint="eastAsia" w:ascii="宋体" w:hAnsi="宋体" w:eastAsia="宋体" w:cs="宋体"/>
          <w:color w:val="auto"/>
          <w:sz w:val="24"/>
          <w:szCs w:val="28"/>
          <w:highlight w:val="none"/>
          <w:lang w:eastAsia="zh-CN"/>
        </w:rPr>
        <w:t>供应商</w:t>
      </w:r>
      <w:r>
        <w:rPr>
          <w:rFonts w:hint="eastAsia" w:ascii="宋体" w:hAnsi="宋体" w:eastAsia="宋体" w:cs="宋体"/>
          <w:color w:val="auto"/>
          <w:sz w:val="24"/>
          <w:szCs w:val="28"/>
          <w:highlight w:val="none"/>
        </w:rPr>
        <w:t>在本项目</w:t>
      </w:r>
      <w:r>
        <w:rPr>
          <w:rFonts w:hint="eastAsia" w:ascii="宋体" w:hAnsi="宋体" w:eastAsia="宋体" w:cs="宋体"/>
          <w:color w:val="auto"/>
          <w:sz w:val="24"/>
          <w:szCs w:val="28"/>
          <w:highlight w:val="none"/>
          <w:lang w:eastAsia="zh-CN"/>
        </w:rPr>
        <w:t>投标</w:t>
      </w:r>
      <w:r>
        <w:rPr>
          <w:rFonts w:hint="eastAsia" w:ascii="宋体" w:hAnsi="宋体" w:eastAsia="宋体" w:cs="宋体"/>
          <w:color w:val="auto"/>
          <w:sz w:val="24"/>
          <w:szCs w:val="28"/>
          <w:highlight w:val="none"/>
        </w:rPr>
        <w:t>中，不存在与其它</w:t>
      </w:r>
      <w:r>
        <w:rPr>
          <w:rFonts w:hint="eastAsia" w:ascii="宋体" w:hAnsi="宋体" w:eastAsia="宋体" w:cs="宋体"/>
          <w:color w:val="auto"/>
          <w:sz w:val="24"/>
          <w:szCs w:val="28"/>
          <w:highlight w:val="none"/>
          <w:lang w:eastAsia="zh-CN"/>
        </w:rPr>
        <w:t>供应商</w:t>
      </w:r>
      <w:r>
        <w:rPr>
          <w:rFonts w:hint="eastAsia" w:ascii="宋体" w:hAnsi="宋体" w:eastAsia="宋体" w:cs="宋体"/>
          <w:color w:val="auto"/>
          <w:sz w:val="24"/>
          <w:szCs w:val="28"/>
          <w:highlight w:val="none"/>
        </w:rPr>
        <w:t>负责人为同一人，有控股、管理等关联关系承诺。</w:t>
      </w:r>
    </w:p>
    <w:p w14:paraId="0B40E750">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1</w:t>
      </w:r>
      <w:r>
        <w:rPr>
          <w:rFonts w:hint="eastAsia" w:ascii="宋体" w:hAnsi="宋体" w:eastAsia="宋体" w:cs="宋体"/>
          <w:color w:val="auto"/>
          <w:sz w:val="24"/>
          <w:szCs w:val="28"/>
          <w:highlight w:val="none"/>
          <w:lang w:eastAsia="zh-CN"/>
        </w:rPr>
        <w:t>、</w:t>
      </w:r>
      <w:r>
        <w:rPr>
          <w:rFonts w:hint="eastAsia" w:ascii="宋体" w:hAnsi="宋体" w:eastAsia="宋体" w:cs="宋体"/>
          <w:color w:val="auto"/>
          <w:sz w:val="24"/>
          <w:szCs w:val="28"/>
          <w:highlight w:val="none"/>
        </w:rPr>
        <w:t>管理关系说明：</w:t>
      </w:r>
    </w:p>
    <w:p w14:paraId="133F3172">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我单位管理的具有独立法人的下属单位有：</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w:t>
      </w:r>
    </w:p>
    <w:p w14:paraId="2F08DBB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我单位的上级管理单位有</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 。</w:t>
      </w:r>
    </w:p>
    <w:p w14:paraId="7ED9402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2</w:t>
      </w:r>
      <w:r>
        <w:rPr>
          <w:rFonts w:hint="eastAsia" w:ascii="宋体" w:hAnsi="宋体" w:eastAsia="宋体" w:cs="宋体"/>
          <w:color w:val="auto"/>
          <w:sz w:val="24"/>
          <w:szCs w:val="28"/>
          <w:highlight w:val="none"/>
          <w:lang w:eastAsia="zh-CN"/>
        </w:rPr>
        <w:t>、</w:t>
      </w:r>
      <w:r>
        <w:rPr>
          <w:rFonts w:hint="eastAsia" w:ascii="宋体" w:hAnsi="宋体" w:eastAsia="宋体" w:cs="宋体"/>
          <w:color w:val="auto"/>
          <w:sz w:val="24"/>
          <w:szCs w:val="28"/>
          <w:highlight w:val="none"/>
        </w:rPr>
        <w:t>股权关系说明：</w:t>
      </w:r>
    </w:p>
    <w:p w14:paraId="505DA5F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我单位控股的单位有</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w:t>
      </w:r>
    </w:p>
    <w:p w14:paraId="2F3FFF17">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我单位被</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单位控股。</w:t>
      </w:r>
    </w:p>
    <w:p w14:paraId="6567B3C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3</w:t>
      </w:r>
      <w:r>
        <w:rPr>
          <w:rFonts w:hint="eastAsia" w:ascii="宋体" w:hAnsi="宋体" w:eastAsia="宋体" w:cs="宋体"/>
          <w:color w:val="auto"/>
          <w:sz w:val="24"/>
          <w:szCs w:val="28"/>
          <w:highlight w:val="none"/>
          <w:lang w:eastAsia="zh-CN"/>
        </w:rPr>
        <w:t>、</w:t>
      </w:r>
      <w:r>
        <w:rPr>
          <w:rFonts w:hint="eastAsia" w:ascii="宋体" w:hAnsi="宋体" w:eastAsia="宋体" w:cs="宋体"/>
          <w:color w:val="auto"/>
          <w:sz w:val="24"/>
          <w:szCs w:val="28"/>
          <w:highlight w:val="none"/>
        </w:rPr>
        <w:t>单位负责人：</w:t>
      </w:r>
      <w:r>
        <w:rPr>
          <w:rFonts w:hint="eastAsia" w:ascii="宋体" w:hAnsi="宋体" w:eastAsia="宋体" w:cs="宋体"/>
          <w:color w:val="auto"/>
          <w:sz w:val="24"/>
          <w:szCs w:val="28"/>
          <w:highlight w:val="none"/>
          <w:u w:val="single"/>
          <w:lang w:val="en-US" w:eastAsia="zh-CN"/>
        </w:rPr>
        <w:t xml:space="preserve">             </w:t>
      </w:r>
      <w:r>
        <w:rPr>
          <w:rFonts w:hint="eastAsia" w:ascii="宋体" w:hAnsi="宋体" w:eastAsia="宋体" w:cs="宋体"/>
          <w:color w:val="auto"/>
          <w:sz w:val="24"/>
          <w:szCs w:val="28"/>
          <w:highlight w:val="none"/>
        </w:rPr>
        <w:t xml:space="preserve">        </w:t>
      </w:r>
    </w:p>
    <w:p w14:paraId="089CFD9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eastAsia="zh-CN"/>
        </w:rPr>
        <w:t>二</w:t>
      </w:r>
      <w:r>
        <w:rPr>
          <w:rFonts w:hint="eastAsia" w:ascii="宋体" w:hAnsi="宋体" w:eastAsia="宋体" w:cs="宋体"/>
          <w:color w:val="auto"/>
          <w:sz w:val="24"/>
          <w:szCs w:val="28"/>
          <w:highlight w:val="none"/>
        </w:rPr>
        <w:t>、其他与本项目有关的利害关系说明</w:t>
      </w:r>
      <w:r>
        <w:rPr>
          <w:rFonts w:hint="eastAsia" w:ascii="宋体" w:hAnsi="宋体" w:eastAsia="宋体" w:cs="宋体"/>
          <w:color w:val="auto"/>
          <w:sz w:val="24"/>
          <w:szCs w:val="28"/>
          <w:highlight w:val="none"/>
          <w:u w:val="single"/>
          <w:lang w:val="en-US" w:eastAsia="zh-CN"/>
        </w:rPr>
        <w:t xml:space="preserve">               </w:t>
      </w:r>
      <w:r>
        <w:rPr>
          <w:rFonts w:hint="eastAsia" w:ascii="宋体" w:hAnsi="宋体" w:eastAsia="宋体" w:cs="宋体"/>
          <w:color w:val="auto"/>
          <w:sz w:val="24"/>
          <w:szCs w:val="28"/>
          <w:highlight w:val="none"/>
        </w:rPr>
        <w:t>。</w:t>
      </w:r>
    </w:p>
    <w:p w14:paraId="46422E21">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我单位承诺以上说明真实有效，无虚假内容或隐瞒。</w:t>
      </w:r>
    </w:p>
    <w:p w14:paraId="69AB4306">
      <w:pPr>
        <w:spacing w:line="720" w:lineRule="auto"/>
        <w:rPr>
          <w:rFonts w:hint="eastAsia" w:ascii="宋体" w:hAnsi="宋体" w:eastAsia="宋体" w:cs="宋体"/>
          <w:color w:val="auto"/>
          <w:sz w:val="24"/>
          <w:szCs w:val="28"/>
          <w:highlight w:val="none"/>
        </w:rPr>
      </w:pPr>
    </w:p>
    <w:p w14:paraId="2DA9A59E">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r>
        <w:rPr>
          <w:rFonts w:hint="eastAsia" w:ascii="宋体" w:hAnsi="宋体" w:eastAsia="宋体" w:cs="宋体"/>
          <w:color w:val="auto"/>
          <w:spacing w:val="-1"/>
          <w:position w:val="5"/>
          <w:sz w:val="24"/>
          <w:szCs w:val="24"/>
          <w:highlight w:val="none"/>
        </w:rPr>
        <w:t xml:space="preserve">供应商：名称(加盖公章)      </w:t>
      </w:r>
    </w:p>
    <w:p w14:paraId="0B075B62">
      <w:pPr>
        <w:pageBreakBefore w:val="0"/>
        <w:kinsoku/>
        <w:wordWrap w:val="0"/>
        <w:overflowPunct/>
        <w:topLinePunct w:val="0"/>
        <w:bidi w:val="0"/>
        <w:spacing w:before="66"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法定代表人或授权代表</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（签字或盖章）</w:t>
      </w:r>
    </w:p>
    <w:p w14:paraId="03105999">
      <w:pPr>
        <w:spacing w:line="720" w:lineRule="auto"/>
        <w:jc w:val="left"/>
        <w:rPr>
          <w:rFonts w:hint="eastAsia" w:ascii="宋体" w:hAnsi="宋体" w:cs="宋体"/>
          <w:color w:val="auto"/>
          <w:sz w:val="24"/>
          <w:szCs w:val="20"/>
          <w:highlight w:val="none"/>
        </w:rPr>
      </w:pPr>
      <w:r>
        <w:rPr>
          <w:rFonts w:hint="eastAsia" w:ascii="宋体" w:hAnsi="宋体" w:eastAsia="宋体" w:cs="宋体"/>
          <w:color w:val="auto"/>
          <w:spacing w:val="-1"/>
          <w:position w:val="5"/>
          <w:sz w:val="24"/>
          <w:szCs w:val="24"/>
          <w:highlight w:val="none"/>
        </w:rPr>
        <w:t>日期： 年  月  日</w:t>
      </w:r>
    </w:p>
    <w:p w14:paraId="60EFC3BA">
      <w:pPr>
        <w:pStyle w:val="3"/>
        <w:numPr>
          <w:ilvl w:val="0"/>
          <w:numId w:val="0"/>
        </w:numPr>
        <w:shd w:val="clear" w:color="auto" w:fill="auto"/>
        <w:spacing w:before="0" w:after="0" w:line="360" w:lineRule="auto"/>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br w:type="page"/>
      </w:r>
      <w:bookmarkEnd w:id="155"/>
      <w:r>
        <w:rPr>
          <w:rFonts w:hint="eastAsia" w:ascii="宋体" w:hAnsi="宋体" w:eastAsia="宋体" w:cs="宋体"/>
          <w:bCs/>
          <w:color w:val="000000"/>
          <w:sz w:val="24"/>
          <w:szCs w:val="24"/>
          <w:highlight w:val="none"/>
          <w:lang w:val="en-US" w:eastAsia="zh-CN"/>
        </w:rPr>
        <w:t>14、</w:t>
      </w:r>
      <w:r>
        <w:rPr>
          <w:rFonts w:hint="eastAsia" w:ascii="宋体" w:hAnsi="宋体" w:eastAsia="宋体" w:cs="宋体"/>
          <w:bCs/>
          <w:color w:val="000000"/>
          <w:sz w:val="24"/>
          <w:szCs w:val="24"/>
          <w:highlight w:val="none"/>
        </w:rPr>
        <w:t>本项目专门面向中小企业采购（提供中小企业声明函），非中小企业单位（监狱企业、残疾人福利单位除外）不得参与</w:t>
      </w:r>
    </w:p>
    <w:p w14:paraId="5CB83C7D">
      <w:pPr>
        <w:pStyle w:val="3"/>
        <w:numPr>
          <w:ilvl w:val="0"/>
          <w:numId w:val="0"/>
        </w:numPr>
        <w:shd w:val="clear" w:color="auto" w:fill="auto"/>
        <w:spacing w:before="0" w:after="0" w:line="360" w:lineRule="auto"/>
        <w:jc w:val="center"/>
        <w:rPr>
          <w:rFonts w:hint="eastAsia" w:ascii="宋体" w:hAnsi="宋体" w:eastAsia="宋体" w:cs="宋体"/>
          <w:b w:val="0"/>
          <w:bCs/>
          <w:kern w:val="0"/>
          <w:sz w:val="24"/>
          <w:highlight w:val="none"/>
        </w:rPr>
      </w:pPr>
      <w:r>
        <w:rPr>
          <w:rFonts w:hint="eastAsia" w:ascii="宋体" w:hAnsi="宋体" w:eastAsia="宋体" w:cs="宋体"/>
          <w:b w:val="0"/>
          <w:bCs/>
          <w:kern w:val="0"/>
          <w:sz w:val="24"/>
          <w:highlight w:val="none"/>
          <w:lang w:eastAsia="zh-CN"/>
        </w:rPr>
        <w:t>后附附件，供应商根据企业类型填写相应的附件</w:t>
      </w:r>
      <w:r>
        <w:rPr>
          <w:rFonts w:hint="eastAsia" w:ascii="宋体" w:hAnsi="宋体" w:eastAsia="宋体" w:cs="宋体"/>
          <w:b w:val="0"/>
          <w:bCs/>
          <w:kern w:val="0"/>
          <w:sz w:val="24"/>
          <w:highlight w:val="none"/>
        </w:rPr>
        <w:t xml:space="preserve"> </w:t>
      </w:r>
      <w:bookmarkStart w:id="162" w:name="_Toc31173_WPSOffice_Level1"/>
    </w:p>
    <w:p w14:paraId="1BDD77E5">
      <w:pPr>
        <w:rPr>
          <w:rFonts w:hint="eastAsia"/>
        </w:rPr>
      </w:pPr>
    </w:p>
    <w:p w14:paraId="7D8B47B5">
      <w:pPr>
        <w:pStyle w:val="3"/>
        <w:numPr>
          <w:ilvl w:val="0"/>
          <w:numId w:val="0"/>
        </w:numPr>
        <w:shd w:val="clear" w:color="auto" w:fill="auto"/>
        <w:spacing w:before="0" w:after="0" w:line="360" w:lineRule="auto"/>
        <w:jc w:val="center"/>
        <w:rPr>
          <w:rFonts w:hint="eastAsia" w:ascii="宋体" w:hAnsi="宋体" w:eastAsia="宋体" w:cs="宋体"/>
          <w:b/>
          <w:color w:val="000000"/>
          <w:sz w:val="24"/>
          <w:szCs w:val="24"/>
          <w:highlight w:val="none"/>
          <w:lang w:eastAsia="zh-CN"/>
        </w:rPr>
      </w:pPr>
      <w:r>
        <w:rPr>
          <w:rFonts w:hint="eastAsia" w:ascii="宋体" w:hAnsi="宋体" w:cs="宋体"/>
          <w:b/>
          <w:bCs/>
          <w:sz w:val="24"/>
          <w:szCs w:val="24"/>
          <w:highlight w:val="none"/>
          <w:lang w:val="en-US" w:eastAsia="zh-CN"/>
        </w:rPr>
        <w:br w:type="page"/>
      </w:r>
      <w:r>
        <w:rPr>
          <w:rFonts w:hint="eastAsia" w:ascii="宋体" w:hAnsi="宋体" w:eastAsia="宋体" w:cs="宋体"/>
          <w:b/>
          <w:color w:val="000000"/>
          <w:sz w:val="24"/>
          <w:szCs w:val="24"/>
          <w:highlight w:val="none"/>
          <w:lang w:val="en-US" w:eastAsia="zh-CN"/>
        </w:rPr>
        <w:t>附件一：</w:t>
      </w:r>
      <w:r>
        <w:rPr>
          <w:rFonts w:hint="eastAsia" w:ascii="宋体" w:hAnsi="宋体" w:eastAsia="宋体" w:cs="宋体"/>
          <w:b/>
          <w:color w:val="000000"/>
          <w:sz w:val="24"/>
          <w:szCs w:val="24"/>
          <w:highlight w:val="none"/>
        </w:rPr>
        <w:t>中小企业声明函</w:t>
      </w:r>
    </w:p>
    <w:p w14:paraId="792B4A3B">
      <w:pPr>
        <w:shd w:val="clear" w:color="auto" w:fill="auto"/>
        <w:snapToGrid w:val="0"/>
        <w:spacing w:line="360" w:lineRule="auto"/>
        <w:ind w:right="142" w:firstLine="480" w:firstLineChars="200"/>
        <w:jc w:val="left"/>
        <w:rPr>
          <w:rFonts w:hint="eastAsia" w:ascii="宋体" w:hAnsi="宋体" w:cs="宋体"/>
          <w:sz w:val="24"/>
          <w:szCs w:val="24"/>
          <w:highlight w:val="none"/>
        </w:rPr>
      </w:pPr>
    </w:p>
    <w:p w14:paraId="38C75983">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val="0"/>
          <w:i w:val="0"/>
          <w:iCs w:val="0"/>
          <w:sz w:val="24"/>
          <w:szCs w:val="24"/>
          <w:highlight w:val="none"/>
          <w:lang w:val="en-US" w:eastAsia="zh-CN"/>
        </w:rPr>
      </w:pPr>
      <w:r>
        <w:rPr>
          <w:rFonts w:hint="eastAsia" w:ascii="宋体" w:hAnsi="宋体" w:eastAsia="宋体" w:cs="宋体"/>
          <w:b w:val="0"/>
          <w:bCs w:val="0"/>
          <w:i w:val="0"/>
          <w:iCs w:val="0"/>
          <w:sz w:val="24"/>
          <w:szCs w:val="24"/>
          <w:highlight w:val="none"/>
          <w:lang w:val="en-US" w:eastAsia="zh-CN"/>
        </w:rPr>
        <w:t>本公司郑重声明，根据《政府采购促进中小企业发展管理办法》（财库﹝2020﹞46 号）的规定，本公司参加</w:t>
      </w:r>
      <w:r>
        <w:rPr>
          <w:rFonts w:hint="eastAsia" w:ascii="宋体" w:hAnsi="宋体" w:eastAsia="宋体" w:cs="宋体"/>
          <w:b w:val="0"/>
          <w:bCs w:val="0"/>
          <w:i w:val="0"/>
          <w:iCs w:val="0"/>
          <w:sz w:val="24"/>
          <w:szCs w:val="24"/>
          <w:highlight w:val="none"/>
          <w:u w:val="single"/>
          <w:lang w:val="en-US" w:eastAsia="zh-CN"/>
        </w:rPr>
        <w:t>（单位名称）</w:t>
      </w:r>
      <w:r>
        <w:rPr>
          <w:rFonts w:hint="eastAsia" w:ascii="宋体" w:hAnsi="宋体" w:eastAsia="宋体" w:cs="宋体"/>
          <w:b w:val="0"/>
          <w:bCs w:val="0"/>
          <w:i w:val="0"/>
          <w:iCs w:val="0"/>
          <w:sz w:val="24"/>
          <w:szCs w:val="24"/>
          <w:highlight w:val="none"/>
          <w:lang w:val="en-US" w:eastAsia="zh-CN"/>
        </w:rPr>
        <w:t>的</w:t>
      </w:r>
      <w:r>
        <w:rPr>
          <w:rFonts w:hint="eastAsia" w:ascii="宋体" w:hAnsi="宋体" w:eastAsia="宋体" w:cs="宋体"/>
          <w:b w:val="0"/>
          <w:bCs w:val="0"/>
          <w:i w:val="0"/>
          <w:iCs w:val="0"/>
          <w:sz w:val="24"/>
          <w:szCs w:val="24"/>
          <w:highlight w:val="none"/>
          <w:u w:val="single"/>
          <w:lang w:val="en-US" w:eastAsia="zh-CN"/>
        </w:rPr>
        <w:t>（项目名称）</w:t>
      </w:r>
      <w:r>
        <w:rPr>
          <w:rFonts w:hint="eastAsia" w:ascii="宋体" w:hAnsi="宋体" w:eastAsia="宋体" w:cs="宋体"/>
          <w:b w:val="0"/>
          <w:bCs w:val="0"/>
          <w:i w:val="0"/>
          <w:iCs w:val="0"/>
          <w:sz w:val="24"/>
          <w:szCs w:val="24"/>
          <w:highlight w:val="none"/>
          <w:lang w:val="en-US" w:eastAsia="zh-CN"/>
        </w:rPr>
        <w:t>采购活动，提供的货物全部由符合政策要求的中小企业制造。相关企业的具体情况如下：</w:t>
      </w:r>
    </w:p>
    <w:p w14:paraId="7E2D20AB">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val="0"/>
          <w:i w:val="0"/>
          <w:iCs w:val="0"/>
          <w:sz w:val="24"/>
          <w:szCs w:val="24"/>
          <w:highlight w:val="none"/>
          <w:lang w:val="en-US" w:eastAsia="zh-CN"/>
        </w:rPr>
      </w:pPr>
      <w:r>
        <w:rPr>
          <w:rFonts w:hint="eastAsia" w:ascii="宋体" w:hAnsi="宋体" w:eastAsia="宋体" w:cs="宋体"/>
          <w:b w:val="0"/>
          <w:bCs w:val="0"/>
          <w:i w:val="0"/>
          <w:iCs w:val="0"/>
          <w:sz w:val="24"/>
          <w:szCs w:val="24"/>
          <w:highlight w:val="none"/>
          <w:lang w:val="en-US" w:eastAsia="zh-CN"/>
        </w:rPr>
        <w:t>1.</w:t>
      </w:r>
      <w:r>
        <w:rPr>
          <w:rFonts w:hint="eastAsia" w:ascii="宋体" w:hAnsi="宋体" w:eastAsia="宋体" w:cs="宋体"/>
          <w:b w:val="0"/>
          <w:bCs w:val="0"/>
          <w:i w:val="0"/>
          <w:iCs w:val="0"/>
          <w:sz w:val="24"/>
          <w:szCs w:val="24"/>
          <w:highlight w:val="none"/>
          <w:u w:val="single"/>
          <w:lang w:val="en-US" w:eastAsia="zh-CN"/>
        </w:rPr>
        <w:t xml:space="preserve"> 米 </w:t>
      </w:r>
      <w:r>
        <w:rPr>
          <w:rFonts w:hint="eastAsia" w:ascii="宋体" w:hAnsi="宋体" w:eastAsia="宋体" w:cs="宋体"/>
          <w:b w:val="0"/>
          <w:bCs w:val="0"/>
          <w:i w:val="0"/>
          <w:iCs w:val="0"/>
          <w:sz w:val="24"/>
          <w:szCs w:val="24"/>
          <w:highlight w:val="none"/>
          <w:lang w:val="en-US" w:eastAsia="zh-CN"/>
        </w:rPr>
        <w:t>，属于</w:t>
      </w:r>
      <w:r>
        <w:rPr>
          <w:rFonts w:hint="eastAsia" w:ascii="宋体" w:hAnsi="宋体" w:eastAsia="宋体" w:cs="宋体"/>
          <w:b w:val="0"/>
          <w:bCs w:val="0"/>
          <w:i w:val="0"/>
          <w:iCs w:val="0"/>
          <w:sz w:val="24"/>
          <w:szCs w:val="24"/>
          <w:highlight w:val="none"/>
          <w:u w:val="single"/>
          <w:lang w:val="en-US" w:eastAsia="zh-CN"/>
        </w:rPr>
        <w:t xml:space="preserve"> （采购文件中明确的所属行业） </w:t>
      </w:r>
      <w:r>
        <w:rPr>
          <w:rFonts w:hint="eastAsia" w:ascii="宋体" w:hAnsi="宋体" w:eastAsia="宋体" w:cs="宋体"/>
          <w:b w:val="0"/>
          <w:bCs w:val="0"/>
          <w:i w:val="0"/>
          <w:iCs w:val="0"/>
          <w:sz w:val="24"/>
          <w:szCs w:val="24"/>
          <w:highlight w:val="none"/>
          <w:lang w:val="en-US" w:eastAsia="zh-CN"/>
        </w:rPr>
        <w:t>行业；制造商为</w:t>
      </w:r>
      <w:r>
        <w:rPr>
          <w:rFonts w:hint="eastAsia" w:ascii="宋体" w:hAnsi="宋体" w:eastAsia="宋体" w:cs="宋体"/>
          <w:b w:val="0"/>
          <w:bCs w:val="0"/>
          <w:i w:val="0"/>
          <w:iCs w:val="0"/>
          <w:sz w:val="24"/>
          <w:szCs w:val="24"/>
          <w:highlight w:val="none"/>
          <w:u w:val="single"/>
          <w:lang w:val="en-US" w:eastAsia="zh-CN"/>
        </w:rPr>
        <w:t>（企业名称）</w:t>
      </w:r>
      <w:r>
        <w:rPr>
          <w:rFonts w:hint="eastAsia" w:ascii="宋体" w:hAnsi="宋体" w:eastAsia="宋体" w:cs="宋体"/>
          <w:b w:val="0"/>
          <w:bCs w:val="0"/>
          <w:i w:val="0"/>
          <w:iCs w:val="0"/>
          <w:sz w:val="24"/>
          <w:szCs w:val="24"/>
          <w:highlight w:val="none"/>
          <w:lang w:val="en-US" w:eastAsia="zh-CN"/>
        </w:rPr>
        <w:t>，从业人员</w:t>
      </w:r>
      <w:r>
        <w:rPr>
          <w:rFonts w:hint="eastAsia" w:ascii="宋体" w:hAnsi="宋体" w:eastAsia="宋体" w:cs="宋体"/>
          <w:b w:val="0"/>
          <w:bCs w:val="0"/>
          <w:i w:val="0"/>
          <w:iCs w:val="0"/>
          <w:sz w:val="24"/>
          <w:szCs w:val="24"/>
          <w:highlight w:val="none"/>
          <w:u w:val="single"/>
          <w:lang w:val="en-US" w:eastAsia="zh-CN"/>
        </w:rPr>
        <w:t xml:space="preserve"> </w:t>
      </w:r>
      <w:r>
        <w:rPr>
          <w:rFonts w:hint="eastAsia" w:ascii="宋体" w:hAnsi="宋体" w:eastAsia="宋体" w:cs="宋体"/>
          <w:b w:val="0"/>
          <w:bCs w:val="0"/>
          <w:i w:val="0"/>
          <w:iCs w:val="0"/>
          <w:sz w:val="24"/>
          <w:szCs w:val="24"/>
          <w:highlight w:val="none"/>
          <w:u w:val="single"/>
          <w:lang w:val="en-US" w:eastAsia="zh-CN"/>
        </w:rPr>
        <w:tab/>
      </w:r>
      <w:r>
        <w:rPr>
          <w:rFonts w:hint="eastAsia" w:ascii="宋体" w:hAnsi="宋体" w:eastAsia="宋体" w:cs="宋体"/>
          <w:b w:val="0"/>
          <w:bCs w:val="0"/>
          <w:i w:val="0"/>
          <w:iCs w:val="0"/>
          <w:sz w:val="24"/>
          <w:szCs w:val="24"/>
          <w:highlight w:val="none"/>
          <w:u w:val="single"/>
          <w:lang w:val="en-US" w:eastAsia="zh-CN"/>
        </w:rPr>
        <w:t xml:space="preserve"> </w:t>
      </w:r>
      <w:r>
        <w:rPr>
          <w:rFonts w:hint="eastAsia" w:ascii="宋体" w:hAnsi="宋体" w:eastAsia="宋体" w:cs="宋体"/>
          <w:b w:val="0"/>
          <w:bCs w:val="0"/>
          <w:i w:val="0"/>
          <w:iCs w:val="0"/>
          <w:sz w:val="24"/>
          <w:szCs w:val="24"/>
          <w:highlight w:val="none"/>
          <w:u w:val="single"/>
          <w:lang w:val="en-US" w:eastAsia="zh-CN"/>
        </w:rPr>
        <w:tab/>
      </w:r>
      <w:r>
        <w:rPr>
          <w:rFonts w:hint="eastAsia" w:ascii="宋体" w:hAnsi="宋体" w:eastAsia="宋体" w:cs="宋体"/>
          <w:b w:val="0"/>
          <w:bCs w:val="0"/>
          <w:i w:val="0"/>
          <w:iCs w:val="0"/>
          <w:sz w:val="24"/>
          <w:szCs w:val="24"/>
          <w:highlight w:val="none"/>
          <w:lang w:val="en-US" w:eastAsia="zh-CN"/>
        </w:rPr>
        <w:t>人，营业收入为</w:t>
      </w:r>
      <w:r>
        <w:rPr>
          <w:rFonts w:hint="eastAsia" w:ascii="宋体" w:hAnsi="宋体" w:eastAsia="宋体" w:cs="宋体"/>
          <w:b w:val="0"/>
          <w:bCs w:val="0"/>
          <w:i w:val="0"/>
          <w:iCs w:val="0"/>
          <w:sz w:val="24"/>
          <w:szCs w:val="24"/>
          <w:highlight w:val="none"/>
          <w:u w:val="single"/>
          <w:lang w:val="en-US" w:eastAsia="zh-CN"/>
        </w:rPr>
        <w:t xml:space="preserve"> </w:t>
      </w:r>
      <w:r>
        <w:rPr>
          <w:rFonts w:hint="eastAsia" w:ascii="宋体" w:hAnsi="宋体" w:eastAsia="宋体" w:cs="宋体"/>
          <w:b w:val="0"/>
          <w:bCs w:val="0"/>
          <w:i w:val="0"/>
          <w:iCs w:val="0"/>
          <w:sz w:val="24"/>
          <w:szCs w:val="24"/>
          <w:highlight w:val="none"/>
          <w:u w:val="single"/>
          <w:lang w:val="en-US" w:eastAsia="zh-CN"/>
        </w:rPr>
        <w:tab/>
      </w:r>
      <w:r>
        <w:rPr>
          <w:rFonts w:hint="eastAsia" w:ascii="宋体" w:hAnsi="宋体" w:eastAsia="宋体" w:cs="宋体"/>
          <w:b w:val="0"/>
          <w:bCs w:val="0"/>
          <w:i w:val="0"/>
          <w:iCs w:val="0"/>
          <w:sz w:val="24"/>
          <w:szCs w:val="24"/>
          <w:highlight w:val="none"/>
          <w:u w:val="single"/>
          <w:lang w:val="en-US" w:eastAsia="zh-CN"/>
        </w:rPr>
        <w:t xml:space="preserve"> </w:t>
      </w:r>
      <w:r>
        <w:rPr>
          <w:rFonts w:hint="eastAsia" w:ascii="宋体" w:hAnsi="宋体" w:eastAsia="宋体" w:cs="宋体"/>
          <w:b w:val="0"/>
          <w:bCs w:val="0"/>
          <w:i w:val="0"/>
          <w:iCs w:val="0"/>
          <w:sz w:val="24"/>
          <w:szCs w:val="24"/>
          <w:highlight w:val="none"/>
          <w:u w:val="single"/>
          <w:lang w:val="en-US" w:eastAsia="zh-CN"/>
        </w:rPr>
        <w:tab/>
      </w:r>
      <w:r>
        <w:rPr>
          <w:rFonts w:hint="eastAsia" w:ascii="宋体" w:hAnsi="宋体" w:eastAsia="宋体" w:cs="宋体"/>
          <w:b w:val="0"/>
          <w:bCs w:val="0"/>
          <w:i w:val="0"/>
          <w:iCs w:val="0"/>
          <w:sz w:val="24"/>
          <w:szCs w:val="24"/>
          <w:highlight w:val="none"/>
          <w:lang w:val="en-US" w:eastAsia="zh-CN"/>
        </w:rPr>
        <w:t>万元，资产总额为</w:t>
      </w:r>
      <w:r>
        <w:rPr>
          <w:rFonts w:hint="eastAsia" w:ascii="宋体" w:hAnsi="宋体" w:eastAsia="宋体" w:cs="宋体"/>
          <w:b w:val="0"/>
          <w:bCs w:val="0"/>
          <w:i w:val="0"/>
          <w:iCs w:val="0"/>
          <w:sz w:val="24"/>
          <w:szCs w:val="24"/>
          <w:highlight w:val="none"/>
          <w:u w:val="single"/>
          <w:lang w:val="en-US" w:eastAsia="zh-CN"/>
        </w:rPr>
        <w:t xml:space="preserve"> </w:t>
      </w:r>
      <w:r>
        <w:rPr>
          <w:rFonts w:hint="eastAsia" w:ascii="宋体" w:hAnsi="宋体" w:eastAsia="宋体" w:cs="宋体"/>
          <w:b w:val="0"/>
          <w:bCs w:val="0"/>
          <w:i w:val="0"/>
          <w:iCs w:val="0"/>
          <w:sz w:val="24"/>
          <w:szCs w:val="24"/>
          <w:highlight w:val="none"/>
          <w:u w:val="single"/>
          <w:lang w:val="en-US" w:eastAsia="zh-CN"/>
        </w:rPr>
        <w:tab/>
      </w:r>
      <w:r>
        <w:rPr>
          <w:rFonts w:hint="eastAsia" w:ascii="宋体" w:hAnsi="宋体" w:eastAsia="宋体" w:cs="宋体"/>
          <w:b w:val="0"/>
          <w:bCs w:val="0"/>
          <w:i w:val="0"/>
          <w:iCs w:val="0"/>
          <w:sz w:val="24"/>
          <w:szCs w:val="24"/>
          <w:highlight w:val="none"/>
          <w:u w:val="single"/>
          <w:lang w:val="en-US" w:eastAsia="zh-CN"/>
        </w:rPr>
        <w:t xml:space="preserve"> </w:t>
      </w:r>
      <w:r>
        <w:rPr>
          <w:rFonts w:hint="eastAsia" w:ascii="宋体" w:hAnsi="宋体" w:eastAsia="宋体" w:cs="宋体"/>
          <w:b w:val="0"/>
          <w:bCs w:val="0"/>
          <w:i w:val="0"/>
          <w:iCs w:val="0"/>
          <w:sz w:val="24"/>
          <w:szCs w:val="24"/>
          <w:highlight w:val="none"/>
          <w:u w:val="single"/>
          <w:lang w:val="en-US" w:eastAsia="zh-CN"/>
        </w:rPr>
        <w:tab/>
      </w:r>
      <w:r>
        <w:rPr>
          <w:rFonts w:hint="eastAsia" w:ascii="宋体" w:hAnsi="宋体" w:eastAsia="宋体" w:cs="宋体"/>
          <w:b w:val="0"/>
          <w:bCs w:val="0"/>
          <w:i w:val="0"/>
          <w:iCs w:val="0"/>
          <w:sz w:val="24"/>
          <w:szCs w:val="24"/>
          <w:highlight w:val="none"/>
          <w:lang w:val="en-US" w:eastAsia="zh-CN"/>
        </w:rPr>
        <w:t>万元，属于</w:t>
      </w:r>
      <w:r>
        <w:rPr>
          <w:rFonts w:hint="eastAsia" w:ascii="宋体" w:hAnsi="宋体" w:eastAsia="宋体" w:cs="宋体"/>
          <w:b w:val="0"/>
          <w:bCs w:val="0"/>
          <w:i w:val="0"/>
          <w:iCs w:val="0"/>
          <w:sz w:val="24"/>
          <w:szCs w:val="24"/>
          <w:highlight w:val="none"/>
          <w:u w:val="single"/>
          <w:lang w:val="en-US" w:eastAsia="zh-CN"/>
        </w:rPr>
        <w:t>（中型企业、小型企业、微型企业）</w:t>
      </w:r>
      <w:r>
        <w:rPr>
          <w:rFonts w:hint="eastAsia" w:ascii="宋体" w:hAnsi="宋体" w:eastAsia="宋体" w:cs="宋体"/>
          <w:b w:val="0"/>
          <w:bCs w:val="0"/>
          <w:i w:val="0"/>
          <w:iCs w:val="0"/>
          <w:sz w:val="24"/>
          <w:szCs w:val="24"/>
          <w:highlight w:val="none"/>
          <w:lang w:val="en-US" w:eastAsia="zh-CN"/>
        </w:rPr>
        <w:t>；</w:t>
      </w:r>
    </w:p>
    <w:p w14:paraId="6C0AD1ED">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val="0"/>
          <w:i w:val="0"/>
          <w:iCs w:val="0"/>
          <w:sz w:val="24"/>
          <w:szCs w:val="24"/>
          <w:highlight w:val="none"/>
          <w:lang w:val="en-US" w:eastAsia="zh-CN"/>
        </w:rPr>
      </w:pPr>
      <w:r>
        <w:rPr>
          <w:rFonts w:hint="eastAsia" w:ascii="宋体" w:hAnsi="宋体" w:eastAsia="宋体" w:cs="宋体"/>
          <w:b w:val="0"/>
          <w:bCs w:val="0"/>
          <w:i w:val="0"/>
          <w:iCs w:val="0"/>
          <w:sz w:val="24"/>
          <w:szCs w:val="24"/>
          <w:highlight w:val="none"/>
          <w:lang w:val="en-US" w:eastAsia="zh-CN"/>
        </w:rPr>
        <w:t>2.</w:t>
      </w:r>
      <w:r>
        <w:rPr>
          <w:rFonts w:hint="eastAsia" w:ascii="宋体" w:hAnsi="宋体" w:eastAsia="宋体" w:cs="宋体"/>
          <w:b w:val="0"/>
          <w:bCs w:val="0"/>
          <w:i w:val="0"/>
          <w:iCs w:val="0"/>
          <w:sz w:val="24"/>
          <w:szCs w:val="24"/>
          <w:highlight w:val="none"/>
          <w:u w:val="single"/>
          <w:lang w:val="en-US" w:eastAsia="zh-CN"/>
        </w:rPr>
        <w:t xml:space="preserve"> 面粉 </w:t>
      </w:r>
      <w:r>
        <w:rPr>
          <w:rFonts w:hint="eastAsia" w:ascii="宋体" w:hAnsi="宋体" w:eastAsia="宋体" w:cs="宋体"/>
          <w:b w:val="0"/>
          <w:bCs w:val="0"/>
          <w:i w:val="0"/>
          <w:iCs w:val="0"/>
          <w:sz w:val="24"/>
          <w:szCs w:val="24"/>
          <w:highlight w:val="none"/>
          <w:lang w:val="en-US" w:eastAsia="zh-CN"/>
        </w:rPr>
        <w:t>，属于</w:t>
      </w:r>
      <w:r>
        <w:rPr>
          <w:rFonts w:hint="eastAsia" w:ascii="宋体" w:hAnsi="宋体" w:eastAsia="宋体" w:cs="宋体"/>
          <w:b w:val="0"/>
          <w:bCs w:val="0"/>
          <w:i w:val="0"/>
          <w:iCs w:val="0"/>
          <w:sz w:val="24"/>
          <w:szCs w:val="24"/>
          <w:highlight w:val="none"/>
          <w:u w:val="single"/>
          <w:lang w:val="en-US" w:eastAsia="zh-CN"/>
        </w:rPr>
        <w:t xml:space="preserve"> （采购文件中明确的所属行业） </w:t>
      </w:r>
      <w:r>
        <w:rPr>
          <w:rFonts w:hint="eastAsia" w:ascii="宋体" w:hAnsi="宋体" w:eastAsia="宋体" w:cs="宋体"/>
          <w:b w:val="0"/>
          <w:bCs w:val="0"/>
          <w:i w:val="0"/>
          <w:iCs w:val="0"/>
          <w:sz w:val="24"/>
          <w:szCs w:val="24"/>
          <w:highlight w:val="none"/>
          <w:lang w:val="en-US" w:eastAsia="zh-CN"/>
        </w:rPr>
        <w:t>行业；制造商为</w:t>
      </w:r>
      <w:r>
        <w:rPr>
          <w:rFonts w:hint="eastAsia" w:ascii="宋体" w:hAnsi="宋体" w:eastAsia="宋体" w:cs="宋体"/>
          <w:b w:val="0"/>
          <w:bCs w:val="0"/>
          <w:i w:val="0"/>
          <w:iCs w:val="0"/>
          <w:sz w:val="24"/>
          <w:szCs w:val="24"/>
          <w:highlight w:val="none"/>
          <w:u w:val="single"/>
          <w:lang w:val="en-US" w:eastAsia="zh-CN"/>
        </w:rPr>
        <w:t>（企业名称）</w:t>
      </w:r>
      <w:r>
        <w:rPr>
          <w:rFonts w:hint="eastAsia" w:ascii="宋体" w:hAnsi="宋体" w:eastAsia="宋体" w:cs="宋体"/>
          <w:b w:val="0"/>
          <w:bCs w:val="0"/>
          <w:i w:val="0"/>
          <w:iCs w:val="0"/>
          <w:sz w:val="24"/>
          <w:szCs w:val="24"/>
          <w:highlight w:val="none"/>
          <w:lang w:val="en-US" w:eastAsia="zh-CN"/>
        </w:rPr>
        <w:t>，从业人员</w:t>
      </w:r>
      <w:r>
        <w:rPr>
          <w:rFonts w:hint="eastAsia" w:ascii="宋体" w:hAnsi="宋体" w:eastAsia="宋体" w:cs="宋体"/>
          <w:b w:val="0"/>
          <w:bCs w:val="0"/>
          <w:i w:val="0"/>
          <w:iCs w:val="0"/>
          <w:sz w:val="24"/>
          <w:szCs w:val="24"/>
          <w:highlight w:val="none"/>
          <w:u w:val="single"/>
          <w:lang w:val="en-US" w:eastAsia="zh-CN"/>
        </w:rPr>
        <w:t xml:space="preserve"> </w:t>
      </w:r>
      <w:r>
        <w:rPr>
          <w:rFonts w:hint="eastAsia" w:ascii="宋体" w:hAnsi="宋体" w:eastAsia="宋体" w:cs="宋体"/>
          <w:b w:val="0"/>
          <w:bCs w:val="0"/>
          <w:i w:val="0"/>
          <w:iCs w:val="0"/>
          <w:sz w:val="24"/>
          <w:szCs w:val="24"/>
          <w:highlight w:val="none"/>
          <w:u w:val="single"/>
          <w:lang w:val="en-US" w:eastAsia="zh-CN"/>
        </w:rPr>
        <w:tab/>
      </w:r>
      <w:r>
        <w:rPr>
          <w:rFonts w:hint="eastAsia" w:ascii="宋体" w:hAnsi="宋体" w:eastAsia="宋体" w:cs="宋体"/>
          <w:b w:val="0"/>
          <w:bCs w:val="0"/>
          <w:i w:val="0"/>
          <w:iCs w:val="0"/>
          <w:sz w:val="24"/>
          <w:szCs w:val="24"/>
          <w:highlight w:val="none"/>
          <w:u w:val="single"/>
          <w:lang w:val="en-US" w:eastAsia="zh-CN"/>
        </w:rPr>
        <w:t xml:space="preserve"> </w:t>
      </w:r>
      <w:r>
        <w:rPr>
          <w:rFonts w:hint="eastAsia" w:ascii="宋体" w:hAnsi="宋体" w:eastAsia="宋体" w:cs="宋体"/>
          <w:b w:val="0"/>
          <w:bCs w:val="0"/>
          <w:i w:val="0"/>
          <w:iCs w:val="0"/>
          <w:sz w:val="24"/>
          <w:szCs w:val="24"/>
          <w:highlight w:val="none"/>
          <w:u w:val="single"/>
          <w:lang w:val="en-US" w:eastAsia="zh-CN"/>
        </w:rPr>
        <w:tab/>
      </w:r>
      <w:r>
        <w:rPr>
          <w:rFonts w:hint="eastAsia" w:ascii="宋体" w:hAnsi="宋体" w:eastAsia="宋体" w:cs="宋体"/>
          <w:b w:val="0"/>
          <w:bCs w:val="0"/>
          <w:i w:val="0"/>
          <w:iCs w:val="0"/>
          <w:sz w:val="24"/>
          <w:szCs w:val="24"/>
          <w:highlight w:val="none"/>
          <w:lang w:val="en-US" w:eastAsia="zh-CN"/>
        </w:rPr>
        <w:t>人，营业收入为</w:t>
      </w:r>
      <w:r>
        <w:rPr>
          <w:rFonts w:hint="eastAsia" w:ascii="宋体" w:hAnsi="宋体" w:eastAsia="宋体" w:cs="宋体"/>
          <w:b w:val="0"/>
          <w:bCs w:val="0"/>
          <w:i w:val="0"/>
          <w:iCs w:val="0"/>
          <w:sz w:val="24"/>
          <w:szCs w:val="24"/>
          <w:highlight w:val="none"/>
          <w:u w:val="single"/>
          <w:lang w:val="en-US" w:eastAsia="zh-CN"/>
        </w:rPr>
        <w:t xml:space="preserve"> </w:t>
      </w:r>
      <w:r>
        <w:rPr>
          <w:rFonts w:hint="eastAsia" w:ascii="宋体" w:hAnsi="宋体" w:eastAsia="宋体" w:cs="宋体"/>
          <w:b w:val="0"/>
          <w:bCs w:val="0"/>
          <w:i w:val="0"/>
          <w:iCs w:val="0"/>
          <w:sz w:val="24"/>
          <w:szCs w:val="24"/>
          <w:highlight w:val="none"/>
          <w:u w:val="single"/>
          <w:lang w:val="en-US" w:eastAsia="zh-CN"/>
        </w:rPr>
        <w:tab/>
      </w:r>
      <w:r>
        <w:rPr>
          <w:rFonts w:hint="eastAsia" w:ascii="宋体" w:hAnsi="宋体" w:eastAsia="宋体" w:cs="宋体"/>
          <w:b w:val="0"/>
          <w:bCs w:val="0"/>
          <w:i w:val="0"/>
          <w:iCs w:val="0"/>
          <w:sz w:val="24"/>
          <w:szCs w:val="24"/>
          <w:highlight w:val="none"/>
          <w:u w:val="single"/>
          <w:lang w:val="en-US" w:eastAsia="zh-CN"/>
        </w:rPr>
        <w:t xml:space="preserve"> </w:t>
      </w:r>
      <w:r>
        <w:rPr>
          <w:rFonts w:hint="eastAsia" w:ascii="宋体" w:hAnsi="宋体" w:eastAsia="宋体" w:cs="宋体"/>
          <w:b w:val="0"/>
          <w:bCs w:val="0"/>
          <w:i w:val="0"/>
          <w:iCs w:val="0"/>
          <w:sz w:val="24"/>
          <w:szCs w:val="24"/>
          <w:highlight w:val="none"/>
          <w:u w:val="single"/>
          <w:lang w:val="en-US" w:eastAsia="zh-CN"/>
        </w:rPr>
        <w:tab/>
      </w:r>
      <w:r>
        <w:rPr>
          <w:rFonts w:hint="eastAsia" w:ascii="宋体" w:hAnsi="宋体" w:eastAsia="宋体" w:cs="宋体"/>
          <w:b w:val="0"/>
          <w:bCs w:val="0"/>
          <w:i w:val="0"/>
          <w:iCs w:val="0"/>
          <w:sz w:val="24"/>
          <w:szCs w:val="24"/>
          <w:highlight w:val="none"/>
          <w:lang w:val="en-US" w:eastAsia="zh-CN"/>
        </w:rPr>
        <w:t>万元，资产总额为</w:t>
      </w:r>
      <w:r>
        <w:rPr>
          <w:rFonts w:hint="eastAsia" w:ascii="宋体" w:hAnsi="宋体" w:eastAsia="宋体" w:cs="宋体"/>
          <w:b w:val="0"/>
          <w:bCs w:val="0"/>
          <w:i w:val="0"/>
          <w:iCs w:val="0"/>
          <w:sz w:val="24"/>
          <w:szCs w:val="24"/>
          <w:highlight w:val="none"/>
          <w:u w:val="single"/>
          <w:lang w:val="en-US" w:eastAsia="zh-CN"/>
        </w:rPr>
        <w:t xml:space="preserve"> </w:t>
      </w:r>
      <w:r>
        <w:rPr>
          <w:rFonts w:hint="eastAsia" w:ascii="宋体" w:hAnsi="宋体" w:eastAsia="宋体" w:cs="宋体"/>
          <w:b w:val="0"/>
          <w:bCs w:val="0"/>
          <w:i w:val="0"/>
          <w:iCs w:val="0"/>
          <w:sz w:val="24"/>
          <w:szCs w:val="24"/>
          <w:highlight w:val="none"/>
          <w:u w:val="single"/>
          <w:lang w:val="en-US" w:eastAsia="zh-CN"/>
        </w:rPr>
        <w:tab/>
      </w:r>
      <w:r>
        <w:rPr>
          <w:rFonts w:hint="eastAsia" w:ascii="宋体" w:hAnsi="宋体" w:eastAsia="宋体" w:cs="宋体"/>
          <w:b w:val="0"/>
          <w:bCs w:val="0"/>
          <w:i w:val="0"/>
          <w:iCs w:val="0"/>
          <w:sz w:val="24"/>
          <w:szCs w:val="24"/>
          <w:highlight w:val="none"/>
          <w:u w:val="single"/>
          <w:lang w:val="en-US" w:eastAsia="zh-CN"/>
        </w:rPr>
        <w:t xml:space="preserve"> </w:t>
      </w:r>
      <w:r>
        <w:rPr>
          <w:rFonts w:hint="eastAsia" w:ascii="宋体" w:hAnsi="宋体" w:eastAsia="宋体" w:cs="宋体"/>
          <w:b w:val="0"/>
          <w:bCs w:val="0"/>
          <w:i w:val="0"/>
          <w:iCs w:val="0"/>
          <w:sz w:val="24"/>
          <w:szCs w:val="24"/>
          <w:highlight w:val="none"/>
          <w:u w:val="single"/>
          <w:lang w:val="en-US" w:eastAsia="zh-CN"/>
        </w:rPr>
        <w:tab/>
      </w:r>
      <w:r>
        <w:rPr>
          <w:rFonts w:hint="eastAsia" w:ascii="宋体" w:hAnsi="宋体" w:eastAsia="宋体" w:cs="宋体"/>
          <w:b w:val="0"/>
          <w:bCs w:val="0"/>
          <w:i w:val="0"/>
          <w:iCs w:val="0"/>
          <w:sz w:val="24"/>
          <w:szCs w:val="24"/>
          <w:highlight w:val="none"/>
          <w:lang w:val="en-US" w:eastAsia="zh-CN"/>
        </w:rPr>
        <w:t>万元，属于</w:t>
      </w:r>
      <w:r>
        <w:rPr>
          <w:rFonts w:hint="eastAsia" w:ascii="宋体" w:hAnsi="宋体" w:eastAsia="宋体" w:cs="宋体"/>
          <w:b w:val="0"/>
          <w:bCs w:val="0"/>
          <w:i w:val="0"/>
          <w:iCs w:val="0"/>
          <w:sz w:val="24"/>
          <w:szCs w:val="24"/>
          <w:highlight w:val="none"/>
          <w:u w:val="single"/>
          <w:lang w:val="en-US" w:eastAsia="zh-CN"/>
        </w:rPr>
        <w:t>（中型企业、小型企业、微型企业）</w:t>
      </w:r>
      <w:r>
        <w:rPr>
          <w:rFonts w:hint="eastAsia" w:ascii="宋体" w:hAnsi="宋体" w:eastAsia="宋体" w:cs="宋体"/>
          <w:b w:val="0"/>
          <w:bCs w:val="0"/>
          <w:i w:val="0"/>
          <w:iCs w:val="0"/>
          <w:sz w:val="24"/>
          <w:szCs w:val="24"/>
          <w:highlight w:val="none"/>
          <w:lang w:val="en-US" w:eastAsia="zh-CN"/>
        </w:rPr>
        <w:t>；</w:t>
      </w:r>
    </w:p>
    <w:p w14:paraId="66D41838">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val="0"/>
          <w:i w:val="0"/>
          <w:iCs w:val="0"/>
          <w:sz w:val="24"/>
          <w:szCs w:val="24"/>
          <w:highlight w:val="none"/>
          <w:lang w:val="en-US" w:eastAsia="zh-CN"/>
        </w:rPr>
      </w:pPr>
      <w:r>
        <w:rPr>
          <w:rFonts w:hint="eastAsia" w:ascii="宋体" w:hAnsi="宋体" w:eastAsia="宋体" w:cs="宋体"/>
          <w:b w:val="0"/>
          <w:bCs w:val="0"/>
          <w:i w:val="0"/>
          <w:iCs w:val="0"/>
          <w:sz w:val="24"/>
          <w:szCs w:val="24"/>
          <w:highlight w:val="none"/>
          <w:lang w:val="en-US" w:eastAsia="zh-CN"/>
        </w:rPr>
        <w:t>3.</w:t>
      </w:r>
      <w:r>
        <w:rPr>
          <w:rFonts w:hint="eastAsia" w:ascii="宋体" w:hAnsi="宋体" w:eastAsia="宋体" w:cs="宋体"/>
          <w:b w:val="0"/>
          <w:bCs w:val="0"/>
          <w:i w:val="0"/>
          <w:iCs w:val="0"/>
          <w:sz w:val="24"/>
          <w:szCs w:val="24"/>
          <w:highlight w:val="none"/>
          <w:u w:val="single"/>
          <w:lang w:val="en-US" w:eastAsia="zh-CN"/>
        </w:rPr>
        <w:t xml:space="preserve"> 菜籽油 </w:t>
      </w:r>
      <w:r>
        <w:rPr>
          <w:rFonts w:hint="eastAsia" w:ascii="宋体" w:hAnsi="宋体" w:eastAsia="宋体" w:cs="宋体"/>
          <w:b w:val="0"/>
          <w:bCs w:val="0"/>
          <w:i w:val="0"/>
          <w:iCs w:val="0"/>
          <w:sz w:val="24"/>
          <w:szCs w:val="24"/>
          <w:highlight w:val="none"/>
          <w:lang w:val="en-US" w:eastAsia="zh-CN"/>
        </w:rPr>
        <w:t>，属于</w:t>
      </w:r>
      <w:r>
        <w:rPr>
          <w:rFonts w:hint="eastAsia" w:ascii="宋体" w:hAnsi="宋体" w:eastAsia="宋体" w:cs="宋体"/>
          <w:b w:val="0"/>
          <w:bCs w:val="0"/>
          <w:i w:val="0"/>
          <w:iCs w:val="0"/>
          <w:sz w:val="24"/>
          <w:szCs w:val="24"/>
          <w:highlight w:val="none"/>
          <w:u w:val="single"/>
          <w:lang w:val="en-US" w:eastAsia="zh-CN"/>
        </w:rPr>
        <w:t xml:space="preserve"> （采购文件中明确的所属行业） </w:t>
      </w:r>
      <w:r>
        <w:rPr>
          <w:rFonts w:hint="eastAsia" w:ascii="宋体" w:hAnsi="宋体" w:eastAsia="宋体" w:cs="宋体"/>
          <w:b w:val="0"/>
          <w:bCs w:val="0"/>
          <w:i w:val="0"/>
          <w:iCs w:val="0"/>
          <w:sz w:val="24"/>
          <w:szCs w:val="24"/>
          <w:highlight w:val="none"/>
          <w:lang w:val="en-US" w:eastAsia="zh-CN"/>
        </w:rPr>
        <w:t>行业；制造商为</w:t>
      </w:r>
      <w:r>
        <w:rPr>
          <w:rFonts w:hint="eastAsia" w:ascii="宋体" w:hAnsi="宋体" w:eastAsia="宋体" w:cs="宋体"/>
          <w:b w:val="0"/>
          <w:bCs w:val="0"/>
          <w:i w:val="0"/>
          <w:iCs w:val="0"/>
          <w:sz w:val="24"/>
          <w:szCs w:val="24"/>
          <w:highlight w:val="none"/>
          <w:u w:val="single"/>
          <w:lang w:val="en-US" w:eastAsia="zh-CN"/>
        </w:rPr>
        <w:t>（企业名称）</w:t>
      </w:r>
      <w:r>
        <w:rPr>
          <w:rFonts w:hint="eastAsia" w:ascii="宋体" w:hAnsi="宋体" w:eastAsia="宋体" w:cs="宋体"/>
          <w:b w:val="0"/>
          <w:bCs w:val="0"/>
          <w:i w:val="0"/>
          <w:iCs w:val="0"/>
          <w:sz w:val="24"/>
          <w:szCs w:val="24"/>
          <w:highlight w:val="none"/>
          <w:lang w:val="en-US" w:eastAsia="zh-CN"/>
        </w:rPr>
        <w:t>，从业人员</w:t>
      </w:r>
      <w:r>
        <w:rPr>
          <w:rFonts w:hint="eastAsia" w:ascii="宋体" w:hAnsi="宋体" w:eastAsia="宋体" w:cs="宋体"/>
          <w:b w:val="0"/>
          <w:bCs w:val="0"/>
          <w:i w:val="0"/>
          <w:iCs w:val="0"/>
          <w:sz w:val="24"/>
          <w:szCs w:val="24"/>
          <w:highlight w:val="none"/>
          <w:u w:val="single"/>
          <w:lang w:val="en-US" w:eastAsia="zh-CN"/>
        </w:rPr>
        <w:t xml:space="preserve"> </w:t>
      </w:r>
      <w:r>
        <w:rPr>
          <w:rFonts w:hint="eastAsia" w:ascii="宋体" w:hAnsi="宋体" w:eastAsia="宋体" w:cs="宋体"/>
          <w:b w:val="0"/>
          <w:bCs w:val="0"/>
          <w:i w:val="0"/>
          <w:iCs w:val="0"/>
          <w:sz w:val="24"/>
          <w:szCs w:val="24"/>
          <w:highlight w:val="none"/>
          <w:u w:val="single"/>
          <w:lang w:val="en-US" w:eastAsia="zh-CN"/>
        </w:rPr>
        <w:tab/>
      </w:r>
      <w:r>
        <w:rPr>
          <w:rFonts w:hint="eastAsia" w:ascii="宋体" w:hAnsi="宋体" w:eastAsia="宋体" w:cs="宋体"/>
          <w:b w:val="0"/>
          <w:bCs w:val="0"/>
          <w:i w:val="0"/>
          <w:iCs w:val="0"/>
          <w:sz w:val="24"/>
          <w:szCs w:val="24"/>
          <w:highlight w:val="none"/>
          <w:u w:val="single"/>
          <w:lang w:val="en-US" w:eastAsia="zh-CN"/>
        </w:rPr>
        <w:t xml:space="preserve"> </w:t>
      </w:r>
      <w:r>
        <w:rPr>
          <w:rFonts w:hint="eastAsia" w:ascii="宋体" w:hAnsi="宋体" w:eastAsia="宋体" w:cs="宋体"/>
          <w:b w:val="0"/>
          <w:bCs w:val="0"/>
          <w:i w:val="0"/>
          <w:iCs w:val="0"/>
          <w:sz w:val="24"/>
          <w:szCs w:val="24"/>
          <w:highlight w:val="none"/>
          <w:u w:val="single"/>
          <w:lang w:val="en-US" w:eastAsia="zh-CN"/>
        </w:rPr>
        <w:tab/>
      </w:r>
      <w:r>
        <w:rPr>
          <w:rFonts w:hint="eastAsia" w:ascii="宋体" w:hAnsi="宋体" w:eastAsia="宋体" w:cs="宋体"/>
          <w:b w:val="0"/>
          <w:bCs w:val="0"/>
          <w:i w:val="0"/>
          <w:iCs w:val="0"/>
          <w:sz w:val="24"/>
          <w:szCs w:val="24"/>
          <w:highlight w:val="none"/>
          <w:lang w:val="en-US" w:eastAsia="zh-CN"/>
        </w:rPr>
        <w:t>人，营业收入为</w:t>
      </w:r>
      <w:r>
        <w:rPr>
          <w:rFonts w:hint="eastAsia" w:ascii="宋体" w:hAnsi="宋体" w:eastAsia="宋体" w:cs="宋体"/>
          <w:b w:val="0"/>
          <w:bCs w:val="0"/>
          <w:i w:val="0"/>
          <w:iCs w:val="0"/>
          <w:sz w:val="24"/>
          <w:szCs w:val="24"/>
          <w:highlight w:val="none"/>
          <w:u w:val="single"/>
          <w:lang w:val="en-US" w:eastAsia="zh-CN"/>
        </w:rPr>
        <w:t xml:space="preserve"> </w:t>
      </w:r>
      <w:r>
        <w:rPr>
          <w:rFonts w:hint="eastAsia" w:ascii="宋体" w:hAnsi="宋体" w:eastAsia="宋体" w:cs="宋体"/>
          <w:b w:val="0"/>
          <w:bCs w:val="0"/>
          <w:i w:val="0"/>
          <w:iCs w:val="0"/>
          <w:sz w:val="24"/>
          <w:szCs w:val="24"/>
          <w:highlight w:val="none"/>
          <w:u w:val="single"/>
          <w:lang w:val="en-US" w:eastAsia="zh-CN"/>
        </w:rPr>
        <w:tab/>
      </w:r>
      <w:r>
        <w:rPr>
          <w:rFonts w:hint="eastAsia" w:ascii="宋体" w:hAnsi="宋体" w:eastAsia="宋体" w:cs="宋体"/>
          <w:b w:val="0"/>
          <w:bCs w:val="0"/>
          <w:i w:val="0"/>
          <w:iCs w:val="0"/>
          <w:sz w:val="24"/>
          <w:szCs w:val="24"/>
          <w:highlight w:val="none"/>
          <w:u w:val="single"/>
          <w:lang w:val="en-US" w:eastAsia="zh-CN"/>
        </w:rPr>
        <w:t xml:space="preserve"> </w:t>
      </w:r>
      <w:r>
        <w:rPr>
          <w:rFonts w:hint="eastAsia" w:ascii="宋体" w:hAnsi="宋体" w:eastAsia="宋体" w:cs="宋体"/>
          <w:b w:val="0"/>
          <w:bCs w:val="0"/>
          <w:i w:val="0"/>
          <w:iCs w:val="0"/>
          <w:sz w:val="24"/>
          <w:szCs w:val="24"/>
          <w:highlight w:val="none"/>
          <w:u w:val="single"/>
          <w:lang w:val="en-US" w:eastAsia="zh-CN"/>
        </w:rPr>
        <w:tab/>
      </w:r>
      <w:r>
        <w:rPr>
          <w:rFonts w:hint="eastAsia" w:ascii="宋体" w:hAnsi="宋体" w:eastAsia="宋体" w:cs="宋体"/>
          <w:b w:val="0"/>
          <w:bCs w:val="0"/>
          <w:i w:val="0"/>
          <w:iCs w:val="0"/>
          <w:sz w:val="24"/>
          <w:szCs w:val="24"/>
          <w:highlight w:val="none"/>
          <w:lang w:val="en-US" w:eastAsia="zh-CN"/>
        </w:rPr>
        <w:t>万元，资产总额为</w:t>
      </w:r>
      <w:r>
        <w:rPr>
          <w:rFonts w:hint="eastAsia" w:ascii="宋体" w:hAnsi="宋体" w:eastAsia="宋体" w:cs="宋体"/>
          <w:b w:val="0"/>
          <w:bCs w:val="0"/>
          <w:i w:val="0"/>
          <w:iCs w:val="0"/>
          <w:sz w:val="24"/>
          <w:szCs w:val="24"/>
          <w:highlight w:val="none"/>
          <w:u w:val="single"/>
          <w:lang w:val="en-US" w:eastAsia="zh-CN"/>
        </w:rPr>
        <w:t xml:space="preserve"> </w:t>
      </w:r>
      <w:r>
        <w:rPr>
          <w:rFonts w:hint="eastAsia" w:ascii="宋体" w:hAnsi="宋体" w:eastAsia="宋体" w:cs="宋体"/>
          <w:b w:val="0"/>
          <w:bCs w:val="0"/>
          <w:i w:val="0"/>
          <w:iCs w:val="0"/>
          <w:sz w:val="24"/>
          <w:szCs w:val="24"/>
          <w:highlight w:val="none"/>
          <w:u w:val="single"/>
          <w:lang w:val="en-US" w:eastAsia="zh-CN"/>
        </w:rPr>
        <w:tab/>
      </w:r>
      <w:r>
        <w:rPr>
          <w:rFonts w:hint="eastAsia" w:ascii="宋体" w:hAnsi="宋体" w:eastAsia="宋体" w:cs="宋体"/>
          <w:b w:val="0"/>
          <w:bCs w:val="0"/>
          <w:i w:val="0"/>
          <w:iCs w:val="0"/>
          <w:sz w:val="24"/>
          <w:szCs w:val="24"/>
          <w:highlight w:val="none"/>
          <w:u w:val="single"/>
          <w:lang w:val="en-US" w:eastAsia="zh-CN"/>
        </w:rPr>
        <w:t xml:space="preserve"> </w:t>
      </w:r>
      <w:r>
        <w:rPr>
          <w:rFonts w:hint="eastAsia" w:ascii="宋体" w:hAnsi="宋体" w:eastAsia="宋体" w:cs="宋体"/>
          <w:b w:val="0"/>
          <w:bCs w:val="0"/>
          <w:i w:val="0"/>
          <w:iCs w:val="0"/>
          <w:sz w:val="24"/>
          <w:szCs w:val="24"/>
          <w:highlight w:val="none"/>
          <w:u w:val="single"/>
          <w:lang w:val="en-US" w:eastAsia="zh-CN"/>
        </w:rPr>
        <w:tab/>
      </w:r>
      <w:r>
        <w:rPr>
          <w:rFonts w:hint="eastAsia" w:ascii="宋体" w:hAnsi="宋体" w:eastAsia="宋体" w:cs="宋体"/>
          <w:b w:val="0"/>
          <w:bCs w:val="0"/>
          <w:i w:val="0"/>
          <w:iCs w:val="0"/>
          <w:sz w:val="24"/>
          <w:szCs w:val="24"/>
          <w:highlight w:val="none"/>
          <w:lang w:val="en-US" w:eastAsia="zh-CN"/>
        </w:rPr>
        <w:t>万元，属于</w:t>
      </w:r>
      <w:r>
        <w:rPr>
          <w:rFonts w:hint="eastAsia" w:ascii="宋体" w:hAnsi="宋体" w:eastAsia="宋体" w:cs="宋体"/>
          <w:b w:val="0"/>
          <w:bCs w:val="0"/>
          <w:i w:val="0"/>
          <w:iCs w:val="0"/>
          <w:sz w:val="24"/>
          <w:szCs w:val="24"/>
          <w:highlight w:val="none"/>
          <w:u w:val="single"/>
          <w:lang w:val="en-US" w:eastAsia="zh-CN"/>
        </w:rPr>
        <w:t>（中型企业、小型企业、微型企业）</w:t>
      </w:r>
      <w:r>
        <w:rPr>
          <w:rFonts w:hint="eastAsia" w:ascii="宋体" w:hAnsi="宋体" w:eastAsia="宋体" w:cs="宋体"/>
          <w:b w:val="0"/>
          <w:bCs w:val="0"/>
          <w:i w:val="0"/>
          <w:iCs w:val="0"/>
          <w:sz w:val="24"/>
          <w:szCs w:val="24"/>
          <w:highlight w:val="none"/>
          <w:lang w:val="en-US" w:eastAsia="zh-CN"/>
        </w:rPr>
        <w:t>；</w:t>
      </w:r>
    </w:p>
    <w:p w14:paraId="3427106E">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val="0"/>
          <w:i w:val="0"/>
          <w:iCs w:val="0"/>
          <w:sz w:val="24"/>
          <w:szCs w:val="24"/>
          <w:highlight w:val="none"/>
          <w:lang w:val="en-US" w:eastAsia="zh-CN"/>
        </w:rPr>
      </w:pPr>
    </w:p>
    <w:p w14:paraId="03AF4786">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b w:val="0"/>
          <w:bCs w:val="0"/>
          <w:i w:val="0"/>
          <w:iCs w:val="0"/>
          <w:sz w:val="24"/>
          <w:szCs w:val="24"/>
          <w:highlight w:val="none"/>
          <w:lang w:val="en-US" w:eastAsia="zh-CN"/>
        </w:rPr>
      </w:pPr>
      <w:r>
        <w:rPr>
          <w:rFonts w:hint="eastAsia" w:ascii="宋体" w:hAnsi="宋体" w:eastAsia="宋体" w:cs="宋体"/>
          <w:b w:val="0"/>
          <w:bCs w:val="0"/>
          <w:i w:val="0"/>
          <w:iCs w:val="0"/>
          <w:sz w:val="24"/>
          <w:szCs w:val="24"/>
          <w:highlight w:val="none"/>
          <w:lang w:val="en-US" w:eastAsia="zh-CN"/>
        </w:rPr>
        <w:t>……</w:t>
      </w:r>
    </w:p>
    <w:p w14:paraId="0CBFBB84">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val="0"/>
          <w:i w:val="0"/>
          <w:iCs w:val="0"/>
          <w:sz w:val="24"/>
          <w:szCs w:val="24"/>
          <w:highlight w:val="none"/>
          <w:lang w:val="en-US" w:eastAsia="zh-CN"/>
        </w:rPr>
      </w:pPr>
      <w:r>
        <w:rPr>
          <w:rFonts w:hint="eastAsia" w:ascii="宋体" w:hAnsi="宋体" w:eastAsia="宋体" w:cs="宋体"/>
          <w:b w:val="0"/>
          <w:bCs w:val="0"/>
          <w:i w:val="0"/>
          <w:iCs w:val="0"/>
          <w:sz w:val="24"/>
          <w:szCs w:val="24"/>
          <w:highlight w:val="none"/>
          <w:lang w:val="en-US" w:eastAsia="zh-CN"/>
        </w:rPr>
        <w:t>以上企业，不属于大企业的分支机构，不存在控股股东为大企业的情形，也不存在与大企业的负责人为同一人的情形。</w:t>
      </w:r>
    </w:p>
    <w:p w14:paraId="02CAEF14">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val="0"/>
          <w:i w:val="0"/>
          <w:iCs w:val="0"/>
          <w:sz w:val="24"/>
          <w:szCs w:val="24"/>
          <w:highlight w:val="none"/>
          <w:lang w:val="en-US" w:eastAsia="zh-CN"/>
        </w:rPr>
      </w:pPr>
      <w:r>
        <w:rPr>
          <w:rFonts w:hint="eastAsia" w:ascii="宋体" w:hAnsi="宋体" w:eastAsia="宋体" w:cs="宋体"/>
          <w:b w:val="0"/>
          <w:bCs w:val="0"/>
          <w:i w:val="0"/>
          <w:iCs w:val="0"/>
          <w:sz w:val="24"/>
          <w:szCs w:val="24"/>
          <w:highlight w:val="none"/>
          <w:lang w:val="en-US" w:eastAsia="zh-CN"/>
        </w:rPr>
        <w:t>本企业对上述声明内容的真实性负责。如有虚假，将依法承担相应责任。</w:t>
      </w:r>
    </w:p>
    <w:p w14:paraId="38587F1D">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firstLine="3960" w:firstLineChars="1650"/>
        <w:jc w:val="left"/>
        <w:textAlignment w:val="auto"/>
        <w:rPr>
          <w:rFonts w:hint="eastAsia" w:ascii="宋体" w:hAnsi="宋体" w:eastAsia="宋体" w:cs="宋体"/>
          <w:b w:val="0"/>
          <w:bCs w:val="0"/>
          <w:i w:val="0"/>
          <w:iCs w:val="0"/>
          <w:sz w:val="24"/>
          <w:szCs w:val="24"/>
          <w:highlight w:val="none"/>
          <w:lang w:val="en-US" w:eastAsia="zh-CN"/>
        </w:rPr>
      </w:pPr>
    </w:p>
    <w:p w14:paraId="60EF085C">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firstLine="4200" w:firstLineChars="1750"/>
        <w:jc w:val="left"/>
        <w:textAlignment w:val="auto"/>
        <w:rPr>
          <w:rFonts w:hint="eastAsia" w:ascii="宋体" w:hAnsi="宋体" w:eastAsia="宋体" w:cs="宋体"/>
          <w:b w:val="0"/>
          <w:bCs w:val="0"/>
          <w:i w:val="0"/>
          <w:iCs w:val="0"/>
          <w:sz w:val="24"/>
          <w:szCs w:val="24"/>
          <w:highlight w:val="none"/>
          <w:lang w:val="en-US" w:eastAsia="zh-CN"/>
        </w:rPr>
      </w:pPr>
      <w:r>
        <w:rPr>
          <w:rFonts w:hint="eastAsia" w:ascii="宋体" w:hAnsi="宋体" w:eastAsia="宋体" w:cs="宋体"/>
          <w:b w:val="0"/>
          <w:bCs w:val="0"/>
          <w:i w:val="0"/>
          <w:iCs w:val="0"/>
          <w:sz w:val="24"/>
          <w:szCs w:val="24"/>
          <w:highlight w:val="none"/>
          <w:lang w:val="en-US" w:eastAsia="zh-CN"/>
        </w:rPr>
        <w:t>企业名称（盖章）：</w:t>
      </w:r>
    </w:p>
    <w:p w14:paraId="778CCB80">
      <w:pPr>
        <w:shd w:val="clear" w:color="auto" w:fill="auto"/>
        <w:ind w:firstLine="4080" w:firstLineChars="1700"/>
        <w:jc w:val="left"/>
        <w:rPr>
          <w:rFonts w:hint="eastAsia" w:ascii="宋体" w:hAnsi="宋体" w:eastAsia="宋体" w:cs="宋体"/>
          <w:b/>
          <w:sz w:val="32"/>
          <w:szCs w:val="32"/>
          <w:highlight w:val="none"/>
        </w:rPr>
      </w:pPr>
      <w:r>
        <w:rPr>
          <w:rFonts w:hint="eastAsia" w:ascii="宋体" w:hAnsi="宋体" w:eastAsia="宋体" w:cs="宋体"/>
          <w:b w:val="0"/>
          <w:bCs w:val="0"/>
          <w:i w:val="0"/>
          <w:iCs w:val="0"/>
          <w:sz w:val="24"/>
          <w:szCs w:val="24"/>
          <w:highlight w:val="none"/>
          <w:lang w:val="en-US" w:eastAsia="zh-CN"/>
        </w:rPr>
        <w:t>日期：</w:t>
      </w:r>
    </w:p>
    <w:p w14:paraId="0243ED34">
      <w:pPr>
        <w:shd w:val="clear" w:color="auto" w:fill="auto"/>
        <w:snapToGrid w:val="0"/>
        <w:spacing w:line="360" w:lineRule="auto"/>
        <w:ind w:right="142" w:firstLine="482" w:firstLineChars="200"/>
        <w:jc w:val="lef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本项目属于批发业</w:t>
      </w:r>
    </w:p>
    <w:p w14:paraId="5D7205D3">
      <w:pPr>
        <w:shd w:val="clear" w:color="auto" w:fill="auto"/>
        <w:snapToGrid w:val="0"/>
        <w:spacing w:line="360" w:lineRule="auto"/>
        <w:ind w:right="142" w:firstLine="480" w:firstLineChars="200"/>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说明：</w:t>
      </w:r>
    </w:p>
    <w:p w14:paraId="230A89E1">
      <w:pPr>
        <w:shd w:val="clear" w:color="auto" w:fill="auto"/>
        <w:snapToGrid w:val="0"/>
        <w:spacing w:line="360" w:lineRule="auto"/>
        <w:ind w:right="142"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如不是该类企业则不需提供相关声明，若提供虚假材料谋取中标、成交的，将按照《中华人民共和国政府采购法》第七十七条规定对供应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412A45A6">
      <w:pPr>
        <w:shd w:val="clear" w:color="auto" w:fill="auto"/>
        <w:spacing w:line="360" w:lineRule="auto"/>
        <w:jc w:val="left"/>
        <w:rPr>
          <w:rFonts w:ascii="宋体" w:hAnsi="宋体"/>
          <w:b/>
          <w:sz w:val="24"/>
          <w:highlight w:val="none"/>
        </w:rPr>
      </w:pPr>
      <w:r>
        <w:rPr>
          <w:rFonts w:hint="eastAsia" w:ascii="宋体" w:hAnsi="宋体" w:eastAsia="宋体" w:cs="宋体"/>
          <w:sz w:val="24"/>
          <w:szCs w:val="24"/>
          <w:highlight w:val="none"/>
        </w:rPr>
        <w:br w:type="page"/>
      </w:r>
      <w:r>
        <w:rPr>
          <w:rFonts w:hint="eastAsia" w:ascii="宋体" w:hAnsi="宋体"/>
          <w:b/>
          <w:sz w:val="24"/>
          <w:highlight w:val="none"/>
        </w:rPr>
        <w:t>附：《</w:t>
      </w:r>
      <w:r>
        <w:rPr>
          <w:rFonts w:ascii="宋体" w:hAnsi="宋体"/>
          <w:b/>
          <w:sz w:val="24"/>
          <w:highlight w:val="none"/>
        </w:rPr>
        <w:t>中小企业划型标准规定</w:t>
      </w:r>
      <w:r>
        <w:rPr>
          <w:rFonts w:hint="eastAsia" w:ascii="宋体" w:hAnsi="宋体"/>
          <w:b/>
          <w:sz w:val="24"/>
          <w:highlight w:val="none"/>
        </w:rPr>
        <w:t>》</w:t>
      </w:r>
      <w:r>
        <w:rPr>
          <w:rFonts w:ascii="宋体" w:hAnsi="宋体"/>
          <w:b/>
          <w:sz w:val="24"/>
          <w:highlight w:val="none"/>
        </w:rPr>
        <w:t>各行业划型标准</w:t>
      </w:r>
    </w:p>
    <w:p w14:paraId="46BA8DB3">
      <w:pPr>
        <w:shd w:val="clear" w:color="auto" w:fill="auto"/>
        <w:spacing w:line="360" w:lineRule="auto"/>
        <w:ind w:firstLine="420"/>
        <w:jc w:val="left"/>
        <w:rPr>
          <w:rFonts w:ascii="宋体" w:hAnsi="宋体"/>
          <w:sz w:val="24"/>
          <w:highlight w:val="none"/>
        </w:rPr>
      </w:pPr>
      <w:r>
        <w:rPr>
          <w:rFonts w:ascii="宋体" w:hAnsi="宋体"/>
          <w:sz w:val="24"/>
          <w:highlight w:val="none"/>
        </w:rPr>
        <w:t>（一）农、林、牧、渔业。营业收入20000万元以下的为中小微型企业。其中，营业收入500万元及以上的为中型企业，营业收入50万元及以上的为小型企业，营业收入50万元以下的为微型企业。</w:t>
      </w:r>
    </w:p>
    <w:p w14:paraId="61A69623">
      <w:pPr>
        <w:shd w:val="clear" w:color="auto" w:fill="auto"/>
        <w:spacing w:line="360" w:lineRule="auto"/>
        <w:ind w:firstLine="420"/>
        <w:jc w:val="left"/>
        <w:rPr>
          <w:rFonts w:ascii="宋体" w:hAnsi="宋体"/>
          <w:sz w:val="24"/>
          <w:highlight w:val="none"/>
        </w:rPr>
      </w:pPr>
      <w:r>
        <w:rPr>
          <w:rFonts w:ascii="宋体" w:hAnsi="宋体"/>
          <w:sz w:val="24"/>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30E031E">
      <w:pPr>
        <w:shd w:val="clear" w:color="auto" w:fill="auto"/>
        <w:spacing w:line="360" w:lineRule="auto"/>
        <w:ind w:firstLine="420"/>
        <w:jc w:val="left"/>
        <w:rPr>
          <w:rFonts w:ascii="宋体" w:hAnsi="宋体"/>
          <w:sz w:val="24"/>
          <w:highlight w:val="none"/>
        </w:rPr>
      </w:pPr>
      <w:r>
        <w:rPr>
          <w:rFonts w:ascii="宋体" w:hAnsi="宋体"/>
          <w:sz w:val="24"/>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7183F9CF">
      <w:pPr>
        <w:shd w:val="clear" w:color="auto" w:fill="auto"/>
        <w:spacing w:line="360" w:lineRule="auto"/>
        <w:ind w:firstLine="420"/>
        <w:jc w:val="left"/>
        <w:rPr>
          <w:rFonts w:ascii="宋体" w:hAnsi="宋体"/>
          <w:sz w:val="24"/>
          <w:highlight w:val="none"/>
        </w:rPr>
      </w:pPr>
      <w:r>
        <w:rPr>
          <w:rFonts w:ascii="宋体" w:hAnsi="宋体"/>
          <w:sz w:val="24"/>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43818414">
      <w:pPr>
        <w:shd w:val="clear" w:color="auto" w:fill="auto"/>
        <w:spacing w:line="360" w:lineRule="auto"/>
        <w:ind w:firstLine="420"/>
        <w:jc w:val="left"/>
        <w:rPr>
          <w:rFonts w:ascii="宋体" w:hAnsi="宋体"/>
          <w:sz w:val="24"/>
          <w:highlight w:val="none"/>
        </w:rPr>
      </w:pPr>
      <w:r>
        <w:rPr>
          <w:rFonts w:ascii="宋体" w:hAnsi="宋体"/>
          <w:sz w:val="24"/>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4A297847">
      <w:pPr>
        <w:shd w:val="clear" w:color="auto" w:fill="auto"/>
        <w:spacing w:line="360" w:lineRule="auto"/>
        <w:ind w:firstLine="420"/>
        <w:jc w:val="left"/>
        <w:rPr>
          <w:rFonts w:ascii="宋体" w:hAnsi="宋体"/>
          <w:sz w:val="24"/>
          <w:highlight w:val="none"/>
        </w:rPr>
      </w:pPr>
      <w:r>
        <w:rPr>
          <w:rFonts w:ascii="宋体" w:hAnsi="宋体"/>
          <w:sz w:val="24"/>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460FC8D5">
      <w:pPr>
        <w:shd w:val="clear" w:color="auto" w:fill="auto"/>
        <w:spacing w:line="360" w:lineRule="auto"/>
        <w:ind w:firstLine="420"/>
        <w:jc w:val="left"/>
        <w:rPr>
          <w:rFonts w:ascii="宋体" w:hAnsi="宋体"/>
          <w:sz w:val="24"/>
          <w:highlight w:val="none"/>
        </w:rPr>
      </w:pPr>
      <w:r>
        <w:rPr>
          <w:rFonts w:ascii="宋体" w:hAnsi="宋体"/>
          <w:sz w:val="24"/>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7503E4E9">
      <w:pPr>
        <w:shd w:val="clear" w:color="auto" w:fill="auto"/>
        <w:spacing w:line="360" w:lineRule="auto"/>
        <w:ind w:firstLine="420"/>
        <w:jc w:val="left"/>
        <w:rPr>
          <w:rFonts w:ascii="宋体" w:hAnsi="宋体"/>
          <w:sz w:val="24"/>
          <w:highlight w:val="none"/>
        </w:rPr>
      </w:pPr>
      <w:r>
        <w:rPr>
          <w:rFonts w:ascii="宋体" w:hAnsi="宋体"/>
          <w:sz w:val="24"/>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5BD3EA41">
      <w:pPr>
        <w:shd w:val="clear" w:color="auto" w:fill="auto"/>
        <w:spacing w:line="360" w:lineRule="auto"/>
        <w:ind w:firstLine="420"/>
        <w:jc w:val="left"/>
        <w:rPr>
          <w:rFonts w:ascii="宋体" w:hAnsi="宋体"/>
          <w:sz w:val="24"/>
          <w:highlight w:val="none"/>
        </w:rPr>
      </w:pPr>
      <w:r>
        <w:rPr>
          <w:rFonts w:ascii="宋体" w:hAnsi="宋体"/>
          <w:sz w:val="24"/>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D2D4356">
      <w:pPr>
        <w:shd w:val="clear" w:color="auto" w:fill="auto"/>
        <w:spacing w:line="360" w:lineRule="auto"/>
        <w:ind w:firstLine="420"/>
        <w:jc w:val="left"/>
        <w:rPr>
          <w:rFonts w:ascii="宋体" w:hAnsi="宋体"/>
          <w:sz w:val="24"/>
          <w:highlight w:val="none"/>
        </w:rPr>
      </w:pPr>
      <w:r>
        <w:rPr>
          <w:rFonts w:ascii="宋体" w:hAnsi="宋体"/>
          <w:sz w:val="24"/>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C4DEA60">
      <w:pPr>
        <w:shd w:val="clear" w:color="auto" w:fill="auto"/>
        <w:spacing w:line="360" w:lineRule="auto"/>
        <w:ind w:firstLine="420"/>
        <w:jc w:val="left"/>
        <w:rPr>
          <w:rFonts w:ascii="宋体" w:hAnsi="宋体"/>
          <w:sz w:val="24"/>
          <w:highlight w:val="none"/>
        </w:rPr>
      </w:pPr>
      <w:r>
        <w:rPr>
          <w:rFonts w:ascii="宋体" w:hAnsi="宋体"/>
          <w:sz w:val="24"/>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D191C00">
      <w:pPr>
        <w:shd w:val="clear" w:color="auto" w:fill="auto"/>
        <w:spacing w:line="360" w:lineRule="auto"/>
        <w:ind w:firstLine="420"/>
        <w:jc w:val="left"/>
        <w:rPr>
          <w:rFonts w:ascii="宋体" w:hAnsi="宋体"/>
          <w:sz w:val="24"/>
          <w:highlight w:val="none"/>
        </w:rPr>
      </w:pPr>
      <w:r>
        <w:rPr>
          <w:rFonts w:ascii="宋体" w:hAnsi="宋体"/>
          <w:sz w:val="24"/>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EE742A8">
      <w:pPr>
        <w:shd w:val="clear" w:color="auto" w:fill="auto"/>
        <w:spacing w:line="360" w:lineRule="auto"/>
        <w:ind w:firstLine="420"/>
        <w:jc w:val="left"/>
        <w:rPr>
          <w:rFonts w:ascii="宋体" w:hAnsi="宋体"/>
          <w:sz w:val="24"/>
          <w:highlight w:val="none"/>
        </w:rPr>
      </w:pPr>
      <w:r>
        <w:rPr>
          <w:rFonts w:ascii="宋体" w:hAnsi="宋体"/>
          <w:sz w:val="24"/>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67A400E">
      <w:pPr>
        <w:shd w:val="clear" w:color="auto" w:fill="auto"/>
        <w:spacing w:line="360" w:lineRule="auto"/>
        <w:ind w:firstLine="420"/>
        <w:jc w:val="left"/>
        <w:rPr>
          <w:rFonts w:ascii="宋体" w:hAnsi="宋体"/>
          <w:sz w:val="24"/>
          <w:highlight w:val="none"/>
        </w:rPr>
      </w:pPr>
      <w:r>
        <w:rPr>
          <w:rFonts w:ascii="宋体" w:hAnsi="宋体"/>
          <w:sz w:val="24"/>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3CDF1484">
      <w:pPr>
        <w:shd w:val="clear" w:color="auto" w:fill="auto"/>
        <w:spacing w:line="360" w:lineRule="auto"/>
        <w:ind w:firstLine="420"/>
        <w:jc w:val="left"/>
        <w:rPr>
          <w:rFonts w:hint="eastAsia" w:ascii="宋体" w:hAnsi="宋体"/>
          <w:sz w:val="24"/>
          <w:highlight w:val="none"/>
        </w:rPr>
      </w:pPr>
      <w:r>
        <w:rPr>
          <w:rFonts w:ascii="宋体" w:hAnsi="宋体"/>
          <w:sz w:val="24"/>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59908FB2">
      <w:pPr>
        <w:shd w:val="clear" w:color="auto" w:fill="auto"/>
        <w:ind w:firstLine="480"/>
        <w:rPr>
          <w:rFonts w:hint="eastAsia" w:ascii="宋体" w:hAnsi="宋体" w:eastAsia="宋体" w:cs="宋体"/>
          <w:b/>
          <w:bCs/>
          <w:sz w:val="24"/>
          <w:highlight w:val="none"/>
        </w:rPr>
      </w:pPr>
      <w:r>
        <w:rPr>
          <w:rFonts w:ascii="宋体" w:hAnsi="宋体"/>
          <w:sz w:val="24"/>
          <w:highlight w:val="none"/>
        </w:rPr>
        <w:t>（十六）其他未列明行业。从业人员300人以下的为中小微型企业。其中，从业人员100人及以上的为中型企业；从业人员10人及以上的为小型企业；从业人员10人以下的为微型企业。</w:t>
      </w:r>
    </w:p>
    <w:p w14:paraId="0A50470B">
      <w:pPr>
        <w:shd w:val="clear" w:color="auto" w:fill="auto"/>
        <w:autoSpaceDE w:val="0"/>
        <w:autoSpaceDN w:val="0"/>
        <w:adjustRightInd w:val="0"/>
        <w:ind w:firstLine="0" w:firstLineChars="0"/>
        <w:jc w:val="center"/>
        <w:rPr>
          <w:rFonts w:hint="eastAsia" w:ascii="宋体" w:hAnsi="宋体" w:eastAsia="宋体" w:cs="宋体"/>
          <w:b/>
          <w:bCs/>
          <w:sz w:val="24"/>
          <w:highlight w:val="none"/>
          <w:lang w:val="zh-CN"/>
        </w:rPr>
      </w:pPr>
      <w:r>
        <w:rPr>
          <w:rFonts w:hint="eastAsia" w:ascii="宋体" w:hAnsi="宋体" w:eastAsia="宋体" w:cs="宋体"/>
          <w:b/>
          <w:bCs/>
          <w:sz w:val="24"/>
          <w:highlight w:val="none"/>
        </w:rPr>
        <w:br w:type="page"/>
      </w:r>
      <w:r>
        <w:rPr>
          <w:rFonts w:hint="eastAsia" w:ascii="宋体" w:hAnsi="宋体" w:eastAsia="宋体" w:cs="宋体"/>
          <w:b/>
          <w:bCs/>
          <w:sz w:val="24"/>
          <w:highlight w:val="none"/>
          <w:lang w:val="en-US" w:eastAsia="zh-CN"/>
        </w:rPr>
        <w:t>附件二：</w:t>
      </w:r>
      <w:r>
        <w:rPr>
          <w:rFonts w:hint="eastAsia" w:ascii="宋体" w:hAnsi="宋体" w:eastAsia="宋体" w:cs="宋体"/>
          <w:b/>
          <w:bCs/>
          <w:sz w:val="24"/>
          <w:highlight w:val="none"/>
          <w:lang w:val="zh-CN"/>
        </w:rPr>
        <w:t>监狱企业证明文件</w:t>
      </w:r>
    </w:p>
    <w:p w14:paraId="15776C03">
      <w:pPr>
        <w:shd w:val="clear" w:color="auto" w:fill="auto"/>
        <w:snapToGrid w:val="0"/>
        <w:spacing w:line="360" w:lineRule="auto"/>
        <w:ind w:right="142" w:firstLine="480" w:firstLineChars="200"/>
        <w:jc w:val="left"/>
        <w:rPr>
          <w:rFonts w:hint="eastAsia" w:ascii="宋体" w:hAnsi="宋体" w:eastAsia="宋体" w:cs="Times New Roman"/>
          <w:sz w:val="24"/>
          <w:highlight w:val="none"/>
        </w:rPr>
      </w:pPr>
      <w:r>
        <w:rPr>
          <w:rFonts w:hint="eastAsia" w:ascii="宋体" w:hAnsi="宋体" w:eastAsia="宋体" w:cs="Times New Roman"/>
          <w:sz w:val="24"/>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E9FF113">
      <w:pPr>
        <w:shd w:val="clear" w:color="auto" w:fill="auto"/>
        <w:snapToGrid w:val="0"/>
        <w:spacing w:line="360" w:lineRule="auto"/>
        <w:ind w:right="142" w:firstLine="480" w:firstLineChars="200"/>
        <w:jc w:val="left"/>
        <w:rPr>
          <w:rFonts w:hint="eastAsia" w:ascii="宋体" w:hAnsi="宋体" w:eastAsia="宋体" w:cs="宋体"/>
          <w:b/>
          <w:kern w:val="0"/>
          <w:sz w:val="36"/>
          <w:szCs w:val="36"/>
          <w:highlight w:val="none"/>
        </w:rPr>
      </w:pPr>
      <w:r>
        <w:rPr>
          <w:rFonts w:hint="eastAsia" w:ascii="宋体" w:hAnsi="宋体" w:eastAsia="宋体" w:cs="Times New Roman"/>
          <w:sz w:val="24"/>
          <w:highlight w:val="none"/>
        </w:rPr>
        <w:t>监狱企业参加政府采购活动时，应当提供由省级以上监狱管理局、戒毒管理局（含新疆生产建设兵团）出具的属于监狱企业的证明文件。</w:t>
      </w:r>
    </w:p>
    <w:p w14:paraId="7BA87895">
      <w:pPr>
        <w:shd w:val="clear" w:color="auto" w:fill="auto"/>
        <w:spacing w:line="480" w:lineRule="auto"/>
        <w:jc w:val="center"/>
        <w:rPr>
          <w:rFonts w:hint="eastAsia" w:ascii="宋体" w:hAnsi="宋体" w:eastAsia="宋体" w:cs="宋体"/>
          <w:b/>
          <w:kern w:val="0"/>
          <w:sz w:val="32"/>
          <w:szCs w:val="32"/>
          <w:highlight w:val="none"/>
        </w:rPr>
      </w:pPr>
    </w:p>
    <w:p w14:paraId="0C71EF94">
      <w:pPr>
        <w:shd w:val="clear" w:color="auto" w:fill="auto"/>
        <w:snapToGrid w:val="0"/>
        <w:spacing w:line="360" w:lineRule="auto"/>
        <w:ind w:right="142" w:firstLine="480" w:firstLineChars="200"/>
        <w:jc w:val="left"/>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说明：</w:t>
      </w:r>
    </w:p>
    <w:p w14:paraId="0DE44993">
      <w:pPr>
        <w:numPr>
          <w:ilvl w:val="0"/>
          <w:numId w:val="6"/>
        </w:numPr>
        <w:shd w:val="clear" w:color="auto" w:fill="auto"/>
        <w:snapToGrid w:val="0"/>
        <w:spacing w:line="360" w:lineRule="auto"/>
        <w:ind w:right="142" w:firstLine="480" w:firstLineChars="200"/>
        <w:jc w:val="left"/>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无格式要求，由出具监狱企业证明的单位自行拟定；</w:t>
      </w:r>
    </w:p>
    <w:p w14:paraId="7A20FF87">
      <w:pPr>
        <w:numPr>
          <w:ilvl w:val="0"/>
          <w:numId w:val="0"/>
        </w:numPr>
        <w:shd w:val="clear" w:color="auto" w:fill="auto"/>
        <w:snapToGrid w:val="0"/>
        <w:spacing w:line="360" w:lineRule="auto"/>
        <w:ind w:right="142" w:rightChars="0" w:firstLine="480" w:firstLineChars="200"/>
        <w:jc w:val="left"/>
        <w:rPr>
          <w:rFonts w:hint="eastAsia" w:ascii="宋体" w:hAnsi="宋体" w:eastAsia="宋体" w:cs="宋体"/>
          <w:b/>
          <w:color w:val="000000"/>
          <w:sz w:val="24"/>
          <w:highlight w:val="none"/>
        </w:rPr>
      </w:pPr>
      <w:r>
        <w:rPr>
          <w:rFonts w:hint="eastAsia" w:ascii="宋体" w:hAnsi="宋体" w:eastAsia="宋体" w:cs="Times New Roman"/>
          <w:sz w:val="24"/>
          <w:highlight w:val="none"/>
          <w:lang w:val="en-US" w:eastAsia="zh-CN"/>
        </w:rPr>
        <w:t>2、如不是该类企业则不需提供相关声明，若提供虚假材料谋取中标、成交的，将按照《中华人民共和国政府采购法》第七十七条规定对供应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74E06173">
      <w:pPr>
        <w:pStyle w:val="23"/>
        <w:shd w:val="clear" w:color="auto" w:fill="auto"/>
        <w:ind w:firstLine="480"/>
        <w:rPr>
          <w:rFonts w:hint="eastAsia" w:ascii="宋体" w:hAnsi="宋体" w:eastAsia="宋体" w:cs="宋体"/>
          <w:sz w:val="24"/>
          <w:szCs w:val="24"/>
          <w:highlight w:val="none"/>
        </w:rPr>
      </w:pPr>
    </w:p>
    <w:p w14:paraId="170F5F89">
      <w:pPr>
        <w:pStyle w:val="23"/>
        <w:shd w:val="clear" w:color="auto" w:fill="auto"/>
        <w:ind w:firstLine="480"/>
        <w:rPr>
          <w:rFonts w:hint="eastAsia" w:ascii="宋体" w:hAnsi="宋体" w:eastAsia="宋体" w:cs="宋体"/>
          <w:sz w:val="24"/>
          <w:szCs w:val="24"/>
          <w:highlight w:val="none"/>
        </w:rPr>
      </w:pPr>
    </w:p>
    <w:p w14:paraId="1F60DC89">
      <w:pPr>
        <w:pStyle w:val="23"/>
        <w:shd w:val="clear" w:color="auto" w:fill="auto"/>
        <w:ind w:firstLine="480"/>
        <w:rPr>
          <w:rFonts w:hint="eastAsia" w:ascii="宋体" w:hAnsi="宋体" w:eastAsia="宋体" w:cs="宋体"/>
          <w:sz w:val="24"/>
          <w:szCs w:val="24"/>
          <w:highlight w:val="none"/>
        </w:rPr>
      </w:pPr>
    </w:p>
    <w:p w14:paraId="5BDAD044">
      <w:pPr>
        <w:pStyle w:val="23"/>
        <w:shd w:val="clear" w:color="auto" w:fill="auto"/>
        <w:ind w:firstLine="480"/>
        <w:rPr>
          <w:rFonts w:hint="eastAsia" w:ascii="宋体" w:hAnsi="宋体" w:eastAsia="宋体" w:cs="宋体"/>
          <w:sz w:val="24"/>
          <w:szCs w:val="24"/>
          <w:highlight w:val="none"/>
        </w:rPr>
      </w:pPr>
    </w:p>
    <w:p w14:paraId="0D6579B3">
      <w:pPr>
        <w:pStyle w:val="23"/>
        <w:shd w:val="clear" w:color="auto" w:fill="auto"/>
        <w:ind w:firstLine="480"/>
        <w:rPr>
          <w:rFonts w:hint="eastAsia" w:ascii="宋体" w:hAnsi="宋体" w:eastAsia="宋体" w:cs="宋体"/>
          <w:sz w:val="24"/>
          <w:szCs w:val="24"/>
          <w:highlight w:val="none"/>
        </w:rPr>
      </w:pPr>
    </w:p>
    <w:p w14:paraId="6F0BA873">
      <w:pPr>
        <w:pStyle w:val="23"/>
        <w:shd w:val="clear" w:color="auto" w:fill="auto"/>
        <w:ind w:firstLine="0" w:firstLineChars="0"/>
        <w:rPr>
          <w:rFonts w:hint="eastAsia" w:ascii="宋体" w:hAnsi="宋体" w:eastAsia="宋体" w:cs="宋体"/>
          <w:sz w:val="24"/>
          <w:szCs w:val="24"/>
          <w:highlight w:val="none"/>
        </w:rPr>
      </w:pPr>
    </w:p>
    <w:p w14:paraId="36ABBD8A">
      <w:pPr>
        <w:shd w:val="clear" w:color="auto" w:fill="auto"/>
        <w:ind w:firstLine="0" w:firstLineChars="0"/>
        <w:jc w:val="center"/>
        <w:rPr>
          <w:rFonts w:hint="eastAsia" w:ascii="宋体" w:hAnsi="宋体" w:eastAsia="宋体" w:cs="宋体"/>
          <w:b/>
          <w:color w:val="000000"/>
          <w:kern w:val="0"/>
          <w:sz w:val="24"/>
          <w:highlight w:val="none"/>
        </w:rPr>
      </w:pPr>
      <w:r>
        <w:rPr>
          <w:rFonts w:hint="eastAsia" w:ascii="宋体" w:hAnsi="宋体" w:eastAsia="宋体" w:cs="宋体"/>
          <w:b/>
          <w:bCs/>
          <w:sz w:val="24"/>
          <w:highlight w:val="none"/>
          <w:lang w:val="zh-CN"/>
        </w:rPr>
        <w:br w:type="page"/>
      </w:r>
      <w:r>
        <w:rPr>
          <w:rFonts w:hint="eastAsia" w:ascii="宋体" w:hAnsi="宋体" w:eastAsia="宋体" w:cs="宋体"/>
          <w:b/>
          <w:bCs/>
          <w:sz w:val="24"/>
          <w:highlight w:val="none"/>
          <w:lang w:val="zh-CN"/>
        </w:rPr>
        <w:t>附件三：残疾人福利性单位声明函</w:t>
      </w:r>
    </w:p>
    <w:p w14:paraId="7A834F42">
      <w:pPr>
        <w:pStyle w:val="8"/>
        <w:shd w:val="clear" w:color="auto" w:fill="auto"/>
        <w:spacing w:line="336" w:lineRule="auto"/>
        <w:ind w:firstLine="480" w:firstLineChars="200"/>
        <w:rPr>
          <w:rFonts w:hint="eastAsia" w:ascii="宋体" w:hAnsi="宋体" w:eastAsia="宋体" w:cs="宋体"/>
          <w:b w:val="0"/>
          <w:bCs/>
          <w:kern w:val="2"/>
          <w:sz w:val="24"/>
          <w:szCs w:val="24"/>
          <w:highlight w:val="none"/>
          <w:lang w:val="zh-CN" w:eastAsia="zh-CN" w:bidi="ar-SA"/>
        </w:rPr>
      </w:pPr>
      <w:r>
        <w:rPr>
          <w:rFonts w:hint="eastAsia" w:ascii="宋体" w:hAnsi="宋体" w:eastAsia="宋体" w:cs="宋体"/>
          <w:b w:val="0"/>
          <w:bCs/>
          <w:kern w:val="2"/>
          <w:sz w:val="24"/>
          <w:szCs w:val="24"/>
          <w:highlight w:val="none"/>
          <w:lang w:val="zh-CN" w:eastAsia="zh-CN" w:bidi="ar-SA"/>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b w:val="0"/>
          <w:bCs/>
          <w:kern w:val="2"/>
          <w:sz w:val="24"/>
          <w:szCs w:val="24"/>
          <w:highlight w:val="none"/>
          <w:u w:val="single"/>
          <w:lang w:val="en-US" w:eastAsia="zh-CN" w:bidi="ar-SA"/>
        </w:rPr>
        <w:t xml:space="preserve">           </w:t>
      </w:r>
      <w:r>
        <w:rPr>
          <w:rFonts w:hint="eastAsia" w:ascii="宋体" w:hAnsi="宋体" w:eastAsia="宋体" w:cs="宋体"/>
          <w:b w:val="0"/>
          <w:bCs/>
          <w:kern w:val="2"/>
          <w:sz w:val="24"/>
          <w:szCs w:val="24"/>
          <w:highlight w:val="none"/>
          <w:lang w:val="zh-CN" w:eastAsia="zh-CN" w:bidi="ar-SA"/>
        </w:rPr>
        <w:t>单位的</w:t>
      </w:r>
      <w:r>
        <w:rPr>
          <w:rFonts w:hint="eastAsia" w:ascii="宋体" w:hAnsi="宋体" w:eastAsia="宋体" w:cs="宋体"/>
          <w:b w:val="0"/>
          <w:bCs/>
          <w:kern w:val="2"/>
          <w:sz w:val="24"/>
          <w:szCs w:val="24"/>
          <w:highlight w:val="none"/>
          <w:u w:val="single"/>
          <w:lang w:val="en-US" w:eastAsia="zh-CN" w:bidi="ar-SA"/>
        </w:rPr>
        <w:t xml:space="preserve">           </w:t>
      </w:r>
      <w:r>
        <w:rPr>
          <w:rFonts w:hint="eastAsia" w:ascii="宋体" w:hAnsi="宋体" w:eastAsia="宋体" w:cs="宋体"/>
          <w:b w:val="0"/>
          <w:bCs/>
          <w:kern w:val="2"/>
          <w:sz w:val="24"/>
          <w:szCs w:val="24"/>
          <w:highlight w:val="none"/>
          <w:lang w:val="zh-CN" w:eastAsia="zh-CN" w:bidi="ar-SA"/>
        </w:rPr>
        <w:t>项目采购活动提供本单位制造的货物（由本单位承担工程/提供服务），或者提供其他残疾人福利性单位制造的货物（不包括使用非残疾人福利性单位注册商标的货物）。</w:t>
      </w:r>
    </w:p>
    <w:p w14:paraId="5CD442DF">
      <w:pPr>
        <w:pStyle w:val="8"/>
        <w:shd w:val="clear" w:color="auto" w:fill="auto"/>
        <w:spacing w:line="336" w:lineRule="auto"/>
        <w:ind w:firstLine="480" w:firstLineChars="200"/>
        <w:rPr>
          <w:rFonts w:hint="eastAsia" w:ascii="宋体" w:hAnsi="宋体" w:eastAsia="宋体" w:cs="宋体"/>
          <w:b w:val="0"/>
          <w:bCs/>
          <w:kern w:val="2"/>
          <w:sz w:val="24"/>
          <w:szCs w:val="24"/>
          <w:highlight w:val="none"/>
          <w:lang w:val="zh-CN" w:eastAsia="zh-CN" w:bidi="ar-SA"/>
        </w:rPr>
      </w:pPr>
      <w:r>
        <w:rPr>
          <w:rFonts w:hint="eastAsia" w:ascii="宋体" w:hAnsi="宋体" w:eastAsia="宋体" w:cs="宋体"/>
          <w:b w:val="0"/>
          <w:bCs/>
          <w:kern w:val="2"/>
          <w:sz w:val="24"/>
          <w:szCs w:val="24"/>
          <w:highlight w:val="none"/>
          <w:lang w:val="zh-CN" w:eastAsia="zh-CN" w:bidi="ar-SA"/>
        </w:rPr>
        <w:t>本单位对上述声明的真实性负责。如有虚假，将依法承担相应责任。</w:t>
      </w:r>
    </w:p>
    <w:p w14:paraId="73811A49">
      <w:pPr>
        <w:pStyle w:val="8"/>
        <w:shd w:val="clear" w:color="auto" w:fill="auto"/>
        <w:spacing w:line="336" w:lineRule="auto"/>
        <w:ind w:firstLine="480" w:firstLineChars="200"/>
        <w:rPr>
          <w:rFonts w:hint="eastAsia" w:ascii="宋体" w:hAnsi="宋体" w:eastAsia="宋体" w:cs="宋体"/>
          <w:b w:val="0"/>
          <w:bCs/>
          <w:kern w:val="2"/>
          <w:sz w:val="24"/>
          <w:szCs w:val="24"/>
          <w:highlight w:val="none"/>
          <w:lang w:val="zh-CN" w:eastAsia="zh-CN" w:bidi="ar-SA"/>
        </w:rPr>
      </w:pPr>
    </w:p>
    <w:p w14:paraId="45BF5B70">
      <w:pPr>
        <w:pStyle w:val="8"/>
        <w:shd w:val="clear" w:color="auto" w:fill="auto"/>
        <w:spacing w:line="336" w:lineRule="auto"/>
        <w:ind w:firstLine="480" w:firstLineChars="200"/>
        <w:rPr>
          <w:rFonts w:hint="eastAsia" w:ascii="宋体" w:hAnsi="宋体" w:eastAsia="宋体" w:cs="宋体"/>
          <w:b w:val="0"/>
          <w:bCs/>
          <w:kern w:val="2"/>
          <w:sz w:val="24"/>
          <w:szCs w:val="24"/>
          <w:highlight w:val="none"/>
          <w:lang w:val="zh-CN" w:eastAsia="zh-CN" w:bidi="ar-SA"/>
        </w:rPr>
      </w:pPr>
    </w:p>
    <w:p w14:paraId="3B5DA522">
      <w:pPr>
        <w:pStyle w:val="8"/>
        <w:shd w:val="clear" w:color="auto" w:fill="auto"/>
        <w:spacing w:line="336" w:lineRule="auto"/>
        <w:ind w:firstLine="480" w:firstLineChars="200"/>
        <w:jc w:val="center"/>
        <w:rPr>
          <w:rFonts w:hint="eastAsia" w:ascii="宋体" w:hAnsi="宋体" w:eastAsia="宋体" w:cs="宋体"/>
          <w:b w:val="0"/>
          <w:bCs/>
          <w:kern w:val="2"/>
          <w:sz w:val="24"/>
          <w:szCs w:val="24"/>
          <w:highlight w:val="none"/>
          <w:lang w:val="zh-CN" w:eastAsia="zh-CN" w:bidi="ar-SA"/>
        </w:rPr>
      </w:pPr>
      <w:r>
        <w:rPr>
          <w:rFonts w:hint="eastAsia" w:ascii="宋体" w:hAnsi="宋体" w:eastAsia="宋体" w:cs="宋体"/>
          <w:b w:val="0"/>
          <w:bCs/>
          <w:kern w:val="2"/>
          <w:sz w:val="24"/>
          <w:szCs w:val="24"/>
          <w:highlight w:val="none"/>
          <w:lang w:val="en-US" w:eastAsia="zh-CN" w:bidi="ar-SA"/>
        </w:rPr>
        <w:t xml:space="preserve">          </w:t>
      </w:r>
      <w:r>
        <w:rPr>
          <w:rFonts w:hint="eastAsia" w:ascii="宋体" w:hAnsi="宋体" w:eastAsia="宋体" w:cs="宋体"/>
          <w:b w:val="0"/>
          <w:bCs/>
          <w:kern w:val="2"/>
          <w:sz w:val="24"/>
          <w:szCs w:val="24"/>
          <w:highlight w:val="none"/>
          <w:lang w:val="zh-CN" w:eastAsia="zh-CN" w:bidi="ar-SA"/>
        </w:rPr>
        <w:t>单位名称（盖章）：</w:t>
      </w:r>
    </w:p>
    <w:p w14:paraId="5C1C6FC1">
      <w:pPr>
        <w:pStyle w:val="8"/>
        <w:shd w:val="clear" w:color="auto" w:fill="auto"/>
        <w:spacing w:line="336" w:lineRule="auto"/>
        <w:ind w:firstLine="480" w:firstLineChars="200"/>
        <w:jc w:val="center"/>
        <w:rPr>
          <w:rFonts w:hint="eastAsia" w:ascii="宋体" w:hAnsi="宋体" w:eastAsia="宋体" w:cs="宋体"/>
          <w:sz w:val="24"/>
          <w:szCs w:val="24"/>
          <w:highlight w:val="none"/>
        </w:rPr>
      </w:pPr>
      <w:r>
        <w:rPr>
          <w:rFonts w:hint="eastAsia" w:ascii="宋体" w:hAnsi="宋体" w:eastAsia="宋体" w:cs="宋体"/>
          <w:b w:val="0"/>
          <w:bCs/>
          <w:kern w:val="2"/>
          <w:sz w:val="24"/>
          <w:szCs w:val="24"/>
          <w:highlight w:val="none"/>
          <w:lang w:val="zh-CN" w:eastAsia="zh-CN" w:bidi="ar-SA"/>
        </w:rPr>
        <w:t>日  期：</w:t>
      </w:r>
    </w:p>
    <w:p w14:paraId="7C6F0EC7">
      <w:pPr>
        <w:shd w:val="clear" w:color="auto" w:fill="auto"/>
        <w:tabs>
          <w:tab w:val="left" w:pos="4860"/>
        </w:tabs>
        <w:spacing w:line="588" w:lineRule="exact"/>
        <w:ind w:right="1560" w:firstLine="504" w:firstLineChars="200"/>
        <w:jc w:val="center"/>
        <w:rPr>
          <w:rFonts w:hint="eastAsia" w:ascii="宋体" w:hAnsi="宋体" w:eastAsia="宋体" w:cs="宋体"/>
          <w:spacing w:val="6"/>
          <w:sz w:val="24"/>
          <w:szCs w:val="24"/>
          <w:highlight w:val="none"/>
        </w:rPr>
      </w:pPr>
    </w:p>
    <w:p w14:paraId="19673CC8">
      <w:pPr>
        <w:shd w:val="clear" w:color="auto" w:fill="auto"/>
        <w:spacing w:line="560" w:lineRule="exact"/>
        <w:ind w:firstLine="360" w:firstLineChars="150"/>
        <w:jc w:val="left"/>
        <w:rPr>
          <w:rFonts w:hint="eastAsia" w:ascii="宋体" w:hAnsi="宋体" w:cs="宋体"/>
          <w:b/>
          <w:sz w:val="24"/>
          <w:szCs w:val="24"/>
          <w:highlight w:val="none"/>
          <w:lang w:eastAsia="zh-CN"/>
        </w:rPr>
      </w:pPr>
      <w:r>
        <w:rPr>
          <w:rFonts w:hint="eastAsia" w:ascii="宋体" w:hAnsi="宋体" w:eastAsia="宋体" w:cs="宋体"/>
          <w:kern w:val="0"/>
          <w:sz w:val="24"/>
          <w:szCs w:val="24"/>
          <w:highlight w:val="none"/>
          <w:lang w:val="en-US" w:eastAsia="zh-CN" w:bidi="ar-SA"/>
        </w:rPr>
        <w:t>说明：</w:t>
      </w:r>
    </w:p>
    <w:p w14:paraId="64DBD10D">
      <w:pPr>
        <w:pStyle w:val="8"/>
        <w:shd w:val="clear" w:color="auto" w:fill="auto"/>
        <w:spacing w:line="336"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应仔细阅读《财政部 民政部 中国残疾人联合会关于促进残疾人就业政府采购政策的通知》，并如实填写本表，符合条件的</w:t>
      </w:r>
      <w:r>
        <w:rPr>
          <w:rFonts w:hint="eastAsia" w:ascii="宋体" w:hAnsi="宋体" w:eastAsia="宋体" w:cs="宋体"/>
          <w:sz w:val="24"/>
          <w:szCs w:val="24"/>
          <w:highlight w:val="none"/>
          <w:lang w:eastAsia="zh-CN"/>
        </w:rPr>
        <w:t>投标供应商</w:t>
      </w:r>
      <w:r>
        <w:rPr>
          <w:rFonts w:hint="eastAsia" w:ascii="宋体" w:hAnsi="宋体" w:eastAsia="宋体" w:cs="宋体"/>
          <w:sz w:val="24"/>
          <w:szCs w:val="24"/>
          <w:highlight w:val="none"/>
        </w:rPr>
        <w:t>未按上述要求提供、填写的，评审时不予以考虑。</w:t>
      </w:r>
    </w:p>
    <w:p w14:paraId="4CDCE021">
      <w:pPr>
        <w:numPr>
          <w:ilvl w:val="0"/>
          <w:numId w:val="0"/>
        </w:numPr>
        <w:shd w:val="clear" w:color="auto" w:fill="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如不是该类企业则不需提供相关声明，若提供虚假材料谋取中标、成交的，将按照《中华人民共和国政府采购法》第七十七条规定对供应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4118730B">
      <w:pPr>
        <w:numPr>
          <w:ilvl w:val="0"/>
          <w:numId w:val="0"/>
        </w:numPr>
        <w:shd w:val="clear" w:color="auto" w:fill="auto"/>
        <w:jc w:val="center"/>
        <w:rPr>
          <w:rFonts w:hint="eastAsia" w:ascii="宋体" w:hAnsi="宋体" w:eastAsia="宋体" w:cs="宋体"/>
          <w:kern w:val="0"/>
          <w:sz w:val="24"/>
          <w:highlight w:val="none"/>
          <w:lang w:val="en-US" w:eastAsia="zh-CN"/>
        </w:rPr>
      </w:pPr>
      <w:r>
        <w:rPr>
          <w:rFonts w:hint="eastAsia" w:ascii="宋体" w:hAnsi="宋体" w:eastAsia="宋体" w:cs="宋体"/>
          <w:sz w:val="24"/>
          <w:szCs w:val="24"/>
          <w:highlight w:val="none"/>
        </w:rPr>
        <w:br w:type="page"/>
      </w:r>
      <w:r>
        <w:rPr>
          <w:rFonts w:hint="eastAsia" w:ascii="宋体" w:hAnsi="宋体" w:eastAsia="宋体" w:cs="宋体"/>
          <w:b/>
          <w:bCs/>
          <w:color w:val="000000"/>
          <w:kern w:val="2"/>
          <w:sz w:val="28"/>
          <w:szCs w:val="28"/>
          <w:highlight w:val="none"/>
          <w:lang w:val="en-US" w:eastAsia="zh-CN" w:bidi="ar-SA"/>
        </w:rPr>
        <w:t>九、其他资料</w:t>
      </w:r>
    </w:p>
    <w:p w14:paraId="4FF0D131">
      <w:pPr>
        <w:pStyle w:val="3"/>
        <w:numPr>
          <w:ilvl w:val="0"/>
          <w:numId w:val="0"/>
        </w:numPr>
        <w:shd w:val="clear" w:color="auto" w:fill="auto"/>
        <w:spacing w:before="0" w:after="0" w:line="360" w:lineRule="auto"/>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1</w:t>
      </w:r>
      <w:r>
        <w:rPr>
          <w:rFonts w:hint="eastAsia" w:ascii="宋体" w:hAnsi="宋体" w:eastAsia="宋体" w:cs="宋体"/>
          <w:bCs/>
          <w:color w:val="000000"/>
          <w:sz w:val="24"/>
          <w:szCs w:val="24"/>
          <w:highlight w:val="none"/>
        </w:rPr>
        <w:t>、投标声明书</w:t>
      </w:r>
    </w:p>
    <w:p w14:paraId="079F73FE">
      <w:pPr>
        <w:pStyle w:val="5"/>
        <w:shd w:val="clear" w:color="auto" w:fill="auto"/>
        <w:ind w:firstLine="0" w:firstLineChars="0"/>
        <w:rPr>
          <w:rFonts w:hint="eastAsia" w:ascii="宋体" w:hAnsi="宋体" w:eastAsia="宋体" w:cs="宋体"/>
          <w:b/>
          <w:sz w:val="24"/>
          <w:szCs w:val="24"/>
          <w:highlight w:val="none"/>
          <w:lang w:eastAsia="zh-CN"/>
        </w:rPr>
      </w:pPr>
      <w:r>
        <w:rPr>
          <w:rFonts w:hint="eastAsia" w:ascii="宋体" w:hAnsi="宋体" w:cs="宋体"/>
          <w:b/>
          <w:sz w:val="24"/>
          <w:szCs w:val="24"/>
          <w:highlight w:val="none"/>
        </w:rPr>
        <w:t>致：</w:t>
      </w:r>
      <w:r>
        <w:rPr>
          <w:rFonts w:hint="eastAsia" w:ascii="宋体" w:hAnsi="宋体" w:cs="宋体"/>
          <w:b/>
          <w:sz w:val="24"/>
          <w:szCs w:val="24"/>
          <w:highlight w:val="none"/>
          <w:lang w:eastAsia="zh-CN"/>
        </w:rPr>
        <w:t>陕西天沃工程项目管理有限公司</w:t>
      </w:r>
    </w:p>
    <w:p w14:paraId="64A1AE46">
      <w:pPr>
        <w:pStyle w:val="5"/>
        <w:shd w:val="clear" w:color="auto" w:fill="auto"/>
        <w:wordWrap w:val="0"/>
        <w:ind w:firstLine="480"/>
        <w:jc w:val="left"/>
        <w:rPr>
          <w:rFonts w:hint="eastAsia" w:ascii="宋体" w:hAnsi="宋体" w:cs="宋体"/>
          <w:sz w:val="24"/>
          <w:szCs w:val="24"/>
          <w:highlight w:val="none"/>
        </w:rPr>
      </w:pPr>
      <w:r>
        <w:rPr>
          <w:rFonts w:hint="eastAsia" w:ascii="宋体" w:hAnsi="宋体" w:cs="宋体"/>
          <w:sz w:val="24"/>
          <w:szCs w:val="24"/>
          <w:highlight w:val="none"/>
        </w:rPr>
        <w:t>我公司</w:t>
      </w:r>
      <w:r>
        <w:rPr>
          <w:rFonts w:hint="eastAsia" w:ascii="宋体" w:hAnsi="宋体" w:cs="宋体"/>
          <w:sz w:val="24"/>
          <w:szCs w:val="24"/>
          <w:highlight w:val="none"/>
          <w:u w:val="single"/>
        </w:rPr>
        <w:t xml:space="preserve">               </w:t>
      </w:r>
      <w:r>
        <w:rPr>
          <w:rFonts w:hint="eastAsia" w:ascii="宋体" w:hAnsi="宋体" w:cs="宋体"/>
          <w:sz w:val="24"/>
          <w:szCs w:val="24"/>
          <w:highlight w:val="none"/>
        </w:rPr>
        <w:t>（投标供应商名称），就参加</w:t>
      </w:r>
      <w:r>
        <w:rPr>
          <w:rFonts w:hint="eastAsia" w:ascii="宋体" w:hAnsi="宋体" w:cs="宋体"/>
          <w:sz w:val="24"/>
          <w:szCs w:val="24"/>
          <w:highlight w:val="none"/>
          <w:u w:val="single"/>
          <w:lang w:eastAsia="zh-CN"/>
        </w:rPr>
        <w:t>扶风县农村义务教育学生营养改善计划学校食堂食材采购（    标段）</w:t>
      </w:r>
      <w:r>
        <w:rPr>
          <w:rFonts w:hint="eastAsia" w:ascii="宋体" w:hAnsi="宋体" w:cs="宋体"/>
          <w:sz w:val="24"/>
          <w:szCs w:val="24"/>
          <w:highlight w:val="none"/>
        </w:rPr>
        <w:t>（采购项目编号：</w:t>
      </w:r>
      <w:r>
        <w:rPr>
          <w:rFonts w:hint="eastAsia" w:ascii="宋体" w:hAnsi="宋体" w:cs="宋体"/>
          <w:color w:val="000000"/>
          <w:kern w:val="0"/>
          <w:sz w:val="24"/>
          <w:szCs w:val="24"/>
          <w:highlight w:val="none"/>
          <w:lang w:eastAsia="zh-CN"/>
        </w:rPr>
        <w:t>TWZB2026-116</w:t>
      </w:r>
      <w:r>
        <w:rPr>
          <w:rFonts w:hint="eastAsia" w:ascii="宋体" w:hAnsi="宋体" w:cs="宋体"/>
          <w:sz w:val="24"/>
          <w:szCs w:val="24"/>
          <w:highlight w:val="none"/>
        </w:rPr>
        <w:t>）投标事宜，在此郑重声明：</w:t>
      </w:r>
    </w:p>
    <w:p w14:paraId="7A92B211">
      <w:pPr>
        <w:pStyle w:val="5"/>
        <w:shd w:val="clear" w:color="auto" w:fill="auto"/>
        <w:ind w:firstLine="480"/>
        <w:rPr>
          <w:rFonts w:hint="eastAsia" w:ascii="宋体" w:hAnsi="宋体" w:cs="宋体"/>
          <w:sz w:val="24"/>
          <w:szCs w:val="24"/>
          <w:highlight w:val="none"/>
        </w:rPr>
      </w:pPr>
      <w:r>
        <w:rPr>
          <w:rFonts w:hint="eastAsia" w:ascii="宋体" w:hAnsi="宋体" w:cs="宋体"/>
          <w:sz w:val="24"/>
          <w:szCs w:val="24"/>
          <w:highlight w:val="none"/>
        </w:rPr>
        <w:t>1、我公司所提交的投标文件全部真实有效；</w:t>
      </w:r>
    </w:p>
    <w:p w14:paraId="7C4EEB4E">
      <w:pPr>
        <w:pStyle w:val="5"/>
        <w:shd w:val="clear" w:color="auto" w:fill="auto"/>
        <w:ind w:firstLine="480"/>
        <w:rPr>
          <w:rFonts w:hint="eastAsia" w:ascii="宋体" w:hAnsi="宋体" w:cs="宋体"/>
          <w:sz w:val="24"/>
          <w:szCs w:val="24"/>
          <w:highlight w:val="none"/>
        </w:rPr>
      </w:pPr>
      <w:r>
        <w:rPr>
          <w:rFonts w:hint="eastAsia" w:ascii="宋体" w:hAnsi="宋体" w:cs="宋体"/>
          <w:sz w:val="24"/>
          <w:szCs w:val="24"/>
          <w:highlight w:val="none"/>
        </w:rPr>
        <w:t>2、我公司近3年来无因安全事故、质量事故、投标违规等不良记录被政府有关部门处罚或仍在处罚期限内的情形存在；</w:t>
      </w:r>
    </w:p>
    <w:p w14:paraId="46240056">
      <w:pPr>
        <w:pStyle w:val="5"/>
        <w:shd w:val="clear" w:color="auto" w:fill="auto"/>
        <w:ind w:firstLine="480"/>
        <w:rPr>
          <w:rFonts w:hint="eastAsia" w:ascii="宋体" w:hAnsi="宋体" w:cs="宋体"/>
          <w:sz w:val="24"/>
          <w:szCs w:val="24"/>
          <w:highlight w:val="none"/>
        </w:rPr>
      </w:pPr>
      <w:r>
        <w:rPr>
          <w:rFonts w:hint="eastAsia" w:ascii="宋体" w:hAnsi="宋体" w:cs="宋体"/>
          <w:sz w:val="24"/>
          <w:szCs w:val="24"/>
          <w:highlight w:val="none"/>
        </w:rPr>
        <w:t>3、我公司近3年来无违规违法经营受到责令停产(或停止经营)、 吊销生产许可证（或经营许可证）、较大数额罚款等行政处罚的情形存在；</w:t>
      </w:r>
    </w:p>
    <w:p w14:paraId="44FF26AC">
      <w:pPr>
        <w:pStyle w:val="5"/>
        <w:shd w:val="clear" w:color="auto" w:fill="auto"/>
        <w:ind w:firstLine="480"/>
        <w:rPr>
          <w:rFonts w:hint="eastAsia" w:ascii="宋体" w:hAnsi="宋体" w:cs="宋体"/>
          <w:sz w:val="24"/>
          <w:szCs w:val="24"/>
          <w:highlight w:val="none"/>
        </w:rPr>
      </w:pPr>
      <w:r>
        <w:rPr>
          <w:rFonts w:hint="eastAsia" w:ascii="宋体" w:hAnsi="宋体" w:cs="宋体"/>
          <w:sz w:val="24"/>
          <w:szCs w:val="24"/>
          <w:highlight w:val="none"/>
        </w:rPr>
        <w:t>4、我公司无企业财产被查封、冻结或处于破产状态或严重亏损状态等情形存在；</w:t>
      </w:r>
    </w:p>
    <w:p w14:paraId="653E9112">
      <w:pPr>
        <w:pStyle w:val="5"/>
        <w:shd w:val="clear" w:color="auto" w:fill="auto"/>
        <w:ind w:firstLine="480"/>
        <w:rPr>
          <w:rFonts w:hint="eastAsia" w:ascii="宋体" w:hAnsi="宋体" w:cs="宋体"/>
          <w:sz w:val="24"/>
          <w:szCs w:val="24"/>
          <w:highlight w:val="none"/>
        </w:rPr>
      </w:pPr>
      <w:r>
        <w:rPr>
          <w:rFonts w:hint="eastAsia" w:ascii="宋体" w:hAnsi="宋体" w:cs="宋体"/>
          <w:sz w:val="24"/>
          <w:szCs w:val="24"/>
          <w:highlight w:val="none"/>
        </w:rPr>
        <w:t>5、我公司承诺在投标过程中，保证不予其他单位围标、串标，不出让投标资格，不采取不正当手段诋毁、排挤其他投标供应商，不向采购人、采购代理机构、评标委员会成员行贿。</w:t>
      </w:r>
    </w:p>
    <w:p w14:paraId="0C943551">
      <w:pPr>
        <w:pStyle w:val="5"/>
        <w:shd w:val="clear" w:color="auto" w:fill="auto"/>
        <w:ind w:firstLine="480"/>
        <w:rPr>
          <w:rFonts w:hint="eastAsia" w:ascii="宋体" w:hAnsi="宋体" w:cs="宋体"/>
          <w:sz w:val="24"/>
          <w:szCs w:val="24"/>
          <w:highlight w:val="none"/>
        </w:rPr>
      </w:pPr>
      <w:r>
        <w:rPr>
          <w:rFonts w:hint="eastAsia" w:ascii="宋体" w:hAnsi="宋体" w:cs="宋体"/>
          <w:sz w:val="24"/>
          <w:szCs w:val="24"/>
          <w:highlight w:val="none"/>
        </w:rPr>
        <w:t>以上声明若有违反，一经查实，本公司愿意接受政府有关部门的相应处罚，并愿意承担由此带来的法律后果。</w:t>
      </w:r>
    </w:p>
    <w:p w14:paraId="3B3B52A3">
      <w:pPr>
        <w:pStyle w:val="5"/>
        <w:shd w:val="clear" w:color="auto" w:fill="auto"/>
        <w:ind w:firstLine="480"/>
        <w:rPr>
          <w:rFonts w:hint="eastAsia" w:ascii="宋体" w:hAnsi="宋体" w:cs="宋体"/>
          <w:sz w:val="24"/>
          <w:szCs w:val="24"/>
          <w:highlight w:val="none"/>
        </w:rPr>
      </w:pPr>
      <w:r>
        <w:rPr>
          <w:rFonts w:hint="eastAsia" w:ascii="宋体" w:hAnsi="宋体" w:cs="宋体"/>
          <w:sz w:val="24"/>
          <w:szCs w:val="24"/>
          <w:highlight w:val="none"/>
        </w:rPr>
        <w:t>特此声明！</w:t>
      </w:r>
    </w:p>
    <w:p w14:paraId="0958321D">
      <w:pPr>
        <w:pStyle w:val="5"/>
        <w:shd w:val="clear" w:color="auto" w:fill="auto"/>
        <w:ind w:firstLine="480"/>
        <w:rPr>
          <w:rFonts w:hint="eastAsia" w:ascii="宋体" w:hAnsi="宋体" w:cs="宋体"/>
          <w:sz w:val="24"/>
          <w:szCs w:val="24"/>
          <w:highlight w:val="none"/>
        </w:rPr>
      </w:pPr>
      <w:r>
        <w:rPr>
          <w:rFonts w:hint="eastAsia" w:ascii="宋体" w:hAnsi="宋体" w:cs="宋体"/>
          <w:sz w:val="24"/>
          <w:szCs w:val="24"/>
          <w:highlight w:val="none"/>
        </w:rPr>
        <w:t>声  明  人:</w:t>
      </w:r>
      <w:r>
        <w:rPr>
          <w:rFonts w:hint="eastAsia" w:ascii="宋体" w:hAnsi="宋体" w:cs="宋体"/>
          <w:sz w:val="24"/>
          <w:szCs w:val="24"/>
          <w:highlight w:val="none"/>
          <w:u w:val="single"/>
        </w:rPr>
        <w:t xml:space="preserve">                      </w:t>
      </w:r>
      <w:r>
        <w:rPr>
          <w:rFonts w:hint="eastAsia" w:ascii="宋体" w:hAnsi="宋体" w:cs="宋体"/>
          <w:sz w:val="24"/>
          <w:szCs w:val="24"/>
          <w:highlight w:val="none"/>
        </w:rPr>
        <w:t>(投标供应商名称、公章)</w:t>
      </w:r>
    </w:p>
    <w:p w14:paraId="16B7C8E9">
      <w:pPr>
        <w:pStyle w:val="5"/>
        <w:shd w:val="clear" w:color="auto" w:fill="auto"/>
        <w:ind w:firstLine="480"/>
        <w:rPr>
          <w:rFonts w:hint="eastAsia" w:ascii="宋体" w:hAnsi="宋体" w:cs="宋体"/>
          <w:sz w:val="24"/>
          <w:szCs w:val="24"/>
          <w:highlight w:val="none"/>
        </w:rPr>
      </w:pPr>
      <w:r>
        <w:rPr>
          <w:rFonts w:hint="eastAsia" w:ascii="宋体" w:hAnsi="宋体" w:cs="宋体"/>
          <w:sz w:val="24"/>
          <w:szCs w:val="24"/>
          <w:highlight w:val="none"/>
        </w:rPr>
        <w:t>法定代表人：（签名或盖章）</w:t>
      </w:r>
    </w:p>
    <w:p w14:paraId="2F104765">
      <w:pPr>
        <w:pStyle w:val="5"/>
        <w:shd w:val="clear" w:color="auto" w:fill="auto"/>
        <w:ind w:right="1120" w:firstLine="480"/>
        <w:rPr>
          <w:rFonts w:hint="eastAsia" w:ascii="宋体" w:hAnsi="宋体" w:cs="宋体"/>
          <w:sz w:val="24"/>
          <w:szCs w:val="24"/>
          <w:highlight w:val="none"/>
        </w:rPr>
      </w:pPr>
      <w:r>
        <w:rPr>
          <w:rFonts w:hint="eastAsia" w:ascii="宋体" w:hAnsi="宋体" w:cs="宋体"/>
          <w:sz w:val="24"/>
          <w:szCs w:val="24"/>
          <w:highlight w:val="none"/>
        </w:rPr>
        <w:t xml:space="preserve">日   期：   </w:t>
      </w:r>
    </w:p>
    <w:p w14:paraId="25644159">
      <w:pPr>
        <w:pStyle w:val="5"/>
        <w:shd w:val="clear" w:color="auto" w:fill="auto"/>
        <w:ind w:right="1120" w:firstLine="480"/>
        <w:rPr>
          <w:rFonts w:hint="eastAsia" w:ascii="宋体" w:hAnsi="宋体" w:cs="宋体"/>
          <w:sz w:val="24"/>
          <w:szCs w:val="24"/>
          <w:highlight w:val="none"/>
        </w:rPr>
      </w:pPr>
    </w:p>
    <w:p w14:paraId="729848B8">
      <w:pPr>
        <w:pStyle w:val="5"/>
        <w:shd w:val="clear" w:color="auto" w:fill="auto"/>
        <w:ind w:right="1120" w:firstLine="5880" w:firstLineChars="2100"/>
        <w:rPr>
          <w:rFonts w:hint="eastAsia" w:ascii="宋体" w:hAnsi="宋体" w:cs="宋体"/>
          <w:sz w:val="28"/>
          <w:szCs w:val="28"/>
          <w:highlight w:val="none"/>
        </w:rPr>
      </w:pPr>
      <w:r>
        <w:rPr>
          <w:rFonts w:hint="eastAsia" w:ascii="宋体" w:hAnsi="宋体" w:cs="宋体"/>
          <w:sz w:val="28"/>
          <w:szCs w:val="28"/>
          <w:highlight w:val="none"/>
        </w:rPr>
        <w:t xml:space="preserve">    </w:t>
      </w:r>
    </w:p>
    <w:p w14:paraId="6E45939B">
      <w:pPr>
        <w:pStyle w:val="5"/>
        <w:shd w:val="clear" w:color="auto" w:fill="auto"/>
        <w:ind w:right="1120" w:firstLine="5880" w:firstLineChars="2100"/>
        <w:rPr>
          <w:rFonts w:hint="eastAsia" w:ascii="宋体" w:hAnsi="宋体" w:cs="宋体"/>
          <w:sz w:val="28"/>
          <w:szCs w:val="28"/>
          <w:highlight w:val="none"/>
        </w:rPr>
      </w:pPr>
    </w:p>
    <w:p w14:paraId="13D3708E">
      <w:pPr>
        <w:pStyle w:val="5"/>
        <w:shd w:val="clear" w:color="auto" w:fill="auto"/>
        <w:ind w:right="1120" w:firstLine="5880" w:firstLineChars="2100"/>
        <w:rPr>
          <w:rFonts w:hint="eastAsia" w:ascii="宋体" w:hAnsi="宋体" w:cs="宋体"/>
          <w:sz w:val="28"/>
          <w:szCs w:val="28"/>
          <w:highlight w:val="none"/>
        </w:rPr>
      </w:pPr>
    </w:p>
    <w:p w14:paraId="5DC4C92B">
      <w:pPr>
        <w:shd w:val="clear" w:color="auto" w:fill="auto"/>
        <w:ind w:firstLine="0" w:firstLineChars="0"/>
        <w:rPr>
          <w:rFonts w:hint="eastAsia" w:ascii="宋体" w:hAnsi="宋体" w:cs="宋体"/>
          <w:b/>
          <w:bCs/>
          <w:sz w:val="24"/>
          <w:highlight w:val="none"/>
        </w:rPr>
      </w:pPr>
    </w:p>
    <w:p w14:paraId="761B5604">
      <w:pPr>
        <w:shd w:val="clear" w:color="auto" w:fill="auto"/>
        <w:ind w:firstLine="422" w:firstLineChars="150"/>
        <w:jc w:val="center"/>
        <w:rPr>
          <w:rFonts w:hint="eastAsia" w:ascii="宋体" w:hAnsi="宋体" w:cs="宋体"/>
          <w:highlight w:val="none"/>
        </w:rPr>
      </w:pPr>
      <w:r>
        <w:rPr>
          <w:rFonts w:hint="eastAsia" w:ascii="宋体" w:hAnsi="宋体" w:cs="宋体"/>
          <w:b/>
          <w:color w:val="000000"/>
          <w:sz w:val="28"/>
          <w:szCs w:val="28"/>
          <w:highlight w:val="none"/>
        </w:rPr>
        <w:br w:type="page"/>
      </w:r>
      <w:r>
        <w:rPr>
          <w:rFonts w:hint="eastAsia" w:ascii="宋体" w:hAnsi="宋体" w:cs="宋体"/>
          <w:b/>
          <w:sz w:val="24"/>
          <w:highlight w:val="none"/>
          <w:lang w:val="en-US" w:eastAsia="zh-CN"/>
        </w:rPr>
        <w:t>2</w:t>
      </w:r>
      <w:r>
        <w:rPr>
          <w:rFonts w:hint="eastAsia" w:ascii="宋体" w:hAnsi="宋体" w:cs="宋体"/>
          <w:b/>
          <w:sz w:val="24"/>
          <w:highlight w:val="none"/>
        </w:rPr>
        <w:t>、政府采购供应商拒绝政府采购</w:t>
      </w:r>
      <w:bookmarkStart w:id="163" w:name="_Toc435777821"/>
      <w:bookmarkStart w:id="164" w:name="_Toc28167"/>
      <w:bookmarkStart w:id="165" w:name="_Toc438541326"/>
      <w:bookmarkStart w:id="166" w:name="_Toc437425973"/>
      <w:bookmarkStart w:id="167" w:name="_Toc437247481"/>
      <w:r>
        <w:rPr>
          <w:rFonts w:hint="eastAsia" w:ascii="宋体" w:hAnsi="宋体" w:cs="宋体"/>
          <w:b/>
          <w:sz w:val="24"/>
          <w:highlight w:val="none"/>
        </w:rPr>
        <w:t>领域</w:t>
      </w:r>
      <w:bookmarkStart w:id="168" w:name="_Toc435777721"/>
      <w:bookmarkStart w:id="169" w:name="_Toc435776434"/>
      <w:r>
        <w:rPr>
          <w:rFonts w:hint="eastAsia" w:ascii="宋体" w:hAnsi="宋体" w:cs="宋体"/>
          <w:b/>
          <w:sz w:val="24"/>
          <w:highlight w:val="none"/>
        </w:rPr>
        <w:t>商业</w:t>
      </w:r>
      <w:bookmarkEnd w:id="163"/>
      <w:bookmarkEnd w:id="164"/>
      <w:bookmarkEnd w:id="165"/>
      <w:bookmarkEnd w:id="166"/>
      <w:bookmarkEnd w:id="167"/>
      <w:bookmarkEnd w:id="168"/>
      <w:bookmarkEnd w:id="169"/>
      <w:r>
        <w:rPr>
          <w:rFonts w:hint="eastAsia" w:ascii="宋体" w:hAnsi="宋体" w:cs="宋体"/>
          <w:b/>
          <w:sz w:val="24"/>
          <w:highlight w:val="none"/>
        </w:rPr>
        <w:t>贿赂承诺书</w:t>
      </w:r>
    </w:p>
    <w:p w14:paraId="147FA9B6">
      <w:pPr>
        <w:pStyle w:val="24"/>
        <w:shd w:val="clear" w:color="auto" w:fill="auto"/>
        <w:spacing w:before="0" w:after="0"/>
        <w:ind w:firstLine="643"/>
        <w:rPr>
          <w:rFonts w:hint="eastAsia" w:ascii="宋体" w:hAnsi="宋体" w:eastAsia="宋体" w:cs="宋体"/>
          <w:highlight w:val="none"/>
        </w:rPr>
      </w:pPr>
    </w:p>
    <w:p w14:paraId="75C38F5F">
      <w:pPr>
        <w:shd w:val="clear" w:color="auto" w:fill="auto"/>
        <w:ind w:firstLine="480"/>
        <w:rPr>
          <w:rFonts w:hint="eastAsia" w:ascii="宋体" w:hAnsi="宋体" w:cs="宋体"/>
          <w:kern w:val="0"/>
          <w:sz w:val="24"/>
          <w:highlight w:val="none"/>
        </w:rPr>
      </w:pPr>
      <w:r>
        <w:rPr>
          <w:rFonts w:hint="eastAsia" w:ascii="宋体" w:hAnsi="宋体" w:cs="宋体"/>
          <w:kern w:val="0"/>
          <w:sz w:val="24"/>
          <w:highlight w:val="none"/>
        </w:rPr>
        <w:t>为响应党中央、国务院关于治理政府采购领域商业贿赂行为的号召，我单位在此庄严承诺：</w:t>
      </w:r>
    </w:p>
    <w:p w14:paraId="4AA9CF32">
      <w:pPr>
        <w:numPr>
          <w:ilvl w:val="0"/>
          <w:numId w:val="7"/>
        </w:numPr>
        <w:shd w:val="clear" w:color="auto" w:fill="auto"/>
        <w:ind w:firstLine="480"/>
        <w:rPr>
          <w:rFonts w:hint="eastAsia" w:ascii="宋体" w:hAnsi="宋体" w:cs="宋体"/>
          <w:kern w:val="0"/>
          <w:sz w:val="24"/>
          <w:highlight w:val="none"/>
        </w:rPr>
      </w:pPr>
      <w:r>
        <w:rPr>
          <w:rFonts w:hint="eastAsia" w:ascii="宋体" w:hAnsi="宋体" w:cs="宋体"/>
          <w:kern w:val="0"/>
          <w:sz w:val="24"/>
          <w:highlight w:val="none"/>
        </w:rPr>
        <w:t>在参与政府采购活动中遵纪守法、诚信经营、公平竞标。</w:t>
      </w:r>
    </w:p>
    <w:p w14:paraId="3D986510">
      <w:pPr>
        <w:numPr>
          <w:ilvl w:val="0"/>
          <w:numId w:val="7"/>
        </w:numPr>
        <w:shd w:val="clear" w:color="auto" w:fill="auto"/>
        <w:ind w:firstLine="480"/>
        <w:rPr>
          <w:rFonts w:hint="eastAsia" w:ascii="宋体" w:hAnsi="宋体" w:cs="宋体"/>
          <w:kern w:val="0"/>
          <w:sz w:val="24"/>
          <w:highlight w:val="none"/>
        </w:rPr>
      </w:pPr>
      <w:r>
        <w:rPr>
          <w:rFonts w:hint="eastAsia" w:ascii="宋体" w:hAnsi="宋体" w:cs="宋体"/>
          <w:kern w:val="0"/>
          <w:sz w:val="24"/>
          <w:highlight w:val="none"/>
        </w:rPr>
        <w:t>不向采购人、采购代理机构和政府采购评审专家进行任何形式的商业贿赂以谋取交易机会。</w:t>
      </w:r>
    </w:p>
    <w:p w14:paraId="41A95A59">
      <w:pPr>
        <w:numPr>
          <w:ilvl w:val="0"/>
          <w:numId w:val="7"/>
        </w:numPr>
        <w:shd w:val="clear" w:color="auto" w:fill="auto"/>
        <w:ind w:firstLine="480"/>
        <w:rPr>
          <w:rFonts w:hint="eastAsia" w:ascii="宋体" w:hAnsi="宋体" w:cs="宋体"/>
          <w:kern w:val="0"/>
          <w:sz w:val="24"/>
          <w:highlight w:val="none"/>
        </w:rPr>
      </w:pPr>
      <w:r>
        <w:rPr>
          <w:rFonts w:hint="eastAsia" w:ascii="宋体" w:hAnsi="宋体" w:cs="宋体"/>
          <w:kern w:val="0"/>
          <w:sz w:val="24"/>
          <w:highlight w:val="none"/>
        </w:rPr>
        <w:t>不向采购代理机构和采购人提供虚假资质文件或采用虚假应标方式参与政府采购市场竞争并谋取中标。</w:t>
      </w:r>
    </w:p>
    <w:p w14:paraId="561433DD">
      <w:pPr>
        <w:numPr>
          <w:ilvl w:val="0"/>
          <w:numId w:val="7"/>
        </w:numPr>
        <w:shd w:val="clear" w:color="auto" w:fill="auto"/>
        <w:ind w:firstLine="480"/>
        <w:rPr>
          <w:rFonts w:hint="eastAsia" w:ascii="宋体" w:hAnsi="宋体" w:cs="宋体"/>
          <w:kern w:val="0"/>
          <w:sz w:val="24"/>
          <w:highlight w:val="none"/>
        </w:rPr>
      </w:pPr>
      <w:r>
        <w:rPr>
          <w:rFonts w:hint="eastAsia" w:ascii="宋体" w:hAnsi="宋体" w:cs="宋体"/>
          <w:kern w:val="0"/>
          <w:sz w:val="24"/>
          <w:highlight w:val="none"/>
        </w:rPr>
        <w:t>不采取“围标、陪标”等商业欺诈手段获得政府采购定单。</w:t>
      </w:r>
    </w:p>
    <w:p w14:paraId="0452FFF9">
      <w:pPr>
        <w:numPr>
          <w:ilvl w:val="0"/>
          <w:numId w:val="7"/>
        </w:numPr>
        <w:shd w:val="clear" w:color="auto" w:fill="auto"/>
        <w:ind w:firstLine="480"/>
        <w:rPr>
          <w:rFonts w:hint="eastAsia" w:ascii="宋体" w:hAnsi="宋体" w:cs="宋体"/>
          <w:kern w:val="0"/>
          <w:sz w:val="24"/>
          <w:highlight w:val="none"/>
        </w:rPr>
      </w:pPr>
      <w:r>
        <w:rPr>
          <w:rFonts w:hint="eastAsia" w:ascii="宋体" w:hAnsi="宋体" w:cs="宋体"/>
          <w:kern w:val="0"/>
          <w:sz w:val="24"/>
          <w:highlight w:val="none"/>
        </w:rPr>
        <w:t>不采取不正当手段</w:t>
      </w:r>
      <w:r>
        <w:rPr>
          <w:rFonts w:hint="eastAsia" w:ascii="宋体" w:hAnsi="宋体" w:cs="宋体"/>
          <w:kern w:val="0"/>
          <w:sz w:val="24"/>
          <w:highlight w:val="none"/>
          <w:lang w:eastAsia="zh-CN"/>
        </w:rPr>
        <w:t>诋毁</w:t>
      </w:r>
      <w:r>
        <w:rPr>
          <w:rFonts w:hint="eastAsia" w:ascii="宋体" w:hAnsi="宋体" w:cs="宋体"/>
          <w:kern w:val="0"/>
          <w:sz w:val="24"/>
          <w:highlight w:val="none"/>
        </w:rPr>
        <w:t>、排挤其他供应商。</w:t>
      </w:r>
    </w:p>
    <w:p w14:paraId="0134B49A">
      <w:pPr>
        <w:numPr>
          <w:ilvl w:val="0"/>
          <w:numId w:val="7"/>
        </w:numPr>
        <w:shd w:val="clear" w:color="auto" w:fill="auto"/>
        <w:ind w:firstLine="480"/>
        <w:rPr>
          <w:rFonts w:hint="eastAsia" w:ascii="宋体" w:hAnsi="宋体" w:cs="宋体"/>
          <w:kern w:val="0"/>
          <w:sz w:val="24"/>
          <w:highlight w:val="none"/>
        </w:rPr>
      </w:pPr>
      <w:r>
        <w:rPr>
          <w:rFonts w:hint="eastAsia" w:ascii="宋体" w:hAnsi="宋体" w:cs="宋体"/>
          <w:kern w:val="0"/>
          <w:sz w:val="24"/>
          <w:highlight w:val="none"/>
        </w:rPr>
        <w:t>不在提供商品和服务时“偷梁换柱、以次充好”损害采购人的合法权益。</w:t>
      </w:r>
    </w:p>
    <w:p w14:paraId="0AEB0B9B">
      <w:pPr>
        <w:numPr>
          <w:ilvl w:val="0"/>
          <w:numId w:val="7"/>
        </w:numPr>
        <w:shd w:val="clear" w:color="auto" w:fill="auto"/>
        <w:ind w:firstLine="480"/>
        <w:rPr>
          <w:rFonts w:hint="eastAsia" w:ascii="宋体" w:hAnsi="宋体" w:cs="宋体"/>
          <w:kern w:val="0"/>
          <w:sz w:val="24"/>
          <w:highlight w:val="none"/>
        </w:rPr>
      </w:pPr>
      <w:r>
        <w:rPr>
          <w:rFonts w:hint="eastAsia" w:ascii="宋体" w:hAnsi="宋体" w:cs="宋体"/>
          <w:kern w:val="0"/>
          <w:sz w:val="24"/>
          <w:highlight w:val="none"/>
        </w:rPr>
        <w:t>不与采购人、采购代理机构、政府采购评审专家或其它供应商恶意串通，进行质疑和投诉，维护政府采购市场秩序。</w:t>
      </w:r>
    </w:p>
    <w:p w14:paraId="3D90168D">
      <w:pPr>
        <w:numPr>
          <w:ilvl w:val="0"/>
          <w:numId w:val="7"/>
        </w:numPr>
        <w:shd w:val="clear" w:color="auto" w:fill="auto"/>
        <w:ind w:firstLine="480"/>
        <w:rPr>
          <w:rFonts w:hint="eastAsia" w:ascii="宋体" w:hAnsi="宋体" w:cs="宋体"/>
          <w:kern w:val="0"/>
          <w:sz w:val="24"/>
          <w:highlight w:val="none"/>
        </w:rPr>
      </w:pPr>
      <w:r>
        <w:rPr>
          <w:rFonts w:hint="eastAsia" w:ascii="宋体" w:hAnsi="宋体" w:cs="宋体"/>
          <w:kern w:val="0"/>
          <w:sz w:val="24"/>
          <w:highlight w:val="none"/>
        </w:rPr>
        <w:t>尊重和接受政府采购监督管理部门的监督和采购代理机构的招标要求，承担因违约行为给采购人造成的损失。</w:t>
      </w:r>
    </w:p>
    <w:p w14:paraId="507BE953">
      <w:pPr>
        <w:shd w:val="clear" w:color="auto" w:fill="auto"/>
        <w:ind w:firstLine="480"/>
        <w:jc w:val="left"/>
        <w:rPr>
          <w:rFonts w:hint="eastAsia" w:ascii="宋体" w:hAnsi="宋体" w:cs="宋体"/>
          <w:kern w:val="0"/>
          <w:sz w:val="24"/>
          <w:highlight w:val="none"/>
        </w:rPr>
      </w:pPr>
      <w:r>
        <w:rPr>
          <w:rFonts w:hint="eastAsia" w:ascii="宋体" w:hAnsi="宋体" w:cs="宋体"/>
          <w:kern w:val="0"/>
          <w:sz w:val="24"/>
          <w:highlight w:val="none"/>
        </w:rPr>
        <w:t>9、不发生其他有悖于政府采购公开、公平、公正和诚信原则的行为。</w:t>
      </w:r>
    </w:p>
    <w:p w14:paraId="56928CE8">
      <w:pPr>
        <w:pStyle w:val="25"/>
        <w:shd w:val="clear" w:color="auto" w:fill="auto"/>
        <w:ind w:left="200" w:firstLine="0" w:firstLineChars="0"/>
        <w:rPr>
          <w:rFonts w:hint="eastAsia" w:ascii="宋体" w:hAnsi="宋体" w:eastAsia="宋体" w:cs="宋体"/>
          <w:sz w:val="24"/>
          <w:szCs w:val="24"/>
          <w:highlight w:val="none"/>
        </w:rPr>
      </w:pPr>
    </w:p>
    <w:p w14:paraId="1C843B69">
      <w:pPr>
        <w:widowControl/>
        <w:shd w:val="clear" w:color="auto" w:fill="auto"/>
        <w:tabs>
          <w:tab w:val="left" w:pos="2394"/>
        </w:tabs>
        <w:ind w:firstLine="480"/>
        <w:rPr>
          <w:rFonts w:hint="eastAsia" w:ascii="宋体" w:hAnsi="宋体" w:cs="宋体"/>
          <w:kern w:val="0"/>
          <w:sz w:val="24"/>
          <w:highlight w:val="none"/>
        </w:rPr>
      </w:pPr>
      <w:r>
        <w:rPr>
          <w:rFonts w:hint="eastAsia" w:ascii="宋体" w:hAnsi="宋体" w:cs="宋体"/>
          <w:kern w:val="0"/>
          <w:sz w:val="24"/>
          <w:highlight w:val="none"/>
        </w:rPr>
        <w:t>承诺单位：                  （公      章）</w:t>
      </w:r>
    </w:p>
    <w:p w14:paraId="2590F2F8">
      <w:pPr>
        <w:widowControl/>
        <w:shd w:val="clear" w:color="auto" w:fill="auto"/>
        <w:tabs>
          <w:tab w:val="left" w:pos="2394"/>
        </w:tabs>
        <w:ind w:firstLine="480"/>
        <w:rPr>
          <w:rFonts w:hint="eastAsia" w:ascii="宋体" w:hAnsi="宋体" w:cs="宋体"/>
          <w:kern w:val="0"/>
          <w:sz w:val="24"/>
          <w:highlight w:val="none"/>
        </w:rPr>
      </w:pPr>
      <w:r>
        <w:rPr>
          <w:rFonts w:hint="eastAsia" w:ascii="宋体" w:hAnsi="宋体" w:cs="宋体"/>
          <w:kern w:val="0"/>
          <w:sz w:val="24"/>
          <w:highlight w:val="none"/>
        </w:rPr>
        <w:t>法定代表人：                （签字或盖章）</w:t>
      </w:r>
    </w:p>
    <w:p w14:paraId="6D989895">
      <w:pPr>
        <w:widowControl/>
        <w:shd w:val="clear" w:color="auto" w:fill="auto"/>
        <w:tabs>
          <w:tab w:val="left" w:pos="2394"/>
        </w:tabs>
        <w:ind w:firstLine="480"/>
        <w:rPr>
          <w:rFonts w:hint="eastAsia" w:ascii="宋体" w:hAnsi="宋体" w:cs="宋体"/>
          <w:kern w:val="0"/>
          <w:sz w:val="24"/>
          <w:highlight w:val="none"/>
        </w:rPr>
      </w:pPr>
      <w:r>
        <w:rPr>
          <w:rFonts w:hint="eastAsia" w:ascii="宋体" w:hAnsi="宋体" w:cs="宋体"/>
          <w:kern w:val="0"/>
          <w:sz w:val="24"/>
          <w:highlight w:val="none"/>
        </w:rPr>
        <w:t xml:space="preserve">地    址：                               </w:t>
      </w:r>
    </w:p>
    <w:p w14:paraId="04FD91A1">
      <w:pPr>
        <w:shd w:val="clear" w:color="auto" w:fill="auto"/>
        <w:ind w:firstLine="480"/>
        <w:rPr>
          <w:rFonts w:hint="eastAsia" w:ascii="宋体" w:hAnsi="宋体" w:cs="宋体"/>
          <w:kern w:val="0"/>
          <w:sz w:val="24"/>
          <w:highlight w:val="none"/>
        </w:rPr>
      </w:pPr>
      <w:r>
        <w:rPr>
          <w:rFonts w:hint="eastAsia" w:ascii="宋体" w:hAnsi="宋体" w:cs="宋体"/>
          <w:kern w:val="0"/>
          <w:sz w:val="24"/>
          <w:highlight w:val="none"/>
        </w:rPr>
        <w:t xml:space="preserve">邮    编：                               </w:t>
      </w:r>
    </w:p>
    <w:p w14:paraId="413C0CA7">
      <w:pPr>
        <w:numPr>
          <w:ilvl w:val="0"/>
          <w:numId w:val="0"/>
        </w:numPr>
        <w:shd w:val="clear" w:color="auto" w:fill="auto"/>
        <w:ind w:firstLine="480" w:firstLineChars="200"/>
        <w:rPr>
          <w:rFonts w:hint="eastAsia" w:ascii="宋体" w:hAnsi="宋体" w:eastAsia="宋体" w:cs="宋体"/>
          <w:kern w:val="0"/>
          <w:sz w:val="24"/>
          <w:highlight w:val="none"/>
          <w:lang w:val="en-US" w:eastAsia="zh-CN"/>
        </w:rPr>
      </w:pPr>
      <w:r>
        <w:rPr>
          <w:rFonts w:hint="eastAsia" w:ascii="宋体" w:hAnsi="宋体" w:cs="宋体"/>
          <w:kern w:val="0"/>
          <w:sz w:val="24"/>
          <w:highlight w:val="none"/>
        </w:rPr>
        <w:t>电    话：</w:t>
      </w:r>
    </w:p>
    <w:p w14:paraId="57D21298">
      <w:pPr>
        <w:shd w:val="clear" w:color="auto" w:fill="auto"/>
        <w:autoSpaceDE w:val="0"/>
        <w:autoSpaceDN w:val="0"/>
        <w:adjustRightInd w:val="0"/>
        <w:ind w:firstLine="482"/>
        <w:jc w:val="center"/>
        <w:rPr>
          <w:rFonts w:hint="eastAsia" w:ascii="宋体" w:hAnsi="宋体" w:eastAsia="宋体" w:cs="宋体"/>
          <w:b/>
          <w:bCs/>
          <w:sz w:val="24"/>
          <w:highlight w:val="none"/>
          <w:lang w:val="zh-CN"/>
        </w:rPr>
      </w:pPr>
      <w:r>
        <w:rPr>
          <w:rFonts w:hint="eastAsia" w:ascii="宋体" w:hAnsi="宋体" w:cs="宋体"/>
          <w:b/>
          <w:sz w:val="24"/>
          <w:szCs w:val="24"/>
          <w:highlight w:val="none"/>
        </w:rPr>
        <w:br w:type="page"/>
      </w:r>
      <w:r>
        <w:rPr>
          <w:rFonts w:hint="eastAsia" w:ascii="宋体" w:hAnsi="宋体" w:cs="宋体"/>
          <w:b/>
          <w:sz w:val="24"/>
          <w:szCs w:val="24"/>
          <w:highlight w:val="none"/>
          <w:lang w:val="en-US" w:eastAsia="zh-CN"/>
        </w:rPr>
        <w:t>3</w:t>
      </w:r>
      <w:r>
        <w:rPr>
          <w:rFonts w:hint="eastAsia" w:ascii="宋体" w:hAnsi="宋体" w:eastAsia="宋体" w:cs="宋体"/>
          <w:b/>
          <w:bCs/>
          <w:sz w:val="24"/>
          <w:highlight w:val="none"/>
          <w:lang w:val="en-US" w:eastAsia="zh-CN"/>
        </w:rPr>
        <w:t>、</w:t>
      </w:r>
      <w:r>
        <w:rPr>
          <w:rFonts w:hint="eastAsia" w:ascii="宋体" w:hAnsi="宋体" w:eastAsia="宋体" w:cs="宋体"/>
          <w:b/>
          <w:bCs/>
          <w:sz w:val="24"/>
          <w:highlight w:val="none"/>
          <w:lang w:val="zh-CN"/>
        </w:rPr>
        <w:t>节能产品”“环境标志产品”“信息安全认证产品”等政府采购法律法规规定的其他证明材料文件（若有）</w:t>
      </w:r>
    </w:p>
    <w:p w14:paraId="73E7722E">
      <w:pPr>
        <w:shd w:val="clear" w:color="auto" w:fill="auto"/>
        <w:ind w:firstLine="480"/>
        <w:jc w:val="center"/>
        <w:rPr>
          <w:rFonts w:hint="eastAsia" w:ascii="宋体" w:hAnsi="宋体" w:eastAsia="宋体" w:cs="宋体"/>
          <w:sz w:val="24"/>
          <w:highlight w:val="none"/>
        </w:rPr>
      </w:pPr>
    </w:p>
    <w:p w14:paraId="020C0742">
      <w:pPr>
        <w:pStyle w:val="23"/>
        <w:shd w:val="clear" w:color="auto" w:fill="auto"/>
        <w:ind w:firstLine="482"/>
        <w:jc w:val="center"/>
        <w:rPr>
          <w:rFonts w:hint="eastAsia" w:ascii="宋体" w:hAnsi="宋体" w:eastAsia="宋体" w:cs="宋体"/>
          <w:b/>
          <w:kern w:val="0"/>
          <w:sz w:val="24"/>
          <w:szCs w:val="24"/>
          <w:highlight w:val="none"/>
        </w:rPr>
      </w:pPr>
    </w:p>
    <w:p w14:paraId="36EEF745">
      <w:pPr>
        <w:pStyle w:val="8"/>
        <w:shd w:val="clear" w:color="auto" w:fill="auto"/>
        <w:spacing w:line="336" w:lineRule="auto"/>
        <w:ind w:firstLine="420"/>
        <w:jc w:val="left"/>
        <w:rPr>
          <w:rFonts w:hint="eastAsia" w:ascii="宋体" w:hAnsi="宋体" w:eastAsia="宋体" w:cs="宋体"/>
          <w:sz w:val="24"/>
          <w:szCs w:val="24"/>
          <w:highlight w:val="none"/>
        </w:rPr>
      </w:pPr>
    </w:p>
    <w:p w14:paraId="67A07539">
      <w:pPr>
        <w:keepNext w:val="0"/>
        <w:keepLines w:val="0"/>
        <w:pageBreakBefore w:val="0"/>
        <w:widowControl w:val="0"/>
        <w:numPr>
          <w:ilvl w:val="0"/>
          <w:numId w:val="0"/>
        </w:numPr>
        <w:shd w:val="clear" w:color="auto" w:fill="auto"/>
        <w:kinsoku/>
        <w:wordWrap/>
        <w:overflowPunct/>
        <w:topLinePunct w:val="0"/>
        <w:autoSpaceDE/>
        <w:autoSpaceDN/>
        <w:bidi w:val="0"/>
        <w:adjustRightInd/>
        <w:snapToGrid/>
        <w:ind w:firstLine="480" w:firstLineChars="200"/>
        <w:textAlignment w:val="auto"/>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说明：</w:t>
      </w:r>
    </w:p>
    <w:p w14:paraId="5087ED43">
      <w:pPr>
        <w:keepNext w:val="0"/>
        <w:keepLines w:val="0"/>
        <w:pageBreakBefore w:val="0"/>
        <w:widowControl w:val="0"/>
        <w:numPr>
          <w:ilvl w:val="0"/>
          <w:numId w:val="0"/>
        </w:numPr>
        <w:shd w:val="clear" w:color="auto" w:fill="auto"/>
        <w:kinsoku/>
        <w:wordWrap/>
        <w:overflowPunct/>
        <w:topLinePunct w:val="0"/>
        <w:autoSpaceDE/>
        <w:autoSpaceDN/>
        <w:bidi w:val="0"/>
        <w:adjustRightInd/>
        <w:snapToGrid/>
        <w:ind w:firstLine="480" w:firstLineChars="200"/>
        <w:textAlignment w:val="auto"/>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1. 供应商提供的产品属于《节能产品政府采购品目清单》内产品，提供国家确定的认证机构出具的、处于有效期内的节能产品证书复印件(需要加盖供应商公章)；</w:t>
      </w:r>
    </w:p>
    <w:p w14:paraId="7BBE9567">
      <w:pPr>
        <w:keepNext w:val="0"/>
        <w:keepLines w:val="0"/>
        <w:pageBreakBefore w:val="0"/>
        <w:widowControl w:val="0"/>
        <w:numPr>
          <w:ilvl w:val="0"/>
          <w:numId w:val="0"/>
        </w:numPr>
        <w:shd w:val="clear" w:color="auto" w:fill="auto"/>
        <w:kinsoku/>
        <w:wordWrap/>
        <w:overflowPunct/>
        <w:topLinePunct w:val="0"/>
        <w:autoSpaceDE/>
        <w:autoSpaceDN/>
        <w:bidi w:val="0"/>
        <w:adjustRightInd/>
        <w:snapToGrid/>
        <w:ind w:firstLine="480" w:firstLineChars="200"/>
        <w:textAlignment w:val="auto"/>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2. 供应商提供的产品属于《环境标志产品政府采购品目清单》内产品，提供国家确定的认证机构出具的、处于有效期内的环境标志产品证书复印件(均需要加盖供应商公章)；</w:t>
      </w:r>
    </w:p>
    <w:p w14:paraId="6BF61037">
      <w:pPr>
        <w:keepNext w:val="0"/>
        <w:keepLines w:val="0"/>
        <w:pageBreakBefore w:val="0"/>
        <w:widowControl w:val="0"/>
        <w:numPr>
          <w:ilvl w:val="0"/>
          <w:numId w:val="0"/>
        </w:numPr>
        <w:shd w:val="clear" w:color="auto" w:fill="auto"/>
        <w:kinsoku/>
        <w:wordWrap/>
        <w:overflowPunct/>
        <w:topLinePunct w:val="0"/>
        <w:autoSpaceDE/>
        <w:autoSpaceDN/>
        <w:bidi w:val="0"/>
        <w:adjustRightInd/>
        <w:snapToGrid/>
        <w:ind w:firstLine="480" w:firstLineChars="200"/>
        <w:textAlignment w:val="auto"/>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3.供应商提供的产品属于信息安全认证产品的，应提供相关证明。</w:t>
      </w:r>
    </w:p>
    <w:p w14:paraId="4B05694B">
      <w:pPr>
        <w:keepNext w:val="0"/>
        <w:keepLines w:val="0"/>
        <w:pageBreakBefore w:val="0"/>
        <w:widowControl w:val="0"/>
        <w:numPr>
          <w:ilvl w:val="0"/>
          <w:numId w:val="0"/>
        </w:numPr>
        <w:shd w:val="clear" w:color="auto" w:fill="auto"/>
        <w:kinsoku/>
        <w:wordWrap/>
        <w:overflowPunct/>
        <w:topLinePunct w:val="0"/>
        <w:autoSpaceDE/>
        <w:autoSpaceDN/>
        <w:bidi w:val="0"/>
        <w:adjustRightInd/>
        <w:snapToGrid/>
        <w:ind w:firstLine="480" w:firstLineChars="200"/>
        <w:textAlignment w:val="auto"/>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4.未按上述要求提供、填写的，评标时不予以考虑。</w:t>
      </w:r>
    </w:p>
    <w:p w14:paraId="7195DD16">
      <w:pPr>
        <w:numPr>
          <w:ilvl w:val="0"/>
          <w:numId w:val="0"/>
        </w:numPr>
        <w:shd w:val="clear" w:color="auto" w:fill="auto"/>
        <w:ind w:firstLine="480" w:firstLineChars="200"/>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(示例略)</w:t>
      </w:r>
    </w:p>
    <w:p w14:paraId="5873D59B">
      <w:pPr>
        <w:numPr>
          <w:ilvl w:val="0"/>
          <w:numId w:val="0"/>
        </w:numPr>
        <w:shd w:val="clear" w:color="auto" w:fill="auto"/>
        <w:jc w:val="center"/>
        <w:rPr>
          <w:rFonts w:hint="eastAsia" w:ascii="宋体" w:hAnsi="宋体" w:cs="宋体"/>
          <w:b/>
          <w:sz w:val="24"/>
          <w:szCs w:val="24"/>
          <w:highlight w:val="none"/>
        </w:rPr>
      </w:pPr>
      <w:r>
        <w:rPr>
          <w:rFonts w:hint="eastAsia" w:ascii="宋体" w:hAnsi="宋体" w:cs="宋体"/>
          <w:b/>
          <w:sz w:val="24"/>
          <w:szCs w:val="24"/>
          <w:highlight w:val="none"/>
        </w:rPr>
        <w:br w:type="page"/>
      </w:r>
      <w:r>
        <w:rPr>
          <w:rFonts w:hint="eastAsia" w:ascii="宋体" w:hAnsi="宋体" w:eastAsia="宋体" w:cs="宋体"/>
          <w:b/>
          <w:bCs/>
          <w:color w:val="000000"/>
          <w:kern w:val="2"/>
          <w:sz w:val="28"/>
          <w:szCs w:val="28"/>
          <w:highlight w:val="none"/>
          <w:lang w:val="en-US" w:eastAsia="zh-CN" w:bidi="ar-SA"/>
        </w:rPr>
        <w:t>十、投标供应商认为有必要补充说明的事项</w:t>
      </w:r>
      <w:bookmarkEnd w:id="162"/>
    </w:p>
    <w:p w14:paraId="678C4E80">
      <w:pPr>
        <w:pStyle w:val="23"/>
        <w:shd w:val="clear" w:color="auto" w:fill="auto"/>
        <w:ind w:firstLine="482"/>
        <w:rPr>
          <w:rFonts w:hint="eastAsia" w:ascii="宋体" w:hAnsi="宋体" w:cs="宋体"/>
          <w:b/>
          <w:sz w:val="24"/>
          <w:szCs w:val="24"/>
          <w:highlight w:val="none"/>
        </w:rPr>
      </w:pPr>
    </w:p>
    <w:p w14:paraId="47E0E21D">
      <w:pPr>
        <w:pStyle w:val="23"/>
        <w:shd w:val="clear" w:color="auto" w:fill="auto"/>
        <w:ind w:firstLine="480"/>
        <w:rPr>
          <w:rFonts w:hint="eastAsia" w:ascii="宋体" w:hAnsi="宋体" w:cs="宋体"/>
          <w:sz w:val="24"/>
          <w:szCs w:val="24"/>
          <w:highlight w:val="none"/>
        </w:rPr>
      </w:pPr>
    </w:p>
    <w:p w14:paraId="046C3D4A">
      <w:pPr>
        <w:pStyle w:val="23"/>
        <w:shd w:val="clear" w:color="auto" w:fill="auto"/>
        <w:ind w:firstLine="480"/>
        <w:rPr>
          <w:rFonts w:hint="eastAsia" w:ascii="宋体" w:hAnsi="宋体" w:cs="宋体"/>
          <w:sz w:val="24"/>
          <w:szCs w:val="24"/>
          <w:highlight w:val="none"/>
        </w:rPr>
      </w:pPr>
    </w:p>
    <w:p w14:paraId="6B8352C4">
      <w:pPr>
        <w:pStyle w:val="23"/>
        <w:shd w:val="clear" w:color="auto" w:fill="auto"/>
        <w:ind w:firstLine="480"/>
        <w:rPr>
          <w:rFonts w:hint="eastAsia" w:ascii="宋体" w:hAnsi="宋体" w:cs="宋体"/>
          <w:sz w:val="24"/>
          <w:szCs w:val="24"/>
          <w:highlight w:val="none"/>
        </w:rPr>
      </w:pPr>
    </w:p>
    <w:p w14:paraId="0E4129A0">
      <w:pPr>
        <w:pStyle w:val="23"/>
        <w:shd w:val="clear" w:color="auto" w:fill="auto"/>
        <w:ind w:firstLine="480"/>
        <w:rPr>
          <w:rFonts w:hint="eastAsia" w:ascii="宋体" w:hAnsi="宋体" w:cs="宋体"/>
          <w:sz w:val="24"/>
          <w:szCs w:val="24"/>
          <w:highlight w:val="none"/>
        </w:rPr>
      </w:pPr>
    </w:p>
    <w:p w14:paraId="79B170FB">
      <w:pPr>
        <w:pStyle w:val="23"/>
        <w:shd w:val="clear" w:color="auto" w:fill="auto"/>
        <w:ind w:firstLine="480"/>
        <w:rPr>
          <w:rFonts w:hint="eastAsia" w:ascii="宋体" w:hAnsi="宋体" w:cs="宋体"/>
          <w:sz w:val="24"/>
          <w:szCs w:val="24"/>
          <w:highlight w:val="none"/>
        </w:rPr>
      </w:pPr>
    </w:p>
    <w:p w14:paraId="641A835F">
      <w:pPr>
        <w:pStyle w:val="23"/>
        <w:shd w:val="clear" w:color="auto" w:fill="auto"/>
        <w:ind w:firstLine="480"/>
        <w:rPr>
          <w:rFonts w:hint="eastAsia" w:ascii="宋体" w:hAnsi="宋体" w:cs="宋体"/>
          <w:sz w:val="24"/>
          <w:szCs w:val="24"/>
          <w:highlight w:val="none"/>
        </w:rPr>
      </w:pPr>
    </w:p>
    <w:p w14:paraId="712E550F">
      <w:pPr>
        <w:pStyle w:val="23"/>
        <w:shd w:val="clear" w:color="auto" w:fill="auto"/>
        <w:ind w:firstLine="480"/>
        <w:rPr>
          <w:rFonts w:hint="eastAsia" w:ascii="宋体" w:hAnsi="宋体" w:cs="宋体"/>
          <w:sz w:val="24"/>
          <w:szCs w:val="24"/>
          <w:highlight w:val="none"/>
        </w:rPr>
      </w:pPr>
    </w:p>
    <w:p w14:paraId="57AB70C6">
      <w:pPr>
        <w:pStyle w:val="23"/>
        <w:shd w:val="clear" w:color="auto" w:fill="auto"/>
        <w:ind w:firstLine="480"/>
        <w:rPr>
          <w:rFonts w:hint="eastAsia" w:ascii="宋体" w:hAnsi="宋体" w:cs="宋体"/>
          <w:sz w:val="24"/>
          <w:szCs w:val="24"/>
          <w:highlight w:val="none"/>
        </w:rPr>
      </w:pPr>
    </w:p>
    <w:p w14:paraId="32704778">
      <w:pPr>
        <w:pStyle w:val="23"/>
        <w:shd w:val="clear" w:color="auto" w:fill="auto"/>
        <w:ind w:firstLine="480"/>
        <w:rPr>
          <w:rFonts w:hint="eastAsia" w:ascii="宋体" w:hAnsi="宋体" w:cs="宋体"/>
          <w:sz w:val="24"/>
          <w:szCs w:val="24"/>
          <w:highlight w:val="none"/>
        </w:rPr>
      </w:pPr>
    </w:p>
    <w:p w14:paraId="6D32959F">
      <w:pPr>
        <w:pStyle w:val="23"/>
        <w:shd w:val="clear" w:color="auto" w:fill="auto"/>
        <w:ind w:firstLine="480"/>
        <w:rPr>
          <w:rFonts w:hint="eastAsia" w:ascii="宋体" w:hAnsi="宋体" w:cs="宋体"/>
          <w:sz w:val="24"/>
          <w:szCs w:val="24"/>
          <w:highlight w:val="none"/>
        </w:rPr>
      </w:pPr>
    </w:p>
    <w:p w14:paraId="75416677">
      <w:pPr>
        <w:pStyle w:val="23"/>
        <w:shd w:val="clear" w:color="auto" w:fill="auto"/>
        <w:ind w:firstLine="480"/>
        <w:rPr>
          <w:rFonts w:hint="eastAsia" w:ascii="宋体" w:hAnsi="宋体" w:cs="宋体"/>
          <w:sz w:val="24"/>
          <w:szCs w:val="24"/>
          <w:highlight w:val="none"/>
        </w:rPr>
      </w:pPr>
    </w:p>
    <w:p w14:paraId="734BD71D">
      <w:pPr>
        <w:pStyle w:val="23"/>
        <w:shd w:val="clear" w:color="auto" w:fill="auto"/>
        <w:ind w:firstLine="560"/>
        <w:rPr>
          <w:rFonts w:hint="eastAsia" w:ascii="宋体" w:hAnsi="宋体" w:cs="宋体"/>
          <w:sz w:val="28"/>
          <w:szCs w:val="28"/>
          <w:highlight w:val="none"/>
        </w:rPr>
      </w:pPr>
    </w:p>
    <w:p w14:paraId="1B513FC4">
      <w:pPr>
        <w:pStyle w:val="23"/>
        <w:shd w:val="clear" w:color="auto" w:fill="auto"/>
        <w:ind w:firstLine="560"/>
        <w:rPr>
          <w:rFonts w:hint="eastAsia" w:ascii="宋体" w:hAnsi="宋体" w:cs="宋体"/>
          <w:sz w:val="28"/>
          <w:szCs w:val="28"/>
          <w:highlight w:val="none"/>
        </w:rPr>
      </w:pPr>
      <w:r>
        <w:rPr>
          <w:rFonts w:hint="eastAsia" w:ascii="宋体" w:hAnsi="宋体" w:cs="宋体"/>
          <w:sz w:val="28"/>
          <w:szCs w:val="28"/>
          <w:highlight w:val="none"/>
        </w:rPr>
        <w:t xml:space="preserve"> </w:t>
      </w:r>
    </w:p>
    <w:p w14:paraId="1403482F"/>
    <w:sectPr>
      <w:footerReference r:id="rId6" w:type="default"/>
      <w:pgSz w:w="11907" w:h="16840"/>
      <w:pgMar w:top="1440" w:right="1080" w:bottom="1440" w:left="1080" w:header="851" w:footer="992" w:gutter="0"/>
      <w:pgNumType w:start="1"/>
      <w:cols w:space="720" w:num="1"/>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506AEF">
    <w:pPr>
      <w:pStyle w:val="10"/>
      <w:pBdr>
        <w:bottom w:val="single" w:color="auto" w:sz="6" w:space="1"/>
      </w:pBdr>
      <w:ind w:firstLine="360"/>
      <w:jc w:val="both"/>
      <w:rPr>
        <w:rFonts w:hint="eastAsia"/>
        <w:kern w:val="0"/>
        <w:szCs w:val="21"/>
      </w:rPr>
    </w:pPr>
  </w:p>
  <w:p w14:paraId="6A0C5B7D">
    <w:pPr>
      <w:pStyle w:val="10"/>
      <w:tabs>
        <w:tab w:val="center" w:pos="4200"/>
        <w:tab w:val="clear" w:pos="4153"/>
      </w:tabs>
      <w:ind w:firstLine="0" w:firstLineChars="0"/>
      <w:jc w:val="distribute"/>
      <w:rPr>
        <w:rFonts w:hint="eastAsia" w:ascii="宋体" w:hAnsi="宋体" w:eastAsia="宋体" w:cs="宋体"/>
        <w:lang w:eastAsia="zh-CN"/>
      </w:rPr>
    </w:pPr>
    <w:r>
      <w:rPr>
        <w:rFonts w:hint="eastAsia" w:ascii="宋体" w:hAnsi="宋体" w:cs="宋体"/>
        <w:lang w:eastAsia="zh-CN"/>
      </w:rPr>
      <w:t>陕西天沃工程项目管理有限公司</w:t>
    </w:r>
    <w:r>
      <w:rPr>
        <w:rFonts w:hint="eastAsia" w:ascii="宋体" w:hAnsi="宋体" w:cs="宋体"/>
        <w:kern w:val="0"/>
        <w:szCs w:val="21"/>
      </w:rPr>
      <w:t xml:space="preserve">              </w:t>
    </w:r>
    <w:r>
      <w:rPr>
        <w:rFonts w:hint="eastAsia" w:ascii="宋体" w:hAnsi="宋体" w:cs="宋体"/>
        <w:kern w:val="0"/>
        <w:szCs w:val="18"/>
      </w:rPr>
      <w:t>第</w:t>
    </w:r>
    <w:r>
      <w:rPr>
        <w:rFonts w:hint="eastAsia" w:ascii="宋体" w:hAnsi="宋体" w:cs="宋体"/>
        <w:kern w:val="0"/>
        <w:szCs w:val="18"/>
      </w:rPr>
      <w:fldChar w:fldCharType="begin"/>
    </w:r>
    <w:r>
      <w:rPr>
        <w:rFonts w:hint="eastAsia" w:ascii="宋体" w:hAnsi="宋体" w:cs="宋体"/>
        <w:kern w:val="0"/>
        <w:szCs w:val="18"/>
      </w:rPr>
      <w:instrText xml:space="preserve"> PAGE   \* MERGEFORMAT </w:instrText>
    </w:r>
    <w:r>
      <w:rPr>
        <w:rFonts w:hint="eastAsia" w:ascii="宋体" w:hAnsi="宋体" w:cs="宋体"/>
        <w:kern w:val="0"/>
        <w:szCs w:val="18"/>
      </w:rPr>
      <w:fldChar w:fldCharType="separate"/>
    </w:r>
    <w:r>
      <w:rPr>
        <w:rFonts w:ascii="宋体" w:hAnsi="宋体" w:cs="宋体"/>
        <w:kern w:val="0"/>
        <w:szCs w:val="18"/>
        <w:lang w:val="zh-CN"/>
      </w:rPr>
      <w:t>75</w:t>
    </w:r>
    <w:r>
      <w:rPr>
        <w:rFonts w:hint="eastAsia" w:ascii="宋体" w:hAnsi="宋体" w:cs="宋体"/>
        <w:kern w:val="0"/>
        <w:szCs w:val="18"/>
      </w:rPr>
      <w:fldChar w:fldCharType="end"/>
    </w:r>
    <w:r>
      <w:rPr>
        <w:rFonts w:hint="eastAsia" w:ascii="宋体" w:hAnsi="宋体" w:cs="宋体"/>
        <w:kern w:val="0"/>
        <w:szCs w:val="18"/>
      </w:rPr>
      <w:t>页</w:t>
    </w:r>
    <w:r>
      <w:rPr>
        <w:rFonts w:hint="eastAsia" w:ascii="宋体" w:hAnsi="宋体" w:cs="宋体"/>
        <w:kern w:val="0"/>
        <w:szCs w:val="21"/>
      </w:rPr>
      <w:t xml:space="preserve">                   Tel：</w:t>
    </w:r>
    <w:r>
      <w:rPr>
        <w:rFonts w:hint="eastAsia" w:ascii="宋体" w:hAnsi="宋体" w:cs="宋体"/>
        <w:kern w:val="0"/>
        <w:szCs w:val="21"/>
        <w:lang w:eastAsia="zh-CN"/>
      </w:rPr>
      <w:t>13279587430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DEE458">
    <w:pPr>
      <w:pStyle w:val="11"/>
      <w:pBdr>
        <w:bottom w:val="none" w:color="auto" w:sz="0" w:space="1"/>
      </w:pBdr>
      <w:ind w:right="138" w:firstLine="0" w:firstLineChars="0"/>
      <w:jc w:val="distribute"/>
      <w:rPr>
        <w:rFonts w:hint="eastAsia" w:ascii="宋体" w:hAnsi="宋体" w:eastAsia="宋体" w:cs="宋体"/>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0A80C1"/>
    <w:multiLevelType w:val="singleLevel"/>
    <w:tmpl w:val="940A80C1"/>
    <w:lvl w:ilvl="0" w:tentative="0">
      <w:start w:val="1"/>
      <w:numFmt w:val="decimal"/>
      <w:suff w:val="nothing"/>
      <w:lvlText w:val="%1、"/>
      <w:lvlJc w:val="left"/>
    </w:lvl>
  </w:abstractNum>
  <w:abstractNum w:abstractNumId="1">
    <w:nsid w:val="9A1AFC60"/>
    <w:multiLevelType w:val="singleLevel"/>
    <w:tmpl w:val="9A1AFC60"/>
    <w:lvl w:ilvl="0" w:tentative="0">
      <w:start w:val="1"/>
      <w:numFmt w:val="decimal"/>
      <w:suff w:val="nothing"/>
      <w:lvlText w:val="%1、"/>
      <w:lvlJc w:val="left"/>
    </w:lvl>
  </w:abstractNum>
  <w:abstractNum w:abstractNumId="2">
    <w:nsid w:val="BC7C9A23"/>
    <w:multiLevelType w:val="singleLevel"/>
    <w:tmpl w:val="BC7C9A23"/>
    <w:lvl w:ilvl="0" w:tentative="0">
      <w:start w:val="2"/>
      <w:numFmt w:val="decimal"/>
      <w:suff w:val="nothing"/>
      <w:lvlText w:val="%1、"/>
      <w:lvlJc w:val="left"/>
    </w:lvl>
  </w:abstractNum>
  <w:abstractNum w:abstractNumId="3">
    <w:nsid w:val="D28B86C1"/>
    <w:multiLevelType w:val="singleLevel"/>
    <w:tmpl w:val="D28B86C1"/>
    <w:lvl w:ilvl="0" w:tentative="0">
      <w:start w:val="2"/>
      <w:numFmt w:val="chineseCounting"/>
      <w:suff w:val="nothing"/>
      <w:lvlText w:val="%1、"/>
      <w:lvlJc w:val="left"/>
      <w:rPr>
        <w:rFonts w:hint="eastAsia"/>
      </w:rPr>
    </w:lvl>
  </w:abstractNum>
  <w:abstractNum w:abstractNumId="4">
    <w:nsid w:val="DB5B1808"/>
    <w:multiLevelType w:val="singleLevel"/>
    <w:tmpl w:val="DB5B1808"/>
    <w:lvl w:ilvl="0" w:tentative="0">
      <w:start w:val="1"/>
      <w:numFmt w:val="decimal"/>
      <w:suff w:val="nothing"/>
      <w:lvlText w:val="%1．"/>
      <w:lvlJc w:val="left"/>
    </w:lvl>
  </w:abstractNum>
  <w:abstractNum w:abstractNumId="5">
    <w:nsid w:val="EB2770FF"/>
    <w:multiLevelType w:val="singleLevel"/>
    <w:tmpl w:val="EB2770FF"/>
    <w:lvl w:ilvl="0" w:tentative="0">
      <w:start w:val="3"/>
      <w:numFmt w:val="decimal"/>
      <w:suff w:val="space"/>
      <w:lvlText w:val="%1."/>
      <w:lvlJc w:val="left"/>
    </w:lvl>
  </w:abstractNum>
  <w:abstractNum w:abstractNumId="6">
    <w:nsid w:val="56650600"/>
    <w:multiLevelType w:val="singleLevel"/>
    <w:tmpl w:val="56650600"/>
    <w:lvl w:ilvl="0" w:tentative="0">
      <w:start w:val="1"/>
      <w:numFmt w:val="decimal"/>
      <w:suff w:val="nothing"/>
      <w:lvlText w:val="%1、"/>
      <w:lvlJc w:val="left"/>
      <w:rPr>
        <w:b w:val="0"/>
      </w:rPr>
    </w:lvl>
  </w:abstractNum>
  <w:num w:numId="1">
    <w:abstractNumId w:val="5"/>
  </w:num>
  <w:num w:numId="2">
    <w:abstractNumId w:val="4"/>
  </w:num>
  <w:num w:numId="3">
    <w:abstractNumId w:val="3"/>
  </w:num>
  <w:num w:numId="4">
    <w:abstractNumId w:val="2"/>
  </w:num>
  <w:num w:numId="5">
    <w:abstractNumId w:val="1"/>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1C6FC4"/>
    <w:rsid w:val="19946E8F"/>
    <w:rsid w:val="48034234"/>
    <w:rsid w:val="634405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200" w:firstLineChars="20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32"/>
      <w:szCs w:val="20"/>
    </w:rPr>
  </w:style>
  <w:style w:type="paragraph" w:styleId="3">
    <w:name w:val="heading 2"/>
    <w:basedOn w:val="1"/>
    <w:next w:val="1"/>
    <w:qFormat/>
    <w:uiPriority w:val="0"/>
    <w:pPr>
      <w:keepNext/>
      <w:keepLines/>
      <w:spacing w:before="260" w:after="260" w:line="500" w:lineRule="exact"/>
      <w:outlineLvl w:val="1"/>
    </w:pPr>
    <w:rPr>
      <w:rFonts w:ascii="Arial" w:hAnsi="Arial" w:eastAsia="黑体"/>
      <w:b/>
      <w:sz w:val="28"/>
      <w:szCs w:val="20"/>
    </w:rPr>
  </w:style>
  <w:style w:type="paragraph" w:styleId="4">
    <w:name w:val="heading 3"/>
    <w:basedOn w:val="1"/>
    <w:next w:val="1"/>
    <w:qFormat/>
    <w:uiPriority w:val="0"/>
    <w:pPr>
      <w:keepNext/>
      <w:keepLines/>
      <w:spacing w:before="260" w:after="260" w:line="412" w:lineRule="auto"/>
      <w:outlineLvl w:val="2"/>
    </w:pPr>
    <w:rPr>
      <w:b/>
      <w:sz w:val="32"/>
      <w:szCs w:val="20"/>
    </w:rPr>
  </w:style>
  <w:style w:type="character" w:default="1" w:styleId="16">
    <w:name w:val="Default Paragraph Font"/>
    <w:semiHidden/>
    <w:qFormat/>
    <w:uiPriority w:val="0"/>
  </w:style>
  <w:style w:type="table" w:default="1" w:styleId="14">
    <w:name w:val="Normal Table"/>
    <w:semiHidden/>
    <w:uiPriority w:val="0"/>
    <w:tblPr>
      <w:tblCellMar>
        <w:top w:w="0" w:type="dxa"/>
        <w:left w:w="108" w:type="dxa"/>
        <w:bottom w:w="0" w:type="dxa"/>
        <w:right w:w="108" w:type="dxa"/>
      </w:tblCellMar>
    </w:tblPr>
  </w:style>
  <w:style w:type="paragraph" w:styleId="5">
    <w:name w:val="Normal Indent"/>
    <w:basedOn w:val="1"/>
    <w:qFormat/>
    <w:uiPriority w:val="0"/>
    <w:pPr>
      <w:ind w:firstLine="420"/>
    </w:pPr>
    <w:rPr>
      <w:szCs w:val="20"/>
    </w:rPr>
  </w:style>
  <w:style w:type="paragraph" w:styleId="6">
    <w:name w:val="Body Text"/>
    <w:basedOn w:val="1"/>
    <w:qFormat/>
    <w:uiPriority w:val="0"/>
    <w:pPr>
      <w:spacing w:after="120"/>
    </w:pPr>
  </w:style>
  <w:style w:type="paragraph" w:styleId="7">
    <w:name w:val="Body Text Indent"/>
    <w:basedOn w:val="1"/>
    <w:uiPriority w:val="0"/>
    <w:pPr>
      <w:ind w:firstLine="630"/>
    </w:pPr>
    <w:rPr>
      <w:sz w:val="32"/>
      <w:szCs w:val="20"/>
    </w:rPr>
  </w:style>
  <w:style w:type="paragraph" w:styleId="8">
    <w:name w:val="Plain Text"/>
    <w:basedOn w:val="1"/>
    <w:qFormat/>
    <w:uiPriority w:val="0"/>
    <w:pPr>
      <w:spacing w:line="240" w:lineRule="auto"/>
      <w:ind w:firstLine="0" w:firstLineChars="0"/>
    </w:pPr>
    <w:rPr>
      <w:rFonts w:ascii="宋体" w:hAnsi="Courier New"/>
      <w:szCs w:val="21"/>
    </w:rPr>
  </w:style>
  <w:style w:type="paragraph" w:styleId="9">
    <w:name w:val="Body Text Indent 2"/>
    <w:basedOn w:val="1"/>
    <w:qFormat/>
    <w:uiPriority w:val="0"/>
    <w:pPr>
      <w:ind w:firstLine="630"/>
    </w:pPr>
    <w:rPr>
      <w:sz w:val="32"/>
      <w:szCs w:val="20"/>
    </w:rPr>
  </w:style>
  <w:style w:type="paragraph" w:styleId="10">
    <w:name w:val="footer"/>
    <w:basedOn w:val="1"/>
    <w:qFormat/>
    <w:uiPriority w:val="0"/>
    <w:pPr>
      <w:tabs>
        <w:tab w:val="center" w:pos="4153"/>
        <w:tab w:val="right" w:pos="8306"/>
      </w:tabs>
      <w:snapToGrid w:val="0"/>
      <w:jc w:val="left"/>
    </w:pPr>
    <w:rPr>
      <w:sz w:val="18"/>
      <w:szCs w:val="20"/>
    </w:rPr>
  </w:style>
  <w:style w:type="paragraph" w:styleId="11">
    <w:name w:val="header"/>
    <w:basedOn w:val="1"/>
    <w:qFormat/>
    <w:uiPriority w:val="0"/>
    <w:pPr>
      <w:pBdr>
        <w:bottom w:val="single" w:color="auto" w:sz="6" w:space="1"/>
      </w:pBdr>
      <w:tabs>
        <w:tab w:val="center" w:pos="4153"/>
        <w:tab w:val="right" w:pos="8306"/>
      </w:tabs>
      <w:snapToGrid w:val="0"/>
      <w:jc w:val="center"/>
    </w:pPr>
    <w:rPr>
      <w:sz w:val="18"/>
      <w:szCs w:val="20"/>
    </w:rPr>
  </w:style>
  <w:style w:type="paragraph" w:styleId="12">
    <w:name w:val="Body Text Indent 3"/>
    <w:basedOn w:val="1"/>
    <w:qFormat/>
    <w:uiPriority w:val="0"/>
    <w:pPr>
      <w:adjustRightInd w:val="0"/>
      <w:snapToGrid w:val="0"/>
      <w:spacing w:line="360" w:lineRule="auto"/>
      <w:ind w:firstLine="600" w:firstLineChars="200"/>
    </w:pPr>
    <w:rPr>
      <w:rFonts w:ascii="黑体" w:eastAsia="黑体"/>
      <w:sz w:val="30"/>
      <w:szCs w:val="28"/>
    </w:rPr>
  </w:style>
  <w:style w:type="paragraph" w:styleId="13">
    <w:name w:val="Normal (Web)"/>
    <w:basedOn w:val="1"/>
    <w:qFormat/>
    <w:uiPriority w:val="0"/>
    <w:pPr>
      <w:widowControl/>
      <w:spacing w:before="100" w:beforeAutospacing="1" w:after="100" w:afterAutospacing="1"/>
      <w:jc w:val="left"/>
    </w:pPr>
    <w:rPr>
      <w:rFonts w:ascii="宋体" w:hAnsi="宋体"/>
      <w:kern w:val="0"/>
      <w:sz w:val="18"/>
      <w:szCs w:val="18"/>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7">
    <w:name w:val="WPSOffice手动目录 1"/>
    <w:qFormat/>
    <w:uiPriority w:val="0"/>
    <w:rPr>
      <w:rFonts w:ascii="Times New Roman" w:hAnsi="Times New Roman" w:eastAsia="宋体" w:cs="Times New Roman"/>
      <w:lang w:val="en-US" w:eastAsia="zh-CN" w:bidi="ar-SA"/>
    </w:rPr>
  </w:style>
  <w:style w:type="paragraph" w:customStyle="1" w:styleId="18">
    <w:name w:val="样式"/>
    <w:qFormat/>
    <w:uiPriority w:val="0"/>
    <w:pPr>
      <w:widowControl w:val="0"/>
      <w:autoSpaceDE w:val="0"/>
      <w:autoSpaceDN w:val="0"/>
      <w:adjustRightInd w:val="0"/>
      <w:spacing w:line="360" w:lineRule="auto"/>
      <w:ind w:firstLine="200" w:firstLineChars="200"/>
      <w:jc w:val="both"/>
    </w:pPr>
    <w:rPr>
      <w:rFonts w:ascii="宋体" w:hAnsi="宋体" w:eastAsia="宋体" w:cs="宋体"/>
      <w:sz w:val="24"/>
      <w:szCs w:val="24"/>
      <w:lang w:val="en-US" w:eastAsia="zh-CN" w:bidi="ar-SA"/>
    </w:rPr>
  </w:style>
  <w:style w:type="paragraph" w:customStyle="1" w:styleId="19">
    <w:name w:val="样式 首行缩进:  2 字符"/>
    <w:basedOn w:val="1"/>
    <w:qFormat/>
    <w:uiPriority w:val="0"/>
    <w:pPr>
      <w:spacing w:line="400" w:lineRule="exact"/>
      <w:ind w:firstLine="200" w:firstLineChars="200"/>
    </w:pPr>
    <w:rPr>
      <w:rFonts w:cs="宋体"/>
      <w:sz w:val="24"/>
    </w:rPr>
  </w:style>
  <w:style w:type="table" w:customStyle="1" w:styleId="20">
    <w:name w:val="Table Normal"/>
    <w:unhideWhenUsed/>
    <w:qFormat/>
    <w:uiPriority w:val="0"/>
    <w:tblPr>
      <w:tblCellMar>
        <w:top w:w="0" w:type="dxa"/>
        <w:left w:w="0" w:type="dxa"/>
        <w:bottom w:w="0" w:type="dxa"/>
        <w:right w:w="0" w:type="dxa"/>
      </w:tblCellMar>
    </w:tblPr>
  </w:style>
  <w:style w:type="paragraph" w:customStyle="1" w:styleId="21">
    <w:name w:val="Table Text"/>
    <w:basedOn w:val="1"/>
    <w:semiHidden/>
    <w:qFormat/>
    <w:uiPriority w:val="0"/>
    <w:rPr>
      <w:rFonts w:ascii="宋体" w:hAnsi="宋体" w:eastAsia="宋体" w:cs="宋体"/>
      <w:sz w:val="20"/>
      <w:szCs w:val="20"/>
      <w:lang w:val="en-US" w:eastAsia="en-US" w:bidi="ar-SA"/>
    </w:rPr>
  </w:style>
  <w:style w:type="paragraph" w:customStyle="1" w:styleId="22">
    <w:name w:val="表格"/>
    <w:basedOn w:val="1"/>
    <w:qFormat/>
    <w:uiPriority w:val="0"/>
    <w:pPr>
      <w:spacing w:line="400" w:lineRule="exact"/>
    </w:pPr>
    <w:rPr>
      <w:sz w:val="24"/>
    </w:rPr>
  </w:style>
  <w:style w:type="paragraph" w:customStyle="1" w:styleId="23">
    <w:name w:val="Char1"/>
    <w:basedOn w:val="1"/>
    <w:qFormat/>
    <w:uiPriority w:val="0"/>
    <w:rPr>
      <w:szCs w:val="21"/>
    </w:rPr>
  </w:style>
  <w:style w:type="paragraph" w:customStyle="1" w:styleId="24">
    <w:name w:val="TOC 标题1"/>
    <w:basedOn w:val="2"/>
    <w:next w:val="1"/>
    <w:qFormat/>
    <w:uiPriority w:val="99"/>
    <w:pPr>
      <w:spacing w:before="480" w:line="276" w:lineRule="auto"/>
      <w:outlineLvl w:val="9"/>
    </w:pPr>
    <w:rPr>
      <w:rFonts w:ascii="仿宋" w:hAnsi="仿宋" w:eastAsia="仿宋"/>
      <w:color w:val="000000"/>
      <w:kern w:val="0"/>
      <w:szCs w:val="32"/>
    </w:rPr>
  </w:style>
  <w:style w:type="paragraph" w:styleId="25">
    <w:name w:val="List Paragraph"/>
    <w:basedOn w:val="1"/>
    <w:qFormat/>
    <w:uiPriority w:val="99"/>
    <w:pPr>
      <w:widowControl/>
      <w:adjustRightInd w:val="0"/>
      <w:snapToGrid w:val="0"/>
      <w:spacing w:after="200"/>
      <w:ind w:firstLine="420" w:firstLineChars="200"/>
      <w:jc w:val="left"/>
    </w:pPr>
    <w:rPr>
      <w:rFonts w:ascii="Tahoma" w:hAnsi="Tahoma" w:eastAsia="微软雅黑"/>
      <w:kern w:val="0"/>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96</Pages>
  <Words>406</Words>
  <Characters>488</Characters>
  <Lines>0</Lines>
  <Paragraphs>0</Paragraphs>
  <TotalTime>0</TotalTime>
  <ScaleCrop>false</ScaleCrop>
  <LinksUpToDate>false</LinksUpToDate>
  <CharactersWithSpaces>573</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2026-07-28T06:21:00Z</dcterms:created>
  <dc:creator>Administrator</dc:creator>
  <cp:lastModifiedBy>宋璟雯</cp:lastModifiedBy>
  <dcterms:modified xsi:type="dcterms:W3CDTF">2026-08-24T01:57:59Z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eyJoZGlkIjoiODZjZjBjN2RjMTAyZGVmYTE3N2I3MzFkMGE0ZmRhYzUiLCJ1c2VySWQiOiIxNDUxODIyODU0In0=</vt:lpwstr>
  </property>
  <property fmtid="{D5CDD505-2E9C-101B-9397-08002B2CF9AE}" pid="4" name="ICV">
    <vt:lpwstr>A416D5AD67784F4EA88759A124B687E7_12</vt:lpwstr>
  </property>
</Properties>
</file>