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78EDB">
      <w:pPr>
        <w:pStyle w:val="5"/>
        <w:outlineLvl w:val="9"/>
        <w:rPr>
          <w:rFonts w:hint="default"/>
        </w:rPr>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采购项目概况</w:t>
      </w:r>
    </w:p>
    <w:p w14:paraId="65A2B35E">
      <w:pPr>
        <w:pStyle w:val="5"/>
        <w:ind w:firstLine="480"/>
        <w:rPr>
          <w:rFonts w:ascii="仿宋_GB2312" w:hAnsi="仿宋_GB2312" w:eastAsia="仿宋_GB2312" w:cs="仿宋_GB2312"/>
          <w:lang w:eastAsia="zh-CN"/>
        </w:rPr>
      </w:pPr>
      <w:r>
        <w:rPr>
          <w:rFonts w:ascii="仿宋_GB2312" w:hAnsi="仿宋_GB2312" w:eastAsia="仿宋_GB2312" w:cs="仿宋_GB2312"/>
          <w:lang w:eastAsia="zh-CN"/>
        </w:rPr>
        <w:t>本项目主要用于西安石油大学极端条件下天然气管道输送与流动安全保障实验子平台建设，是其重要组成部分。</w:t>
      </w:r>
    </w:p>
    <w:p w14:paraId="713F3C67">
      <w:pPr>
        <w:pStyle w:val="5"/>
        <w:outlineLvl w:val="2"/>
        <w:rPr>
          <w:rFonts w:hint="default"/>
        </w:rPr>
      </w:pPr>
      <w:r>
        <w:rPr>
          <w:rFonts w:hint="eastAsia" w:ascii="仿宋_GB2312" w:hAnsi="仿宋_GB2312" w:eastAsia="仿宋_GB2312" w:cs="仿宋_GB2312"/>
          <w:b/>
          <w:sz w:val="28"/>
          <w:lang w:val="en-US" w:eastAsia="zh-CN"/>
        </w:rPr>
        <w:t>2.</w:t>
      </w:r>
      <w:r>
        <w:rPr>
          <w:rFonts w:ascii="仿宋_GB2312" w:hAnsi="仿宋_GB2312" w:eastAsia="仿宋_GB2312" w:cs="仿宋_GB2312"/>
          <w:b/>
          <w:sz w:val="28"/>
        </w:rPr>
        <w:t>采购内容</w:t>
      </w:r>
    </w:p>
    <w:p w14:paraId="7ACB6A0C">
      <w:pPr>
        <w:pStyle w:val="5"/>
        <w:rPr>
          <w:rFonts w:hint="default"/>
        </w:rPr>
      </w:pPr>
      <w:r>
        <w:rPr>
          <w:rFonts w:ascii="仿宋_GB2312" w:hAnsi="仿宋_GB2312" w:eastAsia="仿宋_GB2312" w:cs="仿宋_GB2312"/>
        </w:rPr>
        <w:t>采购包1：</w:t>
      </w:r>
    </w:p>
    <w:p w14:paraId="35E3C4A4">
      <w:pPr>
        <w:pStyle w:val="5"/>
        <w:rPr>
          <w:rFonts w:hint="default" w:eastAsia="仿宋_GB2312"/>
          <w:lang w:eastAsia="zh-CN"/>
        </w:rPr>
      </w:pPr>
      <w:r>
        <w:rPr>
          <w:rFonts w:ascii="仿宋_GB2312" w:hAnsi="仿宋_GB2312" w:eastAsia="仿宋_GB2312" w:cs="仿宋_GB2312"/>
        </w:rPr>
        <w:t xml:space="preserve">采购包预算金额（元）: </w:t>
      </w:r>
      <w:r>
        <w:rPr>
          <w:rFonts w:ascii="仿宋_GB2312" w:hAnsi="仿宋_GB2312" w:eastAsia="仿宋_GB2312" w:cs="仿宋_GB2312"/>
          <w:lang w:eastAsia="zh-CN"/>
        </w:rPr>
        <w:t>450000.00</w:t>
      </w:r>
    </w:p>
    <w:p w14:paraId="37DC5E28">
      <w:pPr>
        <w:pStyle w:val="5"/>
        <w:rPr>
          <w:rFonts w:hint="default" w:eastAsia="仿宋_GB2312"/>
          <w:lang w:eastAsia="zh-CN"/>
        </w:rPr>
      </w:pPr>
      <w:r>
        <w:rPr>
          <w:rFonts w:ascii="仿宋_GB2312" w:hAnsi="仿宋_GB2312" w:eastAsia="仿宋_GB2312" w:cs="仿宋_GB2312"/>
        </w:rPr>
        <w:t xml:space="preserve">采购包最高限价（元）: </w:t>
      </w:r>
      <w:r>
        <w:rPr>
          <w:rFonts w:ascii="仿宋_GB2312" w:hAnsi="仿宋_GB2312" w:eastAsia="仿宋_GB2312" w:cs="仿宋_GB2312"/>
          <w:lang w:eastAsia="zh-CN"/>
        </w:rPr>
        <w:t>450000.00</w:t>
      </w:r>
    </w:p>
    <w:p w14:paraId="2DCDA9A6">
      <w:pPr>
        <w:pStyle w:val="5"/>
        <w:rPr>
          <w:rFonts w:hint="default"/>
        </w:rPr>
      </w:pPr>
      <w:r>
        <w:rPr>
          <w:rFonts w:ascii="仿宋_GB2312" w:hAnsi="仿宋_GB2312" w:eastAsia="仿宋_GB2312" w:cs="仿宋_GB2312"/>
        </w:rPr>
        <w:t>供应商报价不允许超过标的金额</w:t>
      </w:r>
    </w:p>
    <w:p w14:paraId="0EE37860">
      <w:pPr>
        <w:pStyle w:val="5"/>
        <w:rPr>
          <w:rFonts w:hint="default"/>
        </w:rPr>
      </w:pPr>
      <w:r>
        <w:rPr>
          <w:rFonts w:ascii="仿宋_GB2312" w:hAnsi="仿宋_GB2312" w:eastAsia="仿宋_GB2312" w:cs="仿宋_GB2312"/>
        </w:rP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64"/>
        <w:gridCol w:w="1014"/>
        <w:gridCol w:w="748"/>
        <w:gridCol w:w="1116"/>
        <w:gridCol w:w="740"/>
        <w:gridCol w:w="740"/>
        <w:gridCol w:w="740"/>
        <w:gridCol w:w="740"/>
        <w:gridCol w:w="740"/>
        <w:gridCol w:w="740"/>
        <w:gridCol w:w="740"/>
      </w:tblGrid>
      <w:tr w14:paraId="7F63C7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4" w:type="dxa"/>
          </w:tcPr>
          <w:p w14:paraId="463BD8A3">
            <w:pPr>
              <w:pStyle w:val="5"/>
              <w:rPr>
                <w:rFonts w:hint="default"/>
              </w:rPr>
            </w:pPr>
            <w:r>
              <w:rPr>
                <w:rFonts w:ascii="仿宋_GB2312" w:hAnsi="仿宋_GB2312" w:eastAsia="仿宋_GB2312" w:cs="仿宋_GB2312"/>
              </w:rPr>
              <w:t>序号</w:t>
            </w:r>
          </w:p>
        </w:tc>
        <w:tc>
          <w:tcPr>
            <w:tcW w:w="1014" w:type="dxa"/>
          </w:tcPr>
          <w:p w14:paraId="37088CD4">
            <w:pPr>
              <w:pStyle w:val="5"/>
              <w:rPr>
                <w:rFonts w:hint="default"/>
              </w:rPr>
            </w:pPr>
            <w:r>
              <w:rPr>
                <w:rFonts w:ascii="仿宋_GB2312" w:hAnsi="仿宋_GB2312" w:eastAsia="仿宋_GB2312" w:cs="仿宋_GB2312"/>
              </w:rPr>
              <w:t>标的名称</w:t>
            </w:r>
          </w:p>
        </w:tc>
        <w:tc>
          <w:tcPr>
            <w:tcW w:w="748" w:type="dxa"/>
          </w:tcPr>
          <w:p w14:paraId="62630B3C">
            <w:pPr>
              <w:pStyle w:val="5"/>
              <w:rPr>
                <w:rFonts w:hint="default"/>
              </w:rPr>
            </w:pPr>
            <w:r>
              <w:rPr>
                <w:rFonts w:ascii="仿宋_GB2312" w:hAnsi="仿宋_GB2312" w:eastAsia="仿宋_GB2312" w:cs="仿宋_GB2312"/>
              </w:rPr>
              <w:t>数量</w:t>
            </w:r>
          </w:p>
        </w:tc>
        <w:tc>
          <w:tcPr>
            <w:tcW w:w="1116" w:type="dxa"/>
          </w:tcPr>
          <w:p w14:paraId="41924E95">
            <w:pPr>
              <w:pStyle w:val="5"/>
              <w:rPr>
                <w:rFonts w:hint="default"/>
              </w:rPr>
            </w:pPr>
            <w:r>
              <w:rPr>
                <w:rFonts w:ascii="仿宋_GB2312" w:hAnsi="仿宋_GB2312" w:eastAsia="仿宋_GB2312" w:cs="仿宋_GB2312"/>
              </w:rPr>
              <w:t>标的金额（元）</w:t>
            </w:r>
          </w:p>
        </w:tc>
        <w:tc>
          <w:tcPr>
            <w:tcW w:w="740" w:type="dxa"/>
          </w:tcPr>
          <w:p w14:paraId="7479927C">
            <w:pPr>
              <w:pStyle w:val="5"/>
              <w:rPr>
                <w:rFonts w:hint="default"/>
              </w:rPr>
            </w:pPr>
            <w:r>
              <w:rPr>
                <w:rFonts w:ascii="仿宋_GB2312" w:hAnsi="仿宋_GB2312" w:eastAsia="仿宋_GB2312" w:cs="仿宋_GB2312"/>
              </w:rPr>
              <w:t>计量单位</w:t>
            </w:r>
          </w:p>
        </w:tc>
        <w:tc>
          <w:tcPr>
            <w:tcW w:w="740" w:type="dxa"/>
          </w:tcPr>
          <w:p w14:paraId="64CF0ABC">
            <w:pPr>
              <w:pStyle w:val="5"/>
              <w:rPr>
                <w:rFonts w:hint="default"/>
              </w:rPr>
            </w:pPr>
            <w:r>
              <w:rPr>
                <w:rFonts w:ascii="仿宋_GB2312" w:hAnsi="仿宋_GB2312" w:eastAsia="仿宋_GB2312" w:cs="仿宋_GB2312"/>
              </w:rPr>
              <w:t>所属行业</w:t>
            </w:r>
          </w:p>
        </w:tc>
        <w:tc>
          <w:tcPr>
            <w:tcW w:w="740" w:type="dxa"/>
          </w:tcPr>
          <w:p w14:paraId="321BA103">
            <w:pPr>
              <w:pStyle w:val="5"/>
              <w:rPr>
                <w:rFonts w:hint="default"/>
              </w:rPr>
            </w:pPr>
            <w:r>
              <w:rPr>
                <w:rFonts w:ascii="仿宋_GB2312" w:hAnsi="仿宋_GB2312" w:eastAsia="仿宋_GB2312" w:cs="仿宋_GB2312"/>
              </w:rPr>
              <w:t>是否核心产品</w:t>
            </w:r>
          </w:p>
        </w:tc>
        <w:tc>
          <w:tcPr>
            <w:tcW w:w="740" w:type="dxa"/>
          </w:tcPr>
          <w:p w14:paraId="50524B0D">
            <w:pPr>
              <w:pStyle w:val="5"/>
              <w:rPr>
                <w:rFonts w:hint="default"/>
              </w:rPr>
            </w:pPr>
            <w:r>
              <w:rPr>
                <w:rFonts w:ascii="仿宋_GB2312" w:hAnsi="仿宋_GB2312" w:eastAsia="仿宋_GB2312" w:cs="仿宋_GB2312"/>
              </w:rPr>
              <w:t>是否允许进口产品</w:t>
            </w:r>
          </w:p>
        </w:tc>
        <w:tc>
          <w:tcPr>
            <w:tcW w:w="740" w:type="dxa"/>
          </w:tcPr>
          <w:p w14:paraId="4BB4AD62">
            <w:pPr>
              <w:pStyle w:val="5"/>
              <w:rPr>
                <w:rFonts w:hint="default"/>
              </w:rPr>
            </w:pPr>
            <w:r>
              <w:rPr>
                <w:rFonts w:ascii="仿宋_GB2312" w:hAnsi="仿宋_GB2312" w:eastAsia="仿宋_GB2312" w:cs="仿宋_GB2312"/>
              </w:rPr>
              <w:t>是否属于节能产品</w:t>
            </w:r>
          </w:p>
        </w:tc>
        <w:tc>
          <w:tcPr>
            <w:tcW w:w="740" w:type="dxa"/>
          </w:tcPr>
          <w:p w14:paraId="58D106CB">
            <w:pPr>
              <w:pStyle w:val="5"/>
              <w:rPr>
                <w:rFonts w:hint="default"/>
              </w:rPr>
            </w:pPr>
            <w:r>
              <w:rPr>
                <w:rFonts w:ascii="仿宋_GB2312" w:hAnsi="仿宋_GB2312" w:eastAsia="仿宋_GB2312" w:cs="仿宋_GB2312"/>
              </w:rPr>
              <w:t>是否属于环境标志产品</w:t>
            </w:r>
          </w:p>
        </w:tc>
        <w:tc>
          <w:tcPr>
            <w:tcW w:w="740" w:type="dxa"/>
          </w:tcPr>
          <w:p w14:paraId="48E3901E">
            <w:pPr>
              <w:pStyle w:val="5"/>
              <w:rPr>
                <w:rFonts w:hint="default"/>
              </w:rPr>
            </w:pPr>
            <w:r>
              <w:rPr>
                <w:rFonts w:ascii="仿宋_GB2312" w:hAnsi="仿宋_GB2312" w:eastAsia="仿宋_GB2312" w:cs="仿宋_GB2312"/>
              </w:rPr>
              <w:t>是否实施本国产品政策</w:t>
            </w:r>
          </w:p>
        </w:tc>
      </w:tr>
      <w:tr w14:paraId="7262E4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4" w:type="dxa"/>
          </w:tcPr>
          <w:p w14:paraId="0036D3B0">
            <w:pPr>
              <w:pStyle w:val="5"/>
              <w:rPr>
                <w:rFonts w:hint="default"/>
              </w:rPr>
            </w:pPr>
            <w:r>
              <w:rPr>
                <w:rFonts w:ascii="仿宋_GB2312" w:hAnsi="仿宋_GB2312" w:eastAsia="仿宋_GB2312" w:cs="仿宋_GB2312"/>
              </w:rPr>
              <w:t>1</w:t>
            </w:r>
          </w:p>
        </w:tc>
        <w:tc>
          <w:tcPr>
            <w:tcW w:w="1014" w:type="dxa"/>
          </w:tcPr>
          <w:p w14:paraId="162316BA">
            <w:pPr>
              <w:pStyle w:val="5"/>
              <w:rPr>
                <w:rFonts w:hint="default"/>
                <w:lang w:eastAsia="zh-CN"/>
              </w:rPr>
            </w:pPr>
            <w:r>
              <w:rPr>
                <w:rFonts w:ascii="仿宋_GB2312" w:hAnsi="仿宋_GB2312" w:eastAsia="仿宋_GB2312" w:cs="仿宋_GB2312"/>
                <w:lang w:eastAsia="zh-CN"/>
              </w:rPr>
              <w:t>真空压力衰减检漏仪</w:t>
            </w:r>
          </w:p>
        </w:tc>
        <w:tc>
          <w:tcPr>
            <w:tcW w:w="748" w:type="dxa"/>
          </w:tcPr>
          <w:p w14:paraId="1CDC12C5">
            <w:pPr>
              <w:pStyle w:val="5"/>
              <w:jc w:val="right"/>
              <w:rPr>
                <w:rFonts w:hint="default"/>
              </w:rPr>
            </w:pPr>
            <w:r>
              <w:rPr>
                <w:rFonts w:ascii="仿宋_GB2312" w:hAnsi="仿宋_GB2312" w:eastAsia="仿宋_GB2312" w:cs="仿宋_GB2312"/>
              </w:rPr>
              <w:t>1.00</w:t>
            </w:r>
          </w:p>
        </w:tc>
        <w:tc>
          <w:tcPr>
            <w:tcW w:w="1116" w:type="dxa"/>
          </w:tcPr>
          <w:p w14:paraId="4B0CBA5E">
            <w:pPr>
              <w:pStyle w:val="5"/>
              <w:jc w:val="right"/>
              <w:rPr>
                <w:rFonts w:hint="default"/>
                <w:lang w:eastAsia="zh-CN"/>
              </w:rPr>
            </w:pPr>
            <w:r>
              <w:rPr>
                <w:rFonts w:ascii="仿宋_GB2312" w:hAnsi="仿宋_GB2312" w:eastAsia="仿宋_GB2312" w:cs="仿宋_GB2312"/>
                <w:lang w:eastAsia="zh-CN"/>
              </w:rPr>
              <w:t>450000.00</w:t>
            </w:r>
          </w:p>
        </w:tc>
        <w:tc>
          <w:tcPr>
            <w:tcW w:w="740" w:type="dxa"/>
          </w:tcPr>
          <w:p w14:paraId="1D68ED88">
            <w:pPr>
              <w:pStyle w:val="5"/>
              <w:rPr>
                <w:rFonts w:hint="default"/>
              </w:rPr>
            </w:pPr>
            <w:r>
              <w:rPr>
                <w:rFonts w:ascii="仿宋_GB2312" w:hAnsi="仿宋_GB2312" w:eastAsia="仿宋_GB2312" w:cs="仿宋_GB2312"/>
              </w:rPr>
              <w:t>套</w:t>
            </w:r>
          </w:p>
        </w:tc>
        <w:tc>
          <w:tcPr>
            <w:tcW w:w="740" w:type="dxa"/>
          </w:tcPr>
          <w:p w14:paraId="5DF295FC">
            <w:pPr>
              <w:pStyle w:val="5"/>
              <w:rPr>
                <w:rFonts w:hint="default"/>
              </w:rPr>
            </w:pPr>
            <w:r>
              <w:rPr>
                <w:rFonts w:ascii="仿宋_GB2312" w:hAnsi="仿宋_GB2312" w:eastAsia="仿宋_GB2312" w:cs="仿宋_GB2312"/>
              </w:rPr>
              <w:t>工业</w:t>
            </w:r>
          </w:p>
        </w:tc>
        <w:tc>
          <w:tcPr>
            <w:tcW w:w="740" w:type="dxa"/>
          </w:tcPr>
          <w:p w14:paraId="122E43A9">
            <w:pPr>
              <w:pStyle w:val="5"/>
              <w:rPr>
                <w:rFonts w:hint="default"/>
                <w:lang w:eastAsia="zh-CN"/>
              </w:rPr>
            </w:pPr>
            <w:r>
              <w:rPr>
                <w:rFonts w:ascii="仿宋_GB2312" w:hAnsi="仿宋_GB2312" w:eastAsia="仿宋_GB2312" w:cs="仿宋_GB2312"/>
                <w:color w:val="auto"/>
                <w:lang w:eastAsia="zh-CN"/>
              </w:rPr>
              <w:t>否</w:t>
            </w:r>
          </w:p>
        </w:tc>
        <w:tc>
          <w:tcPr>
            <w:tcW w:w="740" w:type="dxa"/>
          </w:tcPr>
          <w:p w14:paraId="39DF893F">
            <w:pPr>
              <w:pStyle w:val="5"/>
              <w:rPr>
                <w:rFonts w:hint="default"/>
              </w:rPr>
            </w:pPr>
            <w:r>
              <w:rPr>
                <w:rFonts w:ascii="仿宋_GB2312" w:hAnsi="仿宋_GB2312" w:eastAsia="仿宋_GB2312" w:cs="仿宋_GB2312"/>
              </w:rPr>
              <w:t>否</w:t>
            </w:r>
          </w:p>
        </w:tc>
        <w:tc>
          <w:tcPr>
            <w:tcW w:w="740" w:type="dxa"/>
          </w:tcPr>
          <w:p w14:paraId="7510D2BF">
            <w:pPr>
              <w:pStyle w:val="5"/>
              <w:rPr>
                <w:rFonts w:hint="default"/>
              </w:rPr>
            </w:pPr>
            <w:r>
              <w:rPr>
                <w:rFonts w:ascii="仿宋_GB2312" w:hAnsi="仿宋_GB2312" w:eastAsia="仿宋_GB2312" w:cs="仿宋_GB2312"/>
              </w:rPr>
              <w:t>否</w:t>
            </w:r>
          </w:p>
        </w:tc>
        <w:tc>
          <w:tcPr>
            <w:tcW w:w="740" w:type="dxa"/>
          </w:tcPr>
          <w:p w14:paraId="39251EF9">
            <w:pPr>
              <w:pStyle w:val="5"/>
              <w:rPr>
                <w:rFonts w:hint="default"/>
              </w:rPr>
            </w:pPr>
            <w:r>
              <w:rPr>
                <w:rFonts w:ascii="仿宋_GB2312" w:hAnsi="仿宋_GB2312" w:eastAsia="仿宋_GB2312" w:cs="仿宋_GB2312"/>
              </w:rPr>
              <w:t>否</w:t>
            </w:r>
          </w:p>
        </w:tc>
        <w:tc>
          <w:tcPr>
            <w:tcW w:w="740" w:type="dxa"/>
          </w:tcPr>
          <w:p w14:paraId="67E01457">
            <w:pPr>
              <w:pStyle w:val="5"/>
              <w:rPr>
                <w:rFonts w:hint="default"/>
              </w:rPr>
            </w:pPr>
            <w:r>
              <w:rPr>
                <w:rFonts w:ascii="仿宋_GB2312" w:hAnsi="仿宋_GB2312" w:eastAsia="仿宋_GB2312" w:cs="仿宋_GB2312"/>
              </w:rPr>
              <w:t>是</w:t>
            </w:r>
          </w:p>
        </w:tc>
      </w:tr>
    </w:tbl>
    <w:p w14:paraId="1B8CA269">
      <w:pPr>
        <w:pStyle w:val="5"/>
        <w:outlineLvl w:val="2"/>
        <w:rPr>
          <w:rFonts w:hint="default"/>
        </w:rPr>
      </w:pPr>
      <w:r>
        <w:rPr>
          <w:rFonts w:hint="eastAsia" w:ascii="仿宋_GB2312" w:hAnsi="仿宋_GB2312" w:eastAsia="仿宋_GB2312" w:cs="仿宋_GB2312"/>
          <w:b/>
          <w:sz w:val="28"/>
          <w:lang w:val="en-US" w:eastAsia="zh-CN"/>
        </w:rPr>
        <w:t>3.</w:t>
      </w:r>
      <w:r>
        <w:rPr>
          <w:rFonts w:ascii="仿宋_GB2312" w:hAnsi="仿宋_GB2312" w:eastAsia="仿宋_GB2312" w:cs="仿宋_GB2312"/>
          <w:b/>
          <w:sz w:val="28"/>
        </w:rPr>
        <w:t>技术要求</w:t>
      </w:r>
    </w:p>
    <w:p w14:paraId="066C4728">
      <w:pPr>
        <w:pStyle w:val="5"/>
        <w:rPr>
          <w:rFonts w:hint="default"/>
        </w:rPr>
      </w:pPr>
      <w:r>
        <w:rPr>
          <w:rFonts w:ascii="仿宋_GB2312" w:hAnsi="仿宋_GB2312" w:eastAsia="仿宋_GB2312" w:cs="仿宋_GB2312"/>
        </w:rPr>
        <w:t>采购包1：</w:t>
      </w:r>
    </w:p>
    <w:p w14:paraId="67E99CC4">
      <w:pPr>
        <w:pStyle w:val="5"/>
        <w:rPr>
          <w:rFonts w:hint="default" w:eastAsia="仿宋_GB2312"/>
          <w:lang w:eastAsia="zh-CN"/>
        </w:rPr>
      </w:pPr>
      <w:r>
        <w:rPr>
          <w:rFonts w:ascii="仿宋_GB2312" w:hAnsi="仿宋_GB2312" w:eastAsia="仿宋_GB2312" w:cs="仿宋_GB2312"/>
        </w:rPr>
        <w:t>标的名称：</w:t>
      </w:r>
      <w:r>
        <w:rPr>
          <w:rFonts w:ascii="仿宋_GB2312" w:hAnsi="仿宋_GB2312" w:eastAsia="仿宋_GB2312" w:cs="仿宋_GB2312"/>
          <w:lang w:eastAsia="zh-CN"/>
        </w:rPr>
        <w:t>真空压力衰减检漏仪</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25"/>
        <w:gridCol w:w="471"/>
        <w:gridCol w:w="7011"/>
      </w:tblGrid>
      <w:tr w14:paraId="46892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7666D945">
            <w:pPr>
              <w:pStyle w:val="5"/>
              <w:jc w:val="center"/>
              <w:rPr>
                <w:rFonts w:ascii="仿宋_GB2312" w:hAnsi="仿宋_GB2312" w:eastAsia="仿宋_GB2312" w:cs="仿宋_GB2312"/>
              </w:rPr>
            </w:pPr>
            <w:r>
              <w:rPr>
                <w:rFonts w:ascii="仿宋_GB2312" w:hAnsi="仿宋_GB2312" w:eastAsia="仿宋_GB2312" w:cs="仿宋_GB2312"/>
              </w:rPr>
              <w:t>序号</w:t>
            </w:r>
          </w:p>
        </w:tc>
        <w:tc>
          <w:tcPr>
            <w:tcW w:w="471" w:type="dxa"/>
            <w:vAlign w:val="center"/>
          </w:tcPr>
          <w:p w14:paraId="7E51814F">
            <w:pPr>
              <w:pStyle w:val="5"/>
              <w:jc w:val="center"/>
              <w:rPr>
                <w:rFonts w:ascii="仿宋_GB2312" w:hAnsi="仿宋_GB2312" w:eastAsia="仿宋_GB2312" w:cs="仿宋_GB2312"/>
              </w:rPr>
            </w:pPr>
            <w:r>
              <w:rPr>
                <w:rFonts w:ascii="仿宋_GB2312" w:hAnsi="仿宋_GB2312" w:eastAsia="仿宋_GB2312" w:cs="仿宋_GB2312"/>
              </w:rPr>
              <w:t>参数性质</w:t>
            </w:r>
          </w:p>
        </w:tc>
        <w:tc>
          <w:tcPr>
            <w:tcW w:w="7011" w:type="dxa"/>
          </w:tcPr>
          <w:p w14:paraId="4F20410E">
            <w:pPr>
              <w:pStyle w:val="5"/>
              <w:rPr>
                <w:rFonts w:ascii="仿宋_GB2312" w:hAnsi="仿宋_GB2312" w:eastAsia="仿宋_GB2312" w:cs="仿宋_GB2312"/>
              </w:rPr>
            </w:pPr>
            <w:r>
              <w:rPr>
                <w:rFonts w:ascii="仿宋_GB2312" w:hAnsi="仿宋_GB2312" w:eastAsia="仿宋_GB2312" w:cs="仿宋_GB2312"/>
              </w:rPr>
              <w:t xml:space="preserve"> 技术参数与性能指标</w:t>
            </w:r>
          </w:p>
        </w:tc>
      </w:tr>
      <w:tr w14:paraId="79B839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3592A11F">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w:t>
            </w:r>
          </w:p>
        </w:tc>
        <w:tc>
          <w:tcPr>
            <w:tcW w:w="471" w:type="dxa"/>
            <w:vAlign w:val="center"/>
          </w:tcPr>
          <w:p w14:paraId="74B5DD88">
            <w:pPr>
              <w:jc w:val="center"/>
              <w:rPr>
                <w:rFonts w:hint="eastAsia" w:ascii="仿宋_GB2312" w:hAnsi="仿宋_GB2312" w:eastAsia="仿宋_GB2312" w:cs="仿宋_GB2312"/>
                <w:sz w:val="20"/>
                <w:szCs w:val="20"/>
              </w:rPr>
            </w:pPr>
          </w:p>
        </w:tc>
        <w:tc>
          <w:tcPr>
            <w:tcW w:w="7011" w:type="dxa"/>
            <w:vAlign w:val="center"/>
          </w:tcPr>
          <w:p w14:paraId="037EC3CC">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测量装置</w:t>
            </w:r>
          </w:p>
        </w:tc>
      </w:tr>
      <w:tr w14:paraId="2393B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25" w:type="dxa"/>
            <w:vAlign w:val="center"/>
          </w:tcPr>
          <w:p w14:paraId="45E8F8D3">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1.1</w:t>
            </w:r>
          </w:p>
        </w:tc>
        <w:tc>
          <w:tcPr>
            <w:tcW w:w="471" w:type="dxa"/>
            <w:vAlign w:val="center"/>
          </w:tcPr>
          <w:p w14:paraId="7B4F8DF1">
            <w:pPr>
              <w:widowControl/>
              <w:jc w:val="center"/>
              <w:rPr>
                <w:rFonts w:hint="eastAsia" w:ascii="仿宋_GB2312" w:hAnsi="仿宋_GB2312" w:eastAsia="仿宋_GB2312" w:cs="仿宋_GB2312"/>
                <w:strike/>
                <w:color w:val="000000"/>
                <w:kern w:val="0"/>
                <w:sz w:val="20"/>
                <w:szCs w:val="20"/>
              </w:rPr>
            </w:pPr>
            <w:r>
              <w:rPr>
                <w:rFonts w:ascii="仿宋_GB2312" w:hAnsi="仿宋_GB2312" w:eastAsia="仿宋_GB2312" w:cs="仿宋_GB2312"/>
              </w:rPr>
              <w:t>★</w:t>
            </w:r>
          </w:p>
        </w:tc>
        <w:tc>
          <w:tcPr>
            <w:tcW w:w="7011" w:type="dxa"/>
            <w:vAlign w:val="center"/>
          </w:tcPr>
          <w:p w14:paraId="2BC698A5">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可实现真空模式下的泄漏检测，氦气的最低可检测泄漏率（喷枪测试）</w:t>
            </w:r>
            <w:r>
              <w:rPr>
                <w:rFonts w:hint="eastAsia" w:ascii="仿宋_GB2312" w:hAnsi="仿宋_GB2312" w:eastAsia="仿宋_GB2312" w:cs="仿宋_GB2312"/>
                <w:sz w:val="20"/>
                <w:szCs w:val="20"/>
              </w:rPr>
              <w:t>≤</w:t>
            </w:r>
            <w:r>
              <w:rPr>
                <w:rFonts w:hint="eastAsia" w:ascii="仿宋_GB2312" w:hAnsi="仿宋_GB2312" w:eastAsia="仿宋_GB2312" w:cs="仿宋_GB2312"/>
                <w:color w:val="000000"/>
                <w:kern w:val="0"/>
                <w:sz w:val="20"/>
                <w:szCs w:val="20"/>
              </w:rPr>
              <w:t>5×10</w:t>
            </w:r>
            <w:r>
              <w:rPr>
                <w:rFonts w:hint="eastAsia" w:ascii="仿宋_GB2312" w:hAnsi="仿宋_GB2312" w:eastAsia="仿宋_GB2312" w:cs="仿宋_GB2312"/>
                <w:color w:val="000000"/>
                <w:kern w:val="0"/>
                <w:sz w:val="20"/>
                <w:szCs w:val="20"/>
                <w:vertAlign w:val="superscript"/>
              </w:rPr>
              <w:t>-13</w:t>
            </w:r>
            <w:r>
              <w:rPr>
                <w:rFonts w:hint="eastAsia" w:ascii="仿宋_GB2312" w:hAnsi="仿宋_GB2312" w:eastAsia="仿宋_GB2312" w:cs="仿宋_GB2312"/>
                <w:color w:val="000000"/>
                <w:kern w:val="0"/>
                <w:sz w:val="20"/>
                <w:szCs w:val="20"/>
              </w:rPr>
              <w:t>Pa·m³/s，</w:t>
            </w:r>
            <w:r>
              <w:rPr>
                <w:rFonts w:hint="eastAsia" w:ascii="仿宋_GB2312" w:hAnsi="仿宋_GB2312" w:eastAsia="仿宋_GB2312" w:cs="仿宋_GB2312"/>
                <w:sz w:val="20"/>
                <w:szCs w:val="20"/>
                <w:highlight w:val="none"/>
              </w:rPr>
              <w:t>氢气的最低可检测泄漏率（吸枪检测）</w:t>
            </w:r>
            <w:r>
              <w:rPr>
                <w:rFonts w:hint="eastAsia" w:ascii="仿宋_GB2312" w:hAnsi="仿宋_GB2312" w:eastAsia="仿宋_GB2312" w:cs="仿宋_GB2312"/>
                <w:sz w:val="20"/>
                <w:szCs w:val="20"/>
              </w:rPr>
              <w:t>≤</w:t>
            </w:r>
            <w:r>
              <w:rPr>
                <w:rFonts w:ascii="仿宋_GB2312" w:hAnsi="仿宋_GB2312" w:eastAsia="仿宋_GB2312" w:cs="仿宋_GB2312"/>
                <w:sz w:val="20"/>
                <w:szCs w:val="20"/>
                <w:highlight w:val="none"/>
              </w:rPr>
              <w:t>5</w:t>
            </w:r>
            <w:r>
              <w:rPr>
                <w:rFonts w:hint="eastAsia" w:ascii="仿宋_GB2312" w:hAnsi="仿宋_GB2312" w:eastAsia="仿宋_GB2312" w:cs="仿宋_GB2312"/>
                <w:color w:val="000000"/>
                <w:kern w:val="0"/>
                <w:sz w:val="20"/>
                <w:szCs w:val="20"/>
              </w:rPr>
              <w:t>×</w:t>
            </w:r>
            <w:r>
              <w:rPr>
                <w:rFonts w:ascii="仿宋_GB2312" w:hAnsi="仿宋_GB2312" w:eastAsia="仿宋_GB2312" w:cs="仿宋_GB2312"/>
                <w:sz w:val="20"/>
                <w:szCs w:val="20"/>
                <w:highlight w:val="none"/>
              </w:rPr>
              <w:t>10⁻¹⁰Pa.m³/s</w:t>
            </w:r>
            <w:r>
              <w:rPr>
                <w:rFonts w:hint="eastAsia" w:ascii="仿宋_GB2312" w:hAnsi="仿宋_GB2312" w:eastAsia="仿宋_GB2312" w:cs="仿宋_GB2312"/>
                <w:sz w:val="20"/>
                <w:szCs w:val="20"/>
                <w:highlight w:val="none"/>
              </w:rPr>
              <w:t>。</w:t>
            </w:r>
          </w:p>
        </w:tc>
      </w:tr>
      <w:tr w14:paraId="46B56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12F44435">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1.2</w:t>
            </w:r>
          </w:p>
        </w:tc>
        <w:tc>
          <w:tcPr>
            <w:tcW w:w="471" w:type="dxa"/>
            <w:vAlign w:val="center"/>
          </w:tcPr>
          <w:p w14:paraId="0E22293A">
            <w:pPr>
              <w:widowControl/>
              <w:jc w:val="center"/>
              <w:rPr>
                <w:rFonts w:hint="eastAsia" w:ascii="仿宋_GB2312" w:hAnsi="仿宋_GB2312" w:eastAsia="仿宋_GB2312" w:cs="仿宋_GB2312"/>
                <w:strike/>
                <w:color w:val="000000"/>
                <w:kern w:val="0"/>
                <w:sz w:val="20"/>
                <w:szCs w:val="20"/>
              </w:rPr>
            </w:pPr>
            <w:r>
              <w:rPr>
                <w:rFonts w:ascii="仿宋_GB2312" w:hAnsi="仿宋_GB2312" w:eastAsia="仿宋_GB2312" w:cs="仿宋_GB2312"/>
              </w:rPr>
              <w:t>★</w:t>
            </w:r>
          </w:p>
        </w:tc>
        <w:tc>
          <w:tcPr>
            <w:tcW w:w="7011" w:type="dxa"/>
            <w:vAlign w:val="center"/>
          </w:tcPr>
          <w:p w14:paraId="0D918273">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sz w:val="20"/>
                <w:szCs w:val="20"/>
              </w:rPr>
              <w:t>支持</w:t>
            </w:r>
            <w:r>
              <w:t>⁴He</w:t>
            </w:r>
            <w:r>
              <w:rPr>
                <w:rFonts w:hint="eastAsia"/>
              </w:rPr>
              <w:t>、</w:t>
            </w:r>
            <w:r>
              <w:t>³He</w:t>
            </w:r>
            <w:r>
              <w:rPr>
                <w:rFonts w:hint="eastAsia"/>
              </w:rPr>
              <w:t>、</w:t>
            </w:r>
            <w:r>
              <w:t>H₂</w:t>
            </w:r>
            <w:r>
              <w:rPr>
                <w:rFonts w:hint="eastAsia" w:ascii="仿宋_GB2312" w:hAnsi="仿宋_GB2312" w:eastAsia="仿宋_GB2312" w:cs="仿宋_GB2312"/>
                <w:sz w:val="20"/>
                <w:szCs w:val="20"/>
              </w:rPr>
              <w:t>等气体，检测量程基于最高真空</w:t>
            </w:r>
            <w:r>
              <w:rPr>
                <w:rFonts w:hint="eastAsia" w:ascii="仿宋_GB2312" w:hAnsi="仿宋_GB2312" w:eastAsia="仿宋_GB2312" w:cs="仿宋_GB2312"/>
                <w:sz w:val="20"/>
                <w:szCs w:val="20"/>
                <w:highlight w:val="none"/>
              </w:rPr>
              <w:t>度（≤0.1Pa）可调。</w:t>
            </w:r>
          </w:p>
        </w:tc>
      </w:tr>
      <w:tr w14:paraId="6E6F44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25" w:type="dxa"/>
            <w:vAlign w:val="center"/>
          </w:tcPr>
          <w:p w14:paraId="50D875EE">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1.3</w:t>
            </w:r>
          </w:p>
        </w:tc>
        <w:tc>
          <w:tcPr>
            <w:tcW w:w="471" w:type="dxa"/>
            <w:vAlign w:val="center"/>
          </w:tcPr>
          <w:p w14:paraId="08DC6149">
            <w:pPr>
              <w:widowControl/>
              <w:jc w:val="center"/>
              <w:rPr>
                <w:rFonts w:hint="eastAsia" w:ascii="仿宋_GB2312" w:hAnsi="仿宋_GB2312" w:eastAsia="仿宋_GB2312" w:cs="仿宋_GB2312"/>
                <w:strike/>
                <w:color w:val="000000"/>
                <w:kern w:val="0"/>
                <w:sz w:val="20"/>
                <w:szCs w:val="20"/>
              </w:rPr>
            </w:pPr>
          </w:p>
        </w:tc>
        <w:tc>
          <w:tcPr>
            <w:tcW w:w="7011" w:type="dxa"/>
            <w:vAlign w:val="center"/>
          </w:tcPr>
          <w:p w14:paraId="561C191D">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检漏压强</w:t>
            </w:r>
            <w:r>
              <w:rPr>
                <w:rFonts w:hint="eastAsia" w:ascii="仿宋_GB2312" w:hAnsi="仿宋_GB2312" w:eastAsia="仿宋_GB2312" w:cs="仿宋_GB2312"/>
                <w:sz w:val="20"/>
                <w:szCs w:val="20"/>
              </w:rPr>
              <w:t>≥</w:t>
            </w:r>
            <w:r>
              <w:rPr>
                <w:rFonts w:hint="eastAsia" w:ascii="仿宋_GB2312" w:hAnsi="仿宋_GB2312" w:eastAsia="仿宋_GB2312" w:cs="仿宋_GB2312"/>
                <w:color w:val="000000"/>
                <w:kern w:val="0"/>
                <w:sz w:val="20"/>
                <w:szCs w:val="20"/>
              </w:rPr>
              <w:t>2500Pa，耐压</w:t>
            </w:r>
            <w:r>
              <w:rPr>
                <w:rFonts w:hint="eastAsia" w:ascii="仿宋_GB2312" w:hAnsi="仿宋_GB2312" w:eastAsia="仿宋_GB2312" w:cs="仿宋_GB2312"/>
                <w:sz w:val="20"/>
                <w:szCs w:val="20"/>
              </w:rPr>
              <w:t>≥</w:t>
            </w:r>
            <w:r>
              <w:rPr>
                <w:rFonts w:hint="eastAsia" w:ascii="仿宋_GB2312" w:hAnsi="仿宋_GB2312" w:eastAsia="仿宋_GB2312" w:cs="仿宋_GB2312"/>
                <w:color w:val="000000"/>
                <w:kern w:val="0"/>
                <w:sz w:val="20"/>
                <w:szCs w:val="20"/>
              </w:rPr>
              <w:t>10000Pa，抽气速率</w:t>
            </w:r>
            <w:r>
              <w:rPr>
                <w:rFonts w:hint="eastAsia" w:ascii="仿宋_GB2312" w:hAnsi="仿宋_GB2312" w:eastAsia="仿宋_GB2312" w:cs="仿宋_GB2312"/>
                <w:sz w:val="20"/>
                <w:szCs w:val="20"/>
              </w:rPr>
              <w:t>≥</w:t>
            </w:r>
            <w:r>
              <w:rPr>
                <w:rFonts w:hint="eastAsia" w:ascii="仿宋_GB2312" w:hAnsi="仿宋_GB2312" w:eastAsia="仿宋_GB2312" w:cs="仿宋_GB2312"/>
                <w:color w:val="000000"/>
                <w:kern w:val="0"/>
                <w:sz w:val="20"/>
                <w:szCs w:val="20"/>
              </w:rPr>
              <w:t>2.5L/s，响应时间≤1s。</w:t>
            </w:r>
          </w:p>
        </w:tc>
      </w:tr>
      <w:tr w14:paraId="742331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627C245C">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1.4</w:t>
            </w:r>
          </w:p>
        </w:tc>
        <w:tc>
          <w:tcPr>
            <w:tcW w:w="471" w:type="dxa"/>
            <w:vAlign w:val="center"/>
          </w:tcPr>
          <w:p w14:paraId="5F9490AD">
            <w:pPr>
              <w:widowControl/>
              <w:jc w:val="center"/>
              <w:rPr>
                <w:rFonts w:hint="eastAsia" w:ascii="仿宋_GB2312" w:hAnsi="仿宋_GB2312" w:eastAsia="仿宋_GB2312" w:cs="仿宋_GB2312"/>
                <w:strike/>
                <w:color w:val="000000"/>
                <w:kern w:val="0"/>
                <w:sz w:val="20"/>
                <w:szCs w:val="20"/>
              </w:rPr>
            </w:pPr>
          </w:p>
        </w:tc>
        <w:tc>
          <w:tcPr>
            <w:tcW w:w="7011" w:type="dxa"/>
            <w:vAlign w:val="center"/>
          </w:tcPr>
          <w:p w14:paraId="41CC5E69">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具备旁抽功能，可独立控制电磁阀、分子泵、质谱室运转。</w:t>
            </w:r>
          </w:p>
        </w:tc>
      </w:tr>
      <w:tr w14:paraId="6607A7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1F238ECD">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1.5</w:t>
            </w:r>
          </w:p>
        </w:tc>
        <w:tc>
          <w:tcPr>
            <w:tcW w:w="471" w:type="dxa"/>
            <w:vAlign w:val="center"/>
          </w:tcPr>
          <w:p w14:paraId="12818F64">
            <w:pPr>
              <w:widowControl/>
              <w:jc w:val="center"/>
              <w:rPr>
                <w:rFonts w:hint="eastAsia" w:ascii="仿宋_GB2312" w:hAnsi="仿宋_GB2312" w:eastAsia="仿宋_GB2312" w:cs="仿宋_GB2312"/>
                <w:color w:val="000000"/>
                <w:kern w:val="0"/>
                <w:sz w:val="20"/>
                <w:szCs w:val="20"/>
              </w:rPr>
            </w:pPr>
          </w:p>
        </w:tc>
        <w:tc>
          <w:tcPr>
            <w:tcW w:w="7011" w:type="dxa"/>
            <w:vAlign w:val="center"/>
          </w:tcPr>
          <w:p w14:paraId="2B8A9EA4">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能够监测分子泵、机械泵的运行时间，监测灯丝工作时间，自动提示润滑油、灯丝更换等功能。</w:t>
            </w:r>
          </w:p>
        </w:tc>
      </w:tr>
      <w:tr w14:paraId="4CA70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25" w:type="dxa"/>
            <w:vAlign w:val="center"/>
          </w:tcPr>
          <w:p w14:paraId="153BC9D1">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1.6</w:t>
            </w:r>
          </w:p>
        </w:tc>
        <w:tc>
          <w:tcPr>
            <w:tcW w:w="471" w:type="dxa"/>
            <w:vAlign w:val="center"/>
          </w:tcPr>
          <w:p w14:paraId="6F8B3C61">
            <w:pPr>
              <w:widowControl/>
              <w:jc w:val="center"/>
              <w:rPr>
                <w:rFonts w:hint="eastAsia" w:ascii="仿宋_GB2312" w:hAnsi="仿宋_GB2312" w:eastAsia="仿宋_GB2312" w:cs="仿宋_GB2312"/>
                <w:sz w:val="20"/>
                <w:szCs w:val="20"/>
              </w:rPr>
            </w:pPr>
          </w:p>
        </w:tc>
        <w:tc>
          <w:tcPr>
            <w:tcW w:w="7011" w:type="dxa"/>
            <w:vAlign w:val="center"/>
          </w:tcPr>
          <w:p w14:paraId="30322DBA">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配备检漏盘、喷枪、真空脂、球胆、密封圈、泵润滑油、灯丝等配件和耗材（至少3套）。配备不少于2套检漏接管、管嘴、阀门。</w:t>
            </w:r>
          </w:p>
        </w:tc>
      </w:tr>
      <w:tr w14:paraId="4CF14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77B6AF52">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2</w:t>
            </w:r>
          </w:p>
        </w:tc>
        <w:tc>
          <w:tcPr>
            <w:tcW w:w="471" w:type="dxa"/>
            <w:vAlign w:val="center"/>
          </w:tcPr>
          <w:p w14:paraId="2EFDD4C8">
            <w:pPr>
              <w:widowControl/>
              <w:jc w:val="center"/>
              <w:rPr>
                <w:rFonts w:hint="eastAsia" w:ascii="仿宋_GB2312" w:hAnsi="仿宋_GB2312" w:eastAsia="仿宋_GB2312" w:cs="仿宋_GB2312"/>
                <w:color w:val="000000"/>
                <w:kern w:val="0"/>
                <w:sz w:val="20"/>
                <w:szCs w:val="20"/>
              </w:rPr>
            </w:pPr>
          </w:p>
        </w:tc>
        <w:tc>
          <w:tcPr>
            <w:tcW w:w="7011" w:type="dxa"/>
            <w:vAlign w:val="center"/>
          </w:tcPr>
          <w:p w14:paraId="037D90BB">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数据分析处理</w:t>
            </w:r>
          </w:p>
        </w:tc>
      </w:tr>
      <w:tr w14:paraId="4A80E6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22D42226">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2.1</w:t>
            </w:r>
          </w:p>
        </w:tc>
        <w:tc>
          <w:tcPr>
            <w:tcW w:w="471" w:type="dxa"/>
            <w:vAlign w:val="center"/>
          </w:tcPr>
          <w:p w14:paraId="78ADA56E">
            <w:pPr>
              <w:widowControl/>
              <w:jc w:val="center"/>
              <w:rPr>
                <w:rFonts w:hint="eastAsia" w:ascii="仿宋_GB2312" w:hAnsi="仿宋_GB2312" w:eastAsia="仿宋_GB2312" w:cs="仿宋_GB2312"/>
                <w:color w:val="000000"/>
                <w:kern w:val="0"/>
                <w:sz w:val="20"/>
                <w:szCs w:val="20"/>
              </w:rPr>
            </w:pPr>
          </w:p>
        </w:tc>
        <w:tc>
          <w:tcPr>
            <w:tcW w:w="7011" w:type="dxa"/>
            <w:vAlign w:val="center"/>
          </w:tcPr>
          <w:p w14:paraId="0C6B5FB5">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专用分析、处理、显示终端（计算能力FP32峰值≥15TFlops,计算能力FP64峰值≥2Tflops，内存≥64G，数据储存能力≥8T）。具备I/O、RS232、USB等通讯接口，可实现数据的实时采集、存储、传输与分析。具有自动、手动调零、调峰和校准功能。</w:t>
            </w:r>
          </w:p>
        </w:tc>
      </w:tr>
      <w:tr w14:paraId="7812F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35599073">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2.2</w:t>
            </w:r>
          </w:p>
        </w:tc>
        <w:tc>
          <w:tcPr>
            <w:tcW w:w="471" w:type="dxa"/>
            <w:vAlign w:val="center"/>
          </w:tcPr>
          <w:p w14:paraId="065598B1">
            <w:pPr>
              <w:widowControl/>
              <w:jc w:val="center"/>
              <w:rPr>
                <w:rFonts w:hint="eastAsia" w:ascii="仿宋_GB2312" w:hAnsi="仿宋_GB2312" w:eastAsia="仿宋_GB2312" w:cs="仿宋_GB2312"/>
                <w:sz w:val="20"/>
                <w:szCs w:val="20"/>
              </w:rPr>
            </w:pPr>
            <w:r>
              <w:rPr>
                <w:rFonts w:ascii="仿宋_GB2312" w:hAnsi="仿宋_GB2312" w:eastAsia="仿宋_GB2312" w:cs="仿宋_GB2312"/>
              </w:rPr>
              <w:t>★</w:t>
            </w:r>
          </w:p>
        </w:tc>
        <w:tc>
          <w:tcPr>
            <w:tcW w:w="7011" w:type="dxa"/>
            <w:vAlign w:val="center"/>
          </w:tcPr>
          <w:p w14:paraId="1845D7F4">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具备容器本体真空绝热/保冷层自动参数建模功能，根据泄漏率/真空度测量结果开展保温能力计算，考虑导热、辐射作用，分析被测对象总热阻。具备分析含冷屏容器的保冷能力计算功能，分析被测对象总热阻，自动输出计算结果、温度分布。</w:t>
            </w:r>
          </w:p>
          <w:p w14:paraId="5AE164D9">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具备容器接管保温层自动参数建模功能，根据温度、流量测量结果开展保温能力计算，考虑导热、对流作用，分析被测对象总热阻，自动输出计算结果、温度分布。</w:t>
            </w:r>
          </w:p>
        </w:tc>
      </w:tr>
      <w:tr w14:paraId="6080F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0" w:hRule="atLeast"/>
        </w:trPr>
        <w:tc>
          <w:tcPr>
            <w:tcW w:w="625" w:type="dxa"/>
            <w:vAlign w:val="center"/>
          </w:tcPr>
          <w:p w14:paraId="2F92FB63">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3</w:t>
            </w:r>
          </w:p>
        </w:tc>
        <w:tc>
          <w:tcPr>
            <w:tcW w:w="471" w:type="dxa"/>
            <w:vAlign w:val="center"/>
          </w:tcPr>
          <w:p w14:paraId="5001EDA6">
            <w:pPr>
              <w:widowControl/>
              <w:jc w:val="center"/>
              <w:rPr>
                <w:rFonts w:hint="eastAsia" w:ascii="仿宋_GB2312" w:hAnsi="仿宋_GB2312" w:eastAsia="仿宋_GB2312" w:cs="仿宋_GB2312"/>
                <w:sz w:val="20"/>
                <w:szCs w:val="20"/>
              </w:rPr>
            </w:pPr>
          </w:p>
        </w:tc>
        <w:tc>
          <w:tcPr>
            <w:tcW w:w="7011" w:type="dxa"/>
            <w:vAlign w:val="center"/>
          </w:tcPr>
          <w:p w14:paraId="54646228">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氢气探测器</w:t>
            </w:r>
          </w:p>
          <w:p w14:paraId="4B74B3AB">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含探测、报警、信号输出功能，数量≥2套；当局部环境氢气体积浓度达到200ppm时触发报警机制。</w:t>
            </w:r>
          </w:p>
        </w:tc>
      </w:tr>
      <w:tr w14:paraId="4E5929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0" w:hRule="atLeast"/>
        </w:trPr>
        <w:tc>
          <w:tcPr>
            <w:tcW w:w="625" w:type="dxa"/>
            <w:vAlign w:val="center"/>
          </w:tcPr>
          <w:p w14:paraId="22C1895D">
            <w:pPr>
              <w:widowControl/>
              <w:jc w:val="center"/>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4</w:t>
            </w:r>
          </w:p>
        </w:tc>
        <w:tc>
          <w:tcPr>
            <w:tcW w:w="471" w:type="dxa"/>
            <w:vAlign w:val="center"/>
          </w:tcPr>
          <w:p w14:paraId="19075244">
            <w:pPr>
              <w:widowControl/>
              <w:jc w:val="center"/>
              <w:rPr>
                <w:rFonts w:hint="eastAsia" w:ascii="仿宋_GB2312" w:hAnsi="仿宋_GB2312" w:eastAsia="仿宋_GB2312" w:cs="仿宋_GB2312"/>
                <w:sz w:val="20"/>
                <w:szCs w:val="20"/>
              </w:rPr>
            </w:pPr>
            <w:r>
              <w:rPr>
                <w:rFonts w:ascii="仿宋_GB2312" w:hAnsi="仿宋_GB2312" w:eastAsia="仿宋_GB2312" w:cs="仿宋_GB2312"/>
              </w:rPr>
              <w:t>★</w:t>
            </w:r>
          </w:p>
        </w:tc>
        <w:tc>
          <w:tcPr>
            <w:tcW w:w="7011" w:type="dxa"/>
            <w:vAlign w:val="center"/>
          </w:tcPr>
          <w:p w14:paraId="237092FA">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供应商拟投产品必须满足所有技术参数要求，提供相关证明材料。</w:t>
            </w:r>
          </w:p>
          <w:p w14:paraId="69666DF8">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其中，标注“★”的参数提供的证明材料包括但不限于产品规格表、产品宣传彩页、技术白皮书、制造商官方网站发布的产品信息、说明书或检测机构出具的检测报告等，至少提供以上一项证明材料予以证明其技术参数的响应性；</w:t>
            </w:r>
          </w:p>
          <w:p w14:paraId="6C00B603">
            <w:pPr>
              <w:widowControl/>
              <w:jc w:val="left"/>
              <w:rPr>
                <w:rFonts w:hint="eastAsia" w:ascii="仿宋_GB2312" w:hAnsi="仿宋_GB2312" w:eastAsia="仿宋_GB2312" w:cs="仿宋_GB2312"/>
                <w:color w:val="000000"/>
                <w:kern w:val="0"/>
                <w:sz w:val="20"/>
                <w:szCs w:val="20"/>
              </w:rPr>
            </w:pPr>
            <w:r>
              <w:rPr>
                <w:rFonts w:hint="eastAsia" w:ascii="仿宋_GB2312" w:hAnsi="仿宋_GB2312" w:eastAsia="仿宋_GB2312" w:cs="仿宋_GB2312"/>
                <w:color w:val="000000"/>
                <w:kern w:val="0"/>
                <w:sz w:val="20"/>
                <w:szCs w:val="20"/>
              </w:rPr>
              <w:t>未标注“★”的参数提供的证明材料包括但不限于技术方案、产品规格表、产品宣传彩页、技术白皮书、制造商官方网站发布的产品信息、技术偏离表、说明书或检测机构出具的检测报告等，至少提供以上一项证明材料予以证明其技术参数的响应性。</w:t>
            </w:r>
          </w:p>
        </w:tc>
      </w:tr>
    </w:tbl>
    <w:p w14:paraId="6CDCD9C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1209A"/>
    <w:rsid w:val="06F74DC9"/>
    <w:rsid w:val="11B6439C"/>
    <w:rsid w:val="2186470C"/>
    <w:rsid w:val="461D2A06"/>
    <w:rsid w:val="56793D75"/>
    <w:rsid w:val="7BB12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qFormat/>
    <w:uiPriority w:val="0"/>
    <w:rPr>
      <w:rFonts w:hint="eastAsia" w:asciiTheme="minorHAnsi" w:hAnsiTheme="minorHAnsi" w:eastAsiaTheme="minorEastAsia" w:cstheme="minorBidi"/>
      <w:lang w:val="en-US" w:eastAsia="zh-Hans" w:bidi="ar-SA"/>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1092</Words>
  <Characters>1218</Characters>
  <Lines>0</Lines>
  <Paragraphs>0</Paragraphs>
  <TotalTime>0</TotalTime>
  <ScaleCrop>false</ScaleCrop>
  <LinksUpToDate>false</LinksUpToDate>
  <CharactersWithSpaces>1221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2026-07-14T06:50:00Z</dcterms:created>
  <dc:creator>DU.</dc:creator>
  <cp:lastModifiedBy>孟孟孟</cp:lastModifiedBy>
  <dcterms:modified xsi:type="dcterms:W3CDTF">2026-07-28T13:09:34Z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068A4E3D4EB149CF8AF5425268CA207B_13</vt:lpwstr>
  </property>
  <property fmtid="{D5CDD505-2E9C-101B-9397-08002B2CF9AE}" pid="4" name="KSOTemplateDocerSaveRecord">
    <vt:lpwstr>eyJoZGlkIjoiOGUxMzE0NGNmY2MxMzc5YjE0OGE4ZjViMzEwODdkNzMiLCJ1c2VySWQiOiIzMDY5OTEwMDEifQ==</vt:lpwstr>
  </property>
</Properties>
</file>