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版本号：HYDZB202602020260615001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2025年省级千万工程示范村补助项目市级衔接资金铁炉街办铁炉村道路及排水提升改造项目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HYDZB2026020</w:t>
      </w:r>
      <w:r>
        <w:br/>
      </w:r>
      <w:r>
        <w:br/>
      </w:r>
      <w:r>
        <w:br/>
      </w:r>
    </w:p>
    <w:p>
      <w:pPr>
        <w:pStyle w:val="null3"/>
        <w:jc w:val="center"/>
        <w:outlineLvl w:val="2"/>
      </w:pPr>
      <w:r>
        <w:rPr>
          <w:rFonts w:ascii="仿宋_GB2312" w:hAnsi="仿宋_GB2312" w:cs="仿宋_GB2312" w:eastAsia="仿宋_GB2312"/>
          <w:sz w:val="28"/>
          <w:b/>
        </w:rPr>
        <w:t>西安市临潼区铁炉街道办事处</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西安市临潼区铁炉街道办事处</w:t>
      </w:r>
      <w:r>
        <w:rPr>
          <w:rFonts w:ascii="仿宋_GB2312" w:hAnsi="仿宋_GB2312" w:cs="仿宋_GB2312" w:eastAsia="仿宋_GB2312"/>
        </w:rPr>
        <w:t>委托，拟对</w:t>
      </w:r>
      <w:r>
        <w:rPr>
          <w:rFonts w:ascii="仿宋_GB2312" w:hAnsi="仿宋_GB2312" w:cs="仿宋_GB2312" w:eastAsia="仿宋_GB2312"/>
        </w:rPr>
        <w:t>2025年省级千万工程示范村补助项目市级衔接资金铁炉街办铁炉村道路及排水提升改造项目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2025年省级千万工程示范村补助项目市级衔接资金铁炉街办铁炉村道路及排水提升改造项目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南组道路铺设沥青路面长572m，宽3.5m，厚0.06m，2002㎡；东南组、东北组、西北组修建排污水渠长4100m、宽0.2m，深0.2m及水泥盖板;睢堡组、邓庄组硬化水泥路面903m，宽3.5m，共3160㎡；东南组、东北组、邓庄组新建青砖围栏4000m及配套两侧绿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采购包1（铁炉街办铁炉村道路及排水提升改造项目）：属于专门面向中小企业采购。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2、法人代表证明书或法人授权委托书：法人代表证明书或法人授权委托书，后附法人及被委托人身份证（法定代表人直接参加开标的只需提供法定代表人身份证）；</w:t>
      </w:r>
    </w:p>
    <w:p>
      <w:pPr>
        <w:pStyle w:val="null3"/>
      </w:pPr>
      <w:r>
        <w:rPr>
          <w:rFonts w:ascii="仿宋_GB2312" w:hAnsi="仿宋_GB2312" w:cs="仿宋_GB2312" w:eastAsia="仿宋_GB2312"/>
        </w:rPr>
        <w:t>3、企业资质：供应商须具市政公用工程施工总承包三级及以上资质，且具有有效的安全生产许可证；</w:t>
      </w:r>
    </w:p>
    <w:p>
      <w:pPr>
        <w:pStyle w:val="null3"/>
      </w:pPr>
      <w:r>
        <w:rPr>
          <w:rFonts w:ascii="仿宋_GB2312" w:hAnsi="仿宋_GB2312" w:cs="仿宋_GB2312" w:eastAsia="仿宋_GB2312"/>
        </w:rPr>
        <w:t>4、拟派项目经理：拟派项目经理须具备市政公用工程二级及以上注册建造师证书和有效的安全生产考核合格B证，在本单位注册，且未担任其他在建工程的项目经理；</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西安市临潼区铁炉街道办事处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临潼区铁炉街道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临潼区铁炉街道办事处经办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17602937127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陕西省西安市临潼区陕西省西安市临潼区东三岔昌龄巷北排1号4F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西安市临潼区铁炉街道办事处</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西安市临潼区铁炉街道办事处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西安市临潼区铁炉街道办事处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1,999,162.33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铁炉街办铁炉村道路及排水提升改造项目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标的名称：铁炉街办铁炉村道路及排水提升改造项目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一、工程内容和施工地点、计划工期、质量标准</w:t>
            </w:r>
          </w:p>
          <w:p>
            <w:pPr>
              <w:pStyle w:val="null3"/>
              <w:ind w:firstLine="480"/>
              <w:jc w:val="both"/>
            </w:pPr>
            <w:r>
              <w:rPr>
                <w:rFonts w:ascii="仿宋_GB2312" w:hAnsi="仿宋_GB2312" w:cs="仿宋_GB2312" w:eastAsia="仿宋_GB2312"/>
                <w:sz w:val="24"/>
                <w:color w:val="000000"/>
              </w:rPr>
              <w:t>（一）工程内容：</w:t>
            </w:r>
            <w:r>
              <w:rPr>
                <w:rFonts w:ascii="仿宋_GB2312" w:hAnsi="仿宋_GB2312" w:cs="仿宋_GB2312" w:eastAsia="仿宋_GB2312"/>
                <w:sz w:val="24"/>
                <w:color w:val="000000"/>
              </w:rPr>
              <w:t>西南组道路铺设沥青路面长572m，宽3.5m，厚0.06m，2002㎡；东南组、东北组、西北组修建排污水渠长4100m、宽0.2m，深0.2m及水泥盖板;睢堡组、邓庄组硬化水泥路面903m，宽3.5m，共3160㎡；东南组、东北组、邓庄组新建青砖围栏4000m及配套两侧绿化。</w:t>
            </w:r>
          </w:p>
          <w:p>
            <w:pPr>
              <w:pStyle w:val="null3"/>
              <w:ind w:firstLine="480"/>
              <w:jc w:val="left"/>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铁炉村。</w:t>
            </w:r>
          </w:p>
          <w:p>
            <w:pPr>
              <w:pStyle w:val="null3"/>
              <w:ind w:firstLine="480"/>
              <w:jc w:val="left"/>
            </w:pPr>
            <w:r>
              <w:rPr>
                <w:rFonts w:ascii="仿宋_GB2312" w:hAnsi="仿宋_GB2312" w:cs="仿宋_GB2312" w:eastAsia="仿宋_GB2312"/>
                <w:sz w:val="24"/>
                <w:color w:val="000000"/>
              </w:rPr>
              <w:t>（三）计划工期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150天。</w:t>
            </w:r>
          </w:p>
          <w:p>
            <w:pPr>
              <w:pStyle w:val="null3"/>
              <w:ind w:firstLine="480"/>
              <w:jc w:val="left"/>
            </w:pPr>
            <w:r>
              <w:rPr>
                <w:rFonts w:ascii="仿宋_GB2312" w:hAnsi="仿宋_GB2312" w:cs="仿宋_GB2312" w:eastAsia="仿宋_GB2312"/>
                <w:sz w:val="24"/>
                <w:color w:val="000000"/>
              </w:rPr>
              <w:t>（四）质量标准：达到国家现行施工质量验收规范</w:t>
            </w:r>
            <w:r>
              <w:rPr>
                <w:rFonts w:ascii="仿宋_GB2312" w:hAnsi="仿宋_GB2312" w:cs="仿宋_GB2312" w:eastAsia="仿宋_GB2312"/>
                <w:sz w:val="24"/>
                <w:color w:val="000000"/>
              </w:rPr>
              <w:t>“合格”标</w:t>
            </w:r>
            <w:r>
              <w:rPr>
                <w:rFonts w:ascii="仿宋_GB2312" w:hAnsi="仿宋_GB2312" w:cs="仿宋_GB2312" w:eastAsia="仿宋_GB2312"/>
                <w:sz w:val="24"/>
                <w:color w:val="000000"/>
              </w:rPr>
              <w:t>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工程量</w:t>
            </w:r>
            <w:r>
              <w:rPr>
                <w:rFonts w:ascii="仿宋_GB2312" w:hAnsi="仿宋_GB2312" w:cs="仿宋_GB2312" w:eastAsia="仿宋_GB2312"/>
                <w:sz w:val="24"/>
                <w:b/>
                <w:color w:val="000000"/>
              </w:rPr>
              <w:t>清单和计价依据</w:t>
            </w:r>
          </w:p>
          <w:p>
            <w:pPr>
              <w:pStyle w:val="null3"/>
              <w:ind w:firstLine="480"/>
              <w:jc w:val="left"/>
            </w:pPr>
            <w:r>
              <w:rPr>
                <w:rFonts w:ascii="仿宋_GB2312" w:hAnsi="仿宋_GB2312" w:cs="仿宋_GB2312" w:eastAsia="仿宋_GB2312"/>
                <w:sz w:val="24"/>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递交纸质版响应文件，正本壹份、副本贰份，电子文件（U盘）壹份，随正本密封。若线上电子响应文件与纸质版响应文件不一致以电子响应文件为准;若正本和副本不一致，以正本为准。 线下递交时间同线上响应文件递交截止时间;线下递交文件地点:陕西省西安市临潼区秦陵南路20号新华书店二楼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法人代表证明书或法人授权委托书，后附法人及被委托人身份证（法定代表人直接参加开标的只需提供法定代表人身份证）；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拟派项目经理须具备市政公用工程二级及以上注册建造师证书和有效的安全生产考核合格B证，在本单位注册，且未担任其他在建工程的项目经理；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投标文件上法定代表人或其授权代表人的签字 、盖章齐全并加盖供应商公章</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应满足招标文件中要求的工期</w:t>
            </w:r>
          </w:p>
        </w:tc>
        <w:tc>
          <w:tcPr>
            <w:tcW w:type="dxa" w:w="1661"/>
          </w:tcPr>
          <w:p>
            <w:pPr>
              <w:pStyle w:val="null3"/>
            </w:pPr>
            <w:r>
              <w:rPr>
                <w:rFonts w:ascii="仿宋_GB2312" w:hAnsi="仿宋_GB2312" w:cs="仿宋_GB2312" w:eastAsia="仿宋_GB2312"/>
              </w:rPr>
              <w:t>响应文件封面 投标方案.docx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施工方案内容至少包括：①施工准备；②施工部署；③施工方法；④重点难点工程分析及解决措施；⑤影响正常施工外在因素分析及对应预案等。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一、评审内容：内容至少包括①质量管理工作流程；②工程质量保障方案；③工程质量控制体系；④材料和构配件的质量控制等；⑤施工检测及工序交验方案等；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内容至少包括①施工总平面布置；②施工进度安排、施工进度表或施工网络图； ③工期目标控制和保证措施；④材料供应措施；⑤成品、半成品保护监管措施等。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②施工材料投入计划；③施工机械的维护保养和材料的贮存；④施工机械、材料的监督和检查等。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一、评审内容：内容至少包括①项目管理机构图;②岗位安排及职责③劳动力计划安排；④管理制度；⑤相应的协调措施等。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供应商2021年1月1日至今类似项目业绩，每提供1份得2分，最高得6分。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格分统一采用低价优先法计算，即满足磋商文件要求且投标价格最低的报价为评标基准价，其价格分为满分。其他供应商的价格分统一按照下列公式计算： 投标报价得分=(评标基准价／投标报价)×报价分值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